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9A89E" w14:textId="77777777" w:rsidR="00FB50D8" w:rsidRDefault="00FB50D8" w:rsidP="00C646D5">
      <w:pPr>
        <w:jc w:val="center"/>
        <w:rPr>
          <w:b/>
          <w:sz w:val="28"/>
          <w:szCs w:val="28"/>
        </w:rPr>
      </w:pPr>
    </w:p>
    <w:p w14:paraId="42D681C0" w14:textId="1604EDEE" w:rsidR="00FB50D8" w:rsidRDefault="00FB50D8" w:rsidP="00C646D5">
      <w:pPr>
        <w:jc w:val="center"/>
        <w:rPr>
          <w:b/>
          <w:sz w:val="28"/>
          <w:szCs w:val="28"/>
        </w:rPr>
      </w:pPr>
    </w:p>
    <w:p w14:paraId="3A3C801D" w14:textId="77777777" w:rsidR="00FB50D8" w:rsidRDefault="00FB50D8" w:rsidP="00C646D5">
      <w:pPr>
        <w:jc w:val="center"/>
        <w:rPr>
          <w:b/>
          <w:sz w:val="28"/>
          <w:szCs w:val="28"/>
        </w:rPr>
      </w:pPr>
    </w:p>
    <w:p w14:paraId="3E0B9873" w14:textId="77777777" w:rsidR="00FB50D8" w:rsidRDefault="00FB50D8" w:rsidP="00C646D5">
      <w:pPr>
        <w:jc w:val="center"/>
        <w:rPr>
          <w:b/>
          <w:sz w:val="28"/>
          <w:szCs w:val="28"/>
        </w:rPr>
      </w:pPr>
    </w:p>
    <w:p w14:paraId="5DE44B4B" w14:textId="77777777" w:rsidR="00C646D5" w:rsidRDefault="00C646D5" w:rsidP="00787837">
      <w:pPr>
        <w:jc w:val="center"/>
        <w:rPr>
          <w:b/>
          <w:sz w:val="28"/>
          <w:szCs w:val="28"/>
        </w:rPr>
      </w:pPr>
      <w:r w:rsidRPr="00163C9F">
        <w:rPr>
          <w:b/>
          <w:sz w:val="28"/>
          <w:szCs w:val="28"/>
        </w:rPr>
        <w:t>E</w:t>
      </w:r>
      <w:r>
        <w:rPr>
          <w:b/>
          <w:sz w:val="28"/>
          <w:szCs w:val="28"/>
        </w:rPr>
        <w:t xml:space="preserve">xploring </w:t>
      </w:r>
      <w:r w:rsidRPr="00163C9F">
        <w:rPr>
          <w:b/>
          <w:sz w:val="28"/>
          <w:szCs w:val="28"/>
        </w:rPr>
        <w:t>safety</w:t>
      </w:r>
      <w:r>
        <w:rPr>
          <w:b/>
          <w:sz w:val="28"/>
          <w:szCs w:val="28"/>
        </w:rPr>
        <w:t>, quality</w:t>
      </w:r>
      <w:r w:rsidRPr="00163C9F">
        <w:rPr>
          <w:b/>
          <w:sz w:val="28"/>
          <w:szCs w:val="28"/>
        </w:rPr>
        <w:t xml:space="preserve"> and resilience in health care</w:t>
      </w:r>
    </w:p>
    <w:p w14:paraId="1A295C15" w14:textId="77777777" w:rsidR="00C646D5" w:rsidRDefault="00C646D5" w:rsidP="00C646D5">
      <w:pPr>
        <w:spacing w:after="240" w:line="360" w:lineRule="auto"/>
        <w:jc w:val="center"/>
        <w:rPr>
          <w:rFonts w:cs="Arial"/>
          <w:b/>
          <w:sz w:val="28"/>
          <w:szCs w:val="28"/>
        </w:rPr>
      </w:pPr>
    </w:p>
    <w:p w14:paraId="3FBE5151" w14:textId="77777777" w:rsidR="00C646D5" w:rsidRDefault="00C646D5" w:rsidP="00C646D5">
      <w:pPr>
        <w:jc w:val="center"/>
        <w:rPr>
          <w:b/>
          <w:sz w:val="28"/>
          <w:szCs w:val="28"/>
        </w:rPr>
      </w:pPr>
    </w:p>
    <w:p w14:paraId="03427968" w14:textId="77777777" w:rsidR="00C646D5" w:rsidRDefault="00C646D5" w:rsidP="00C646D5">
      <w:pPr>
        <w:jc w:val="center"/>
        <w:rPr>
          <w:b/>
          <w:sz w:val="28"/>
          <w:szCs w:val="28"/>
        </w:rPr>
      </w:pPr>
    </w:p>
    <w:p w14:paraId="28382A41" w14:textId="77777777" w:rsidR="00C646D5" w:rsidRDefault="00C646D5" w:rsidP="00C646D5">
      <w:pPr>
        <w:jc w:val="center"/>
        <w:rPr>
          <w:b/>
          <w:sz w:val="28"/>
          <w:szCs w:val="28"/>
        </w:rPr>
      </w:pPr>
      <w:r>
        <w:rPr>
          <w:b/>
          <w:sz w:val="28"/>
          <w:szCs w:val="28"/>
        </w:rPr>
        <w:t>Allen Hutchinson</w:t>
      </w:r>
    </w:p>
    <w:p w14:paraId="0DB9BE2F" w14:textId="77777777" w:rsidR="00C646D5" w:rsidRDefault="00C646D5" w:rsidP="00C646D5">
      <w:pPr>
        <w:spacing w:after="240" w:line="360" w:lineRule="auto"/>
        <w:jc w:val="center"/>
        <w:rPr>
          <w:rFonts w:cs="Arial"/>
          <w:b/>
          <w:sz w:val="28"/>
          <w:szCs w:val="28"/>
        </w:rPr>
      </w:pPr>
    </w:p>
    <w:p w14:paraId="29C1CEE4" w14:textId="77777777" w:rsidR="00C646D5" w:rsidRDefault="00C646D5" w:rsidP="00C646D5">
      <w:pPr>
        <w:spacing w:after="240" w:line="360" w:lineRule="auto"/>
        <w:jc w:val="center"/>
        <w:rPr>
          <w:rFonts w:cs="Arial"/>
          <w:b/>
          <w:sz w:val="28"/>
          <w:szCs w:val="28"/>
        </w:rPr>
      </w:pPr>
    </w:p>
    <w:p w14:paraId="0B2AD50D" w14:textId="77777777" w:rsidR="001C117D" w:rsidRDefault="00C646D5" w:rsidP="00C646D5">
      <w:pPr>
        <w:spacing w:after="240" w:line="360" w:lineRule="auto"/>
        <w:jc w:val="center"/>
        <w:rPr>
          <w:rFonts w:cs="Arial"/>
          <w:b/>
          <w:sz w:val="28"/>
          <w:szCs w:val="28"/>
        </w:rPr>
      </w:pPr>
      <w:r w:rsidRPr="00794B6C">
        <w:rPr>
          <w:rFonts w:cs="Arial"/>
          <w:b/>
          <w:sz w:val="28"/>
          <w:szCs w:val="28"/>
        </w:rPr>
        <w:t xml:space="preserve">Thesis submitted for the degree of Doctor of Philosophy </w:t>
      </w:r>
    </w:p>
    <w:p w14:paraId="053C0D7F" w14:textId="77777777" w:rsidR="00C646D5" w:rsidRPr="00794B6C" w:rsidRDefault="001C117D" w:rsidP="00C646D5">
      <w:pPr>
        <w:spacing w:after="240" w:line="360" w:lineRule="auto"/>
        <w:jc w:val="center"/>
        <w:rPr>
          <w:rFonts w:cs="Arial"/>
          <w:b/>
          <w:sz w:val="28"/>
          <w:szCs w:val="28"/>
        </w:rPr>
      </w:pPr>
      <w:r>
        <w:rPr>
          <w:rFonts w:cs="Arial"/>
          <w:b/>
          <w:sz w:val="28"/>
          <w:szCs w:val="28"/>
        </w:rPr>
        <w:t>by publication</w:t>
      </w:r>
      <w:r w:rsidR="00C646D5" w:rsidRPr="00794B6C">
        <w:rPr>
          <w:rFonts w:cs="Arial"/>
          <w:b/>
          <w:sz w:val="28"/>
          <w:szCs w:val="28"/>
        </w:rPr>
        <w:t xml:space="preserve"> </w:t>
      </w:r>
    </w:p>
    <w:p w14:paraId="6BDE7655" w14:textId="77777777" w:rsidR="00C646D5" w:rsidRDefault="00C646D5" w:rsidP="00C646D5">
      <w:pPr>
        <w:spacing w:after="240" w:line="360" w:lineRule="auto"/>
        <w:jc w:val="center"/>
        <w:rPr>
          <w:rFonts w:cs="Arial"/>
          <w:b/>
          <w:sz w:val="28"/>
          <w:szCs w:val="28"/>
        </w:rPr>
      </w:pPr>
    </w:p>
    <w:p w14:paraId="506E99BB" w14:textId="77777777" w:rsidR="00C646D5" w:rsidRDefault="00C646D5" w:rsidP="00C646D5">
      <w:pPr>
        <w:spacing w:after="240" w:line="360" w:lineRule="auto"/>
        <w:jc w:val="center"/>
        <w:rPr>
          <w:rFonts w:cs="Arial"/>
          <w:b/>
          <w:sz w:val="28"/>
          <w:szCs w:val="28"/>
        </w:rPr>
      </w:pPr>
    </w:p>
    <w:p w14:paraId="3E0C88B4" w14:textId="77777777" w:rsidR="00C646D5" w:rsidRPr="00794B6C" w:rsidRDefault="00C646D5" w:rsidP="00C646D5">
      <w:pPr>
        <w:spacing w:after="240" w:line="360" w:lineRule="auto"/>
        <w:jc w:val="center"/>
        <w:rPr>
          <w:rFonts w:cs="Arial"/>
          <w:b/>
          <w:sz w:val="28"/>
          <w:szCs w:val="28"/>
        </w:rPr>
      </w:pPr>
      <w:r w:rsidRPr="00794B6C">
        <w:rPr>
          <w:rFonts w:cs="Arial"/>
          <w:b/>
          <w:sz w:val="28"/>
          <w:szCs w:val="28"/>
        </w:rPr>
        <w:t>School of Health and Related Research</w:t>
      </w:r>
    </w:p>
    <w:p w14:paraId="01E53F34" w14:textId="77777777" w:rsidR="00C646D5" w:rsidRPr="00794B6C" w:rsidRDefault="00C646D5" w:rsidP="00C646D5">
      <w:pPr>
        <w:spacing w:after="240" w:line="360" w:lineRule="auto"/>
        <w:jc w:val="center"/>
        <w:rPr>
          <w:rFonts w:cs="Arial"/>
          <w:b/>
          <w:sz w:val="28"/>
          <w:szCs w:val="28"/>
        </w:rPr>
      </w:pPr>
      <w:r w:rsidRPr="00794B6C">
        <w:rPr>
          <w:rFonts w:cs="Arial"/>
          <w:b/>
          <w:sz w:val="28"/>
          <w:szCs w:val="28"/>
        </w:rPr>
        <w:t>The University of Sheffield</w:t>
      </w:r>
    </w:p>
    <w:p w14:paraId="52B67140" w14:textId="77777777" w:rsidR="00C646D5" w:rsidRDefault="00C646D5" w:rsidP="00C646D5">
      <w:pPr>
        <w:jc w:val="center"/>
        <w:rPr>
          <w:b/>
          <w:sz w:val="28"/>
          <w:szCs w:val="28"/>
        </w:rPr>
      </w:pPr>
    </w:p>
    <w:p w14:paraId="3C238968" w14:textId="77777777" w:rsidR="00C646D5" w:rsidRDefault="00C646D5" w:rsidP="00C646D5">
      <w:pPr>
        <w:jc w:val="center"/>
        <w:rPr>
          <w:b/>
          <w:sz w:val="28"/>
          <w:szCs w:val="28"/>
        </w:rPr>
      </w:pPr>
      <w:r w:rsidRPr="00F01091">
        <w:rPr>
          <w:b/>
          <w:sz w:val="28"/>
          <w:szCs w:val="28"/>
        </w:rPr>
        <w:t>March</w:t>
      </w:r>
      <w:r>
        <w:rPr>
          <w:b/>
          <w:sz w:val="28"/>
          <w:szCs w:val="28"/>
        </w:rPr>
        <w:t xml:space="preserve"> 2014</w:t>
      </w:r>
      <w:r>
        <w:rPr>
          <w:b/>
          <w:sz w:val="28"/>
          <w:szCs w:val="28"/>
        </w:rPr>
        <w:br w:type="page"/>
      </w:r>
    </w:p>
    <w:p w14:paraId="3A5B2D81" w14:textId="77777777" w:rsidR="00FB50D8" w:rsidRDefault="00FB50D8" w:rsidP="00C646D5">
      <w:pPr>
        <w:rPr>
          <w:b/>
          <w:sz w:val="28"/>
          <w:szCs w:val="28"/>
        </w:rPr>
      </w:pPr>
      <w:r>
        <w:rPr>
          <w:b/>
          <w:sz w:val="28"/>
          <w:szCs w:val="28"/>
        </w:rPr>
        <w:lastRenderedPageBreak/>
        <w:t>Summary of Permissions to Publish</w:t>
      </w:r>
    </w:p>
    <w:tbl>
      <w:tblPr>
        <w:tblStyle w:val="TableGrid"/>
        <w:tblpPr w:leftFromText="180" w:rightFromText="180" w:vertAnchor="page" w:horzAnchor="margin" w:tblpXSpec="center" w:tblpY="2247"/>
        <w:tblW w:w="8789" w:type="dxa"/>
        <w:tblLayout w:type="fixed"/>
        <w:tblLook w:val="04A0" w:firstRow="1" w:lastRow="0" w:firstColumn="1" w:lastColumn="0" w:noHBand="0" w:noVBand="1"/>
      </w:tblPr>
      <w:tblGrid>
        <w:gridCol w:w="2093"/>
        <w:gridCol w:w="850"/>
        <w:gridCol w:w="1418"/>
        <w:gridCol w:w="1376"/>
        <w:gridCol w:w="1317"/>
        <w:gridCol w:w="1735"/>
      </w:tblGrid>
      <w:tr w:rsidR="00FB50D8" w14:paraId="37A3B3F5" w14:textId="77777777" w:rsidTr="000D3997">
        <w:tc>
          <w:tcPr>
            <w:tcW w:w="2093" w:type="dxa"/>
          </w:tcPr>
          <w:p w14:paraId="56ED75B8" w14:textId="77777777" w:rsidR="00FB50D8" w:rsidRPr="009324A4" w:rsidRDefault="00FB50D8" w:rsidP="000B6667">
            <w:pPr>
              <w:rPr>
                <w:rFonts w:ascii="Arial" w:hAnsi="Arial" w:cs="Arial"/>
                <w:sz w:val="18"/>
                <w:szCs w:val="18"/>
              </w:rPr>
            </w:pPr>
            <w:r w:rsidRPr="009324A4">
              <w:rPr>
                <w:rFonts w:ascii="Arial" w:hAnsi="Arial" w:cs="Arial"/>
                <w:sz w:val="18"/>
                <w:szCs w:val="18"/>
              </w:rPr>
              <w:t xml:space="preserve">Publications </w:t>
            </w:r>
          </w:p>
        </w:tc>
        <w:tc>
          <w:tcPr>
            <w:tcW w:w="850" w:type="dxa"/>
          </w:tcPr>
          <w:p w14:paraId="6EC9F519" w14:textId="77777777" w:rsidR="00FB50D8" w:rsidRPr="009324A4" w:rsidRDefault="00FB50D8" w:rsidP="000B6667">
            <w:pPr>
              <w:rPr>
                <w:rFonts w:ascii="Arial" w:hAnsi="Arial" w:cs="Arial"/>
                <w:sz w:val="18"/>
                <w:szCs w:val="18"/>
              </w:rPr>
            </w:pPr>
            <w:r w:rsidRPr="009324A4">
              <w:rPr>
                <w:rFonts w:ascii="Arial" w:hAnsi="Arial" w:cs="Arial"/>
                <w:sz w:val="18"/>
                <w:szCs w:val="18"/>
              </w:rPr>
              <w:t>Author</w:t>
            </w:r>
            <w:r>
              <w:rPr>
                <w:rFonts w:ascii="Arial" w:hAnsi="Arial" w:cs="Arial"/>
                <w:sz w:val="18"/>
                <w:szCs w:val="18"/>
              </w:rPr>
              <w:t>-</w:t>
            </w:r>
            <w:r w:rsidRPr="009324A4">
              <w:rPr>
                <w:rFonts w:ascii="Arial" w:hAnsi="Arial" w:cs="Arial"/>
                <w:sz w:val="18"/>
                <w:szCs w:val="18"/>
              </w:rPr>
              <w:t>ship</w:t>
            </w:r>
          </w:p>
        </w:tc>
        <w:tc>
          <w:tcPr>
            <w:tcW w:w="1418" w:type="dxa"/>
          </w:tcPr>
          <w:p w14:paraId="54CCB771" w14:textId="77777777" w:rsidR="00FB50D8" w:rsidRPr="009324A4" w:rsidRDefault="000D3997" w:rsidP="000B6667">
            <w:pPr>
              <w:rPr>
                <w:rFonts w:ascii="Arial" w:hAnsi="Arial" w:cs="Arial"/>
                <w:sz w:val="18"/>
                <w:szCs w:val="18"/>
              </w:rPr>
            </w:pPr>
            <w:r>
              <w:rPr>
                <w:rFonts w:ascii="Arial" w:hAnsi="Arial" w:cs="Arial"/>
                <w:sz w:val="18"/>
                <w:szCs w:val="18"/>
              </w:rPr>
              <w:t>Correspon</w:t>
            </w:r>
            <w:r w:rsidR="00FB50D8">
              <w:rPr>
                <w:rFonts w:ascii="Arial" w:hAnsi="Arial" w:cs="Arial"/>
                <w:sz w:val="18"/>
                <w:szCs w:val="18"/>
              </w:rPr>
              <w:t>d</w:t>
            </w:r>
            <w:r w:rsidR="00FB50D8" w:rsidRPr="009324A4">
              <w:rPr>
                <w:rFonts w:ascii="Arial" w:hAnsi="Arial" w:cs="Arial"/>
                <w:sz w:val="18"/>
                <w:szCs w:val="18"/>
              </w:rPr>
              <w:t>ing</w:t>
            </w:r>
            <w:r>
              <w:rPr>
                <w:rFonts w:ascii="Arial" w:hAnsi="Arial" w:cs="Arial"/>
                <w:sz w:val="18"/>
                <w:szCs w:val="18"/>
              </w:rPr>
              <w:t xml:space="preserve"> </w:t>
            </w:r>
            <w:r w:rsidR="00FB50D8" w:rsidRPr="009324A4">
              <w:rPr>
                <w:rFonts w:ascii="Arial" w:hAnsi="Arial" w:cs="Arial"/>
                <w:sz w:val="18"/>
                <w:szCs w:val="18"/>
              </w:rPr>
              <w:t xml:space="preserve"> Author</w:t>
            </w:r>
          </w:p>
        </w:tc>
        <w:tc>
          <w:tcPr>
            <w:tcW w:w="1376" w:type="dxa"/>
          </w:tcPr>
          <w:p w14:paraId="4CA65187" w14:textId="77777777" w:rsidR="00FB50D8" w:rsidRPr="009324A4" w:rsidRDefault="00FB50D8" w:rsidP="000B6667">
            <w:pPr>
              <w:rPr>
                <w:rFonts w:ascii="Arial" w:hAnsi="Arial" w:cs="Arial"/>
                <w:sz w:val="18"/>
                <w:szCs w:val="18"/>
              </w:rPr>
            </w:pPr>
            <w:r w:rsidRPr="009324A4">
              <w:rPr>
                <w:rFonts w:ascii="Arial" w:hAnsi="Arial" w:cs="Arial"/>
                <w:sz w:val="18"/>
                <w:szCs w:val="18"/>
              </w:rPr>
              <w:t>Permission from corresponding  author to publish</w:t>
            </w:r>
          </w:p>
        </w:tc>
        <w:tc>
          <w:tcPr>
            <w:tcW w:w="1317" w:type="dxa"/>
          </w:tcPr>
          <w:p w14:paraId="23927BF7" w14:textId="77777777" w:rsidR="00FB50D8" w:rsidRPr="009324A4" w:rsidRDefault="00FB50D8" w:rsidP="000B6667">
            <w:pPr>
              <w:rPr>
                <w:rFonts w:ascii="Arial" w:hAnsi="Arial" w:cs="Arial"/>
                <w:sz w:val="18"/>
                <w:szCs w:val="18"/>
              </w:rPr>
            </w:pPr>
            <w:r w:rsidRPr="009324A4">
              <w:rPr>
                <w:rFonts w:ascii="Arial" w:hAnsi="Arial" w:cs="Arial"/>
                <w:sz w:val="18"/>
                <w:szCs w:val="18"/>
              </w:rPr>
              <w:t>Permission to publish received from all co-authors</w:t>
            </w:r>
          </w:p>
        </w:tc>
        <w:tc>
          <w:tcPr>
            <w:tcW w:w="1735" w:type="dxa"/>
          </w:tcPr>
          <w:p w14:paraId="45AA76FD" w14:textId="77777777" w:rsidR="00FB50D8" w:rsidRPr="009324A4" w:rsidRDefault="00FB50D8" w:rsidP="000B6667">
            <w:pPr>
              <w:rPr>
                <w:rFonts w:ascii="Arial" w:hAnsi="Arial" w:cs="Arial"/>
                <w:sz w:val="18"/>
                <w:szCs w:val="18"/>
              </w:rPr>
            </w:pPr>
            <w:r w:rsidRPr="009324A4">
              <w:rPr>
                <w:rFonts w:ascii="Arial" w:hAnsi="Arial" w:cs="Arial"/>
                <w:sz w:val="18"/>
                <w:szCs w:val="18"/>
              </w:rPr>
              <w:t xml:space="preserve">Publisher copyright policies </w:t>
            </w:r>
          </w:p>
        </w:tc>
      </w:tr>
      <w:tr w:rsidR="00FB50D8" w14:paraId="449E13BF" w14:textId="77777777" w:rsidTr="000D3997">
        <w:tc>
          <w:tcPr>
            <w:tcW w:w="2093" w:type="dxa"/>
          </w:tcPr>
          <w:p w14:paraId="1E3B94FF" w14:textId="77777777" w:rsidR="00FB50D8" w:rsidRPr="009324A4" w:rsidRDefault="00FB50D8" w:rsidP="000B6667">
            <w:pPr>
              <w:rPr>
                <w:rFonts w:ascii="Arial" w:hAnsi="Arial" w:cs="Arial"/>
                <w:sz w:val="18"/>
                <w:szCs w:val="18"/>
              </w:rPr>
            </w:pPr>
            <w:r w:rsidRPr="009324A4">
              <w:rPr>
                <w:rFonts w:ascii="Arial" w:hAnsi="Arial" w:cs="Arial"/>
                <w:bCs/>
                <w:sz w:val="18"/>
                <w:szCs w:val="18"/>
              </w:rPr>
              <w:t xml:space="preserve">Using a safety climate questionnaire in UK healthcare: factor structure, </w:t>
            </w:r>
            <w:r>
              <w:rPr>
                <w:rFonts w:ascii="Arial" w:hAnsi="Arial" w:cs="Arial"/>
                <w:bCs/>
                <w:sz w:val="18"/>
                <w:szCs w:val="18"/>
              </w:rPr>
              <w:t>r</w:t>
            </w:r>
            <w:r w:rsidRPr="009324A4">
              <w:rPr>
                <w:rFonts w:ascii="Arial" w:hAnsi="Arial" w:cs="Arial"/>
                <w:bCs/>
                <w:sz w:val="18"/>
                <w:szCs w:val="18"/>
              </w:rPr>
              <w:t>eliability and usability.</w:t>
            </w:r>
            <w:r w:rsidRPr="009324A4">
              <w:rPr>
                <w:rFonts w:ascii="Arial" w:hAnsi="Arial" w:cs="Arial"/>
                <w:b/>
                <w:bCs/>
                <w:sz w:val="18"/>
                <w:szCs w:val="18"/>
              </w:rPr>
              <w:t xml:space="preserve"> </w:t>
            </w:r>
            <w:r w:rsidRPr="009324A4">
              <w:rPr>
                <w:rFonts w:ascii="Arial" w:hAnsi="Arial" w:cs="Arial"/>
                <w:sz w:val="18"/>
                <w:szCs w:val="18"/>
              </w:rPr>
              <w:t>Quality and Safety in Health Care. 2006</w:t>
            </w:r>
          </w:p>
        </w:tc>
        <w:tc>
          <w:tcPr>
            <w:tcW w:w="850" w:type="dxa"/>
          </w:tcPr>
          <w:p w14:paraId="6ECFD00D" w14:textId="77777777" w:rsidR="00FB50D8" w:rsidRPr="009324A4" w:rsidRDefault="00FB50D8" w:rsidP="000B6667">
            <w:pPr>
              <w:rPr>
                <w:rFonts w:ascii="Arial" w:hAnsi="Arial" w:cs="Arial"/>
                <w:sz w:val="18"/>
                <w:szCs w:val="18"/>
              </w:rPr>
            </w:pPr>
            <w:r w:rsidRPr="009324A4">
              <w:rPr>
                <w:rFonts w:ascii="Arial" w:hAnsi="Arial" w:cs="Arial"/>
                <w:b/>
                <w:sz w:val="18"/>
                <w:szCs w:val="18"/>
              </w:rPr>
              <w:t>1</w:t>
            </w:r>
            <w:r w:rsidRPr="009324A4">
              <w:rPr>
                <w:rFonts w:ascii="Arial" w:hAnsi="Arial" w:cs="Arial"/>
                <w:b/>
                <w:sz w:val="18"/>
                <w:szCs w:val="18"/>
                <w:vertAlign w:val="superscript"/>
              </w:rPr>
              <w:t>st</w:t>
            </w:r>
            <w:r w:rsidRPr="009324A4">
              <w:rPr>
                <w:rFonts w:ascii="Arial" w:hAnsi="Arial" w:cs="Arial"/>
                <w:sz w:val="18"/>
                <w:szCs w:val="18"/>
              </w:rPr>
              <w:t xml:space="preserve"> of 8 authors</w:t>
            </w:r>
          </w:p>
        </w:tc>
        <w:tc>
          <w:tcPr>
            <w:tcW w:w="1418" w:type="dxa"/>
          </w:tcPr>
          <w:p w14:paraId="356D85A0" w14:textId="77777777" w:rsidR="00FB50D8" w:rsidRPr="009324A4" w:rsidRDefault="00FB50D8" w:rsidP="000B6667">
            <w:pPr>
              <w:rPr>
                <w:rFonts w:ascii="Arial" w:hAnsi="Arial" w:cs="Arial"/>
                <w:sz w:val="18"/>
                <w:szCs w:val="18"/>
              </w:rPr>
            </w:pPr>
            <w:r w:rsidRPr="009324A4">
              <w:rPr>
                <w:rFonts w:ascii="Arial" w:hAnsi="Arial" w:cs="Arial"/>
                <w:sz w:val="18"/>
                <w:szCs w:val="18"/>
              </w:rPr>
              <w:t>Yes</w:t>
            </w:r>
          </w:p>
        </w:tc>
        <w:tc>
          <w:tcPr>
            <w:tcW w:w="1376" w:type="dxa"/>
          </w:tcPr>
          <w:p w14:paraId="45AC0B30" w14:textId="77777777" w:rsidR="00FB50D8" w:rsidRPr="009324A4" w:rsidRDefault="00FB50D8" w:rsidP="000B6667">
            <w:pPr>
              <w:rPr>
                <w:rFonts w:ascii="Arial" w:hAnsi="Arial" w:cs="Arial"/>
                <w:sz w:val="18"/>
                <w:szCs w:val="18"/>
              </w:rPr>
            </w:pPr>
            <w:r w:rsidRPr="009324A4">
              <w:rPr>
                <w:rFonts w:ascii="Arial" w:hAnsi="Arial" w:cs="Arial"/>
                <w:sz w:val="18"/>
                <w:szCs w:val="18"/>
              </w:rPr>
              <w:t>N/A</w:t>
            </w:r>
          </w:p>
        </w:tc>
        <w:tc>
          <w:tcPr>
            <w:tcW w:w="1317" w:type="dxa"/>
          </w:tcPr>
          <w:p w14:paraId="743615E3" w14:textId="77777777" w:rsidR="00FB50D8" w:rsidRPr="009324A4" w:rsidRDefault="00FB50D8" w:rsidP="000B6667">
            <w:pPr>
              <w:rPr>
                <w:rFonts w:ascii="Arial" w:hAnsi="Arial" w:cs="Arial"/>
                <w:sz w:val="18"/>
                <w:szCs w:val="18"/>
              </w:rPr>
            </w:pPr>
            <w:r w:rsidRPr="009324A4">
              <w:rPr>
                <w:rFonts w:ascii="Arial" w:hAnsi="Arial" w:cs="Arial"/>
                <w:sz w:val="18"/>
                <w:szCs w:val="18"/>
              </w:rPr>
              <w:t>Yes</w:t>
            </w:r>
          </w:p>
        </w:tc>
        <w:tc>
          <w:tcPr>
            <w:tcW w:w="1735" w:type="dxa"/>
          </w:tcPr>
          <w:p w14:paraId="59F2A36B" w14:textId="77777777" w:rsidR="00FB50D8" w:rsidRPr="009324A4" w:rsidRDefault="00FB50D8" w:rsidP="000B6667">
            <w:pPr>
              <w:rPr>
                <w:rFonts w:ascii="Arial" w:hAnsi="Arial" w:cs="Arial"/>
                <w:sz w:val="18"/>
                <w:szCs w:val="18"/>
              </w:rPr>
            </w:pPr>
            <w:r w:rsidRPr="009324A4">
              <w:rPr>
                <w:rFonts w:ascii="Arial" w:hAnsi="Arial" w:cs="Arial"/>
                <w:sz w:val="18"/>
                <w:szCs w:val="18"/>
              </w:rPr>
              <w:t>Quality and Safety in Health Care -</w:t>
            </w:r>
          </w:p>
          <w:p w14:paraId="4C7426BF" w14:textId="77777777" w:rsidR="00FB50D8" w:rsidRPr="009324A4" w:rsidRDefault="00FB50D8" w:rsidP="000B6667">
            <w:pPr>
              <w:rPr>
                <w:rFonts w:ascii="Arial" w:hAnsi="Arial" w:cs="Arial"/>
                <w:sz w:val="18"/>
                <w:szCs w:val="18"/>
              </w:rPr>
            </w:pPr>
            <w:r w:rsidRPr="009324A4">
              <w:rPr>
                <w:rFonts w:ascii="Arial" w:hAnsi="Arial" w:cs="Arial"/>
                <w:sz w:val="18"/>
                <w:szCs w:val="18"/>
              </w:rPr>
              <w:t>Author can archive post print (final draft post-refereeing)</w:t>
            </w:r>
          </w:p>
          <w:p w14:paraId="1EFF564A" w14:textId="77777777" w:rsidR="00FB50D8" w:rsidRPr="009324A4" w:rsidRDefault="00FB50D8" w:rsidP="000B6667">
            <w:pPr>
              <w:rPr>
                <w:rFonts w:ascii="Arial" w:hAnsi="Arial" w:cs="Arial"/>
                <w:sz w:val="18"/>
                <w:szCs w:val="18"/>
              </w:rPr>
            </w:pPr>
          </w:p>
        </w:tc>
      </w:tr>
      <w:tr w:rsidR="00FB50D8" w14:paraId="66C93203" w14:textId="77777777" w:rsidTr="000D3997">
        <w:tc>
          <w:tcPr>
            <w:tcW w:w="2093" w:type="dxa"/>
          </w:tcPr>
          <w:p w14:paraId="7F686F6F" w14:textId="77777777" w:rsidR="00FB50D8" w:rsidRPr="009324A4" w:rsidRDefault="00FB50D8" w:rsidP="000B6667">
            <w:pPr>
              <w:rPr>
                <w:rFonts w:ascii="Arial" w:hAnsi="Arial" w:cs="Arial"/>
                <w:sz w:val="18"/>
                <w:szCs w:val="18"/>
              </w:rPr>
            </w:pPr>
            <w:r w:rsidRPr="009324A4">
              <w:rPr>
                <w:rFonts w:ascii="Arial" w:hAnsi="Arial" w:cs="Arial"/>
                <w:sz w:val="18"/>
                <w:szCs w:val="18"/>
              </w:rPr>
              <w:t xml:space="preserve">Trends in healthcare incident reporting and relationship to safety and quality data in acute hospitals: results from the National Reporting and Learning System.  Quality </w:t>
            </w:r>
            <w:r>
              <w:rPr>
                <w:rFonts w:ascii="Arial" w:hAnsi="Arial" w:cs="Arial"/>
                <w:sz w:val="18"/>
                <w:szCs w:val="18"/>
              </w:rPr>
              <w:t xml:space="preserve">and </w:t>
            </w:r>
            <w:r w:rsidRPr="009324A4">
              <w:rPr>
                <w:rFonts w:ascii="Arial" w:hAnsi="Arial" w:cs="Arial"/>
                <w:sz w:val="18"/>
                <w:szCs w:val="18"/>
              </w:rPr>
              <w:t>Safety in Health Care. 2009</w:t>
            </w:r>
          </w:p>
        </w:tc>
        <w:tc>
          <w:tcPr>
            <w:tcW w:w="850" w:type="dxa"/>
          </w:tcPr>
          <w:p w14:paraId="6487E87D" w14:textId="77777777" w:rsidR="00FB50D8" w:rsidRPr="009324A4" w:rsidRDefault="00FB50D8" w:rsidP="000B6667">
            <w:pPr>
              <w:rPr>
                <w:rFonts w:ascii="Arial" w:hAnsi="Arial" w:cs="Arial"/>
                <w:sz w:val="18"/>
                <w:szCs w:val="18"/>
              </w:rPr>
            </w:pPr>
            <w:r w:rsidRPr="009324A4">
              <w:rPr>
                <w:rFonts w:ascii="Arial" w:hAnsi="Arial" w:cs="Arial"/>
                <w:b/>
                <w:sz w:val="18"/>
                <w:szCs w:val="18"/>
              </w:rPr>
              <w:t>1</w:t>
            </w:r>
            <w:r w:rsidRPr="009324A4">
              <w:rPr>
                <w:rFonts w:ascii="Arial" w:hAnsi="Arial" w:cs="Arial"/>
                <w:b/>
                <w:sz w:val="18"/>
                <w:szCs w:val="18"/>
                <w:vertAlign w:val="superscript"/>
              </w:rPr>
              <w:t>st</w:t>
            </w:r>
            <w:r w:rsidRPr="009324A4">
              <w:rPr>
                <w:rFonts w:ascii="Arial" w:hAnsi="Arial" w:cs="Arial"/>
                <w:sz w:val="18"/>
                <w:szCs w:val="18"/>
              </w:rPr>
              <w:t xml:space="preserve"> of 7 authors</w:t>
            </w:r>
          </w:p>
        </w:tc>
        <w:tc>
          <w:tcPr>
            <w:tcW w:w="1418" w:type="dxa"/>
          </w:tcPr>
          <w:p w14:paraId="4CEEE44B" w14:textId="77777777" w:rsidR="00FB50D8" w:rsidRPr="009324A4" w:rsidRDefault="00FB50D8" w:rsidP="000B6667">
            <w:pPr>
              <w:rPr>
                <w:rFonts w:ascii="Arial" w:hAnsi="Arial" w:cs="Arial"/>
                <w:sz w:val="18"/>
                <w:szCs w:val="18"/>
              </w:rPr>
            </w:pPr>
            <w:r w:rsidRPr="009324A4">
              <w:rPr>
                <w:rFonts w:ascii="Arial" w:hAnsi="Arial" w:cs="Arial"/>
                <w:sz w:val="18"/>
                <w:szCs w:val="18"/>
              </w:rPr>
              <w:t>Yes</w:t>
            </w:r>
          </w:p>
        </w:tc>
        <w:tc>
          <w:tcPr>
            <w:tcW w:w="1376" w:type="dxa"/>
          </w:tcPr>
          <w:p w14:paraId="03B8E5C5" w14:textId="77777777" w:rsidR="00FB50D8" w:rsidRPr="009324A4" w:rsidRDefault="00FB50D8" w:rsidP="000B6667">
            <w:pPr>
              <w:rPr>
                <w:rFonts w:ascii="Arial" w:hAnsi="Arial" w:cs="Arial"/>
                <w:sz w:val="18"/>
                <w:szCs w:val="18"/>
              </w:rPr>
            </w:pPr>
            <w:r w:rsidRPr="009324A4">
              <w:rPr>
                <w:rFonts w:ascii="Arial" w:hAnsi="Arial" w:cs="Arial"/>
                <w:sz w:val="18"/>
                <w:szCs w:val="18"/>
              </w:rPr>
              <w:t>N/A</w:t>
            </w:r>
          </w:p>
        </w:tc>
        <w:tc>
          <w:tcPr>
            <w:tcW w:w="1317" w:type="dxa"/>
          </w:tcPr>
          <w:p w14:paraId="675365D8" w14:textId="77777777" w:rsidR="00FB50D8" w:rsidRPr="009324A4" w:rsidRDefault="00FB50D8" w:rsidP="000B6667">
            <w:pPr>
              <w:rPr>
                <w:rFonts w:ascii="Arial" w:hAnsi="Arial" w:cs="Arial"/>
                <w:sz w:val="18"/>
                <w:szCs w:val="18"/>
              </w:rPr>
            </w:pPr>
            <w:r w:rsidRPr="009324A4">
              <w:rPr>
                <w:rFonts w:ascii="Arial" w:hAnsi="Arial" w:cs="Arial"/>
                <w:sz w:val="18"/>
                <w:szCs w:val="18"/>
              </w:rPr>
              <w:t>Yes</w:t>
            </w:r>
          </w:p>
        </w:tc>
        <w:tc>
          <w:tcPr>
            <w:tcW w:w="1735" w:type="dxa"/>
          </w:tcPr>
          <w:p w14:paraId="057700EA" w14:textId="77777777" w:rsidR="00FB50D8" w:rsidRPr="009324A4" w:rsidRDefault="00FB50D8" w:rsidP="000B6667">
            <w:pPr>
              <w:rPr>
                <w:rFonts w:ascii="Arial" w:hAnsi="Arial" w:cs="Arial"/>
                <w:sz w:val="18"/>
                <w:szCs w:val="18"/>
              </w:rPr>
            </w:pPr>
            <w:r w:rsidRPr="009324A4">
              <w:rPr>
                <w:rFonts w:ascii="Arial" w:hAnsi="Arial" w:cs="Arial"/>
                <w:sz w:val="18"/>
                <w:szCs w:val="18"/>
              </w:rPr>
              <w:t xml:space="preserve">Quality </w:t>
            </w:r>
            <w:r w:rsidR="000D3997">
              <w:rPr>
                <w:rFonts w:ascii="Arial" w:hAnsi="Arial" w:cs="Arial"/>
                <w:sz w:val="18"/>
                <w:szCs w:val="18"/>
              </w:rPr>
              <w:t xml:space="preserve">and </w:t>
            </w:r>
            <w:r w:rsidRPr="009324A4">
              <w:rPr>
                <w:rFonts w:ascii="Arial" w:hAnsi="Arial" w:cs="Arial"/>
                <w:sz w:val="18"/>
                <w:szCs w:val="18"/>
              </w:rPr>
              <w:t>Safety in Health Care -</w:t>
            </w:r>
          </w:p>
          <w:p w14:paraId="416AC4A2" w14:textId="77777777" w:rsidR="00FB50D8" w:rsidRPr="009324A4" w:rsidRDefault="00FB50D8" w:rsidP="000B6667">
            <w:pPr>
              <w:rPr>
                <w:rFonts w:ascii="Arial" w:hAnsi="Arial" w:cs="Arial"/>
                <w:sz w:val="18"/>
                <w:szCs w:val="18"/>
              </w:rPr>
            </w:pPr>
            <w:r w:rsidRPr="009324A4">
              <w:rPr>
                <w:rFonts w:ascii="Arial" w:hAnsi="Arial" w:cs="Arial"/>
                <w:sz w:val="18"/>
                <w:szCs w:val="18"/>
              </w:rPr>
              <w:t>Author can archive post print (final draft post-refereeing)</w:t>
            </w:r>
          </w:p>
          <w:p w14:paraId="38065A76" w14:textId="77777777" w:rsidR="00FB50D8" w:rsidRPr="009324A4" w:rsidRDefault="00FB50D8" w:rsidP="000B6667">
            <w:pPr>
              <w:rPr>
                <w:rFonts w:ascii="Arial" w:hAnsi="Arial" w:cs="Arial"/>
                <w:sz w:val="18"/>
                <w:szCs w:val="18"/>
              </w:rPr>
            </w:pPr>
          </w:p>
        </w:tc>
      </w:tr>
      <w:tr w:rsidR="00FB50D8" w14:paraId="294297EA" w14:textId="77777777" w:rsidTr="000D3997">
        <w:tc>
          <w:tcPr>
            <w:tcW w:w="2093" w:type="dxa"/>
          </w:tcPr>
          <w:p w14:paraId="4F90926D" w14:textId="77777777" w:rsidR="00FB50D8" w:rsidRPr="009324A4" w:rsidRDefault="00FB50D8" w:rsidP="000B6667">
            <w:pPr>
              <w:rPr>
                <w:rFonts w:ascii="Arial" w:hAnsi="Arial" w:cs="Arial"/>
                <w:sz w:val="18"/>
                <w:szCs w:val="18"/>
              </w:rPr>
            </w:pPr>
            <w:r w:rsidRPr="009324A4">
              <w:rPr>
                <w:rFonts w:ascii="Arial" w:hAnsi="Arial" w:cs="Arial"/>
                <w:bCs/>
                <w:kern w:val="32"/>
                <w:sz w:val="18"/>
                <w:szCs w:val="18"/>
              </w:rPr>
              <w:t>Using a multi-method, user centred, prospective hazard analysis to assess care quality and patient safety in a care pathway. BMC Health Services Research. 2007</w:t>
            </w:r>
          </w:p>
        </w:tc>
        <w:tc>
          <w:tcPr>
            <w:tcW w:w="850" w:type="dxa"/>
          </w:tcPr>
          <w:p w14:paraId="784E4AAB" w14:textId="77777777" w:rsidR="00FB50D8" w:rsidRPr="009324A4" w:rsidRDefault="00FB50D8" w:rsidP="000B6667">
            <w:pPr>
              <w:rPr>
                <w:rFonts w:ascii="Arial" w:hAnsi="Arial" w:cs="Arial"/>
                <w:sz w:val="18"/>
                <w:szCs w:val="18"/>
              </w:rPr>
            </w:pPr>
            <w:r w:rsidRPr="009324A4">
              <w:rPr>
                <w:rFonts w:ascii="Arial" w:hAnsi="Arial" w:cs="Arial"/>
                <w:b/>
                <w:sz w:val="18"/>
                <w:szCs w:val="18"/>
              </w:rPr>
              <w:t>Joint 1</w:t>
            </w:r>
            <w:r w:rsidRPr="009324A4">
              <w:rPr>
                <w:rFonts w:ascii="Arial" w:hAnsi="Arial" w:cs="Arial"/>
                <w:b/>
                <w:sz w:val="18"/>
                <w:szCs w:val="18"/>
                <w:vertAlign w:val="superscript"/>
              </w:rPr>
              <w:t>st</w:t>
            </w:r>
            <w:r w:rsidRPr="009324A4">
              <w:rPr>
                <w:rFonts w:ascii="Arial" w:hAnsi="Arial" w:cs="Arial"/>
                <w:sz w:val="18"/>
                <w:szCs w:val="18"/>
              </w:rPr>
              <w:t xml:space="preserve"> of 4 authors</w:t>
            </w:r>
          </w:p>
        </w:tc>
        <w:tc>
          <w:tcPr>
            <w:tcW w:w="1418" w:type="dxa"/>
          </w:tcPr>
          <w:p w14:paraId="6E93719D" w14:textId="77777777" w:rsidR="00FB50D8" w:rsidRPr="009324A4" w:rsidRDefault="00FB50D8" w:rsidP="000B6667">
            <w:pPr>
              <w:rPr>
                <w:rFonts w:ascii="Arial" w:hAnsi="Arial" w:cs="Arial"/>
                <w:sz w:val="18"/>
                <w:szCs w:val="18"/>
              </w:rPr>
            </w:pPr>
            <w:r w:rsidRPr="009324A4">
              <w:rPr>
                <w:rFonts w:ascii="Arial" w:hAnsi="Arial" w:cs="Arial"/>
                <w:sz w:val="18"/>
                <w:szCs w:val="18"/>
              </w:rPr>
              <w:t>No</w:t>
            </w:r>
          </w:p>
        </w:tc>
        <w:tc>
          <w:tcPr>
            <w:tcW w:w="1376" w:type="dxa"/>
          </w:tcPr>
          <w:p w14:paraId="297A78AA" w14:textId="77777777" w:rsidR="00FB50D8" w:rsidRPr="009324A4" w:rsidRDefault="00FB50D8" w:rsidP="000B6667">
            <w:pPr>
              <w:rPr>
                <w:rFonts w:ascii="Arial" w:hAnsi="Arial" w:cs="Arial"/>
                <w:sz w:val="18"/>
                <w:szCs w:val="18"/>
              </w:rPr>
            </w:pPr>
            <w:r w:rsidRPr="009324A4">
              <w:rPr>
                <w:rFonts w:ascii="Arial" w:hAnsi="Arial" w:cs="Arial"/>
                <w:sz w:val="18"/>
                <w:szCs w:val="18"/>
              </w:rPr>
              <w:t>Yes</w:t>
            </w:r>
          </w:p>
        </w:tc>
        <w:tc>
          <w:tcPr>
            <w:tcW w:w="1317" w:type="dxa"/>
          </w:tcPr>
          <w:p w14:paraId="5A73E97F" w14:textId="77777777" w:rsidR="00FB50D8" w:rsidRPr="009324A4" w:rsidRDefault="00FB50D8" w:rsidP="000B6667">
            <w:pPr>
              <w:rPr>
                <w:rFonts w:ascii="Arial" w:hAnsi="Arial" w:cs="Arial"/>
                <w:sz w:val="18"/>
                <w:szCs w:val="18"/>
              </w:rPr>
            </w:pPr>
            <w:r w:rsidRPr="009324A4">
              <w:rPr>
                <w:rFonts w:ascii="Arial" w:hAnsi="Arial" w:cs="Arial"/>
                <w:sz w:val="18"/>
                <w:szCs w:val="18"/>
              </w:rPr>
              <w:t>Yes</w:t>
            </w:r>
          </w:p>
        </w:tc>
        <w:tc>
          <w:tcPr>
            <w:tcW w:w="1735" w:type="dxa"/>
          </w:tcPr>
          <w:p w14:paraId="2BD1A1E0" w14:textId="77777777" w:rsidR="00FB50D8" w:rsidRPr="009324A4" w:rsidRDefault="00FB50D8" w:rsidP="000B6667">
            <w:pPr>
              <w:rPr>
                <w:rFonts w:ascii="Arial" w:hAnsi="Arial" w:cs="Arial"/>
                <w:bCs/>
                <w:kern w:val="32"/>
                <w:sz w:val="18"/>
                <w:szCs w:val="18"/>
              </w:rPr>
            </w:pPr>
            <w:r w:rsidRPr="009324A4">
              <w:rPr>
                <w:rFonts w:ascii="Arial" w:hAnsi="Arial" w:cs="Arial"/>
                <w:bCs/>
                <w:kern w:val="32"/>
                <w:sz w:val="18"/>
                <w:szCs w:val="18"/>
              </w:rPr>
              <w:t xml:space="preserve">BMC Health Services Research - </w:t>
            </w:r>
          </w:p>
          <w:p w14:paraId="243BE811" w14:textId="77777777" w:rsidR="00FB50D8" w:rsidRPr="009324A4" w:rsidRDefault="00FB50D8" w:rsidP="000B6667">
            <w:pPr>
              <w:rPr>
                <w:rFonts w:ascii="Arial" w:hAnsi="Arial" w:cs="Arial"/>
                <w:sz w:val="18"/>
                <w:szCs w:val="18"/>
              </w:rPr>
            </w:pPr>
            <w:r w:rsidRPr="009324A4">
              <w:rPr>
                <w:rFonts w:ascii="Arial" w:hAnsi="Arial" w:cs="Arial"/>
                <w:bCs/>
                <w:kern w:val="32"/>
                <w:sz w:val="18"/>
                <w:szCs w:val="18"/>
              </w:rPr>
              <w:t>Author can archive publisher’s version/PDF</w:t>
            </w:r>
          </w:p>
        </w:tc>
      </w:tr>
      <w:tr w:rsidR="00FB50D8" w14:paraId="044D1A29" w14:textId="77777777" w:rsidTr="000D3997">
        <w:tc>
          <w:tcPr>
            <w:tcW w:w="2093" w:type="dxa"/>
          </w:tcPr>
          <w:p w14:paraId="7ACAA746" w14:textId="77777777" w:rsidR="00FB50D8" w:rsidRPr="00F10D66" w:rsidRDefault="00FB50D8" w:rsidP="00787837">
            <w:pPr>
              <w:rPr>
                <w:rFonts w:ascii="Arial" w:hAnsi="Arial" w:cs="Arial"/>
                <w:sz w:val="18"/>
                <w:szCs w:val="18"/>
              </w:rPr>
            </w:pPr>
            <w:r w:rsidRPr="00F10D66">
              <w:rPr>
                <w:rFonts w:ascii="Arial" w:hAnsi="Arial" w:cs="Arial"/>
                <w:sz w:val="18"/>
                <w:szCs w:val="18"/>
              </w:rPr>
              <w:t xml:space="preserve">Note: </w:t>
            </w:r>
            <w:r>
              <w:rPr>
                <w:rFonts w:ascii="Arial" w:hAnsi="Arial" w:cs="Arial"/>
                <w:sz w:val="18"/>
                <w:szCs w:val="18"/>
              </w:rPr>
              <w:t xml:space="preserve">Publication 4, referred to in the text, is not included </w:t>
            </w:r>
            <w:r w:rsidR="00787837">
              <w:rPr>
                <w:rFonts w:ascii="Arial" w:hAnsi="Arial" w:cs="Arial"/>
                <w:sz w:val="18"/>
                <w:szCs w:val="18"/>
              </w:rPr>
              <w:t>in this eThesis</w:t>
            </w:r>
            <w:r>
              <w:rPr>
                <w:rFonts w:ascii="Arial" w:hAnsi="Arial" w:cs="Arial"/>
                <w:sz w:val="18"/>
                <w:szCs w:val="18"/>
              </w:rPr>
              <w:t xml:space="preserve"> because one author could not be contacted</w:t>
            </w:r>
          </w:p>
        </w:tc>
        <w:tc>
          <w:tcPr>
            <w:tcW w:w="850" w:type="dxa"/>
          </w:tcPr>
          <w:p w14:paraId="4B801C45" w14:textId="77777777" w:rsidR="00FB50D8" w:rsidRPr="009324A4" w:rsidRDefault="00FB50D8" w:rsidP="000B6667">
            <w:pPr>
              <w:rPr>
                <w:rFonts w:cs="Arial"/>
                <w:b/>
                <w:sz w:val="18"/>
                <w:szCs w:val="18"/>
              </w:rPr>
            </w:pPr>
          </w:p>
        </w:tc>
        <w:tc>
          <w:tcPr>
            <w:tcW w:w="1418" w:type="dxa"/>
          </w:tcPr>
          <w:p w14:paraId="0CC95604" w14:textId="77777777" w:rsidR="00FB50D8" w:rsidRPr="009324A4" w:rsidRDefault="00FB50D8" w:rsidP="000B6667">
            <w:pPr>
              <w:rPr>
                <w:rFonts w:cs="Arial"/>
                <w:sz w:val="18"/>
                <w:szCs w:val="18"/>
              </w:rPr>
            </w:pPr>
          </w:p>
        </w:tc>
        <w:tc>
          <w:tcPr>
            <w:tcW w:w="1376" w:type="dxa"/>
          </w:tcPr>
          <w:p w14:paraId="22F58DDA" w14:textId="77777777" w:rsidR="00FB50D8" w:rsidRPr="009324A4" w:rsidRDefault="00FB50D8" w:rsidP="000B6667">
            <w:pPr>
              <w:rPr>
                <w:rFonts w:cs="Arial"/>
                <w:sz w:val="18"/>
                <w:szCs w:val="18"/>
              </w:rPr>
            </w:pPr>
          </w:p>
        </w:tc>
        <w:tc>
          <w:tcPr>
            <w:tcW w:w="1317" w:type="dxa"/>
          </w:tcPr>
          <w:p w14:paraId="414FB917" w14:textId="77777777" w:rsidR="00FB50D8" w:rsidRPr="009324A4" w:rsidRDefault="00FB50D8" w:rsidP="000B6667">
            <w:pPr>
              <w:rPr>
                <w:rFonts w:cs="Arial"/>
                <w:sz w:val="18"/>
                <w:szCs w:val="18"/>
              </w:rPr>
            </w:pPr>
          </w:p>
        </w:tc>
        <w:tc>
          <w:tcPr>
            <w:tcW w:w="1735" w:type="dxa"/>
          </w:tcPr>
          <w:p w14:paraId="2A7C797B" w14:textId="77777777" w:rsidR="00FB50D8" w:rsidRPr="009324A4" w:rsidRDefault="00FB50D8" w:rsidP="000B6667">
            <w:pPr>
              <w:rPr>
                <w:rFonts w:cs="Arial"/>
                <w:sz w:val="18"/>
                <w:szCs w:val="18"/>
              </w:rPr>
            </w:pPr>
          </w:p>
        </w:tc>
      </w:tr>
      <w:tr w:rsidR="00FB50D8" w14:paraId="04484D6C" w14:textId="77777777" w:rsidTr="000D3997">
        <w:tc>
          <w:tcPr>
            <w:tcW w:w="2093" w:type="dxa"/>
          </w:tcPr>
          <w:p w14:paraId="1CF14C65" w14:textId="77777777" w:rsidR="00FB50D8" w:rsidRPr="009324A4" w:rsidRDefault="00FB50D8" w:rsidP="000B6667">
            <w:pPr>
              <w:rPr>
                <w:rFonts w:ascii="Arial" w:hAnsi="Arial" w:cs="Arial"/>
                <w:sz w:val="18"/>
                <w:szCs w:val="18"/>
              </w:rPr>
            </w:pPr>
            <w:r w:rsidRPr="009324A4">
              <w:rPr>
                <w:rFonts w:ascii="Arial" w:hAnsi="Arial" w:cs="Arial"/>
                <w:sz w:val="18"/>
                <w:szCs w:val="18"/>
              </w:rPr>
              <w:t>Comparison of case note review methods for evaluating quality and safety in health care. Health Technology  Assessment.  2010</w:t>
            </w:r>
          </w:p>
        </w:tc>
        <w:tc>
          <w:tcPr>
            <w:tcW w:w="850" w:type="dxa"/>
          </w:tcPr>
          <w:p w14:paraId="700C8CB0" w14:textId="77777777" w:rsidR="00FB50D8" w:rsidRPr="009324A4" w:rsidRDefault="00FB50D8" w:rsidP="000B6667">
            <w:pPr>
              <w:rPr>
                <w:rFonts w:ascii="Arial" w:hAnsi="Arial" w:cs="Arial"/>
                <w:sz w:val="18"/>
                <w:szCs w:val="18"/>
              </w:rPr>
            </w:pPr>
            <w:r w:rsidRPr="009324A4">
              <w:rPr>
                <w:rFonts w:ascii="Arial" w:hAnsi="Arial" w:cs="Arial"/>
                <w:b/>
                <w:sz w:val="18"/>
                <w:szCs w:val="18"/>
              </w:rPr>
              <w:t>1</w:t>
            </w:r>
            <w:r w:rsidRPr="009324A4">
              <w:rPr>
                <w:rFonts w:ascii="Arial" w:hAnsi="Arial" w:cs="Arial"/>
                <w:b/>
                <w:sz w:val="18"/>
                <w:szCs w:val="18"/>
                <w:vertAlign w:val="superscript"/>
              </w:rPr>
              <w:t>st</w:t>
            </w:r>
            <w:r w:rsidRPr="009324A4">
              <w:rPr>
                <w:rFonts w:ascii="Arial" w:hAnsi="Arial" w:cs="Arial"/>
                <w:sz w:val="18"/>
                <w:szCs w:val="18"/>
              </w:rPr>
              <w:t xml:space="preserve"> of 11 authors</w:t>
            </w:r>
          </w:p>
        </w:tc>
        <w:tc>
          <w:tcPr>
            <w:tcW w:w="1418" w:type="dxa"/>
          </w:tcPr>
          <w:p w14:paraId="2C7E3F83" w14:textId="77777777" w:rsidR="00FB50D8" w:rsidRPr="009324A4" w:rsidRDefault="00FB50D8" w:rsidP="000B6667">
            <w:pPr>
              <w:rPr>
                <w:rFonts w:ascii="Arial" w:hAnsi="Arial" w:cs="Arial"/>
                <w:sz w:val="18"/>
                <w:szCs w:val="18"/>
              </w:rPr>
            </w:pPr>
            <w:r w:rsidRPr="009324A4">
              <w:rPr>
                <w:rFonts w:ascii="Arial" w:hAnsi="Arial" w:cs="Arial"/>
                <w:sz w:val="18"/>
                <w:szCs w:val="18"/>
              </w:rPr>
              <w:t>Yes</w:t>
            </w:r>
          </w:p>
        </w:tc>
        <w:tc>
          <w:tcPr>
            <w:tcW w:w="1376" w:type="dxa"/>
          </w:tcPr>
          <w:p w14:paraId="02575CEF" w14:textId="77777777" w:rsidR="00FB50D8" w:rsidRPr="009324A4" w:rsidRDefault="00FB50D8" w:rsidP="000B6667">
            <w:pPr>
              <w:rPr>
                <w:rFonts w:ascii="Arial" w:hAnsi="Arial" w:cs="Arial"/>
                <w:sz w:val="18"/>
                <w:szCs w:val="18"/>
              </w:rPr>
            </w:pPr>
            <w:r w:rsidRPr="009324A4">
              <w:rPr>
                <w:rFonts w:ascii="Arial" w:hAnsi="Arial" w:cs="Arial"/>
                <w:sz w:val="18"/>
                <w:szCs w:val="18"/>
              </w:rPr>
              <w:t>N/A</w:t>
            </w:r>
          </w:p>
        </w:tc>
        <w:tc>
          <w:tcPr>
            <w:tcW w:w="1317" w:type="dxa"/>
          </w:tcPr>
          <w:p w14:paraId="6C94F638" w14:textId="77777777" w:rsidR="00FB50D8" w:rsidRPr="009324A4" w:rsidRDefault="00FB50D8" w:rsidP="000B6667">
            <w:pPr>
              <w:rPr>
                <w:rFonts w:ascii="Arial" w:hAnsi="Arial" w:cs="Arial"/>
                <w:sz w:val="18"/>
                <w:szCs w:val="18"/>
              </w:rPr>
            </w:pPr>
            <w:r w:rsidRPr="009324A4">
              <w:rPr>
                <w:rFonts w:ascii="Arial" w:hAnsi="Arial" w:cs="Arial"/>
                <w:sz w:val="18"/>
                <w:szCs w:val="18"/>
              </w:rPr>
              <w:t>Yes</w:t>
            </w:r>
          </w:p>
        </w:tc>
        <w:tc>
          <w:tcPr>
            <w:tcW w:w="1735" w:type="dxa"/>
          </w:tcPr>
          <w:p w14:paraId="29B6A16F" w14:textId="77777777" w:rsidR="00FB50D8" w:rsidRPr="009324A4" w:rsidRDefault="00FB50D8" w:rsidP="000B6667">
            <w:pPr>
              <w:rPr>
                <w:rFonts w:ascii="Arial" w:hAnsi="Arial" w:cs="Arial"/>
                <w:sz w:val="18"/>
                <w:szCs w:val="18"/>
              </w:rPr>
            </w:pPr>
            <w:r w:rsidRPr="009324A4">
              <w:rPr>
                <w:rFonts w:ascii="Arial" w:hAnsi="Arial" w:cs="Arial"/>
                <w:sz w:val="18"/>
                <w:szCs w:val="18"/>
              </w:rPr>
              <w:t xml:space="preserve">Health Technology  Assessment -  </w:t>
            </w:r>
          </w:p>
          <w:p w14:paraId="5E5BD6B2" w14:textId="77777777" w:rsidR="00FB50D8" w:rsidRPr="009324A4" w:rsidRDefault="00FB50D8" w:rsidP="000B6667">
            <w:pPr>
              <w:rPr>
                <w:rFonts w:ascii="Arial" w:hAnsi="Arial" w:cs="Arial"/>
                <w:sz w:val="18"/>
                <w:szCs w:val="18"/>
              </w:rPr>
            </w:pPr>
            <w:r w:rsidRPr="009324A4">
              <w:rPr>
                <w:rFonts w:ascii="Arial" w:hAnsi="Arial" w:cs="Arial"/>
                <w:bCs/>
                <w:kern w:val="32"/>
                <w:sz w:val="18"/>
                <w:szCs w:val="18"/>
              </w:rPr>
              <w:t>Author can archive publisher’s version/PDF</w:t>
            </w:r>
          </w:p>
        </w:tc>
      </w:tr>
      <w:tr w:rsidR="00FB50D8" w14:paraId="33928684" w14:textId="77777777" w:rsidTr="000D3997">
        <w:tc>
          <w:tcPr>
            <w:tcW w:w="2093" w:type="dxa"/>
          </w:tcPr>
          <w:p w14:paraId="64CEEB25" w14:textId="77777777" w:rsidR="00FB50D8" w:rsidRPr="009324A4" w:rsidRDefault="00FB50D8" w:rsidP="000B6667">
            <w:pPr>
              <w:rPr>
                <w:rFonts w:ascii="Arial" w:hAnsi="Arial" w:cs="Arial"/>
                <w:sz w:val="18"/>
                <w:szCs w:val="18"/>
              </w:rPr>
            </w:pPr>
            <w:r w:rsidRPr="009324A4">
              <w:rPr>
                <w:rFonts w:ascii="Arial" w:hAnsi="Arial" w:cs="Arial"/>
                <w:sz w:val="18"/>
                <w:szCs w:val="18"/>
              </w:rPr>
              <w:t>A structured judgement method to enhance mortality case note review: development and evaluation. BMJ Quality and Safety. 2013</w:t>
            </w:r>
          </w:p>
        </w:tc>
        <w:tc>
          <w:tcPr>
            <w:tcW w:w="850" w:type="dxa"/>
          </w:tcPr>
          <w:p w14:paraId="711FCC25" w14:textId="77777777" w:rsidR="00FB50D8" w:rsidRPr="009324A4" w:rsidRDefault="00FB50D8" w:rsidP="000B6667">
            <w:pPr>
              <w:rPr>
                <w:rFonts w:ascii="Arial" w:hAnsi="Arial" w:cs="Arial"/>
                <w:sz w:val="18"/>
                <w:szCs w:val="18"/>
              </w:rPr>
            </w:pPr>
            <w:r w:rsidRPr="009324A4">
              <w:rPr>
                <w:rFonts w:ascii="Arial" w:hAnsi="Arial" w:cs="Arial"/>
                <w:b/>
                <w:sz w:val="18"/>
                <w:szCs w:val="18"/>
              </w:rPr>
              <w:t>1</w:t>
            </w:r>
            <w:r w:rsidRPr="009324A4">
              <w:rPr>
                <w:rFonts w:ascii="Arial" w:hAnsi="Arial" w:cs="Arial"/>
                <w:b/>
                <w:sz w:val="18"/>
                <w:szCs w:val="18"/>
                <w:vertAlign w:val="superscript"/>
              </w:rPr>
              <w:t>st</w:t>
            </w:r>
            <w:r w:rsidRPr="009324A4">
              <w:rPr>
                <w:rFonts w:ascii="Arial" w:hAnsi="Arial" w:cs="Arial"/>
                <w:sz w:val="18"/>
                <w:szCs w:val="18"/>
              </w:rPr>
              <w:t xml:space="preserve"> of 6 authors</w:t>
            </w:r>
          </w:p>
        </w:tc>
        <w:tc>
          <w:tcPr>
            <w:tcW w:w="1418" w:type="dxa"/>
          </w:tcPr>
          <w:p w14:paraId="6BE7A23F" w14:textId="77777777" w:rsidR="00FB50D8" w:rsidRPr="009324A4" w:rsidRDefault="00FB50D8" w:rsidP="000B6667">
            <w:pPr>
              <w:rPr>
                <w:rFonts w:ascii="Arial" w:hAnsi="Arial" w:cs="Arial"/>
                <w:sz w:val="18"/>
                <w:szCs w:val="18"/>
              </w:rPr>
            </w:pPr>
            <w:r w:rsidRPr="009324A4">
              <w:rPr>
                <w:rFonts w:ascii="Arial" w:hAnsi="Arial" w:cs="Arial"/>
                <w:sz w:val="18"/>
                <w:szCs w:val="18"/>
              </w:rPr>
              <w:t>Yes</w:t>
            </w:r>
          </w:p>
        </w:tc>
        <w:tc>
          <w:tcPr>
            <w:tcW w:w="1376" w:type="dxa"/>
          </w:tcPr>
          <w:p w14:paraId="30484000" w14:textId="77777777" w:rsidR="00FB50D8" w:rsidRPr="009324A4" w:rsidRDefault="00FB50D8" w:rsidP="000B6667">
            <w:pPr>
              <w:rPr>
                <w:rFonts w:ascii="Arial" w:hAnsi="Arial" w:cs="Arial"/>
                <w:sz w:val="18"/>
                <w:szCs w:val="18"/>
              </w:rPr>
            </w:pPr>
            <w:r w:rsidRPr="009324A4">
              <w:rPr>
                <w:rFonts w:ascii="Arial" w:hAnsi="Arial" w:cs="Arial"/>
                <w:sz w:val="18"/>
                <w:szCs w:val="18"/>
              </w:rPr>
              <w:t>N/A</w:t>
            </w:r>
          </w:p>
        </w:tc>
        <w:tc>
          <w:tcPr>
            <w:tcW w:w="1317" w:type="dxa"/>
          </w:tcPr>
          <w:p w14:paraId="5ECC163E" w14:textId="77777777" w:rsidR="00FB50D8" w:rsidRPr="009324A4" w:rsidRDefault="00FB50D8" w:rsidP="000B6667">
            <w:pPr>
              <w:rPr>
                <w:rFonts w:ascii="Arial" w:hAnsi="Arial" w:cs="Arial"/>
                <w:sz w:val="18"/>
                <w:szCs w:val="18"/>
              </w:rPr>
            </w:pPr>
            <w:r w:rsidRPr="009324A4">
              <w:rPr>
                <w:rFonts w:ascii="Arial" w:hAnsi="Arial" w:cs="Arial"/>
                <w:sz w:val="18"/>
                <w:szCs w:val="18"/>
              </w:rPr>
              <w:t>Yes</w:t>
            </w:r>
          </w:p>
        </w:tc>
        <w:tc>
          <w:tcPr>
            <w:tcW w:w="1735" w:type="dxa"/>
          </w:tcPr>
          <w:p w14:paraId="567E24FC" w14:textId="77777777" w:rsidR="00FB50D8" w:rsidRPr="009324A4" w:rsidRDefault="00FB50D8" w:rsidP="000B6667">
            <w:pPr>
              <w:rPr>
                <w:rFonts w:ascii="Arial" w:hAnsi="Arial" w:cs="Arial"/>
                <w:sz w:val="18"/>
                <w:szCs w:val="18"/>
              </w:rPr>
            </w:pPr>
            <w:r w:rsidRPr="009324A4">
              <w:rPr>
                <w:rFonts w:ascii="Arial" w:hAnsi="Arial" w:cs="Arial"/>
                <w:sz w:val="18"/>
                <w:szCs w:val="18"/>
              </w:rPr>
              <w:t>BMJ Quality and Safety -</w:t>
            </w:r>
          </w:p>
          <w:p w14:paraId="405DB6EE" w14:textId="77777777" w:rsidR="00FB50D8" w:rsidRPr="009324A4" w:rsidRDefault="00FB50D8" w:rsidP="000B6667">
            <w:pPr>
              <w:rPr>
                <w:rFonts w:ascii="Arial" w:hAnsi="Arial" w:cs="Arial"/>
                <w:sz w:val="18"/>
                <w:szCs w:val="18"/>
              </w:rPr>
            </w:pPr>
            <w:r w:rsidRPr="009324A4">
              <w:rPr>
                <w:rFonts w:ascii="Arial" w:hAnsi="Arial" w:cs="Arial"/>
                <w:sz w:val="18"/>
                <w:szCs w:val="18"/>
              </w:rPr>
              <w:t>Author can archive post print (final draft post-refereeing)</w:t>
            </w:r>
          </w:p>
          <w:p w14:paraId="663FAB11" w14:textId="77777777" w:rsidR="00FB50D8" w:rsidRPr="009324A4" w:rsidRDefault="00FB50D8" w:rsidP="000B6667">
            <w:pPr>
              <w:rPr>
                <w:rFonts w:ascii="Arial" w:hAnsi="Arial" w:cs="Arial"/>
                <w:sz w:val="18"/>
                <w:szCs w:val="18"/>
              </w:rPr>
            </w:pPr>
          </w:p>
        </w:tc>
      </w:tr>
    </w:tbl>
    <w:p w14:paraId="173F398B" w14:textId="77777777" w:rsidR="00FB50D8" w:rsidRDefault="00FB50D8" w:rsidP="00C646D5">
      <w:pPr>
        <w:rPr>
          <w:sz w:val="20"/>
          <w:szCs w:val="20"/>
        </w:rPr>
      </w:pPr>
    </w:p>
    <w:p w14:paraId="6F8F36D3" w14:textId="77777777" w:rsidR="00FB50D8" w:rsidRDefault="00FB50D8" w:rsidP="00C646D5">
      <w:pPr>
        <w:rPr>
          <w:b/>
          <w:sz w:val="28"/>
          <w:szCs w:val="28"/>
        </w:rPr>
      </w:pPr>
      <w:r w:rsidRPr="00774329">
        <w:rPr>
          <w:sz w:val="20"/>
          <w:szCs w:val="20"/>
        </w:rPr>
        <w:t xml:space="preserve">Publisher copyright policies are those </w:t>
      </w:r>
      <w:r>
        <w:rPr>
          <w:sz w:val="20"/>
          <w:szCs w:val="20"/>
        </w:rPr>
        <w:t>available on</w:t>
      </w:r>
      <w:r w:rsidRPr="00774329">
        <w:rPr>
          <w:sz w:val="20"/>
          <w:szCs w:val="20"/>
        </w:rPr>
        <w:t xml:space="preserve"> the RoMEO publisher copyright and self-archiving database accessed 12/10/13 at </w:t>
      </w:r>
      <w:hyperlink r:id="rId8" w:history="1">
        <w:r w:rsidRPr="00774329">
          <w:rPr>
            <w:rStyle w:val="Hyperlink"/>
            <w:sz w:val="20"/>
            <w:szCs w:val="20"/>
          </w:rPr>
          <w:t>http://www.sherpa.ac.uk/romeo/search.php</w:t>
        </w:r>
      </w:hyperlink>
      <w:r>
        <w:t xml:space="preserve">  </w:t>
      </w:r>
      <w:r w:rsidRPr="00774329">
        <w:rPr>
          <w:sz w:val="20"/>
          <w:szCs w:val="20"/>
        </w:rPr>
        <w:t>A record of all co-author permissions is available to view in a separate file</w:t>
      </w:r>
      <w:r>
        <w:rPr>
          <w:sz w:val="20"/>
          <w:szCs w:val="20"/>
        </w:rPr>
        <w:t xml:space="preserve"> on request to the author at </w:t>
      </w:r>
      <w:hyperlink r:id="rId9" w:history="1">
        <w:r w:rsidRPr="00B44004">
          <w:rPr>
            <w:rStyle w:val="Hyperlink"/>
            <w:sz w:val="20"/>
            <w:szCs w:val="20"/>
          </w:rPr>
          <w:t>allen.hutchinson@sheffield.ac.uk</w:t>
        </w:r>
      </w:hyperlink>
    </w:p>
    <w:p w14:paraId="643738BB" w14:textId="77777777" w:rsidR="00FB50D8" w:rsidRDefault="00FB50D8" w:rsidP="00C646D5">
      <w:pPr>
        <w:rPr>
          <w:b/>
          <w:sz w:val="28"/>
          <w:szCs w:val="28"/>
        </w:rPr>
      </w:pPr>
    </w:p>
    <w:p w14:paraId="35885658" w14:textId="77777777" w:rsidR="00C646D5" w:rsidRDefault="00C646D5" w:rsidP="00C646D5">
      <w:pPr>
        <w:rPr>
          <w:b/>
          <w:sz w:val="28"/>
          <w:szCs w:val="28"/>
        </w:rPr>
      </w:pPr>
      <w:r>
        <w:rPr>
          <w:b/>
          <w:sz w:val="28"/>
          <w:szCs w:val="28"/>
        </w:rPr>
        <w:t xml:space="preserve">Acknowledgements </w:t>
      </w:r>
    </w:p>
    <w:p w14:paraId="4A6543D6" w14:textId="77777777" w:rsidR="00C646D5" w:rsidRPr="00C646D5" w:rsidRDefault="00C646D5" w:rsidP="00C646D5">
      <w:pPr>
        <w:spacing w:line="360" w:lineRule="auto"/>
        <w:rPr>
          <w:sz w:val="22"/>
          <w:szCs w:val="22"/>
        </w:rPr>
      </w:pPr>
      <w:r w:rsidRPr="00C646D5">
        <w:rPr>
          <w:sz w:val="22"/>
          <w:szCs w:val="22"/>
        </w:rPr>
        <w:lastRenderedPageBreak/>
        <w:t xml:space="preserve">I wish here to thank those who have supported me through the process of writing this thesis. </w:t>
      </w:r>
    </w:p>
    <w:p w14:paraId="29E848BA" w14:textId="77777777" w:rsidR="00C646D5" w:rsidRPr="00C646D5" w:rsidRDefault="00C646D5" w:rsidP="00C646D5">
      <w:pPr>
        <w:spacing w:line="360" w:lineRule="auto"/>
        <w:rPr>
          <w:sz w:val="22"/>
          <w:szCs w:val="22"/>
        </w:rPr>
      </w:pPr>
      <w:r w:rsidRPr="00C646D5">
        <w:rPr>
          <w:sz w:val="22"/>
          <w:szCs w:val="22"/>
        </w:rPr>
        <w:t>My family have been supportive from the moment they heard that I was considering the submission of a thesis. When I have missed family events because of the task ahead it has all been taken in good heart.  Very special thanks are due to my wife, Christine, for her constant support and encouragement.</w:t>
      </w:r>
    </w:p>
    <w:p w14:paraId="4F3AD532" w14:textId="77777777" w:rsidR="00C646D5" w:rsidRPr="00C646D5" w:rsidRDefault="00C646D5" w:rsidP="00C646D5">
      <w:pPr>
        <w:spacing w:line="360" w:lineRule="auto"/>
        <w:rPr>
          <w:sz w:val="22"/>
          <w:szCs w:val="22"/>
        </w:rPr>
      </w:pPr>
      <w:r w:rsidRPr="00C646D5">
        <w:rPr>
          <w:sz w:val="22"/>
          <w:szCs w:val="22"/>
        </w:rPr>
        <w:t xml:space="preserve">Colleagues in ScHARR have also given me support and encouragement, especially those who have taken the PhD by Publication path before me. Finally, of course, I must thank Professor Suzanne Mason, who has been my mentor, supporter, reader of many drafts and generous of her time. </w:t>
      </w:r>
    </w:p>
    <w:p w14:paraId="1F11BFE6" w14:textId="77777777" w:rsidR="00C646D5" w:rsidRDefault="00C646D5" w:rsidP="00C646D5">
      <w:pPr>
        <w:spacing w:line="360" w:lineRule="auto"/>
      </w:pPr>
    </w:p>
    <w:p w14:paraId="06FBA124" w14:textId="77777777" w:rsidR="00C646D5" w:rsidRDefault="00C646D5" w:rsidP="00C646D5">
      <w:pPr>
        <w:spacing w:line="360" w:lineRule="auto"/>
      </w:pPr>
    </w:p>
    <w:p w14:paraId="7E619999" w14:textId="77777777" w:rsidR="00C646D5" w:rsidRDefault="00C646D5" w:rsidP="00C646D5">
      <w:pPr>
        <w:spacing w:line="360" w:lineRule="auto"/>
      </w:pPr>
    </w:p>
    <w:p w14:paraId="014E7347" w14:textId="77777777" w:rsidR="00C646D5" w:rsidRDefault="00C646D5" w:rsidP="00C646D5">
      <w:pPr>
        <w:rPr>
          <w:b/>
          <w:sz w:val="28"/>
          <w:szCs w:val="28"/>
        </w:rPr>
      </w:pPr>
      <w:r>
        <w:rPr>
          <w:b/>
          <w:sz w:val="28"/>
          <w:szCs w:val="28"/>
        </w:rPr>
        <w:br w:type="page"/>
      </w:r>
    </w:p>
    <w:p w14:paraId="39A92576" w14:textId="77777777" w:rsidR="00C646D5" w:rsidRDefault="00C646D5" w:rsidP="00C646D5">
      <w:pPr>
        <w:rPr>
          <w:b/>
          <w:sz w:val="28"/>
          <w:szCs w:val="28"/>
        </w:rPr>
      </w:pPr>
      <w:r w:rsidRPr="00163C9F">
        <w:rPr>
          <w:b/>
          <w:sz w:val="28"/>
          <w:szCs w:val="28"/>
        </w:rPr>
        <w:lastRenderedPageBreak/>
        <w:t>E</w:t>
      </w:r>
      <w:r>
        <w:rPr>
          <w:b/>
          <w:sz w:val="28"/>
          <w:szCs w:val="28"/>
        </w:rPr>
        <w:t xml:space="preserve">xploring </w:t>
      </w:r>
      <w:r w:rsidRPr="00163C9F">
        <w:rPr>
          <w:b/>
          <w:sz w:val="28"/>
          <w:szCs w:val="28"/>
        </w:rPr>
        <w:t>safety</w:t>
      </w:r>
      <w:r>
        <w:rPr>
          <w:b/>
          <w:sz w:val="28"/>
          <w:szCs w:val="28"/>
        </w:rPr>
        <w:t>, quality</w:t>
      </w:r>
      <w:r w:rsidRPr="00163C9F">
        <w:rPr>
          <w:b/>
          <w:sz w:val="28"/>
          <w:szCs w:val="28"/>
        </w:rPr>
        <w:t xml:space="preserve"> and resilience in health care</w:t>
      </w:r>
    </w:p>
    <w:p w14:paraId="290F0253" w14:textId="77777777" w:rsidR="00C646D5" w:rsidRDefault="00C646D5" w:rsidP="00C646D5">
      <w:pPr>
        <w:rPr>
          <w:b/>
          <w:sz w:val="28"/>
          <w:szCs w:val="28"/>
        </w:rPr>
      </w:pPr>
    </w:p>
    <w:p w14:paraId="3FD90305" w14:textId="77777777" w:rsidR="00C646D5" w:rsidRPr="00F76E73" w:rsidRDefault="00C646D5" w:rsidP="00C646D5">
      <w:pPr>
        <w:rPr>
          <w:sz w:val="28"/>
          <w:szCs w:val="28"/>
        </w:rPr>
      </w:pPr>
      <w:r w:rsidRPr="00EF1DF7">
        <w:rPr>
          <w:b/>
          <w:sz w:val="28"/>
          <w:szCs w:val="28"/>
        </w:rPr>
        <w:t>Abstract</w:t>
      </w:r>
      <w:r w:rsidRPr="00F76E73">
        <w:rPr>
          <w:sz w:val="28"/>
          <w:szCs w:val="28"/>
        </w:rPr>
        <w:t xml:space="preserve"> </w:t>
      </w:r>
    </w:p>
    <w:p w14:paraId="03559AA1" w14:textId="77777777" w:rsidR="00C646D5" w:rsidRPr="00C646D5" w:rsidRDefault="009F1BC4" w:rsidP="00C646D5">
      <w:pPr>
        <w:spacing w:line="360" w:lineRule="auto"/>
        <w:rPr>
          <w:sz w:val="22"/>
          <w:szCs w:val="22"/>
        </w:rPr>
      </w:pPr>
      <w:r>
        <w:rPr>
          <w:sz w:val="22"/>
          <w:szCs w:val="22"/>
        </w:rPr>
        <w:t>T</w:t>
      </w:r>
      <w:r w:rsidR="00C646D5" w:rsidRPr="00C646D5">
        <w:rPr>
          <w:sz w:val="22"/>
          <w:szCs w:val="22"/>
        </w:rPr>
        <w:t>here still appears to be much to do to make the National Health Service in England a safer place for patients. Hospitals, in particular, are complex organisations in which staff and processes are under the twin simultaneous demands of an increasingly aged society and severe financial constraints</w:t>
      </w:r>
      <w:r>
        <w:rPr>
          <w:sz w:val="22"/>
          <w:szCs w:val="22"/>
        </w:rPr>
        <w:t>.</w:t>
      </w:r>
      <w:r w:rsidR="00C646D5" w:rsidRPr="00C646D5">
        <w:rPr>
          <w:sz w:val="22"/>
          <w:szCs w:val="22"/>
        </w:rPr>
        <w:t xml:space="preserve"> While much health care is well delivered, there remains a need to predict, and to explore, where and why problems occur.  This thesis presents work which has refined methods and tools that can be used at health system and organisation levels to explore some key safety and quality issues in health care.   </w:t>
      </w:r>
    </w:p>
    <w:p w14:paraId="0619D4BB" w14:textId="77777777" w:rsidR="00C646D5" w:rsidRPr="00C646D5" w:rsidRDefault="00C646D5" w:rsidP="00C646D5">
      <w:pPr>
        <w:spacing w:line="360" w:lineRule="auto"/>
        <w:rPr>
          <w:sz w:val="22"/>
          <w:szCs w:val="22"/>
        </w:rPr>
      </w:pPr>
      <w:r w:rsidRPr="00C646D5">
        <w:rPr>
          <w:sz w:val="22"/>
          <w:szCs w:val="22"/>
        </w:rPr>
        <w:t>The six publications presented and discussed her</w:t>
      </w:r>
      <w:r w:rsidR="00414D50">
        <w:rPr>
          <w:sz w:val="22"/>
          <w:szCs w:val="22"/>
        </w:rPr>
        <w:t>e were published during a</w:t>
      </w:r>
      <w:r w:rsidR="009F1BC4">
        <w:rPr>
          <w:sz w:val="22"/>
          <w:szCs w:val="22"/>
        </w:rPr>
        <w:t xml:space="preserve"> seven</w:t>
      </w:r>
      <w:r w:rsidRPr="00C646D5">
        <w:rPr>
          <w:sz w:val="22"/>
          <w:szCs w:val="22"/>
        </w:rPr>
        <w:t xml:space="preserve"> year period </w:t>
      </w:r>
      <w:r w:rsidR="009F1BC4">
        <w:rPr>
          <w:sz w:val="22"/>
          <w:szCs w:val="22"/>
        </w:rPr>
        <w:t>between</w:t>
      </w:r>
      <w:r w:rsidRPr="00C646D5">
        <w:rPr>
          <w:sz w:val="22"/>
          <w:szCs w:val="22"/>
        </w:rPr>
        <w:t xml:space="preserve"> 2006 </w:t>
      </w:r>
      <w:r w:rsidR="00414D50">
        <w:rPr>
          <w:sz w:val="22"/>
          <w:szCs w:val="22"/>
        </w:rPr>
        <w:t>and</w:t>
      </w:r>
      <w:r w:rsidRPr="00C646D5">
        <w:rPr>
          <w:sz w:val="22"/>
          <w:szCs w:val="22"/>
        </w:rPr>
        <w:t xml:space="preserve"> 2013. They explore three important issues relating to safer health care – safety culture and incident reporting, prospective hazard analysis, and the use of improved case note review methods to evaluate the safety and quality of care in hospitals.</w:t>
      </w:r>
    </w:p>
    <w:p w14:paraId="2802ACED" w14:textId="77777777" w:rsidR="00C646D5" w:rsidRPr="00C646D5" w:rsidRDefault="00C646D5" w:rsidP="00C646D5">
      <w:pPr>
        <w:spacing w:line="360" w:lineRule="auto"/>
        <w:rPr>
          <w:sz w:val="22"/>
          <w:szCs w:val="22"/>
        </w:rPr>
      </w:pPr>
      <w:r w:rsidRPr="00C646D5">
        <w:rPr>
          <w:sz w:val="22"/>
          <w:szCs w:val="22"/>
        </w:rPr>
        <w:t xml:space="preserve">Two principal approaches to data access are presented in the publications. At the system and organisation level, information from large data sets was used to investigate the relationships between markers of safety and quality. At the health care provision level, data has been gathered about the work of health care professionals using mixed-methods approaches. </w:t>
      </w:r>
    </w:p>
    <w:p w14:paraId="09B0D346" w14:textId="77777777" w:rsidR="00C646D5" w:rsidRPr="00C646D5" w:rsidRDefault="00C646D5" w:rsidP="00C646D5">
      <w:pPr>
        <w:spacing w:line="360" w:lineRule="auto"/>
        <w:rPr>
          <w:sz w:val="22"/>
          <w:szCs w:val="22"/>
        </w:rPr>
      </w:pPr>
      <w:r w:rsidRPr="00C646D5">
        <w:rPr>
          <w:sz w:val="22"/>
          <w:szCs w:val="22"/>
        </w:rPr>
        <w:t xml:space="preserve">The publications are discussed across two inter-related concepts – healthcare safety and healthcare resilience. </w:t>
      </w:r>
      <w:r w:rsidR="00414D50">
        <w:rPr>
          <w:sz w:val="22"/>
          <w:szCs w:val="22"/>
        </w:rPr>
        <w:t>While the study of s</w:t>
      </w:r>
      <w:r w:rsidRPr="00C646D5">
        <w:rPr>
          <w:sz w:val="22"/>
          <w:szCs w:val="22"/>
        </w:rPr>
        <w:t xml:space="preserve">afer healthcare has a </w:t>
      </w:r>
      <w:r w:rsidR="009F1BC4">
        <w:rPr>
          <w:sz w:val="22"/>
          <w:szCs w:val="22"/>
        </w:rPr>
        <w:t>long history</w:t>
      </w:r>
      <w:r w:rsidRPr="00C646D5">
        <w:rPr>
          <w:sz w:val="22"/>
          <w:szCs w:val="22"/>
        </w:rPr>
        <w:t xml:space="preserve"> the concept of healthcare resilience is still being developed. Resilience is concerned with the way in which organisations and people can adjust and maintain their functioning in the face of challenge or adversity.  </w:t>
      </w:r>
      <w:r w:rsidR="00414D50">
        <w:rPr>
          <w:sz w:val="22"/>
          <w:szCs w:val="22"/>
        </w:rPr>
        <w:t xml:space="preserve">Although </w:t>
      </w:r>
      <w:r w:rsidRPr="00C646D5">
        <w:rPr>
          <w:sz w:val="22"/>
          <w:szCs w:val="22"/>
        </w:rPr>
        <w:t xml:space="preserve">the presented publications themselves do not explicitly consider research into resilience, this theme is used to reflect on the </w:t>
      </w:r>
      <w:r w:rsidR="00EE42E3">
        <w:rPr>
          <w:sz w:val="22"/>
          <w:szCs w:val="22"/>
        </w:rPr>
        <w:t xml:space="preserve">study </w:t>
      </w:r>
      <w:r w:rsidRPr="00C646D5">
        <w:rPr>
          <w:sz w:val="22"/>
          <w:szCs w:val="22"/>
        </w:rPr>
        <w:t>results</w:t>
      </w:r>
      <w:r w:rsidR="00EE42E3">
        <w:rPr>
          <w:sz w:val="22"/>
          <w:szCs w:val="22"/>
        </w:rPr>
        <w:t xml:space="preserve"> and their potential value to health services.</w:t>
      </w:r>
      <w:r w:rsidRPr="00C646D5">
        <w:rPr>
          <w:sz w:val="22"/>
          <w:szCs w:val="22"/>
        </w:rPr>
        <w:t xml:space="preserve"> </w:t>
      </w:r>
    </w:p>
    <w:p w14:paraId="5FA5C95E" w14:textId="77777777" w:rsidR="00C646D5" w:rsidRDefault="00C646D5" w:rsidP="00C646D5">
      <w:pPr>
        <w:spacing w:line="360" w:lineRule="auto"/>
        <w:rPr>
          <w:b/>
          <w:sz w:val="28"/>
          <w:szCs w:val="28"/>
        </w:rPr>
      </w:pPr>
      <w:r>
        <w:rPr>
          <w:b/>
          <w:sz w:val="28"/>
          <w:szCs w:val="28"/>
        </w:rPr>
        <w:br w:type="page"/>
      </w:r>
    </w:p>
    <w:p w14:paraId="762B0A0A" w14:textId="77777777" w:rsidR="00C646D5" w:rsidRDefault="00C646D5" w:rsidP="00C646D5">
      <w:pPr>
        <w:rPr>
          <w:b/>
          <w:sz w:val="28"/>
          <w:szCs w:val="28"/>
        </w:rPr>
      </w:pPr>
      <w:r w:rsidRPr="0027442A">
        <w:rPr>
          <w:b/>
          <w:sz w:val="28"/>
          <w:szCs w:val="28"/>
        </w:rPr>
        <w:lastRenderedPageBreak/>
        <w:t>Contents</w:t>
      </w:r>
      <w:r w:rsidRPr="00EF1DF7">
        <w:rPr>
          <w:b/>
          <w:sz w:val="28"/>
          <w:szCs w:val="28"/>
        </w:rPr>
        <w:t xml:space="preserve"> </w:t>
      </w:r>
    </w:p>
    <w:p w14:paraId="6C2D1B3D" w14:textId="77777777" w:rsidR="00C646D5" w:rsidRPr="00A12147" w:rsidRDefault="00C646D5" w:rsidP="00113A1D">
      <w:r>
        <w:rPr>
          <w:b/>
        </w:rPr>
        <w:t xml:space="preserve">  </w:t>
      </w:r>
      <w:r w:rsidR="00113A1D">
        <w:rPr>
          <w:b/>
        </w:rPr>
        <w:t xml:space="preserve">  </w:t>
      </w:r>
      <w:r w:rsidRPr="00A12147">
        <w:t>Abstract</w:t>
      </w:r>
    </w:p>
    <w:p w14:paraId="197AEBDF" w14:textId="77777777" w:rsidR="00C646D5" w:rsidRPr="00A12147" w:rsidRDefault="00C646D5" w:rsidP="00C646D5">
      <w:pPr>
        <w:spacing w:line="360" w:lineRule="auto"/>
      </w:pPr>
      <w:r w:rsidRPr="00A12147">
        <w:t>1. Introduction…………………………………………………………………</w:t>
      </w:r>
      <w:r w:rsidR="00273490">
        <w:t>.</w:t>
      </w:r>
      <w:r w:rsidRPr="00A12147">
        <w:t>.</w:t>
      </w:r>
      <w:r w:rsidR="00113A1D">
        <w:t>...</w:t>
      </w:r>
      <w:r w:rsidRPr="00A12147">
        <w:t>..</w:t>
      </w:r>
      <w:r w:rsidR="00683F78">
        <w:t>..</w:t>
      </w:r>
      <w:r w:rsidR="00E94813">
        <w:t>.</w:t>
      </w:r>
      <w:r w:rsidR="00183F6D">
        <w:t>...</w:t>
      </w:r>
      <w:r w:rsidR="00F9296D">
        <w:t>8</w:t>
      </w:r>
    </w:p>
    <w:p w14:paraId="1BB79578" w14:textId="77777777" w:rsidR="00C646D5" w:rsidRPr="00A12147" w:rsidRDefault="00C646D5" w:rsidP="00C646D5">
      <w:pPr>
        <w:spacing w:line="360" w:lineRule="auto"/>
        <w:ind w:left="720"/>
      </w:pPr>
      <w:r w:rsidRPr="00A12147">
        <w:t>1.1 The six presented publications…………………………………</w:t>
      </w:r>
      <w:r w:rsidR="00273490">
        <w:t>........</w:t>
      </w:r>
      <w:r w:rsidR="00683F78">
        <w:t>..</w:t>
      </w:r>
      <w:r w:rsidR="00E94813">
        <w:t>.</w:t>
      </w:r>
      <w:r w:rsidR="00183F6D">
        <w:t>...9</w:t>
      </w:r>
    </w:p>
    <w:p w14:paraId="6CEDCCB2" w14:textId="77777777" w:rsidR="00C646D5" w:rsidRPr="00A12147" w:rsidRDefault="00C646D5" w:rsidP="00C646D5">
      <w:pPr>
        <w:spacing w:line="360" w:lineRule="auto"/>
      </w:pPr>
      <w:r w:rsidRPr="00A12147">
        <w:t>2. Considerations of healthcare safety and resilience</w:t>
      </w:r>
      <w:r w:rsidR="00113A1D">
        <w:t>......</w:t>
      </w:r>
      <w:r w:rsidR="00273490">
        <w:t>.............................</w:t>
      </w:r>
      <w:r w:rsidR="00683F78">
        <w:t>..</w:t>
      </w:r>
      <w:r w:rsidR="00E94813">
        <w:t>...</w:t>
      </w:r>
      <w:r w:rsidR="00183F6D">
        <w:t>.10</w:t>
      </w:r>
    </w:p>
    <w:p w14:paraId="79D2BA07" w14:textId="77777777" w:rsidR="00C646D5" w:rsidRPr="00A12147" w:rsidRDefault="00C646D5" w:rsidP="00C646D5">
      <w:pPr>
        <w:tabs>
          <w:tab w:val="left" w:pos="8364"/>
        </w:tabs>
        <w:spacing w:line="360" w:lineRule="auto"/>
        <w:ind w:left="720"/>
      </w:pPr>
      <w:r w:rsidRPr="00A12147">
        <w:t>2.1 The emergence of safer health care concerns</w:t>
      </w:r>
      <w:r w:rsidR="002A300B" w:rsidRPr="00A12147">
        <w:t>………………</w:t>
      </w:r>
      <w:r w:rsidR="00273490">
        <w:t>.........</w:t>
      </w:r>
      <w:r w:rsidR="00683F78">
        <w:t>.</w:t>
      </w:r>
      <w:r w:rsidR="00E94813">
        <w:t>..</w:t>
      </w:r>
      <w:r w:rsidR="00183F6D">
        <w:t>.10</w:t>
      </w:r>
    </w:p>
    <w:p w14:paraId="24379801" w14:textId="77777777" w:rsidR="00C646D5" w:rsidRPr="00A12147" w:rsidRDefault="00C646D5" w:rsidP="00C646D5">
      <w:pPr>
        <w:spacing w:line="240" w:lineRule="auto"/>
        <w:ind w:left="720"/>
      </w:pPr>
      <w:r w:rsidRPr="00A12147">
        <w:t>2.2 Whose responsibility? From human error to organisational and human resilience…</w:t>
      </w:r>
      <w:r w:rsidR="008B33DA" w:rsidRPr="00A12147">
        <w:t>.................................................................</w:t>
      </w:r>
      <w:r w:rsidR="00113A1D">
        <w:t>...........</w:t>
      </w:r>
      <w:r w:rsidR="00683F78">
        <w:t>.</w:t>
      </w:r>
      <w:r w:rsidR="00113A1D">
        <w:t>.</w:t>
      </w:r>
      <w:r w:rsidR="00273490">
        <w:t>.</w:t>
      </w:r>
      <w:r w:rsidR="00E94813">
        <w:t>..............</w:t>
      </w:r>
      <w:r w:rsidR="00183F6D">
        <w:t>..11</w:t>
      </w:r>
    </w:p>
    <w:p w14:paraId="03CF22C7" w14:textId="77777777" w:rsidR="00C646D5" w:rsidRDefault="00C646D5" w:rsidP="00C646D5">
      <w:pPr>
        <w:tabs>
          <w:tab w:val="left" w:pos="8505"/>
        </w:tabs>
        <w:spacing w:line="360" w:lineRule="auto"/>
        <w:ind w:left="720"/>
      </w:pPr>
      <w:r w:rsidRPr="00A12147">
        <w:t>2.3 A changing, and more positive, concept of safety</w:t>
      </w:r>
      <w:r w:rsidR="008B33DA" w:rsidRPr="00A12147">
        <w:t>……</w:t>
      </w:r>
      <w:r w:rsidRPr="00A12147">
        <w:t>……</w:t>
      </w:r>
      <w:r w:rsidR="00113A1D">
        <w:t>..........</w:t>
      </w:r>
      <w:r w:rsidR="00E94813">
        <w:t>.</w:t>
      </w:r>
      <w:r w:rsidR="00683F78">
        <w:t>.</w:t>
      </w:r>
      <w:r w:rsidR="00E94813">
        <w:t>..</w:t>
      </w:r>
      <w:r w:rsidR="00183F6D">
        <w:t>..13</w:t>
      </w:r>
    </w:p>
    <w:p w14:paraId="3C75D98D" w14:textId="77777777" w:rsidR="00283240" w:rsidRPr="00A12147" w:rsidRDefault="00283240" w:rsidP="00C646D5">
      <w:pPr>
        <w:tabs>
          <w:tab w:val="left" w:pos="8505"/>
        </w:tabs>
        <w:spacing w:line="360" w:lineRule="auto"/>
        <w:ind w:left="720"/>
      </w:pPr>
      <w:r>
        <w:t>2.4 Presentation of the studies and publications</w:t>
      </w:r>
      <w:r w:rsidR="00183F6D">
        <w:t>.......................................13</w:t>
      </w:r>
    </w:p>
    <w:p w14:paraId="1027C4FA" w14:textId="77777777" w:rsidR="00C646D5" w:rsidRPr="00A12147" w:rsidRDefault="00C646D5" w:rsidP="00C646D5">
      <w:pPr>
        <w:spacing w:line="360" w:lineRule="auto"/>
      </w:pPr>
      <w:r w:rsidRPr="00A12147">
        <w:t>3. Summaries of the presented publications, author contribution and</w:t>
      </w:r>
      <w:r w:rsidR="00A12147">
        <w:t xml:space="preserve"> </w:t>
      </w:r>
      <w:r w:rsidRPr="00A12147">
        <w:t>impact of the studies</w:t>
      </w:r>
      <w:r w:rsidR="00113A1D">
        <w:t>.......................................................</w:t>
      </w:r>
      <w:r w:rsidR="00273490">
        <w:t>..............................</w:t>
      </w:r>
      <w:r w:rsidR="00683F78">
        <w:t>.</w:t>
      </w:r>
      <w:r w:rsidR="00E94813">
        <w:t>..........................</w:t>
      </w:r>
      <w:r w:rsidR="00183F6D">
        <w:t>..</w:t>
      </w:r>
      <w:r w:rsidR="00113A1D">
        <w:t>1</w:t>
      </w:r>
      <w:r w:rsidR="00183F6D">
        <w:t>5</w:t>
      </w:r>
    </w:p>
    <w:p w14:paraId="60BC5A9F" w14:textId="77777777" w:rsidR="00C646D5" w:rsidRPr="00A12147" w:rsidRDefault="00113A1D" w:rsidP="00C646D5">
      <w:pPr>
        <w:tabs>
          <w:tab w:val="left" w:pos="8364"/>
        </w:tabs>
        <w:spacing w:line="360" w:lineRule="auto"/>
        <w:ind w:left="720"/>
      </w:pPr>
      <w:r>
        <w:t>3</w:t>
      </w:r>
      <w:r w:rsidR="00C646D5" w:rsidRPr="00A12147">
        <w:t>.1 Safety Climate and Event Reporting………</w:t>
      </w:r>
      <w:r>
        <w:t>..................</w:t>
      </w:r>
      <w:r w:rsidR="00273490">
        <w:t>…………..</w:t>
      </w:r>
      <w:r w:rsidR="00E94813">
        <w:t>....</w:t>
      </w:r>
      <w:r w:rsidR="00183F6D">
        <w:t>..</w:t>
      </w:r>
      <w:r>
        <w:t>1</w:t>
      </w:r>
      <w:r w:rsidR="00183F6D">
        <w:t>5</w:t>
      </w:r>
    </w:p>
    <w:p w14:paraId="34ED819F" w14:textId="77777777" w:rsidR="00273490" w:rsidRDefault="00C646D5" w:rsidP="00273490">
      <w:pPr>
        <w:tabs>
          <w:tab w:val="left" w:pos="8364"/>
        </w:tabs>
        <w:spacing w:line="360" w:lineRule="auto"/>
        <w:ind w:left="720" w:right="159"/>
      </w:pPr>
      <w:r w:rsidRPr="00A12147">
        <w:t>3</w:t>
      </w:r>
      <w:r w:rsidR="00273490">
        <w:t xml:space="preserve">.2 Prospective </w:t>
      </w:r>
      <w:r w:rsidRPr="00A12147">
        <w:t>Hazard Analysis……..........</w:t>
      </w:r>
      <w:r w:rsidR="00113A1D">
        <w:t>.</w:t>
      </w:r>
      <w:r w:rsidRPr="00A12147">
        <w:t>.....</w:t>
      </w:r>
      <w:r w:rsidR="00E232A6">
        <w:t>.</w:t>
      </w:r>
      <w:r w:rsidRPr="00A12147">
        <w:t>.......................</w:t>
      </w:r>
      <w:r w:rsidR="00FF562A">
        <w:t>....</w:t>
      </w:r>
      <w:r w:rsidR="00113A1D">
        <w:t>....</w:t>
      </w:r>
      <w:r w:rsidR="00E94813">
        <w:t>......</w:t>
      </w:r>
      <w:r w:rsidR="00183F6D">
        <w:t>..</w:t>
      </w:r>
      <w:r w:rsidR="00113A1D">
        <w:t>1</w:t>
      </w:r>
      <w:r w:rsidR="00183F6D">
        <w:t>8</w:t>
      </w:r>
    </w:p>
    <w:p w14:paraId="16926DE8" w14:textId="77777777" w:rsidR="00C646D5" w:rsidRPr="00A12147" w:rsidRDefault="00273490" w:rsidP="00273490">
      <w:pPr>
        <w:tabs>
          <w:tab w:val="left" w:pos="8364"/>
        </w:tabs>
        <w:spacing w:line="360" w:lineRule="auto"/>
        <w:ind w:left="720" w:right="159"/>
      </w:pPr>
      <w:r>
        <w:t>3</w:t>
      </w:r>
      <w:r w:rsidR="00C646D5" w:rsidRPr="00A12147">
        <w:t>.3 Studies based on retrospective case note review...........</w:t>
      </w:r>
      <w:r>
        <w:t>.......</w:t>
      </w:r>
      <w:r w:rsidR="00683F78">
        <w:t>.</w:t>
      </w:r>
      <w:r>
        <w:t>...</w:t>
      </w:r>
      <w:r w:rsidR="00C646D5" w:rsidRPr="00A12147">
        <w:t>..</w:t>
      </w:r>
      <w:r w:rsidR="00E94813">
        <w:t>......</w:t>
      </w:r>
      <w:r w:rsidR="00183F6D">
        <w:t>..20</w:t>
      </w:r>
    </w:p>
    <w:p w14:paraId="0A8F1927" w14:textId="77777777" w:rsidR="00C646D5" w:rsidRPr="00A12147" w:rsidRDefault="00C646D5" w:rsidP="00C646D5">
      <w:pPr>
        <w:tabs>
          <w:tab w:val="left" w:pos="8505"/>
        </w:tabs>
        <w:spacing w:line="360" w:lineRule="auto"/>
      </w:pPr>
      <w:r w:rsidRPr="00A12147">
        <w:t>4. Safety, quality and resilience in health care..................................</w:t>
      </w:r>
      <w:r w:rsidR="00273490">
        <w:t>.............</w:t>
      </w:r>
      <w:r w:rsidR="00E94813">
        <w:t>.....</w:t>
      </w:r>
      <w:r w:rsidR="00183F6D">
        <w:t>..</w:t>
      </w:r>
      <w:r w:rsidRPr="00A12147">
        <w:t>2</w:t>
      </w:r>
      <w:r w:rsidR="00183F6D">
        <w:t>6</w:t>
      </w:r>
      <w:r w:rsidRPr="00A12147">
        <w:t xml:space="preserve"> </w:t>
      </w:r>
    </w:p>
    <w:p w14:paraId="2EC4A5AA" w14:textId="77777777" w:rsidR="00C646D5" w:rsidRPr="00A12147" w:rsidRDefault="00C646D5" w:rsidP="00C646D5">
      <w:pPr>
        <w:tabs>
          <w:tab w:val="left" w:pos="8505"/>
        </w:tabs>
        <w:spacing w:line="360" w:lineRule="auto"/>
        <w:ind w:left="720"/>
      </w:pPr>
      <w:r w:rsidRPr="00A12147">
        <w:t>4.1 Safety Climate and Event Reporting.................................</w:t>
      </w:r>
      <w:r w:rsidR="00273490">
        <w:t>............</w:t>
      </w:r>
      <w:r w:rsidR="00E94813">
        <w:t>.....</w:t>
      </w:r>
      <w:r w:rsidR="00183F6D">
        <w:t>..</w:t>
      </w:r>
      <w:r w:rsidRPr="00A12147">
        <w:t>2</w:t>
      </w:r>
      <w:r w:rsidR="00183F6D">
        <w:t>6</w:t>
      </w:r>
    </w:p>
    <w:p w14:paraId="491442F3" w14:textId="77777777" w:rsidR="00C646D5" w:rsidRPr="00A12147" w:rsidRDefault="00C646D5" w:rsidP="00C646D5">
      <w:pPr>
        <w:spacing w:line="360" w:lineRule="auto"/>
        <w:ind w:left="720"/>
      </w:pPr>
      <w:r w:rsidRPr="00A12147">
        <w:t>4.2 Prospective Hazard Analysis..............................................</w:t>
      </w:r>
      <w:r w:rsidR="00273490">
        <w:t>...........</w:t>
      </w:r>
      <w:r w:rsidR="00E94813">
        <w:t>....</w:t>
      </w:r>
      <w:r w:rsidR="00183F6D">
        <w:t>...30</w:t>
      </w:r>
    </w:p>
    <w:p w14:paraId="2959361A" w14:textId="77777777" w:rsidR="00C646D5" w:rsidRDefault="00C646D5" w:rsidP="00C646D5">
      <w:pPr>
        <w:tabs>
          <w:tab w:val="left" w:pos="8364"/>
        </w:tabs>
        <w:spacing w:line="360" w:lineRule="auto"/>
        <w:ind w:left="720"/>
      </w:pPr>
      <w:r w:rsidRPr="00A12147">
        <w:t>4.3 Studies based on retrospective case note review...............</w:t>
      </w:r>
      <w:r w:rsidR="00273490">
        <w:t>..........</w:t>
      </w:r>
      <w:r w:rsidR="00E94813">
        <w:t>....</w:t>
      </w:r>
      <w:r w:rsidR="00183F6D">
        <w:t>...</w:t>
      </w:r>
      <w:r w:rsidR="00273490">
        <w:t>3</w:t>
      </w:r>
      <w:r w:rsidR="00183F6D">
        <w:t>3</w:t>
      </w:r>
    </w:p>
    <w:p w14:paraId="5E7D4468" w14:textId="77777777" w:rsidR="00C646D5" w:rsidRPr="00A12147" w:rsidRDefault="00C646D5" w:rsidP="00C646D5">
      <w:pPr>
        <w:tabs>
          <w:tab w:val="left" w:pos="8222"/>
          <w:tab w:val="left" w:pos="8505"/>
        </w:tabs>
      </w:pPr>
      <w:r w:rsidRPr="00A12147">
        <w:t>5. Discussion..........................................................................................</w:t>
      </w:r>
      <w:r w:rsidR="00273490">
        <w:t>.......</w:t>
      </w:r>
      <w:r w:rsidR="00E94813">
        <w:t>....</w:t>
      </w:r>
      <w:r w:rsidR="00273490">
        <w:t>.</w:t>
      </w:r>
      <w:r w:rsidR="00183F6D">
        <w:t>...</w:t>
      </w:r>
      <w:r w:rsidR="00273490">
        <w:t>4</w:t>
      </w:r>
      <w:r w:rsidR="00183F6D">
        <w:t>2</w:t>
      </w:r>
      <w:r w:rsidRPr="00A12147">
        <w:t xml:space="preserve"> </w:t>
      </w:r>
    </w:p>
    <w:p w14:paraId="06B63622" w14:textId="77777777" w:rsidR="00C646D5" w:rsidRPr="00A12147" w:rsidRDefault="00C646D5" w:rsidP="00C646D5">
      <w:pPr>
        <w:tabs>
          <w:tab w:val="left" w:pos="8222"/>
        </w:tabs>
        <w:spacing w:line="360" w:lineRule="auto"/>
      </w:pPr>
      <w:r w:rsidRPr="00A12147">
        <w:t>6. Reflections........................................................................................</w:t>
      </w:r>
      <w:r w:rsidR="00273490">
        <w:t>.........</w:t>
      </w:r>
      <w:r w:rsidR="00E94813">
        <w:t>....</w:t>
      </w:r>
      <w:r w:rsidR="00183F6D">
        <w:t>....44</w:t>
      </w:r>
      <w:r w:rsidRPr="00A12147">
        <w:t xml:space="preserve"> </w:t>
      </w:r>
    </w:p>
    <w:p w14:paraId="17475C7E" w14:textId="77777777" w:rsidR="00C646D5" w:rsidRPr="00A12147" w:rsidRDefault="00C646D5" w:rsidP="00C646D5">
      <w:pPr>
        <w:tabs>
          <w:tab w:val="left" w:pos="8222"/>
        </w:tabs>
        <w:spacing w:line="360" w:lineRule="auto"/>
      </w:pPr>
      <w:r w:rsidRPr="00A12147">
        <w:t>7. Implications for practice and research.............................................</w:t>
      </w:r>
      <w:r w:rsidR="00273490">
        <w:t>..........</w:t>
      </w:r>
      <w:r w:rsidR="00E94813">
        <w:t>....</w:t>
      </w:r>
      <w:r w:rsidR="00183F6D">
        <w:t>....</w:t>
      </w:r>
      <w:r w:rsidR="00273490">
        <w:t>4</w:t>
      </w:r>
      <w:r w:rsidR="00183F6D">
        <w:t>6</w:t>
      </w:r>
    </w:p>
    <w:p w14:paraId="27B412B6" w14:textId="77777777" w:rsidR="00C646D5" w:rsidRPr="00A12147" w:rsidRDefault="00C646D5" w:rsidP="00C646D5">
      <w:pPr>
        <w:tabs>
          <w:tab w:val="left" w:pos="8222"/>
        </w:tabs>
        <w:spacing w:line="360" w:lineRule="auto"/>
      </w:pPr>
      <w:r w:rsidRPr="00A12147">
        <w:t>8. Conclusions..................................................................................</w:t>
      </w:r>
      <w:r w:rsidR="00683F78">
        <w:t>.............</w:t>
      </w:r>
      <w:r w:rsidR="00E94813">
        <w:t>....</w:t>
      </w:r>
      <w:r w:rsidR="00183F6D">
        <w:t>....</w:t>
      </w:r>
      <w:r w:rsidR="00683F78">
        <w:t>4</w:t>
      </w:r>
      <w:r w:rsidR="00183F6D">
        <w:t>8</w:t>
      </w:r>
    </w:p>
    <w:p w14:paraId="423E87CA" w14:textId="77777777" w:rsidR="00C646D5" w:rsidRPr="00A12147" w:rsidRDefault="00C646D5" w:rsidP="00C646D5">
      <w:r w:rsidRPr="00A12147">
        <w:t>9. References...............................................................................................</w:t>
      </w:r>
      <w:r w:rsidR="00683F78">
        <w:t>.</w:t>
      </w:r>
      <w:r w:rsidR="00E94813">
        <w:t>....</w:t>
      </w:r>
      <w:r w:rsidR="00183F6D">
        <w:t>....49</w:t>
      </w:r>
    </w:p>
    <w:p w14:paraId="73EC28A5" w14:textId="77777777" w:rsidR="00C646D5" w:rsidRPr="00A12147" w:rsidRDefault="00C646D5" w:rsidP="00C646D5">
      <w:r w:rsidRPr="00A12147">
        <w:lastRenderedPageBreak/>
        <w:t xml:space="preserve">10. Appendices </w:t>
      </w:r>
    </w:p>
    <w:p w14:paraId="45E04118" w14:textId="77777777" w:rsidR="00C646D5" w:rsidRPr="00A12147" w:rsidRDefault="00C646D5" w:rsidP="00C646D5">
      <w:pPr>
        <w:tabs>
          <w:tab w:val="left" w:pos="8505"/>
          <w:tab w:val="left" w:pos="8789"/>
        </w:tabs>
        <w:ind w:left="720"/>
        <w:rPr>
          <w:bCs/>
        </w:rPr>
      </w:pPr>
      <w:r w:rsidRPr="00A12147">
        <w:t>10.</w:t>
      </w:r>
      <w:r w:rsidR="00F9296D">
        <w:t>1</w:t>
      </w:r>
      <w:r w:rsidRPr="00A12147">
        <w:t xml:space="preserve"> Publication 1. </w:t>
      </w:r>
      <w:r w:rsidRPr="00A12147">
        <w:rPr>
          <w:bCs/>
        </w:rPr>
        <w:t xml:space="preserve"> Using a safety climate questionnaire in UK healthcare: factor structure, reliability and usability....................</w:t>
      </w:r>
      <w:r w:rsidR="00683F78">
        <w:rPr>
          <w:bCs/>
        </w:rPr>
        <w:t>...</w:t>
      </w:r>
      <w:r w:rsidR="00E94813">
        <w:rPr>
          <w:bCs/>
        </w:rPr>
        <w:t>............................</w:t>
      </w:r>
      <w:r w:rsidR="005D320D">
        <w:rPr>
          <w:bCs/>
        </w:rPr>
        <w:t>...</w:t>
      </w:r>
      <w:r w:rsidR="00683F78">
        <w:rPr>
          <w:bCs/>
        </w:rPr>
        <w:t>57</w:t>
      </w:r>
    </w:p>
    <w:p w14:paraId="472E1900" w14:textId="77777777" w:rsidR="00C646D5" w:rsidRPr="00A12147" w:rsidRDefault="00C646D5" w:rsidP="00C646D5">
      <w:pPr>
        <w:tabs>
          <w:tab w:val="left" w:pos="8505"/>
          <w:tab w:val="left" w:pos="8789"/>
        </w:tabs>
        <w:ind w:left="720"/>
      </w:pPr>
      <w:r w:rsidRPr="00A12147">
        <w:t>10.</w:t>
      </w:r>
      <w:r w:rsidR="00F9296D">
        <w:t>2</w:t>
      </w:r>
      <w:r w:rsidRPr="00A12147">
        <w:t xml:space="preserve"> Publication 2. Trends in healthcare incident</w:t>
      </w:r>
      <w:r w:rsidR="00683F78">
        <w:t xml:space="preserve"> reporting and relationship </w:t>
      </w:r>
      <w:r w:rsidRPr="00A12147">
        <w:t>to safety and quality data in acute hospitals: results</w:t>
      </w:r>
      <w:r w:rsidR="00E94813">
        <w:t xml:space="preserve"> </w:t>
      </w:r>
      <w:r w:rsidRPr="00A12147">
        <w:t>from the National Reporting and Learning System</w:t>
      </w:r>
      <w:r w:rsidR="008B33DA" w:rsidRPr="00A12147">
        <w:t>....</w:t>
      </w:r>
      <w:r w:rsidRPr="00A12147">
        <w:t>.</w:t>
      </w:r>
      <w:r w:rsidR="00683F78">
        <w:t>...</w:t>
      </w:r>
      <w:r w:rsidRPr="00A12147">
        <w:t>...</w:t>
      </w:r>
      <w:r w:rsidR="00683F78">
        <w:t>.............</w:t>
      </w:r>
      <w:r w:rsidR="00E94813">
        <w:t>......................................................</w:t>
      </w:r>
      <w:r w:rsidR="005D320D">
        <w:t>...</w:t>
      </w:r>
      <w:r w:rsidR="00683F78">
        <w:t>82</w:t>
      </w:r>
    </w:p>
    <w:p w14:paraId="4E81E253" w14:textId="77777777" w:rsidR="00C646D5" w:rsidRPr="00A12147" w:rsidRDefault="00C646D5" w:rsidP="00C646D5">
      <w:pPr>
        <w:tabs>
          <w:tab w:val="left" w:pos="8505"/>
          <w:tab w:val="left" w:pos="8789"/>
        </w:tabs>
        <w:ind w:left="720"/>
        <w:rPr>
          <w:bCs/>
          <w:kern w:val="32"/>
        </w:rPr>
      </w:pPr>
      <w:r w:rsidRPr="00A12147">
        <w:t>10.</w:t>
      </w:r>
      <w:r w:rsidR="00F9296D">
        <w:t>3</w:t>
      </w:r>
      <w:r w:rsidRPr="00A12147">
        <w:t xml:space="preserve"> Publication 3. </w:t>
      </w:r>
      <w:r w:rsidRPr="00A12147">
        <w:rPr>
          <w:bCs/>
          <w:kern w:val="32"/>
        </w:rPr>
        <w:t>Using a multi-method, user centred, prospective hazard analysis to assess care quality and patient</w:t>
      </w:r>
      <w:r w:rsidR="00683F78">
        <w:rPr>
          <w:bCs/>
          <w:kern w:val="32"/>
        </w:rPr>
        <w:t xml:space="preserve">                                                 </w:t>
      </w:r>
      <w:r w:rsidRPr="00A12147">
        <w:rPr>
          <w:bCs/>
          <w:kern w:val="32"/>
        </w:rPr>
        <w:t xml:space="preserve"> safety in a care</w:t>
      </w:r>
      <w:r w:rsidR="00683F78">
        <w:rPr>
          <w:bCs/>
          <w:kern w:val="32"/>
        </w:rPr>
        <w:t xml:space="preserve"> </w:t>
      </w:r>
      <w:r w:rsidRPr="00A12147">
        <w:rPr>
          <w:bCs/>
          <w:kern w:val="32"/>
        </w:rPr>
        <w:t>pathway....</w:t>
      </w:r>
      <w:r w:rsidR="008B33DA" w:rsidRPr="00A12147">
        <w:rPr>
          <w:bCs/>
          <w:kern w:val="32"/>
        </w:rPr>
        <w:t>...............</w:t>
      </w:r>
      <w:r w:rsidR="00683F78">
        <w:rPr>
          <w:bCs/>
          <w:kern w:val="32"/>
        </w:rPr>
        <w:t>.</w:t>
      </w:r>
      <w:r w:rsidR="008B33DA" w:rsidRPr="00A12147">
        <w:rPr>
          <w:bCs/>
          <w:kern w:val="32"/>
        </w:rPr>
        <w:t>................</w:t>
      </w:r>
      <w:r w:rsidRPr="00A12147">
        <w:rPr>
          <w:bCs/>
          <w:kern w:val="32"/>
        </w:rPr>
        <w:t>...</w:t>
      </w:r>
      <w:r w:rsidR="00683F78">
        <w:rPr>
          <w:bCs/>
          <w:kern w:val="32"/>
        </w:rPr>
        <w:t>..........................</w:t>
      </w:r>
      <w:r w:rsidR="00E94813">
        <w:rPr>
          <w:bCs/>
          <w:kern w:val="32"/>
        </w:rPr>
        <w:t>........</w:t>
      </w:r>
      <w:r w:rsidR="005D320D">
        <w:rPr>
          <w:bCs/>
          <w:kern w:val="32"/>
        </w:rPr>
        <w:t>...</w:t>
      </w:r>
      <w:r w:rsidR="00683F78">
        <w:rPr>
          <w:bCs/>
          <w:kern w:val="32"/>
        </w:rPr>
        <w:t>98</w:t>
      </w:r>
    </w:p>
    <w:p w14:paraId="67D4755F" w14:textId="77777777" w:rsidR="00C646D5" w:rsidRPr="00A12147" w:rsidRDefault="00683F78" w:rsidP="00C646D5">
      <w:pPr>
        <w:tabs>
          <w:tab w:val="left" w:pos="8505"/>
          <w:tab w:val="left" w:pos="8789"/>
        </w:tabs>
        <w:ind w:left="720"/>
      </w:pPr>
      <w:r>
        <w:t>10.</w:t>
      </w:r>
      <w:r w:rsidR="00F9296D">
        <w:t>4</w:t>
      </w:r>
      <w:r>
        <w:t xml:space="preserve"> </w:t>
      </w:r>
      <w:r w:rsidR="00C646D5" w:rsidRPr="00A12147">
        <w:t>Publication 4. Assessing quality of care from hospital case notes: comparison of reliability o</w:t>
      </w:r>
      <w:r>
        <w:t>f two methods....................</w:t>
      </w:r>
      <w:r w:rsidR="00E94813">
        <w:t>............................</w:t>
      </w:r>
      <w:r w:rsidR="004545F2">
        <w:t>.</w:t>
      </w:r>
      <w:r w:rsidR="005D320D">
        <w:t>..</w:t>
      </w:r>
      <w:r>
        <w:t>117</w:t>
      </w:r>
    </w:p>
    <w:p w14:paraId="5CA7BAF1" w14:textId="77777777" w:rsidR="00C646D5" w:rsidRPr="00A12147" w:rsidRDefault="00C646D5" w:rsidP="00C646D5">
      <w:pPr>
        <w:tabs>
          <w:tab w:val="left" w:pos="8505"/>
          <w:tab w:val="left" w:pos="8789"/>
        </w:tabs>
        <w:ind w:left="720"/>
      </w:pPr>
      <w:r w:rsidRPr="00A12147">
        <w:t>10.</w:t>
      </w:r>
      <w:r w:rsidR="00F9296D">
        <w:t>5</w:t>
      </w:r>
      <w:r w:rsidRPr="00A12147">
        <w:t xml:space="preserve"> Publication 5. Comparison of case note review methods</w:t>
      </w:r>
      <w:r w:rsidR="004545F2">
        <w:t xml:space="preserve"> </w:t>
      </w:r>
      <w:r w:rsidR="00683F78">
        <w:t>for</w:t>
      </w:r>
      <w:r w:rsidRPr="00A12147">
        <w:t xml:space="preserve"> evaluating quality and safety in health care........................</w:t>
      </w:r>
      <w:r w:rsidR="00683F78">
        <w:t>.....</w:t>
      </w:r>
      <w:r w:rsidR="004545F2">
        <w:t>.................................</w:t>
      </w:r>
      <w:r w:rsidR="005D320D">
        <w:t>.</w:t>
      </w:r>
      <w:r w:rsidR="00683F78">
        <w:t>1</w:t>
      </w:r>
      <w:r w:rsidR="004545F2">
        <w:t>18</w:t>
      </w:r>
    </w:p>
    <w:p w14:paraId="29BB8BF0" w14:textId="77777777" w:rsidR="00C646D5" w:rsidRPr="00A12147" w:rsidRDefault="00C646D5" w:rsidP="00C646D5">
      <w:pPr>
        <w:tabs>
          <w:tab w:val="left" w:pos="8505"/>
          <w:tab w:val="left" w:pos="8789"/>
        </w:tabs>
        <w:ind w:left="720"/>
      </w:pPr>
      <w:r w:rsidRPr="00A12147">
        <w:t>10.</w:t>
      </w:r>
      <w:r w:rsidR="00F9296D">
        <w:t>6</w:t>
      </w:r>
      <w:r w:rsidRPr="00A12147">
        <w:t xml:space="preserve"> Publication 6. </w:t>
      </w:r>
      <w:r w:rsidRPr="00A12147">
        <w:rPr>
          <w:rFonts w:cs="Arial"/>
        </w:rPr>
        <w:t>A structured judgement method to enhance mortality case note review: development and evaluation.......</w:t>
      </w:r>
      <w:r w:rsidR="00683F78">
        <w:rPr>
          <w:rFonts w:cs="Arial"/>
        </w:rPr>
        <w:t>.......</w:t>
      </w:r>
      <w:r w:rsidR="004545F2">
        <w:rPr>
          <w:rFonts w:cs="Arial"/>
        </w:rPr>
        <w:t>.................................</w:t>
      </w:r>
      <w:r w:rsidR="005D320D">
        <w:rPr>
          <w:rFonts w:cs="Arial"/>
        </w:rPr>
        <w:t>..</w:t>
      </w:r>
      <w:r w:rsidR="00683F78" w:rsidRPr="005D320D">
        <w:rPr>
          <w:rFonts w:cs="Arial"/>
        </w:rPr>
        <w:t>3</w:t>
      </w:r>
      <w:r w:rsidR="005D320D">
        <w:rPr>
          <w:rFonts w:cs="Arial"/>
        </w:rPr>
        <w:t>36</w:t>
      </w:r>
    </w:p>
    <w:p w14:paraId="1AF44E9B" w14:textId="77777777" w:rsidR="00C646D5" w:rsidRPr="00A12147" w:rsidRDefault="00C646D5" w:rsidP="00C646D5"/>
    <w:p w14:paraId="297850AC" w14:textId="77777777" w:rsidR="00C646D5" w:rsidRPr="008378FB" w:rsidRDefault="00C646D5" w:rsidP="00C646D5">
      <w:pPr>
        <w:rPr>
          <w:b/>
        </w:rPr>
      </w:pPr>
      <w:r w:rsidRPr="008378FB">
        <w:rPr>
          <w:b/>
        </w:rPr>
        <w:br w:type="page"/>
      </w:r>
    </w:p>
    <w:p w14:paraId="07BBB173" w14:textId="77777777" w:rsidR="00C646D5" w:rsidRDefault="00C646D5" w:rsidP="00C646D5">
      <w:pPr>
        <w:rPr>
          <w:b/>
        </w:rPr>
      </w:pPr>
      <w:r w:rsidRPr="007E7AA7">
        <w:rPr>
          <w:b/>
        </w:rPr>
        <w:lastRenderedPageBreak/>
        <w:t xml:space="preserve">1. </w:t>
      </w:r>
      <w:r w:rsidRPr="00EF1DF7">
        <w:rPr>
          <w:b/>
          <w:sz w:val="28"/>
          <w:szCs w:val="28"/>
        </w:rPr>
        <w:t>Introduction</w:t>
      </w:r>
      <w:r>
        <w:rPr>
          <w:b/>
        </w:rPr>
        <w:t xml:space="preserve"> </w:t>
      </w:r>
    </w:p>
    <w:p w14:paraId="46934FE2" w14:textId="77777777" w:rsidR="00C646D5" w:rsidRPr="007E7AA7" w:rsidRDefault="00C646D5" w:rsidP="00C646D5">
      <w:pPr>
        <w:rPr>
          <w:b/>
        </w:rPr>
      </w:pPr>
      <w:r>
        <w:rPr>
          <w:b/>
        </w:rPr>
        <w:t>1.1 Background</w:t>
      </w:r>
    </w:p>
    <w:p w14:paraId="1C6C7967" w14:textId="77777777" w:rsidR="00C646D5" w:rsidRPr="00C646D5" w:rsidRDefault="00C646D5" w:rsidP="00C646D5">
      <w:pPr>
        <w:spacing w:line="360" w:lineRule="auto"/>
        <w:rPr>
          <w:sz w:val="22"/>
          <w:szCs w:val="22"/>
        </w:rPr>
      </w:pPr>
      <w:r w:rsidRPr="00C646D5">
        <w:rPr>
          <w:sz w:val="22"/>
          <w:szCs w:val="22"/>
        </w:rPr>
        <w:t>This thesis introduces some of my work that was particularly focused on methods of evaluating the safety of care in UK health services and undertaken over a period of ten years.  Much of the work relates to hospital care, although some elements include primary care contributions.</w:t>
      </w:r>
    </w:p>
    <w:p w14:paraId="087A3844" w14:textId="77777777" w:rsidR="00C646D5" w:rsidRPr="00C646D5" w:rsidRDefault="00C646D5" w:rsidP="00C646D5">
      <w:pPr>
        <w:spacing w:line="360" w:lineRule="auto"/>
        <w:rPr>
          <w:sz w:val="22"/>
          <w:szCs w:val="22"/>
        </w:rPr>
      </w:pPr>
      <w:r w:rsidRPr="00C646D5">
        <w:rPr>
          <w:sz w:val="22"/>
          <w:szCs w:val="22"/>
        </w:rPr>
        <w:t xml:space="preserve">When there appear to be failures in care it has become the norm in the UK NHS to undertake ‘root cause analysis’ and often to seek out and improve points where staff may be seen to have made a personal contribution to failure. The research and analysis presented here takes a contrasting view. Conceptual models of health care accidents have changed over the past decade and failures in systems are now seen as the more likely causes of accidents. </w:t>
      </w:r>
    </w:p>
    <w:p w14:paraId="53CD45FE" w14:textId="77777777" w:rsidR="00C646D5" w:rsidRPr="00C646D5" w:rsidRDefault="00C646D5" w:rsidP="00C646D5">
      <w:pPr>
        <w:spacing w:line="360" w:lineRule="auto"/>
        <w:rPr>
          <w:sz w:val="22"/>
          <w:szCs w:val="22"/>
        </w:rPr>
      </w:pPr>
      <w:r w:rsidRPr="00C646D5">
        <w:rPr>
          <w:sz w:val="22"/>
          <w:szCs w:val="22"/>
        </w:rPr>
        <w:t xml:space="preserve">While all of the research presented here relates to safety in systems, in this thesis I present the research and publications, where appropriate, in a more recent conceptual framework, that of organisational and human resilience (Hollnagel et al, 2006).  Although healthcare resilience is still a developing science, I argue that the resilience approach is a more positive and just means to evaluate the safety and quality of healthcare. Further, the developing ideas on resilience fit well with recent thinking on the concept of safety that uses a more positive terminology in its definition.  </w:t>
      </w:r>
    </w:p>
    <w:p w14:paraId="05031172" w14:textId="77777777" w:rsidR="00C646D5" w:rsidRPr="00C646D5" w:rsidRDefault="00C646D5" w:rsidP="00C646D5">
      <w:pPr>
        <w:spacing w:line="360" w:lineRule="auto"/>
        <w:rPr>
          <w:sz w:val="22"/>
          <w:szCs w:val="22"/>
        </w:rPr>
      </w:pPr>
      <w:r w:rsidRPr="00C646D5">
        <w:rPr>
          <w:sz w:val="22"/>
          <w:szCs w:val="22"/>
        </w:rPr>
        <w:t>In Section 2, I briefly discuss the rise in concerns over the safety of health care in the past two decades and consider some of the models which have been used to explore safety. This provides some of the policy and conceptual background for my work.</w:t>
      </w:r>
    </w:p>
    <w:p w14:paraId="61C0F2AB" w14:textId="77777777" w:rsidR="00C646D5" w:rsidRPr="00C646D5" w:rsidRDefault="00C646D5" w:rsidP="00C646D5">
      <w:pPr>
        <w:spacing w:line="360" w:lineRule="auto"/>
        <w:rPr>
          <w:sz w:val="22"/>
          <w:szCs w:val="22"/>
        </w:rPr>
      </w:pPr>
      <w:r w:rsidRPr="00C646D5">
        <w:rPr>
          <w:sz w:val="22"/>
          <w:szCs w:val="22"/>
        </w:rPr>
        <w:t>In Section 3, presents an overview of the six included published works, together with the methods used, my role in the studies and the impact the publications may have had.</w:t>
      </w:r>
    </w:p>
    <w:p w14:paraId="422A6310" w14:textId="77777777" w:rsidR="00C646D5" w:rsidRPr="00C646D5" w:rsidRDefault="00C646D5" w:rsidP="00C646D5">
      <w:pPr>
        <w:spacing w:line="360" w:lineRule="auto"/>
        <w:rPr>
          <w:sz w:val="22"/>
          <w:szCs w:val="22"/>
        </w:rPr>
      </w:pPr>
      <w:r w:rsidRPr="00C646D5">
        <w:rPr>
          <w:sz w:val="22"/>
          <w:szCs w:val="22"/>
        </w:rPr>
        <w:t>Section 4 is an appraisal of the publications and the related studies in the context of literature on health care safety and resilience and Section 5 overviews the results of the analysis.</w:t>
      </w:r>
    </w:p>
    <w:p w14:paraId="6F272797" w14:textId="77777777" w:rsidR="00C646D5" w:rsidRPr="00593BD2" w:rsidRDefault="00C646D5" w:rsidP="00C646D5">
      <w:pPr>
        <w:spacing w:line="360" w:lineRule="auto"/>
      </w:pPr>
      <w:r w:rsidRPr="00C646D5">
        <w:rPr>
          <w:sz w:val="22"/>
          <w:szCs w:val="22"/>
        </w:rPr>
        <w:t>Section 6 is a reflection on my work</w:t>
      </w:r>
      <w:r>
        <w:rPr>
          <w:sz w:val="22"/>
          <w:szCs w:val="22"/>
        </w:rPr>
        <w:t>,</w:t>
      </w:r>
      <w:r w:rsidRPr="00C646D5">
        <w:rPr>
          <w:sz w:val="22"/>
          <w:szCs w:val="22"/>
        </w:rPr>
        <w:t xml:space="preserve"> while Section 7 considers the implications that have arisen from the results presented in this thesis, from both a research and NHS practice perspective.  Finally, Section 8 presents a short conclusion.</w:t>
      </w:r>
      <w:r w:rsidRPr="00593BD2">
        <w:br w:type="page"/>
      </w:r>
    </w:p>
    <w:p w14:paraId="4C26B055" w14:textId="77777777" w:rsidR="00C646D5" w:rsidRPr="00FE4226" w:rsidRDefault="00C646D5" w:rsidP="00C646D5">
      <w:pPr>
        <w:rPr>
          <w:b/>
        </w:rPr>
      </w:pPr>
      <w:r w:rsidRPr="00FE4226">
        <w:rPr>
          <w:b/>
        </w:rPr>
        <w:lastRenderedPageBreak/>
        <w:t>1</w:t>
      </w:r>
      <w:r>
        <w:rPr>
          <w:b/>
        </w:rPr>
        <w:t>.2</w:t>
      </w:r>
      <w:r w:rsidRPr="00FE4226">
        <w:rPr>
          <w:b/>
        </w:rPr>
        <w:t xml:space="preserve"> The six presented publications </w:t>
      </w:r>
    </w:p>
    <w:p w14:paraId="03479D0D" w14:textId="77777777" w:rsidR="00C646D5" w:rsidRPr="00C646D5" w:rsidRDefault="00C646D5" w:rsidP="00C646D5">
      <w:pPr>
        <w:spacing w:line="360" w:lineRule="auto"/>
        <w:rPr>
          <w:sz w:val="22"/>
          <w:szCs w:val="22"/>
        </w:rPr>
      </w:pPr>
      <w:r w:rsidRPr="00C646D5">
        <w:rPr>
          <w:sz w:val="22"/>
          <w:szCs w:val="22"/>
        </w:rPr>
        <w:t>All of the included publications have been peer-reviewed and are in the public domain through health services research journals. They are presented here in the order in which they are discussed.</w:t>
      </w:r>
    </w:p>
    <w:p w14:paraId="6D60ABF9" w14:textId="77777777" w:rsidR="00C646D5" w:rsidRPr="00C646D5" w:rsidRDefault="00C646D5" w:rsidP="00C646D5">
      <w:pPr>
        <w:spacing w:line="360" w:lineRule="auto"/>
        <w:rPr>
          <w:sz w:val="22"/>
          <w:szCs w:val="22"/>
        </w:rPr>
      </w:pPr>
      <w:r w:rsidRPr="00C646D5">
        <w:rPr>
          <w:b/>
          <w:sz w:val="22"/>
          <w:szCs w:val="22"/>
        </w:rPr>
        <w:t>1) Hutchinson A</w:t>
      </w:r>
      <w:r w:rsidRPr="00C646D5">
        <w:rPr>
          <w:sz w:val="22"/>
          <w:szCs w:val="22"/>
        </w:rPr>
        <w:t>, Cooper KL, Dean JE, McIntosh A, Patterson M, Stride CB, Laurence BE &amp; Smith CM. (2006)</w:t>
      </w:r>
      <w:r w:rsidRPr="00C646D5">
        <w:rPr>
          <w:b/>
          <w:bCs/>
          <w:sz w:val="22"/>
          <w:szCs w:val="22"/>
        </w:rPr>
        <w:t xml:space="preserve"> </w:t>
      </w:r>
      <w:r w:rsidRPr="00C646D5">
        <w:rPr>
          <w:bCs/>
          <w:sz w:val="22"/>
          <w:szCs w:val="22"/>
        </w:rPr>
        <w:t>Using a safety climate questionnaire in UK healthcare: factor structure, reliability and usability.</w:t>
      </w:r>
      <w:r w:rsidRPr="00C646D5">
        <w:rPr>
          <w:b/>
          <w:bCs/>
          <w:sz w:val="22"/>
          <w:szCs w:val="22"/>
        </w:rPr>
        <w:t xml:space="preserve"> </w:t>
      </w:r>
      <w:r w:rsidRPr="00C646D5">
        <w:rPr>
          <w:i/>
          <w:sz w:val="22"/>
          <w:szCs w:val="22"/>
        </w:rPr>
        <w:t>Quality &amp; Safety in Health Care</w:t>
      </w:r>
      <w:r w:rsidRPr="00C646D5">
        <w:rPr>
          <w:sz w:val="22"/>
          <w:szCs w:val="22"/>
        </w:rPr>
        <w:t>, 15 (5), 347-353.</w:t>
      </w:r>
    </w:p>
    <w:p w14:paraId="30B26EC4" w14:textId="77777777" w:rsidR="00C646D5" w:rsidRPr="00C646D5" w:rsidRDefault="00C646D5" w:rsidP="00C646D5">
      <w:pPr>
        <w:spacing w:line="360" w:lineRule="auto"/>
        <w:rPr>
          <w:sz w:val="22"/>
          <w:szCs w:val="22"/>
        </w:rPr>
      </w:pPr>
      <w:r w:rsidRPr="00C646D5">
        <w:rPr>
          <w:b/>
          <w:bCs/>
          <w:sz w:val="22"/>
          <w:szCs w:val="22"/>
        </w:rPr>
        <w:t>2)</w:t>
      </w:r>
      <w:r w:rsidRPr="00C646D5">
        <w:rPr>
          <w:bCs/>
          <w:sz w:val="22"/>
          <w:szCs w:val="22"/>
        </w:rPr>
        <w:t xml:space="preserve"> </w:t>
      </w:r>
      <w:r w:rsidRPr="00C646D5">
        <w:rPr>
          <w:b/>
          <w:bCs/>
          <w:sz w:val="22"/>
          <w:szCs w:val="22"/>
        </w:rPr>
        <w:t>Hutchinson A</w:t>
      </w:r>
      <w:r w:rsidRPr="00C646D5">
        <w:rPr>
          <w:bCs/>
          <w:sz w:val="22"/>
          <w:szCs w:val="22"/>
        </w:rPr>
        <w:t xml:space="preserve">, Young TA, Cooper KL, McIntosh A, Karnon JD, Scobie S &amp; Thomson RG. (2009) </w:t>
      </w:r>
      <w:r w:rsidRPr="00C646D5">
        <w:rPr>
          <w:sz w:val="22"/>
          <w:szCs w:val="22"/>
        </w:rPr>
        <w:t xml:space="preserve">Trends in healthcare incident reporting and relationship to safety and quality data in acute hospitals: results from the National Reporting and Learning System.  </w:t>
      </w:r>
      <w:r w:rsidRPr="00C646D5">
        <w:rPr>
          <w:i/>
          <w:sz w:val="22"/>
          <w:szCs w:val="22"/>
        </w:rPr>
        <w:t>Quality and Safety in Health Care,</w:t>
      </w:r>
      <w:r w:rsidRPr="00C646D5">
        <w:rPr>
          <w:sz w:val="22"/>
          <w:szCs w:val="22"/>
        </w:rPr>
        <w:t xml:space="preserve">18, 5-10.  </w:t>
      </w:r>
    </w:p>
    <w:p w14:paraId="4850109F" w14:textId="77777777" w:rsidR="00C646D5" w:rsidRPr="00C646D5" w:rsidRDefault="00C646D5" w:rsidP="00C646D5">
      <w:pPr>
        <w:spacing w:line="360" w:lineRule="auto"/>
        <w:rPr>
          <w:sz w:val="22"/>
          <w:szCs w:val="22"/>
        </w:rPr>
      </w:pPr>
      <w:r w:rsidRPr="00C646D5">
        <w:rPr>
          <w:b/>
          <w:sz w:val="22"/>
          <w:szCs w:val="22"/>
        </w:rPr>
        <w:t>3)</w:t>
      </w:r>
      <w:r w:rsidRPr="00C646D5">
        <w:rPr>
          <w:sz w:val="22"/>
          <w:szCs w:val="22"/>
        </w:rPr>
        <w:t xml:space="preserve"> Dean JE, </w:t>
      </w:r>
      <w:r w:rsidRPr="00C646D5">
        <w:rPr>
          <w:b/>
          <w:sz w:val="22"/>
          <w:szCs w:val="22"/>
        </w:rPr>
        <w:t>Hutchinson A</w:t>
      </w:r>
      <w:r w:rsidRPr="00C646D5">
        <w:rPr>
          <w:sz w:val="22"/>
          <w:szCs w:val="22"/>
        </w:rPr>
        <w:t xml:space="preserve">, Hamilton Escoto K &amp; Lawson R. (2007) </w:t>
      </w:r>
      <w:r w:rsidRPr="00C646D5">
        <w:rPr>
          <w:bCs/>
          <w:kern w:val="32"/>
          <w:sz w:val="22"/>
          <w:szCs w:val="22"/>
        </w:rPr>
        <w:t xml:space="preserve">Using a multi-method, user centred, prospective hazard analysis to assess care quality and patient safety in a care pathway. </w:t>
      </w:r>
      <w:r w:rsidRPr="00C646D5">
        <w:rPr>
          <w:bCs/>
          <w:i/>
          <w:kern w:val="32"/>
          <w:sz w:val="22"/>
          <w:szCs w:val="22"/>
        </w:rPr>
        <w:t xml:space="preserve">BMC Health Services Research, </w:t>
      </w:r>
      <w:r w:rsidRPr="00C646D5">
        <w:rPr>
          <w:bCs/>
          <w:kern w:val="32"/>
          <w:sz w:val="22"/>
          <w:szCs w:val="22"/>
        </w:rPr>
        <w:t>7, 89.</w:t>
      </w:r>
    </w:p>
    <w:p w14:paraId="429A7F2D" w14:textId="77777777" w:rsidR="00C646D5" w:rsidRPr="00C646D5" w:rsidRDefault="00C646D5" w:rsidP="00C646D5">
      <w:pPr>
        <w:spacing w:line="360" w:lineRule="auto"/>
        <w:rPr>
          <w:sz w:val="22"/>
          <w:szCs w:val="22"/>
        </w:rPr>
      </w:pPr>
      <w:r w:rsidRPr="00C646D5">
        <w:rPr>
          <w:b/>
          <w:sz w:val="22"/>
          <w:szCs w:val="22"/>
        </w:rPr>
        <w:t>4) Hutchinson A</w:t>
      </w:r>
      <w:r w:rsidRPr="00C646D5">
        <w:rPr>
          <w:sz w:val="22"/>
          <w:szCs w:val="22"/>
        </w:rPr>
        <w:t xml:space="preserve">, Coster JE, Cooper KL, McIntosh A, Walters SJ, Bath PA, Pearson M, Rantell K, Campbell MJ, Nicholl J &amp; Irwin P. (2010) Assessing quality of care from hospital case notes: comparison of reliability of two methods. </w:t>
      </w:r>
      <w:r w:rsidRPr="00C646D5">
        <w:rPr>
          <w:i/>
          <w:sz w:val="22"/>
          <w:szCs w:val="22"/>
        </w:rPr>
        <w:t>Quality and Safety in Health Care</w:t>
      </w:r>
      <w:r w:rsidRPr="00C646D5">
        <w:rPr>
          <w:sz w:val="22"/>
          <w:szCs w:val="22"/>
        </w:rPr>
        <w:t>, 19:e2.  doi: 10.1136/qshc-2007-023911.</w:t>
      </w:r>
    </w:p>
    <w:p w14:paraId="3C0DABE7" w14:textId="77777777" w:rsidR="00C646D5" w:rsidRPr="00C646D5" w:rsidRDefault="00C646D5" w:rsidP="00C646D5">
      <w:pPr>
        <w:spacing w:line="360" w:lineRule="auto"/>
        <w:rPr>
          <w:sz w:val="22"/>
          <w:szCs w:val="22"/>
        </w:rPr>
      </w:pPr>
      <w:r w:rsidRPr="00C646D5">
        <w:rPr>
          <w:b/>
          <w:sz w:val="22"/>
          <w:szCs w:val="22"/>
        </w:rPr>
        <w:t>5) Hutchinson A</w:t>
      </w:r>
      <w:r w:rsidRPr="00C646D5">
        <w:rPr>
          <w:sz w:val="22"/>
          <w:szCs w:val="22"/>
        </w:rPr>
        <w:t xml:space="preserve">, Coster JE, Cooper KL, McIntosh A, Walters SJ, Bath PA, Pearson M, Young TA, Rantell K, Campbell MJ &amp; Ratcliffe J. (2010) Comparison of case note review methods for evaluating quality and safety in health care. </w:t>
      </w:r>
      <w:r w:rsidRPr="00C646D5">
        <w:rPr>
          <w:i/>
          <w:sz w:val="22"/>
          <w:szCs w:val="22"/>
        </w:rPr>
        <w:t>Health Technology  Assessment</w:t>
      </w:r>
      <w:r w:rsidRPr="00C646D5">
        <w:rPr>
          <w:sz w:val="22"/>
          <w:szCs w:val="22"/>
        </w:rPr>
        <w:t>, 14(10), 1-170.</w:t>
      </w:r>
    </w:p>
    <w:p w14:paraId="73888C7D" w14:textId="77777777" w:rsidR="00C646D5" w:rsidRPr="00C646D5" w:rsidRDefault="00C646D5" w:rsidP="00C646D5">
      <w:pPr>
        <w:spacing w:line="360" w:lineRule="auto"/>
        <w:rPr>
          <w:rFonts w:cs="Arial"/>
          <w:sz w:val="22"/>
          <w:szCs w:val="22"/>
        </w:rPr>
      </w:pPr>
      <w:r w:rsidRPr="00C646D5">
        <w:rPr>
          <w:rFonts w:cs="Arial"/>
          <w:b/>
          <w:sz w:val="22"/>
          <w:szCs w:val="22"/>
        </w:rPr>
        <w:t>6) Hutchinson A</w:t>
      </w:r>
      <w:r w:rsidRPr="00C646D5">
        <w:rPr>
          <w:rFonts w:cs="Arial"/>
          <w:sz w:val="22"/>
          <w:szCs w:val="22"/>
        </w:rPr>
        <w:t xml:space="preserve">, Coster JE, Cooper K L, Pearson M, McIntosh A &amp; Bath P A. (2013)  A structured judgement method to enhance mortality case note review: development and evaluation. </w:t>
      </w:r>
      <w:r w:rsidRPr="00C646D5">
        <w:rPr>
          <w:rFonts w:cs="Arial"/>
          <w:i/>
          <w:sz w:val="22"/>
          <w:szCs w:val="22"/>
        </w:rPr>
        <w:t xml:space="preserve">BMJ Quality and Safety </w:t>
      </w:r>
      <w:r w:rsidRPr="00C646D5">
        <w:rPr>
          <w:rFonts w:cs="Arial"/>
          <w:sz w:val="22"/>
          <w:szCs w:val="22"/>
        </w:rPr>
        <w:t>2013; doi:10.1136/bmjqs-2013-001839</w:t>
      </w:r>
    </w:p>
    <w:p w14:paraId="588293DD" w14:textId="77777777" w:rsidR="00C646D5" w:rsidRPr="00C646D5" w:rsidRDefault="00C646D5" w:rsidP="00C646D5">
      <w:pPr>
        <w:rPr>
          <w:b/>
          <w:sz w:val="22"/>
          <w:szCs w:val="22"/>
        </w:rPr>
      </w:pPr>
      <w:r w:rsidRPr="00C646D5">
        <w:rPr>
          <w:b/>
          <w:sz w:val="22"/>
          <w:szCs w:val="22"/>
        </w:rPr>
        <w:br w:type="page"/>
      </w:r>
    </w:p>
    <w:p w14:paraId="246F7A40" w14:textId="77777777" w:rsidR="00C646D5" w:rsidRDefault="00C646D5" w:rsidP="00C646D5">
      <w:pPr>
        <w:rPr>
          <w:b/>
          <w:sz w:val="28"/>
          <w:szCs w:val="28"/>
        </w:rPr>
      </w:pPr>
      <w:r>
        <w:rPr>
          <w:b/>
          <w:sz w:val="28"/>
          <w:szCs w:val="28"/>
        </w:rPr>
        <w:lastRenderedPageBreak/>
        <w:t>2</w:t>
      </w:r>
      <w:r w:rsidRPr="00EF1DF7">
        <w:rPr>
          <w:b/>
          <w:sz w:val="28"/>
          <w:szCs w:val="28"/>
        </w:rPr>
        <w:t xml:space="preserve">. </w:t>
      </w:r>
      <w:r>
        <w:rPr>
          <w:b/>
          <w:sz w:val="28"/>
          <w:szCs w:val="28"/>
        </w:rPr>
        <w:t>Considerations of h</w:t>
      </w:r>
      <w:r w:rsidRPr="00EF1DF7">
        <w:rPr>
          <w:b/>
          <w:sz w:val="28"/>
          <w:szCs w:val="28"/>
        </w:rPr>
        <w:t>ealthcare safety and resilience</w:t>
      </w:r>
    </w:p>
    <w:p w14:paraId="63B1B17B" w14:textId="77777777" w:rsidR="00C646D5" w:rsidRPr="00124DDB" w:rsidRDefault="00C646D5" w:rsidP="00C646D5">
      <w:r>
        <w:rPr>
          <w:b/>
        </w:rPr>
        <w:t>2.1 The emergence of safer health</w:t>
      </w:r>
      <w:r w:rsidRPr="005432A0">
        <w:rPr>
          <w:b/>
        </w:rPr>
        <w:t>care concerns</w:t>
      </w:r>
    </w:p>
    <w:p w14:paraId="32F2996C" w14:textId="77777777" w:rsidR="00C646D5" w:rsidRPr="00C646D5" w:rsidRDefault="00C646D5" w:rsidP="00C646D5">
      <w:pPr>
        <w:spacing w:line="360" w:lineRule="auto"/>
        <w:rPr>
          <w:sz w:val="22"/>
          <w:szCs w:val="22"/>
        </w:rPr>
      </w:pPr>
      <w:r w:rsidRPr="00C646D5">
        <w:rPr>
          <w:sz w:val="22"/>
          <w:szCs w:val="22"/>
        </w:rPr>
        <w:t>Although the concept of assessing care quality variation was first considered by Codman (1920) in the early 20</w:t>
      </w:r>
      <w:r w:rsidRPr="00C646D5">
        <w:rPr>
          <w:sz w:val="22"/>
          <w:szCs w:val="22"/>
          <w:vertAlign w:val="superscript"/>
        </w:rPr>
        <w:t>th</w:t>
      </w:r>
      <w:r w:rsidRPr="00C646D5">
        <w:rPr>
          <w:sz w:val="22"/>
          <w:szCs w:val="22"/>
        </w:rPr>
        <w:t xml:space="preserve"> century, the need to focus on safer healthcare came to prominence more recently with the publication of studies on safety epidemiology from the United States (Brennan et al 1991) and from Australia (Wilson et al 1995).  Study of failures in healthcare in Western health services suggests that about one in ten people who enter hospital care encounter some form of adverse event, with around one in 300 people suffering serious consequences ( Baker et al 2004, Zegers et al 2009, Hogan et al 2012). Research by Landrigan et al (2010) suggests an even higher rate of 25 harms per 100 admissions, a rate that appears to have failed to change over time in their study population. </w:t>
      </w:r>
    </w:p>
    <w:p w14:paraId="1FF480A1" w14:textId="77777777" w:rsidR="00C646D5" w:rsidRPr="00C646D5" w:rsidRDefault="00C646D5" w:rsidP="00C646D5">
      <w:pPr>
        <w:spacing w:line="360" w:lineRule="auto"/>
        <w:rPr>
          <w:sz w:val="22"/>
          <w:szCs w:val="22"/>
        </w:rPr>
      </w:pPr>
      <w:r w:rsidRPr="00C646D5">
        <w:rPr>
          <w:sz w:val="22"/>
          <w:szCs w:val="22"/>
        </w:rPr>
        <w:t xml:space="preserve">This information led to the publication in the USA of ’To Err is Human’ (Institute of Medicine 2000), a seminal work which considered the impact of health care failures at the population level. It was followed in the UK by a policy document from the Department of Health   – ‘An organisation with a memory’ (Department of Health 2000a) - which sought to raise safety awareness in the NHS and to plan a response to the emerging scale of the safety challenge.  </w:t>
      </w:r>
    </w:p>
    <w:p w14:paraId="01F76367" w14:textId="77777777" w:rsidR="00C646D5" w:rsidRPr="00C646D5" w:rsidRDefault="00C646D5" w:rsidP="00C646D5">
      <w:pPr>
        <w:spacing w:line="360" w:lineRule="auto"/>
        <w:rPr>
          <w:sz w:val="22"/>
          <w:szCs w:val="22"/>
        </w:rPr>
      </w:pPr>
      <w:r w:rsidRPr="00C646D5">
        <w:rPr>
          <w:sz w:val="22"/>
          <w:szCs w:val="22"/>
        </w:rPr>
        <w:t xml:space="preserve">At the same time, British public attention was also being drawn to variation in health care safety and the need to manage adverse events through the publicity surrounding the Bristol Royal Infirmary Inquiry (Department of Health 2001). The situation at Bristol Royal Infirmary was later described by Weick and Sutcliffe (2003) as a ‘culture of entrapment’. </w:t>
      </w:r>
    </w:p>
    <w:p w14:paraId="0AAD21C4" w14:textId="77777777" w:rsidR="00C646D5" w:rsidRPr="00C646D5" w:rsidRDefault="0021182A" w:rsidP="00C646D5">
      <w:pPr>
        <w:spacing w:line="360" w:lineRule="auto"/>
        <w:rPr>
          <w:sz w:val="22"/>
          <w:szCs w:val="22"/>
        </w:rPr>
      </w:pPr>
      <w:r>
        <w:rPr>
          <w:sz w:val="22"/>
          <w:szCs w:val="22"/>
        </w:rPr>
        <w:t>Since the early research on adverse event rates</w:t>
      </w:r>
      <w:r w:rsidR="00C646D5" w:rsidRPr="00C646D5">
        <w:rPr>
          <w:sz w:val="22"/>
          <w:szCs w:val="22"/>
        </w:rPr>
        <w:t xml:space="preserve"> there have been a number of other important inquiries concerning healthcare failures, concerning both the work of individual clinicians (for example, the inquiry into quality and practice in the NHS arising from the actions of Rodney Ledward) (Department of Health 2000b) and also of seemingly whole systems failures of care (for instance, the recent independent inquiry into care provided by Mid Staffordshire NHS Foundation Trust) (The Stationary Office 2103). These inquiries appear to show that the cultural and safety challenges for the NHS remain considerable at the time of writing.</w:t>
      </w:r>
    </w:p>
    <w:p w14:paraId="2EF50A4A" w14:textId="77777777" w:rsidR="00C646D5" w:rsidRPr="00C646D5" w:rsidRDefault="00C646D5" w:rsidP="00C646D5">
      <w:pPr>
        <w:spacing w:line="360" w:lineRule="auto"/>
        <w:rPr>
          <w:sz w:val="22"/>
          <w:szCs w:val="22"/>
        </w:rPr>
      </w:pPr>
      <w:r w:rsidRPr="00C646D5">
        <w:rPr>
          <w:sz w:val="22"/>
          <w:szCs w:val="22"/>
        </w:rPr>
        <w:t>Although hospitals are now beginning to be recognised as fast moving, complex and potentially unsafe entities, an initial challenge to organisational improvement was that the response to failures was perceived as a need to fix ‘human error’ in organisations that were erroneously considered to be safe environments (Woods 2006a). Thus accident models became centred on the role of humans, while root cause analysis and ‘blame and train’ (Cook et al 2008a) became established practice following an incident.</w:t>
      </w:r>
    </w:p>
    <w:p w14:paraId="09987831" w14:textId="77777777" w:rsidR="00C646D5" w:rsidRPr="00124DDB" w:rsidRDefault="00C646D5" w:rsidP="00C646D5">
      <w:pPr>
        <w:spacing w:line="360" w:lineRule="auto"/>
        <w:rPr>
          <w:b/>
        </w:rPr>
      </w:pPr>
      <w:r>
        <w:rPr>
          <w:b/>
        </w:rPr>
        <w:lastRenderedPageBreak/>
        <w:t xml:space="preserve">2.2 </w:t>
      </w:r>
      <w:r w:rsidRPr="00124DDB">
        <w:rPr>
          <w:b/>
        </w:rPr>
        <w:t xml:space="preserve">Whose responsibility? From human error to </w:t>
      </w:r>
      <w:r>
        <w:rPr>
          <w:b/>
        </w:rPr>
        <w:t xml:space="preserve">organisational and human </w:t>
      </w:r>
      <w:r w:rsidRPr="00124DDB">
        <w:rPr>
          <w:b/>
        </w:rPr>
        <w:t>resilience</w:t>
      </w:r>
    </w:p>
    <w:p w14:paraId="3947A6B0" w14:textId="77777777" w:rsidR="00C646D5" w:rsidRPr="00C646D5" w:rsidRDefault="00C646D5" w:rsidP="00C646D5">
      <w:pPr>
        <w:spacing w:line="360" w:lineRule="auto"/>
        <w:rPr>
          <w:sz w:val="22"/>
          <w:szCs w:val="22"/>
        </w:rPr>
      </w:pPr>
      <w:r w:rsidRPr="00C646D5">
        <w:rPr>
          <w:sz w:val="22"/>
          <w:szCs w:val="22"/>
        </w:rPr>
        <w:t xml:space="preserve">Even as health services were rather belatedly awakening to the concept of ‘human error’, investigations into major industrial events such as the Piper Alpha explosion  (Flinn 2006) were  moving to identifying the place and role of individuals within the context of the working environment and business systems, rather than seeing the individual as the primary source of an event.  Thus Perrow (1999) introduced the concept of the ‘Normal Accident’ (accidents are the product of normal operations) and Reason (1997) described the notion of organisational accidents. The conceptual perspective was moving from the individual as a cause of accidents to a more balanced view of the role of individuals as often being a key aspect in the prevention of failures and adverse events, or at least in ameliorating their effects rather than being the cause. </w:t>
      </w:r>
    </w:p>
    <w:p w14:paraId="0CD27695" w14:textId="77777777" w:rsidR="00C646D5" w:rsidRPr="00C646D5" w:rsidRDefault="00C646D5" w:rsidP="00C646D5">
      <w:pPr>
        <w:spacing w:line="360" w:lineRule="auto"/>
        <w:rPr>
          <w:sz w:val="22"/>
          <w:szCs w:val="22"/>
        </w:rPr>
      </w:pPr>
      <w:r w:rsidRPr="00C646D5">
        <w:rPr>
          <w:sz w:val="22"/>
          <w:szCs w:val="22"/>
        </w:rPr>
        <w:t xml:space="preserve">It no longer became useful, therefore, to ‘blame and train’, as seeing the human as part of the risk, but rather it was necessary to understand the underlying causes of unexpected (sometimes referred to as surprising) events. Woods and Cook (2002) laid out a framework for this new approach in their ‘Nine steps to move forward from error’ in which they critiqued the failure of organisations to take account of research evidence on systems failure and made the case for viewing people as making an important contribution to safety – as part of the solution. Weick’s (1987) thoughtful work on human reliability and the search for High Reliability Organisations (HRO) (Rochlin 1987) helped to transfer attention from the negative view on risks and risky organisations towards celebrating the ability of organisations and individuals to respond to unexpected challenges and to recover (Cook and Connor 2005). </w:t>
      </w:r>
    </w:p>
    <w:p w14:paraId="011BFC9D" w14:textId="77777777" w:rsidR="00C646D5" w:rsidRPr="00C646D5" w:rsidRDefault="00C646D5" w:rsidP="00C646D5">
      <w:pPr>
        <w:spacing w:line="360" w:lineRule="auto"/>
        <w:rPr>
          <w:sz w:val="22"/>
          <w:szCs w:val="22"/>
        </w:rPr>
      </w:pPr>
      <w:r w:rsidRPr="00C646D5">
        <w:rPr>
          <w:sz w:val="22"/>
          <w:szCs w:val="22"/>
        </w:rPr>
        <w:t xml:space="preserve">Some have argued that the answer to the challenge of failure in complex healthcare situations is training for high reliability (Gaba 2003) and proposed using the HRO model found on some aircraft carriers or in the nuclear power industry.   Reason (2000) saw advantages in the HRO model in these settings because such systems rehearse failure scenarios and put considerable resources into this effort.  However Roberts et al (2005) pointed to the fragility of a High Reliability Organisation in healthcare, describing the development and subsequent demise of the HRO when key opinion leaders moved on. Furthermore, others have countered that healthcare is dissimilar from tightly managed industrial or military HRO settings and healthcare is instead confounded by complexity - ‘the enemy of safety’ (Woods et al 2010), and that sharp-end health care is confusing, ‘messy’ (Nemeth et al 2004, Cook et al 2008b) and ‘regularly irregular’ (Nemeth et al 2007). This picture of ‘messy-ness’ is well documented by Wears et al (2006) who have provided </w:t>
      </w:r>
      <w:r w:rsidRPr="00C646D5">
        <w:rPr>
          <w:sz w:val="22"/>
          <w:szCs w:val="22"/>
        </w:rPr>
        <w:lastRenderedPageBreak/>
        <w:t>examples of Emergency Departments becoming overwhelmed by demand in. Similar situations are likely to be found in many other acute units in hospitals.</w:t>
      </w:r>
    </w:p>
    <w:p w14:paraId="29B6B547" w14:textId="77777777" w:rsidR="00C646D5" w:rsidRPr="00C646D5" w:rsidRDefault="00C646D5" w:rsidP="00C646D5">
      <w:pPr>
        <w:spacing w:line="360" w:lineRule="auto"/>
        <w:rPr>
          <w:sz w:val="22"/>
          <w:szCs w:val="22"/>
        </w:rPr>
      </w:pPr>
      <w:r w:rsidRPr="00C646D5">
        <w:rPr>
          <w:sz w:val="22"/>
          <w:szCs w:val="22"/>
        </w:rPr>
        <w:t xml:space="preserve">Resilience has been defined by Nemeth et al (2008a) as </w:t>
      </w:r>
    </w:p>
    <w:p w14:paraId="61553F02" w14:textId="77777777" w:rsidR="00C646D5" w:rsidRPr="00C646D5" w:rsidRDefault="00C646D5" w:rsidP="00C646D5">
      <w:pPr>
        <w:spacing w:line="240" w:lineRule="auto"/>
        <w:ind w:left="720"/>
        <w:rPr>
          <w:sz w:val="22"/>
          <w:szCs w:val="22"/>
        </w:rPr>
      </w:pPr>
      <w:r w:rsidRPr="00C646D5">
        <w:rPr>
          <w:sz w:val="22"/>
          <w:szCs w:val="22"/>
        </w:rPr>
        <w:t xml:space="preserve">‘the intrinsic ability of a system to adjust its functioning prior to, during or following changes and disturbances so that it can sustain required operations, even after a major mishap or in the presence of continuous stress’.  </w:t>
      </w:r>
    </w:p>
    <w:p w14:paraId="1E5F0961" w14:textId="77777777" w:rsidR="00C646D5" w:rsidRPr="00C646D5" w:rsidRDefault="00C646D5" w:rsidP="00C646D5">
      <w:pPr>
        <w:spacing w:line="360" w:lineRule="auto"/>
        <w:rPr>
          <w:sz w:val="22"/>
          <w:szCs w:val="22"/>
        </w:rPr>
      </w:pPr>
      <w:r w:rsidRPr="00C646D5">
        <w:rPr>
          <w:sz w:val="22"/>
          <w:szCs w:val="22"/>
        </w:rPr>
        <w:t xml:space="preserve">The concept of resilient healthcare organisations grew out of the recognition that it is normally not possible to build in the required redundancies in systems and staff that HROs require.  But it should be the case that natural resilience could be enhanced in organisations to attempt to proof them, their teams and patients against unexpected events. </w:t>
      </w:r>
    </w:p>
    <w:p w14:paraId="3EF7A1B5" w14:textId="77777777" w:rsidR="00C646D5" w:rsidRPr="00C646D5" w:rsidRDefault="00C646D5" w:rsidP="00C646D5">
      <w:pPr>
        <w:spacing w:line="360" w:lineRule="auto"/>
        <w:rPr>
          <w:sz w:val="22"/>
          <w:szCs w:val="22"/>
        </w:rPr>
      </w:pPr>
      <w:r w:rsidRPr="00C646D5">
        <w:rPr>
          <w:sz w:val="22"/>
          <w:szCs w:val="22"/>
        </w:rPr>
        <w:t xml:space="preserve">Hollnagel (2013) also suggests that performance variability – the factor that many healthcare systems try to control – is a normal feature of all complex systems and that eliminating variability is likely to reduce the effectiveness of the system. </w:t>
      </w:r>
    </w:p>
    <w:p w14:paraId="3D0383EE" w14:textId="77777777" w:rsidR="00C646D5" w:rsidRPr="00C646D5" w:rsidRDefault="00C646D5" w:rsidP="00C646D5">
      <w:pPr>
        <w:spacing w:line="360" w:lineRule="auto"/>
        <w:rPr>
          <w:sz w:val="22"/>
          <w:szCs w:val="22"/>
        </w:rPr>
      </w:pPr>
      <w:r w:rsidRPr="00C646D5">
        <w:rPr>
          <w:sz w:val="22"/>
          <w:szCs w:val="22"/>
        </w:rPr>
        <w:t xml:space="preserve">In this context it has been argued that rather than being a vulnerability, human adaptability is a strength, contributing through human resilience to the resilience of the organisation as a whole (Reason 2008, Cook 2013). One of the useful adjunct approaches in this work is the study of the presence and effect of ‘gaps’ in healthcare (Cook et al 2000, Nemeth et al 2008, Patterson et al 2014) that can be used to identify vulnerabilities that might be fixed, or at least bridged, when seeking to enhance the resilience of a team or system. </w:t>
      </w:r>
    </w:p>
    <w:p w14:paraId="4AE91FDF" w14:textId="77777777" w:rsidR="00C646D5" w:rsidRPr="00C646D5" w:rsidRDefault="00C646D5" w:rsidP="00C646D5">
      <w:pPr>
        <w:spacing w:line="360" w:lineRule="auto"/>
        <w:rPr>
          <w:sz w:val="22"/>
          <w:szCs w:val="22"/>
        </w:rPr>
      </w:pPr>
      <w:r w:rsidRPr="00C646D5">
        <w:rPr>
          <w:sz w:val="22"/>
          <w:szCs w:val="22"/>
        </w:rPr>
        <w:t xml:space="preserve">Increasingly, detailed observational research is documenting resilient responses at the organisational level (for example, Cook and Connor 2005).  Nemeth et al (2008) and Wears et al (2006) have used workflow analysis during patient admission and handover to explore the settings in which clinical decisions may have to be made under stress and thus to study the resilience of the workforce in overcoming institutional barriers to better care.  </w:t>
      </w:r>
    </w:p>
    <w:p w14:paraId="6C7882C1" w14:textId="77777777" w:rsidR="00C646D5" w:rsidRPr="00C646D5" w:rsidRDefault="00C646D5" w:rsidP="00C646D5">
      <w:pPr>
        <w:spacing w:line="360" w:lineRule="auto"/>
        <w:rPr>
          <w:sz w:val="22"/>
          <w:szCs w:val="22"/>
        </w:rPr>
      </w:pPr>
      <w:r w:rsidRPr="00C646D5">
        <w:rPr>
          <w:sz w:val="22"/>
          <w:szCs w:val="22"/>
        </w:rPr>
        <w:t xml:space="preserve">At the individual level, healthcare professionals are shown on a regular basis to be fixing systems that do not work properly (Smith et al 2013).  Or in other words, they can act in a positive, resilient manner – ‘taking it in one’s stride’, as Cook and Nemeth (2006) so aptly describe it. Interestingly, some of the examples of ‘fixes’ so far published in the healthcare literature, for instance by Smith et al (2013), appear to be similar to what one might call everyday clinical practice.  </w:t>
      </w:r>
    </w:p>
    <w:p w14:paraId="663D10A9" w14:textId="77777777" w:rsidR="00C646D5" w:rsidRPr="00C646D5" w:rsidRDefault="00C646D5" w:rsidP="00C646D5">
      <w:pPr>
        <w:spacing w:line="360" w:lineRule="auto"/>
        <w:rPr>
          <w:sz w:val="22"/>
          <w:szCs w:val="22"/>
        </w:rPr>
      </w:pPr>
      <w:r w:rsidRPr="00C646D5">
        <w:rPr>
          <w:sz w:val="22"/>
          <w:szCs w:val="22"/>
        </w:rPr>
        <w:t xml:space="preserve">Recent work has also explored the concept of resilience markers which might act as an early warning or as a pointer towards examples of good practice or where gaps in care  may indicate potential difficulties or failures. Drawing on experience in the nuclear industry, </w:t>
      </w:r>
      <w:r w:rsidRPr="00C646D5">
        <w:rPr>
          <w:sz w:val="22"/>
          <w:szCs w:val="22"/>
        </w:rPr>
        <w:lastRenderedPageBreak/>
        <w:t>Furniss and colleagues (2011a) have proposed a resilience markers framework to identify and categorise resilient actions in healthcare (Furniss et al 2011b), although this approach is still in the early stages of development.  Indeed, Cook (2013) points out that the work is challenging and that our knowledge of resilience in all fields is based on a few examples rather than having a well worked through conceptual base. Thus the notion of resilience in healthcare is still ‘work in progress’ but provides a valuable perspective through which to explore safer care initiatives.</w:t>
      </w:r>
    </w:p>
    <w:p w14:paraId="4FB5089F" w14:textId="77777777" w:rsidR="00C646D5" w:rsidRPr="000267FA" w:rsidRDefault="00C646D5" w:rsidP="00C646D5">
      <w:pPr>
        <w:spacing w:line="360" w:lineRule="auto"/>
        <w:rPr>
          <w:b/>
        </w:rPr>
      </w:pPr>
      <w:r>
        <w:rPr>
          <w:b/>
        </w:rPr>
        <w:t xml:space="preserve">2.3 </w:t>
      </w:r>
      <w:r w:rsidRPr="000267FA">
        <w:rPr>
          <w:b/>
        </w:rPr>
        <w:t>A changing, and more positive, concept</w:t>
      </w:r>
      <w:r>
        <w:rPr>
          <w:b/>
        </w:rPr>
        <w:t xml:space="preserve"> of safety</w:t>
      </w:r>
    </w:p>
    <w:p w14:paraId="6F18A4CF" w14:textId="77777777" w:rsidR="00C646D5" w:rsidRPr="00C646D5" w:rsidRDefault="00C646D5" w:rsidP="00C646D5">
      <w:pPr>
        <w:spacing w:line="360" w:lineRule="auto"/>
        <w:rPr>
          <w:sz w:val="22"/>
          <w:szCs w:val="22"/>
        </w:rPr>
      </w:pPr>
      <w:r w:rsidRPr="00C646D5">
        <w:rPr>
          <w:sz w:val="22"/>
          <w:szCs w:val="22"/>
        </w:rPr>
        <w:t>It seems to have been a challenge for healthcare in general to come to a useful – that is, understandable and workable – definition of safety.  By conceptualising safety as a ‘dynamic non-event’ Weick (1987) helped to show that the idea of safety might be more complex than a definition based on the notion of freedom from events. But how might this new definition be accomplished, particularly when others were seeing accidents in large organisations as ‘normal’?</w:t>
      </w:r>
      <w:r w:rsidRPr="00C646D5">
        <w:rPr>
          <w:b/>
          <w:sz w:val="22"/>
          <w:szCs w:val="22"/>
        </w:rPr>
        <w:t xml:space="preserve"> </w:t>
      </w:r>
      <w:r w:rsidRPr="00C646D5">
        <w:rPr>
          <w:sz w:val="22"/>
          <w:szCs w:val="22"/>
        </w:rPr>
        <w:t>(Perrow 1999)</w:t>
      </w:r>
    </w:p>
    <w:p w14:paraId="1F778C5E" w14:textId="77777777" w:rsidR="00C646D5" w:rsidRPr="00C646D5" w:rsidRDefault="00C646D5" w:rsidP="00C646D5">
      <w:pPr>
        <w:spacing w:line="360" w:lineRule="auto"/>
        <w:rPr>
          <w:sz w:val="22"/>
          <w:szCs w:val="22"/>
        </w:rPr>
      </w:pPr>
      <w:r w:rsidRPr="00C646D5">
        <w:rPr>
          <w:sz w:val="22"/>
          <w:szCs w:val="22"/>
        </w:rPr>
        <w:t>My own work on reviewing the care of people who died in hospital has shown that many people  who have apparently poor outcomes can be recipients of care that is both of good quality, sometimes under difficult  conditions, and is safe (even event free) (Hutchinson et al  2013).  And in a UK healthcare service where ‘efficiency savings’ mean care must be provided in a ‘faster, better, cheaper’ mode, I have until recently found it difficult to identify a definition of safety that encompasses the complex reality of health care, the need to reduce adverse events and the obvious commitment of most healthcare professionals.</w:t>
      </w:r>
    </w:p>
    <w:p w14:paraId="4850ACAB" w14:textId="77777777" w:rsidR="00C646D5" w:rsidRPr="00C646D5" w:rsidRDefault="00C646D5" w:rsidP="00C646D5">
      <w:pPr>
        <w:spacing w:line="360" w:lineRule="auto"/>
        <w:rPr>
          <w:sz w:val="22"/>
          <w:szCs w:val="22"/>
        </w:rPr>
      </w:pPr>
      <w:r w:rsidRPr="00C646D5">
        <w:rPr>
          <w:sz w:val="22"/>
          <w:szCs w:val="22"/>
        </w:rPr>
        <w:t xml:space="preserve"> Thus the emergence of new ideas on safety, in which (so-called</w:t>
      </w:r>
      <w:r w:rsidR="0021182A">
        <w:rPr>
          <w:sz w:val="22"/>
          <w:szCs w:val="22"/>
        </w:rPr>
        <w:t>)</w:t>
      </w:r>
      <w:r w:rsidRPr="00C646D5">
        <w:rPr>
          <w:sz w:val="22"/>
          <w:szCs w:val="22"/>
        </w:rPr>
        <w:t xml:space="preserve"> Safety II is defined as -</w:t>
      </w:r>
    </w:p>
    <w:p w14:paraId="59FCF0A4" w14:textId="77777777" w:rsidR="00C646D5" w:rsidRPr="00C646D5" w:rsidRDefault="00C646D5" w:rsidP="00C646D5">
      <w:pPr>
        <w:spacing w:line="240" w:lineRule="auto"/>
        <w:ind w:left="720"/>
        <w:rPr>
          <w:sz w:val="22"/>
          <w:szCs w:val="22"/>
        </w:rPr>
      </w:pPr>
      <w:r w:rsidRPr="00C646D5">
        <w:rPr>
          <w:sz w:val="22"/>
          <w:szCs w:val="22"/>
        </w:rPr>
        <w:t xml:space="preserve"> ‘the ability to succeed under varying conditions, so that the number of intended and acceptable outcomes is as high as possible’ (Hollnagel 2013),</w:t>
      </w:r>
    </w:p>
    <w:p w14:paraId="57A89938" w14:textId="77777777" w:rsidR="00C646D5" w:rsidRPr="00C646D5" w:rsidRDefault="00C646D5" w:rsidP="00C646D5">
      <w:pPr>
        <w:spacing w:line="360" w:lineRule="auto"/>
        <w:rPr>
          <w:b/>
          <w:sz w:val="22"/>
          <w:szCs w:val="22"/>
        </w:rPr>
      </w:pPr>
      <w:r w:rsidRPr="00C646D5">
        <w:rPr>
          <w:sz w:val="22"/>
          <w:szCs w:val="22"/>
        </w:rPr>
        <w:t xml:space="preserve">- for me allows a new paradigm for both research and practice, and one in which to review the potential impact of the research presented here. </w:t>
      </w:r>
    </w:p>
    <w:p w14:paraId="7A0AEAC8" w14:textId="77777777" w:rsidR="00C646D5" w:rsidRPr="00E30C86" w:rsidRDefault="00C646D5" w:rsidP="00C646D5">
      <w:pPr>
        <w:spacing w:line="360" w:lineRule="auto"/>
        <w:rPr>
          <w:b/>
        </w:rPr>
      </w:pPr>
      <w:r w:rsidRPr="00E30C86">
        <w:rPr>
          <w:b/>
        </w:rPr>
        <w:t>2.4 Presentation of the studies and publications</w:t>
      </w:r>
    </w:p>
    <w:p w14:paraId="0FDDFB03" w14:textId="77777777" w:rsidR="00C646D5" w:rsidRPr="00C646D5" w:rsidRDefault="00C646D5" w:rsidP="00C646D5">
      <w:pPr>
        <w:spacing w:line="360" w:lineRule="auto"/>
        <w:rPr>
          <w:sz w:val="22"/>
          <w:szCs w:val="22"/>
        </w:rPr>
      </w:pPr>
      <w:r w:rsidRPr="00C646D5">
        <w:rPr>
          <w:sz w:val="22"/>
          <w:szCs w:val="22"/>
        </w:rPr>
        <w:t xml:space="preserve">I have therefore set out my work presented in the six publications in the context of the recent thinking on safer healthcare and on resilience. The studies are primarily methodological in nature but with UK NHS applications. For example, at the time of writing, </w:t>
      </w:r>
      <w:r w:rsidRPr="00C646D5">
        <w:rPr>
          <w:i/>
          <w:sz w:val="22"/>
          <w:szCs w:val="22"/>
        </w:rPr>
        <w:t>Publication 6</w:t>
      </w:r>
      <w:r w:rsidRPr="00C646D5">
        <w:rPr>
          <w:sz w:val="22"/>
          <w:szCs w:val="22"/>
        </w:rPr>
        <w:t xml:space="preserve"> is informing a large NHS safety and quality initiative. Because there are either conceptual or methodological linkages between the studies on which the publications are based I have chosen to group the publications together, and to discuss them, under three headings:-  </w:t>
      </w:r>
    </w:p>
    <w:p w14:paraId="51F35B69" w14:textId="77777777" w:rsidR="00C646D5" w:rsidRPr="00C646D5" w:rsidRDefault="00C646D5" w:rsidP="00C646D5">
      <w:pPr>
        <w:spacing w:line="360" w:lineRule="auto"/>
        <w:rPr>
          <w:sz w:val="22"/>
          <w:szCs w:val="22"/>
        </w:rPr>
      </w:pPr>
      <w:r w:rsidRPr="00C646D5">
        <w:rPr>
          <w:sz w:val="22"/>
          <w:szCs w:val="22"/>
        </w:rPr>
        <w:lastRenderedPageBreak/>
        <w:t>(</w:t>
      </w:r>
      <w:r w:rsidRPr="00C646D5">
        <w:rPr>
          <w:b/>
          <w:sz w:val="22"/>
          <w:szCs w:val="22"/>
        </w:rPr>
        <w:t>1</w:t>
      </w:r>
      <w:r w:rsidRPr="00C646D5">
        <w:rPr>
          <w:sz w:val="22"/>
          <w:szCs w:val="22"/>
        </w:rPr>
        <w:t>) Safety Climate, Safety Culture and Event Reporting,</w:t>
      </w:r>
    </w:p>
    <w:p w14:paraId="0006A344" w14:textId="77777777" w:rsidR="00C646D5" w:rsidRPr="00C646D5" w:rsidRDefault="00C646D5" w:rsidP="00C646D5">
      <w:pPr>
        <w:spacing w:line="360" w:lineRule="auto"/>
        <w:rPr>
          <w:sz w:val="22"/>
          <w:szCs w:val="22"/>
        </w:rPr>
      </w:pPr>
      <w:r w:rsidRPr="00C646D5">
        <w:rPr>
          <w:sz w:val="22"/>
          <w:szCs w:val="22"/>
        </w:rPr>
        <w:t>(</w:t>
      </w:r>
      <w:r w:rsidRPr="00C646D5">
        <w:rPr>
          <w:b/>
          <w:sz w:val="22"/>
          <w:szCs w:val="22"/>
        </w:rPr>
        <w:t>2</w:t>
      </w:r>
      <w:r w:rsidRPr="00C646D5">
        <w:rPr>
          <w:sz w:val="22"/>
          <w:szCs w:val="22"/>
        </w:rPr>
        <w:t xml:space="preserve">) Care Pathway Prospective Hazard Analysis, </w:t>
      </w:r>
    </w:p>
    <w:p w14:paraId="19B20C32" w14:textId="77777777" w:rsidR="00C646D5" w:rsidRPr="00C646D5" w:rsidRDefault="00C646D5" w:rsidP="00C646D5">
      <w:pPr>
        <w:spacing w:line="360" w:lineRule="auto"/>
        <w:rPr>
          <w:sz w:val="22"/>
          <w:szCs w:val="22"/>
        </w:rPr>
      </w:pPr>
      <w:r w:rsidRPr="00C646D5">
        <w:rPr>
          <w:sz w:val="22"/>
          <w:szCs w:val="22"/>
        </w:rPr>
        <w:t>(</w:t>
      </w:r>
      <w:r w:rsidRPr="00C646D5">
        <w:rPr>
          <w:b/>
          <w:sz w:val="22"/>
          <w:szCs w:val="22"/>
        </w:rPr>
        <w:t>3</w:t>
      </w:r>
      <w:r w:rsidRPr="00C646D5">
        <w:rPr>
          <w:sz w:val="22"/>
          <w:szCs w:val="22"/>
        </w:rPr>
        <w:t xml:space="preserve">) Studies based on </w:t>
      </w:r>
      <w:r w:rsidR="00133AAC">
        <w:rPr>
          <w:sz w:val="22"/>
          <w:szCs w:val="22"/>
        </w:rPr>
        <w:t>Retrospective</w:t>
      </w:r>
      <w:r w:rsidRPr="00C646D5">
        <w:rPr>
          <w:sz w:val="22"/>
          <w:szCs w:val="22"/>
        </w:rPr>
        <w:t xml:space="preserve"> Case Note Review.  </w:t>
      </w:r>
    </w:p>
    <w:p w14:paraId="5E8A9F3F" w14:textId="77777777" w:rsidR="00C646D5" w:rsidRDefault="00C646D5" w:rsidP="00C646D5">
      <w:r>
        <w:br w:type="page"/>
      </w:r>
    </w:p>
    <w:p w14:paraId="070C2D85" w14:textId="77777777" w:rsidR="00C646D5" w:rsidRPr="00F9374C" w:rsidRDefault="00C646D5" w:rsidP="00C646D5">
      <w:pPr>
        <w:rPr>
          <w:b/>
          <w:sz w:val="28"/>
          <w:szCs w:val="28"/>
        </w:rPr>
      </w:pPr>
      <w:r w:rsidRPr="00F9374C">
        <w:rPr>
          <w:b/>
          <w:sz w:val="28"/>
          <w:szCs w:val="28"/>
        </w:rPr>
        <w:lastRenderedPageBreak/>
        <w:t xml:space="preserve">3. Summaries of the </w:t>
      </w:r>
      <w:r>
        <w:rPr>
          <w:b/>
          <w:sz w:val="28"/>
          <w:szCs w:val="28"/>
        </w:rPr>
        <w:t xml:space="preserve">six </w:t>
      </w:r>
      <w:r w:rsidRPr="00F9374C">
        <w:rPr>
          <w:b/>
          <w:sz w:val="28"/>
          <w:szCs w:val="28"/>
        </w:rPr>
        <w:t xml:space="preserve">presented publications, </w:t>
      </w:r>
      <w:r w:rsidR="00A04AA9">
        <w:rPr>
          <w:b/>
          <w:sz w:val="28"/>
          <w:szCs w:val="28"/>
        </w:rPr>
        <w:t>author</w:t>
      </w:r>
      <w:r w:rsidRPr="00F9374C">
        <w:rPr>
          <w:b/>
          <w:sz w:val="28"/>
          <w:szCs w:val="28"/>
        </w:rPr>
        <w:t xml:space="preserve"> contribution</w:t>
      </w:r>
      <w:r w:rsidR="00A04AA9">
        <w:rPr>
          <w:b/>
          <w:sz w:val="28"/>
          <w:szCs w:val="28"/>
        </w:rPr>
        <w:t xml:space="preserve"> </w:t>
      </w:r>
      <w:r w:rsidRPr="00F9374C">
        <w:rPr>
          <w:b/>
          <w:sz w:val="28"/>
          <w:szCs w:val="28"/>
        </w:rPr>
        <w:t>and impact of the studies.</w:t>
      </w:r>
    </w:p>
    <w:p w14:paraId="793AEB5B" w14:textId="77777777" w:rsidR="00A04AA9" w:rsidRDefault="00A04AA9" w:rsidP="00C646D5">
      <w:pPr>
        <w:spacing w:line="360" w:lineRule="auto"/>
        <w:rPr>
          <w:sz w:val="22"/>
          <w:szCs w:val="22"/>
        </w:rPr>
      </w:pPr>
    </w:p>
    <w:p w14:paraId="6463EA0F" w14:textId="77777777" w:rsidR="00C646D5" w:rsidRPr="00C646D5" w:rsidRDefault="00C646D5" w:rsidP="00C646D5">
      <w:pPr>
        <w:spacing w:line="360" w:lineRule="auto"/>
        <w:rPr>
          <w:sz w:val="22"/>
          <w:szCs w:val="22"/>
        </w:rPr>
      </w:pPr>
      <w:r w:rsidRPr="00C646D5">
        <w:rPr>
          <w:sz w:val="22"/>
          <w:szCs w:val="22"/>
        </w:rPr>
        <w:t>This section comprises brief summaries of the six published research papers on which this thesis is based and they are grouped together under the three headings as outlined in Section 2.  Full copies of the papers are in Appendi</w:t>
      </w:r>
      <w:r w:rsidR="00A04AA9">
        <w:rPr>
          <w:sz w:val="22"/>
          <w:szCs w:val="22"/>
        </w:rPr>
        <w:t>ces 10.</w:t>
      </w:r>
      <w:r w:rsidRPr="00C646D5">
        <w:rPr>
          <w:sz w:val="22"/>
          <w:szCs w:val="22"/>
        </w:rPr>
        <w:t>2</w:t>
      </w:r>
      <w:r w:rsidR="00A04AA9">
        <w:rPr>
          <w:sz w:val="22"/>
          <w:szCs w:val="22"/>
        </w:rPr>
        <w:t xml:space="preserve"> to 10.7.</w:t>
      </w:r>
    </w:p>
    <w:p w14:paraId="68171FC8" w14:textId="77777777" w:rsidR="00C646D5" w:rsidRDefault="00C646D5" w:rsidP="00C646D5">
      <w:pPr>
        <w:spacing w:line="360" w:lineRule="auto"/>
        <w:rPr>
          <w:sz w:val="22"/>
          <w:szCs w:val="22"/>
        </w:rPr>
      </w:pPr>
      <w:r w:rsidRPr="00C646D5">
        <w:rPr>
          <w:sz w:val="22"/>
          <w:szCs w:val="22"/>
        </w:rPr>
        <w:t>My contributions to Publications 2, 3, 4</w:t>
      </w:r>
      <w:r w:rsidR="0021182A">
        <w:rPr>
          <w:sz w:val="22"/>
          <w:szCs w:val="22"/>
        </w:rPr>
        <w:t>, 5</w:t>
      </w:r>
      <w:r w:rsidRPr="00C646D5">
        <w:rPr>
          <w:sz w:val="22"/>
          <w:szCs w:val="22"/>
        </w:rPr>
        <w:t xml:space="preserve"> and 6 are included in the format which was required by the publishers, agreed with co-authors and printed in the journals. There was no journal requirement for a contribution statement for Publication 1 and I have provided an explanatory statement for this. For Publication 3 I was not the corresponding author but the print version of the publication acknowledged that I had made an equal level of contribution to the corresponding author. Here I have included the published contribution statement together with an additional explanatory note of my role. </w:t>
      </w:r>
    </w:p>
    <w:p w14:paraId="5A2B2FCB" w14:textId="77777777" w:rsidR="002A300B" w:rsidRPr="00584D74" w:rsidRDefault="00A04AA9" w:rsidP="002A300B">
      <w:pPr>
        <w:spacing w:line="360" w:lineRule="auto"/>
        <w:rPr>
          <w:sz w:val="22"/>
          <w:szCs w:val="22"/>
        </w:rPr>
      </w:pPr>
      <w:r>
        <w:rPr>
          <w:sz w:val="22"/>
          <w:szCs w:val="22"/>
        </w:rPr>
        <w:t xml:space="preserve">The impact of each publication is also considered here. </w:t>
      </w:r>
      <w:r w:rsidR="002A300B" w:rsidRPr="00584D74">
        <w:rPr>
          <w:sz w:val="22"/>
          <w:szCs w:val="22"/>
        </w:rPr>
        <w:t>Taken together the published papers represent a multi-methods range of work round the central theme of assisting healthcare professionals to evaluate the safety of the service within which they work. The research explores aspects of safer health care in hospitals and at the boundary between primary and secondary care. Each of the studies has provided information that has been useful to both the research community and to health providers.</w:t>
      </w:r>
      <w:r w:rsidR="002A300B">
        <w:rPr>
          <w:sz w:val="22"/>
          <w:szCs w:val="22"/>
        </w:rPr>
        <w:t xml:space="preserve"> An impact statement accompanies each of the presented </w:t>
      </w:r>
      <w:r>
        <w:rPr>
          <w:sz w:val="22"/>
          <w:szCs w:val="22"/>
        </w:rPr>
        <w:t>publication</w:t>
      </w:r>
      <w:r w:rsidR="002A300B">
        <w:rPr>
          <w:sz w:val="22"/>
          <w:szCs w:val="22"/>
        </w:rPr>
        <w:t xml:space="preserve"> summaries.</w:t>
      </w:r>
    </w:p>
    <w:p w14:paraId="45D56D6A" w14:textId="77777777" w:rsidR="00A04AA9" w:rsidRDefault="00A04AA9" w:rsidP="00C646D5">
      <w:pPr>
        <w:rPr>
          <w:b/>
        </w:rPr>
      </w:pPr>
    </w:p>
    <w:p w14:paraId="27D36037" w14:textId="77777777" w:rsidR="00C646D5" w:rsidRPr="00735DDF" w:rsidRDefault="00C646D5" w:rsidP="00C646D5">
      <w:pPr>
        <w:rPr>
          <w:b/>
        </w:rPr>
      </w:pPr>
      <w:r>
        <w:rPr>
          <w:b/>
        </w:rPr>
        <w:t>The presented p</w:t>
      </w:r>
      <w:r w:rsidRPr="00735DDF">
        <w:rPr>
          <w:b/>
        </w:rPr>
        <w:t>ublications</w:t>
      </w:r>
    </w:p>
    <w:p w14:paraId="731ED640" w14:textId="77777777" w:rsidR="00C646D5" w:rsidRPr="00AF2153" w:rsidRDefault="00C646D5" w:rsidP="00C646D5">
      <w:pPr>
        <w:spacing w:line="360" w:lineRule="auto"/>
        <w:rPr>
          <w:b/>
          <w:i/>
        </w:rPr>
      </w:pPr>
      <w:r>
        <w:rPr>
          <w:b/>
          <w:i/>
        </w:rPr>
        <w:t>3</w:t>
      </w:r>
      <w:r w:rsidR="00A04AA9">
        <w:rPr>
          <w:b/>
          <w:i/>
        </w:rPr>
        <w:t>.</w:t>
      </w:r>
      <w:r>
        <w:rPr>
          <w:b/>
          <w:i/>
        </w:rPr>
        <w:t xml:space="preserve">1 Safety </w:t>
      </w:r>
      <w:r w:rsidRPr="00AF2153">
        <w:rPr>
          <w:b/>
          <w:i/>
        </w:rPr>
        <w:t>Climate</w:t>
      </w:r>
      <w:r>
        <w:rPr>
          <w:b/>
          <w:i/>
        </w:rPr>
        <w:t xml:space="preserve"> and Event Reporting </w:t>
      </w:r>
    </w:p>
    <w:p w14:paraId="010E3EE7" w14:textId="77777777" w:rsidR="00C646D5" w:rsidRPr="00C646D5" w:rsidRDefault="00C646D5" w:rsidP="00C646D5">
      <w:pPr>
        <w:spacing w:line="360" w:lineRule="auto"/>
        <w:rPr>
          <w:sz w:val="22"/>
          <w:szCs w:val="22"/>
        </w:rPr>
      </w:pPr>
      <w:r w:rsidRPr="00C646D5">
        <w:rPr>
          <w:sz w:val="22"/>
          <w:szCs w:val="22"/>
        </w:rPr>
        <w:t xml:space="preserve">Two publications are presented here, linked conceptually to safety culture, since one study is directly about safety climate, while the second study found that higher trends in reporting adverse events were linked to a more positive safety culture and there is a </w:t>
      </w:r>
      <w:r w:rsidR="00A04AA9">
        <w:rPr>
          <w:sz w:val="22"/>
          <w:szCs w:val="22"/>
        </w:rPr>
        <w:t xml:space="preserve">relevant </w:t>
      </w:r>
      <w:r w:rsidRPr="00C646D5">
        <w:rPr>
          <w:sz w:val="22"/>
          <w:szCs w:val="22"/>
        </w:rPr>
        <w:t xml:space="preserve">literature on this subject.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82"/>
      </w:tblGrid>
      <w:tr w:rsidR="00C646D5" w:rsidRPr="00C646D5" w14:paraId="68A6191D" w14:textId="77777777" w:rsidTr="00C646D5">
        <w:trPr>
          <w:trHeight w:val="1977"/>
        </w:trPr>
        <w:tc>
          <w:tcPr>
            <w:tcW w:w="8682" w:type="dxa"/>
          </w:tcPr>
          <w:p w14:paraId="1A8FDBE4" w14:textId="77777777" w:rsidR="00C646D5" w:rsidRPr="00C646D5" w:rsidRDefault="00C646D5" w:rsidP="00C646D5">
            <w:pPr>
              <w:spacing w:line="360" w:lineRule="auto"/>
              <w:rPr>
                <w:sz w:val="22"/>
                <w:szCs w:val="22"/>
              </w:rPr>
            </w:pPr>
            <w:r w:rsidRPr="00C646D5">
              <w:rPr>
                <w:i/>
                <w:sz w:val="22"/>
                <w:szCs w:val="22"/>
              </w:rPr>
              <w:t>Publication 1</w:t>
            </w:r>
            <w:r w:rsidRPr="00C646D5">
              <w:rPr>
                <w:sz w:val="22"/>
                <w:szCs w:val="22"/>
              </w:rPr>
              <w:t xml:space="preserve">. </w:t>
            </w:r>
          </w:p>
          <w:p w14:paraId="1BF3879B" w14:textId="77777777" w:rsidR="00C646D5" w:rsidRPr="00C646D5" w:rsidRDefault="00C646D5" w:rsidP="00C646D5">
            <w:pPr>
              <w:spacing w:line="360" w:lineRule="auto"/>
              <w:rPr>
                <w:sz w:val="22"/>
                <w:szCs w:val="22"/>
              </w:rPr>
            </w:pPr>
            <w:r w:rsidRPr="00C646D5">
              <w:rPr>
                <w:b/>
                <w:sz w:val="22"/>
                <w:szCs w:val="22"/>
              </w:rPr>
              <w:t>Hutchinson A</w:t>
            </w:r>
            <w:r w:rsidRPr="00C646D5">
              <w:rPr>
                <w:sz w:val="22"/>
                <w:szCs w:val="22"/>
              </w:rPr>
              <w:t>, Cooper KL, Dean JE, McIntosh A, Patterson M, Stride CB, Laurence BE &amp; Smith CM.</w:t>
            </w:r>
            <w:r w:rsidRPr="00C646D5">
              <w:rPr>
                <w:b/>
                <w:bCs/>
                <w:sz w:val="22"/>
                <w:szCs w:val="22"/>
              </w:rPr>
              <w:t xml:space="preserve"> </w:t>
            </w:r>
            <w:r w:rsidRPr="00C646D5">
              <w:rPr>
                <w:bCs/>
                <w:sz w:val="22"/>
                <w:szCs w:val="22"/>
              </w:rPr>
              <w:t>(2006)</w:t>
            </w:r>
            <w:r w:rsidRPr="00C646D5">
              <w:rPr>
                <w:b/>
                <w:bCs/>
                <w:sz w:val="22"/>
                <w:szCs w:val="22"/>
              </w:rPr>
              <w:t xml:space="preserve"> </w:t>
            </w:r>
            <w:r w:rsidRPr="00C646D5">
              <w:rPr>
                <w:bCs/>
                <w:sz w:val="22"/>
                <w:szCs w:val="22"/>
              </w:rPr>
              <w:t>Using a safety climate questionnaire in UK healthcare: factor structure, reliability and usability.</w:t>
            </w:r>
            <w:r w:rsidRPr="00C646D5">
              <w:rPr>
                <w:b/>
                <w:bCs/>
                <w:sz w:val="22"/>
                <w:szCs w:val="22"/>
              </w:rPr>
              <w:t xml:space="preserve"> </w:t>
            </w:r>
            <w:r w:rsidRPr="00C646D5">
              <w:rPr>
                <w:i/>
                <w:sz w:val="22"/>
                <w:szCs w:val="22"/>
              </w:rPr>
              <w:t xml:space="preserve">Quality &amp; Safety in Health Care, </w:t>
            </w:r>
            <w:r w:rsidRPr="00C646D5">
              <w:rPr>
                <w:sz w:val="22"/>
                <w:szCs w:val="22"/>
              </w:rPr>
              <w:t>15, 347-353</w:t>
            </w:r>
          </w:p>
        </w:tc>
      </w:tr>
    </w:tbl>
    <w:p w14:paraId="471E60E3" w14:textId="77777777" w:rsidR="00C646D5" w:rsidRPr="00C646D5" w:rsidRDefault="00C646D5" w:rsidP="00C646D5">
      <w:pPr>
        <w:spacing w:line="360" w:lineRule="auto"/>
        <w:rPr>
          <w:sz w:val="22"/>
          <w:szCs w:val="22"/>
        </w:rPr>
      </w:pPr>
    </w:p>
    <w:p w14:paraId="7377C379" w14:textId="77777777" w:rsidR="00C646D5" w:rsidRPr="00C646D5" w:rsidRDefault="00C646D5" w:rsidP="00C646D5">
      <w:pPr>
        <w:spacing w:line="360" w:lineRule="auto"/>
        <w:rPr>
          <w:sz w:val="22"/>
          <w:szCs w:val="22"/>
        </w:rPr>
      </w:pPr>
      <w:r w:rsidRPr="00C646D5">
        <w:rPr>
          <w:sz w:val="22"/>
          <w:szCs w:val="22"/>
        </w:rPr>
        <w:t xml:space="preserve">The study reported in </w:t>
      </w:r>
      <w:r w:rsidRPr="00C646D5">
        <w:rPr>
          <w:i/>
          <w:sz w:val="22"/>
          <w:szCs w:val="22"/>
        </w:rPr>
        <w:t>Publication 1</w:t>
      </w:r>
      <w:r w:rsidRPr="00C646D5">
        <w:rPr>
          <w:sz w:val="22"/>
          <w:szCs w:val="22"/>
        </w:rPr>
        <w:t xml:space="preserve"> explored the appropriateness of using one of two selected, US designed, short safety climate questionnaires in the UK National Health Service (NHS). A small group of front line staff completed both questionnaires and then discussed their understanding of, and their responses to, the questions with a research team member.  These results were used to select a safety climate questionnaire which best fitted the respondents’ understanding of the questions - the 27 item Teamwork and Safety Climate Survey (Sexton et al 2003, </w:t>
      </w:r>
      <w:r w:rsidRPr="00C646D5">
        <w:rPr>
          <w:rFonts w:cs="Arial"/>
          <w:sz w:val="22"/>
          <w:szCs w:val="22"/>
        </w:rPr>
        <w:t>T</w:t>
      </w:r>
      <w:r w:rsidRPr="00C646D5">
        <w:rPr>
          <w:rFonts w:cs="Arial"/>
          <w:bCs/>
          <w:sz w:val="22"/>
          <w:szCs w:val="22"/>
        </w:rPr>
        <w:t>he University of Texas Center of Excellence for Patient Safety Research and Practice 2005</w:t>
      </w:r>
      <w:r w:rsidRPr="00C646D5">
        <w:rPr>
          <w:sz w:val="22"/>
          <w:szCs w:val="22"/>
        </w:rPr>
        <w:t xml:space="preserve">). </w:t>
      </w:r>
    </w:p>
    <w:p w14:paraId="5492DF15" w14:textId="77777777" w:rsidR="00C646D5" w:rsidRPr="00C646D5" w:rsidRDefault="00C646D5" w:rsidP="00C646D5">
      <w:pPr>
        <w:spacing w:line="360" w:lineRule="auto"/>
        <w:rPr>
          <w:sz w:val="22"/>
          <w:szCs w:val="22"/>
        </w:rPr>
      </w:pPr>
      <w:r w:rsidRPr="00C646D5">
        <w:rPr>
          <w:sz w:val="22"/>
          <w:szCs w:val="22"/>
        </w:rPr>
        <w:t xml:space="preserve">In the second phase, postal questionnaire responses to the survey from 897 clinical staff, working either in primary care or secondary care, were analysed using exploratory and confirmatory factor analysis.  </w:t>
      </w:r>
    </w:p>
    <w:p w14:paraId="218518A6" w14:textId="77777777" w:rsidR="00C646D5" w:rsidRPr="00C646D5" w:rsidRDefault="00C646D5" w:rsidP="00C646D5">
      <w:pPr>
        <w:spacing w:line="360" w:lineRule="auto"/>
        <w:rPr>
          <w:sz w:val="22"/>
          <w:szCs w:val="22"/>
        </w:rPr>
      </w:pPr>
      <w:r w:rsidRPr="00C646D5">
        <w:rPr>
          <w:sz w:val="22"/>
          <w:szCs w:val="22"/>
        </w:rPr>
        <w:t>Results showed that there were differences between the factor structure based on US hospital healthcare workers and the factor structure based on data from UK healthcare staff. Additionally, there were some differences in teamwork climate between the UK staff groups (better in primary care than in secondary care). The mean scores for the three safety climate factors were also lower for the secondary care subsample.</w:t>
      </w:r>
    </w:p>
    <w:p w14:paraId="0A0F60FD" w14:textId="77777777" w:rsidR="00C646D5" w:rsidRPr="00C646D5" w:rsidRDefault="00C646D5" w:rsidP="00C646D5">
      <w:pPr>
        <w:spacing w:line="360" w:lineRule="auto"/>
        <w:rPr>
          <w:b/>
          <w:i/>
          <w:sz w:val="22"/>
          <w:szCs w:val="22"/>
        </w:rPr>
      </w:pPr>
      <w:r w:rsidRPr="00C646D5">
        <w:rPr>
          <w:b/>
          <w:i/>
          <w:sz w:val="22"/>
          <w:szCs w:val="22"/>
        </w:rPr>
        <w:t>Contribution statement</w:t>
      </w:r>
    </w:p>
    <w:p w14:paraId="0B0884BC" w14:textId="77777777" w:rsidR="00C646D5" w:rsidRPr="00C646D5" w:rsidRDefault="00C646D5" w:rsidP="00C646D5">
      <w:pPr>
        <w:spacing w:line="360" w:lineRule="auto"/>
        <w:rPr>
          <w:sz w:val="22"/>
          <w:szCs w:val="22"/>
        </w:rPr>
      </w:pPr>
      <w:r w:rsidRPr="00C646D5">
        <w:rPr>
          <w:sz w:val="22"/>
          <w:szCs w:val="22"/>
        </w:rPr>
        <w:t>There was no contribution statement published with this paper.</w:t>
      </w:r>
    </w:p>
    <w:p w14:paraId="60D8C3F6" w14:textId="77777777" w:rsidR="00C646D5" w:rsidRPr="00C646D5" w:rsidRDefault="00C646D5" w:rsidP="00C646D5">
      <w:pPr>
        <w:spacing w:line="360" w:lineRule="auto"/>
        <w:rPr>
          <w:sz w:val="22"/>
          <w:szCs w:val="22"/>
        </w:rPr>
      </w:pPr>
      <w:r w:rsidRPr="00C646D5">
        <w:rPr>
          <w:sz w:val="22"/>
          <w:szCs w:val="22"/>
        </w:rPr>
        <w:t>I was the originator of the idea for this study, which arose from my study of safety climate instruments that were currently in use, or being promoted, in the US health care sector in 2002. I wrote the research application, obtained the project funding, gained research ethics approval and led on discussions with four local NHS hospitals and 13 Primary Care Trusts.</w:t>
      </w:r>
    </w:p>
    <w:p w14:paraId="76E29FE3" w14:textId="77777777" w:rsidR="00C646D5" w:rsidRPr="00C646D5" w:rsidRDefault="00C646D5" w:rsidP="00C646D5">
      <w:pPr>
        <w:spacing w:line="360" w:lineRule="auto"/>
        <w:rPr>
          <w:sz w:val="22"/>
          <w:szCs w:val="22"/>
        </w:rPr>
      </w:pPr>
      <w:r w:rsidRPr="00C646D5">
        <w:rPr>
          <w:sz w:val="22"/>
          <w:szCs w:val="22"/>
        </w:rPr>
        <w:t xml:space="preserve">I set out the research plan, identified the required skills and brought the research team together, directing the project on a day-to-day basis. I led all of the research team meetings and made contributions to data acquisition, management and analysis. </w:t>
      </w:r>
    </w:p>
    <w:p w14:paraId="6F1CBA67" w14:textId="77777777" w:rsidR="00C646D5" w:rsidRPr="00C646D5" w:rsidRDefault="00C646D5" w:rsidP="00C646D5">
      <w:pPr>
        <w:spacing w:line="360" w:lineRule="auto"/>
        <w:rPr>
          <w:sz w:val="22"/>
          <w:szCs w:val="22"/>
        </w:rPr>
      </w:pPr>
      <w:r w:rsidRPr="00C646D5">
        <w:rPr>
          <w:sz w:val="22"/>
          <w:szCs w:val="22"/>
        </w:rPr>
        <w:t xml:space="preserve">I wrote the final report to the funding body.  In collaboration with other team members, I was the lead author of the drafts and managed the review and publication process. </w:t>
      </w:r>
    </w:p>
    <w:p w14:paraId="3C27F3D6" w14:textId="77777777" w:rsidR="002A300B" w:rsidRPr="002A300B" w:rsidRDefault="002A300B" w:rsidP="002A300B">
      <w:pPr>
        <w:spacing w:line="360" w:lineRule="auto"/>
        <w:rPr>
          <w:b/>
          <w:i/>
          <w:sz w:val="22"/>
          <w:szCs w:val="22"/>
        </w:rPr>
      </w:pPr>
      <w:r w:rsidRPr="002A300B">
        <w:rPr>
          <w:b/>
          <w:i/>
          <w:sz w:val="22"/>
          <w:szCs w:val="22"/>
        </w:rPr>
        <w:t>Impact</w:t>
      </w:r>
    </w:p>
    <w:p w14:paraId="63C21A4D" w14:textId="77777777" w:rsidR="002A300B" w:rsidRPr="00584D74" w:rsidRDefault="002A300B" w:rsidP="002A300B">
      <w:pPr>
        <w:spacing w:line="360" w:lineRule="auto"/>
        <w:rPr>
          <w:sz w:val="22"/>
          <w:szCs w:val="22"/>
        </w:rPr>
      </w:pPr>
      <w:r w:rsidRPr="00584D74">
        <w:rPr>
          <w:sz w:val="22"/>
          <w:szCs w:val="22"/>
        </w:rPr>
        <w:t xml:space="preserve">This study noted that ‘there are enough cautionary points arising from the item content and the factor analysis of this questionnaire to suggest there is more to be done in exploring the </w:t>
      </w:r>
      <w:r w:rsidRPr="00584D74">
        <w:rPr>
          <w:sz w:val="22"/>
          <w:szCs w:val="22"/>
        </w:rPr>
        <w:lastRenderedPageBreak/>
        <w:t>properties of safety climate instruments’, especially those developed in another health culture. Similar concerns have been raised in subsequent studies (Waterson et al 2009). The assessment of safety climate continues to be important internationally and this study has been cited in 42 publications.</w:t>
      </w:r>
    </w:p>
    <w:p w14:paraId="2877F9B4" w14:textId="77777777" w:rsidR="00C646D5" w:rsidRPr="00C646D5" w:rsidRDefault="00C646D5" w:rsidP="00C646D5">
      <w:pPr>
        <w:spacing w:line="360" w:lineRule="auto"/>
        <w:rPr>
          <w:i/>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64"/>
      </w:tblGrid>
      <w:tr w:rsidR="00C646D5" w:rsidRPr="00C646D5" w14:paraId="65C8F9C9" w14:textId="77777777" w:rsidTr="00C646D5">
        <w:trPr>
          <w:trHeight w:val="2223"/>
        </w:trPr>
        <w:tc>
          <w:tcPr>
            <w:tcW w:w="8164" w:type="dxa"/>
          </w:tcPr>
          <w:p w14:paraId="1DB3404A" w14:textId="77777777" w:rsidR="00C646D5" w:rsidRPr="00C646D5" w:rsidRDefault="00C646D5" w:rsidP="00C646D5">
            <w:pPr>
              <w:spacing w:line="360" w:lineRule="auto"/>
              <w:rPr>
                <w:bCs/>
                <w:sz w:val="22"/>
                <w:szCs w:val="22"/>
              </w:rPr>
            </w:pPr>
            <w:r w:rsidRPr="00C646D5">
              <w:rPr>
                <w:bCs/>
                <w:i/>
                <w:sz w:val="22"/>
                <w:szCs w:val="22"/>
              </w:rPr>
              <w:t>Publication  2</w:t>
            </w:r>
            <w:r w:rsidRPr="00C646D5">
              <w:rPr>
                <w:bCs/>
                <w:sz w:val="22"/>
                <w:szCs w:val="22"/>
              </w:rPr>
              <w:t xml:space="preserve">. </w:t>
            </w:r>
          </w:p>
          <w:p w14:paraId="00B61ED1" w14:textId="77777777" w:rsidR="00C646D5" w:rsidRPr="00C646D5" w:rsidRDefault="00C646D5" w:rsidP="00C646D5">
            <w:pPr>
              <w:spacing w:line="360" w:lineRule="auto"/>
              <w:rPr>
                <w:i/>
                <w:sz w:val="22"/>
                <w:szCs w:val="22"/>
              </w:rPr>
            </w:pPr>
            <w:r w:rsidRPr="00C646D5">
              <w:rPr>
                <w:b/>
                <w:bCs/>
                <w:sz w:val="22"/>
                <w:szCs w:val="22"/>
              </w:rPr>
              <w:t>Hutchinson A</w:t>
            </w:r>
            <w:r w:rsidRPr="00C646D5">
              <w:rPr>
                <w:bCs/>
                <w:sz w:val="22"/>
                <w:szCs w:val="22"/>
              </w:rPr>
              <w:t xml:space="preserve">, Young TA, Cooper KL, McIntosh A, Karnon JD, Scobie S &amp; Thomson RG. (2009) </w:t>
            </w:r>
            <w:r w:rsidRPr="00C646D5">
              <w:rPr>
                <w:sz w:val="22"/>
                <w:szCs w:val="22"/>
              </w:rPr>
              <w:t xml:space="preserve">Trends in healthcare incident reporting and relationship to safety and quality data in acute hospitals: results from the National Reporting and Learning System.  </w:t>
            </w:r>
            <w:r w:rsidRPr="00C646D5">
              <w:rPr>
                <w:i/>
                <w:sz w:val="22"/>
                <w:szCs w:val="22"/>
              </w:rPr>
              <w:t xml:space="preserve">Quality and Safety in Health Care, </w:t>
            </w:r>
            <w:r w:rsidRPr="00C646D5">
              <w:rPr>
                <w:sz w:val="22"/>
                <w:szCs w:val="22"/>
              </w:rPr>
              <w:t xml:space="preserve">18, 5-10  </w:t>
            </w:r>
          </w:p>
        </w:tc>
      </w:tr>
    </w:tbl>
    <w:p w14:paraId="6A238742" w14:textId="77777777" w:rsidR="00C646D5" w:rsidRPr="00C646D5" w:rsidRDefault="00C646D5" w:rsidP="00C646D5">
      <w:pPr>
        <w:spacing w:line="360" w:lineRule="auto"/>
        <w:rPr>
          <w:i/>
          <w:sz w:val="22"/>
          <w:szCs w:val="22"/>
        </w:rPr>
      </w:pPr>
    </w:p>
    <w:p w14:paraId="7008E237" w14:textId="77777777" w:rsidR="00C646D5" w:rsidRPr="00C646D5" w:rsidRDefault="00C646D5" w:rsidP="00C646D5">
      <w:pPr>
        <w:spacing w:line="360" w:lineRule="auto"/>
        <w:rPr>
          <w:sz w:val="22"/>
          <w:szCs w:val="22"/>
        </w:rPr>
      </w:pPr>
      <w:r w:rsidRPr="00C646D5">
        <w:rPr>
          <w:i/>
          <w:sz w:val="22"/>
          <w:szCs w:val="22"/>
        </w:rPr>
        <w:t>Publication 2</w:t>
      </w:r>
      <w:r w:rsidRPr="00C646D5">
        <w:rPr>
          <w:sz w:val="22"/>
          <w:szCs w:val="22"/>
        </w:rPr>
        <w:t xml:space="preserve"> reports a study in which the patterns of reporting healthcare incidents by 148 acute hospitals in England to the National Patient Safety Agency (NPSA) were examined to determine whether there were any defining characteristics of hospitals which had lower or higher reporting rates. The only resulting trend of note was that hospitals with higher reporting rates had a lower overall percentage of ‘slips, trips and falls’.</w:t>
      </w:r>
    </w:p>
    <w:p w14:paraId="1FDB3FC2" w14:textId="77777777" w:rsidR="00C646D5" w:rsidRPr="00C646D5" w:rsidRDefault="00C646D5" w:rsidP="00C646D5">
      <w:pPr>
        <w:spacing w:line="360" w:lineRule="auto"/>
        <w:rPr>
          <w:sz w:val="22"/>
          <w:szCs w:val="22"/>
        </w:rPr>
      </w:pPr>
      <w:r w:rsidRPr="00C646D5">
        <w:rPr>
          <w:sz w:val="22"/>
          <w:szCs w:val="22"/>
        </w:rPr>
        <w:t xml:space="preserve">Responses from the NHS Annual Staff Survey (Healthcare Commission 2006) were used to explore any relationship with the reporting trends of the hospitals. There were a number of significant linear relationships between higher reporting-rate hospitals and NHS Staff Survey responses on fairness and effectiveness of reporting, encouragement to report and on the question on blaming and punishing for making errors. Additionally there was a significant positive correlation between higher reporting rates and a higher proportion of staff having reported the last error/near miss they saw. There were no significant correlations observed with Hospital Standardised Mortality Ratios (see also the results of </w:t>
      </w:r>
      <w:r w:rsidRPr="00C646D5">
        <w:rPr>
          <w:i/>
          <w:sz w:val="22"/>
          <w:szCs w:val="22"/>
        </w:rPr>
        <w:t>Publication 5</w:t>
      </w:r>
      <w:r w:rsidRPr="00C646D5">
        <w:rPr>
          <w:sz w:val="22"/>
          <w:szCs w:val="22"/>
        </w:rPr>
        <w:t>) or with a group of Patient Safety Indicators (Agency for Healthcare Research and Quality 2006).</w:t>
      </w:r>
    </w:p>
    <w:p w14:paraId="3929BEFB" w14:textId="77777777" w:rsidR="00C646D5" w:rsidRPr="00C646D5" w:rsidRDefault="00C646D5" w:rsidP="00C646D5">
      <w:pPr>
        <w:spacing w:line="360" w:lineRule="auto"/>
        <w:rPr>
          <w:b/>
          <w:i/>
          <w:sz w:val="22"/>
          <w:szCs w:val="22"/>
        </w:rPr>
      </w:pPr>
      <w:r w:rsidRPr="00C646D5">
        <w:rPr>
          <w:b/>
          <w:i/>
          <w:sz w:val="22"/>
          <w:szCs w:val="22"/>
        </w:rPr>
        <w:t>Published contribution statement</w:t>
      </w:r>
    </w:p>
    <w:p w14:paraId="1190844B" w14:textId="77777777" w:rsidR="00C646D5" w:rsidRPr="00C646D5" w:rsidRDefault="00C646D5" w:rsidP="00C646D5">
      <w:pPr>
        <w:spacing w:line="360" w:lineRule="auto"/>
        <w:jc w:val="both"/>
        <w:rPr>
          <w:sz w:val="22"/>
          <w:szCs w:val="22"/>
        </w:rPr>
      </w:pPr>
      <w:r w:rsidRPr="00C646D5">
        <w:rPr>
          <w:sz w:val="22"/>
          <w:szCs w:val="22"/>
        </w:rPr>
        <w:t>AH wrote the research proposal, directed the study and contributed to analysis and writing, TY undertook much of the analysis and contributed to the writing, KC managed the research process, undertook some analysis and contributed to the writing, AMc undertook the qualitative evaluation and contributed to the findings, JK contributed to the design and analysis, SS and RT proposed the project and contributed to design, writing and interpretation.</w:t>
      </w:r>
    </w:p>
    <w:p w14:paraId="702FF44E" w14:textId="77777777" w:rsidR="002A300B" w:rsidRPr="002A300B" w:rsidRDefault="002A300B" w:rsidP="002A300B">
      <w:pPr>
        <w:spacing w:line="360" w:lineRule="auto"/>
        <w:rPr>
          <w:b/>
          <w:i/>
          <w:sz w:val="22"/>
          <w:szCs w:val="22"/>
        </w:rPr>
      </w:pPr>
      <w:r w:rsidRPr="002A300B">
        <w:rPr>
          <w:b/>
          <w:i/>
          <w:sz w:val="22"/>
          <w:szCs w:val="22"/>
        </w:rPr>
        <w:lastRenderedPageBreak/>
        <w:t>Impact</w:t>
      </w:r>
    </w:p>
    <w:p w14:paraId="7ABC43FA" w14:textId="77777777" w:rsidR="002A300B" w:rsidRPr="00584D74" w:rsidRDefault="002A300B" w:rsidP="002A300B">
      <w:pPr>
        <w:spacing w:line="360" w:lineRule="auto"/>
        <w:rPr>
          <w:sz w:val="22"/>
          <w:szCs w:val="22"/>
        </w:rPr>
      </w:pPr>
      <w:r w:rsidRPr="00584D74">
        <w:rPr>
          <w:sz w:val="22"/>
          <w:szCs w:val="22"/>
        </w:rPr>
        <w:t>Incident reporting in healthcare remains a challenge in many countries and a significant international literature has built s</w:t>
      </w:r>
      <w:r w:rsidR="0021182A">
        <w:rPr>
          <w:sz w:val="22"/>
          <w:szCs w:val="22"/>
        </w:rPr>
        <w:t>ince</w:t>
      </w:r>
      <w:r w:rsidRPr="00584D74">
        <w:rPr>
          <w:sz w:val="22"/>
          <w:szCs w:val="22"/>
        </w:rPr>
        <w:t xml:space="preserve"> the publication of this paper.  Human factors, including safety culture issues, continue to be seen as having an impact on incident reporting and may be important as one of the elements of a resilient organisation.  This publication remains of interest to other researchers and has been cited in 44 other publications.  </w:t>
      </w:r>
    </w:p>
    <w:p w14:paraId="2388C08A" w14:textId="77777777" w:rsidR="00C646D5" w:rsidRPr="00C646D5" w:rsidRDefault="00C646D5" w:rsidP="00C646D5">
      <w:pPr>
        <w:spacing w:line="360" w:lineRule="auto"/>
        <w:rPr>
          <w:sz w:val="22"/>
          <w:szCs w:val="22"/>
        </w:rPr>
      </w:pPr>
    </w:p>
    <w:p w14:paraId="504F2534" w14:textId="77777777" w:rsidR="00C646D5" w:rsidRPr="00D84E1F" w:rsidRDefault="00C646D5" w:rsidP="00C646D5">
      <w:pPr>
        <w:spacing w:line="360" w:lineRule="auto"/>
        <w:rPr>
          <w:b/>
          <w:i/>
        </w:rPr>
      </w:pPr>
      <w:r>
        <w:rPr>
          <w:b/>
          <w:i/>
        </w:rPr>
        <w:t>3.</w:t>
      </w:r>
      <w:r w:rsidRPr="00D84E1F">
        <w:rPr>
          <w:b/>
          <w:i/>
        </w:rPr>
        <w:t xml:space="preserve">2 </w:t>
      </w:r>
      <w:r>
        <w:rPr>
          <w:b/>
          <w:i/>
        </w:rPr>
        <w:t>Care Pathway Prospective</w:t>
      </w:r>
      <w:r w:rsidRPr="00D84E1F">
        <w:rPr>
          <w:b/>
          <w:i/>
        </w:rPr>
        <w:t xml:space="preserve"> Hazard Analysis</w:t>
      </w:r>
    </w:p>
    <w:tbl>
      <w:tblPr>
        <w:tblpPr w:leftFromText="180" w:rightFromText="180" w:vertAnchor="text" w:tblpX="313" w:tblpY="3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55"/>
      </w:tblGrid>
      <w:tr w:rsidR="00C646D5" w14:paraId="671CE4C4" w14:textId="77777777" w:rsidTr="00C646D5">
        <w:trPr>
          <w:trHeight w:val="2039"/>
        </w:trPr>
        <w:tc>
          <w:tcPr>
            <w:tcW w:w="8755" w:type="dxa"/>
          </w:tcPr>
          <w:p w14:paraId="07532924" w14:textId="77777777" w:rsidR="00C646D5" w:rsidRPr="00C646D5" w:rsidRDefault="00C646D5" w:rsidP="00C646D5">
            <w:pPr>
              <w:spacing w:line="360" w:lineRule="auto"/>
              <w:rPr>
                <w:sz w:val="22"/>
                <w:szCs w:val="22"/>
              </w:rPr>
            </w:pPr>
            <w:r w:rsidRPr="00C646D5">
              <w:rPr>
                <w:i/>
                <w:sz w:val="22"/>
                <w:szCs w:val="22"/>
              </w:rPr>
              <w:t>Publication 3</w:t>
            </w:r>
            <w:r w:rsidRPr="00C646D5">
              <w:rPr>
                <w:sz w:val="22"/>
                <w:szCs w:val="22"/>
              </w:rPr>
              <w:t xml:space="preserve">. </w:t>
            </w:r>
          </w:p>
          <w:p w14:paraId="1C5DF71D" w14:textId="77777777" w:rsidR="00C646D5" w:rsidRPr="00C646D5" w:rsidRDefault="00C646D5" w:rsidP="00C646D5">
            <w:pPr>
              <w:spacing w:line="360" w:lineRule="auto"/>
              <w:rPr>
                <w:bCs/>
                <w:kern w:val="32"/>
                <w:sz w:val="22"/>
                <w:szCs w:val="22"/>
              </w:rPr>
            </w:pPr>
            <w:r w:rsidRPr="00C646D5">
              <w:rPr>
                <w:sz w:val="22"/>
                <w:szCs w:val="22"/>
              </w:rPr>
              <w:t xml:space="preserve">Dean JE, </w:t>
            </w:r>
            <w:r w:rsidRPr="00C646D5">
              <w:rPr>
                <w:b/>
                <w:sz w:val="22"/>
                <w:szCs w:val="22"/>
              </w:rPr>
              <w:t>Hutchinson A</w:t>
            </w:r>
            <w:r w:rsidRPr="00C646D5">
              <w:rPr>
                <w:sz w:val="22"/>
                <w:szCs w:val="22"/>
              </w:rPr>
              <w:t xml:space="preserve">, Hamilton Escoto K &amp; Lawson R. (2007) </w:t>
            </w:r>
            <w:r w:rsidRPr="00C646D5">
              <w:rPr>
                <w:bCs/>
                <w:kern w:val="32"/>
                <w:sz w:val="22"/>
                <w:szCs w:val="22"/>
              </w:rPr>
              <w:t xml:space="preserve">Using a multi-method, user centred, prospective hazard analysis to assess care quality and patient safety in a care pathway. </w:t>
            </w:r>
            <w:r w:rsidRPr="00C646D5">
              <w:rPr>
                <w:bCs/>
                <w:i/>
                <w:kern w:val="32"/>
                <w:sz w:val="22"/>
                <w:szCs w:val="22"/>
              </w:rPr>
              <w:t xml:space="preserve">BMC Health Services Research, </w:t>
            </w:r>
            <w:r w:rsidRPr="00C646D5">
              <w:rPr>
                <w:bCs/>
                <w:kern w:val="32"/>
                <w:sz w:val="22"/>
                <w:szCs w:val="22"/>
              </w:rPr>
              <w:t xml:space="preserve">89 </w:t>
            </w:r>
          </w:p>
          <w:p w14:paraId="5BDDCD61" w14:textId="77777777" w:rsidR="00C646D5" w:rsidRPr="00C646D5" w:rsidRDefault="002770D3" w:rsidP="00C646D5">
            <w:pPr>
              <w:spacing w:line="360" w:lineRule="auto"/>
              <w:rPr>
                <w:sz w:val="22"/>
                <w:szCs w:val="22"/>
              </w:rPr>
            </w:pPr>
            <w:hyperlink r:id="rId10" w:history="1">
              <w:r w:rsidR="00C646D5" w:rsidRPr="00C646D5">
                <w:rPr>
                  <w:rStyle w:val="Hyperlink"/>
                  <w:bCs/>
                  <w:kern w:val="32"/>
                  <w:sz w:val="22"/>
                  <w:szCs w:val="22"/>
                  <w:u w:val="none"/>
                </w:rPr>
                <w:t>http://www.biomedcentral.com/1472-6963/7/89</w:t>
              </w:r>
            </w:hyperlink>
          </w:p>
        </w:tc>
      </w:tr>
    </w:tbl>
    <w:p w14:paraId="5A812DEF" w14:textId="77777777" w:rsidR="00C646D5" w:rsidRDefault="00C646D5" w:rsidP="00C646D5">
      <w:pPr>
        <w:spacing w:line="360" w:lineRule="auto"/>
      </w:pPr>
    </w:p>
    <w:p w14:paraId="28CC17E5" w14:textId="77777777" w:rsidR="00C646D5" w:rsidRPr="00C646D5" w:rsidRDefault="00C646D5" w:rsidP="00C646D5">
      <w:pPr>
        <w:spacing w:line="360" w:lineRule="auto"/>
        <w:rPr>
          <w:sz w:val="22"/>
          <w:szCs w:val="22"/>
        </w:rPr>
      </w:pPr>
      <w:r w:rsidRPr="00C646D5">
        <w:rPr>
          <w:sz w:val="22"/>
          <w:szCs w:val="22"/>
        </w:rPr>
        <w:t>This study explored the possible use of failure mode and effects analysis in the NHS, as a means of assessing risks in newly established care pathways. A combination of evaluation methods were applied to a recently established chronic obstructive pulmonary disease (COPD) care pathway which bridged between the hospital, community care and the patient’s home.</w:t>
      </w:r>
    </w:p>
    <w:p w14:paraId="38BD7F83" w14:textId="77777777" w:rsidR="00C646D5" w:rsidRPr="00C646D5" w:rsidRDefault="00C646D5" w:rsidP="00C646D5">
      <w:pPr>
        <w:spacing w:line="360" w:lineRule="auto"/>
        <w:rPr>
          <w:sz w:val="22"/>
          <w:szCs w:val="22"/>
        </w:rPr>
      </w:pPr>
      <w:r w:rsidRPr="00C646D5">
        <w:rPr>
          <w:sz w:val="22"/>
          <w:szCs w:val="22"/>
        </w:rPr>
        <w:t>Using interviews with staff and patients and observation of care pathway processes, both in hospital and in the community, care pathway flowcharts were drawn, critiqued and reconfirmed with staff.  The interviews and the flowcharts identified possible hazard areas and a list of these was created, and ranked by staff in order of severity, using a Delphi process (Hasson et al 2000). In the final stage, a small group of staff, led by me as facilitator, used healthcare failure mode effects analysis (HFMEA</w:t>
      </w:r>
      <w:r w:rsidRPr="00C646D5">
        <w:rPr>
          <w:sz w:val="22"/>
          <w:szCs w:val="22"/>
          <w:vertAlign w:val="superscript"/>
        </w:rPr>
        <w:t>TM</w:t>
      </w:r>
      <w:r w:rsidRPr="00C646D5">
        <w:rPr>
          <w:sz w:val="22"/>
          <w:szCs w:val="22"/>
        </w:rPr>
        <w:t>) (De Rosier et al 2002) to analyse two problem areas – communication with primary care teams and communication with the hospital bed bureau.</w:t>
      </w:r>
    </w:p>
    <w:p w14:paraId="58D19DD4" w14:textId="77777777" w:rsidR="00C646D5" w:rsidRPr="00C646D5" w:rsidRDefault="00C646D5" w:rsidP="00C646D5">
      <w:pPr>
        <w:spacing w:line="360" w:lineRule="auto"/>
        <w:rPr>
          <w:sz w:val="22"/>
          <w:szCs w:val="22"/>
        </w:rPr>
      </w:pPr>
      <w:r w:rsidRPr="00C646D5">
        <w:rPr>
          <w:sz w:val="22"/>
          <w:szCs w:val="22"/>
        </w:rPr>
        <w:t xml:space="preserve">The study illuminated the complexity of what was thought to be a relatively straightforward implementation of a new service for patients, in which little consideration had been given to the effectiveness, safety and resilience of the system once in place – and no previous </w:t>
      </w:r>
      <w:r w:rsidRPr="00C646D5">
        <w:rPr>
          <w:sz w:val="22"/>
          <w:szCs w:val="22"/>
        </w:rPr>
        <w:lastRenderedPageBreak/>
        <w:t xml:space="preserve">attempt had been made to evaluate problems.  Findings also revealed, however, that the effort, complexity and time involved in undertaking failure mode and effects analysis was considerable.  </w:t>
      </w:r>
    </w:p>
    <w:p w14:paraId="7CA0B4AA" w14:textId="77777777" w:rsidR="00C646D5" w:rsidRPr="00C646D5" w:rsidRDefault="00C646D5" w:rsidP="00C646D5">
      <w:pPr>
        <w:spacing w:line="360" w:lineRule="auto"/>
        <w:rPr>
          <w:b/>
          <w:i/>
          <w:sz w:val="22"/>
          <w:szCs w:val="22"/>
        </w:rPr>
      </w:pPr>
      <w:r w:rsidRPr="00C646D5">
        <w:rPr>
          <w:b/>
          <w:i/>
          <w:sz w:val="22"/>
          <w:szCs w:val="22"/>
        </w:rPr>
        <w:t>Published contribution statement</w:t>
      </w:r>
    </w:p>
    <w:p w14:paraId="3C3FD81E" w14:textId="77777777" w:rsidR="00C646D5" w:rsidRPr="00C646D5" w:rsidRDefault="00C646D5" w:rsidP="00C646D5">
      <w:pPr>
        <w:spacing w:line="360" w:lineRule="auto"/>
        <w:rPr>
          <w:sz w:val="22"/>
          <w:szCs w:val="22"/>
        </w:rPr>
      </w:pPr>
      <w:r w:rsidRPr="00C646D5">
        <w:rPr>
          <w:rFonts w:cs="Arial"/>
          <w:sz w:val="22"/>
          <w:szCs w:val="22"/>
        </w:rPr>
        <w:t xml:space="preserve">AH conceived of the study, </w:t>
      </w:r>
      <w:r w:rsidRPr="00C646D5">
        <w:rPr>
          <w:sz w:val="22"/>
          <w:szCs w:val="22"/>
        </w:rPr>
        <w:t xml:space="preserve">obtained funding, oversaw the running of the study, analysed data </w:t>
      </w:r>
      <w:r w:rsidRPr="00C646D5">
        <w:rPr>
          <w:rFonts w:cs="Arial"/>
          <w:sz w:val="22"/>
          <w:szCs w:val="22"/>
        </w:rPr>
        <w:t xml:space="preserve">and contributed to the development of the care pathway and the writing of the manuscript. JED obtained ethics approval, developed data collection materials, conducted fieldwork, analysed data and contributed to the development of the care pathway and the writing of the manuscript. KHE contributed to the literature searches, development of the care pathway, development of interview schedules and the writing of the manuscript. RL was involved in the conception of the project, project meetings, data collection and contributed to the development of the care pathway and the writing of the manuscript. </w:t>
      </w:r>
    </w:p>
    <w:p w14:paraId="7852C233" w14:textId="77777777" w:rsidR="00C646D5" w:rsidRPr="00C646D5" w:rsidRDefault="00C646D5" w:rsidP="00C646D5">
      <w:pPr>
        <w:spacing w:line="360" w:lineRule="auto"/>
        <w:rPr>
          <w:sz w:val="22"/>
          <w:szCs w:val="22"/>
          <w:highlight w:val="yellow"/>
          <w:u w:val="single"/>
        </w:rPr>
      </w:pPr>
      <w:r w:rsidRPr="00C646D5">
        <w:rPr>
          <w:sz w:val="22"/>
          <w:szCs w:val="22"/>
        </w:rPr>
        <w:t xml:space="preserve"> </w:t>
      </w:r>
      <w:r w:rsidRPr="00C646D5">
        <w:rPr>
          <w:sz w:val="22"/>
          <w:szCs w:val="22"/>
          <w:u w:val="single"/>
        </w:rPr>
        <w:t>Additional contribution commentary</w:t>
      </w:r>
    </w:p>
    <w:p w14:paraId="19F10D6D" w14:textId="77777777" w:rsidR="00C646D5" w:rsidRPr="00C646D5" w:rsidRDefault="00C646D5" w:rsidP="00C646D5">
      <w:pPr>
        <w:spacing w:line="360" w:lineRule="auto"/>
        <w:rPr>
          <w:sz w:val="22"/>
          <w:szCs w:val="22"/>
        </w:rPr>
      </w:pPr>
      <w:r w:rsidRPr="00C646D5">
        <w:rPr>
          <w:sz w:val="22"/>
          <w:szCs w:val="22"/>
        </w:rPr>
        <w:t xml:space="preserve">Although not the corresponding author on </w:t>
      </w:r>
      <w:r w:rsidRPr="00C646D5">
        <w:rPr>
          <w:i/>
          <w:sz w:val="22"/>
          <w:szCs w:val="22"/>
        </w:rPr>
        <w:t>Publication 3</w:t>
      </w:r>
      <w:r w:rsidRPr="00C646D5">
        <w:rPr>
          <w:sz w:val="22"/>
          <w:szCs w:val="22"/>
        </w:rPr>
        <w:t>, my contribution to the research and writing was equivalent to that of J.E. Dean and we are identified in the publication as such. Both JED and I each contributed about 45% of the total input to the project.</w:t>
      </w:r>
    </w:p>
    <w:p w14:paraId="4F9CBB7B" w14:textId="77777777" w:rsidR="00C646D5" w:rsidRPr="00C646D5" w:rsidRDefault="00C646D5" w:rsidP="00C646D5">
      <w:pPr>
        <w:spacing w:line="360" w:lineRule="auto"/>
        <w:rPr>
          <w:sz w:val="22"/>
          <w:szCs w:val="22"/>
        </w:rPr>
      </w:pPr>
      <w:r w:rsidRPr="00C646D5">
        <w:rPr>
          <w:sz w:val="22"/>
          <w:szCs w:val="22"/>
        </w:rPr>
        <w:t>Following discussions with the Health Care Failure Modes and Effect Analysis (HCFMEA</w:t>
      </w:r>
      <w:r w:rsidRPr="00C646D5">
        <w:rPr>
          <w:sz w:val="22"/>
          <w:szCs w:val="22"/>
          <w:vertAlign w:val="superscript"/>
        </w:rPr>
        <w:t>TM</w:t>
      </w:r>
      <w:r w:rsidRPr="00C646D5">
        <w:rPr>
          <w:sz w:val="22"/>
          <w:szCs w:val="22"/>
        </w:rPr>
        <w:t>) design team I decided that this was worth testing in UK healthcare. I designed a multi-step process for identifying the complexities of a recently established ‘revolving door’ system for ensuring fast hospital access for people with chronic obstructive pulmonary disease. I used my experience of care process mapping, the Delphi method, direct observation and interviews with staff and patients, to provide the evidence. I developed the detailed methods and the frameworks for each step of the analysis. JED undertook the fieldwork, Delphi process and data management. I led the analysis of each step of the project, working jointly with JED and chaired the HCFMEA</w:t>
      </w:r>
      <w:r w:rsidRPr="00C646D5">
        <w:rPr>
          <w:sz w:val="22"/>
          <w:szCs w:val="22"/>
          <w:vertAlign w:val="superscript"/>
        </w:rPr>
        <w:t>TM</w:t>
      </w:r>
      <w:r w:rsidRPr="00C646D5">
        <w:rPr>
          <w:sz w:val="22"/>
          <w:szCs w:val="22"/>
        </w:rPr>
        <w:t xml:space="preserve"> session. I wrote the final report for the funding body and led on all of the drafts of Publication 3 up to the point where publication had been rejected by two journals. JED led the third, successful, drafting and journal submission process.  </w:t>
      </w:r>
    </w:p>
    <w:p w14:paraId="4AD12FF4" w14:textId="77777777" w:rsidR="00C646D5" w:rsidRPr="00C646D5" w:rsidRDefault="00C646D5" w:rsidP="00C646D5">
      <w:pPr>
        <w:spacing w:line="360" w:lineRule="auto"/>
        <w:rPr>
          <w:sz w:val="22"/>
          <w:szCs w:val="22"/>
        </w:rPr>
      </w:pPr>
      <w:r w:rsidRPr="00C646D5">
        <w:rPr>
          <w:sz w:val="22"/>
          <w:szCs w:val="22"/>
        </w:rPr>
        <w:t>This additional statement has been agreed with JED, the corresponding author.</w:t>
      </w:r>
    </w:p>
    <w:p w14:paraId="56298E6A" w14:textId="77777777" w:rsidR="00C646D5" w:rsidRPr="00167A35" w:rsidRDefault="00167A35" w:rsidP="00C646D5">
      <w:pPr>
        <w:spacing w:line="360" w:lineRule="auto"/>
        <w:rPr>
          <w:b/>
          <w:i/>
          <w:sz w:val="22"/>
          <w:szCs w:val="22"/>
        </w:rPr>
      </w:pPr>
      <w:r w:rsidRPr="00167A35">
        <w:rPr>
          <w:b/>
          <w:i/>
          <w:sz w:val="22"/>
          <w:szCs w:val="22"/>
        </w:rPr>
        <w:t xml:space="preserve">Impact </w:t>
      </w:r>
    </w:p>
    <w:p w14:paraId="13494C21" w14:textId="77777777" w:rsidR="00167A35" w:rsidRPr="00584D74" w:rsidRDefault="00167A35" w:rsidP="00167A35">
      <w:pPr>
        <w:spacing w:line="360" w:lineRule="auto"/>
        <w:rPr>
          <w:sz w:val="22"/>
          <w:szCs w:val="22"/>
        </w:rPr>
      </w:pPr>
      <w:r w:rsidRPr="00584D74">
        <w:rPr>
          <w:sz w:val="22"/>
          <w:szCs w:val="22"/>
        </w:rPr>
        <w:t xml:space="preserve">Prospective hazard analysis in UK healthcare is still only undertaken on a limited scale. The study findings showed that the mixed-methods approach can identify potential failure points </w:t>
      </w:r>
      <w:r w:rsidRPr="00584D74">
        <w:rPr>
          <w:sz w:val="22"/>
          <w:szCs w:val="22"/>
        </w:rPr>
        <w:lastRenderedPageBreak/>
        <w:t>in a care pathway that bridges across hospital and community care.  But so far as NHS practice is concerned, the requirements of expertise and staff time commitments are such that prospective hazard analysis might be best restricted to high risk/high intensity systems.  More recent work from Ward et al (2010) supports these findings.  Citations to date,10.</w:t>
      </w:r>
    </w:p>
    <w:p w14:paraId="7DFA5CBC" w14:textId="77777777" w:rsidR="00167A35" w:rsidRDefault="00167A35" w:rsidP="00C646D5">
      <w:pPr>
        <w:spacing w:line="360" w:lineRule="auto"/>
        <w:rPr>
          <w:b/>
          <w:i/>
        </w:rPr>
      </w:pPr>
    </w:p>
    <w:p w14:paraId="08C494D5" w14:textId="77777777" w:rsidR="00C646D5" w:rsidRPr="00AF6C3F" w:rsidRDefault="00C646D5" w:rsidP="00C646D5">
      <w:pPr>
        <w:spacing w:line="360" w:lineRule="auto"/>
        <w:rPr>
          <w:b/>
          <w:i/>
        </w:rPr>
      </w:pPr>
      <w:r>
        <w:rPr>
          <w:b/>
          <w:i/>
        </w:rPr>
        <w:t>3.</w:t>
      </w:r>
      <w:r w:rsidR="002A300B">
        <w:rPr>
          <w:b/>
          <w:i/>
        </w:rPr>
        <w:t>3</w:t>
      </w:r>
      <w:r w:rsidRPr="00AF6C3F">
        <w:rPr>
          <w:b/>
          <w:i/>
        </w:rPr>
        <w:t>.3 Studies based on retrospective case note review</w:t>
      </w:r>
    </w:p>
    <w:p w14:paraId="788E5EA8" w14:textId="77777777" w:rsidR="00C646D5" w:rsidRPr="00C646D5" w:rsidRDefault="00C646D5" w:rsidP="00C646D5">
      <w:pPr>
        <w:spacing w:line="360" w:lineRule="auto"/>
        <w:rPr>
          <w:sz w:val="22"/>
          <w:szCs w:val="22"/>
        </w:rPr>
      </w:pPr>
      <w:r w:rsidRPr="00C646D5">
        <w:rPr>
          <w:i/>
          <w:sz w:val="22"/>
          <w:szCs w:val="22"/>
        </w:rPr>
        <w:t>Publications 4, 5 and 6</w:t>
      </w:r>
      <w:r w:rsidRPr="00C646D5">
        <w:rPr>
          <w:sz w:val="22"/>
          <w:szCs w:val="22"/>
        </w:rPr>
        <w:t xml:space="preserve"> all arose from one major investigation based on retrospective case note review in hospitals, conceived and directed by the candidate. </w:t>
      </w:r>
    </w:p>
    <w:p w14:paraId="08D2447A" w14:textId="77777777" w:rsidR="00C646D5" w:rsidRPr="00C646D5" w:rsidRDefault="00C646D5" w:rsidP="00C646D5">
      <w:pPr>
        <w:spacing w:line="360" w:lineRule="auto"/>
        <w:rPr>
          <w:sz w:val="22"/>
          <w:szCs w:val="22"/>
        </w:rPr>
      </w:pPr>
      <w:r w:rsidRPr="00C646D5">
        <w:rPr>
          <w:i/>
          <w:sz w:val="22"/>
          <w:szCs w:val="22"/>
        </w:rPr>
        <w:t>Publication 4</w:t>
      </w:r>
      <w:r w:rsidRPr="00C646D5">
        <w:rPr>
          <w:sz w:val="22"/>
          <w:szCs w:val="22"/>
        </w:rPr>
        <w:t xml:space="preserve"> reported first on the comparative effectiveness of two methods of retrospective case note review:- explicit criterion based review and structured implicit review. Some of these results were subsequently included in Chapter 2 of </w:t>
      </w:r>
      <w:r w:rsidRPr="00C646D5">
        <w:rPr>
          <w:i/>
          <w:sz w:val="22"/>
          <w:szCs w:val="22"/>
        </w:rPr>
        <w:t>Publication 5</w:t>
      </w:r>
      <w:r w:rsidRPr="00C646D5">
        <w:rPr>
          <w:sz w:val="22"/>
          <w:szCs w:val="22"/>
        </w:rPr>
        <w:t xml:space="preserve"> for completeness, as was required by the research contract.</w:t>
      </w:r>
    </w:p>
    <w:p w14:paraId="0599B01A" w14:textId="77777777" w:rsidR="00C646D5" w:rsidRPr="00C646D5" w:rsidRDefault="00C646D5" w:rsidP="00C646D5">
      <w:pPr>
        <w:spacing w:line="360" w:lineRule="auto"/>
        <w:rPr>
          <w:sz w:val="22"/>
          <w:szCs w:val="22"/>
        </w:rPr>
      </w:pPr>
      <w:r w:rsidRPr="00C646D5">
        <w:rPr>
          <w:i/>
          <w:sz w:val="22"/>
          <w:szCs w:val="22"/>
        </w:rPr>
        <w:t>Publication 5</w:t>
      </w:r>
      <w:r w:rsidRPr="00C646D5">
        <w:rPr>
          <w:sz w:val="22"/>
          <w:szCs w:val="22"/>
        </w:rPr>
        <w:t xml:space="preserve"> is extensive and reports on two separate studies – (i) the case note review comparison and (ii) an exploration of the relationship between safety and quality markers and proxy measures of outcomes in twenty hospitals. </w:t>
      </w:r>
    </w:p>
    <w:p w14:paraId="74057643" w14:textId="77777777" w:rsidR="00C646D5" w:rsidRPr="00C646D5" w:rsidRDefault="00C646D5" w:rsidP="00C646D5">
      <w:pPr>
        <w:spacing w:line="360" w:lineRule="auto"/>
        <w:rPr>
          <w:sz w:val="22"/>
          <w:szCs w:val="22"/>
        </w:rPr>
      </w:pPr>
      <w:r w:rsidRPr="00C646D5">
        <w:rPr>
          <w:sz w:val="22"/>
          <w:szCs w:val="22"/>
        </w:rPr>
        <w:t xml:space="preserve">It is used here for two purposes. First, because it contains the study (reported principally in Chapter 3 of the publication) which explores the relationship between the safety and quality of care assessed from case notes and hospital-level outcomes of care. It also contains, in Chapter 2, additional evidence on the relationship between hospital mortality levels for the study indicator conditions and safety and quality of care assessed from the case notes. Second, </w:t>
      </w:r>
      <w:r w:rsidRPr="00C646D5">
        <w:rPr>
          <w:i/>
          <w:sz w:val="22"/>
          <w:szCs w:val="22"/>
        </w:rPr>
        <w:t>Publication 5</w:t>
      </w:r>
      <w:r w:rsidRPr="00C646D5">
        <w:rPr>
          <w:sz w:val="22"/>
          <w:szCs w:val="22"/>
        </w:rPr>
        <w:t xml:space="preserve"> contains much of the background methodological information that </w:t>
      </w:r>
      <w:r w:rsidRPr="00C646D5">
        <w:rPr>
          <w:i/>
          <w:sz w:val="22"/>
          <w:szCs w:val="22"/>
        </w:rPr>
        <w:t>Publications 4</w:t>
      </w:r>
      <w:r w:rsidRPr="00C646D5">
        <w:rPr>
          <w:sz w:val="22"/>
          <w:szCs w:val="22"/>
        </w:rPr>
        <w:t xml:space="preserve"> and </w:t>
      </w:r>
      <w:r w:rsidRPr="00C646D5">
        <w:rPr>
          <w:i/>
          <w:sz w:val="22"/>
          <w:szCs w:val="22"/>
        </w:rPr>
        <w:t>6</w:t>
      </w:r>
      <w:r w:rsidRPr="00C646D5">
        <w:rPr>
          <w:sz w:val="22"/>
          <w:szCs w:val="22"/>
        </w:rPr>
        <w:t xml:space="preserve"> only report in brief.</w:t>
      </w:r>
    </w:p>
    <w:p w14:paraId="1096D79D" w14:textId="77777777" w:rsidR="00C646D5" w:rsidRDefault="00C646D5" w:rsidP="00C646D5">
      <w:pPr>
        <w:spacing w:line="360" w:lineRule="auto"/>
        <w:rPr>
          <w:sz w:val="22"/>
          <w:szCs w:val="22"/>
        </w:rPr>
      </w:pPr>
      <w:r w:rsidRPr="00C646D5">
        <w:rPr>
          <w:i/>
          <w:sz w:val="22"/>
          <w:szCs w:val="22"/>
        </w:rPr>
        <w:t>Publication 6</w:t>
      </w:r>
      <w:r w:rsidRPr="00C646D5">
        <w:rPr>
          <w:sz w:val="22"/>
          <w:szCs w:val="22"/>
        </w:rPr>
        <w:t xml:space="preserve"> reports on an analysis of the qualitative, judgement-based data collected as part of the process - outcomes component of the research. It develops the assessment process into the structured judgement review method as applied to people who die in hospital.   </w:t>
      </w:r>
    </w:p>
    <w:p w14:paraId="05DA4B79" w14:textId="77777777" w:rsidR="002A300B" w:rsidRDefault="002A300B" w:rsidP="00C646D5">
      <w:pPr>
        <w:spacing w:line="360" w:lineRule="auto"/>
        <w:rPr>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58"/>
      </w:tblGrid>
      <w:tr w:rsidR="00C646D5" w:rsidRPr="00C646D5" w14:paraId="6B4643FC" w14:textId="77777777" w:rsidTr="002A300B">
        <w:trPr>
          <w:trHeight w:val="2279"/>
        </w:trPr>
        <w:tc>
          <w:tcPr>
            <w:tcW w:w="8158" w:type="dxa"/>
          </w:tcPr>
          <w:p w14:paraId="228E2598" w14:textId="77777777" w:rsidR="00C646D5" w:rsidRPr="00C646D5" w:rsidRDefault="00C646D5" w:rsidP="00C646D5">
            <w:pPr>
              <w:spacing w:line="360" w:lineRule="auto"/>
              <w:rPr>
                <w:sz w:val="22"/>
                <w:szCs w:val="22"/>
              </w:rPr>
            </w:pPr>
            <w:r w:rsidRPr="00C646D5">
              <w:rPr>
                <w:i/>
                <w:sz w:val="22"/>
                <w:szCs w:val="22"/>
              </w:rPr>
              <w:lastRenderedPageBreak/>
              <w:t>Publication 4</w:t>
            </w:r>
            <w:r w:rsidRPr="00C646D5">
              <w:rPr>
                <w:sz w:val="22"/>
                <w:szCs w:val="22"/>
              </w:rPr>
              <w:t xml:space="preserve">. </w:t>
            </w:r>
          </w:p>
          <w:p w14:paraId="4244FA61" w14:textId="77777777" w:rsidR="00C646D5" w:rsidRPr="00C646D5" w:rsidRDefault="00C646D5" w:rsidP="00C646D5">
            <w:pPr>
              <w:spacing w:line="360" w:lineRule="auto"/>
              <w:rPr>
                <w:sz w:val="22"/>
                <w:szCs w:val="22"/>
              </w:rPr>
            </w:pPr>
            <w:r w:rsidRPr="00C646D5">
              <w:rPr>
                <w:b/>
                <w:sz w:val="22"/>
                <w:szCs w:val="22"/>
              </w:rPr>
              <w:t>Hutchinson A</w:t>
            </w:r>
            <w:r w:rsidRPr="00C646D5">
              <w:rPr>
                <w:sz w:val="22"/>
                <w:szCs w:val="22"/>
              </w:rPr>
              <w:t xml:space="preserve">, Coster JE, Cooper KL, McIntosh A, Walters SJ, Bath PA, Pearson M, Rantell K, Campbell MJ, Nicholl J &amp; Irwin P.(2010)  Assessing quality of care from hospital case notes: comparison of reliability of two methods. </w:t>
            </w:r>
            <w:r w:rsidRPr="00C646D5">
              <w:rPr>
                <w:i/>
                <w:sz w:val="22"/>
                <w:szCs w:val="22"/>
              </w:rPr>
              <w:t>Quality and Safety in Health Care</w:t>
            </w:r>
            <w:r w:rsidRPr="00C646D5">
              <w:rPr>
                <w:sz w:val="22"/>
                <w:szCs w:val="22"/>
              </w:rPr>
              <w:t>, 19, e2.  doi: 10.1136/qshc-2007-023911.</w:t>
            </w:r>
          </w:p>
        </w:tc>
      </w:tr>
    </w:tbl>
    <w:p w14:paraId="01AB1835" w14:textId="77777777" w:rsidR="00C646D5" w:rsidRPr="00C646D5" w:rsidRDefault="00C646D5" w:rsidP="00C646D5">
      <w:pPr>
        <w:spacing w:line="360" w:lineRule="auto"/>
        <w:rPr>
          <w:sz w:val="22"/>
          <w:szCs w:val="22"/>
        </w:rPr>
      </w:pPr>
    </w:p>
    <w:p w14:paraId="1BCC4DE5" w14:textId="77777777" w:rsidR="00C646D5" w:rsidRPr="00C646D5" w:rsidRDefault="00C646D5" w:rsidP="00C646D5">
      <w:pPr>
        <w:spacing w:line="360" w:lineRule="auto"/>
        <w:rPr>
          <w:sz w:val="22"/>
          <w:szCs w:val="22"/>
        </w:rPr>
      </w:pPr>
      <w:r w:rsidRPr="00C646D5">
        <w:rPr>
          <w:sz w:val="22"/>
          <w:szCs w:val="22"/>
        </w:rPr>
        <w:t xml:space="preserve">This stage of the study was undertaken to explore and refine the effectiveness of retrospective case note review methods. </w:t>
      </w:r>
      <w:r w:rsidRPr="00C646D5">
        <w:rPr>
          <w:i/>
          <w:sz w:val="22"/>
          <w:szCs w:val="22"/>
        </w:rPr>
        <w:t>Publication 4</w:t>
      </w:r>
      <w:r w:rsidRPr="00C646D5">
        <w:rPr>
          <w:sz w:val="22"/>
          <w:szCs w:val="22"/>
        </w:rPr>
        <w:t xml:space="preserve"> sets out the key results from the comparison of reliability between two recognised methods of case note review – explicit criterion based review and implicit structured review. </w:t>
      </w:r>
    </w:p>
    <w:p w14:paraId="07D51D38" w14:textId="77777777" w:rsidR="00C646D5" w:rsidRPr="00C646D5" w:rsidRDefault="00C646D5" w:rsidP="00C646D5">
      <w:pPr>
        <w:spacing w:line="360" w:lineRule="auto"/>
        <w:rPr>
          <w:sz w:val="22"/>
          <w:szCs w:val="22"/>
        </w:rPr>
      </w:pPr>
      <w:r w:rsidRPr="00C646D5">
        <w:rPr>
          <w:sz w:val="22"/>
          <w:szCs w:val="22"/>
        </w:rPr>
        <w:t xml:space="preserve">The criterion based method was similar to that used in national clinical audit programmes and comprised a specific set of evidence-based data to be captured by the reviewers. The implicit review was a development of the initial structured implicit review method developed by RAND (Rubenstein 1991).  To the RAND method was added a phase of care framework, quality scores and explicit written judgements on the safety and quality of care - both good and poor. Thirty-nine reviewers undertook 1473 implicit reviews and 1389 criterion based reviews in nine randomly selected acute hospitals. Two or three reviewers undertook a review of each set of clinical notes, using both criterion-based review and implicit review. </w:t>
      </w:r>
    </w:p>
    <w:p w14:paraId="15CE9B5A" w14:textId="77777777" w:rsidR="00C646D5" w:rsidRPr="00C646D5" w:rsidRDefault="00C646D5" w:rsidP="00C646D5">
      <w:pPr>
        <w:spacing w:line="360" w:lineRule="auto"/>
        <w:rPr>
          <w:sz w:val="22"/>
          <w:szCs w:val="22"/>
        </w:rPr>
      </w:pPr>
      <w:r w:rsidRPr="00C646D5">
        <w:rPr>
          <w:sz w:val="22"/>
          <w:szCs w:val="22"/>
        </w:rPr>
        <w:t xml:space="preserve">Analysis of the data was undertaken to explore which methods were most reliable in the hands of which type of staff, using intrarater consistency, interrater reliability between pairs of staff using intraclass correlation coefficients (ICCs), and between-staff comparison.  For criterion based scores, inter-rater reliability was moderate to good. Within each staff group using implicit review there was moderate inter-rater reliability (ICC 0.46 to 0.52).  </w:t>
      </w:r>
    </w:p>
    <w:p w14:paraId="322A9367" w14:textId="77777777" w:rsidR="00C646D5" w:rsidRPr="00C646D5" w:rsidRDefault="00C646D5" w:rsidP="00C646D5">
      <w:pPr>
        <w:spacing w:line="360" w:lineRule="auto"/>
        <w:rPr>
          <w:sz w:val="22"/>
          <w:szCs w:val="22"/>
        </w:rPr>
      </w:pPr>
      <w:r w:rsidRPr="00C646D5">
        <w:rPr>
          <w:sz w:val="22"/>
          <w:szCs w:val="22"/>
        </w:rPr>
        <w:t xml:space="preserve">For criterion-based clinical audit of the type often used at a national level, results suggested that clinical audit staff could do the work as well as the more expensive nurses and doctors. Whereas for the more complex work of detailed assessment of  safety and quality of the care </w:t>
      </w:r>
      <w:r w:rsidR="0021182A">
        <w:rPr>
          <w:sz w:val="22"/>
          <w:szCs w:val="22"/>
        </w:rPr>
        <w:t>the</w:t>
      </w:r>
      <w:r w:rsidRPr="00C646D5">
        <w:rPr>
          <w:sz w:val="22"/>
          <w:szCs w:val="22"/>
        </w:rPr>
        <w:t xml:space="preserve"> clinical staff showed a higher reliability and doctors provided more explicit information than did the nurses.</w:t>
      </w:r>
    </w:p>
    <w:p w14:paraId="2665A9BD" w14:textId="77777777" w:rsidR="00C646D5" w:rsidRPr="00C646D5" w:rsidRDefault="00C646D5" w:rsidP="00C646D5">
      <w:pPr>
        <w:spacing w:line="360" w:lineRule="auto"/>
        <w:rPr>
          <w:b/>
          <w:i/>
          <w:sz w:val="22"/>
          <w:szCs w:val="22"/>
        </w:rPr>
      </w:pPr>
      <w:r w:rsidRPr="00C646D5">
        <w:rPr>
          <w:b/>
          <w:i/>
          <w:sz w:val="22"/>
          <w:szCs w:val="22"/>
        </w:rPr>
        <w:t>Published contribution statement</w:t>
      </w:r>
    </w:p>
    <w:p w14:paraId="252D90E7" w14:textId="77777777" w:rsidR="00C646D5" w:rsidRDefault="00C646D5" w:rsidP="00C646D5">
      <w:pPr>
        <w:spacing w:line="360" w:lineRule="auto"/>
        <w:jc w:val="both"/>
        <w:rPr>
          <w:rFonts w:cs="Arial"/>
          <w:sz w:val="22"/>
          <w:szCs w:val="22"/>
        </w:rPr>
      </w:pPr>
      <w:r w:rsidRPr="00C646D5">
        <w:rPr>
          <w:rFonts w:cs="Arial"/>
          <w:sz w:val="22"/>
          <w:szCs w:val="22"/>
        </w:rPr>
        <w:t xml:space="preserve">AH developed and directed the study and acted as lead author for this paper.  JED project managed the study, collected and analysed the data. KLC assisted with project management, undertook recruitment and data analysis.  AMc acted as senior methodologist </w:t>
      </w:r>
      <w:r w:rsidRPr="00C646D5">
        <w:rPr>
          <w:rFonts w:cs="Arial"/>
          <w:sz w:val="22"/>
          <w:szCs w:val="22"/>
        </w:rPr>
        <w:lastRenderedPageBreak/>
        <w:t xml:space="preserve">and lead qualitative researcher.  SJW lead the statistical analysis and contributed to methods development. PAB contributed to methods development and analysis.  MP acted as senior clinician, contributing to recruitment, methods development, analysis and writing. KR undertook statistical analysis and contributed to methods development.  MJC acted as senior statistical adviser.  JPN contributed to the development of the study and to the analytic framework.  PI contributed to methods development and to recruitment. All authors contributed to the writing of this paper.  </w:t>
      </w:r>
    </w:p>
    <w:p w14:paraId="601CAE34" w14:textId="77777777" w:rsidR="00167A35" w:rsidRPr="00167A35" w:rsidRDefault="00167A35" w:rsidP="00C646D5">
      <w:pPr>
        <w:spacing w:line="360" w:lineRule="auto"/>
        <w:jc w:val="both"/>
        <w:rPr>
          <w:rFonts w:cs="Arial"/>
          <w:b/>
          <w:i/>
          <w:sz w:val="22"/>
          <w:szCs w:val="22"/>
        </w:rPr>
      </w:pPr>
      <w:r w:rsidRPr="00167A35">
        <w:rPr>
          <w:rFonts w:cs="Arial"/>
          <w:b/>
          <w:i/>
          <w:sz w:val="22"/>
          <w:szCs w:val="22"/>
        </w:rPr>
        <w:t xml:space="preserve">Impact </w:t>
      </w:r>
    </w:p>
    <w:p w14:paraId="4753FB40" w14:textId="77777777" w:rsidR="00167A35" w:rsidRPr="00584D74" w:rsidRDefault="00167A35" w:rsidP="00167A35">
      <w:pPr>
        <w:spacing w:line="360" w:lineRule="auto"/>
        <w:rPr>
          <w:sz w:val="22"/>
          <w:szCs w:val="22"/>
        </w:rPr>
      </w:pPr>
      <w:r w:rsidRPr="00584D74">
        <w:rPr>
          <w:sz w:val="22"/>
          <w:szCs w:val="22"/>
        </w:rPr>
        <w:t>Retrospective case note review remains the main approach to assessing safety and quality of care of people admitted to hospital. In order to understand variations in safety and quality however, structured implicit review proved to be both feasible and to have reasonable inter-rater reliability between physicians. This study has implications for any healthcare system where case note review is being undertaken and the methods have, for example, been used in the UK to assess the safety of emergency medicine practice (O’Hara et al 2010),  Citations, 4.</w:t>
      </w:r>
    </w:p>
    <w:p w14:paraId="7BDA917A" w14:textId="77777777" w:rsidR="00167A35" w:rsidRPr="00C646D5" w:rsidRDefault="00167A35" w:rsidP="00C646D5">
      <w:pPr>
        <w:spacing w:line="360" w:lineRule="auto"/>
        <w:jc w:val="both"/>
        <w:rPr>
          <w:rFonts w:cs="Arial"/>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56"/>
      </w:tblGrid>
      <w:tr w:rsidR="00C646D5" w:rsidRPr="00C646D5" w14:paraId="125B1C62" w14:textId="77777777" w:rsidTr="00C646D5">
        <w:trPr>
          <w:trHeight w:val="1486"/>
        </w:trPr>
        <w:tc>
          <w:tcPr>
            <w:tcW w:w="8356" w:type="dxa"/>
          </w:tcPr>
          <w:p w14:paraId="0B0BDD40" w14:textId="77777777" w:rsidR="00C646D5" w:rsidRPr="00C646D5" w:rsidRDefault="00C646D5" w:rsidP="00C646D5">
            <w:pPr>
              <w:spacing w:line="360" w:lineRule="auto"/>
              <w:rPr>
                <w:sz w:val="22"/>
                <w:szCs w:val="22"/>
              </w:rPr>
            </w:pPr>
            <w:r w:rsidRPr="00C646D5">
              <w:rPr>
                <w:i/>
                <w:sz w:val="22"/>
                <w:szCs w:val="22"/>
              </w:rPr>
              <w:t>Publication 5</w:t>
            </w:r>
            <w:r w:rsidRPr="00C646D5">
              <w:rPr>
                <w:sz w:val="22"/>
                <w:szCs w:val="22"/>
              </w:rPr>
              <w:t xml:space="preserve">. </w:t>
            </w:r>
          </w:p>
          <w:p w14:paraId="61339154" w14:textId="77777777" w:rsidR="00C646D5" w:rsidRPr="00C646D5" w:rsidRDefault="00C646D5" w:rsidP="00C646D5">
            <w:pPr>
              <w:spacing w:line="360" w:lineRule="auto"/>
              <w:rPr>
                <w:sz w:val="22"/>
                <w:szCs w:val="22"/>
              </w:rPr>
            </w:pPr>
            <w:r w:rsidRPr="00C646D5">
              <w:rPr>
                <w:b/>
                <w:sz w:val="22"/>
                <w:szCs w:val="22"/>
              </w:rPr>
              <w:t>Hutchinson A</w:t>
            </w:r>
            <w:r w:rsidRPr="00C646D5">
              <w:rPr>
                <w:sz w:val="22"/>
                <w:szCs w:val="22"/>
              </w:rPr>
              <w:t xml:space="preserve">, Coster JE, Cooper KL, McIntosh A, Walters SJ, Bath PA, Pearson M, Young TA, Rantell K, Campbell MJ &amp; Ratcliffe J. (2010) Comparison of case note review methods for evaluating quality and safety in health care. </w:t>
            </w:r>
            <w:r w:rsidRPr="00C646D5">
              <w:rPr>
                <w:i/>
                <w:sz w:val="22"/>
                <w:szCs w:val="22"/>
              </w:rPr>
              <w:t>Health Technology  Assessment</w:t>
            </w:r>
            <w:r w:rsidRPr="00C646D5">
              <w:rPr>
                <w:sz w:val="22"/>
                <w:szCs w:val="22"/>
              </w:rPr>
              <w:t xml:space="preserve"> , 14(10), 1-170.</w:t>
            </w:r>
          </w:p>
        </w:tc>
      </w:tr>
    </w:tbl>
    <w:p w14:paraId="4C5C9F69" w14:textId="77777777" w:rsidR="00C646D5" w:rsidRPr="00C646D5" w:rsidRDefault="00C646D5" w:rsidP="00C646D5">
      <w:pPr>
        <w:spacing w:line="360" w:lineRule="auto"/>
        <w:rPr>
          <w:sz w:val="22"/>
          <w:szCs w:val="22"/>
        </w:rPr>
      </w:pPr>
    </w:p>
    <w:p w14:paraId="185C67BF" w14:textId="77777777" w:rsidR="00C646D5" w:rsidRPr="00C646D5" w:rsidRDefault="00C646D5" w:rsidP="00C646D5">
      <w:pPr>
        <w:spacing w:line="360" w:lineRule="auto"/>
        <w:rPr>
          <w:sz w:val="22"/>
          <w:szCs w:val="22"/>
        </w:rPr>
      </w:pPr>
      <w:r w:rsidRPr="00C646D5">
        <w:rPr>
          <w:sz w:val="22"/>
          <w:szCs w:val="22"/>
        </w:rPr>
        <w:t xml:space="preserve">The work on process-outcome comparisons is drawn primarily from Chapter 3 of the publication.  For this study, data collection was undertaken in 20 acute hospitals in England during 2006-7. Forty physician reviewers used a combination of criterion based review and structured implicit review, providing written commentaries on the quality of care and associated quality of care scores, on a total of 1565 sets of case notes (873 from people with chronic obstructive pulmonary disease and 692 from people with heart failure). Scores and commentaries from the implicit reviews were provided for three phases of care and for care overall. </w:t>
      </w:r>
    </w:p>
    <w:p w14:paraId="2C04D3BE" w14:textId="77777777" w:rsidR="00C646D5" w:rsidRPr="00C646D5" w:rsidRDefault="00C646D5" w:rsidP="00C646D5">
      <w:pPr>
        <w:spacing w:line="360" w:lineRule="auto"/>
        <w:rPr>
          <w:sz w:val="22"/>
          <w:szCs w:val="22"/>
        </w:rPr>
      </w:pPr>
      <w:r w:rsidRPr="00C646D5">
        <w:rPr>
          <w:sz w:val="22"/>
          <w:szCs w:val="22"/>
        </w:rPr>
        <w:lastRenderedPageBreak/>
        <w:t xml:space="preserve">Only the quality and safety scores and the criterion based scores were used to provide the healthcare process data in this analysis. None of the judgement commentaries were analysed in this publication. </w:t>
      </w:r>
    </w:p>
    <w:p w14:paraId="503BF331" w14:textId="77777777" w:rsidR="00C646D5" w:rsidRPr="00C646D5" w:rsidRDefault="00C646D5" w:rsidP="00C646D5">
      <w:pPr>
        <w:spacing w:line="360" w:lineRule="auto"/>
        <w:rPr>
          <w:sz w:val="22"/>
          <w:szCs w:val="22"/>
        </w:rPr>
      </w:pPr>
      <w:r w:rsidRPr="00C646D5">
        <w:rPr>
          <w:sz w:val="22"/>
          <w:szCs w:val="22"/>
        </w:rPr>
        <w:t xml:space="preserve">Outcome data was composed of hospital level variables from a number of sources such as Dr Foster Hospital Standardised Mortality Ratio (HSMR), Hospital Episode Statistics for chronic obstructive pulmonary disease and heart failure, Health Care Commission targets and data from the NHS Staff Survey. There were some commonalities with this data set and that used in </w:t>
      </w:r>
      <w:r w:rsidRPr="00C646D5">
        <w:rPr>
          <w:i/>
          <w:sz w:val="22"/>
          <w:szCs w:val="22"/>
        </w:rPr>
        <w:t>Publication 2</w:t>
      </w:r>
      <w:r w:rsidRPr="00C646D5">
        <w:rPr>
          <w:sz w:val="22"/>
          <w:szCs w:val="22"/>
        </w:rPr>
        <w:t xml:space="preserve"> above.  </w:t>
      </w:r>
    </w:p>
    <w:p w14:paraId="26ED9078" w14:textId="77777777" w:rsidR="00C646D5" w:rsidRPr="00C646D5" w:rsidRDefault="00C646D5" w:rsidP="00C646D5">
      <w:pPr>
        <w:spacing w:line="360" w:lineRule="auto"/>
        <w:rPr>
          <w:sz w:val="22"/>
          <w:szCs w:val="22"/>
        </w:rPr>
      </w:pPr>
      <w:r w:rsidRPr="00C646D5">
        <w:rPr>
          <w:sz w:val="22"/>
          <w:szCs w:val="22"/>
        </w:rPr>
        <w:t>There were only limited correlations between hospital mortality rankings and the overall implicit care scores for both chronic obstructive airways disease and heart failure and there were no correlations with HSMR data.</w:t>
      </w:r>
    </w:p>
    <w:p w14:paraId="02CC1421" w14:textId="77777777" w:rsidR="00C646D5" w:rsidRPr="00C646D5" w:rsidRDefault="0021182A" w:rsidP="00C646D5">
      <w:pPr>
        <w:spacing w:line="360" w:lineRule="auto"/>
        <w:rPr>
          <w:b/>
          <w:i/>
          <w:sz w:val="22"/>
          <w:szCs w:val="22"/>
        </w:rPr>
      </w:pPr>
      <w:r>
        <w:rPr>
          <w:b/>
          <w:i/>
          <w:sz w:val="22"/>
          <w:szCs w:val="22"/>
        </w:rPr>
        <w:t xml:space="preserve">Published </w:t>
      </w:r>
      <w:r w:rsidR="00C646D5" w:rsidRPr="00C646D5">
        <w:rPr>
          <w:b/>
          <w:i/>
          <w:sz w:val="22"/>
          <w:szCs w:val="22"/>
        </w:rPr>
        <w:t xml:space="preserve"> contribution statement</w:t>
      </w:r>
    </w:p>
    <w:p w14:paraId="6A2CE2DE" w14:textId="77777777" w:rsidR="00C646D5" w:rsidRPr="00C646D5" w:rsidRDefault="00C646D5" w:rsidP="00C646D5">
      <w:pPr>
        <w:spacing w:line="360" w:lineRule="auto"/>
        <w:rPr>
          <w:sz w:val="22"/>
          <w:szCs w:val="22"/>
        </w:rPr>
      </w:pPr>
      <w:r w:rsidRPr="00C646D5">
        <w:rPr>
          <w:sz w:val="22"/>
          <w:szCs w:val="22"/>
        </w:rPr>
        <w:t xml:space="preserve">AH, principal investigator, principal author of application, overall management of project, main author of report.  JEC, project manager, contribution to application, major contribution to fieldwork and analysis. KLC, project management, major contribution to fieldwork and analysis.  AMc, lead qualitative researcher, major contribution to qualitative analysis and significant contribution to project development.  SJW, lead statistical advisor and senior statistical analyst.  PAB, senior contributions to project development and analysis.  MP, provided expertise in quality assessment methods and lead clinical advisor.  TAY, statistical analyst taking lead in the development and analysis of the outcomes component of the study.  KR, statistical analyst making contributions to the management of data sets in the first stage of the study.  MJC, provided senior and specialist statistical advice to the project design and analysis.  JR, provided health economics advice and analysis. </w:t>
      </w:r>
    </w:p>
    <w:p w14:paraId="57085749" w14:textId="77777777" w:rsidR="00C646D5" w:rsidRPr="00167A35" w:rsidRDefault="00167A35" w:rsidP="00C646D5">
      <w:pPr>
        <w:spacing w:line="360" w:lineRule="auto"/>
        <w:rPr>
          <w:b/>
          <w:i/>
          <w:sz w:val="22"/>
          <w:szCs w:val="22"/>
        </w:rPr>
      </w:pPr>
      <w:r w:rsidRPr="00167A35">
        <w:rPr>
          <w:b/>
          <w:i/>
          <w:sz w:val="22"/>
          <w:szCs w:val="22"/>
        </w:rPr>
        <w:t xml:space="preserve">Impact </w:t>
      </w:r>
    </w:p>
    <w:p w14:paraId="760966EE" w14:textId="77777777" w:rsidR="00167A35" w:rsidRPr="00584D74" w:rsidRDefault="00167A35" w:rsidP="00167A35">
      <w:pPr>
        <w:spacing w:line="360" w:lineRule="auto"/>
        <w:rPr>
          <w:sz w:val="22"/>
          <w:szCs w:val="22"/>
        </w:rPr>
      </w:pPr>
      <w:r w:rsidRPr="00584D74">
        <w:rPr>
          <w:sz w:val="22"/>
          <w:szCs w:val="22"/>
        </w:rPr>
        <w:t xml:space="preserve">The process-outcomes study failed to identify a clear link between the safety and quality of care identified by structured implicit case note review and other proposed markers of safety. Nevertheless, from a methodological viewpoint, the study did raise the question of whether mortality scores based on statistics have any value. It did break new ground at an international level in refining structured explicit judgement case note review. Citations, 4.  </w:t>
      </w:r>
    </w:p>
    <w:p w14:paraId="61BEA960" w14:textId="77777777" w:rsidR="002A300B" w:rsidRPr="00C646D5" w:rsidRDefault="002A300B" w:rsidP="00C646D5">
      <w:pPr>
        <w:spacing w:line="360" w:lineRule="auto"/>
        <w:rPr>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9"/>
      </w:tblGrid>
      <w:tr w:rsidR="00C646D5" w:rsidRPr="00C646D5" w14:paraId="38C02773" w14:textId="77777777" w:rsidTr="00C646D5">
        <w:trPr>
          <w:trHeight w:val="1716"/>
        </w:trPr>
        <w:tc>
          <w:tcPr>
            <w:tcW w:w="8579" w:type="dxa"/>
          </w:tcPr>
          <w:p w14:paraId="6A74BDE3" w14:textId="77777777" w:rsidR="00C646D5" w:rsidRPr="00C646D5" w:rsidRDefault="00C646D5" w:rsidP="00C646D5">
            <w:pPr>
              <w:spacing w:line="360" w:lineRule="auto"/>
              <w:rPr>
                <w:rFonts w:cs="Arial"/>
                <w:sz w:val="22"/>
                <w:szCs w:val="22"/>
              </w:rPr>
            </w:pPr>
            <w:r w:rsidRPr="00C646D5">
              <w:rPr>
                <w:rFonts w:cs="Arial"/>
                <w:i/>
                <w:sz w:val="22"/>
                <w:szCs w:val="22"/>
              </w:rPr>
              <w:lastRenderedPageBreak/>
              <w:t>Publication 6</w:t>
            </w:r>
            <w:r w:rsidRPr="00C646D5">
              <w:rPr>
                <w:rFonts w:cs="Arial"/>
                <w:sz w:val="22"/>
                <w:szCs w:val="22"/>
              </w:rPr>
              <w:t xml:space="preserve">. </w:t>
            </w:r>
          </w:p>
          <w:p w14:paraId="1BA58A87" w14:textId="77777777" w:rsidR="00C646D5" w:rsidRPr="00C646D5" w:rsidRDefault="00C646D5" w:rsidP="00C646D5">
            <w:pPr>
              <w:spacing w:line="360" w:lineRule="auto"/>
              <w:rPr>
                <w:rFonts w:cs="Arial"/>
                <w:sz w:val="22"/>
                <w:szCs w:val="22"/>
              </w:rPr>
            </w:pPr>
            <w:r w:rsidRPr="00C646D5">
              <w:rPr>
                <w:rFonts w:cs="Arial"/>
                <w:b/>
                <w:sz w:val="22"/>
                <w:szCs w:val="22"/>
              </w:rPr>
              <w:t>Hutchinson A</w:t>
            </w:r>
            <w:r w:rsidRPr="00C646D5">
              <w:rPr>
                <w:rFonts w:cs="Arial"/>
                <w:sz w:val="22"/>
                <w:szCs w:val="22"/>
              </w:rPr>
              <w:t xml:space="preserve">, Coster JE, Cooper K L, Pearson M, McIntosh A &amp; Bath P A. (2013)  A structured judgement method to enhance mortality case note review: development and evaluation. </w:t>
            </w:r>
            <w:r w:rsidRPr="00C646D5">
              <w:rPr>
                <w:rFonts w:cs="Arial"/>
                <w:i/>
                <w:sz w:val="22"/>
                <w:szCs w:val="22"/>
              </w:rPr>
              <w:t>BMJ Quality and Safety,</w:t>
            </w:r>
            <w:r w:rsidRPr="00C646D5">
              <w:rPr>
                <w:rFonts w:cs="Arial"/>
                <w:sz w:val="22"/>
                <w:szCs w:val="22"/>
              </w:rPr>
              <w:t xml:space="preserve"> doi:10.1136/bmjqs-2013-001839.</w:t>
            </w:r>
          </w:p>
        </w:tc>
      </w:tr>
    </w:tbl>
    <w:p w14:paraId="3EB6286A" w14:textId="77777777" w:rsidR="00C646D5" w:rsidRPr="00C646D5" w:rsidRDefault="00C646D5" w:rsidP="00C646D5">
      <w:pPr>
        <w:spacing w:line="360" w:lineRule="auto"/>
        <w:rPr>
          <w:rFonts w:cs="Arial"/>
          <w:sz w:val="22"/>
          <w:szCs w:val="22"/>
        </w:rPr>
      </w:pPr>
    </w:p>
    <w:p w14:paraId="6D3948D7" w14:textId="77777777" w:rsidR="00C646D5" w:rsidRPr="00C646D5" w:rsidRDefault="00C646D5" w:rsidP="00C646D5">
      <w:pPr>
        <w:spacing w:line="360" w:lineRule="auto"/>
        <w:rPr>
          <w:rFonts w:cs="Arial"/>
          <w:sz w:val="22"/>
          <w:szCs w:val="22"/>
        </w:rPr>
      </w:pPr>
      <w:r w:rsidRPr="00C646D5">
        <w:rPr>
          <w:rFonts w:cs="Arial"/>
          <w:sz w:val="22"/>
          <w:szCs w:val="22"/>
        </w:rPr>
        <w:t xml:space="preserve">This publication presents an analysis of the structured judgement comments relating to the care of the 119 people who died within the cohort of 1566 for whom structured implicit review was undertaken in the process-outcome study (reported in </w:t>
      </w:r>
      <w:r w:rsidRPr="00C646D5">
        <w:rPr>
          <w:rFonts w:cs="Arial"/>
          <w:i/>
          <w:sz w:val="22"/>
          <w:szCs w:val="22"/>
        </w:rPr>
        <w:t>Publication 5</w:t>
      </w:r>
      <w:r w:rsidRPr="00C646D5">
        <w:rPr>
          <w:rFonts w:cs="Arial"/>
          <w:sz w:val="22"/>
          <w:szCs w:val="22"/>
        </w:rPr>
        <w:t xml:space="preserve">).  </w:t>
      </w:r>
    </w:p>
    <w:p w14:paraId="49AC543E" w14:textId="77777777" w:rsidR="00C646D5" w:rsidRPr="00C646D5" w:rsidRDefault="00C646D5" w:rsidP="00C646D5">
      <w:pPr>
        <w:spacing w:line="360" w:lineRule="auto"/>
        <w:rPr>
          <w:rFonts w:cs="Arial"/>
          <w:sz w:val="22"/>
          <w:szCs w:val="22"/>
        </w:rPr>
      </w:pPr>
      <w:r w:rsidRPr="00C646D5">
        <w:rPr>
          <w:rFonts w:cs="Arial"/>
          <w:sz w:val="22"/>
          <w:szCs w:val="22"/>
        </w:rPr>
        <w:t xml:space="preserve">The analysis explored whether physician reviewers were able to consistently provide short, structured judgement comments on quality of care that they could also justify with an appropriate care score. Using an analysis framework for the textual data initially proposed in </w:t>
      </w:r>
      <w:r w:rsidRPr="00C646D5">
        <w:rPr>
          <w:rFonts w:cs="Arial"/>
          <w:i/>
          <w:sz w:val="22"/>
          <w:szCs w:val="22"/>
        </w:rPr>
        <w:t>Publication 5</w:t>
      </w:r>
      <w:r w:rsidRPr="00C646D5">
        <w:rPr>
          <w:rFonts w:cs="Arial"/>
          <w:sz w:val="22"/>
          <w:szCs w:val="22"/>
        </w:rPr>
        <w:t xml:space="preserve">, all of the structured judgement comments provided by the reviewers were analysed by me to determine whether they were implicit or explicit, and whether they were commenting positively or negatively on care. </w:t>
      </w:r>
    </w:p>
    <w:p w14:paraId="7328BD57" w14:textId="77777777" w:rsidR="00C646D5" w:rsidRPr="00C646D5" w:rsidRDefault="00C646D5" w:rsidP="00C646D5">
      <w:pPr>
        <w:spacing w:line="360" w:lineRule="auto"/>
        <w:rPr>
          <w:sz w:val="22"/>
          <w:szCs w:val="22"/>
        </w:rPr>
      </w:pPr>
      <w:r w:rsidRPr="00C646D5">
        <w:rPr>
          <w:sz w:val="22"/>
          <w:szCs w:val="22"/>
        </w:rPr>
        <w:t>Physician reviewers were on the whole able to make informative clinical structured judgement comments across all of the phases of care and usually provided a               coherent quality of care score. The majority of comments (83%) were explicit judgements. As a result of this analysis it was proposed that the method could be used to evaluate deaths in hospital, in a way that would allow rapid review of the safety of care for people who died.</w:t>
      </w:r>
    </w:p>
    <w:p w14:paraId="7CF4A53E" w14:textId="77777777" w:rsidR="00C646D5" w:rsidRPr="00C646D5" w:rsidRDefault="00C646D5" w:rsidP="00C646D5">
      <w:pPr>
        <w:rPr>
          <w:b/>
          <w:i/>
          <w:sz w:val="22"/>
          <w:szCs w:val="22"/>
        </w:rPr>
      </w:pPr>
    </w:p>
    <w:p w14:paraId="5074386E" w14:textId="77777777" w:rsidR="00C646D5" w:rsidRPr="00C646D5" w:rsidRDefault="00C646D5" w:rsidP="00C646D5">
      <w:pPr>
        <w:rPr>
          <w:b/>
          <w:i/>
          <w:sz w:val="22"/>
          <w:szCs w:val="22"/>
        </w:rPr>
      </w:pPr>
      <w:r w:rsidRPr="00C646D5">
        <w:rPr>
          <w:b/>
          <w:i/>
          <w:sz w:val="22"/>
          <w:szCs w:val="22"/>
        </w:rPr>
        <w:t>Published contribution statement</w:t>
      </w:r>
    </w:p>
    <w:p w14:paraId="15A5A603" w14:textId="77777777" w:rsidR="00C646D5" w:rsidRDefault="00C646D5" w:rsidP="00C646D5">
      <w:pPr>
        <w:spacing w:line="360" w:lineRule="auto"/>
        <w:jc w:val="both"/>
        <w:rPr>
          <w:rFonts w:cs="Arial"/>
        </w:rPr>
      </w:pPr>
      <w:r w:rsidRPr="00C646D5">
        <w:rPr>
          <w:rFonts w:cs="Arial"/>
          <w:sz w:val="22"/>
          <w:szCs w:val="22"/>
        </w:rPr>
        <w:t>AH took the lead in the conception and design of the study, took the lead on the analysis of the qualitative mortality review data, was principal author of all of the drafts of this paper. JEC contributed to the conception and design of the study, undertook data collection and analysis of the mortality review data. KLC made contributions to the design of the study, undertook data collection and contributed to analysis of the mortality review data. MP contributed to the conception and design of the study overall and contributed to the interpretation of the mortality review data. AMcI contributed to the conception and design of the study overall and took a lead on the qualitative analysis framework. PB contributed to the conception and design of the study and qualitative analysis framework and undertook the statistical analysis for the quantitative analysis. All authors contributed to all of the drafts of this paper and have given approval for this version of the paper to be published</w:t>
      </w:r>
      <w:r>
        <w:rPr>
          <w:rFonts w:cs="Arial"/>
        </w:rPr>
        <w:t>.</w:t>
      </w:r>
    </w:p>
    <w:p w14:paraId="0EDE7099" w14:textId="77777777" w:rsidR="002A300B" w:rsidRPr="00167A35" w:rsidRDefault="002A300B" w:rsidP="002A300B">
      <w:pPr>
        <w:spacing w:line="360" w:lineRule="auto"/>
        <w:jc w:val="both"/>
        <w:rPr>
          <w:b/>
          <w:i/>
          <w:sz w:val="22"/>
          <w:szCs w:val="22"/>
        </w:rPr>
      </w:pPr>
      <w:r w:rsidRPr="00167A35">
        <w:rPr>
          <w:b/>
          <w:i/>
          <w:sz w:val="22"/>
          <w:szCs w:val="22"/>
        </w:rPr>
        <w:lastRenderedPageBreak/>
        <w:t>Impact</w:t>
      </w:r>
    </w:p>
    <w:p w14:paraId="06925735" w14:textId="77777777" w:rsidR="002A300B" w:rsidRDefault="002A300B" w:rsidP="002A300B">
      <w:pPr>
        <w:spacing w:line="360" w:lineRule="auto"/>
        <w:jc w:val="both"/>
        <w:rPr>
          <w:rFonts w:cs="Arial"/>
        </w:rPr>
      </w:pPr>
      <w:r w:rsidRPr="00584D74">
        <w:rPr>
          <w:sz w:val="22"/>
          <w:szCs w:val="22"/>
        </w:rPr>
        <w:t>This is the most recent publication presented (2013) and there are as yet no citation records available. From a clinical practice perspective, however, there is already evidence that the work is valued, since the explicit structured judgement case note review method has already been included in the NHS Yorkshire and the Humber Mortality Review programme.</w:t>
      </w:r>
    </w:p>
    <w:p w14:paraId="37283384" w14:textId="77777777" w:rsidR="00C646D5" w:rsidRPr="00584D74" w:rsidRDefault="00C646D5" w:rsidP="00C646D5">
      <w:pPr>
        <w:spacing w:line="360" w:lineRule="auto"/>
        <w:rPr>
          <w:b/>
          <w:sz w:val="22"/>
          <w:szCs w:val="22"/>
        </w:rPr>
      </w:pPr>
      <w:r w:rsidRPr="00584D74">
        <w:rPr>
          <w:b/>
          <w:sz w:val="22"/>
          <w:szCs w:val="22"/>
        </w:rPr>
        <w:br w:type="page"/>
      </w:r>
    </w:p>
    <w:p w14:paraId="1C4D2FB0" w14:textId="77777777" w:rsidR="00C646D5" w:rsidRPr="00F9374C" w:rsidRDefault="00C646D5" w:rsidP="00C646D5">
      <w:pPr>
        <w:rPr>
          <w:b/>
          <w:sz w:val="28"/>
          <w:szCs w:val="28"/>
        </w:rPr>
      </w:pPr>
      <w:r w:rsidRPr="00F9374C">
        <w:rPr>
          <w:b/>
          <w:sz w:val="28"/>
          <w:szCs w:val="28"/>
        </w:rPr>
        <w:lastRenderedPageBreak/>
        <w:t xml:space="preserve">4. </w:t>
      </w:r>
      <w:r>
        <w:rPr>
          <w:b/>
          <w:sz w:val="28"/>
          <w:szCs w:val="28"/>
        </w:rPr>
        <w:t>S</w:t>
      </w:r>
      <w:r w:rsidRPr="00F9374C">
        <w:rPr>
          <w:b/>
          <w:sz w:val="28"/>
          <w:szCs w:val="28"/>
        </w:rPr>
        <w:t>afety</w:t>
      </w:r>
      <w:r>
        <w:rPr>
          <w:b/>
          <w:sz w:val="28"/>
          <w:szCs w:val="28"/>
        </w:rPr>
        <w:t>, quality</w:t>
      </w:r>
      <w:r w:rsidRPr="00F9374C">
        <w:rPr>
          <w:b/>
          <w:sz w:val="28"/>
          <w:szCs w:val="28"/>
        </w:rPr>
        <w:t xml:space="preserve"> and resilience in health care </w:t>
      </w:r>
    </w:p>
    <w:p w14:paraId="582B3985" w14:textId="77777777" w:rsidR="00C646D5" w:rsidRPr="00584D74" w:rsidRDefault="00C646D5" w:rsidP="00C646D5">
      <w:pPr>
        <w:spacing w:line="360" w:lineRule="auto"/>
        <w:rPr>
          <w:sz w:val="22"/>
          <w:szCs w:val="22"/>
        </w:rPr>
      </w:pPr>
      <w:r w:rsidRPr="00584D74">
        <w:rPr>
          <w:sz w:val="22"/>
          <w:szCs w:val="22"/>
        </w:rPr>
        <w:t>In this section I review and appraise the six presented publications within the context of the new, more positive, concepts of healthcare safety and, where appropriate, from the perspective of healthcare resilience. Because the work explores a number of fields of healthcare safety, this retrospective draws on the literature on safety and resilience more broadly than just on the specific subject areas of the six publications.  Rather than being a systematised review it seeks to place each of the presented publications in the context of the literature on the recent safety and resilience paradigms.</w:t>
      </w:r>
    </w:p>
    <w:p w14:paraId="0D4A8134" w14:textId="77777777" w:rsidR="00814845" w:rsidRDefault="00814845" w:rsidP="00C646D5">
      <w:pPr>
        <w:spacing w:line="360" w:lineRule="auto"/>
        <w:rPr>
          <w:b/>
        </w:rPr>
      </w:pPr>
    </w:p>
    <w:p w14:paraId="7E4B7237" w14:textId="77777777" w:rsidR="00C646D5" w:rsidRPr="00B87B55" w:rsidRDefault="00C646D5" w:rsidP="00C646D5">
      <w:pPr>
        <w:spacing w:line="360" w:lineRule="auto"/>
        <w:rPr>
          <w:b/>
        </w:rPr>
      </w:pPr>
      <w:r w:rsidRPr="00B87B55">
        <w:rPr>
          <w:b/>
        </w:rPr>
        <w:t>4.1 Safety Climate, Safety Culture and Event Reporting</w:t>
      </w:r>
      <w:r w:rsidR="00283240">
        <w:rPr>
          <w:b/>
        </w:rPr>
        <w:t xml:space="preserve">   </w:t>
      </w:r>
      <w:r w:rsidR="00B87B55">
        <w:rPr>
          <w:b/>
        </w:rPr>
        <w:t>(Publications 1&amp;2)</w:t>
      </w:r>
    </w:p>
    <w:p w14:paraId="2F69AF61" w14:textId="77777777" w:rsidR="00C646D5" w:rsidRPr="00B87B55" w:rsidRDefault="00C646D5" w:rsidP="00C646D5">
      <w:pPr>
        <w:spacing w:line="360" w:lineRule="auto"/>
        <w:rPr>
          <w:b/>
          <w:i/>
          <w:sz w:val="22"/>
          <w:szCs w:val="22"/>
        </w:rPr>
      </w:pPr>
      <w:r w:rsidRPr="00B87B55">
        <w:rPr>
          <w:b/>
          <w:i/>
          <w:sz w:val="22"/>
          <w:szCs w:val="22"/>
        </w:rPr>
        <w:t>Safety climate evaluation (Publication 1)</w:t>
      </w:r>
    </w:p>
    <w:p w14:paraId="0479D869" w14:textId="77777777" w:rsidR="00C646D5" w:rsidRPr="00584D74" w:rsidRDefault="00C646D5" w:rsidP="00C646D5">
      <w:pPr>
        <w:spacing w:line="360" w:lineRule="auto"/>
        <w:rPr>
          <w:sz w:val="22"/>
          <w:szCs w:val="22"/>
        </w:rPr>
      </w:pPr>
      <w:r w:rsidRPr="00584D74">
        <w:rPr>
          <w:sz w:val="22"/>
          <w:szCs w:val="22"/>
        </w:rPr>
        <w:t xml:space="preserve">Healthcare came rather late to the field of safety climate assessment and initially drew heavily on safety climate instruments from other industries because there was already a literature from which safety dimensions could be drawn be useful in healthcare assessment.  </w:t>
      </w:r>
    </w:p>
    <w:p w14:paraId="516FE226" w14:textId="77777777" w:rsidR="00C646D5" w:rsidRPr="00584D74" w:rsidRDefault="00C646D5" w:rsidP="00C646D5">
      <w:pPr>
        <w:spacing w:line="360" w:lineRule="auto"/>
        <w:rPr>
          <w:sz w:val="22"/>
          <w:szCs w:val="22"/>
        </w:rPr>
      </w:pPr>
      <w:r w:rsidRPr="00584D74">
        <w:rPr>
          <w:sz w:val="22"/>
          <w:szCs w:val="22"/>
        </w:rPr>
        <w:t xml:space="preserve">Flin and colleagues (2000), working in the petrochemical industry and subsequently in healthcare, described safety climate as the ‘surface features of the safety culture discerned from the workforce’s attitudes and perceptions at a given point in time’.  When the study associated with </w:t>
      </w:r>
      <w:r w:rsidRPr="00584D74">
        <w:rPr>
          <w:i/>
          <w:sz w:val="22"/>
          <w:szCs w:val="22"/>
        </w:rPr>
        <w:t>Publication 1</w:t>
      </w:r>
      <w:r w:rsidRPr="00584D74">
        <w:rPr>
          <w:sz w:val="22"/>
          <w:szCs w:val="22"/>
        </w:rPr>
        <w:t xml:space="preserve"> was undertaken, research by Helmreich and Merritt (1998) had derived a number of important safety climate factors from earlier research on aviation, and had developed measures for use in healthcare organisations. These included the 65 item Safety Attitudes Questionnaire (SAQ) and the shorter Team Work and Safety Climate questionnaire (TWSC) (Sexton et al 2003).  In a similar vein, Singer et al (2003) developed the Patient Safety Cultures in Healthcare Organisations survey (PSCHO) from five other questionnaires, including one from the US Naval Aviation service. The PSCHO was then used by them to survey staff in 15 US hospitals. </w:t>
      </w:r>
    </w:p>
    <w:p w14:paraId="4C43B9E0" w14:textId="77777777" w:rsidR="00C646D5" w:rsidRPr="00584D74" w:rsidRDefault="00C646D5" w:rsidP="00C646D5">
      <w:pPr>
        <w:spacing w:line="360" w:lineRule="auto"/>
        <w:rPr>
          <w:sz w:val="22"/>
          <w:szCs w:val="22"/>
        </w:rPr>
      </w:pPr>
      <w:r w:rsidRPr="00584D74">
        <w:rPr>
          <w:sz w:val="22"/>
          <w:szCs w:val="22"/>
        </w:rPr>
        <w:t xml:space="preserve">The psychometric properties of the TWSC and the PSCHO questionnaires had not been published when I devised the study in 2002. Nevertheless, it was determined that these two questionnaires were the best available for our purpose and, of the two, the TWSC questionnaire was chosen as being more understandable to UK users, although it also required amendments to the wording of the questions. </w:t>
      </w:r>
    </w:p>
    <w:p w14:paraId="5D3E99B2" w14:textId="77777777" w:rsidR="00C646D5" w:rsidRDefault="00C646D5" w:rsidP="00C646D5">
      <w:pPr>
        <w:spacing w:line="360" w:lineRule="auto"/>
        <w:rPr>
          <w:sz w:val="22"/>
          <w:szCs w:val="22"/>
        </w:rPr>
      </w:pPr>
      <w:r w:rsidRPr="00584D74">
        <w:rPr>
          <w:sz w:val="22"/>
          <w:szCs w:val="22"/>
        </w:rPr>
        <w:t xml:space="preserve">We found that the TWSC questionnaire could be used among UK healthcare staff but that the item content and factor structure required revision. The key messages from this study </w:t>
      </w:r>
      <w:r w:rsidRPr="00584D74">
        <w:rPr>
          <w:sz w:val="22"/>
          <w:szCs w:val="22"/>
        </w:rPr>
        <w:lastRenderedPageBreak/>
        <w:t xml:space="preserve">were that is was necessary for UK users to take care when using questionnaires from another healthcare setting, such as US hospital care, both because the factor structures may not remain robust when applied to UK data and because the language can be subtly different. This remains the case in more recent times.  Currently available safety climate questionnaires are much improved - for example the Hospital Survey of Patient Safety Culture (HSPSC) (Nieva and Sorra 2003) was specifically developed for healthcare. Nevertheless, Waterson and colleagues (2010) also found differences with factor structures using the HSPSC when comparing the results from US respondents and UK respondents, and our own work with the HSPSC found factor structure differences using data from Saudi Arabia (Alonazi et al 2011).    </w:t>
      </w:r>
    </w:p>
    <w:p w14:paraId="459B1AE7" w14:textId="77777777" w:rsidR="00B87B55" w:rsidRPr="00584D74" w:rsidRDefault="00B87B55" w:rsidP="00C646D5">
      <w:pPr>
        <w:spacing w:line="360" w:lineRule="auto"/>
        <w:rPr>
          <w:sz w:val="22"/>
          <w:szCs w:val="22"/>
        </w:rPr>
      </w:pPr>
    </w:p>
    <w:p w14:paraId="6A63F691" w14:textId="77777777" w:rsidR="00C646D5" w:rsidRPr="00B87B55" w:rsidRDefault="00C646D5" w:rsidP="00C646D5">
      <w:pPr>
        <w:spacing w:line="360" w:lineRule="auto"/>
        <w:rPr>
          <w:b/>
          <w:i/>
          <w:sz w:val="22"/>
          <w:szCs w:val="22"/>
        </w:rPr>
      </w:pPr>
      <w:r w:rsidRPr="00B87B55">
        <w:rPr>
          <w:b/>
          <w:i/>
          <w:sz w:val="22"/>
          <w:szCs w:val="22"/>
        </w:rPr>
        <w:t xml:space="preserve"> Event reporting (Publication 2)</w:t>
      </w:r>
    </w:p>
    <w:p w14:paraId="17F71309" w14:textId="77777777" w:rsidR="00C646D5" w:rsidRPr="00584D74" w:rsidRDefault="00C646D5" w:rsidP="00C646D5">
      <w:pPr>
        <w:spacing w:line="360" w:lineRule="auto"/>
        <w:rPr>
          <w:sz w:val="22"/>
          <w:szCs w:val="22"/>
        </w:rPr>
      </w:pPr>
      <w:r w:rsidRPr="00584D74">
        <w:rPr>
          <w:sz w:val="22"/>
          <w:szCs w:val="22"/>
        </w:rPr>
        <w:t>Reason (1990) identified four key reporting-related components of an effective safety culture – that event reporting should</w:t>
      </w:r>
    </w:p>
    <w:p w14:paraId="7CA20B7F" w14:textId="77777777" w:rsidR="00C646D5" w:rsidRPr="00584D74" w:rsidRDefault="00C646D5" w:rsidP="00C646D5">
      <w:pPr>
        <w:spacing w:line="360" w:lineRule="auto"/>
        <w:ind w:left="720"/>
        <w:rPr>
          <w:sz w:val="22"/>
          <w:szCs w:val="22"/>
        </w:rPr>
      </w:pPr>
      <w:r w:rsidRPr="00584D74">
        <w:rPr>
          <w:sz w:val="22"/>
          <w:szCs w:val="22"/>
        </w:rPr>
        <w:t xml:space="preserve"> ‘be valued, just, flexible and should encourage learning’.  </w:t>
      </w:r>
    </w:p>
    <w:p w14:paraId="6F9FEF0F" w14:textId="77777777" w:rsidR="00C646D5" w:rsidRPr="00584D74" w:rsidRDefault="00C646D5" w:rsidP="00C646D5">
      <w:pPr>
        <w:spacing w:line="360" w:lineRule="auto"/>
        <w:rPr>
          <w:sz w:val="22"/>
          <w:szCs w:val="22"/>
        </w:rPr>
      </w:pPr>
      <w:r w:rsidRPr="00584D74">
        <w:rPr>
          <w:sz w:val="22"/>
          <w:szCs w:val="22"/>
        </w:rPr>
        <w:t>In a discussion on aviation safety, Eiff (1999) noted his view that</w:t>
      </w:r>
    </w:p>
    <w:p w14:paraId="65A31040" w14:textId="77777777" w:rsidR="00C646D5" w:rsidRPr="00584D74" w:rsidRDefault="00C646D5" w:rsidP="00C646D5">
      <w:pPr>
        <w:spacing w:line="360" w:lineRule="auto"/>
        <w:ind w:left="720"/>
        <w:rPr>
          <w:sz w:val="22"/>
          <w:szCs w:val="22"/>
        </w:rPr>
      </w:pPr>
      <w:r w:rsidRPr="00584D74">
        <w:rPr>
          <w:sz w:val="22"/>
          <w:szCs w:val="22"/>
        </w:rPr>
        <w:t xml:space="preserve"> ‘one of the foundations of a true safety culture is that it is a reporting culture’</w:t>
      </w:r>
    </w:p>
    <w:p w14:paraId="3BB3668E" w14:textId="77777777" w:rsidR="00C646D5" w:rsidRPr="00584D74" w:rsidRDefault="00C646D5" w:rsidP="00C646D5">
      <w:pPr>
        <w:spacing w:line="360" w:lineRule="auto"/>
        <w:rPr>
          <w:sz w:val="22"/>
          <w:szCs w:val="22"/>
        </w:rPr>
      </w:pPr>
      <w:r w:rsidRPr="00584D74">
        <w:rPr>
          <w:sz w:val="22"/>
          <w:szCs w:val="22"/>
        </w:rPr>
        <w:t xml:space="preserve"> and that one component of a good reporting culture is</w:t>
      </w:r>
    </w:p>
    <w:p w14:paraId="6C72205D" w14:textId="77777777" w:rsidR="00C646D5" w:rsidRPr="00584D74" w:rsidRDefault="00C646D5" w:rsidP="00C646D5">
      <w:pPr>
        <w:spacing w:line="240" w:lineRule="auto"/>
        <w:ind w:left="720"/>
        <w:rPr>
          <w:sz w:val="22"/>
          <w:szCs w:val="22"/>
        </w:rPr>
      </w:pPr>
      <w:r w:rsidRPr="00584D74">
        <w:rPr>
          <w:sz w:val="22"/>
          <w:szCs w:val="22"/>
        </w:rPr>
        <w:t xml:space="preserve"> ‘the free and uninhibited reporting of safety issues that come to the attention of   employees during the course of their daily activities’. </w:t>
      </w:r>
    </w:p>
    <w:p w14:paraId="71507443" w14:textId="77777777" w:rsidR="00C646D5" w:rsidRPr="00584D74" w:rsidRDefault="00C646D5" w:rsidP="00C646D5">
      <w:pPr>
        <w:spacing w:line="360" w:lineRule="auto"/>
        <w:rPr>
          <w:sz w:val="22"/>
          <w:szCs w:val="22"/>
        </w:rPr>
      </w:pPr>
      <w:r w:rsidRPr="00584D74">
        <w:rPr>
          <w:sz w:val="22"/>
          <w:szCs w:val="22"/>
        </w:rPr>
        <w:t xml:space="preserve">While healthcare event reporting systems are now quite widespread, a number of authors have been critical of the implementation process, suggesting that the human factors in reporting and transmitting adverse event reports can be a challenge (Battles and Stevens 2009).  Shojania (2008) reported his experience of reporting systems being influenced by personal choice – to report or not to report – and also on the variations of reporting rates within and between hospitals. Both internal and external factors might influence reporting rates, with a tendency of external agencies to regard low levels of reporting as being a positive marker when the opposite might be the case. A high reporting rate might indeed be a marker of a fit-for-purpose safety culture, although process issues such as failure to use agreed data definitions are still leading to concern over the value of reporting rates as effective benchmarks (Tanner et al 2013). </w:t>
      </w:r>
    </w:p>
    <w:p w14:paraId="36891E82" w14:textId="77777777" w:rsidR="00C646D5" w:rsidRPr="00584D74" w:rsidRDefault="00C646D5" w:rsidP="00C646D5">
      <w:pPr>
        <w:spacing w:line="360" w:lineRule="auto"/>
        <w:rPr>
          <w:sz w:val="22"/>
          <w:szCs w:val="22"/>
        </w:rPr>
      </w:pPr>
      <w:r w:rsidRPr="00584D74">
        <w:rPr>
          <w:sz w:val="22"/>
          <w:szCs w:val="22"/>
        </w:rPr>
        <w:lastRenderedPageBreak/>
        <w:t>The response of employers to the reporting of incidents may be critical in determining whether a reporting rate is telling an accurate story about the institution. Both Shojonia (2008) and Firth-Cozens and colleagues (2004) identified the lack of response to reported incidents from senior hospital management as a major barrier to encouraging staff to report. Benn et al (2009) explored the issue of reporting barriers, finding that</w:t>
      </w:r>
    </w:p>
    <w:p w14:paraId="456437EB" w14:textId="77777777" w:rsidR="00C646D5" w:rsidRPr="00584D74" w:rsidRDefault="00C646D5" w:rsidP="00C646D5">
      <w:pPr>
        <w:spacing w:line="240" w:lineRule="auto"/>
        <w:ind w:left="720"/>
        <w:rPr>
          <w:sz w:val="22"/>
          <w:szCs w:val="22"/>
        </w:rPr>
      </w:pPr>
      <w:r w:rsidRPr="00584D74">
        <w:rPr>
          <w:sz w:val="22"/>
          <w:szCs w:val="22"/>
        </w:rPr>
        <w:t xml:space="preserve"> ‘risk reporting and feedback systems are highly variable (between hospital trusts) in terms of coverage of reporting and feedback’.</w:t>
      </w:r>
    </w:p>
    <w:p w14:paraId="30C21248" w14:textId="77777777" w:rsidR="00C646D5" w:rsidRPr="00584D74" w:rsidRDefault="00C646D5" w:rsidP="00C646D5">
      <w:pPr>
        <w:spacing w:line="360" w:lineRule="auto"/>
        <w:rPr>
          <w:sz w:val="22"/>
          <w:szCs w:val="22"/>
        </w:rPr>
      </w:pPr>
      <w:r w:rsidRPr="00584D74">
        <w:rPr>
          <w:i/>
          <w:sz w:val="22"/>
          <w:szCs w:val="22"/>
        </w:rPr>
        <w:t>Publication 2</w:t>
      </w:r>
      <w:r w:rsidRPr="00584D74">
        <w:rPr>
          <w:sz w:val="22"/>
          <w:szCs w:val="22"/>
        </w:rPr>
        <w:t xml:space="preserve"> investigated associations between the rate at which English hospitals were reporting to the recently established National Reporting and Learning System (NLRS) and other indicators that were conceptually linked with safer care.   Although a wide range of indicators were accessed the study found only a few associations between hospital adverse event reporting rates and safety indicator data. There was, however, a clear positive association between some safety culture items and the rate of reporting. This association is in the same expected direction as that proposed by Eiff (1999) - better safety cultures promote event reporting.  Reason (1997) regarded a reporting culture as one of the four key aspects of a safety culture, linking the willingness and ability to report with the presence of a just culture, which itself requires an input from senior leadership.   </w:t>
      </w:r>
    </w:p>
    <w:p w14:paraId="20441AD1" w14:textId="77777777" w:rsidR="00C646D5" w:rsidRPr="00584D74" w:rsidRDefault="00C646D5" w:rsidP="00C646D5">
      <w:pPr>
        <w:spacing w:line="360" w:lineRule="auto"/>
        <w:rPr>
          <w:sz w:val="22"/>
          <w:szCs w:val="22"/>
        </w:rPr>
      </w:pPr>
      <w:r w:rsidRPr="00584D74">
        <w:rPr>
          <w:sz w:val="22"/>
          <w:szCs w:val="22"/>
        </w:rPr>
        <w:t xml:space="preserve">Research on the effectiveness of Leadership Walkarounds (Frankel et al 2003), and also by myself and colleagues (AlBuharan et al 2008), suggests that senior leadership is indeed important in a complex environment where safety is always a concern. Benn et al (2009) also see visible senior leadership as an important aspect of the development of safety culture. </w:t>
      </w:r>
    </w:p>
    <w:p w14:paraId="6FC5826A" w14:textId="77777777" w:rsidR="00B87B55" w:rsidRDefault="00C646D5" w:rsidP="00C646D5">
      <w:pPr>
        <w:spacing w:line="360" w:lineRule="auto"/>
        <w:rPr>
          <w:sz w:val="22"/>
          <w:szCs w:val="22"/>
        </w:rPr>
      </w:pPr>
      <w:r w:rsidRPr="00584D74">
        <w:rPr>
          <w:sz w:val="22"/>
          <w:szCs w:val="22"/>
        </w:rPr>
        <w:t xml:space="preserve">The importance of engaged leadership in promoting safety is supported by the work of Edmondson (2004) and of Tucker (2003), who have explored the theme of why hospitals fail to learn from failure. Both authors suggest that an organisation’s ability to learn from failure (that is, its resilience) is measured by its ability to handle both large and small events.  </w:t>
      </w:r>
    </w:p>
    <w:p w14:paraId="07290915" w14:textId="77777777" w:rsidR="00C646D5" w:rsidRPr="00584D74" w:rsidRDefault="00C646D5" w:rsidP="00C646D5">
      <w:pPr>
        <w:spacing w:line="360" w:lineRule="auto"/>
        <w:rPr>
          <w:sz w:val="22"/>
          <w:szCs w:val="22"/>
        </w:rPr>
      </w:pPr>
      <w:r w:rsidRPr="00584D74">
        <w:rPr>
          <w:sz w:val="22"/>
          <w:szCs w:val="22"/>
        </w:rPr>
        <w:t xml:space="preserve">Edmondson (2004) also argues that hospitals have not learned from failure because of a poor climate of reporting mistakes or problems and that- </w:t>
      </w:r>
    </w:p>
    <w:p w14:paraId="4C4E25BF" w14:textId="77777777" w:rsidR="00C646D5" w:rsidRPr="00584D74" w:rsidRDefault="00C646D5" w:rsidP="00C646D5">
      <w:pPr>
        <w:spacing w:line="240" w:lineRule="auto"/>
        <w:ind w:left="720"/>
        <w:rPr>
          <w:sz w:val="22"/>
          <w:szCs w:val="22"/>
        </w:rPr>
      </w:pPr>
      <w:r w:rsidRPr="00584D74">
        <w:rPr>
          <w:sz w:val="22"/>
          <w:szCs w:val="22"/>
        </w:rPr>
        <w:t xml:space="preserve">‘features of work design and culture of most hospitals make workarounds and quick fixes the dominant response to failure’ </w:t>
      </w:r>
    </w:p>
    <w:p w14:paraId="6D0AF649" w14:textId="77777777" w:rsidR="00C646D5" w:rsidRPr="00584D74" w:rsidRDefault="00C646D5" w:rsidP="00C646D5">
      <w:pPr>
        <w:pStyle w:val="ListParagraph"/>
        <w:spacing w:line="360" w:lineRule="auto"/>
        <w:ind w:left="0"/>
        <w:rPr>
          <w:sz w:val="22"/>
          <w:szCs w:val="22"/>
        </w:rPr>
      </w:pPr>
      <w:r w:rsidRPr="00584D74">
        <w:rPr>
          <w:sz w:val="22"/>
          <w:szCs w:val="22"/>
        </w:rPr>
        <w:t xml:space="preserve">-rather than there being any systematic response to the problems being reported. </w:t>
      </w:r>
    </w:p>
    <w:p w14:paraId="58974FEB" w14:textId="77777777" w:rsidR="00C646D5" w:rsidRPr="00584D74" w:rsidRDefault="00C646D5" w:rsidP="00C646D5">
      <w:pPr>
        <w:spacing w:line="360" w:lineRule="auto"/>
        <w:rPr>
          <w:sz w:val="22"/>
          <w:szCs w:val="22"/>
        </w:rPr>
      </w:pPr>
      <w:r w:rsidRPr="00584D74">
        <w:rPr>
          <w:sz w:val="22"/>
          <w:szCs w:val="22"/>
        </w:rPr>
        <w:t xml:space="preserve">Results in </w:t>
      </w:r>
      <w:r w:rsidRPr="00584D74">
        <w:rPr>
          <w:i/>
          <w:sz w:val="22"/>
          <w:szCs w:val="22"/>
        </w:rPr>
        <w:t>Publication 2</w:t>
      </w:r>
      <w:r w:rsidRPr="00584D74">
        <w:rPr>
          <w:sz w:val="22"/>
          <w:szCs w:val="22"/>
        </w:rPr>
        <w:t xml:space="preserve"> indicate there were some positive associations between reporting rates and NHS 2004 Staff Survey questions, such as encouragement to report, and there </w:t>
      </w:r>
      <w:r w:rsidRPr="00584D74">
        <w:rPr>
          <w:sz w:val="22"/>
          <w:szCs w:val="22"/>
        </w:rPr>
        <w:lastRenderedPageBreak/>
        <w:t xml:space="preserve">were significant linear relationships between higher reporting rates and a higher proportion of positive responses. </w:t>
      </w:r>
    </w:p>
    <w:p w14:paraId="3FE1DEE3" w14:textId="77777777" w:rsidR="00C646D5" w:rsidRPr="00584D74" w:rsidRDefault="00C646D5" w:rsidP="00C646D5">
      <w:pPr>
        <w:spacing w:line="360" w:lineRule="auto"/>
        <w:rPr>
          <w:sz w:val="22"/>
          <w:szCs w:val="22"/>
        </w:rPr>
      </w:pPr>
      <w:r w:rsidRPr="00584D74">
        <w:rPr>
          <w:sz w:val="22"/>
          <w:szCs w:val="22"/>
        </w:rPr>
        <w:t xml:space="preserve">These limited positive findings suggest that, had it been possible, it might have been valuable to have used the results of a full safety climate questionnaire in the study. However, there remains a tendency in the NHS to use individual safety climate questions as indicators and the NHS staff survey provides only a limited set of items. Perhaps this is reasonable. As Akselsson and colleagues (2009) subsequently suggested, the compromise solution of using shorter questionnaires is to use individual items ‘sometimes pooled into aspects making sense in practice’. </w:t>
      </w:r>
    </w:p>
    <w:p w14:paraId="57306F3F" w14:textId="77777777" w:rsidR="00C646D5" w:rsidRPr="00584D74" w:rsidRDefault="00C646D5" w:rsidP="00C646D5">
      <w:pPr>
        <w:spacing w:line="360" w:lineRule="auto"/>
        <w:rPr>
          <w:sz w:val="22"/>
          <w:szCs w:val="22"/>
        </w:rPr>
      </w:pPr>
      <w:r w:rsidRPr="005E75A3">
        <w:rPr>
          <w:sz w:val="22"/>
          <w:szCs w:val="22"/>
        </w:rPr>
        <w:t>What is the place of resilience in the exploration of healthcare safety climate and culture?</w:t>
      </w:r>
      <w:r w:rsidR="00B87B55">
        <w:rPr>
          <w:sz w:val="22"/>
          <w:szCs w:val="22"/>
        </w:rPr>
        <w:t xml:space="preserve"> </w:t>
      </w:r>
      <w:r w:rsidR="005E75A3">
        <w:rPr>
          <w:sz w:val="22"/>
          <w:szCs w:val="22"/>
        </w:rPr>
        <w:t xml:space="preserve"> </w:t>
      </w:r>
      <w:r w:rsidRPr="00584D74">
        <w:rPr>
          <w:sz w:val="22"/>
          <w:szCs w:val="22"/>
        </w:rPr>
        <w:t>Flinn (20</w:t>
      </w:r>
      <w:r w:rsidR="0021182A">
        <w:rPr>
          <w:sz w:val="22"/>
          <w:szCs w:val="22"/>
        </w:rPr>
        <w:t>06</w:t>
      </w:r>
      <w:r w:rsidRPr="00584D74">
        <w:rPr>
          <w:sz w:val="22"/>
          <w:szCs w:val="22"/>
        </w:rPr>
        <w:t xml:space="preserve">) points out that whether or not managers/professionals make resilient sacrificial decisions in times of organisational stress (as exemplified by the work by Wears et al (2006) on Emergency Departments going into ‘free fall’) depends not only on staff skills and commitment but also on the general organisational level of commitment to safety. In a resilient organisation staff must be able to speak up when they meet problems and safety climate surveys are one means of measuring both managerial and clinical staff safety resilience. </w:t>
      </w:r>
    </w:p>
    <w:p w14:paraId="7828BA58" w14:textId="77777777" w:rsidR="00C646D5" w:rsidRPr="00584D74" w:rsidRDefault="00C646D5" w:rsidP="00C646D5">
      <w:pPr>
        <w:spacing w:line="360" w:lineRule="auto"/>
        <w:rPr>
          <w:sz w:val="22"/>
          <w:szCs w:val="22"/>
        </w:rPr>
      </w:pPr>
      <w:r w:rsidRPr="00584D74">
        <w:rPr>
          <w:sz w:val="22"/>
          <w:szCs w:val="22"/>
        </w:rPr>
        <w:t>Furthermore, when t</w:t>
      </w:r>
      <w:r w:rsidR="005E75A3">
        <w:rPr>
          <w:sz w:val="22"/>
          <w:szCs w:val="22"/>
        </w:rPr>
        <w:t xml:space="preserve">aking resilience into account, </w:t>
      </w:r>
      <w:r w:rsidRPr="00584D74">
        <w:rPr>
          <w:sz w:val="22"/>
          <w:szCs w:val="22"/>
        </w:rPr>
        <w:t xml:space="preserve">it also needs to be recognised that </w:t>
      </w:r>
      <w:r w:rsidR="005E75A3">
        <w:rPr>
          <w:sz w:val="22"/>
          <w:szCs w:val="22"/>
        </w:rPr>
        <w:t>a</w:t>
      </w:r>
      <w:r w:rsidRPr="00584D74">
        <w:rPr>
          <w:sz w:val="22"/>
          <w:szCs w:val="22"/>
        </w:rPr>
        <w:t xml:space="preserve"> poor organisational culture</w:t>
      </w:r>
      <w:r w:rsidR="005E75A3">
        <w:rPr>
          <w:sz w:val="22"/>
          <w:szCs w:val="22"/>
        </w:rPr>
        <w:t xml:space="preserve"> </w:t>
      </w:r>
      <w:r w:rsidRPr="00584D74">
        <w:rPr>
          <w:sz w:val="22"/>
          <w:szCs w:val="22"/>
        </w:rPr>
        <w:t xml:space="preserve">can </w:t>
      </w:r>
      <w:r w:rsidR="005E75A3">
        <w:rPr>
          <w:sz w:val="22"/>
          <w:szCs w:val="22"/>
        </w:rPr>
        <w:t>have</w:t>
      </w:r>
      <w:r w:rsidRPr="00584D74">
        <w:rPr>
          <w:sz w:val="22"/>
          <w:szCs w:val="22"/>
        </w:rPr>
        <w:t xml:space="preserve"> a negative influence on </w:t>
      </w:r>
      <w:r w:rsidR="005E75A3">
        <w:rPr>
          <w:sz w:val="22"/>
          <w:szCs w:val="22"/>
        </w:rPr>
        <w:t xml:space="preserve">the safety of </w:t>
      </w:r>
      <w:r w:rsidRPr="00584D74">
        <w:rPr>
          <w:sz w:val="22"/>
          <w:szCs w:val="22"/>
        </w:rPr>
        <w:t>care. Weick and Sutcliffe (2003) reviewed the events surrounding the Inquiry into children’s deaths during cardiac surgery at the Bristol Royal Infirmary (Department of Health 2001). They describe the overall picture at the hospital as</w:t>
      </w:r>
    </w:p>
    <w:p w14:paraId="4D81C8D7" w14:textId="77777777" w:rsidR="00C646D5" w:rsidRPr="00584D74" w:rsidRDefault="00C646D5" w:rsidP="00C646D5">
      <w:pPr>
        <w:spacing w:line="240" w:lineRule="auto"/>
        <w:ind w:left="720"/>
        <w:rPr>
          <w:sz w:val="22"/>
          <w:szCs w:val="22"/>
        </w:rPr>
      </w:pPr>
      <w:r w:rsidRPr="00584D74">
        <w:rPr>
          <w:sz w:val="22"/>
          <w:szCs w:val="22"/>
        </w:rPr>
        <w:t xml:space="preserve"> ‘a culture of entrapment’ - ‘the process by which people get locked into lines of action, subsequently justify those lines of action, and search for confirmation that they are doing what they should be doing’.  </w:t>
      </w:r>
    </w:p>
    <w:p w14:paraId="0702B826" w14:textId="77777777" w:rsidR="00B87B55" w:rsidRDefault="00B87B55" w:rsidP="00C646D5">
      <w:pPr>
        <w:spacing w:line="360" w:lineRule="auto"/>
        <w:rPr>
          <w:sz w:val="22"/>
          <w:szCs w:val="22"/>
        </w:rPr>
      </w:pPr>
    </w:p>
    <w:p w14:paraId="0E5F4DB1" w14:textId="77777777" w:rsidR="00C646D5" w:rsidRPr="00584D74" w:rsidRDefault="00B87B55" w:rsidP="00C646D5">
      <w:pPr>
        <w:spacing w:line="360" w:lineRule="auto"/>
        <w:rPr>
          <w:sz w:val="22"/>
          <w:szCs w:val="22"/>
        </w:rPr>
      </w:pPr>
      <w:r>
        <w:rPr>
          <w:sz w:val="22"/>
          <w:szCs w:val="22"/>
        </w:rPr>
        <w:t>Additionally</w:t>
      </w:r>
      <w:r w:rsidR="00C646D5" w:rsidRPr="00584D74">
        <w:rPr>
          <w:sz w:val="22"/>
          <w:szCs w:val="22"/>
        </w:rPr>
        <w:t xml:space="preserve">, in an exploration of </w:t>
      </w:r>
      <w:r>
        <w:rPr>
          <w:sz w:val="22"/>
          <w:szCs w:val="22"/>
        </w:rPr>
        <w:t xml:space="preserve">the </w:t>
      </w:r>
      <w:r w:rsidR="00C646D5" w:rsidRPr="00584D74">
        <w:rPr>
          <w:sz w:val="22"/>
          <w:szCs w:val="22"/>
        </w:rPr>
        <w:t xml:space="preserve">socio-cultural aspects of improving safety for patients, Waring (2013) points to the </w:t>
      </w:r>
    </w:p>
    <w:p w14:paraId="79344881" w14:textId="77777777" w:rsidR="00C646D5" w:rsidRPr="00584D74" w:rsidRDefault="00C646D5" w:rsidP="00C646D5">
      <w:pPr>
        <w:spacing w:line="360" w:lineRule="auto"/>
        <w:ind w:left="720"/>
        <w:rPr>
          <w:sz w:val="22"/>
          <w:szCs w:val="22"/>
        </w:rPr>
      </w:pPr>
      <w:r w:rsidRPr="00584D74">
        <w:rPr>
          <w:sz w:val="22"/>
          <w:szCs w:val="22"/>
        </w:rPr>
        <w:t>‘complex links between safety, identity and professionalism’.</w:t>
      </w:r>
    </w:p>
    <w:p w14:paraId="65CE6875" w14:textId="77777777" w:rsidR="00C646D5" w:rsidRPr="00584D74" w:rsidRDefault="00C646D5" w:rsidP="00C646D5">
      <w:pPr>
        <w:spacing w:line="360" w:lineRule="auto"/>
        <w:rPr>
          <w:sz w:val="22"/>
          <w:szCs w:val="22"/>
        </w:rPr>
      </w:pPr>
      <w:r w:rsidRPr="00584D74">
        <w:rPr>
          <w:sz w:val="22"/>
          <w:szCs w:val="22"/>
        </w:rPr>
        <w:t xml:space="preserve">Perhaps in recognition of these negative elements, Akselsson et al (2009) propose, from an aviation industry perspective, that resilience assessment should be a considered part of safety culture assessment. The aim would be to mitigate pockets, perhaps whole systems, of poor and unsafe culture that might be found, by using workforce sub-group population </w:t>
      </w:r>
      <w:r w:rsidRPr="00584D74">
        <w:rPr>
          <w:sz w:val="22"/>
          <w:szCs w:val="22"/>
        </w:rPr>
        <w:lastRenderedPageBreak/>
        <w:t xml:space="preserve">analysis of </w:t>
      </w:r>
      <w:r w:rsidR="005E75A3">
        <w:rPr>
          <w:sz w:val="22"/>
          <w:szCs w:val="22"/>
        </w:rPr>
        <w:t xml:space="preserve">safety </w:t>
      </w:r>
      <w:r w:rsidRPr="00584D74">
        <w:rPr>
          <w:sz w:val="22"/>
          <w:szCs w:val="22"/>
        </w:rPr>
        <w:t>climate questionnaire results. Our study did show safety climate differences between professional groups, although the number of respondents was quite high and smaller sub-group differences in a single institution may be more difficult to detect using a questionnaire approach.</w:t>
      </w:r>
    </w:p>
    <w:p w14:paraId="3A8A4A6A" w14:textId="77777777" w:rsidR="00C646D5" w:rsidRDefault="00C646D5" w:rsidP="00C646D5">
      <w:pPr>
        <w:spacing w:line="360" w:lineRule="auto"/>
        <w:rPr>
          <w:sz w:val="22"/>
          <w:szCs w:val="22"/>
        </w:rPr>
      </w:pPr>
      <w:r w:rsidRPr="00584D74">
        <w:rPr>
          <w:sz w:val="22"/>
          <w:szCs w:val="22"/>
        </w:rPr>
        <w:t>Nevertheless the challenges of interpretation should not stop the use of safety culture assessment as part of the process of exploring resilience. Safety climate could be viewed at the institutional, group or even ward or operating theatre level as a marker or indicator of resilience, much in the way that Furniss and colleagues (2011a, 2011b) have proposed in their layers of resilience markers. Further research is needed to explore the value of individual safety climate questions acting as resilience markers.</w:t>
      </w:r>
    </w:p>
    <w:p w14:paraId="66558C49" w14:textId="77777777" w:rsidR="005E75A3" w:rsidRPr="00584D74" w:rsidRDefault="005E75A3" w:rsidP="00C646D5">
      <w:pPr>
        <w:spacing w:line="360" w:lineRule="auto"/>
        <w:rPr>
          <w:sz w:val="22"/>
          <w:szCs w:val="22"/>
        </w:rPr>
      </w:pPr>
    </w:p>
    <w:p w14:paraId="7AF3CD2B" w14:textId="77777777" w:rsidR="00C646D5" w:rsidRPr="00B87B55" w:rsidRDefault="00C646D5" w:rsidP="00C646D5">
      <w:pPr>
        <w:spacing w:line="360" w:lineRule="auto"/>
        <w:rPr>
          <w:b/>
        </w:rPr>
      </w:pPr>
      <w:r w:rsidRPr="00B87B55">
        <w:rPr>
          <w:b/>
        </w:rPr>
        <w:t>4.2 Prospective hazard analysis (Publication 3)</w:t>
      </w:r>
    </w:p>
    <w:p w14:paraId="7612E61A" w14:textId="77777777" w:rsidR="00C646D5" w:rsidRPr="00584D74" w:rsidRDefault="00C646D5" w:rsidP="00C646D5">
      <w:pPr>
        <w:spacing w:line="360" w:lineRule="auto"/>
        <w:rPr>
          <w:sz w:val="22"/>
          <w:szCs w:val="22"/>
        </w:rPr>
      </w:pPr>
      <w:r w:rsidRPr="00584D74">
        <w:rPr>
          <w:sz w:val="22"/>
          <w:szCs w:val="22"/>
        </w:rPr>
        <w:t xml:space="preserve">Searching prospectively for hazards in health care offers the opportunity of revealing latent safety vulnerabilities and presents the possibility of making changes before failures occur. In principle, therefore, there are advantages in applying such frameworks in health care, both for complex technical situations such as surgical sterilisation procedures (Linken et al 2005) and in longitudinal processes such as medication administration (Karnon et al 2007). </w:t>
      </w:r>
    </w:p>
    <w:p w14:paraId="4E125A79" w14:textId="77777777" w:rsidR="00C646D5" w:rsidRPr="00584D74" w:rsidRDefault="00C646D5" w:rsidP="00C646D5">
      <w:pPr>
        <w:spacing w:line="360" w:lineRule="auto"/>
        <w:rPr>
          <w:sz w:val="22"/>
          <w:szCs w:val="22"/>
        </w:rPr>
      </w:pPr>
      <w:r w:rsidRPr="00584D74">
        <w:rPr>
          <w:sz w:val="22"/>
          <w:szCs w:val="22"/>
        </w:rPr>
        <w:t>Failure mode and effects analysis was previously proposed as a means of identifying hazards in medication administration processes (Cohen et al 1994, McNally et al 1997). Subsequently the US Veterans Health Administration refined this method (Healthcare Failure Modes and Effects Analysis</w:t>
      </w:r>
      <w:r w:rsidRPr="00584D74">
        <w:rPr>
          <w:sz w:val="22"/>
          <w:szCs w:val="22"/>
          <w:vertAlign w:val="superscript"/>
        </w:rPr>
        <w:t>TM</w:t>
      </w:r>
      <w:r w:rsidRPr="00584D74">
        <w:rPr>
          <w:sz w:val="22"/>
          <w:szCs w:val="22"/>
        </w:rPr>
        <w:t xml:space="preserve"> (HFMEA</w:t>
      </w:r>
      <w:r w:rsidRPr="00584D74">
        <w:rPr>
          <w:sz w:val="22"/>
          <w:szCs w:val="22"/>
          <w:vertAlign w:val="superscript"/>
        </w:rPr>
        <w:t>TM</w:t>
      </w:r>
      <w:r w:rsidRPr="00584D74">
        <w:rPr>
          <w:sz w:val="22"/>
          <w:szCs w:val="22"/>
        </w:rPr>
        <w:t xml:space="preserve">)) (DeRosier et al 2002), including care process mapping to identify failure points. </w:t>
      </w:r>
    </w:p>
    <w:p w14:paraId="3125A482" w14:textId="77777777" w:rsidR="00C646D5" w:rsidRPr="00584D74" w:rsidRDefault="00C646D5" w:rsidP="00C646D5">
      <w:pPr>
        <w:spacing w:line="360" w:lineRule="auto"/>
        <w:rPr>
          <w:sz w:val="22"/>
          <w:szCs w:val="22"/>
        </w:rPr>
      </w:pPr>
      <w:r w:rsidRPr="00584D74">
        <w:rPr>
          <w:sz w:val="22"/>
          <w:szCs w:val="22"/>
        </w:rPr>
        <w:t>Wreathall and Nemeth (2004) explored the potential role of Probabilistic Risk Assessment (PRA) as a complement to FMEA and root cause analysis because it can</w:t>
      </w:r>
    </w:p>
    <w:p w14:paraId="0C24CCD2" w14:textId="77777777" w:rsidR="00C646D5" w:rsidRPr="00584D74" w:rsidRDefault="00C646D5" w:rsidP="00C646D5">
      <w:pPr>
        <w:spacing w:line="360" w:lineRule="auto"/>
        <w:ind w:left="720"/>
        <w:rPr>
          <w:sz w:val="22"/>
          <w:szCs w:val="22"/>
        </w:rPr>
      </w:pPr>
      <w:r w:rsidRPr="00584D74">
        <w:rPr>
          <w:sz w:val="22"/>
          <w:szCs w:val="22"/>
        </w:rPr>
        <w:t xml:space="preserve"> ‘take account of the more complex causal interrelationships typical of health care’.  </w:t>
      </w:r>
    </w:p>
    <w:p w14:paraId="7AD2539A" w14:textId="77777777" w:rsidR="00C646D5" w:rsidRPr="00584D74" w:rsidRDefault="00C646D5" w:rsidP="00C646D5">
      <w:pPr>
        <w:spacing w:line="360" w:lineRule="auto"/>
        <w:rPr>
          <w:sz w:val="22"/>
          <w:szCs w:val="22"/>
        </w:rPr>
      </w:pPr>
      <w:r w:rsidRPr="00584D74">
        <w:rPr>
          <w:sz w:val="22"/>
          <w:szCs w:val="22"/>
        </w:rPr>
        <w:t xml:space="preserve">However, a significant limitation of PRA is the lack of available probability data (Ward et al 2010), which means that data must be based on assumptions made by experts. Even experts with a healthcare safety background can find these assumptions difficult to quantify, as colleagues and I discovered when using expert elicitation methods to predict the effectiveness of interventions to prevent medication errors. Additional complex modelling was required to generate predictive data from care mapping and research literature (Karnon et al 2007).    </w:t>
      </w:r>
    </w:p>
    <w:p w14:paraId="71DE2770" w14:textId="77777777" w:rsidR="00C646D5" w:rsidRPr="00584D74" w:rsidRDefault="00C646D5" w:rsidP="00C646D5">
      <w:pPr>
        <w:spacing w:line="360" w:lineRule="auto"/>
        <w:rPr>
          <w:sz w:val="22"/>
          <w:szCs w:val="22"/>
        </w:rPr>
      </w:pPr>
      <w:r w:rsidRPr="00584D74">
        <w:rPr>
          <w:sz w:val="22"/>
          <w:szCs w:val="22"/>
        </w:rPr>
        <w:lastRenderedPageBreak/>
        <w:t>More recent studies of HFMEA</w:t>
      </w:r>
      <w:r w:rsidRPr="00584D74">
        <w:rPr>
          <w:sz w:val="22"/>
          <w:szCs w:val="22"/>
          <w:vertAlign w:val="superscript"/>
        </w:rPr>
        <w:t>TM</w:t>
      </w:r>
      <w:r w:rsidRPr="00584D74">
        <w:rPr>
          <w:sz w:val="22"/>
          <w:szCs w:val="22"/>
        </w:rPr>
        <w:t xml:space="preserve"> projects have identified other significant methodological limitations. Habraken et al (2009) studied 13 projects in the Netherlands which were acknowledged to be successful, but reported that the process was time costly, the risk assessment process was difficult to carry out and there was a lack of guidance related to</w:t>
      </w:r>
    </w:p>
    <w:p w14:paraId="729BF47D" w14:textId="77777777" w:rsidR="00C646D5" w:rsidRPr="00584D74" w:rsidRDefault="00C646D5" w:rsidP="00C646D5">
      <w:pPr>
        <w:spacing w:line="240" w:lineRule="auto"/>
        <w:ind w:left="720"/>
        <w:rPr>
          <w:sz w:val="22"/>
          <w:szCs w:val="22"/>
        </w:rPr>
      </w:pPr>
      <w:r w:rsidRPr="00584D74">
        <w:rPr>
          <w:sz w:val="22"/>
          <w:szCs w:val="22"/>
        </w:rPr>
        <w:t xml:space="preserve"> ‘the identification of failure mode causes and effective actions [that] might influence the quality of the outcomes of the analysis’.  </w:t>
      </w:r>
    </w:p>
    <w:p w14:paraId="63FF428A" w14:textId="77777777" w:rsidR="00C646D5" w:rsidRPr="00584D74" w:rsidRDefault="00C646D5" w:rsidP="00C646D5">
      <w:pPr>
        <w:spacing w:line="360" w:lineRule="auto"/>
        <w:rPr>
          <w:sz w:val="22"/>
          <w:szCs w:val="22"/>
        </w:rPr>
      </w:pPr>
      <w:r w:rsidRPr="00584D74">
        <w:rPr>
          <w:sz w:val="22"/>
          <w:szCs w:val="22"/>
        </w:rPr>
        <w:t xml:space="preserve">There are other drawbacks to prospective hazard analysis methods.  For example, Linken et al (2005) recorded over 250 person-hours spent on the analysis of a large-scale sterilisation process and Kessels-Harbraken et al (2009) found somewhat differing results between prospective and retrospective methods applied to the same hospital scenarios.   </w:t>
      </w:r>
    </w:p>
    <w:p w14:paraId="52A88DF6" w14:textId="77777777" w:rsidR="00C646D5" w:rsidRPr="00584D74" w:rsidRDefault="00C646D5" w:rsidP="00C646D5">
      <w:pPr>
        <w:spacing w:line="360" w:lineRule="auto"/>
        <w:rPr>
          <w:sz w:val="22"/>
          <w:szCs w:val="22"/>
        </w:rPr>
      </w:pPr>
      <w:r w:rsidRPr="00584D74">
        <w:rPr>
          <w:sz w:val="22"/>
          <w:szCs w:val="22"/>
        </w:rPr>
        <w:t xml:space="preserve">Nevertheless, the literature on healthcare resilience, which is concerned with the ability of an organisation or process to resist or recover from failure, and research on identifying gaps and discontinuities in care (Nemeth et al 2008a), would suggest that prospective hazard analysis has some value. </w:t>
      </w:r>
    </w:p>
    <w:p w14:paraId="275AEA70" w14:textId="77777777" w:rsidR="00C646D5" w:rsidRPr="00584D74" w:rsidRDefault="00C646D5" w:rsidP="00C646D5">
      <w:pPr>
        <w:spacing w:line="360" w:lineRule="auto"/>
        <w:rPr>
          <w:sz w:val="22"/>
          <w:szCs w:val="22"/>
        </w:rPr>
      </w:pPr>
      <w:r w:rsidRPr="00584D74">
        <w:rPr>
          <w:sz w:val="22"/>
          <w:szCs w:val="22"/>
        </w:rPr>
        <w:t xml:space="preserve">In the project reported in </w:t>
      </w:r>
      <w:r w:rsidRPr="00584D74">
        <w:rPr>
          <w:i/>
          <w:sz w:val="22"/>
          <w:szCs w:val="22"/>
        </w:rPr>
        <w:t>Publication 3</w:t>
      </w:r>
      <w:r w:rsidR="00814845">
        <w:rPr>
          <w:i/>
          <w:sz w:val="22"/>
          <w:szCs w:val="22"/>
        </w:rPr>
        <w:t>,</w:t>
      </w:r>
      <w:r w:rsidRPr="00584D74">
        <w:rPr>
          <w:sz w:val="22"/>
          <w:szCs w:val="22"/>
        </w:rPr>
        <w:t xml:space="preserve"> process mapping was used to track steps in care in the supported discharge process for people with chronic obstructive pulmonary disease, and during supported care for discharged patients in the community. Taking a view similar to Wreathall and Nemeth </w:t>
      </w:r>
      <w:r w:rsidR="00102683">
        <w:rPr>
          <w:sz w:val="22"/>
          <w:szCs w:val="22"/>
        </w:rPr>
        <w:t xml:space="preserve">(2004) and Nemeth et al (2008b) - </w:t>
      </w:r>
      <w:r w:rsidRPr="00584D74">
        <w:rPr>
          <w:sz w:val="22"/>
          <w:szCs w:val="22"/>
        </w:rPr>
        <w:t>that process mapping requires inputs from people from the sharp end of care</w:t>
      </w:r>
      <w:r w:rsidR="00102683">
        <w:rPr>
          <w:sz w:val="22"/>
          <w:szCs w:val="22"/>
        </w:rPr>
        <w:t xml:space="preserve"> -</w:t>
      </w:r>
      <w:r w:rsidRPr="00584D74">
        <w:rPr>
          <w:sz w:val="22"/>
          <w:szCs w:val="22"/>
        </w:rPr>
        <w:t xml:space="preserve"> both clinical staff and patients were interviewed and observed in order to identify possible failure modes and discontinuities of care. The observation-based care mapping approach used in our study maps was not dis-similar to that reported by Nemeth and colleagues (2011), who clearly demonstrate the value of the method in an Emergency Care setting when comparing flow chart mapping with a map based on observation.  </w:t>
      </w:r>
    </w:p>
    <w:p w14:paraId="65E09CE2" w14:textId="77777777" w:rsidR="00C646D5" w:rsidRPr="00584D74" w:rsidRDefault="00C646D5" w:rsidP="00C646D5">
      <w:pPr>
        <w:spacing w:line="360" w:lineRule="auto"/>
        <w:rPr>
          <w:sz w:val="22"/>
          <w:szCs w:val="22"/>
        </w:rPr>
      </w:pPr>
      <w:r w:rsidRPr="00584D74">
        <w:rPr>
          <w:sz w:val="22"/>
          <w:szCs w:val="22"/>
        </w:rPr>
        <w:t xml:space="preserve">I have not been able to identify a combination of methods for triangulating failure modes elsewhere in the literature that is similar to that in </w:t>
      </w:r>
      <w:r w:rsidRPr="00584D74">
        <w:rPr>
          <w:i/>
          <w:sz w:val="22"/>
          <w:szCs w:val="22"/>
        </w:rPr>
        <w:t>Publication 3</w:t>
      </w:r>
      <w:r w:rsidRPr="00584D74">
        <w:rPr>
          <w:sz w:val="22"/>
          <w:szCs w:val="22"/>
        </w:rPr>
        <w:t xml:space="preserve">.  However, the comments made by Nemeth et al (2008b), that the differences of staff perceptions between ‘work as done’ and ‘work as imagined’ may be a limitation of the study.  In their study of care in an Emergency Department, Nemeth and colleagues (2011) used trained clinical observers who were able to find the gaps in care, while we were only able to use an observer with research training but without clinical skills. Nevertheless, gaps were found and, if one takes a similar definition of resilience as did Smith et al (2013), nurses did use resilient behaviour to bridge gaps that had been unidentified by the organisation until the study was carried out.  </w:t>
      </w:r>
    </w:p>
    <w:p w14:paraId="74EF6DE7" w14:textId="77777777" w:rsidR="00C646D5" w:rsidRPr="00584D74" w:rsidRDefault="00C646D5" w:rsidP="00C646D5">
      <w:pPr>
        <w:spacing w:line="360" w:lineRule="auto"/>
        <w:rPr>
          <w:sz w:val="22"/>
          <w:szCs w:val="22"/>
        </w:rPr>
      </w:pPr>
      <w:r w:rsidRPr="00584D74">
        <w:rPr>
          <w:sz w:val="22"/>
          <w:szCs w:val="22"/>
        </w:rPr>
        <w:lastRenderedPageBreak/>
        <w:t>Facing the challenge of ranking potential hazards without supporting data, the  Delphi approach (Hasson et al 2000) was chosen to rank the potential hazards. This had two main benefits. The two-round Delphi was able to engage the interest of heath service staff and allowed each to participate equally. It also enabled a stepwise series of choices that could be recorded and it took each member of staff only a relatively short time to complete the ranking, reducing the time pressure.</w:t>
      </w:r>
    </w:p>
    <w:p w14:paraId="20583506" w14:textId="77777777" w:rsidR="00C646D5" w:rsidRPr="00584D74" w:rsidRDefault="00C646D5" w:rsidP="00C646D5">
      <w:pPr>
        <w:spacing w:line="360" w:lineRule="auto"/>
        <w:rPr>
          <w:sz w:val="22"/>
          <w:szCs w:val="22"/>
        </w:rPr>
      </w:pPr>
      <w:r w:rsidRPr="00584D74">
        <w:rPr>
          <w:sz w:val="22"/>
          <w:szCs w:val="22"/>
        </w:rPr>
        <w:t xml:space="preserve">The main challenges to the resilience of the supported discharge process were communication gaps and discontinuities, between patients and staff and between groups of staff across community and secondary care. In trying to identify solutions to these actual and latent failures, it proved difficult to engage staff in the final discussion group because of time pressures, a finding replicated by others (Ward et al 2010). Nevertheless, the project was able to identify solutions to three of the top-ranked potential failures and two other problems were resolved outside of the discussions.   </w:t>
      </w:r>
    </w:p>
    <w:p w14:paraId="72F6F5A0" w14:textId="77777777" w:rsidR="00C646D5" w:rsidRPr="00584D74" w:rsidRDefault="00C646D5" w:rsidP="00C646D5">
      <w:pPr>
        <w:spacing w:before="240" w:line="360" w:lineRule="auto"/>
        <w:rPr>
          <w:sz w:val="22"/>
          <w:szCs w:val="22"/>
        </w:rPr>
      </w:pPr>
      <w:r w:rsidRPr="00584D74">
        <w:rPr>
          <w:sz w:val="22"/>
          <w:szCs w:val="22"/>
        </w:rPr>
        <w:t>In their work on the potential of a PRA toolkit for the NHS, Ward et al (2010) noted, among other issues,-</w:t>
      </w:r>
    </w:p>
    <w:p w14:paraId="073A0226" w14:textId="77777777" w:rsidR="00C646D5" w:rsidRPr="00584D74" w:rsidRDefault="00C646D5" w:rsidP="00C646D5">
      <w:pPr>
        <w:spacing w:before="240" w:line="240" w:lineRule="auto"/>
        <w:ind w:left="720"/>
        <w:rPr>
          <w:sz w:val="22"/>
          <w:szCs w:val="22"/>
        </w:rPr>
      </w:pPr>
      <w:r w:rsidRPr="00584D74">
        <w:rPr>
          <w:sz w:val="22"/>
          <w:szCs w:val="22"/>
        </w:rPr>
        <w:t xml:space="preserve"> ‘One of the difficulties of undertaking PRA in the NHS was process variability, where risks might be at one level during the day and at an entirely different level during the night’ (quite unlike most manufacturing and engineering industries). Variability also occurs at the micro and macro levels’ </w:t>
      </w:r>
    </w:p>
    <w:p w14:paraId="57712B91" w14:textId="77777777" w:rsidR="00C646D5" w:rsidRPr="00584D74" w:rsidRDefault="00C646D5" w:rsidP="00C646D5">
      <w:pPr>
        <w:spacing w:before="240" w:line="240" w:lineRule="auto"/>
        <w:rPr>
          <w:sz w:val="22"/>
          <w:szCs w:val="22"/>
        </w:rPr>
      </w:pPr>
      <w:r w:rsidRPr="00584D74">
        <w:rPr>
          <w:sz w:val="22"/>
          <w:szCs w:val="22"/>
        </w:rPr>
        <w:t>and that</w:t>
      </w:r>
    </w:p>
    <w:p w14:paraId="2BA1499F" w14:textId="77777777" w:rsidR="00C646D5" w:rsidRPr="00584D74" w:rsidRDefault="00C646D5" w:rsidP="00C646D5">
      <w:pPr>
        <w:spacing w:before="240" w:line="240" w:lineRule="auto"/>
        <w:ind w:left="720"/>
        <w:rPr>
          <w:sz w:val="22"/>
          <w:szCs w:val="22"/>
        </w:rPr>
      </w:pPr>
      <w:r w:rsidRPr="00584D74">
        <w:rPr>
          <w:sz w:val="22"/>
          <w:szCs w:val="22"/>
        </w:rPr>
        <w:t>‘A risk-based evaluation built upon a mapping of the processes is a useful approach to facilitating the level of discussion that might lead to a unified, or at least a less variable, process’.</w:t>
      </w:r>
    </w:p>
    <w:p w14:paraId="65921A79" w14:textId="77777777" w:rsidR="00C646D5" w:rsidRPr="00584D74" w:rsidRDefault="00C646D5" w:rsidP="00C646D5">
      <w:pPr>
        <w:spacing w:before="240" w:line="360" w:lineRule="auto"/>
        <w:rPr>
          <w:sz w:val="22"/>
          <w:szCs w:val="22"/>
        </w:rPr>
      </w:pPr>
      <w:r w:rsidRPr="00584D74">
        <w:rPr>
          <w:sz w:val="22"/>
          <w:szCs w:val="22"/>
        </w:rPr>
        <w:t>Our study produced similar findings at an earlier stage of Prospective Hazard Analysis usage in the NHS.</w:t>
      </w:r>
    </w:p>
    <w:p w14:paraId="310E7943" w14:textId="77777777" w:rsidR="00C646D5" w:rsidRPr="00584D74" w:rsidRDefault="00C646D5" w:rsidP="00C646D5">
      <w:pPr>
        <w:spacing w:line="360" w:lineRule="auto"/>
        <w:rPr>
          <w:sz w:val="22"/>
          <w:szCs w:val="22"/>
        </w:rPr>
      </w:pPr>
      <w:r w:rsidRPr="00584D74">
        <w:rPr>
          <w:sz w:val="22"/>
          <w:szCs w:val="22"/>
        </w:rPr>
        <w:t>Waring (2013) argues that by prospectively assessing hazards we fail to focus on the diverse resources of safety, and thus are in danger of replicating a managerial or technocratic approach to learning and change. Nevertheless it can also be argued that the principle purpose of undertaking a prospective hazard analysis in healthcare systems is not just to improve safety by finding latent vulnerabilities and producing fixes – it can also highlight resilience in the system.  FMEA</w:t>
      </w:r>
      <w:r w:rsidRPr="00584D74">
        <w:rPr>
          <w:sz w:val="22"/>
          <w:szCs w:val="22"/>
          <w:vertAlign w:val="superscript"/>
        </w:rPr>
        <w:t>TM</w:t>
      </w:r>
      <w:r w:rsidRPr="00584D74">
        <w:rPr>
          <w:sz w:val="22"/>
          <w:szCs w:val="22"/>
        </w:rPr>
        <w:t xml:space="preserve"> helped to reveal the hidden resources of resilience in patients and nurses in the operation of the supported discharge scheme.</w:t>
      </w:r>
    </w:p>
    <w:p w14:paraId="134EC8FF" w14:textId="77777777" w:rsidR="00C646D5" w:rsidRPr="00584D74" w:rsidRDefault="00814845" w:rsidP="00C646D5">
      <w:pPr>
        <w:spacing w:before="240" w:line="360" w:lineRule="auto"/>
        <w:rPr>
          <w:sz w:val="22"/>
          <w:szCs w:val="22"/>
        </w:rPr>
      </w:pPr>
      <w:r>
        <w:rPr>
          <w:sz w:val="22"/>
          <w:szCs w:val="22"/>
        </w:rPr>
        <w:t>Moves to reduce the impact of</w:t>
      </w:r>
      <w:r w:rsidR="00C646D5" w:rsidRPr="00584D74">
        <w:rPr>
          <w:sz w:val="22"/>
          <w:szCs w:val="22"/>
        </w:rPr>
        <w:t xml:space="preserve"> gaps that were discovered, such as the breakdown of the system for patients calling for help by telephone, the variability of processes at night </w:t>
      </w:r>
      <w:r w:rsidR="00C646D5" w:rsidRPr="00584D74">
        <w:rPr>
          <w:sz w:val="22"/>
          <w:szCs w:val="22"/>
        </w:rPr>
        <w:lastRenderedPageBreak/>
        <w:t>compared with day time in the flexibility of the patient-initiated admissions system and the improvements subsequently made, allowed the whole system to be more resilient under challenge.  Although the system was less pressured than that described in the discussion on ‘going solid’ by Cook and Rasmussen (2005), there were elements of the system that were at the margins of the acceptable performance boundary, some of which were identified through patient interviews and which were not known to staff prior to the project. The inclusion of patient-provided information in a safety project can make a contribution to improving system resilience.</w:t>
      </w:r>
    </w:p>
    <w:p w14:paraId="5081A751" w14:textId="77777777" w:rsidR="00C646D5" w:rsidRPr="00584D74" w:rsidRDefault="00C646D5" w:rsidP="00C646D5">
      <w:pPr>
        <w:spacing w:before="240" w:line="360" w:lineRule="auto"/>
        <w:rPr>
          <w:sz w:val="22"/>
          <w:szCs w:val="22"/>
        </w:rPr>
      </w:pPr>
      <w:r w:rsidRPr="00584D74">
        <w:rPr>
          <w:sz w:val="22"/>
          <w:szCs w:val="22"/>
        </w:rPr>
        <w:t>Nurses had also built resilient behaviour into their everyday practice in seeking ways through the complexity of nurse-led admissions in a system which was typified by doctor</w:t>
      </w:r>
      <w:r w:rsidR="00814845">
        <w:rPr>
          <w:sz w:val="22"/>
          <w:szCs w:val="22"/>
        </w:rPr>
        <w:t>-</w:t>
      </w:r>
      <w:r w:rsidRPr="00584D74">
        <w:rPr>
          <w:sz w:val="22"/>
          <w:szCs w:val="22"/>
        </w:rPr>
        <w:t>led admissions. Smith et al (201</w:t>
      </w:r>
      <w:r w:rsidR="00814845">
        <w:rPr>
          <w:sz w:val="22"/>
          <w:szCs w:val="22"/>
        </w:rPr>
        <w:t>3</w:t>
      </w:r>
      <w:r w:rsidRPr="00584D74">
        <w:rPr>
          <w:sz w:val="22"/>
          <w:szCs w:val="22"/>
        </w:rPr>
        <w:t xml:space="preserve">) have described these professional workarounds as resilient behaviours and, whereas I might have previously seen this as good, flexible professional practice, these individual workarounds did also appear to make the system safer and more flexible – and thus more resilient.  </w:t>
      </w:r>
    </w:p>
    <w:p w14:paraId="18FCAF9C" w14:textId="77777777" w:rsidR="00C646D5" w:rsidRPr="00584D74" w:rsidRDefault="00C646D5" w:rsidP="00C646D5">
      <w:pPr>
        <w:spacing w:line="360" w:lineRule="auto"/>
        <w:rPr>
          <w:sz w:val="22"/>
          <w:szCs w:val="22"/>
        </w:rPr>
      </w:pPr>
      <w:r w:rsidRPr="00584D74">
        <w:rPr>
          <w:sz w:val="22"/>
          <w:szCs w:val="22"/>
        </w:rPr>
        <w:t>On reflection the study could have benefited from explicitly seeking to identify gaps in care. Cook et al (2000) have explored discontinuities in care as vulnerabilities that can be bridged by workers (just as some of the staff and patients did in our study). But to bridge a gap is not to eliminate it and while some bridges are robust and reliable, others are frail, brittle and easily undone by outside circumstances. As Wreathall (2006) and Jeffcott et al (2009) indicate, fixes that do not come to the direct attention of the organisation do not contribute as much to the resilience as they would if they were identified and acted on through a more structured process such as HFMEA</w:t>
      </w:r>
      <w:r w:rsidRPr="00584D74">
        <w:rPr>
          <w:sz w:val="22"/>
          <w:szCs w:val="22"/>
          <w:vertAlign w:val="superscript"/>
        </w:rPr>
        <w:t>TM</w:t>
      </w:r>
      <w:r w:rsidRPr="00584D74">
        <w:rPr>
          <w:sz w:val="22"/>
          <w:szCs w:val="22"/>
        </w:rPr>
        <w:t xml:space="preserve">. Practitioners are generally effective in bridging gaps so that failures occur only relatively infrequently. But where an organisation is not, or is only partially, resilient, gaps remain an ever present threat to safety. </w:t>
      </w:r>
    </w:p>
    <w:p w14:paraId="30E9BDB4" w14:textId="77777777" w:rsidR="00C646D5" w:rsidRPr="00584D74" w:rsidRDefault="00C646D5" w:rsidP="00C646D5">
      <w:pPr>
        <w:spacing w:line="360" w:lineRule="auto"/>
        <w:rPr>
          <w:sz w:val="22"/>
          <w:szCs w:val="22"/>
        </w:rPr>
      </w:pPr>
    </w:p>
    <w:p w14:paraId="121F678D" w14:textId="77777777" w:rsidR="00B87B55" w:rsidRDefault="00C646D5" w:rsidP="00C646D5">
      <w:pPr>
        <w:rPr>
          <w:b/>
        </w:rPr>
      </w:pPr>
      <w:r w:rsidRPr="00B87B55">
        <w:rPr>
          <w:b/>
        </w:rPr>
        <w:t>4.3 Studies based on retrospective case note review</w:t>
      </w:r>
      <w:r w:rsidR="00183F6D">
        <w:rPr>
          <w:b/>
        </w:rPr>
        <w:t xml:space="preserve"> </w:t>
      </w:r>
      <w:r w:rsidR="00B87B55">
        <w:rPr>
          <w:b/>
        </w:rPr>
        <w:t>(</w:t>
      </w:r>
      <w:r w:rsidR="00B87B55" w:rsidRPr="00B87B55">
        <w:rPr>
          <w:b/>
          <w:sz w:val="22"/>
          <w:szCs w:val="22"/>
        </w:rPr>
        <w:t>Publications 4, 5 and 6</w:t>
      </w:r>
      <w:r w:rsidR="00B87B55">
        <w:rPr>
          <w:b/>
          <w:sz w:val="22"/>
          <w:szCs w:val="22"/>
        </w:rPr>
        <w:t>)</w:t>
      </w:r>
    </w:p>
    <w:p w14:paraId="59D458CC" w14:textId="77777777" w:rsidR="00C646D5" w:rsidRPr="00584D74" w:rsidRDefault="00C646D5" w:rsidP="00C646D5">
      <w:pPr>
        <w:spacing w:line="360" w:lineRule="auto"/>
        <w:rPr>
          <w:sz w:val="22"/>
          <w:szCs w:val="22"/>
        </w:rPr>
      </w:pPr>
      <w:r w:rsidRPr="00584D74">
        <w:rPr>
          <w:sz w:val="22"/>
          <w:szCs w:val="22"/>
        </w:rPr>
        <w:t xml:space="preserve">As indicated in Section 3.1 above, all </w:t>
      </w:r>
      <w:r w:rsidR="00B87B55">
        <w:rPr>
          <w:sz w:val="22"/>
          <w:szCs w:val="22"/>
        </w:rPr>
        <w:t xml:space="preserve">of these publications </w:t>
      </w:r>
      <w:r w:rsidRPr="00584D74">
        <w:rPr>
          <w:sz w:val="22"/>
          <w:szCs w:val="22"/>
        </w:rPr>
        <w:t>derive from a large project which comprised two parts. First, a study in nine hospitals of the comparative effectiveness of two methods of retrospective case note review:- explicit criterion based review and structured implicit review. Second, a study in twenty hospitals to explore the relationship between quality markers and proxy measures of outcomes.</w:t>
      </w:r>
    </w:p>
    <w:p w14:paraId="425F7C60" w14:textId="77777777" w:rsidR="00C646D5" w:rsidRPr="00584D74" w:rsidRDefault="00C646D5" w:rsidP="00C646D5">
      <w:pPr>
        <w:spacing w:line="360" w:lineRule="auto"/>
        <w:rPr>
          <w:sz w:val="22"/>
          <w:szCs w:val="22"/>
        </w:rPr>
      </w:pPr>
      <w:r w:rsidRPr="00584D74">
        <w:rPr>
          <w:i/>
          <w:sz w:val="22"/>
          <w:szCs w:val="22"/>
        </w:rPr>
        <w:t>Publication 4</w:t>
      </w:r>
      <w:r w:rsidRPr="00584D74">
        <w:rPr>
          <w:sz w:val="22"/>
          <w:szCs w:val="22"/>
        </w:rPr>
        <w:t xml:space="preserve"> reports on the comparative reliability of explicit criterion based review versus structured implicit review methods. The study to explore the relationship between quality and safety markers and proxy measures of outcomes in twenty hospitals is reported in </w:t>
      </w:r>
      <w:r w:rsidRPr="00584D74">
        <w:rPr>
          <w:i/>
          <w:sz w:val="22"/>
          <w:szCs w:val="22"/>
        </w:rPr>
        <w:lastRenderedPageBreak/>
        <w:t>Publication 5</w:t>
      </w:r>
      <w:r w:rsidRPr="00584D74">
        <w:rPr>
          <w:sz w:val="22"/>
          <w:szCs w:val="22"/>
        </w:rPr>
        <w:t xml:space="preserve">.  Using case note review data that was collected during the outcomes study, </w:t>
      </w:r>
      <w:r w:rsidRPr="00584D74">
        <w:rPr>
          <w:i/>
          <w:sz w:val="22"/>
          <w:szCs w:val="22"/>
        </w:rPr>
        <w:t>Publication 6</w:t>
      </w:r>
      <w:r w:rsidRPr="00584D74">
        <w:rPr>
          <w:sz w:val="22"/>
          <w:szCs w:val="22"/>
        </w:rPr>
        <w:t xml:space="preserve"> draws on the results of the two studies to explore how structured, judgement based, review can be used to review safety and quality of care provided for people who die while in hospital.</w:t>
      </w:r>
    </w:p>
    <w:p w14:paraId="643348C9" w14:textId="77777777" w:rsidR="00C646D5" w:rsidRPr="00B87B55" w:rsidRDefault="00C646D5" w:rsidP="00C646D5">
      <w:pPr>
        <w:spacing w:line="360" w:lineRule="auto"/>
        <w:rPr>
          <w:b/>
          <w:i/>
          <w:sz w:val="22"/>
          <w:szCs w:val="22"/>
        </w:rPr>
      </w:pPr>
      <w:r w:rsidRPr="00B87B55">
        <w:rPr>
          <w:b/>
          <w:i/>
          <w:sz w:val="22"/>
          <w:szCs w:val="22"/>
        </w:rPr>
        <w:t xml:space="preserve"> Reliability of case note review (Publication 4)</w:t>
      </w:r>
    </w:p>
    <w:p w14:paraId="1E7C4606" w14:textId="77777777" w:rsidR="00C646D5" w:rsidRPr="00584D74" w:rsidRDefault="00C646D5" w:rsidP="00C646D5">
      <w:pPr>
        <w:spacing w:line="360" w:lineRule="auto"/>
        <w:rPr>
          <w:sz w:val="22"/>
          <w:szCs w:val="22"/>
        </w:rPr>
      </w:pPr>
      <w:r w:rsidRPr="00584D74">
        <w:rPr>
          <w:sz w:val="22"/>
          <w:szCs w:val="22"/>
        </w:rPr>
        <w:t>Although there are methodological challenges in the use of retrospective case note review it still remains the main practical choice for hospital retrospective reviews of safety and quality of care (Zeegers et al 2007, Hogan et al 2012). While there are variations in how review methods are applied – for example, in some instances the use of data from trigger tools in electronic data bases, or using initial screening to identify cases for review based on a finding of a possible error marker (Landrigan 2010) – there are essentially two approaches.</w:t>
      </w:r>
    </w:p>
    <w:p w14:paraId="20972973" w14:textId="77777777" w:rsidR="00C646D5" w:rsidRPr="00584D74" w:rsidRDefault="00C646D5" w:rsidP="00C646D5">
      <w:pPr>
        <w:spacing w:line="360" w:lineRule="auto"/>
        <w:rPr>
          <w:sz w:val="22"/>
          <w:szCs w:val="22"/>
        </w:rPr>
      </w:pPr>
      <w:r w:rsidRPr="00584D74">
        <w:rPr>
          <w:sz w:val="22"/>
          <w:szCs w:val="22"/>
        </w:rPr>
        <w:t xml:space="preserve">In criterion based review a pre-selected set of clinical markers are used as indicators of the  safety and quality of care provided. Criterion based review is particularly useful when screening the quality of care across a large number of clinical units. For instance, Caretrack in Australia uses retrospective review based on a total of 522 explicit criteria covering 22 common conditions (Runciman </w:t>
      </w:r>
      <w:r w:rsidR="00814845">
        <w:rPr>
          <w:sz w:val="22"/>
          <w:szCs w:val="22"/>
        </w:rPr>
        <w:t xml:space="preserve">et al </w:t>
      </w:r>
      <w:r w:rsidRPr="00584D74">
        <w:rPr>
          <w:sz w:val="22"/>
          <w:szCs w:val="22"/>
        </w:rPr>
        <w:t>2012).</w:t>
      </w:r>
    </w:p>
    <w:p w14:paraId="621DEF60" w14:textId="77777777" w:rsidR="00C646D5" w:rsidRPr="00584D74" w:rsidRDefault="00C646D5" w:rsidP="00C646D5">
      <w:pPr>
        <w:spacing w:line="360" w:lineRule="auto"/>
        <w:rPr>
          <w:sz w:val="22"/>
          <w:szCs w:val="22"/>
        </w:rPr>
      </w:pPr>
      <w:r w:rsidRPr="00584D74">
        <w:rPr>
          <w:sz w:val="22"/>
          <w:szCs w:val="22"/>
        </w:rPr>
        <w:t>Implicit case note review is the alternative method, but its use has been plagued by poor inter-rater reliability of the method when two or more reviewers assess safety and quality of care on the same patient record. Implicit review requires the clinically trained reviewer to make a judgement on the quality of care provided and it is at the point of judgement that variability affects the comparability of the reviews. For example, although Hayward and Hofer (2001) used a five point ‘preventability’ scale to assist with decision making in their study of whether deaths in hospital were preventable, the inter-rater reliability was relatively low (Intra Class Correlation (ICC) = 0.34).</w:t>
      </w:r>
    </w:p>
    <w:p w14:paraId="31752478" w14:textId="77777777" w:rsidR="00C646D5" w:rsidRPr="00584D74" w:rsidRDefault="00C646D5" w:rsidP="00C646D5">
      <w:pPr>
        <w:spacing w:line="360" w:lineRule="auto"/>
        <w:rPr>
          <w:sz w:val="22"/>
          <w:szCs w:val="22"/>
        </w:rPr>
      </w:pPr>
      <w:r w:rsidRPr="00584D74">
        <w:rPr>
          <w:sz w:val="22"/>
          <w:szCs w:val="22"/>
        </w:rPr>
        <w:t xml:space="preserve">Previous personal experience of the case note review literature (The North of England Study of Standards and Performance in General Practice 1992) informed decisions on the use of a phase of care structure for the implicit review. The structured review method reported here is a significant refinement over the criterion list/severity scale type of implicit review previously reported (Pearson et al 2000), since the method is enhanced by written comments that reviewers are asked to produce to support a judgement based score which they give for each phase of care and for care overall. </w:t>
      </w:r>
    </w:p>
    <w:p w14:paraId="7604ED53" w14:textId="77777777" w:rsidR="00C646D5" w:rsidRPr="00584D74" w:rsidRDefault="00C646D5" w:rsidP="00C646D5">
      <w:pPr>
        <w:spacing w:line="360" w:lineRule="auto"/>
        <w:rPr>
          <w:sz w:val="22"/>
          <w:szCs w:val="22"/>
        </w:rPr>
      </w:pPr>
      <w:r w:rsidRPr="00584D74">
        <w:rPr>
          <w:sz w:val="22"/>
          <w:szCs w:val="22"/>
        </w:rPr>
        <w:t xml:space="preserve">Case notes of people with chronic obstructive airways disease and with heart failure were reviewed in the nine hospitals.  Physicians provided rather higher reliability scores (Intra </w:t>
      </w:r>
      <w:r w:rsidRPr="00584D74">
        <w:rPr>
          <w:sz w:val="22"/>
          <w:szCs w:val="22"/>
        </w:rPr>
        <w:lastRenderedPageBreak/>
        <w:t xml:space="preserve">Class Correlation (ICC) = 0.52) than those found by Hayward and Hofer (2001). Results suggested that nurse reviewers were more likely to comment on care pathways rather than on the safety of more direct interventions, though there was some indication that both aspects could judged by specialist nurses.  </w:t>
      </w:r>
    </w:p>
    <w:p w14:paraId="36119246" w14:textId="77777777" w:rsidR="00C646D5" w:rsidRPr="00584D74" w:rsidRDefault="00C646D5" w:rsidP="00C646D5">
      <w:pPr>
        <w:spacing w:line="360" w:lineRule="auto"/>
        <w:rPr>
          <w:sz w:val="22"/>
          <w:szCs w:val="22"/>
        </w:rPr>
      </w:pPr>
      <w:r w:rsidRPr="00584D74">
        <w:rPr>
          <w:sz w:val="22"/>
          <w:szCs w:val="22"/>
        </w:rPr>
        <w:t>Weingart and colleagues (2002) used the analogy that</w:t>
      </w:r>
    </w:p>
    <w:p w14:paraId="5B254A7D" w14:textId="77777777" w:rsidR="00C646D5" w:rsidRPr="00584D74" w:rsidRDefault="00C646D5" w:rsidP="00C646D5">
      <w:pPr>
        <w:spacing w:line="240" w:lineRule="auto"/>
        <w:ind w:left="720"/>
        <w:rPr>
          <w:sz w:val="22"/>
          <w:szCs w:val="22"/>
        </w:rPr>
      </w:pPr>
      <w:r w:rsidRPr="00584D74">
        <w:rPr>
          <w:sz w:val="22"/>
          <w:szCs w:val="22"/>
        </w:rPr>
        <w:t xml:space="preserve"> ‘nurses couldn’t see the wood for the trees while physicians couldn’t see the trees for the wood’, </w:t>
      </w:r>
    </w:p>
    <w:p w14:paraId="40A78D0E" w14:textId="77777777" w:rsidR="00C646D5" w:rsidRPr="00584D74" w:rsidRDefault="00C646D5" w:rsidP="00C646D5">
      <w:pPr>
        <w:spacing w:line="360" w:lineRule="auto"/>
        <w:rPr>
          <w:sz w:val="22"/>
          <w:szCs w:val="22"/>
        </w:rPr>
      </w:pPr>
      <w:r w:rsidRPr="00584D74">
        <w:rPr>
          <w:sz w:val="22"/>
          <w:szCs w:val="22"/>
        </w:rPr>
        <w:t xml:space="preserve">thereby implying that nurse reviewers in general take a more holistic approach but do not comment on the interventions whereas physicians take a more detailed interventionist approach, but may fail to see the wider healthcare picture.  This seemed to be the case in the analysis presented in </w:t>
      </w:r>
      <w:r w:rsidRPr="00584D74">
        <w:rPr>
          <w:i/>
          <w:sz w:val="22"/>
          <w:szCs w:val="22"/>
        </w:rPr>
        <w:t>Publication 4</w:t>
      </w:r>
      <w:r w:rsidRPr="00584D74">
        <w:rPr>
          <w:sz w:val="22"/>
          <w:szCs w:val="22"/>
        </w:rPr>
        <w:t xml:space="preserve"> although it later became clear that good physician reviewers are able to see both ‘wood and trees’ (</w:t>
      </w:r>
      <w:r w:rsidRPr="00584D74">
        <w:rPr>
          <w:i/>
          <w:sz w:val="22"/>
          <w:szCs w:val="22"/>
        </w:rPr>
        <w:t>Publication 6</w:t>
      </w:r>
      <w:r w:rsidRPr="00584D74">
        <w:rPr>
          <w:sz w:val="22"/>
          <w:szCs w:val="22"/>
        </w:rPr>
        <w:t xml:space="preserve">). </w:t>
      </w:r>
    </w:p>
    <w:p w14:paraId="76DB1E49" w14:textId="77777777" w:rsidR="00C646D5" w:rsidRPr="00584D74" w:rsidRDefault="00C646D5" w:rsidP="00C646D5">
      <w:pPr>
        <w:spacing w:line="360" w:lineRule="auto"/>
        <w:rPr>
          <w:sz w:val="22"/>
          <w:szCs w:val="22"/>
        </w:rPr>
      </w:pPr>
      <w:r w:rsidRPr="00584D74">
        <w:rPr>
          <w:sz w:val="22"/>
          <w:szCs w:val="22"/>
        </w:rPr>
        <w:t xml:space="preserve">Additionally, work by </w:t>
      </w:r>
      <w:r w:rsidR="00745A69">
        <w:rPr>
          <w:sz w:val="22"/>
          <w:szCs w:val="22"/>
        </w:rPr>
        <w:t>Sharek</w:t>
      </w:r>
      <w:r w:rsidRPr="00584D74">
        <w:rPr>
          <w:sz w:val="22"/>
          <w:szCs w:val="22"/>
        </w:rPr>
        <w:t xml:space="preserve"> et al (2010), using internal review teams to investigate patient harm, found that there was no significant difference between the results from internal and external reviewers, supporting our view that internal physician review teams are able to make appropriate care judgements about their own hospital. </w:t>
      </w:r>
    </w:p>
    <w:p w14:paraId="4F25CC4E" w14:textId="77777777" w:rsidR="00C646D5" w:rsidRPr="00B87B55" w:rsidRDefault="00C646D5" w:rsidP="00C646D5">
      <w:pPr>
        <w:spacing w:line="360" w:lineRule="auto"/>
        <w:rPr>
          <w:b/>
          <w:i/>
          <w:sz w:val="22"/>
          <w:szCs w:val="22"/>
        </w:rPr>
      </w:pPr>
      <w:r w:rsidRPr="00B87B55">
        <w:rPr>
          <w:b/>
          <w:i/>
          <w:sz w:val="22"/>
          <w:szCs w:val="22"/>
        </w:rPr>
        <w:t xml:space="preserve">Quality assessment and hospital level outcomes (Publication 5) </w:t>
      </w:r>
    </w:p>
    <w:p w14:paraId="781BBADA" w14:textId="77777777" w:rsidR="00C646D5" w:rsidRPr="00584D74" w:rsidRDefault="00C646D5" w:rsidP="00C646D5">
      <w:pPr>
        <w:spacing w:line="360" w:lineRule="auto"/>
        <w:rPr>
          <w:sz w:val="22"/>
          <w:szCs w:val="22"/>
        </w:rPr>
      </w:pPr>
      <w:r w:rsidRPr="00584D74">
        <w:rPr>
          <w:sz w:val="22"/>
          <w:szCs w:val="22"/>
        </w:rPr>
        <w:t xml:space="preserve">This phase of the study investigated potential relationships between the quality of care scores assessed by the study review methods (a more limited set of explicit review criteria together with structured implicit review) and a range of possible proxy outcome measures for hospitals. The study was undertaken on 1565 case notes in 20 randomly selected acute hospitals in England.  For each of the index conditions a trained physician reviewer assessed up to 40 sets of case notes.  Group training for the reviewers used the knowledge  gained from the first phase of the study to ensure that judgement commentaries were as explicit as possible, rather than offering descriptive or implicit (and therefore obscure) information. Only the quantitative care scores were used in this publication, since there were not enough resources to analyse the extensive data set of commentaries. </w:t>
      </w:r>
    </w:p>
    <w:p w14:paraId="5ADC3A53" w14:textId="77777777" w:rsidR="00C646D5" w:rsidRPr="00584D74" w:rsidRDefault="00C646D5" w:rsidP="00C646D5">
      <w:pPr>
        <w:spacing w:line="360" w:lineRule="auto"/>
        <w:rPr>
          <w:sz w:val="22"/>
          <w:szCs w:val="22"/>
        </w:rPr>
      </w:pPr>
      <w:r w:rsidRPr="00584D74">
        <w:rPr>
          <w:sz w:val="22"/>
          <w:szCs w:val="22"/>
        </w:rPr>
        <w:t xml:space="preserve">The choice of proxy outcome measures drew on experience with measures reported in </w:t>
      </w:r>
      <w:r w:rsidRPr="00584D74">
        <w:rPr>
          <w:i/>
          <w:sz w:val="22"/>
          <w:szCs w:val="22"/>
        </w:rPr>
        <w:t>Publication1</w:t>
      </w:r>
      <w:r w:rsidRPr="00584D74">
        <w:rPr>
          <w:sz w:val="22"/>
          <w:szCs w:val="22"/>
        </w:rPr>
        <w:t xml:space="preserve"> and </w:t>
      </w:r>
      <w:r w:rsidRPr="00584D74">
        <w:rPr>
          <w:i/>
          <w:sz w:val="22"/>
          <w:szCs w:val="22"/>
        </w:rPr>
        <w:t>Publication 2</w:t>
      </w:r>
      <w:r w:rsidRPr="00584D74">
        <w:rPr>
          <w:sz w:val="22"/>
          <w:szCs w:val="22"/>
        </w:rPr>
        <w:t xml:space="preserve">. In addition to those relatively few measures already shown to be associated with better quality and safety of care, the study included a number of markers that UK healthcare organisations were using or proposing. </w:t>
      </w:r>
    </w:p>
    <w:p w14:paraId="4DB6692E" w14:textId="77777777" w:rsidR="00C646D5" w:rsidRPr="00584D74" w:rsidRDefault="00C646D5" w:rsidP="00C646D5">
      <w:pPr>
        <w:spacing w:line="360" w:lineRule="auto"/>
        <w:rPr>
          <w:sz w:val="22"/>
          <w:szCs w:val="22"/>
        </w:rPr>
      </w:pPr>
      <w:r w:rsidRPr="00584D74">
        <w:rPr>
          <w:sz w:val="22"/>
          <w:szCs w:val="22"/>
        </w:rPr>
        <w:t>Results reported</w:t>
      </w:r>
      <w:r w:rsidR="00814845">
        <w:rPr>
          <w:sz w:val="22"/>
          <w:szCs w:val="22"/>
        </w:rPr>
        <w:t xml:space="preserve"> in</w:t>
      </w:r>
      <w:r w:rsidRPr="00584D74">
        <w:rPr>
          <w:sz w:val="22"/>
          <w:szCs w:val="22"/>
        </w:rPr>
        <w:t xml:space="preserve"> </w:t>
      </w:r>
      <w:r w:rsidRPr="00584D74">
        <w:rPr>
          <w:i/>
          <w:sz w:val="22"/>
          <w:szCs w:val="22"/>
        </w:rPr>
        <w:t>Publication 4</w:t>
      </w:r>
      <w:r w:rsidRPr="00584D74">
        <w:rPr>
          <w:sz w:val="22"/>
          <w:szCs w:val="22"/>
        </w:rPr>
        <w:t xml:space="preserve"> indicated that the safety  and quality scores from both the criterion based review and the structured implicit review were reasonably reliable and in </w:t>
      </w:r>
      <w:r w:rsidRPr="00584D74">
        <w:rPr>
          <w:i/>
          <w:sz w:val="22"/>
          <w:szCs w:val="22"/>
        </w:rPr>
        <w:lastRenderedPageBreak/>
        <w:t>Publication 5</w:t>
      </w:r>
      <w:r w:rsidRPr="00584D74">
        <w:rPr>
          <w:sz w:val="22"/>
          <w:szCs w:val="22"/>
        </w:rPr>
        <w:t xml:space="preserve"> we were able to show that the scores could be used to rank hospitals. There were also some limited associations between the scores and safety climate items from the NHS staff survey.  However, the analysis found no significant positive association between higher safety and quality scores and lower hospital mortality rates for COPD and for Heart Failure.</w:t>
      </w:r>
    </w:p>
    <w:p w14:paraId="69EDDA2F" w14:textId="77777777" w:rsidR="00C646D5" w:rsidRPr="00584D74" w:rsidRDefault="00C646D5" w:rsidP="00C646D5">
      <w:pPr>
        <w:spacing w:line="360" w:lineRule="auto"/>
        <w:rPr>
          <w:sz w:val="22"/>
          <w:szCs w:val="22"/>
        </w:rPr>
      </w:pPr>
      <w:r w:rsidRPr="00584D74">
        <w:rPr>
          <w:sz w:val="22"/>
          <w:szCs w:val="22"/>
        </w:rPr>
        <w:t>Nor was there any relationship between hospital level proxy outcome measures such as Hospital Standardised Mortality Ratios (HSMR) and the safety and quality scores. This was not altogether surprising since, contemporaneously, Pitches et al (2007) had shown in a meta-analysis that only approximately half of 51 correlations were positive</w:t>
      </w:r>
      <w:r w:rsidR="00814845">
        <w:rPr>
          <w:sz w:val="22"/>
          <w:szCs w:val="22"/>
        </w:rPr>
        <w:t xml:space="preserve"> in 36 process-outcome studies.</w:t>
      </w:r>
    </w:p>
    <w:p w14:paraId="64D81A0F" w14:textId="77777777" w:rsidR="00C646D5" w:rsidRPr="00584D74" w:rsidRDefault="00C646D5" w:rsidP="00C646D5">
      <w:pPr>
        <w:spacing w:line="360" w:lineRule="auto"/>
        <w:rPr>
          <w:sz w:val="22"/>
          <w:szCs w:val="22"/>
        </w:rPr>
      </w:pPr>
      <w:r w:rsidRPr="00584D74">
        <w:rPr>
          <w:sz w:val="22"/>
          <w:szCs w:val="22"/>
        </w:rPr>
        <w:t xml:space="preserve">In </w:t>
      </w:r>
      <w:r w:rsidRPr="00584D74">
        <w:rPr>
          <w:i/>
          <w:sz w:val="22"/>
          <w:szCs w:val="22"/>
        </w:rPr>
        <w:t>Publication 5</w:t>
      </w:r>
      <w:r w:rsidRPr="00584D74">
        <w:rPr>
          <w:sz w:val="22"/>
          <w:szCs w:val="22"/>
        </w:rPr>
        <w:t xml:space="preserve"> we said</w:t>
      </w:r>
      <w:r w:rsidRPr="00584D74">
        <w:rPr>
          <w:i/>
          <w:sz w:val="22"/>
          <w:szCs w:val="22"/>
        </w:rPr>
        <w:t xml:space="preserve"> </w:t>
      </w:r>
      <w:r w:rsidRPr="00584D74">
        <w:rPr>
          <w:sz w:val="22"/>
          <w:szCs w:val="22"/>
        </w:rPr>
        <w:t xml:space="preserve">that </w:t>
      </w:r>
    </w:p>
    <w:p w14:paraId="516C9B3F" w14:textId="77777777" w:rsidR="00C646D5" w:rsidRPr="00584D74" w:rsidRDefault="00C646D5" w:rsidP="00C646D5">
      <w:pPr>
        <w:spacing w:line="240" w:lineRule="auto"/>
        <w:ind w:left="720"/>
        <w:rPr>
          <w:sz w:val="22"/>
          <w:szCs w:val="22"/>
        </w:rPr>
      </w:pPr>
      <w:r w:rsidRPr="00584D74">
        <w:rPr>
          <w:sz w:val="22"/>
          <w:szCs w:val="22"/>
        </w:rPr>
        <w:t xml:space="preserve">‘available hospital level outcome indicator data are probably insufficiently sensitive to reflect the quality of care recorded in patient case notes’. </w:t>
      </w:r>
    </w:p>
    <w:p w14:paraId="4E8CAC02" w14:textId="77777777" w:rsidR="00B87B55" w:rsidRDefault="00B87B55" w:rsidP="00C646D5">
      <w:pPr>
        <w:spacing w:line="240" w:lineRule="auto"/>
        <w:rPr>
          <w:sz w:val="22"/>
          <w:szCs w:val="22"/>
        </w:rPr>
      </w:pPr>
    </w:p>
    <w:p w14:paraId="05AFA6B1" w14:textId="77777777" w:rsidR="00C646D5" w:rsidRPr="00584D74" w:rsidRDefault="00C646D5" w:rsidP="00C646D5">
      <w:pPr>
        <w:spacing w:line="240" w:lineRule="auto"/>
        <w:rPr>
          <w:sz w:val="22"/>
          <w:szCs w:val="22"/>
        </w:rPr>
      </w:pPr>
      <w:r w:rsidRPr="00584D74">
        <w:rPr>
          <w:sz w:val="22"/>
          <w:szCs w:val="22"/>
        </w:rPr>
        <w:t xml:space="preserve">Furthermore, </w:t>
      </w:r>
      <w:r w:rsidR="00B87B55">
        <w:rPr>
          <w:sz w:val="22"/>
          <w:szCs w:val="22"/>
        </w:rPr>
        <w:t xml:space="preserve">we said </w:t>
      </w:r>
      <w:r w:rsidRPr="00584D74">
        <w:rPr>
          <w:sz w:val="22"/>
          <w:szCs w:val="22"/>
        </w:rPr>
        <w:t xml:space="preserve">that </w:t>
      </w:r>
    </w:p>
    <w:p w14:paraId="3E9A7F3C" w14:textId="77777777" w:rsidR="00C646D5" w:rsidRPr="00584D74" w:rsidRDefault="00C646D5" w:rsidP="00C646D5">
      <w:pPr>
        <w:spacing w:line="240" w:lineRule="auto"/>
        <w:ind w:left="720"/>
        <w:rPr>
          <w:sz w:val="22"/>
          <w:szCs w:val="22"/>
        </w:rPr>
      </w:pPr>
      <w:r w:rsidRPr="00584D74">
        <w:rPr>
          <w:sz w:val="22"/>
          <w:szCs w:val="22"/>
        </w:rPr>
        <w:t xml:space="preserve">‘The nuances of patient care may mean that high-quality,(safe) care may be given even when the patient’s outcome appears poor, and the reverse might also be the case. These (research) findings may be pointing to process measures as being more useful than outcome measures when reviewing the case notes of people who have chronic disease or multiple conditions’.  </w:t>
      </w:r>
    </w:p>
    <w:p w14:paraId="480FFDB5" w14:textId="77777777" w:rsidR="00C646D5" w:rsidRPr="00584D74" w:rsidRDefault="00C646D5" w:rsidP="00C646D5">
      <w:pPr>
        <w:spacing w:line="360" w:lineRule="auto"/>
        <w:rPr>
          <w:sz w:val="22"/>
          <w:szCs w:val="22"/>
        </w:rPr>
      </w:pPr>
      <w:r w:rsidRPr="00584D74">
        <w:rPr>
          <w:sz w:val="22"/>
          <w:szCs w:val="22"/>
        </w:rPr>
        <w:t xml:space="preserve">This may still be correct, although an alternative argument may be made that a greater number of case note reviews per condition in each hospital might have produced a different level of care score. Additionally, it is possible that the use of only two indicator conditions was insufficient to give an overall picture of the safety and quality of care for a hospital.  Moreover, indices of severity of illness were unavailable, again limiting the strength of the analysis. </w:t>
      </w:r>
    </w:p>
    <w:p w14:paraId="2884EB96" w14:textId="77777777" w:rsidR="00C646D5" w:rsidRPr="00584D74" w:rsidRDefault="00C646D5" w:rsidP="00C646D5">
      <w:pPr>
        <w:spacing w:line="360" w:lineRule="auto"/>
        <w:rPr>
          <w:sz w:val="22"/>
          <w:szCs w:val="22"/>
        </w:rPr>
      </w:pPr>
      <w:r w:rsidRPr="00584D74">
        <w:rPr>
          <w:sz w:val="22"/>
          <w:szCs w:val="22"/>
        </w:rPr>
        <w:t xml:space="preserve">On the other hand, the commentary in </w:t>
      </w:r>
      <w:r w:rsidRPr="00584D74">
        <w:rPr>
          <w:i/>
          <w:sz w:val="22"/>
          <w:szCs w:val="22"/>
        </w:rPr>
        <w:t>Publication 5</w:t>
      </w:r>
      <w:r w:rsidRPr="00584D74">
        <w:rPr>
          <w:sz w:val="22"/>
          <w:szCs w:val="22"/>
        </w:rPr>
        <w:t xml:space="preserve"> would have been more in favour of the strength of the case note review data if the qualitative analysis of the judgement commentaries had been available.  As shown in </w:t>
      </w:r>
      <w:r w:rsidRPr="00584D74">
        <w:rPr>
          <w:i/>
          <w:sz w:val="22"/>
          <w:szCs w:val="22"/>
        </w:rPr>
        <w:t xml:space="preserve">Publication 6 </w:t>
      </w:r>
      <w:r w:rsidRPr="00584D74">
        <w:rPr>
          <w:sz w:val="22"/>
          <w:szCs w:val="22"/>
        </w:rPr>
        <w:t xml:space="preserve">below, many of the 119 people who died had high overall care scores, and care scores in the study were usually coherent with </w:t>
      </w:r>
      <w:r w:rsidR="00814845">
        <w:rPr>
          <w:sz w:val="22"/>
          <w:szCs w:val="22"/>
        </w:rPr>
        <w:t>the types of</w:t>
      </w:r>
      <w:r w:rsidRPr="00584D74">
        <w:rPr>
          <w:sz w:val="22"/>
          <w:szCs w:val="22"/>
        </w:rPr>
        <w:t xml:space="preserve"> comments about the quality of care provided. </w:t>
      </w:r>
    </w:p>
    <w:p w14:paraId="0E4EA360" w14:textId="77777777" w:rsidR="00C646D5" w:rsidRPr="00584D74" w:rsidRDefault="00C646D5" w:rsidP="00C646D5">
      <w:pPr>
        <w:spacing w:line="360" w:lineRule="auto"/>
        <w:rPr>
          <w:sz w:val="22"/>
          <w:szCs w:val="22"/>
        </w:rPr>
      </w:pPr>
      <w:r w:rsidRPr="00584D74">
        <w:rPr>
          <w:sz w:val="22"/>
          <w:szCs w:val="22"/>
        </w:rPr>
        <w:t xml:space="preserve">How may care scores contribute to a discussion on resilience?  In an observational study of resilient actions in an oncology unit, Smith et al (2013) point out that the benefits of each of the actions they recorded tended to be for a particular patient and at a particular juncture of their care, without there being a general resilience benefit.  Patterns of benefits or </w:t>
      </w:r>
      <w:r w:rsidRPr="00584D74">
        <w:rPr>
          <w:sz w:val="22"/>
          <w:szCs w:val="22"/>
        </w:rPr>
        <w:lastRenderedPageBreak/>
        <w:t xml:space="preserve">challenges are what is required to inform organisational and resilience improvements.  Seen from a resilience perspective, therefore, the low phase of care scores might be used to screen for gaps in care (Nemeth et al 2008) or could be seen as markers that might indicate a brittleness of the system (Woods and Cook 2006). For example, if a group of reviews in the early admission phase </w:t>
      </w:r>
      <w:r w:rsidR="00814845">
        <w:rPr>
          <w:sz w:val="22"/>
          <w:szCs w:val="22"/>
        </w:rPr>
        <w:t xml:space="preserve">found </w:t>
      </w:r>
      <w:r w:rsidRPr="00584D74">
        <w:rPr>
          <w:sz w:val="22"/>
          <w:szCs w:val="22"/>
        </w:rPr>
        <w:t>the scores were mainly low, or were low at times of the day or week, then questions could be asked about the service delivery system. These would need to be ‘behind the error’ questions (Woods et al 2010).</w:t>
      </w:r>
      <w:r w:rsidR="00814845">
        <w:rPr>
          <w:sz w:val="22"/>
          <w:szCs w:val="22"/>
        </w:rPr>
        <w:t xml:space="preserve"> </w:t>
      </w:r>
      <w:r w:rsidRPr="00584D74">
        <w:rPr>
          <w:sz w:val="22"/>
          <w:szCs w:val="22"/>
        </w:rPr>
        <w:t>For instance, Tucker and Edmondson (2003) took a ‘behind the error’ approach to hospital nursing practise and found that most process failures were not ‘errors’ but were ‘problems’ which were often neither recorded nor addressed by local leadership. Their research found that ‘problems’ happened close to once per hour of work per nurse, and so healthcare was unlike other industrial processes, where problems were infrequent. Problems were defined more broadly than errors, rather they were disruptions in a care givers ability to execute a prescribed task - discontinuities - and the authors argued that this material provides a rich learning opportunity.  A similar case can be made for the judgement comments.</w:t>
      </w:r>
    </w:p>
    <w:p w14:paraId="79DE5118" w14:textId="77777777" w:rsidR="00C646D5" w:rsidRPr="00584D74" w:rsidRDefault="00C646D5" w:rsidP="00C646D5">
      <w:pPr>
        <w:spacing w:line="360" w:lineRule="auto"/>
        <w:rPr>
          <w:sz w:val="22"/>
          <w:szCs w:val="22"/>
        </w:rPr>
      </w:pPr>
      <w:r w:rsidRPr="00584D74">
        <w:rPr>
          <w:sz w:val="22"/>
          <w:szCs w:val="22"/>
        </w:rPr>
        <w:t xml:space="preserve">Exploring the value of phase scores further, where safety and quality scores are generally good (and over 60% of the cohort were shown to have good or very good care), the system might be seen as tending towards Hollnagel’s (2013) definition of safety – </w:t>
      </w:r>
    </w:p>
    <w:p w14:paraId="60DA00E6" w14:textId="77777777" w:rsidR="00C646D5" w:rsidRPr="00584D74" w:rsidRDefault="00C646D5" w:rsidP="00C646D5">
      <w:pPr>
        <w:spacing w:line="240" w:lineRule="auto"/>
        <w:ind w:left="720"/>
        <w:rPr>
          <w:sz w:val="22"/>
          <w:szCs w:val="22"/>
        </w:rPr>
      </w:pPr>
      <w:r w:rsidRPr="00584D74">
        <w:rPr>
          <w:sz w:val="22"/>
          <w:szCs w:val="22"/>
        </w:rPr>
        <w:t>‘the ability to succeed under varying conditions, so that the number of intended and acceptable outcomes is as high as possible’.</w:t>
      </w:r>
    </w:p>
    <w:p w14:paraId="26616913" w14:textId="77777777" w:rsidR="00C646D5" w:rsidRPr="00584D74" w:rsidRDefault="00C646D5" w:rsidP="00C646D5">
      <w:pPr>
        <w:spacing w:line="360" w:lineRule="auto"/>
        <w:rPr>
          <w:sz w:val="22"/>
          <w:szCs w:val="22"/>
        </w:rPr>
      </w:pPr>
    </w:p>
    <w:p w14:paraId="0208B880" w14:textId="77777777" w:rsidR="00C646D5" w:rsidRPr="00584D74" w:rsidRDefault="00C646D5" w:rsidP="00C646D5">
      <w:pPr>
        <w:spacing w:line="360" w:lineRule="auto"/>
        <w:rPr>
          <w:sz w:val="22"/>
          <w:szCs w:val="22"/>
        </w:rPr>
      </w:pPr>
      <w:r w:rsidRPr="00584D74">
        <w:rPr>
          <w:sz w:val="22"/>
          <w:szCs w:val="22"/>
        </w:rPr>
        <w:t>Nemeth et al (2011) describe acute care admission processes as</w:t>
      </w:r>
    </w:p>
    <w:p w14:paraId="239ABBA0" w14:textId="77777777" w:rsidR="00C646D5" w:rsidRPr="00584D74" w:rsidRDefault="00C646D5" w:rsidP="00C646D5">
      <w:pPr>
        <w:spacing w:line="360" w:lineRule="auto"/>
        <w:ind w:left="720"/>
        <w:rPr>
          <w:sz w:val="22"/>
          <w:szCs w:val="22"/>
        </w:rPr>
      </w:pPr>
      <w:r w:rsidRPr="00584D74">
        <w:rPr>
          <w:sz w:val="22"/>
          <w:szCs w:val="22"/>
        </w:rPr>
        <w:t xml:space="preserve"> ‘typically high-tempo, rapidly evolving, highly uncertain and involving high stakes’.</w:t>
      </w:r>
    </w:p>
    <w:p w14:paraId="021CBAA7" w14:textId="77777777" w:rsidR="00C646D5" w:rsidRPr="00584D74" w:rsidRDefault="00C646D5" w:rsidP="00C646D5">
      <w:pPr>
        <w:spacing w:line="360" w:lineRule="auto"/>
        <w:rPr>
          <w:sz w:val="22"/>
          <w:szCs w:val="22"/>
        </w:rPr>
      </w:pPr>
      <w:r w:rsidRPr="00584D74">
        <w:rPr>
          <w:sz w:val="22"/>
          <w:szCs w:val="22"/>
        </w:rPr>
        <w:t xml:space="preserve">A set of good admission phase of care scores might reveal the presence of a safe and resilient team. </w:t>
      </w:r>
    </w:p>
    <w:p w14:paraId="233154C3" w14:textId="77777777" w:rsidR="00C646D5" w:rsidRPr="00584D74" w:rsidRDefault="00C646D5" w:rsidP="00C646D5">
      <w:pPr>
        <w:spacing w:line="360" w:lineRule="auto"/>
        <w:rPr>
          <w:i/>
          <w:sz w:val="22"/>
          <w:szCs w:val="22"/>
        </w:rPr>
      </w:pPr>
    </w:p>
    <w:p w14:paraId="368D8A3E" w14:textId="77777777" w:rsidR="00C646D5" w:rsidRPr="00B87B55" w:rsidRDefault="00C646D5" w:rsidP="00C646D5">
      <w:pPr>
        <w:spacing w:line="360" w:lineRule="auto"/>
        <w:rPr>
          <w:b/>
          <w:i/>
          <w:sz w:val="22"/>
          <w:szCs w:val="22"/>
        </w:rPr>
      </w:pPr>
      <w:r w:rsidRPr="00B87B55">
        <w:rPr>
          <w:b/>
          <w:i/>
          <w:sz w:val="22"/>
          <w:szCs w:val="22"/>
        </w:rPr>
        <w:t xml:space="preserve"> Mortality review using structured judgement methods (Publication 6)</w:t>
      </w:r>
    </w:p>
    <w:p w14:paraId="6EFD4F5A" w14:textId="77777777" w:rsidR="00C646D5" w:rsidRPr="00584D74" w:rsidRDefault="00C646D5" w:rsidP="00C646D5">
      <w:pPr>
        <w:spacing w:line="360" w:lineRule="auto"/>
        <w:rPr>
          <w:sz w:val="22"/>
          <w:szCs w:val="22"/>
        </w:rPr>
      </w:pPr>
      <w:r w:rsidRPr="00584D74">
        <w:rPr>
          <w:sz w:val="22"/>
          <w:szCs w:val="22"/>
        </w:rPr>
        <w:t>During the outcomes study considered above, 1566 case note reviews were undertaken using structured judgement methods providing phase of care scores and associated judgement commentaries. Although an initial framework for a qualitative analysis of the judgement commentaries had been developed and was used to determine the differences between the types of responses made by physician and nurse reviewers (</w:t>
      </w:r>
      <w:r w:rsidRPr="00584D74">
        <w:rPr>
          <w:i/>
          <w:sz w:val="22"/>
          <w:szCs w:val="22"/>
        </w:rPr>
        <w:t>Publication 5</w:t>
      </w:r>
      <w:r w:rsidRPr="00584D74">
        <w:rPr>
          <w:sz w:val="22"/>
          <w:szCs w:val="22"/>
        </w:rPr>
        <w:t>), it had not previously been possible to explore the structured judgement comments further.</w:t>
      </w:r>
    </w:p>
    <w:p w14:paraId="06DA1FF1" w14:textId="77777777" w:rsidR="00C646D5" w:rsidRPr="00584D74" w:rsidRDefault="00C646D5" w:rsidP="00C646D5">
      <w:pPr>
        <w:spacing w:line="360" w:lineRule="auto"/>
        <w:rPr>
          <w:sz w:val="22"/>
          <w:szCs w:val="22"/>
        </w:rPr>
      </w:pPr>
      <w:r w:rsidRPr="00584D74">
        <w:rPr>
          <w:sz w:val="22"/>
          <w:szCs w:val="22"/>
        </w:rPr>
        <w:lastRenderedPageBreak/>
        <w:t>The increased NHS focus on understanding more about in-hospital deaths was a stimulus to explore whether the structured judgement method could contribute to a mortality review process. Three aspects of the policy and scientific debate around in-hospital death rates turned my attention to examining the care for the 119 people in our study who had died (7.6% of the total cases).</w:t>
      </w:r>
    </w:p>
    <w:p w14:paraId="790817EB" w14:textId="77777777" w:rsidR="00C646D5" w:rsidRPr="00584D74" w:rsidRDefault="00C646D5" w:rsidP="00C646D5">
      <w:pPr>
        <w:spacing w:line="360" w:lineRule="auto"/>
        <w:rPr>
          <w:sz w:val="22"/>
          <w:szCs w:val="22"/>
        </w:rPr>
      </w:pPr>
      <w:r w:rsidRPr="00584D74">
        <w:rPr>
          <w:sz w:val="22"/>
          <w:szCs w:val="22"/>
        </w:rPr>
        <w:t>First, the Inquiry at the Mid Staffordshire NHS Foundation Trust (2013) had focused public and professional debate about safety of care and preventable deaths.  Around the same time, research by Hogan et al (2010) had used a scale-score approach to explore the extent to which in-hospital deaths were preventable (around 5%). Hayward and Hofer (2001) had earlier found similar levels in the USA, although they raised questions about the interpretation of the term ‘preventability’ and suggested that, when predicted three month outcomes were taken into account, the proportion of preventable deaths was much lower than 5%.</w:t>
      </w:r>
    </w:p>
    <w:p w14:paraId="468A9B7D" w14:textId="77777777" w:rsidR="00C646D5" w:rsidRPr="00584D74" w:rsidRDefault="00C646D5" w:rsidP="00C646D5">
      <w:pPr>
        <w:spacing w:line="360" w:lineRule="auto"/>
        <w:rPr>
          <w:sz w:val="22"/>
          <w:szCs w:val="22"/>
        </w:rPr>
      </w:pPr>
      <w:r w:rsidRPr="00584D74">
        <w:rPr>
          <w:sz w:val="22"/>
          <w:szCs w:val="22"/>
        </w:rPr>
        <w:t xml:space="preserve">Thirdly, there remains contentious debate over the use and value of statistical indicators used to compare mortality rates between hospitals, such as the Hospital Standardised Mortality Ratio (HSMR) (Speiglehalter 2013, Nicholl et al 2013). The HSMR was one of the indicators earlier used in </w:t>
      </w:r>
      <w:r w:rsidRPr="00584D74">
        <w:rPr>
          <w:i/>
          <w:sz w:val="22"/>
          <w:szCs w:val="22"/>
        </w:rPr>
        <w:t>Publications 2</w:t>
      </w:r>
      <w:r w:rsidRPr="00584D74">
        <w:rPr>
          <w:sz w:val="22"/>
          <w:szCs w:val="22"/>
        </w:rPr>
        <w:t xml:space="preserve"> and </w:t>
      </w:r>
      <w:r w:rsidRPr="00584D74">
        <w:rPr>
          <w:i/>
          <w:sz w:val="22"/>
          <w:szCs w:val="22"/>
        </w:rPr>
        <w:t>Publication 5</w:t>
      </w:r>
      <w:r w:rsidRPr="00584D74">
        <w:rPr>
          <w:sz w:val="22"/>
          <w:szCs w:val="22"/>
        </w:rPr>
        <w:t xml:space="preserve">, and for which no associations were found with other safety and quality markers.  </w:t>
      </w:r>
    </w:p>
    <w:p w14:paraId="4E7BF3D5" w14:textId="77777777" w:rsidR="00C646D5" w:rsidRPr="00584D74" w:rsidRDefault="00C646D5" w:rsidP="00C646D5">
      <w:pPr>
        <w:spacing w:line="360" w:lineRule="auto"/>
        <w:rPr>
          <w:sz w:val="22"/>
          <w:szCs w:val="22"/>
        </w:rPr>
      </w:pPr>
      <w:r w:rsidRPr="00584D74">
        <w:rPr>
          <w:sz w:val="22"/>
          <w:szCs w:val="22"/>
        </w:rPr>
        <w:t xml:space="preserve">I therefore decided to explore the care for those who had died by examining the structured judgement comments for all (not just those with low scores who might have experienced poor care). In reviewer training the need to provide explicit rather than implicit judgements of care was emphasised, whether care was poor or good.  Assessment of the over 700 judgement comments brought into focus how critically insightful some of the reviewers could be, for both technical and whole patient care. More than 80% of the judgement comments were explicit and most were associated with appropriate care safety and quality scores. </w:t>
      </w:r>
    </w:p>
    <w:p w14:paraId="04462207" w14:textId="77777777" w:rsidR="00C646D5" w:rsidRPr="00584D74" w:rsidRDefault="00C646D5" w:rsidP="00C646D5">
      <w:pPr>
        <w:spacing w:line="360" w:lineRule="auto"/>
        <w:rPr>
          <w:sz w:val="22"/>
          <w:szCs w:val="22"/>
        </w:rPr>
      </w:pPr>
      <w:r w:rsidRPr="00584D74">
        <w:rPr>
          <w:sz w:val="22"/>
          <w:szCs w:val="22"/>
        </w:rPr>
        <w:t xml:space="preserve">Analysis also highlighted that the structured judgement method has the advantage of being equally valuable in demonstrating experiences of good care, even when the outcome of the hospital episode is the death of a patient. Many of the people who died were found by reviewers to have had good technical care at the same time as having been provided with good holistic palliative care. Thus, this method can be used in a mortality review not just to review deaths where care was poor, or the death potentially avoidable, but also to celebrate excellent standards of care. The new ideas on safety also apply here – </w:t>
      </w:r>
    </w:p>
    <w:p w14:paraId="11940C63" w14:textId="77777777" w:rsidR="00C646D5" w:rsidRPr="00584D74" w:rsidRDefault="00C646D5" w:rsidP="00C646D5">
      <w:pPr>
        <w:spacing w:line="240" w:lineRule="auto"/>
        <w:rPr>
          <w:sz w:val="22"/>
          <w:szCs w:val="22"/>
        </w:rPr>
      </w:pPr>
      <w:r w:rsidRPr="00584D74">
        <w:rPr>
          <w:sz w:val="22"/>
          <w:szCs w:val="22"/>
        </w:rPr>
        <w:t xml:space="preserve">‘the ability to succeed under varying conditions, so that the number of intended and acceptable outcomes is as high as possible’ (Hollnagel 2013) – </w:t>
      </w:r>
    </w:p>
    <w:p w14:paraId="77ABDB06" w14:textId="77777777" w:rsidR="00C646D5" w:rsidRPr="00584D74" w:rsidRDefault="00C646D5" w:rsidP="00C646D5">
      <w:pPr>
        <w:spacing w:line="360" w:lineRule="auto"/>
        <w:rPr>
          <w:sz w:val="22"/>
          <w:szCs w:val="22"/>
        </w:rPr>
      </w:pPr>
      <w:r w:rsidRPr="00584D74">
        <w:rPr>
          <w:sz w:val="22"/>
          <w:szCs w:val="22"/>
        </w:rPr>
        <w:lastRenderedPageBreak/>
        <w:t xml:space="preserve">even if the overall outcome is a death that is not avoidable. </w:t>
      </w:r>
    </w:p>
    <w:p w14:paraId="16FE63B4" w14:textId="77777777" w:rsidR="00C646D5" w:rsidRPr="00584D74" w:rsidRDefault="00C646D5" w:rsidP="00C646D5">
      <w:pPr>
        <w:spacing w:line="360" w:lineRule="auto"/>
        <w:rPr>
          <w:sz w:val="22"/>
          <w:szCs w:val="22"/>
        </w:rPr>
      </w:pPr>
      <w:r w:rsidRPr="00584D74">
        <w:rPr>
          <w:sz w:val="22"/>
          <w:szCs w:val="22"/>
        </w:rPr>
        <w:t>The strength of this mortality review method is not so much for the evaluation of an occasional high profile case but rather as a tool that allows questions to be asked of groups of cases - groups of patients within hospital units, or between similar units in different hospitals.</w:t>
      </w:r>
    </w:p>
    <w:p w14:paraId="3843A0DF" w14:textId="77777777" w:rsidR="00C646D5" w:rsidRPr="00584D74" w:rsidRDefault="00C646D5" w:rsidP="00C646D5">
      <w:pPr>
        <w:spacing w:line="360" w:lineRule="auto"/>
        <w:rPr>
          <w:sz w:val="22"/>
          <w:szCs w:val="22"/>
        </w:rPr>
      </w:pPr>
      <w:r w:rsidRPr="00584D74">
        <w:rPr>
          <w:sz w:val="22"/>
          <w:szCs w:val="22"/>
        </w:rPr>
        <w:t xml:space="preserve">The literature on ‘gaps’ in care (Cook et al 2000, Nemeth et al 2008 a), and on the development of resilience markers (Furniss et al 2011b), sees trends in poor care as opportunities for improvement and to assist an organisation to be more proof to challenge. Most of the patients in our study were acutely ill with life threatening conditions.  Most had arrived in hospital through an emergency department or an acute admissions unit, often out of hours, in situations that can become examples of an organisation operating outside of the safety envelope (Cook and Rasmussen 2005), certainly fertile ground for care that is ‘messy’ (Nemeth et al 2004).  </w:t>
      </w:r>
    </w:p>
    <w:p w14:paraId="157F527F" w14:textId="77777777" w:rsidR="00C646D5" w:rsidRPr="00584D74" w:rsidRDefault="00C646D5" w:rsidP="00C646D5">
      <w:pPr>
        <w:spacing w:line="360" w:lineRule="auto"/>
        <w:rPr>
          <w:sz w:val="22"/>
          <w:szCs w:val="22"/>
        </w:rPr>
      </w:pPr>
      <w:r w:rsidRPr="00584D74">
        <w:rPr>
          <w:sz w:val="22"/>
          <w:szCs w:val="22"/>
        </w:rPr>
        <w:t>Phase of care scores can act as markers for questions to be asked.  If, for example, a number of reviews were found to be scoring low in the admissions phase, an exploration of the possible causes might be undertaken.  Judgement comments are there to provide more detailed pointers. Phase of care review could also be seen as acting as a resilience marker, for example in a ‘de-compensated’ admissions unit setting. Intervention followed by further review might demonstrate change.</w:t>
      </w:r>
    </w:p>
    <w:p w14:paraId="508C908D" w14:textId="77777777" w:rsidR="00C646D5" w:rsidRPr="00584D74" w:rsidRDefault="00C646D5" w:rsidP="00C646D5">
      <w:pPr>
        <w:spacing w:line="360" w:lineRule="auto"/>
        <w:rPr>
          <w:sz w:val="22"/>
          <w:szCs w:val="22"/>
        </w:rPr>
      </w:pPr>
      <w:r w:rsidRPr="00584D74">
        <w:rPr>
          <w:sz w:val="22"/>
          <w:szCs w:val="22"/>
        </w:rPr>
        <w:t xml:space="preserve">Some reviewers were able to identify critical trends such as lack of senior review at night or over weekends. Occasionally, a significant event is found.  However, most poor care seemed to comprise constellations of smaller events (Hutchinson et al 2008).  Alternatively, on a positive note, reviewers saw the value of a senior review when admitting teams were having difficulty in matching the right care plan to the diagnosis. So the phase of care quality scores can act as a screening tool and the judgement comments can act as an indicator.  </w:t>
      </w:r>
    </w:p>
    <w:p w14:paraId="3B9256D3" w14:textId="77777777" w:rsidR="00C646D5" w:rsidRPr="00584D74" w:rsidRDefault="00C646D5" w:rsidP="00C646D5">
      <w:pPr>
        <w:spacing w:line="360" w:lineRule="auto"/>
        <w:rPr>
          <w:sz w:val="22"/>
          <w:szCs w:val="22"/>
        </w:rPr>
      </w:pPr>
      <w:r w:rsidRPr="00584D74">
        <w:rPr>
          <w:sz w:val="22"/>
          <w:szCs w:val="22"/>
        </w:rPr>
        <w:t xml:space="preserve">How could resilience be enhanced? Findings from the reviews are not the place for a ‘root cause’ analysis but for a look ‘behind the error’ (Woods et al 2009). The phase of care framework might show that there are problems which on closer inspection are related to the (in)ability of the organisation to act quickly to prevent a decent towards ‘freefall’ (Wears et al 2006).  Or patterns of poor care, when explored, might reveal that admissions policies are not given the required resources so that fixes, (Jephcott et al 2009, Smith et al 2013) applied by some resilient clinicians who are ‘taking it in their stride’ (Cook and Nemeth 2006), are not present when the ‘fixer’ clinicians are not available. </w:t>
      </w:r>
    </w:p>
    <w:p w14:paraId="7819C22D" w14:textId="77777777" w:rsidR="00C646D5" w:rsidRPr="00584D74" w:rsidRDefault="00C646D5" w:rsidP="00C646D5">
      <w:pPr>
        <w:spacing w:line="360" w:lineRule="auto"/>
        <w:rPr>
          <w:sz w:val="22"/>
          <w:szCs w:val="22"/>
        </w:rPr>
      </w:pPr>
      <w:r w:rsidRPr="00584D74">
        <w:rPr>
          <w:sz w:val="22"/>
          <w:szCs w:val="22"/>
        </w:rPr>
        <w:lastRenderedPageBreak/>
        <w:t xml:space="preserve">Improvements at the sharp end of the work will not be sufficient to affect resilience in the longer term. Clay-Williams (2013) points out that resilience, like safety (Weick 1987), is dynamic and is </w:t>
      </w:r>
    </w:p>
    <w:p w14:paraId="0F3B3D46" w14:textId="77777777" w:rsidR="00C646D5" w:rsidRPr="00584D74" w:rsidRDefault="00C646D5" w:rsidP="00C646D5">
      <w:pPr>
        <w:spacing w:line="360" w:lineRule="auto"/>
        <w:ind w:left="720"/>
        <w:rPr>
          <w:sz w:val="22"/>
          <w:szCs w:val="22"/>
        </w:rPr>
      </w:pPr>
      <w:r w:rsidRPr="00584D74">
        <w:rPr>
          <w:sz w:val="22"/>
          <w:szCs w:val="22"/>
        </w:rPr>
        <w:t xml:space="preserve">‘characterised by persistence, adaptability, variability and unpredictability’. </w:t>
      </w:r>
    </w:p>
    <w:p w14:paraId="6EAA62E5" w14:textId="77777777" w:rsidR="00C646D5" w:rsidRPr="00584D74" w:rsidRDefault="00C646D5" w:rsidP="00C646D5">
      <w:pPr>
        <w:spacing w:line="360" w:lineRule="auto"/>
        <w:rPr>
          <w:sz w:val="22"/>
          <w:szCs w:val="22"/>
        </w:rPr>
      </w:pPr>
      <w:r w:rsidRPr="00584D74">
        <w:rPr>
          <w:sz w:val="22"/>
          <w:szCs w:val="22"/>
        </w:rPr>
        <w:t xml:space="preserve">Urgent action to correct a perceived problem should be restrained lest there are other complexities and vulnerabilities inadvertently introduced (Cook et al 2008). Rankin et al (2011) suggest </w:t>
      </w:r>
    </w:p>
    <w:p w14:paraId="19A0DB70" w14:textId="77777777" w:rsidR="00C646D5" w:rsidRPr="00584D74" w:rsidRDefault="00C646D5" w:rsidP="00C646D5">
      <w:pPr>
        <w:spacing w:line="240" w:lineRule="auto"/>
        <w:ind w:left="720"/>
        <w:rPr>
          <w:sz w:val="22"/>
          <w:szCs w:val="22"/>
        </w:rPr>
      </w:pPr>
      <w:r w:rsidRPr="00584D74">
        <w:rPr>
          <w:sz w:val="22"/>
          <w:szCs w:val="22"/>
        </w:rPr>
        <w:t xml:space="preserve">‘a shift in focus from human inability to human ability…is necessary for future work in safety management’. </w:t>
      </w:r>
    </w:p>
    <w:p w14:paraId="4B0F0F0F" w14:textId="77777777" w:rsidR="00C646D5" w:rsidRPr="00584D74" w:rsidRDefault="00C646D5" w:rsidP="00C646D5">
      <w:pPr>
        <w:spacing w:line="360" w:lineRule="auto"/>
        <w:rPr>
          <w:sz w:val="22"/>
          <w:szCs w:val="22"/>
        </w:rPr>
      </w:pPr>
      <w:r w:rsidRPr="00584D74">
        <w:rPr>
          <w:sz w:val="22"/>
          <w:szCs w:val="22"/>
        </w:rPr>
        <w:t xml:space="preserve">The structured judgement review system should therefore be used to assist in understanding how healthcare requires change, for looking ‘behind the error’ – and not as a means of pointing up the need for targeted urgent action upon individuals. Complexity is likely to be an underlying characteristic of many of the failures (Woods et al 2007), including those identified by retrospective analyses of case notes. The challenge for review teams and the institutions where problems might have arisen is how to explore why the failure arose at the ‘second story’ level, without taking the ‘easy route’ of blame. Wears and Nemeth (2007) captured this approach with the title ‘replacing hindsight with insight’. </w:t>
      </w:r>
    </w:p>
    <w:p w14:paraId="1BC19535" w14:textId="77777777" w:rsidR="00C646D5" w:rsidRPr="00584D74" w:rsidRDefault="00C646D5" w:rsidP="00C646D5">
      <w:pPr>
        <w:spacing w:line="360" w:lineRule="auto"/>
        <w:rPr>
          <w:sz w:val="22"/>
          <w:szCs w:val="22"/>
        </w:rPr>
      </w:pPr>
      <w:r w:rsidRPr="00584D74">
        <w:rPr>
          <w:sz w:val="22"/>
          <w:szCs w:val="22"/>
        </w:rPr>
        <w:t>Phase of care structured judgement comment analysis may at least help to focus on the operational points where failures are occurring. Contributions to system resilience might therefore be made by the routine use of structured judgement  review in a hospital, a view supported by Weick and Sutcliffe (2007) who see one aspect of a system</w:t>
      </w:r>
      <w:r w:rsidR="00814845">
        <w:rPr>
          <w:sz w:val="22"/>
          <w:szCs w:val="22"/>
        </w:rPr>
        <w:t>’</w:t>
      </w:r>
      <w:r w:rsidRPr="00584D74">
        <w:rPr>
          <w:sz w:val="22"/>
          <w:szCs w:val="22"/>
        </w:rPr>
        <w:t>s resilience is its ability to detect ‘weak, surprise signals’ from routine performance data, that then triggers action by the organisation.</w:t>
      </w:r>
    </w:p>
    <w:p w14:paraId="6C85D52A" w14:textId="77777777" w:rsidR="00C646D5" w:rsidRPr="00584D74" w:rsidRDefault="00C646D5" w:rsidP="00C646D5">
      <w:pPr>
        <w:spacing w:line="360" w:lineRule="auto"/>
        <w:rPr>
          <w:sz w:val="22"/>
          <w:szCs w:val="22"/>
        </w:rPr>
      </w:pPr>
      <w:r w:rsidRPr="00584D74">
        <w:rPr>
          <w:sz w:val="22"/>
          <w:szCs w:val="22"/>
        </w:rPr>
        <w:t>In their discussion on ‘organising for resilience’ Sutcliffe and Vogus (2003) argue that organisational resilience is not rare but arises</w:t>
      </w:r>
    </w:p>
    <w:p w14:paraId="654F8DF6" w14:textId="77777777" w:rsidR="00C646D5" w:rsidRPr="00584D74" w:rsidRDefault="00C646D5" w:rsidP="00C646D5">
      <w:pPr>
        <w:spacing w:line="240" w:lineRule="auto"/>
        <w:ind w:left="720"/>
        <w:rPr>
          <w:sz w:val="22"/>
          <w:szCs w:val="22"/>
        </w:rPr>
      </w:pPr>
      <w:r w:rsidRPr="00584D74">
        <w:rPr>
          <w:sz w:val="22"/>
          <w:szCs w:val="22"/>
        </w:rPr>
        <w:t xml:space="preserve"> ‘from relatively ordinary adaptive processes that promote competence, restore efficacy and encourage growth’. </w:t>
      </w:r>
    </w:p>
    <w:p w14:paraId="3806112D" w14:textId="77777777" w:rsidR="00C646D5" w:rsidRPr="00584D74" w:rsidRDefault="00C646D5" w:rsidP="00C646D5">
      <w:pPr>
        <w:spacing w:line="360" w:lineRule="auto"/>
        <w:rPr>
          <w:sz w:val="22"/>
          <w:szCs w:val="22"/>
        </w:rPr>
      </w:pPr>
      <w:r w:rsidRPr="00584D74">
        <w:rPr>
          <w:sz w:val="22"/>
          <w:szCs w:val="22"/>
        </w:rPr>
        <w:t>But they also warn that these are not universal competencies in organisations.  Moreover, as Nemeth and colleagues (2007) observe, there is a tension between clinical objectives for the individual patient and the management objectives across the organisation. To achieve improvement, a partnership approach between management and clinicians is therefore essential.</w:t>
      </w:r>
    </w:p>
    <w:p w14:paraId="5BCDBA05" w14:textId="77777777" w:rsidR="00C646D5" w:rsidRPr="00584D74" w:rsidRDefault="00C646D5" w:rsidP="00C646D5">
      <w:pPr>
        <w:spacing w:line="360" w:lineRule="auto"/>
        <w:rPr>
          <w:sz w:val="22"/>
          <w:szCs w:val="22"/>
        </w:rPr>
      </w:pPr>
      <w:r w:rsidRPr="00584D74">
        <w:rPr>
          <w:sz w:val="22"/>
          <w:szCs w:val="22"/>
        </w:rPr>
        <w:lastRenderedPageBreak/>
        <w:t xml:space="preserve">Management must therefore have a key role in improving safety and resilience. High level commitment from leadership (Edmondson 2004) is a prerequisite to improving performance. It should ensure, through the management structure and institutional policies, that the task of managing sick people has the right strategies and is supported by appropriate financial and staffing resources to achieve a resilient and safe care setting. Perhaps one of the most important additions to these resources will be investment in asking the deeper questions about failures within the service. While the structured judgement method can produce valuable data on care and safety quality, it is having the resources to understand the meaning of the results that will be critical in enhancing the safety and resilience of the organisation.  </w:t>
      </w:r>
    </w:p>
    <w:p w14:paraId="7E664760" w14:textId="77777777" w:rsidR="00C646D5" w:rsidRPr="00584D74" w:rsidRDefault="00C646D5" w:rsidP="00C646D5">
      <w:pPr>
        <w:rPr>
          <w:b/>
          <w:sz w:val="22"/>
          <w:szCs w:val="22"/>
        </w:rPr>
      </w:pPr>
      <w:r w:rsidRPr="00584D74">
        <w:rPr>
          <w:b/>
          <w:sz w:val="22"/>
          <w:szCs w:val="22"/>
        </w:rPr>
        <w:br w:type="page"/>
      </w:r>
    </w:p>
    <w:p w14:paraId="34CD2DDB" w14:textId="77777777" w:rsidR="00C646D5" w:rsidRDefault="00C646D5" w:rsidP="00C646D5">
      <w:pPr>
        <w:rPr>
          <w:b/>
          <w:sz w:val="28"/>
          <w:szCs w:val="28"/>
        </w:rPr>
      </w:pPr>
      <w:r>
        <w:rPr>
          <w:b/>
          <w:sz w:val="28"/>
          <w:szCs w:val="28"/>
        </w:rPr>
        <w:lastRenderedPageBreak/>
        <w:t>5</w:t>
      </w:r>
      <w:r w:rsidRPr="008835FB">
        <w:rPr>
          <w:b/>
          <w:sz w:val="28"/>
          <w:szCs w:val="28"/>
        </w:rPr>
        <w:t>. Discussion</w:t>
      </w:r>
    </w:p>
    <w:p w14:paraId="3E64E753" w14:textId="77777777" w:rsidR="00C646D5" w:rsidRPr="00584D74" w:rsidRDefault="00C646D5" w:rsidP="00C646D5">
      <w:pPr>
        <w:spacing w:line="360" w:lineRule="auto"/>
        <w:rPr>
          <w:sz w:val="22"/>
          <w:szCs w:val="22"/>
        </w:rPr>
      </w:pPr>
      <w:r w:rsidRPr="00584D74">
        <w:rPr>
          <w:sz w:val="22"/>
          <w:szCs w:val="22"/>
        </w:rPr>
        <w:t xml:space="preserve">The presented studies represent a body of methodological research intended to support improvements in safety and quality in health services. Although the work has had some international impact, the principal focus has been on UK health services. The challenge for the writer has been to take a retrospective view on a series of publications while at the same time seeking to put the findings in a fresh light - of a new perspective on safety and the emerging ideas on the meaning of resilience in healthcare. </w:t>
      </w:r>
    </w:p>
    <w:p w14:paraId="400B40E8" w14:textId="77777777" w:rsidR="00C646D5" w:rsidRPr="00584D74" w:rsidRDefault="00C646D5" w:rsidP="00C646D5">
      <w:pPr>
        <w:spacing w:line="360" w:lineRule="auto"/>
        <w:rPr>
          <w:sz w:val="22"/>
          <w:szCs w:val="22"/>
        </w:rPr>
      </w:pPr>
      <w:r w:rsidRPr="00584D74">
        <w:rPr>
          <w:sz w:val="22"/>
          <w:szCs w:val="22"/>
        </w:rPr>
        <w:t xml:space="preserve">I chose to use these new paradigms because I believe both the positive approach to safety espoused by Hollnagel and others (2013), and the ideas on building resilience into hard pressed health service settings, will eventually bring benefits to patients. At the time of writing there is only a limited UK literature related to ‘new safety’ and to healthcare resilience and this thesis has sought to point to the value of aspects of my work that can be seen as identifying and supporting positive and resilient behaviour in UK health services. </w:t>
      </w:r>
    </w:p>
    <w:p w14:paraId="0AC5D163" w14:textId="77777777" w:rsidR="00C646D5" w:rsidRPr="00584D74" w:rsidRDefault="00C646D5" w:rsidP="00C646D5">
      <w:pPr>
        <w:spacing w:line="360" w:lineRule="auto"/>
        <w:rPr>
          <w:sz w:val="22"/>
          <w:szCs w:val="22"/>
        </w:rPr>
      </w:pPr>
      <w:r w:rsidRPr="00584D74">
        <w:rPr>
          <w:sz w:val="22"/>
          <w:szCs w:val="22"/>
        </w:rPr>
        <w:t xml:space="preserve">Other than the prospective hazard analysis study (Dean et al 2007) there are no direct examples in my work of resilient behaviour.  Each of the other five publications are concerned with examples of what could be termed resilience markers, although these differ from the system-based markers proposed by Furniss et al (2011a, 2011b) because the publications refer either to safety climate dimensions or pointers such as phase of care scores. </w:t>
      </w:r>
    </w:p>
    <w:p w14:paraId="61FE72EB" w14:textId="77777777" w:rsidR="00C646D5" w:rsidRPr="00584D74" w:rsidRDefault="00C646D5" w:rsidP="00C646D5">
      <w:pPr>
        <w:spacing w:line="360" w:lineRule="auto"/>
        <w:rPr>
          <w:sz w:val="22"/>
          <w:szCs w:val="22"/>
        </w:rPr>
      </w:pPr>
      <w:r w:rsidRPr="00584D74">
        <w:rPr>
          <w:sz w:val="22"/>
          <w:szCs w:val="22"/>
        </w:rPr>
        <w:t xml:space="preserve">However it is a feature of the literature on healthcare resilience as a whole that a fair proportion of the examples are not of research projects but rather are insightful case reports of system collapse and recovery in services, such as those in the USA of an Emergency Department (Wears et al 2006) or in a paediatric hospital (Cook and O’Connor 2005).   This paucity of a research base is partly because of the relatively recent emergence of the science of healthcare resilience, particularly in UK health services research, but also of the methodological challenges of undertaking the work.  </w:t>
      </w:r>
    </w:p>
    <w:p w14:paraId="798B84CC" w14:textId="77777777" w:rsidR="00C646D5" w:rsidRPr="00584D74" w:rsidRDefault="00C646D5" w:rsidP="00C646D5">
      <w:pPr>
        <w:spacing w:line="360" w:lineRule="auto"/>
        <w:rPr>
          <w:b/>
          <w:i/>
          <w:sz w:val="22"/>
          <w:szCs w:val="22"/>
        </w:rPr>
      </w:pPr>
      <w:r w:rsidRPr="00584D74">
        <w:rPr>
          <w:sz w:val="22"/>
          <w:szCs w:val="22"/>
        </w:rPr>
        <w:t xml:space="preserve">Embedding the results of resilience research into health services may be challenging.  Much of the literature on the ‘new safety’ and resilience is insightful, sometimes elegant and often not particularly recent. But despite the efforts of authors referred to in this thesis, the use of markers such as judgement-supported phase of care scores may yet precipitate a ‘blame and train’ approach unless the new ideas on safety and resilience become embedded in health services.  Perhaps the remarks from Berwick and colleagues on the need for a change in UK health service safety culture will help to turn the corner (Department of Health 2013).   </w:t>
      </w:r>
    </w:p>
    <w:p w14:paraId="787287BB" w14:textId="77777777" w:rsidR="00C646D5" w:rsidRDefault="00C646D5" w:rsidP="00C646D5">
      <w:pPr>
        <w:spacing w:line="360" w:lineRule="auto"/>
        <w:rPr>
          <w:b/>
          <w:i/>
        </w:rPr>
      </w:pPr>
      <w:r w:rsidRPr="00AF7680">
        <w:rPr>
          <w:b/>
          <w:i/>
        </w:rPr>
        <w:lastRenderedPageBreak/>
        <w:t>5.1 Limitations</w:t>
      </w:r>
    </w:p>
    <w:p w14:paraId="5CCE1A6D" w14:textId="77777777" w:rsidR="00C646D5" w:rsidRPr="00584D74" w:rsidRDefault="00C646D5" w:rsidP="00C646D5">
      <w:pPr>
        <w:spacing w:line="360" w:lineRule="auto"/>
        <w:rPr>
          <w:sz w:val="22"/>
          <w:szCs w:val="22"/>
        </w:rPr>
      </w:pPr>
      <w:r w:rsidRPr="00584D74">
        <w:rPr>
          <w:sz w:val="22"/>
          <w:szCs w:val="22"/>
        </w:rPr>
        <w:t>A methodological limitation of this thesis stems from the presentation of six publications that were written from a safety and quality perspective but not directly from a healthcare resilience viewpoint. All of the subject areas of the studies reported here are relevant in some aspects to the notion of resilience. But the retrospective approach of exploring a body of previously published research and setting it into a still emerging conceptual framework, sometimes related to studies from outside of healthcare, has proved challenging.  Furthermore, a retrospective of methodological studies means that in some cases the methods, if not the messages, have been overtaken by more current literature.</w:t>
      </w:r>
    </w:p>
    <w:p w14:paraId="69D8AD6C" w14:textId="77777777" w:rsidR="00C646D5" w:rsidRPr="00584D74" w:rsidRDefault="00C646D5" w:rsidP="00C646D5">
      <w:pPr>
        <w:spacing w:line="360" w:lineRule="auto"/>
        <w:rPr>
          <w:b/>
          <w:i/>
          <w:sz w:val="22"/>
          <w:szCs w:val="22"/>
        </w:rPr>
      </w:pPr>
      <w:r w:rsidRPr="00584D74">
        <w:rPr>
          <w:sz w:val="22"/>
          <w:szCs w:val="22"/>
        </w:rPr>
        <w:t xml:space="preserve">So while there are methodological and conceptual linkages across all of the studies, there are limitations to the extent to which the studies make a direct contribution to resilience research.  Nevertheless, the work seeks to present a view of where instances of resilience may lie in services and in the results of healthcare evaluation.  Furthermore, the more recent publications on case note review and phase of care evaluation may offer a new approach to the timely identification of gaps by healthcare providers themselves, without the need to have specialist investigations, at least in the early stages of exploration. </w:t>
      </w:r>
    </w:p>
    <w:p w14:paraId="388202AB" w14:textId="77777777" w:rsidR="00C646D5" w:rsidRDefault="00C646D5" w:rsidP="00C646D5">
      <w:pPr>
        <w:rPr>
          <w:b/>
          <w:sz w:val="28"/>
          <w:szCs w:val="28"/>
        </w:rPr>
      </w:pPr>
    </w:p>
    <w:p w14:paraId="6EAD2C51" w14:textId="77777777" w:rsidR="00C646D5" w:rsidRDefault="00C646D5" w:rsidP="00C646D5">
      <w:pPr>
        <w:rPr>
          <w:b/>
          <w:sz w:val="28"/>
          <w:szCs w:val="28"/>
        </w:rPr>
      </w:pPr>
      <w:r>
        <w:rPr>
          <w:b/>
          <w:sz w:val="28"/>
          <w:szCs w:val="28"/>
        </w:rPr>
        <w:br w:type="page"/>
      </w:r>
    </w:p>
    <w:p w14:paraId="048A033C" w14:textId="77777777" w:rsidR="00C646D5" w:rsidRPr="00F9374C" w:rsidRDefault="00C646D5" w:rsidP="00C646D5">
      <w:pPr>
        <w:rPr>
          <w:b/>
          <w:sz w:val="28"/>
          <w:szCs w:val="28"/>
        </w:rPr>
      </w:pPr>
      <w:r>
        <w:rPr>
          <w:b/>
          <w:sz w:val="28"/>
          <w:szCs w:val="28"/>
        </w:rPr>
        <w:lastRenderedPageBreak/>
        <w:t>6</w:t>
      </w:r>
      <w:r w:rsidRPr="00F9374C">
        <w:rPr>
          <w:b/>
          <w:sz w:val="28"/>
          <w:szCs w:val="28"/>
        </w:rPr>
        <w:t>. Refle</w:t>
      </w:r>
      <w:r>
        <w:rPr>
          <w:b/>
          <w:sz w:val="28"/>
          <w:szCs w:val="28"/>
        </w:rPr>
        <w:t>ction</w:t>
      </w:r>
      <w:r w:rsidRPr="00F9374C">
        <w:rPr>
          <w:b/>
          <w:sz w:val="28"/>
          <w:szCs w:val="28"/>
        </w:rPr>
        <w:t xml:space="preserve"> </w:t>
      </w:r>
    </w:p>
    <w:p w14:paraId="3DAAC62D" w14:textId="77777777" w:rsidR="00C646D5" w:rsidRPr="00584D74" w:rsidRDefault="00C646D5" w:rsidP="00C646D5">
      <w:pPr>
        <w:spacing w:line="360" w:lineRule="auto"/>
        <w:rPr>
          <w:sz w:val="22"/>
          <w:szCs w:val="22"/>
        </w:rPr>
      </w:pPr>
      <w:r w:rsidRPr="00584D74">
        <w:rPr>
          <w:sz w:val="22"/>
          <w:szCs w:val="22"/>
        </w:rPr>
        <w:t xml:space="preserve">The studies from which the papers have derived were undertaken between 2002 and 2009. The first three publications resulted from interests that arose during an extended USA visit to a number of research teams engaged in the Agency for Healthcare Research and Quality (AHRQ) patient safety programme. This was a very fulfilling time – so many research ideas presented themselves – and it was one of the most exciting periods of my research career. </w:t>
      </w:r>
    </w:p>
    <w:p w14:paraId="5B817AB9" w14:textId="77777777" w:rsidR="00C646D5" w:rsidRPr="00584D74" w:rsidRDefault="00C646D5" w:rsidP="00C646D5">
      <w:pPr>
        <w:spacing w:line="360" w:lineRule="auto"/>
        <w:rPr>
          <w:sz w:val="22"/>
          <w:szCs w:val="22"/>
        </w:rPr>
      </w:pPr>
      <w:r w:rsidRPr="00584D74">
        <w:rPr>
          <w:sz w:val="22"/>
          <w:szCs w:val="22"/>
        </w:rPr>
        <w:t xml:space="preserve">The research on case note review had a longer history for me. During an earlier career phase I had been involved in a large study of standards and performance in General Practice. The international literature from those times remained of interest to me and I was able to add this to the more recent literature on case note review for my recent research. Again, though, the 2002 research trip proved invaluable in understanding what was happening in the field, pre-publication, in the USA. And many of the research teams that I visited continued to be helpful and supportive during the fieldwork years. </w:t>
      </w:r>
    </w:p>
    <w:p w14:paraId="114DE4E6" w14:textId="77777777" w:rsidR="00C646D5" w:rsidRPr="00584D74" w:rsidRDefault="00C646D5" w:rsidP="00C646D5">
      <w:pPr>
        <w:spacing w:line="360" w:lineRule="auto"/>
        <w:rPr>
          <w:sz w:val="22"/>
          <w:szCs w:val="22"/>
        </w:rPr>
      </w:pPr>
      <w:r w:rsidRPr="00584D74">
        <w:rPr>
          <w:sz w:val="22"/>
          <w:szCs w:val="22"/>
        </w:rPr>
        <w:t xml:space="preserve">Using the studies as a basis for the thesis provided both opportunities and challenges.  With the emerging concepts of healthcare resilience and new perspectives on safety this was a good time to be able to reflect on some of the research I had undertaken over the preceding decade.  Given the range of my publications round safety and quality as a topic, my research was carried out using a variety of methods, on different topics in differing settings. How was this to be managed within the context of the discussion in Section 4?  </w:t>
      </w:r>
    </w:p>
    <w:p w14:paraId="74530F49" w14:textId="77777777" w:rsidR="00C646D5" w:rsidRPr="00584D74" w:rsidRDefault="00C646D5" w:rsidP="00C646D5">
      <w:pPr>
        <w:spacing w:line="360" w:lineRule="auto"/>
        <w:rPr>
          <w:sz w:val="22"/>
          <w:szCs w:val="22"/>
        </w:rPr>
      </w:pPr>
      <w:r w:rsidRPr="00584D74">
        <w:rPr>
          <w:sz w:val="22"/>
          <w:szCs w:val="22"/>
        </w:rPr>
        <w:t xml:space="preserve">Formulating a coherent theme for this thesis was therefore the first challenge. The generic topic of safety and quality, which underpinned all of the work, appeared too broad and lacking in a focused concept. Likewise, concentrating on the multi-methods approaches was, in itself, not sufficient either for the reader or for me. </w:t>
      </w:r>
    </w:p>
    <w:p w14:paraId="317E6B84" w14:textId="77777777" w:rsidR="00C646D5" w:rsidRPr="00584D74" w:rsidRDefault="00C646D5" w:rsidP="00C646D5">
      <w:pPr>
        <w:spacing w:line="360" w:lineRule="auto"/>
        <w:rPr>
          <w:sz w:val="22"/>
          <w:szCs w:val="22"/>
        </w:rPr>
      </w:pPr>
      <w:r w:rsidRPr="00584D74">
        <w:rPr>
          <w:sz w:val="22"/>
          <w:szCs w:val="22"/>
        </w:rPr>
        <w:t>In developing the conceptual model for the thesis I first considered whether the notion of ‘risk’ was the concept I wished to use to link the publications and I explored this for some time. But, while acknowledging that all of the studies were about identifying risk in some way, I felt that I wanted to consider the work in a more anticipatory framework. At this point my interest in the concepts of resilience and resilience engineering were re-awakened.</w:t>
      </w:r>
    </w:p>
    <w:p w14:paraId="59EF7481" w14:textId="77777777" w:rsidR="00C646D5" w:rsidRPr="00584D74" w:rsidRDefault="00C646D5" w:rsidP="00C646D5">
      <w:pPr>
        <w:spacing w:line="360" w:lineRule="auto"/>
        <w:rPr>
          <w:sz w:val="22"/>
          <w:szCs w:val="22"/>
        </w:rPr>
      </w:pPr>
      <w:r w:rsidRPr="00584D74">
        <w:rPr>
          <w:sz w:val="22"/>
          <w:szCs w:val="22"/>
        </w:rPr>
        <w:t xml:space="preserve">As the topic of resilience in healthcare has been explored more fully in the literature over the past ten years it is clear that there is much that is relevant to my own work, although none of my work was framed specifically as resilient. Revisiting the more recent work on resilience was interesting now that I had a writing aim in mind. Yet some of the earlier work on resilient </w:t>
      </w:r>
      <w:r w:rsidRPr="00584D74">
        <w:rPr>
          <w:sz w:val="22"/>
          <w:szCs w:val="22"/>
        </w:rPr>
        <w:lastRenderedPageBreak/>
        <w:t xml:space="preserve">leadership, mindfulness and sensemaking, which I had discovered during my 2002 study tour, also remained exciting for me. </w:t>
      </w:r>
    </w:p>
    <w:p w14:paraId="525552A0" w14:textId="77777777" w:rsidR="00C646D5" w:rsidRPr="00584D74" w:rsidRDefault="00C646D5" w:rsidP="00C646D5">
      <w:pPr>
        <w:spacing w:line="360" w:lineRule="auto"/>
        <w:rPr>
          <w:sz w:val="22"/>
          <w:szCs w:val="22"/>
        </w:rPr>
      </w:pPr>
      <w:r w:rsidRPr="00584D74">
        <w:rPr>
          <w:sz w:val="22"/>
          <w:szCs w:val="22"/>
        </w:rPr>
        <w:t xml:space="preserve">I am not alone as a research student in finding that the richness of the literature is in itself a challenge, because of the need for focus and, in the context of this form of thesis, the need to contain the new writing within a strict word limit. This has not prevented me from exploring some of the literature more widely, and enjoying the journey. </w:t>
      </w:r>
    </w:p>
    <w:p w14:paraId="2E4FB531" w14:textId="77777777" w:rsidR="00C646D5" w:rsidRDefault="00C646D5" w:rsidP="00C646D5">
      <w:pPr>
        <w:rPr>
          <w:b/>
        </w:rPr>
      </w:pPr>
    </w:p>
    <w:p w14:paraId="42E6F650" w14:textId="77777777" w:rsidR="00C646D5" w:rsidRDefault="00C646D5" w:rsidP="00C646D5">
      <w:pPr>
        <w:rPr>
          <w:b/>
        </w:rPr>
      </w:pPr>
      <w:r>
        <w:rPr>
          <w:b/>
        </w:rPr>
        <w:br w:type="page"/>
      </w:r>
    </w:p>
    <w:p w14:paraId="318428EA" w14:textId="77777777" w:rsidR="00C646D5" w:rsidRDefault="00C646D5" w:rsidP="00C646D5">
      <w:pPr>
        <w:rPr>
          <w:b/>
          <w:sz w:val="28"/>
          <w:szCs w:val="28"/>
        </w:rPr>
      </w:pPr>
      <w:r>
        <w:rPr>
          <w:b/>
          <w:sz w:val="28"/>
          <w:szCs w:val="28"/>
        </w:rPr>
        <w:lastRenderedPageBreak/>
        <w:t>7</w:t>
      </w:r>
      <w:r w:rsidRPr="00F9374C">
        <w:rPr>
          <w:b/>
          <w:sz w:val="28"/>
          <w:szCs w:val="28"/>
        </w:rPr>
        <w:t>. Implications for research and practice</w:t>
      </w:r>
    </w:p>
    <w:p w14:paraId="36226848" w14:textId="77777777" w:rsidR="00C646D5" w:rsidRPr="00F9374C" w:rsidRDefault="00C646D5" w:rsidP="00C646D5">
      <w:pPr>
        <w:spacing w:line="360" w:lineRule="auto"/>
        <w:rPr>
          <w:b/>
        </w:rPr>
      </w:pPr>
      <w:r>
        <w:rPr>
          <w:b/>
        </w:rPr>
        <w:t>7</w:t>
      </w:r>
      <w:r w:rsidRPr="00F9374C">
        <w:rPr>
          <w:b/>
        </w:rPr>
        <w:t>.1 Implications for Research</w:t>
      </w:r>
    </w:p>
    <w:p w14:paraId="610772BD" w14:textId="77777777" w:rsidR="00C646D5" w:rsidRPr="00584D74" w:rsidRDefault="00C646D5" w:rsidP="00C646D5">
      <w:pPr>
        <w:spacing w:line="360" w:lineRule="auto"/>
        <w:rPr>
          <w:sz w:val="22"/>
          <w:szCs w:val="22"/>
        </w:rPr>
      </w:pPr>
      <w:r w:rsidRPr="00584D74">
        <w:rPr>
          <w:sz w:val="22"/>
          <w:szCs w:val="22"/>
        </w:rPr>
        <w:t>The following research questions arise from the safety and resilience analysis in the thesis. There are, of course, many health services research opportunities in the three fields of safety culture, prospective hazard analysis and case note review-based safety and quality research.  The four suggested here reflect both a personal interest in mixed-methods research and a real desire to explore issues that might in the longer run bring benefits to patient care.</w:t>
      </w:r>
    </w:p>
    <w:p w14:paraId="75C99BAB" w14:textId="77777777" w:rsidR="00C646D5" w:rsidRPr="00584D74" w:rsidRDefault="00C646D5" w:rsidP="00C646D5">
      <w:pPr>
        <w:pStyle w:val="ListParagraph"/>
        <w:numPr>
          <w:ilvl w:val="0"/>
          <w:numId w:val="27"/>
        </w:numPr>
        <w:spacing w:line="360" w:lineRule="auto"/>
        <w:rPr>
          <w:sz w:val="22"/>
          <w:szCs w:val="22"/>
        </w:rPr>
      </w:pPr>
      <w:r w:rsidRPr="00584D74">
        <w:rPr>
          <w:sz w:val="22"/>
          <w:szCs w:val="22"/>
        </w:rPr>
        <w:t>Safety culture in health care – do resilient behaviours differ between staff from institutions with higher and lower staff survey safety culture data. Can the safety climate results available for the NHS Staff Survey be used to identify potential study sites.</w:t>
      </w:r>
    </w:p>
    <w:p w14:paraId="5265D53F" w14:textId="77777777" w:rsidR="00C646D5" w:rsidRPr="00584D74" w:rsidRDefault="00C646D5" w:rsidP="00C646D5">
      <w:pPr>
        <w:pStyle w:val="ListParagraph"/>
        <w:numPr>
          <w:ilvl w:val="0"/>
          <w:numId w:val="27"/>
        </w:numPr>
        <w:spacing w:line="360" w:lineRule="auto"/>
        <w:rPr>
          <w:sz w:val="22"/>
          <w:szCs w:val="22"/>
        </w:rPr>
      </w:pPr>
      <w:r w:rsidRPr="00584D74">
        <w:rPr>
          <w:sz w:val="22"/>
          <w:szCs w:val="22"/>
        </w:rPr>
        <w:t>Prospective Hazard Analysis – despite the challenge of staff input availability, can PHA have a place in assessing the resilience of new care pathways or systems at an early stage of implementation?</w:t>
      </w:r>
    </w:p>
    <w:p w14:paraId="27B2C1E8" w14:textId="77777777" w:rsidR="00C646D5" w:rsidRPr="00584D74" w:rsidRDefault="00C646D5" w:rsidP="00C646D5">
      <w:pPr>
        <w:pStyle w:val="ListParagraph"/>
        <w:spacing w:line="360" w:lineRule="auto"/>
        <w:ind w:left="644"/>
        <w:rPr>
          <w:sz w:val="22"/>
          <w:szCs w:val="22"/>
        </w:rPr>
      </w:pPr>
    </w:p>
    <w:p w14:paraId="0FC5A9F7" w14:textId="77777777" w:rsidR="00C646D5" w:rsidRPr="00584D74" w:rsidRDefault="00C646D5" w:rsidP="00C646D5">
      <w:pPr>
        <w:pStyle w:val="ListParagraph"/>
        <w:spacing w:line="360" w:lineRule="auto"/>
        <w:ind w:left="644"/>
        <w:rPr>
          <w:sz w:val="22"/>
          <w:szCs w:val="22"/>
        </w:rPr>
      </w:pPr>
      <w:r w:rsidRPr="00584D74">
        <w:rPr>
          <w:sz w:val="22"/>
          <w:szCs w:val="22"/>
        </w:rPr>
        <w:t>Case note review:-</w:t>
      </w:r>
    </w:p>
    <w:p w14:paraId="2D16238D" w14:textId="77777777" w:rsidR="00C646D5" w:rsidRPr="00584D74" w:rsidRDefault="00C646D5" w:rsidP="00C646D5">
      <w:pPr>
        <w:pStyle w:val="ListParagraph"/>
        <w:numPr>
          <w:ilvl w:val="0"/>
          <w:numId w:val="27"/>
        </w:numPr>
        <w:spacing w:line="360" w:lineRule="auto"/>
        <w:rPr>
          <w:sz w:val="22"/>
          <w:szCs w:val="22"/>
        </w:rPr>
      </w:pPr>
      <w:r w:rsidRPr="00584D74">
        <w:rPr>
          <w:sz w:val="22"/>
          <w:szCs w:val="22"/>
        </w:rPr>
        <w:t xml:space="preserve">Can the results of structured judgement review have a place as a resilience marker in clinical services. </w:t>
      </w:r>
    </w:p>
    <w:p w14:paraId="455EA240" w14:textId="77777777" w:rsidR="00C646D5" w:rsidRPr="00584D74" w:rsidRDefault="00C646D5" w:rsidP="00C646D5">
      <w:pPr>
        <w:pStyle w:val="ListParagraph"/>
        <w:numPr>
          <w:ilvl w:val="0"/>
          <w:numId w:val="27"/>
        </w:numPr>
        <w:spacing w:line="360" w:lineRule="auto"/>
        <w:rPr>
          <w:sz w:val="22"/>
          <w:szCs w:val="22"/>
        </w:rPr>
      </w:pPr>
      <w:r w:rsidRPr="00584D74">
        <w:rPr>
          <w:sz w:val="22"/>
          <w:szCs w:val="22"/>
        </w:rPr>
        <w:t>When using structured judgement review, is the care profile on the safety and quality axis the same for people who survive serious illness as for those who die (and if so, why)?</w:t>
      </w:r>
    </w:p>
    <w:p w14:paraId="5A835CC5" w14:textId="77777777" w:rsidR="00C646D5" w:rsidRPr="00584D74" w:rsidRDefault="00C646D5" w:rsidP="00C646D5">
      <w:pPr>
        <w:pStyle w:val="ListParagraph"/>
        <w:spacing w:line="360" w:lineRule="auto"/>
        <w:ind w:left="644"/>
        <w:rPr>
          <w:sz w:val="22"/>
          <w:szCs w:val="22"/>
        </w:rPr>
      </w:pPr>
    </w:p>
    <w:p w14:paraId="7C8AE481" w14:textId="77777777" w:rsidR="00C646D5" w:rsidRPr="00F9374C" w:rsidRDefault="00C646D5" w:rsidP="00C646D5">
      <w:pPr>
        <w:spacing w:line="360" w:lineRule="auto"/>
        <w:rPr>
          <w:b/>
        </w:rPr>
      </w:pPr>
      <w:r>
        <w:rPr>
          <w:b/>
        </w:rPr>
        <w:t>7</w:t>
      </w:r>
      <w:r w:rsidRPr="00F9374C">
        <w:rPr>
          <w:b/>
        </w:rPr>
        <w:t>.2 Implications for Practice</w:t>
      </w:r>
    </w:p>
    <w:p w14:paraId="776D1B20" w14:textId="77777777" w:rsidR="00C646D5" w:rsidRPr="00584D74" w:rsidRDefault="00C646D5" w:rsidP="00C646D5">
      <w:pPr>
        <w:spacing w:line="360" w:lineRule="auto"/>
        <w:rPr>
          <w:sz w:val="22"/>
          <w:szCs w:val="22"/>
        </w:rPr>
      </w:pPr>
      <w:r w:rsidRPr="00584D74">
        <w:rPr>
          <w:sz w:val="22"/>
          <w:szCs w:val="22"/>
        </w:rPr>
        <w:t>Implementation research suggests that many of the important results concerning health care effectiveness will not become part of routine service provision.  Reviewing my presented publications in the context of the international literature leads me to suggest three areas for service development</w:t>
      </w:r>
    </w:p>
    <w:p w14:paraId="2FB69AFA" w14:textId="77777777" w:rsidR="00C646D5" w:rsidRPr="00584D74" w:rsidRDefault="00C646D5" w:rsidP="00C646D5">
      <w:pPr>
        <w:pStyle w:val="ListParagraph"/>
        <w:numPr>
          <w:ilvl w:val="0"/>
          <w:numId w:val="30"/>
        </w:numPr>
        <w:spacing w:line="360" w:lineRule="auto"/>
        <w:rPr>
          <w:sz w:val="22"/>
          <w:szCs w:val="22"/>
        </w:rPr>
      </w:pPr>
      <w:r w:rsidRPr="00584D74">
        <w:rPr>
          <w:sz w:val="22"/>
          <w:szCs w:val="22"/>
        </w:rPr>
        <w:t>Top and middle leadership (both managerial and clinical) have a key role in developing safer and more resilient organisations. It should be a priority for every NHS provider organisation to understand to what extent the management of the organisation meets these twin goals and seeks to improve from their current position.</w:t>
      </w:r>
    </w:p>
    <w:p w14:paraId="0B644882" w14:textId="77777777" w:rsidR="00C646D5" w:rsidRPr="00584D74" w:rsidRDefault="00C646D5" w:rsidP="00C646D5">
      <w:pPr>
        <w:pStyle w:val="ListParagraph"/>
        <w:numPr>
          <w:ilvl w:val="0"/>
          <w:numId w:val="29"/>
        </w:numPr>
        <w:spacing w:line="360" w:lineRule="auto"/>
        <w:rPr>
          <w:sz w:val="22"/>
          <w:szCs w:val="22"/>
        </w:rPr>
      </w:pPr>
      <w:r w:rsidRPr="00584D74">
        <w:rPr>
          <w:sz w:val="22"/>
          <w:szCs w:val="22"/>
        </w:rPr>
        <w:lastRenderedPageBreak/>
        <w:t>Services should be planned with resilience in mind. Despite the challenge of limited resources, the safety and the value of targeted resource redundancy should always be considered (for example, in constructing a safe Hospital at Night programme)</w:t>
      </w:r>
    </w:p>
    <w:p w14:paraId="213E54FB" w14:textId="77777777" w:rsidR="00C646D5" w:rsidRPr="00584D74" w:rsidRDefault="00C646D5" w:rsidP="00C646D5">
      <w:pPr>
        <w:pStyle w:val="ListParagraph"/>
        <w:numPr>
          <w:ilvl w:val="0"/>
          <w:numId w:val="29"/>
        </w:numPr>
        <w:spacing w:line="360" w:lineRule="auto"/>
        <w:rPr>
          <w:sz w:val="22"/>
          <w:szCs w:val="22"/>
        </w:rPr>
      </w:pPr>
      <w:r w:rsidRPr="00584D74">
        <w:rPr>
          <w:sz w:val="22"/>
          <w:szCs w:val="22"/>
        </w:rPr>
        <w:t>Safety and quality of care review in provider units needs to move away from ‘error’ and to build on the evidence base from which this thesis draws, thus enabling providers to understand the circumstances behind failure and to build a resilient future.</w:t>
      </w:r>
    </w:p>
    <w:p w14:paraId="6F4EEC09" w14:textId="77777777" w:rsidR="00C646D5" w:rsidRDefault="00C646D5" w:rsidP="00C646D5">
      <w:pPr>
        <w:spacing w:line="360" w:lineRule="auto"/>
      </w:pPr>
    </w:p>
    <w:p w14:paraId="41C200B8" w14:textId="77777777" w:rsidR="00C646D5" w:rsidRDefault="00C646D5" w:rsidP="00C646D5"/>
    <w:p w14:paraId="4AA2589A" w14:textId="77777777" w:rsidR="00C646D5" w:rsidRDefault="00C646D5" w:rsidP="00C646D5">
      <w:pPr>
        <w:rPr>
          <w:b/>
        </w:rPr>
      </w:pPr>
      <w:r>
        <w:rPr>
          <w:b/>
        </w:rPr>
        <w:br w:type="page"/>
      </w:r>
    </w:p>
    <w:p w14:paraId="512DE9E8" w14:textId="77777777" w:rsidR="00C646D5" w:rsidRPr="00F9374C" w:rsidRDefault="00C646D5" w:rsidP="00C646D5">
      <w:pPr>
        <w:rPr>
          <w:b/>
          <w:sz w:val="28"/>
          <w:szCs w:val="28"/>
        </w:rPr>
      </w:pPr>
      <w:r w:rsidRPr="00F9374C">
        <w:rPr>
          <w:b/>
          <w:sz w:val="28"/>
          <w:szCs w:val="28"/>
        </w:rPr>
        <w:lastRenderedPageBreak/>
        <w:t xml:space="preserve"> </w:t>
      </w:r>
      <w:r>
        <w:rPr>
          <w:b/>
          <w:sz w:val="28"/>
          <w:szCs w:val="28"/>
        </w:rPr>
        <w:t>8</w:t>
      </w:r>
      <w:r w:rsidRPr="00F9374C">
        <w:rPr>
          <w:b/>
          <w:sz w:val="28"/>
          <w:szCs w:val="28"/>
        </w:rPr>
        <w:t>.</w:t>
      </w:r>
      <w:r>
        <w:rPr>
          <w:b/>
          <w:sz w:val="28"/>
          <w:szCs w:val="28"/>
        </w:rPr>
        <w:t xml:space="preserve"> </w:t>
      </w:r>
      <w:r w:rsidRPr="00F9374C">
        <w:rPr>
          <w:b/>
          <w:sz w:val="28"/>
          <w:szCs w:val="28"/>
        </w:rPr>
        <w:t>Conclusion</w:t>
      </w:r>
    </w:p>
    <w:p w14:paraId="69733A94" w14:textId="77777777" w:rsidR="00C646D5" w:rsidRPr="00584D74" w:rsidRDefault="00C646D5" w:rsidP="00C646D5">
      <w:pPr>
        <w:spacing w:line="360" w:lineRule="auto"/>
        <w:rPr>
          <w:sz w:val="22"/>
          <w:szCs w:val="22"/>
        </w:rPr>
      </w:pPr>
      <w:r w:rsidRPr="00584D74">
        <w:rPr>
          <w:sz w:val="22"/>
          <w:szCs w:val="22"/>
        </w:rPr>
        <w:t>The six publications presented in this thesis comprise some of my contribution to research in the field of healthcare safety. I have sought to see this work in the light of recent ideas on the value of human and organisational resilience in health care, and from the stance of the more positive view of healthcare safety.</w:t>
      </w:r>
    </w:p>
    <w:p w14:paraId="049B1CAE" w14:textId="77777777" w:rsidR="00C646D5" w:rsidRPr="00584D74" w:rsidRDefault="00C646D5" w:rsidP="00C646D5">
      <w:pPr>
        <w:spacing w:line="360" w:lineRule="auto"/>
        <w:rPr>
          <w:sz w:val="22"/>
          <w:szCs w:val="22"/>
        </w:rPr>
      </w:pPr>
      <w:r w:rsidRPr="00584D74">
        <w:rPr>
          <w:sz w:val="22"/>
          <w:szCs w:val="22"/>
        </w:rPr>
        <w:t xml:space="preserve">I show that, even though the studies may use different assumptions and methods, there are aspects in each one which can contribute to the debate on the value and assessment of resilient practise. </w:t>
      </w:r>
    </w:p>
    <w:p w14:paraId="4DA7FBAD" w14:textId="77777777" w:rsidR="00C646D5" w:rsidRPr="00584D74" w:rsidRDefault="00C646D5" w:rsidP="00C646D5">
      <w:pPr>
        <w:spacing w:line="360" w:lineRule="auto"/>
        <w:rPr>
          <w:sz w:val="22"/>
          <w:szCs w:val="22"/>
        </w:rPr>
      </w:pPr>
      <w:r w:rsidRPr="00584D74">
        <w:rPr>
          <w:sz w:val="22"/>
          <w:szCs w:val="22"/>
        </w:rPr>
        <w:t>And from the perspective of the recent discussions on ‘what is safety’ (Hollnagel 2013), which sees the term ‘safety’ as relating to the</w:t>
      </w:r>
    </w:p>
    <w:p w14:paraId="406F0C17" w14:textId="77777777" w:rsidR="00C646D5" w:rsidRPr="00584D74" w:rsidRDefault="00C646D5" w:rsidP="00C646D5">
      <w:pPr>
        <w:spacing w:line="240" w:lineRule="auto"/>
        <w:ind w:left="720"/>
        <w:rPr>
          <w:sz w:val="22"/>
          <w:szCs w:val="22"/>
        </w:rPr>
      </w:pPr>
      <w:r w:rsidRPr="00584D74">
        <w:rPr>
          <w:sz w:val="22"/>
          <w:szCs w:val="22"/>
        </w:rPr>
        <w:t xml:space="preserve"> ‘ability to succeed under varying conditions, so that the number of intended and acceptable outcomes is as high as possible’,</w:t>
      </w:r>
    </w:p>
    <w:p w14:paraId="7F2FABF0" w14:textId="77777777" w:rsidR="00C646D5" w:rsidRPr="00584D74" w:rsidRDefault="00C646D5" w:rsidP="00C646D5">
      <w:pPr>
        <w:spacing w:line="360" w:lineRule="auto"/>
        <w:rPr>
          <w:sz w:val="22"/>
          <w:szCs w:val="22"/>
        </w:rPr>
      </w:pPr>
      <w:r w:rsidRPr="00584D74">
        <w:rPr>
          <w:sz w:val="22"/>
          <w:szCs w:val="22"/>
        </w:rPr>
        <w:t>a fresh look has helped to illuminate the work as not being focussed on success or failure. Rather the variation in care can be partly seen as a result of resilient humans working in a complex, sometimes brittle, environment and that some of the presented research methods can identify points in care where a systems approach is required, rather than focussing on individuals.</w:t>
      </w:r>
    </w:p>
    <w:p w14:paraId="62E4115E" w14:textId="77777777" w:rsidR="00C646D5" w:rsidRPr="00584D74" w:rsidRDefault="00C646D5" w:rsidP="00C646D5">
      <w:pPr>
        <w:spacing w:line="360" w:lineRule="auto"/>
        <w:rPr>
          <w:sz w:val="22"/>
          <w:szCs w:val="22"/>
        </w:rPr>
      </w:pPr>
      <w:r w:rsidRPr="00584D74">
        <w:rPr>
          <w:sz w:val="22"/>
          <w:szCs w:val="22"/>
        </w:rPr>
        <w:t xml:space="preserve">My aspiration is that the learning from this research will assist clinical leaders and health service managers in their work with frontline staff in a way that treats variability as a generally positive attribute – as a marker for improvement rather than a process that requires containment. </w:t>
      </w:r>
    </w:p>
    <w:p w14:paraId="627B34AA" w14:textId="77777777" w:rsidR="00C646D5" w:rsidRPr="00B5228A" w:rsidRDefault="00C646D5" w:rsidP="00C646D5">
      <w:pPr>
        <w:spacing w:line="360" w:lineRule="auto"/>
      </w:pPr>
      <w:r>
        <w:rPr>
          <w:b/>
        </w:rPr>
        <w:br w:type="page"/>
      </w:r>
    </w:p>
    <w:p w14:paraId="2BA03EB7" w14:textId="77777777" w:rsidR="00C646D5" w:rsidRPr="00F9374C" w:rsidRDefault="00C646D5" w:rsidP="00C646D5">
      <w:pPr>
        <w:rPr>
          <w:b/>
          <w:sz w:val="28"/>
          <w:szCs w:val="28"/>
        </w:rPr>
      </w:pPr>
      <w:r>
        <w:rPr>
          <w:b/>
          <w:sz w:val="28"/>
          <w:szCs w:val="28"/>
        </w:rPr>
        <w:lastRenderedPageBreak/>
        <w:t>9</w:t>
      </w:r>
      <w:r w:rsidRPr="00F9374C">
        <w:rPr>
          <w:b/>
          <w:sz w:val="28"/>
          <w:szCs w:val="28"/>
        </w:rPr>
        <w:t>. References</w:t>
      </w:r>
    </w:p>
    <w:p w14:paraId="3D92CDF8" w14:textId="77777777" w:rsidR="00C646D5" w:rsidRPr="00584D74" w:rsidRDefault="00C646D5" w:rsidP="00C646D5">
      <w:pPr>
        <w:spacing w:after="0" w:line="240" w:lineRule="auto"/>
        <w:rPr>
          <w:sz w:val="22"/>
          <w:szCs w:val="22"/>
        </w:rPr>
      </w:pPr>
      <w:r w:rsidRPr="00584D74">
        <w:rPr>
          <w:sz w:val="22"/>
          <w:szCs w:val="22"/>
        </w:rPr>
        <w:t xml:space="preserve">Agency for Healthcare Research and Quality: Quality Indicators. </w:t>
      </w:r>
      <w:hyperlink r:id="rId11" w:history="1">
        <w:r w:rsidRPr="00584D74">
          <w:rPr>
            <w:rStyle w:val="Hyperlink"/>
            <w:sz w:val="22"/>
            <w:szCs w:val="22"/>
          </w:rPr>
          <w:t>www.qualityindicators.ahrq.gov/psi_overview.htm</w:t>
        </w:r>
      </w:hyperlink>
      <w:r w:rsidRPr="00584D74">
        <w:rPr>
          <w:sz w:val="22"/>
          <w:szCs w:val="22"/>
        </w:rPr>
        <w:t xml:space="preserve"> (accessed 20 November 2006). </w:t>
      </w:r>
    </w:p>
    <w:p w14:paraId="43F4749E" w14:textId="77777777" w:rsidR="00C646D5" w:rsidRPr="00584D74" w:rsidRDefault="00C646D5" w:rsidP="00C646D5">
      <w:pPr>
        <w:spacing w:after="0" w:line="240" w:lineRule="auto"/>
        <w:jc w:val="both"/>
        <w:rPr>
          <w:sz w:val="22"/>
          <w:szCs w:val="22"/>
          <w:lang w:val="en-US"/>
        </w:rPr>
      </w:pPr>
    </w:p>
    <w:p w14:paraId="142A9CDB" w14:textId="77777777" w:rsidR="00C646D5" w:rsidRPr="00584D74" w:rsidRDefault="00C646D5" w:rsidP="00C646D5">
      <w:pPr>
        <w:spacing w:line="240" w:lineRule="auto"/>
        <w:rPr>
          <w:sz w:val="22"/>
          <w:szCs w:val="22"/>
          <w:lang w:val="en-US"/>
        </w:rPr>
      </w:pPr>
      <w:r w:rsidRPr="00584D74">
        <w:rPr>
          <w:sz w:val="22"/>
          <w:szCs w:val="22"/>
          <w:lang w:val="en-US"/>
        </w:rPr>
        <w:t>Akselsson R, Ek Å, Koornneef F, Stewart S &amp; Ward M</w:t>
      </w:r>
      <w:r w:rsidRPr="00584D74">
        <w:rPr>
          <w:sz w:val="22"/>
          <w:szCs w:val="22"/>
        </w:rPr>
        <w:t>. (2009) Resilience safety culture</w:t>
      </w:r>
      <w:r w:rsidRPr="00584D74">
        <w:rPr>
          <w:i/>
          <w:sz w:val="22"/>
          <w:szCs w:val="22"/>
        </w:rPr>
        <w:t xml:space="preserve">. In </w:t>
      </w:r>
      <w:r w:rsidRPr="00584D74">
        <w:rPr>
          <w:i/>
          <w:sz w:val="22"/>
          <w:szCs w:val="22"/>
          <w:lang w:val="en-US"/>
        </w:rPr>
        <w:t xml:space="preserve">Proceedings of the 17th World Congress on Ergonomics (IEA). </w:t>
      </w:r>
      <w:r w:rsidRPr="00584D74">
        <w:rPr>
          <w:sz w:val="22"/>
          <w:szCs w:val="22"/>
          <w:lang w:val="en-US"/>
        </w:rPr>
        <w:t xml:space="preserve">Beijing China, International Ergonomics Association. </w:t>
      </w:r>
    </w:p>
    <w:p w14:paraId="41D02DAA" w14:textId="77777777" w:rsidR="00C646D5" w:rsidRPr="00584D74" w:rsidRDefault="00C646D5" w:rsidP="00C646D5">
      <w:pPr>
        <w:spacing w:line="240" w:lineRule="auto"/>
        <w:rPr>
          <w:rFonts w:cs="Arial"/>
          <w:sz w:val="22"/>
          <w:szCs w:val="22"/>
        </w:rPr>
      </w:pPr>
      <w:r w:rsidRPr="00584D74">
        <w:rPr>
          <w:rFonts w:cs="Arial"/>
          <w:sz w:val="22"/>
          <w:szCs w:val="22"/>
        </w:rPr>
        <w:t>Albuhairan B, McIntosh A, O’Hara R &amp; Hutchinson A. (2008)  Safety policy development in an acute hospital: a case study of Patient Safety Walkrounds</w:t>
      </w:r>
      <w:r w:rsidRPr="00584D74">
        <w:rPr>
          <w:rFonts w:cs="Arial"/>
          <w:sz w:val="22"/>
          <w:szCs w:val="22"/>
          <w:vertAlign w:val="superscript"/>
        </w:rPr>
        <w:t>TM</w:t>
      </w:r>
      <w:r w:rsidRPr="00584D74">
        <w:rPr>
          <w:rFonts w:cs="Arial"/>
          <w:sz w:val="22"/>
          <w:szCs w:val="22"/>
        </w:rPr>
        <w:t xml:space="preserve">. </w:t>
      </w:r>
      <w:r w:rsidRPr="00584D74">
        <w:rPr>
          <w:rFonts w:cs="Arial"/>
          <w:i/>
          <w:sz w:val="22"/>
          <w:szCs w:val="22"/>
        </w:rPr>
        <w:t>In</w:t>
      </w:r>
      <w:r w:rsidRPr="00584D74">
        <w:rPr>
          <w:rFonts w:cs="Arial"/>
          <w:sz w:val="22"/>
          <w:szCs w:val="22"/>
        </w:rPr>
        <w:t xml:space="preserve">: </w:t>
      </w:r>
      <w:r w:rsidRPr="00584D74">
        <w:rPr>
          <w:rFonts w:cs="Arial"/>
          <w:i/>
          <w:sz w:val="22"/>
          <w:szCs w:val="22"/>
        </w:rPr>
        <w:t>Creating and designing the healthcare experience; Conference Proceedings</w:t>
      </w:r>
      <w:r w:rsidRPr="00584D74">
        <w:rPr>
          <w:rFonts w:cs="Arial"/>
          <w:sz w:val="22"/>
          <w:szCs w:val="22"/>
        </w:rPr>
        <w:t xml:space="preserve"> </w:t>
      </w:r>
      <w:r w:rsidRPr="00584D74">
        <w:rPr>
          <w:rFonts w:cs="Arial"/>
          <w:i/>
          <w:sz w:val="22"/>
          <w:szCs w:val="22"/>
        </w:rPr>
        <w:t>2008</w:t>
      </w:r>
      <w:r w:rsidRPr="00584D74">
        <w:rPr>
          <w:rFonts w:cs="Arial"/>
          <w:sz w:val="22"/>
          <w:szCs w:val="22"/>
        </w:rPr>
        <w:t>. Strasbourg, The International Ergonomics Association. p.1-5.</w:t>
      </w:r>
    </w:p>
    <w:p w14:paraId="6A749DC2" w14:textId="77777777" w:rsidR="00C646D5" w:rsidRPr="00584D74" w:rsidRDefault="00C646D5" w:rsidP="00C646D5">
      <w:pPr>
        <w:spacing w:line="240" w:lineRule="auto"/>
        <w:rPr>
          <w:rFonts w:cs="Arial"/>
          <w:i/>
          <w:iCs/>
          <w:sz w:val="22"/>
          <w:szCs w:val="22"/>
        </w:rPr>
      </w:pPr>
      <w:r w:rsidRPr="00584D74">
        <w:rPr>
          <w:rFonts w:cs="Arial"/>
          <w:sz w:val="22"/>
          <w:szCs w:val="22"/>
        </w:rPr>
        <w:t xml:space="preserve">Alonazi MS, Hutchinson A, O'Hara R &amp; Freeman JV. (2011) Cross cultural challenges in the use of patient safety questionnaires: a case study from Saudi Arabia. </w:t>
      </w:r>
      <w:r w:rsidRPr="00584D74">
        <w:rPr>
          <w:rFonts w:cs="Arial"/>
          <w:i/>
          <w:iCs/>
          <w:sz w:val="22"/>
          <w:szCs w:val="22"/>
        </w:rPr>
        <w:t>In</w:t>
      </w:r>
      <w:r w:rsidRPr="00584D74">
        <w:rPr>
          <w:rFonts w:cs="Arial"/>
          <w:sz w:val="22"/>
          <w:szCs w:val="22"/>
        </w:rPr>
        <w:t xml:space="preserve"> Albolino S </w:t>
      </w:r>
      <w:r w:rsidRPr="00584D74">
        <w:rPr>
          <w:rFonts w:cs="Arial"/>
          <w:i/>
          <w:sz w:val="22"/>
          <w:szCs w:val="22"/>
        </w:rPr>
        <w:t>et al</w:t>
      </w:r>
      <w:r w:rsidRPr="00584D74">
        <w:rPr>
          <w:rFonts w:cs="Arial"/>
          <w:sz w:val="22"/>
          <w:szCs w:val="22"/>
        </w:rPr>
        <w:t>. (eds) Healthcare Systems Ergonomics and Patient Safety. London, Taylor and Francis Group.</w:t>
      </w:r>
      <w:r w:rsidRPr="00584D74">
        <w:rPr>
          <w:rFonts w:cs="Arial"/>
          <w:i/>
          <w:iCs/>
          <w:sz w:val="22"/>
          <w:szCs w:val="22"/>
        </w:rPr>
        <w:t xml:space="preserve">  </w:t>
      </w:r>
      <w:r w:rsidRPr="00584D74">
        <w:rPr>
          <w:rFonts w:cs="Arial"/>
          <w:iCs/>
          <w:sz w:val="22"/>
          <w:szCs w:val="22"/>
        </w:rPr>
        <w:t xml:space="preserve">p.179-180. </w:t>
      </w:r>
      <w:r w:rsidRPr="00584D74">
        <w:rPr>
          <w:rFonts w:cs="Arial"/>
          <w:i/>
          <w:iCs/>
          <w:sz w:val="22"/>
          <w:szCs w:val="22"/>
        </w:rPr>
        <w:t>ISBN 978-0-415-68413-2</w:t>
      </w:r>
    </w:p>
    <w:p w14:paraId="16D514DD" w14:textId="77777777" w:rsidR="00C646D5" w:rsidRPr="00584D74" w:rsidRDefault="00C646D5" w:rsidP="00C646D5">
      <w:pPr>
        <w:spacing w:line="240" w:lineRule="auto"/>
        <w:rPr>
          <w:rFonts w:cs="Arial"/>
          <w:sz w:val="22"/>
          <w:szCs w:val="22"/>
        </w:rPr>
      </w:pPr>
      <w:r w:rsidRPr="00584D74">
        <w:rPr>
          <w:rFonts w:cs="Arial"/>
          <w:sz w:val="22"/>
          <w:szCs w:val="22"/>
        </w:rPr>
        <w:t xml:space="preserve">Baker GR, Norton PG, Flintoft V, Blais R, Brown A, Cox J, Etchells E, Ghali WA, Herbert P, Majumdar SR, O’Beirne M, Palacios-Ferflinger L, Reid R, Sheps S &amp; Tamblyn R. (2004) The Canadian Adverse Events Study: the incidence of adverse events among hospital patients in Canada. </w:t>
      </w:r>
      <w:r w:rsidRPr="00584D74">
        <w:rPr>
          <w:rFonts w:cs="Arial"/>
          <w:i/>
          <w:sz w:val="22"/>
          <w:szCs w:val="22"/>
        </w:rPr>
        <w:t>Canadian Medical Association Journal,</w:t>
      </w:r>
      <w:r w:rsidRPr="00584D74">
        <w:rPr>
          <w:rFonts w:cs="Arial"/>
          <w:sz w:val="22"/>
          <w:szCs w:val="22"/>
        </w:rPr>
        <w:t xml:space="preserve"> 170(11),1678-86.</w:t>
      </w:r>
    </w:p>
    <w:p w14:paraId="078E1FA8" w14:textId="77777777" w:rsidR="00C646D5" w:rsidRPr="00584D74" w:rsidRDefault="00C646D5" w:rsidP="00C646D5">
      <w:pPr>
        <w:spacing w:line="240" w:lineRule="auto"/>
        <w:rPr>
          <w:sz w:val="22"/>
          <w:szCs w:val="22"/>
        </w:rPr>
      </w:pPr>
      <w:r w:rsidRPr="00584D74">
        <w:rPr>
          <w:sz w:val="22"/>
          <w:szCs w:val="22"/>
        </w:rPr>
        <w:t xml:space="preserve">Battles JB, Stevens DP. (2009) Adverse event reporting systems and safer health care. </w:t>
      </w:r>
      <w:r w:rsidRPr="00584D74">
        <w:rPr>
          <w:i/>
          <w:sz w:val="22"/>
          <w:szCs w:val="22"/>
        </w:rPr>
        <w:t>Quality and Safety in Health Care</w:t>
      </w:r>
      <w:r w:rsidRPr="00584D74">
        <w:rPr>
          <w:sz w:val="22"/>
          <w:szCs w:val="22"/>
        </w:rPr>
        <w:t>, 18, 2.</w:t>
      </w:r>
    </w:p>
    <w:p w14:paraId="72611A70" w14:textId="77777777" w:rsidR="00C646D5" w:rsidRPr="00584D74" w:rsidRDefault="00C646D5" w:rsidP="00C646D5">
      <w:pPr>
        <w:spacing w:line="240" w:lineRule="auto"/>
        <w:rPr>
          <w:sz w:val="22"/>
          <w:szCs w:val="22"/>
        </w:rPr>
      </w:pPr>
      <w:r w:rsidRPr="00584D74">
        <w:rPr>
          <w:sz w:val="22"/>
          <w:szCs w:val="22"/>
        </w:rPr>
        <w:t>Bristol Royal Infirmary Inquiry (2001) The report of the public inquiry into children’s heart surgery at the Bristol Royal Infirmary 1984-1995. London: Stationary Office.</w:t>
      </w:r>
    </w:p>
    <w:p w14:paraId="1240338D" w14:textId="77777777" w:rsidR="00C646D5" w:rsidRPr="00584D74" w:rsidRDefault="00C646D5" w:rsidP="00C646D5">
      <w:pPr>
        <w:spacing w:line="240" w:lineRule="auto"/>
        <w:rPr>
          <w:sz w:val="22"/>
          <w:szCs w:val="22"/>
        </w:rPr>
      </w:pPr>
      <w:r w:rsidRPr="00584D74">
        <w:rPr>
          <w:sz w:val="22"/>
          <w:szCs w:val="22"/>
        </w:rPr>
        <w:t xml:space="preserve">Benn J, Koutantji M, Wallace L, Spurgeon P, Rejman M, Healey A &amp; Vincent C. (2009) Feedback from incident reporting: information and action to improve patient safety. </w:t>
      </w:r>
      <w:r w:rsidRPr="00584D74">
        <w:rPr>
          <w:i/>
          <w:sz w:val="22"/>
          <w:szCs w:val="22"/>
        </w:rPr>
        <w:t>Quality and Safety in Health Care</w:t>
      </w:r>
      <w:r w:rsidRPr="00584D74">
        <w:rPr>
          <w:sz w:val="22"/>
          <w:szCs w:val="22"/>
        </w:rPr>
        <w:t>,18,11-2.</w:t>
      </w:r>
    </w:p>
    <w:p w14:paraId="44065B40" w14:textId="77777777" w:rsidR="00C646D5" w:rsidRPr="00584D74" w:rsidRDefault="00C646D5" w:rsidP="00C646D5">
      <w:pPr>
        <w:spacing w:line="240" w:lineRule="auto"/>
        <w:rPr>
          <w:sz w:val="22"/>
          <w:szCs w:val="22"/>
        </w:rPr>
      </w:pPr>
      <w:r w:rsidRPr="00584D74">
        <w:rPr>
          <w:sz w:val="22"/>
          <w:szCs w:val="22"/>
        </w:rPr>
        <w:t xml:space="preserve">Braithwaite J, Clay-Williams R, Negus P &amp; Plumb J. (2013) Health Care as a complex adaptive system. </w:t>
      </w:r>
      <w:r w:rsidRPr="00584D74">
        <w:rPr>
          <w:i/>
          <w:sz w:val="22"/>
          <w:szCs w:val="22"/>
        </w:rPr>
        <w:t>In</w:t>
      </w:r>
      <w:r w:rsidRPr="00584D74">
        <w:rPr>
          <w:sz w:val="22"/>
          <w:szCs w:val="22"/>
        </w:rPr>
        <w:t xml:space="preserve"> E Hollnagel </w:t>
      </w:r>
      <w:r w:rsidRPr="00584D74">
        <w:rPr>
          <w:i/>
          <w:sz w:val="22"/>
          <w:szCs w:val="22"/>
        </w:rPr>
        <w:t>et al.</w:t>
      </w:r>
      <w:r w:rsidRPr="00584D74">
        <w:rPr>
          <w:sz w:val="22"/>
          <w:szCs w:val="22"/>
        </w:rPr>
        <w:t xml:space="preserve"> (eds) </w:t>
      </w:r>
      <w:r w:rsidRPr="00584D74">
        <w:rPr>
          <w:i/>
          <w:sz w:val="22"/>
          <w:szCs w:val="22"/>
        </w:rPr>
        <w:t>Resilient Health Care</w:t>
      </w:r>
      <w:r w:rsidRPr="00584D74">
        <w:rPr>
          <w:sz w:val="22"/>
          <w:szCs w:val="22"/>
        </w:rPr>
        <w:t>. Farnham, Ashgate Publishing. p 57-73.</w:t>
      </w:r>
    </w:p>
    <w:p w14:paraId="42E7747A" w14:textId="77777777" w:rsidR="00C646D5" w:rsidRPr="00584D74" w:rsidRDefault="00C646D5" w:rsidP="00C646D5">
      <w:pPr>
        <w:spacing w:line="240" w:lineRule="auto"/>
        <w:rPr>
          <w:sz w:val="22"/>
          <w:szCs w:val="22"/>
        </w:rPr>
      </w:pPr>
      <w:r w:rsidRPr="00584D74">
        <w:rPr>
          <w:sz w:val="22"/>
          <w:szCs w:val="22"/>
        </w:rPr>
        <w:t xml:space="preserve">BrennanTA, Leape LL, Laird NM, Hebert L, Localio AR, Lawthers AG, Newhouse JP, Weiler PC, &amp; Hiatt HH. (1991) Incidence of adverse events and negligence in hospitalised patients: results of the Harvard Medical Practice Study 1. </w:t>
      </w:r>
      <w:r w:rsidRPr="00584D74">
        <w:rPr>
          <w:rFonts w:cs="Arial"/>
          <w:i/>
          <w:sz w:val="22"/>
          <w:szCs w:val="22"/>
        </w:rPr>
        <w:t xml:space="preserve">New England Journal of Medicine, </w:t>
      </w:r>
      <w:r w:rsidRPr="00584D74">
        <w:rPr>
          <w:rFonts w:cs="Arial"/>
          <w:sz w:val="22"/>
          <w:szCs w:val="22"/>
        </w:rPr>
        <w:t>324, 370- 376.</w:t>
      </w:r>
    </w:p>
    <w:p w14:paraId="446C3813" w14:textId="77777777" w:rsidR="00C646D5" w:rsidRPr="00584D74" w:rsidRDefault="00C646D5" w:rsidP="00C646D5">
      <w:pPr>
        <w:spacing w:line="240" w:lineRule="auto"/>
        <w:rPr>
          <w:sz w:val="22"/>
          <w:szCs w:val="22"/>
        </w:rPr>
      </w:pPr>
      <w:r w:rsidRPr="00584D74">
        <w:rPr>
          <w:sz w:val="22"/>
          <w:szCs w:val="22"/>
        </w:rPr>
        <w:t xml:space="preserve">Clay-Williams R.(2013) Restructuring and the resilient organisation: implications for health care. </w:t>
      </w:r>
      <w:r w:rsidRPr="00584D74">
        <w:rPr>
          <w:i/>
          <w:sz w:val="22"/>
          <w:szCs w:val="22"/>
        </w:rPr>
        <w:t>In</w:t>
      </w:r>
      <w:r w:rsidRPr="00584D74">
        <w:rPr>
          <w:sz w:val="22"/>
          <w:szCs w:val="22"/>
        </w:rPr>
        <w:t xml:space="preserve"> E Hollnagel </w:t>
      </w:r>
      <w:r w:rsidRPr="00584D74">
        <w:rPr>
          <w:i/>
          <w:sz w:val="22"/>
          <w:szCs w:val="22"/>
        </w:rPr>
        <w:t>et al.</w:t>
      </w:r>
      <w:r w:rsidRPr="00584D74">
        <w:rPr>
          <w:sz w:val="22"/>
          <w:szCs w:val="22"/>
        </w:rPr>
        <w:t xml:space="preserve"> (eds) </w:t>
      </w:r>
      <w:r w:rsidRPr="00584D74">
        <w:rPr>
          <w:i/>
          <w:sz w:val="22"/>
          <w:szCs w:val="22"/>
        </w:rPr>
        <w:t>Resilient Health Care</w:t>
      </w:r>
      <w:r w:rsidRPr="00584D74">
        <w:rPr>
          <w:sz w:val="22"/>
          <w:szCs w:val="22"/>
        </w:rPr>
        <w:t>. Farnham, Ashgate Publishing p123-133.</w:t>
      </w:r>
    </w:p>
    <w:p w14:paraId="06AFFCE2" w14:textId="77777777" w:rsidR="00C646D5" w:rsidRPr="00584D74" w:rsidRDefault="00C646D5" w:rsidP="00C646D5">
      <w:pPr>
        <w:spacing w:line="240" w:lineRule="auto"/>
        <w:rPr>
          <w:sz w:val="22"/>
          <w:szCs w:val="22"/>
        </w:rPr>
      </w:pPr>
      <w:r w:rsidRPr="00584D74">
        <w:rPr>
          <w:rFonts w:cs="Arial"/>
          <w:sz w:val="22"/>
          <w:szCs w:val="22"/>
        </w:rPr>
        <w:t xml:space="preserve">Codman, EA. (1920) </w:t>
      </w:r>
      <w:r w:rsidRPr="00584D74">
        <w:rPr>
          <w:rFonts w:cs="Arial"/>
          <w:i/>
          <w:iCs/>
          <w:sz w:val="22"/>
          <w:szCs w:val="22"/>
        </w:rPr>
        <w:t>A Study in Hospital Efficiency. As Demonstrated by the Case Report of the First Five Years of a Private Hospital</w:t>
      </w:r>
      <w:r w:rsidRPr="00584D74">
        <w:rPr>
          <w:rFonts w:cs="Arial"/>
          <w:sz w:val="22"/>
          <w:szCs w:val="22"/>
        </w:rPr>
        <w:t xml:space="preserve">. Boston: Thomas Todd Co. </w:t>
      </w:r>
    </w:p>
    <w:p w14:paraId="2885249F" w14:textId="77777777" w:rsidR="00C646D5" w:rsidRPr="00584D74" w:rsidRDefault="00C646D5" w:rsidP="00C646D5">
      <w:pPr>
        <w:spacing w:line="240" w:lineRule="auto"/>
        <w:rPr>
          <w:sz w:val="22"/>
          <w:szCs w:val="22"/>
        </w:rPr>
      </w:pPr>
      <w:r w:rsidRPr="00584D74">
        <w:rPr>
          <w:sz w:val="22"/>
          <w:szCs w:val="22"/>
        </w:rPr>
        <w:t xml:space="preserve">Cohen MR, Senders J &amp; Davis NM. (1994) Failure mode and effect analysis: a novel approach to avoiding dangerous medication errors and accidents. </w:t>
      </w:r>
      <w:r w:rsidRPr="00584D74">
        <w:rPr>
          <w:i/>
          <w:sz w:val="22"/>
          <w:szCs w:val="22"/>
        </w:rPr>
        <w:t>Hospital Pharmacy</w:t>
      </w:r>
      <w:r w:rsidRPr="00584D74">
        <w:rPr>
          <w:sz w:val="22"/>
          <w:szCs w:val="22"/>
        </w:rPr>
        <w:t>, 29, 319-324.</w:t>
      </w:r>
    </w:p>
    <w:p w14:paraId="16DABC49" w14:textId="77777777" w:rsidR="00C646D5" w:rsidRPr="00584D74" w:rsidRDefault="00C646D5" w:rsidP="00C646D5">
      <w:pPr>
        <w:spacing w:line="240" w:lineRule="auto"/>
        <w:rPr>
          <w:sz w:val="22"/>
          <w:szCs w:val="22"/>
        </w:rPr>
      </w:pPr>
      <w:r w:rsidRPr="00584D74">
        <w:rPr>
          <w:sz w:val="22"/>
          <w:szCs w:val="22"/>
        </w:rPr>
        <w:t xml:space="preserve">Cook RI, Render M &amp; Woods DD. (2000) Gaps in the continuity of care and progress on patient safety. </w:t>
      </w:r>
      <w:r w:rsidRPr="00584D74">
        <w:rPr>
          <w:i/>
          <w:sz w:val="22"/>
          <w:szCs w:val="22"/>
        </w:rPr>
        <w:t>British Medical Journal</w:t>
      </w:r>
      <w:r w:rsidRPr="00584D74">
        <w:rPr>
          <w:sz w:val="22"/>
          <w:szCs w:val="22"/>
        </w:rPr>
        <w:t>, 320, 791-794.</w:t>
      </w:r>
    </w:p>
    <w:p w14:paraId="6075EBCC" w14:textId="77777777" w:rsidR="00C646D5" w:rsidRPr="00584D74" w:rsidRDefault="00C646D5" w:rsidP="00C646D5">
      <w:pPr>
        <w:spacing w:line="240" w:lineRule="auto"/>
        <w:rPr>
          <w:sz w:val="22"/>
          <w:szCs w:val="22"/>
        </w:rPr>
      </w:pPr>
      <w:r w:rsidRPr="00584D74">
        <w:rPr>
          <w:sz w:val="22"/>
          <w:szCs w:val="22"/>
        </w:rPr>
        <w:lastRenderedPageBreak/>
        <w:t xml:space="preserve">Cook R, Rasmussen J. (2005) Going solid: a model of system dynamics and consequences for patient safety. </w:t>
      </w:r>
      <w:r w:rsidRPr="00584D74">
        <w:rPr>
          <w:i/>
          <w:sz w:val="22"/>
          <w:szCs w:val="22"/>
        </w:rPr>
        <w:t>Quality and Safety in Health Care</w:t>
      </w:r>
      <w:r w:rsidRPr="00584D74">
        <w:rPr>
          <w:sz w:val="22"/>
          <w:szCs w:val="22"/>
        </w:rPr>
        <w:t xml:space="preserve">, 14, 130-134. </w:t>
      </w:r>
    </w:p>
    <w:p w14:paraId="26E3E28D" w14:textId="77777777" w:rsidR="00C646D5" w:rsidRPr="00584D74" w:rsidRDefault="00C646D5" w:rsidP="00C646D5">
      <w:pPr>
        <w:spacing w:line="240" w:lineRule="auto"/>
        <w:rPr>
          <w:sz w:val="22"/>
          <w:szCs w:val="22"/>
        </w:rPr>
      </w:pPr>
      <w:r w:rsidRPr="00584D74">
        <w:rPr>
          <w:sz w:val="22"/>
          <w:szCs w:val="22"/>
        </w:rPr>
        <w:t xml:space="preserve">Cook RI and O’Connor M. (2005) Thinking about accidents and systems. </w:t>
      </w:r>
      <w:r w:rsidRPr="00584D74">
        <w:rPr>
          <w:i/>
          <w:sz w:val="22"/>
          <w:szCs w:val="22"/>
        </w:rPr>
        <w:t>In</w:t>
      </w:r>
      <w:r w:rsidRPr="00584D74">
        <w:rPr>
          <w:sz w:val="22"/>
          <w:szCs w:val="22"/>
        </w:rPr>
        <w:t xml:space="preserve"> H Manasse  </w:t>
      </w:r>
      <w:r w:rsidRPr="00584D74">
        <w:rPr>
          <w:i/>
          <w:sz w:val="22"/>
          <w:szCs w:val="22"/>
        </w:rPr>
        <w:t xml:space="preserve">et al. </w:t>
      </w:r>
      <w:r w:rsidRPr="00584D74">
        <w:rPr>
          <w:sz w:val="22"/>
          <w:szCs w:val="22"/>
        </w:rPr>
        <w:t xml:space="preserve">(eds)  </w:t>
      </w:r>
      <w:r w:rsidRPr="00584D74">
        <w:rPr>
          <w:i/>
          <w:sz w:val="22"/>
          <w:szCs w:val="22"/>
        </w:rPr>
        <w:t>Improving medication safety</w:t>
      </w:r>
      <w:r w:rsidRPr="00584D74">
        <w:rPr>
          <w:sz w:val="22"/>
          <w:szCs w:val="22"/>
        </w:rPr>
        <w:t>. Bethseda, MD, American Society for Health-System Pharmacists. p1-21.</w:t>
      </w:r>
    </w:p>
    <w:p w14:paraId="0F771537" w14:textId="77777777" w:rsidR="00C646D5" w:rsidRPr="00584D74" w:rsidRDefault="00C646D5" w:rsidP="00C646D5">
      <w:pPr>
        <w:spacing w:line="240" w:lineRule="auto"/>
        <w:rPr>
          <w:sz w:val="22"/>
          <w:szCs w:val="22"/>
        </w:rPr>
      </w:pPr>
      <w:r w:rsidRPr="00584D74">
        <w:rPr>
          <w:sz w:val="22"/>
          <w:szCs w:val="22"/>
        </w:rPr>
        <w:t xml:space="preserve">Cook RI, Nemeth CP &amp; Dekker S. (2008 a) What went wrong at the Beatson oncology centre. </w:t>
      </w:r>
      <w:r w:rsidRPr="00584D74">
        <w:rPr>
          <w:i/>
          <w:sz w:val="22"/>
          <w:szCs w:val="22"/>
        </w:rPr>
        <w:t>in</w:t>
      </w:r>
      <w:r w:rsidRPr="00584D74">
        <w:rPr>
          <w:sz w:val="22"/>
          <w:szCs w:val="22"/>
        </w:rPr>
        <w:t xml:space="preserve"> Hollnagel E </w:t>
      </w:r>
      <w:r w:rsidRPr="00584D74">
        <w:rPr>
          <w:i/>
          <w:sz w:val="22"/>
          <w:szCs w:val="22"/>
        </w:rPr>
        <w:t>et al</w:t>
      </w:r>
      <w:r w:rsidRPr="00584D74">
        <w:rPr>
          <w:sz w:val="22"/>
          <w:szCs w:val="22"/>
        </w:rPr>
        <w:t xml:space="preserve">. (eds) </w:t>
      </w:r>
      <w:r w:rsidRPr="00584D74">
        <w:rPr>
          <w:i/>
          <w:sz w:val="22"/>
          <w:szCs w:val="22"/>
        </w:rPr>
        <w:t>Resilience Engineering Perspectives, Volume 1: Remaining sensitive to the possibility of failure</w:t>
      </w:r>
      <w:r w:rsidRPr="00584D74">
        <w:rPr>
          <w:sz w:val="22"/>
          <w:szCs w:val="22"/>
        </w:rPr>
        <w:t>. Farnham, Ashgate Publishing.  p 225-235.</w:t>
      </w:r>
    </w:p>
    <w:p w14:paraId="66759839" w14:textId="77777777" w:rsidR="00C646D5" w:rsidRPr="00584D74" w:rsidRDefault="00C646D5" w:rsidP="00C646D5">
      <w:pPr>
        <w:spacing w:line="240" w:lineRule="auto"/>
        <w:rPr>
          <w:sz w:val="22"/>
          <w:szCs w:val="22"/>
        </w:rPr>
      </w:pPr>
      <w:r w:rsidRPr="00584D74">
        <w:rPr>
          <w:sz w:val="22"/>
          <w:szCs w:val="22"/>
        </w:rPr>
        <w:t xml:space="preserve">Cook RI, O’Connor M, Render M &amp; Woods D (2008b). Operating at the sharp end: the human factors of complex technical work and its implications for patient safety. </w:t>
      </w:r>
      <w:r w:rsidRPr="00584D74">
        <w:rPr>
          <w:i/>
          <w:sz w:val="22"/>
          <w:szCs w:val="22"/>
        </w:rPr>
        <w:t>in</w:t>
      </w:r>
      <w:r w:rsidRPr="00584D74">
        <w:rPr>
          <w:sz w:val="22"/>
          <w:szCs w:val="22"/>
        </w:rPr>
        <w:t xml:space="preserve"> Manuel BM </w:t>
      </w:r>
      <w:r w:rsidRPr="00584D74">
        <w:rPr>
          <w:i/>
          <w:sz w:val="22"/>
          <w:szCs w:val="22"/>
        </w:rPr>
        <w:t xml:space="preserve">et al. </w:t>
      </w:r>
      <w:r w:rsidRPr="00584D74">
        <w:rPr>
          <w:sz w:val="22"/>
          <w:szCs w:val="22"/>
        </w:rPr>
        <w:t xml:space="preserve">(eds) </w:t>
      </w:r>
      <w:r w:rsidRPr="00584D74">
        <w:rPr>
          <w:i/>
          <w:sz w:val="22"/>
          <w:szCs w:val="22"/>
        </w:rPr>
        <w:t>Surgical Patient Safety: Essential information for surgeons in today’s environment.</w:t>
      </w:r>
      <w:r w:rsidRPr="00584D74">
        <w:rPr>
          <w:sz w:val="22"/>
          <w:szCs w:val="22"/>
        </w:rPr>
        <w:t>. Chicago, American College of Surgeons p19-30.</w:t>
      </w:r>
    </w:p>
    <w:p w14:paraId="485DBA38" w14:textId="77777777" w:rsidR="00C646D5" w:rsidRPr="00584D74" w:rsidRDefault="00C646D5" w:rsidP="00C646D5">
      <w:pPr>
        <w:spacing w:line="240" w:lineRule="auto"/>
        <w:rPr>
          <w:sz w:val="22"/>
          <w:szCs w:val="22"/>
        </w:rPr>
      </w:pPr>
      <w:r w:rsidRPr="00584D74">
        <w:rPr>
          <w:sz w:val="22"/>
          <w:szCs w:val="22"/>
        </w:rPr>
        <w:t xml:space="preserve">Cook R. Resilience, the second story, and progress on patient safety. (2013) </w:t>
      </w:r>
      <w:r w:rsidRPr="00584D74">
        <w:rPr>
          <w:i/>
          <w:sz w:val="22"/>
          <w:szCs w:val="22"/>
        </w:rPr>
        <w:t>In</w:t>
      </w:r>
      <w:r w:rsidRPr="00584D74">
        <w:rPr>
          <w:sz w:val="22"/>
          <w:szCs w:val="22"/>
        </w:rPr>
        <w:t xml:space="preserve"> E Hollnagel </w:t>
      </w:r>
      <w:r w:rsidRPr="00584D74">
        <w:rPr>
          <w:i/>
          <w:sz w:val="22"/>
          <w:szCs w:val="22"/>
        </w:rPr>
        <w:t>et al.</w:t>
      </w:r>
      <w:r w:rsidRPr="00584D74">
        <w:rPr>
          <w:sz w:val="22"/>
          <w:szCs w:val="22"/>
        </w:rPr>
        <w:t xml:space="preserve"> (eds) </w:t>
      </w:r>
      <w:r w:rsidRPr="00584D74">
        <w:rPr>
          <w:i/>
          <w:sz w:val="22"/>
          <w:szCs w:val="22"/>
        </w:rPr>
        <w:t>Resilient Health Care</w:t>
      </w:r>
      <w:r w:rsidRPr="00584D74">
        <w:rPr>
          <w:sz w:val="22"/>
          <w:szCs w:val="22"/>
        </w:rPr>
        <w:t>. Farnham, Ashgate Publishing pp 19-26.</w:t>
      </w:r>
    </w:p>
    <w:p w14:paraId="4EBDC551" w14:textId="77777777" w:rsidR="00C646D5" w:rsidRPr="00584D74" w:rsidRDefault="00C646D5" w:rsidP="00C646D5">
      <w:pPr>
        <w:spacing w:line="240" w:lineRule="auto"/>
        <w:rPr>
          <w:sz w:val="22"/>
          <w:szCs w:val="22"/>
        </w:rPr>
      </w:pPr>
      <w:r w:rsidRPr="00584D74">
        <w:rPr>
          <w:sz w:val="22"/>
          <w:szCs w:val="22"/>
        </w:rPr>
        <w:t xml:space="preserve">Cook RI, Nemeth C. (2006) Taking things in one’s stride: cognitive features of two resilient performances. </w:t>
      </w:r>
      <w:r w:rsidRPr="00584D74">
        <w:rPr>
          <w:i/>
          <w:sz w:val="22"/>
          <w:szCs w:val="22"/>
        </w:rPr>
        <w:t>in</w:t>
      </w:r>
      <w:r w:rsidRPr="00584D74">
        <w:rPr>
          <w:sz w:val="22"/>
          <w:szCs w:val="22"/>
        </w:rPr>
        <w:t xml:space="preserve"> Hollnagel E </w:t>
      </w:r>
      <w:r w:rsidRPr="00584D74">
        <w:rPr>
          <w:i/>
          <w:sz w:val="22"/>
          <w:szCs w:val="22"/>
        </w:rPr>
        <w:t>et al.</w:t>
      </w:r>
      <w:r w:rsidRPr="00584D74">
        <w:rPr>
          <w:sz w:val="22"/>
          <w:szCs w:val="22"/>
        </w:rPr>
        <w:t xml:space="preserve"> (eds) </w:t>
      </w:r>
      <w:r w:rsidRPr="00584D74">
        <w:rPr>
          <w:i/>
          <w:sz w:val="22"/>
          <w:szCs w:val="22"/>
        </w:rPr>
        <w:t>Resilience Engineering: Concepts and precepts.</w:t>
      </w:r>
      <w:r w:rsidRPr="00584D74">
        <w:rPr>
          <w:sz w:val="22"/>
          <w:szCs w:val="22"/>
        </w:rPr>
        <w:t xml:space="preserve"> Burlington VT, Ashgate Publishing Company  p 205-222.</w:t>
      </w:r>
    </w:p>
    <w:p w14:paraId="61479F7F" w14:textId="77777777" w:rsidR="00C646D5" w:rsidRPr="00584D74" w:rsidRDefault="00C646D5" w:rsidP="00C646D5">
      <w:pPr>
        <w:spacing w:line="240" w:lineRule="auto"/>
        <w:rPr>
          <w:rStyle w:val="citation"/>
          <w:sz w:val="22"/>
          <w:szCs w:val="22"/>
        </w:rPr>
      </w:pPr>
      <w:r w:rsidRPr="00584D74">
        <w:rPr>
          <w:rStyle w:val="citation"/>
          <w:sz w:val="22"/>
          <w:szCs w:val="22"/>
        </w:rPr>
        <w:t xml:space="preserve">Department of Health (2000a) </w:t>
      </w:r>
      <w:r w:rsidRPr="00584D74">
        <w:rPr>
          <w:rStyle w:val="ref-journal"/>
          <w:i/>
          <w:sz w:val="22"/>
          <w:szCs w:val="22"/>
        </w:rPr>
        <w:t>An organisation with a memory: report of an expert group on learning from adverse events in the NHS chaired by the Chief Medical Officer</w:t>
      </w:r>
      <w:r w:rsidRPr="00584D74">
        <w:rPr>
          <w:rStyle w:val="citation"/>
          <w:i/>
          <w:sz w:val="22"/>
          <w:szCs w:val="22"/>
        </w:rPr>
        <w:t>.</w:t>
      </w:r>
      <w:r w:rsidRPr="00584D74">
        <w:rPr>
          <w:rStyle w:val="citation"/>
          <w:sz w:val="22"/>
          <w:szCs w:val="22"/>
        </w:rPr>
        <w:t xml:space="preserve"> London, Stationery Office.</w:t>
      </w:r>
    </w:p>
    <w:p w14:paraId="13BEBAA2" w14:textId="77777777" w:rsidR="00C646D5" w:rsidRPr="00584D74" w:rsidRDefault="00C646D5" w:rsidP="00C646D5">
      <w:pPr>
        <w:spacing w:line="240" w:lineRule="auto"/>
        <w:rPr>
          <w:sz w:val="22"/>
          <w:szCs w:val="22"/>
        </w:rPr>
      </w:pPr>
      <w:r w:rsidRPr="00584D74">
        <w:rPr>
          <w:rStyle w:val="citation"/>
          <w:sz w:val="22"/>
          <w:szCs w:val="22"/>
        </w:rPr>
        <w:t xml:space="preserve">Department of Health (2001) </w:t>
      </w:r>
      <w:r w:rsidRPr="00584D74">
        <w:rPr>
          <w:rStyle w:val="ref-journal"/>
          <w:i/>
          <w:sz w:val="22"/>
          <w:szCs w:val="22"/>
        </w:rPr>
        <w:t>Report of the public inquiry into children's heart surgery at the Bristol Royal Infirmary 1984-1995: Learning from Bristol.</w:t>
      </w:r>
      <w:r w:rsidRPr="00584D74">
        <w:rPr>
          <w:rStyle w:val="citation"/>
          <w:sz w:val="22"/>
          <w:szCs w:val="22"/>
        </w:rPr>
        <w:t xml:space="preserve"> London, Stationery Office.</w:t>
      </w:r>
    </w:p>
    <w:p w14:paraId="170A971F" w14:textId="77777777" w:rsidR="00C646D5" w:rsidRPr="00584D74" w:rsidRDefault="00C646D5" w:rsidP="00C646D5">
      <w:pPr>
        <w:spacing w:line="240" w:lineRule="auto"/>
        <w:rPr>
          <w:sz w:val="22"/>
          <w:szCs w:val="22"/>
        </w:rPr>
      </w:pPr>
      <w:r w:rsidRPr="00584D74">
        <w:rPr>
          <w:rStyle w:val="citation"/>
          <w:sz w:val="22"/>
          <w:szCs w:val="22"/>
        </w:rPr>
        <w:t xml:space="preserve">Department of Health (2000b). </w:t>
      </w:r>
      <w:r w:rsidRPr="00584D74">
        <w:rPr>
          <w:rStyle w:val="ref-journal"/>
          <w:i/>
          <w:sz w:val="22"/>
          <w:szCs w:val="22"/>
        </w:rPr>
        <w:t>The report of the inquiry into quality and practice within the National Health Service arising from the actions of Rodney Ledward</w:t>
      </w:r>
      <w:r w:rsidRPr="00584D74">
        <w:rPr>
          <w:rStyle w:val="ref-journal"/>
          <w:sz w:val="22"/>
          <w:szCs w:val="22"/>
        </w:rPr>
        <w:t xml:space="preserve">. </w:t>
      </w:r>
      <w:r w:rsidRPr="00584D74">
        <w:rPr>
          <w:rStyle w:val="citation"/>
          <w:sz w:val="22"/>
          <w:szCs w:val="22"/>
        </w:rPr>
        <w:t xml:space="preserve"> London, Stationery Office.</w:t>
      </w:r>
    </w:p>
    <w:p w14:paraId="0C543191" w14:textId="77777777" w:rsidR="00C646D5" w:rsidRPr="00584D74" w:rsidRDefault="00C646D5" w:rsidP="00C646D5">
      <w:pPr>
        <w:spacing w:line="240" w:lineRule="auto"/>
        <w:jc w:val="both"/>
        <w:rPr>
          <w:color w:val="000000"/>
          <w:sz w:val="22"/>
          <w:szCs w:val="22"/>
        </w:rPr>
      </w:pPr>
      <w:r w:rsidRPr="00584D74">
        <w:rPr>
          <w:color w:val="000000"/>
          <w:sz w:val="22"/>
          <w:szCs w:val="22"/>
        </w:rPr>
        <w:t>DeRosier J, Stalhandske E, Bagian J &amp; Nudell T. (2002)</w:t>
      </w:r>
      <w:r w:rsidRPr="00584D74">
        <w:rPr>
          <w:b/>
          <w:color w:val="000000"/>
          <w:sz w:val="22"/>
          <w:szCs w:val="22"/>
        </w:rPr>
        <w:t xml:space="preserve"> </w:t>
      </w:r>
      <w:r w:rsidRPr="00584D74">
        <w:rPr>
          <w:color w:val="000000"/>
          <w:sz w:val="22"/>
          <w:szCs w:val="22"/>
        </w:rPr>
        <w:t xml:space="preserve">Using health care failure mode effect analysis.  </w:t>
      </w:r>
      <w:r w:rsidRPr="00584D74">
        <w:rPr>
          <w:i/>
          <w:color w:val="000000"/>
          <w:sz w:val="22"/>
          <w:szCs w:val="22"/>
        </w:rPr>
        <w:t xml:space="preserve">Journal of Quality Improvement, </w:t>
      </w:r>
      <w:r w:rsidRPr="00584D74">
        <w:rPr>
          <w:bCs/>
          <w:color w:val="000000"/>
          <w:sz w:val="22"/>
          <w:szCs w:val="22"/>
        </w:rPr>
        <w:t>28,</w:t>
      </w:r>
      <w:r w:rsidRPr="00584D74">
        <w:rPr>
          <w:color w:val="000000"/>
          <w:sz w:val="22"/>
          <w:szCs w:val="22"/>
        </w:rPr>
        <w:t xml:space="preserve"> 248-267.</w:t>
      </w:r>
    </w:p>
    <w:p w14:paraId="14FE4F16" w14:textId="77777777" w:rsidR="00C646D5" w:rsidRPr="00584D74" w:rsidRDefault="00C646D5" w:rsidP="00C646D5">
      <w:pPr>
        <w:spacing w:line="240" w:lineRule="auto"/>
        <w:rPr>
          <w:sz w:val="22"/>
          <w:szCs w:val="22"/>
        </w:rPr>
      </w:pPr>
      <w:r w:rsidRPr="00584D74">
        <w:rPr>
          <w:sz w:val="22"/>
          <w:szCs w:val="22"/>
        </w:rPr>
        <w:t xml:space="preserve">Edmondson A C. (2004) Learning from failure in health care: frequent opportunities, pervasive barriers. </w:t>
      </w:r>
      <w:r w:rsidRPr="00584D74">
        <w:rPr>
          <w:i/>
          <w:sz w:val="22"/>
          <w:szCs w:val="22"/>
        </w:rPr>
        <w:t xml:space="preserve">Quality and Safety in Health Care, </w:t>
      </w:r>
      <w:r w:rsidRPr="00584D74">
        <w:rPr>
          <w:sz w:val="22"/>
          <w:szCs w:val="22"/>
        </w:rPr>
        <w:t xml:space="preserve">13 (Supplement ll), ii3-ii9. </w:t>
      </w:r>
    </w:p>
    <w:p w14:paraId="7B2CB670" w14:textId="77777777" w:rsidR="00C646D5" w:rsidRPr="00584D74" w:rsidRDefault="00C646D5" w:rsidP="00C646D5">
      <w:pPr>
        <w:spacing w:line="240" w:lineRule="auto"/>
        <w:rPr>
          <w:sz w:val="22"/>
          <w:szCs w:val="22"/>
        </w:rPr>
      </w:pPr>
      <w:r w:rsidRPr="00584D74">
        <w:rPr>
          <w:sz w:val="22"/>
          <w:szCs w:val="22"/>
        </w:rPr>
        <w:t xml:space="preserve">Eiff G. (1999) </w:t>
      </w:r>
      <w:r w:rsidRPr="00584D74">
        <w:rPr>
          <w:i/>
          <w:sz w:val="22"/>
          <w:szCs w:val="22"/>
        </w:rPr>
        <w:t>Organisational safety culture. Proceedings of the Tenth International Symposium on Aviation Psychology.</w:t>
      </w:r>
      <w:r w:rsidRPr="00584D74">
        <w:rPr>
          <w:sz w:val="22"/>
          <w:szCs w:val="22"/>
        </w:rPr>
        <w:t xml:space="preserve"> Columbus Ohio, Department of Aviation. p. 1-14.</w:t>
      </w:r>
    </w:p>
    <w:p w14:paraId="7D5FD068" w14:textId="77777777" w:rsidR="00C646D5" w:rsidRPr="00584D74" w:rsidRDefault="00C646D5" w:rsidP="00C646D5">
      <w:pPr>
        <w:spacing w:line="240" w:lineRule="auto"/>
        <w:rPr>
          <w:sz w:val="22"/>
          <w:szCs w:val="22"/>
        </w:rPr>
      </w:pPr>
      <w:r w:rsidRPr="00584D74">
        <w:rPr>
          <w:sz w:val="22"/>
          <w:szCs w:val="22"/>
        </w:rPr>
        <w:t xml:space="preserve">Flin R, Mearns R, O’Connor P &amp; Bryden R. (2000) Measuring safety climate: identifying the common features. </w:t>
      </w:r>
      <w:r w:rsidRPr="00584D74">
        <w:rPr>
          <w:i/>
          <w:sz w:val="22"/>
          <w:szCs w:val="22"/>
        </w:rPr>
        <w:t>Safety Science</w:t>
      </w:r>
      <w:r w:rsidRPr="00584D74">
        <w:rPr>
          <w:sz w:val="22"/>
          <w:szCs w:val="22"/>
        </w:rPr>
        <w:t>, 34,177-192.</w:t>
      </w:r>
    </w:p>
    <w:p w14:paraId="5FCB315F" w14:textId="77777777" w:rsidR="00C646D5" w:rsidRPr="00584D74" w:rsidRDefault="00C646D5" w:rsidP="00C646D5">
      <w:pPr>
        <w:spacing w:line="240" w:lineRule="auto"/>
        <w:rPr>
          <w:sz w:val="22"/>
          <w:szCs w:val="22"/>
        </w:rPr>
      </w:pPr>
      <w:r w:rsidRPr="00584D74">
        <w:rPr>
          <w:sz w:val="22"/>
          <w:szCs w:val="22"/>
        </w:rPr>
        <w:t xml:space="preserve">Flinn R. Erosion of managerial resilience: from VASA to NASA. (2006)  </w:t>
      </w:r>
      <w:r w:rsidRPr="00584D74">
        <w:rPr>
          <w:i/>
          <w:sz w:val="22"/>
          <w:szCs w:val="22"/>
        </w:rPr>
        <w:t>in</w:t>
      </w:r>
      <w:r w:rsidRPr="00584D74">
        <w:rPr>
          <w:sz w:val="22"/>
          <w:szCs w:val="22"/>
        </w:rPr>
        <w:t xml:space="preserve"> Hollnagel E </w:t>
      </w:r>
      <w:r w:rsidRPr="00584D74">
        <w:rPr>
          <w:i/>
          <w:sz w:val="22"/>
          <w:szCs w:val="22"/>
        </w:rPr>
        <w:t>et al.</w:t>
      </w:r>
      <w:r w:rsidRPr="00584D74">
        <w:rPr>
          <w:sz w:val="22"/>
          <w:szCs w:val="22"/>
        </w:rPr>
        <w:t xml:space="preserve"> (eds) </w:t>
      </w:r>
      <w:r w:rsidRPr="00584D74">
        <w:rPr>
          <w:i/>
          <w:sz w:val="22"/>
          <w:szCs w:val="22"/>
        </w:rPr>
        <w:t>Resilience Engineering: Concepts and precepts.</w:t>
      </w:r>
      <w:r w:rsidRPr="00584D74">
        <w:rPr>
          <w:sz w:val="22"/>
          <w:szCs w:val="22"/>
        </w:rPr>
        <w:t xml:space="preserve"> Burlington VT, Ashgate Publishing Company p 223-234.</w:t>
      </w:r>
    </w:p>
    <w:p w14:paraId="1131F2A4" w14:textId="77777777" w:rsidR="00C646D5" w:rsidRPr="00584D74" w:rsidRDefault="00C646D5" w:rsidP="00C646D5">
      <w:pPr>
        <w:spacing w:line="240" w:lineRule="auto"/>
        <w:rPr>
          <w:sz w:val="22"/>
          <w:szCs w:val="22"/>
        </w:rPr>
      </w:pPr>
      <w:r w:rsidRPr="00584D74">
        <w:rPr>
          <w:sz w:val="22"/>
          <w:szCs w:val="22"/>
        </w:rPr>
        <w:t>Frankel A, Graydon-Baker, Neppl C, Simmonds T, Gustafason M &amp; Gandhi TK. (2003) Patient Safety Leadership Walkrounds</w:t>
      </w:r>
      <w:r w:rsidRPr="00584D74">
        <w:rPr>
          <w:sz w:val="22"/>
          <w:szCs w:val="22"/>
          <w:vertAlign w:val="superscript"/>
        </w:rPr>
        <w:t>TM</w:t>
      </w:r>
      <w:r w:rsidRPr="00584D74">
        <w:rPr>
          <w:sz w:val="22"/>
          <w:szCs w:val="22"/>
        </w:rPr>
        <w:t xml:space="preserve">. </w:t>
      </w:r>
      <w:r w:rsidRPr="00584D74">
        <w:rPr>
          <w:i/>
          <w:sz w:val="22"/>
          <w:szCs w:val="22"/>
        </w:rPr>
        <w:t>Joint Commission Journal on Quality and Safety</w:t>
      </w:r>
      <w:r w:rsidRPr="00584D74">
        <w:rPr>
          <w:sz w:val="22"/>
          <w:szCs w:val="22"/>
        </w:rPr>
        <w:t>, 29,16-26.</w:t>
      </w:r>
    </w:p>
    <w:p w14:paraId="44362AFC" w14:textId="77777777" w:rsidR="00C646D5" w:rsidRPr="00584D74" w:rsidRDefault="00C646D5" w:rsidP="00C646D5">
      <w:pPr>
        <w:spacing w:line="240" w:lineRule="auto"/>
        <w:rPr>
          <w:sz w:val="22"/>
          <w:szCs w:val="22"/>
        </w:rPr>
      </w:pPr>
      <w:r w:rsidRPr="00584D74">
        <w:rPr>
          <w:sz w:val="22"/>
          <w:szCs w:val="22"/>
        </w:rPr>
        <w:t xml:space="preserve">Furniss D, Back J, Blandford A, Hildebrandt M &amp; Broberg H. (2011) A resilience markers framework for small teams. </w:t>
      </w:r>
      <w:r w:rsidRPr="00584D74">
        <w:rPr>
          <w:i/>
          <w:sz w:val="22"/>
          <w:szCs w:val="22"/>
        </w:rPr>
        <w:t>Reliability Engineering and System Safety</w:t>
      </w:r>
      <w:r w:rsidRPr="00584D74">
        <w:rPr>
          <w:sz w:val="22"/>
          <w:szCs w:val="22"/>
        </w:rPr>
        <w:t>, 96, 2-10.</w:t>
      </w:r>
    </w:p>
    <w:p w14:paraId="6D1BE23B" w14:textId="77777777" w:rsidR="00C646D5" w:rsidRPr="00584D74" w:rsidRDefault="00C646D5" w:rsidP="00C646D5">
      <w:pPr>
        <w:spacing w:line="240" w:lineRule="auto"/>
        <w:rPr>
          <w:sz w:val="22"/>
          <w:szCs w:val="22"/>
        </w:rPr>
      </w:pPr>
      <w:r w:rsidRPr="00584D74">
        <w:rPr>
          <w:sz w:val="22"/>
          <w:szCs w:val="22"/>
        </w:rPr>
        <w:lastRenderedPageBreak/>
        <w:t>Furniss D, Black J, Blandford A. 2011 Unwritten rules for safety and performance in an oncology day care unit: testing the resilience markers framework. Proceedings of the Fourth Resilience Engineering Symposium.  p.1-7.</w:t>
      </w:r>
    </w:p>
    <w:p w14:paraId="61C2E5B8" w14:textId="77777777" w:rsidR="00C646D5" w:rsidRPr="00584D74" w:rsidRDefault="00C646D5" w:rsidP="00C646D5">
      <w:pPr>
        <w:spacing w:line="240" w:lineRule="auto"/>
        <w:rPr>
          <w:sz w:val="22"/>
          <w:szCs w:val="22"/>
        </w:rPr>
      </w:pPr>
      <w:r w:rsidRPr="00584D74">
        <w:rPr>
          <w:sz w:val="22"/>
          <w:szCs w:val="22"/>
        </w:rPr>
        <w:t xml:space="preserve">Gaba DM. (2003) Safety first: ensuring quality of care in the intensely productive environment – the HRO model. </w:t>
      </w:r>
      <w:hyperlink r:id="rId12" w:history="1">
        <w:r w:rsidRPr="00584D74">
          <w:rPr>
            <w:rStyle w:val="Hyperlink"/>
            <w:sz w:val="22"/>
            <w:szCs w:val="22"/>
          </w:rPr>
          <w:t>http://www.apsf.org/newsletters/html/2003/spring/hromodel.htm</w:t>
        </w:r>
      </w:hyperlink>
      <w:r w:rsidRPr="00584D74">
        <w:rPr>
          <w:sz w:val="22"/>
          <w:szCs w:val="22"/>
        </w:rPr>
        <w:t xml:space="preserve">  (accessed 12 August 2013)</w:t>
      </w:r>
    </w:p>
    <w:p w14:paraId="0CF3C074" w14:textId="77777777" w:rsidR="00C646D5" w:rsidRPr="00584D74" w:rsidRDefault="00C646D5" w:rsidP="00C646D5">
      <w:pPr>
        <w:spacing w:line="240" w:lineRule="auto"/>
        <w:rPr>
          <w:sz w:val="22"/>
          <w:szCs w:val="22"/>
        </w:rPr>
      </w:pPr>
      <w:r w:rsidRPr="00584D74">
        <w:rPr>
          <w:sz w:val="22"/>
          <w:szCs w:val="22"/>
        </w:rPr>
        <w:t>Habraken MMP, van der Schaaf TW, Leistikow IP &amp; Reijnders-Thijssen PMJ. (2009) Prospective risk analysis of health care process; A systematic evaluation of the use of HFMEA</w:t>
      </w:r>
      <w:r w:rsidRPr="00584D74">
        <w:rPr>
          <w:sz w:val="22"/>
          <w:szCs w:val="22"/>
          <w:vertAlign w:val="superscript"/>
        </w:rPr>
        <w:t>TM</w:t>
      </w:r>
      <w:r w:rsidRPr="00584D74">
        <w:rPr>
          <w:sz w:val="22"/>
          <w:szCs w:val="22"/>
        </w:rPr>
        <w:t xml:space="preserve"> in Dutch health care. </w:t>
      </w:r>
      <w:r w:rsidRPr="00584D74">
        <w:rPr>
          <w:i/>
          <w:sz w:val="22"/>
          <w:szCs w:val="22"/>
        </w:rPr>
        <w:t>Ergonomic</w:t>
      </w:r>
      <w:r w:rsidRPr="00584D74">
        <w:rPr>
          <w:sz w:val="22"/>
          <w:szCs w:val="22"/>
        </w:rPr>
        <w:t>, 52(7), 809-819.</w:t>
      </w:r>
    </w:p>
    <w:p w14:paraId="7E2AD83C" w14:textId="77777777" w:rsidR="00C646D5" w:rsidRPr="00584D74" w:rsidRDefault="00C646D5" w:rsidP="00C646D5">
      <w:pPr>
        <w:spacing w:line="240" w:lineRule="auto"/>
        <w:rPr>
          <w:sz w:val="22"/>
          <w:szCs w:val="22"/>
        </w:rPr>
      </w:pPr>
      <w:r w:rsidRPr="00584D74">
        <w:rPr>
          <w:sz w:val="22"/>
          <w:szCs w:val="22"/>
        </w:rPr>
        <w:t>Hasson F, Keeney S &amp; McKenna H. (2000) Research guidelines for the Delphi survey technique.</w:t>
      </w:r>
      <w:r w:rsidRPr="00584D74">
        <w:rPr>
          <w:b/>
          <w:sz w:val="22"/>
          <w:szCs w:val="22"/>
        </w:rPr>
        <w:t xml:space="preserve"> </w:t>
      </w:r>
      <w:r w:rsidRPr="00584D74">
        <w:rPr>
          <w:sz w:val="22"/>
          <w:szCs w:val="22"/>
        </w:rPr>
        <w:t xml:space="preserve"> </w:t>
      </w:r>
      <w:r w:rsidRPr="00584D74">
        <w:rPr>
          <w:i/>
          <w:sz w:val="22"/>
          <w:szCs w:val="22"/>
        </w:rPr>
        <w:t xml:space="preserve">Journal of Advanced  Nursing, </w:t>
      </w:r>
      <w:r w:rsidRPr="00584D74">
        <w:rPr>
          <w:sz w:val="22"/>
          <w:szCs w:val="22"/>
        </w:rPr>
        <w:t>32, 1008-1015</w:t>
      </w:r>
    </w:p>
    <w:p w14:paraId="4CB67B8B" w14:textId="77777777" w:rsidR="00C646D5" w:rsidRPr="00584D74" w:rsidRDefault="00C646D5" w:rsidP="00C646D5">
      <w:pPr>
        <w:spacing w:line="240" w:lineRule="auto"/>
        <w:rPr>
          <w:sz w:val="22"/>
          <w:szCs w:val="22"/>
        </w:rPr>
      </w:pPr>
      <w:r w:rsidRPr="00584D74">
        <w:rPr>
          <w:sz w:val="22"/>
          <w:szCs w:val="22"/>
        </w:rPr>
        <w:t xml:space="preserve">Healthcare Commission NHS Staff Survey. </w:t>
      </w:r>
      <w:hyperlink r:id="rId13" w:history="1">
        <w:r w:rsidRPr="00584D74">
          <w:rPr>
            <w:rStyle w:val="Hyperlink"/>
            <w:sz w:val="22"/>
            <w:szCs w:val="22"/>
          </w:rPr>
          <w:t>www.healthcarecommission.org.uk/nationalfindings/surveys.cfm</w:t>
        </w:r>
      </w:hyperlink>
      <w:r w:rsidRPr="00584D74">
        <w:rPr>
          <w:sz w:val="22"/>
          <w:szCs w:val="22"/>
        </w:rPr>
        <w:t xml:space="preserve">   (accessed 20 November 2006).</w:t>
      </w:r>
    </w:p>
    <w:p w14:paraId="0FAE662E" w14:textId="77777777" w:rsidR="00C646D5" w:rsidRPr="00584D74" w:rsidRDefault="00C646D5" w:rsidP="00C646D5">
      <w:pPr>
        <w:spacing w:line="240" w:lineRule="auto"/>
        <w:rPr>
          <w:rFonts w:cs="Arial"/>
          <w:sz w:val="22"/>
          <w:szCs w:val="22"/>
        </w:rPr>
      </w:pPr>
      <w:r w:rsidRPr="00584D74">
        <w:rPr>
          <w:rFonts w:cs="Arial"/>
          <w:bCs/>
          <w:sz w:val="22"/>
          <w:szCs w:val="22"/>
        </w:rPr>
        <w:t>Helmreich R and</w:t>
      </w:r>
      <w:r w:rsidRPr="00584D74">
        <w:rPr>
          <w:rFonts w:cs="Arial"/>
          <w:sz w:val="22"/>
          <w:szCs w:val="22"/>
        </w:rPr>
        <w:t xml:space="preserve"> Merritt A. (1998) </w:t>
      </w:r>
      <w:r w:rsidRPr="00584D74">
        <w:rPr>
          <w:rFonts w:cs="Arial"/>
          <w:i/>
          <w:sz w:val="22"/>
          <w:szCs w:val="22"/>
        </w:rPr>
        <w:t>Culture at work in aviation and medicine</w:t>
      </w:r>
      <w:r w:rsidRPr="00584D74">
        <w:rPr>
          <w:rFonts w:cs="Arial"/>
          <w:sz w:val="22"/>
          <w:szCs w:val="22"/>
        </w:rPr>
        <w:t>.  Aldershot, Ashgate.</w:t>
      </w:r>
    </w:p>
    <w:p w14:paraId="3092AEA8" w14:textId="77777777" w:rsidR="00C646D5" w:rsidRPr="00584D74" w:rsidRDefault="00C646D5" w:rsidP="00C646D5">
      <w:pPr>
        <w:spacing w:line="240" w:lineRule="auto"/>
        <w:rPr>
          <w:sz w:val="22"/>
          <w:szCs w:val="22"/>
        </w:rPr>
      </w:pPr>
      <w:r w:rsidRPr="00584D74">
        <w:rPr>
          <w:rFonts w:cs="Arial"/>
          <w:sz w:val="22"/>
          <w:szCs w:val="22"/>
        </w:rPr>
        <w:t xml:space="preserve">Hogan H, Healey F, Neale G, Thomson R, Vincent C, &amp; Black N. (2012) Preventable deaths in care in English acute hospitals: a retrospective case record study. </w:t>
      </w:r>
      <w:r w:rsidRPr="00584D74">
        <w:rPr>
          <w:rFonts w:cs="Arial"/>
          <w:i/>
          <w:sz w:val="22"/>
          <w:szCs w:val="22"/>
        </w:rPr>
        <w:t>BMJ Quality and Safety in Health Care</w:t>
      </w:r>
      <w:r w:rsidRPr="00584D74">
        <w:rPr>
          <w:rFonts w:cs="Arial"/>
          <w:sz w:val="22"/>
          <w:szCs w:val="22"/>
        </w:rPr>
        <w:t>. doi:10.1136/bmjqs-2012-001159.</w:t>
      </w:r>
    </w:p>
    <w:p w14:paraId="06432280" w14:textId="77777777" w:rsidR="00C646D5" w:rsidRPr="00584D74" w:rsidRDefault="00C646D5" w:rsidP="00C646D5">
      <w:pPr>
        <w:spacing w:line="240" w:lineRule="auto"/>
        <w:rPr>
          <w:sz w:val="22"/>
          <w:szCs w:val="22"/>
        </w:rPr>
      </w:pPr>
      <w:r w:rsidRPr="00584D74">
        <w:rPr>
          <w:sz w:val="22"/>
          <w:szCs w:val="22"/>
        </w:rPr>
        <w:t xml:space="preserve">Hollnagel E. Resilience: the challenge of the unstable. (2006) </w:t>
      </w:r>
      <w:r w:rsidRPr="00584D74">
        <w:rPr>
          <w:i/>
          <w:sz w:val="22"/>
          <w:szCs w:val="22"/>
        </w:rPr>
        <w:t>in</w:t>
      </w:r>
      <w:r w:rsidRPr="00584D74">
        <w:rPr>
          <w:sz w:val="22"/>
          <w:szCs w:val="22"/>
        </w:rPr>
        <w:t xml:space="preserve"> Hollnagel E </w:t>
      </w:r>
      <w:r w:rsidRPr="00584D74">
        <w:rPr>
          <w:i/>
          <w:sz w:val="22"/>
          <w:szCs w:val="22"/>
        </w:rPr>
        <w:t>et al.</w:t>
      </w:r>
      <w:r w:rsidRPr="00584D74">
        <w:rPr>
          <w:sz w:val="22"/>
          <w:szCs w:val="22"/>
        </w:rPr>
        <w:t xml:space="preserve"> (eds) </w:t>
      </w:r>
      <w:r w:rsidRPr="00584D74">
        <w:rPr>
          <w:i/>
          <w:sz w:val="22"/>
          <w:szCs w:val="22"/>
        </w:rPr>
        <w:t>Resilience Engineering: Concepts and precepts.</w:t>
      </w:r>
      <w:r w:rsidRPr="00584D74">
        <w:rPr>
          <w:sz w:val="22"/>
          <w:szCs w:val="22"/>
        </w:rPr>
        <w:t xml:space="preserve"> Burlington VT, Ashgate Publishing Company. p. 9-17.</w:t>
      </w:r>
    </w:p>
    <w:p w14:paraId="588F3635" w14:textId="77777777" w:rsidR="00C646D5" w:rsidRPr="00584D74" w:rsidRDefault="00C646D5" w:rsidP="00C646D5">
      <w:pPr>
        <w:spacing w:line="240" w:lineRule="auto"/>
        <w:rPr>
          <w:sz w:val="22"/>
          <w:szCs w:val="22"/>
        </w:rPr>
      </w:pPr>
      <w:r w:rsidRPr="00584D74">
        <w:rPr>
          <w:sz w:val="22"/>
          <w:szCs w:val="22"/>
        </w:rPr>
        <w:t xml:space="preserve">Hollnagel E. Making healthcare resilient: from Safety I to Safety II.(2013) </w:t>
      </w:r>
      <w:r w:rsidRPr="00584D74">
        <w:rPr>
          <w:i/>
          <w:sz w:val="22"/>
          <w:szCs w:val="22"/>
        </w:rPr>
        <w:t>In</w:t>
      </w:r>
      <w:r w:rsidRPr="00584D74">
        <w:rPr>
          <w:sz w:val="22"/>
          <w:szCs w:val="22"/>
        </w:rPr>
        <w:t xml:space="preserve"> E Hollnagel </w:t>
      </w:r>
      <w:r w:rsidRPr="00584D74">
        <w:rPr>
          <w:i/>
          <w:sz w:val="22"/>
          <w:szCs w:val="22"/>
        </w:rPr>
        <w:t>et al.</w:t>
      </w:r>
      <w:r w:rsidRPr="00584D74">
        <w:rPr>
          <w:sz w:val="22"/>
          <w:szCs w:val="22"/>
        </w:rPr>
        <w:t xml:space="preserve"> (eds) </w:t>
      </w:r>
      <w:r w:rsidRPr="00584D74">
        <w:rPr>
          <w:i/>
          <w:sz w:val="22"/>
          <w:szCs w:val="22"/>
        </w:rPr>
        <w:t>Resilient Health Care</w:t>
      </w:r>
      <w:r w:rsidRPr="00584D74">
        <w:rPr>
          <w:sz w:val="22"/>
          <w:szCs w:val="22"/>
        </w:rPr>
        <w:t>. Farnham, Ashgate Publishing. p. 3-17.</w:t>
      </w:r>
    </w:p>
    <w:p w14:paraId="091F6174" w14:textId="77777777" w:rsidR="00C646D5" w:rsidRPr="00584D74" w:rsidRDefault="00C646D5" w:rsidP="00C646D5">
      <w:pPr>
        <w:spacing w:line="240" w:lineRule="auto"/>
        <w:rPr>
          <w:rFonts w:cs="Arial"/>
          <w:sz w:val="22"/>
          <w:szCs w:val="22"/>
        </w:rPr>
      </w:pPr>
      <w:r w:rsidRPr="00584D74">
        <w:rPr>
          <w:rFonts w:cs="Arial"/>
          <w:sz w:val="22"/>
          <w:szCs w:val="22"/>
        </w:rPr>
        <w:t xml:space="preserve">Hutchinson A, McIntosh A, Coster JE, Cooper KL, Bath PA, Walters SJ &amp; Pearson M. (2008) When is an event an event? Data from the quality and safety continuum. In: Hignett S </w:t>
      </w:r>
      <w:r w:rsidRPr="00584D74">
        <w:rPr>
          <w:rFonts w:cs="Arial"/>
          <w:i/>
          <w:sz w:val="22"/>
          <w:szCs w:val="22"/>
        </w:rPr>
        <w:t>et al</w:t>
      </w:r>
      <w:r w:rsidRPr="00584D74">
        <w:rPr>
          <w:rFonts w:cs="Arial"/>
          <w:sz w:val="22"/>
          <w:szCs w:val="22"/>
        </w:rPr>
        <w:t xml:space="preserve">.  </w:t>
      </w:r>
      <w:r w:rsidRPr="00584D74">
        <w:rPr>
          <w:rFonts w:cs="Arial"/>
          <w:i/>
          <w:sz w:val="22"/>
          <w:szCs w:val="22"/>
        </w:rPr>
        <w:t>From safe design to safe practice.</w:t>
      </w:r>
      <w:r w:rsidRPr="00584D74">
        <w:rPr>
          <w:rFonts w:cs="Arial"/>
          <w:sz w:val="22"/>
          <w:szCs w:val="22"/>
        </w:rPr>
        <w:t xml:space="preserve"> Cambridge: The Ergonomics Society. p. 179-183. ISBN 978-0-9554225-2-2.</w:t>
      </w:r>
    </w:p>
    <w:p w14:paraId="13EA5C96" w14:textId="77777777" w:rsidR="00C646D5" w:rsidRPr="00584D74" w:rsidRDefault="00C646D5" w:rsidP="00C646D5">
      <w:pPr>
        <w:spacing w:line="240" w:lineRule="auto"/>
        <w:rPr>
          <w:rFonts w:cs="Arial"/>
          <w:sz w:val="22"/>
          <w:szCs w:val="22"/>
        </w:rPr>
      </w:pPr>
      <w:r w:rsidRPr="00584D74">
        <w:rPr>
          <w:rFonts w:cs="Arial"/>
          <w:sz w:val="22"/>
          <w:szCs w:val="22"/>
        </w:rPr>
        <w:t xml:space="preserve">Institute of Medicine. (2000) </w:t>
      </w:r>
      <w:r w:rsidRPr="00584D74">
        <w:rPr>
          <w:rFonts w:cs="Arial"/>
          <w:i/>
          <w:sz w:val="22"/>
          <w:szCs w:val="22"/>
        </w:rPr>
        <w:t>To err is human: building a safer health system</w:t>
      </w:r>
      <w:r w:rsidRPr="00584D74">
        <w:rPr>
          <w:rFonts w:cs="Arial"/>
          <w:sz w:val="22"/>
          <w:szCs w:val="22"/>
        </w:rPr>
        <w:t xml:space="preserve">. Kohn LT </w:t>
      </w:r>
      <w:r w:rsidRPr="00584D74">
        <w:rPr>
          <w:rFonts w:cs="Arial"/>
          <w:i/>
          <w:sz w:val="22"/>
          <w:szCs w:val="22"/>
        </w:rPr>
        <w:t>et al</w:t>
      </w:r>
      <w:r w:rsidRPr="00584D74">
        <w:rPr>
          <w:rFonts w:cs="Arial"/>
          <w:sz w:val="22"/>
          <w:szCs w:val="22"/>
        </w:rPr>
        <w:t xml:space="preserve"> , (eds). Washington, DC: National Academy Press.</w:t>
      </w:r>
    </w:p>
    <w:p w14:paraId="20EE97DF" w14:textId="77777777" w:rsidR="00C646D5" w:rsidRPr="00584D74" w:rsidRDefault="00C646D5" w:rsidP="00C646D5">
      <w:pPr>
        <w:spacing w:line="240" w:lineRule="auto"/>
        <w:rPr>
          <w:sz w:val="22"/>
          <w:szCs w:val="22"/>
        </w:rPr>
      </w:pPr>
      <w:r w:rsidRPr="00003011">
        <w:rPr>
          <w:sz w:val="22"/>
          <w:szCs w:val="22"/>
          <w:lang w:val="fr-FR"/>
        </w:rPr>
        <w:t xml:space="preserve">Jeffcott SA, Ibrahim JE &amp; Cameron PA. </w:t>
      </w:r>
      <w:r w:rsidRPr="00584D74">
        <w:rPr>
          <w:sz w:val="22"/>
          <w:szCs w:val="22"/>
        </w:rPr>
        <w:t xml:space="preserve">(2009) Resilience in health care and clinical handover. </w:t>
      </w:r>
      <w:r w:rsidRPr="00584D74">
        <w:rPr>
          <w:i/>
          <w:sz w:val="22"/>
          <w:szCs w:val="22"/>
        </w:rPr>
        <w:t>Quality and Safety in Health Care</w:t>
      </w:r>
      <w:r w:rsidRPr="00584D74">
        <w:rPr>
          <w:sz w:val="22"/>
          <w:szCs w:val="22"/>
        </w:rPr>
        <w:t>,18, 256-260.</w:t>
      </w:r>
    </w:p>
    <w:p w14:paraId="7C451462" w14:textId="77777777" w:rsidR="00C646D5" w:rsidRPr="00584D74" w:rsidRDefault="00C646D5" w:rsidP="00C646D5">
      <w:pPr>
        <w:spacing w:line="240" w:lineRule="auto"/>
        <w:rPr>
          <w:rFonts w:cs="Arial"/>
          <w:sz w:val="22"/>
          <w:szCs w:val="22"/>
        </w:rPr>
      </w:pPr>
      <w:r w:rsidRPr="00584D74">
        <w:rPr>
          <w:rFonts w:cs="Arial"/>
          <w:sz w:val="22"/>
          <w:szCs w:val="22"/>
        </w:rPr>
        <w:t xml:space="preserve">Kahn KL, Rubenstein LV, Sherwood MJ &amp; Brook RH. (1989) </w:t>
      </w:r>
      <w:r w:rsidRPr="00584D74">
        <w:rPr>
          <w:rFonts w:cs="Arial"/>
          <w:i/>
          <w:sz w:val="22"/>
          <w:szCs w:val="22"/>
        </w:rPr>
        <w:t>Structured Implicit Review for Physician Implicit Measurement of Quality of Care: Development of the Form and Guidelines for Its Use.</w:t>
      </w:r>
      <w:r w:rsidRPr="00584D74">
        <w:rPr>
          <w:rFonts w:cs="Arial"/>
          <w:sz w:val="22"/>
          <w:szCs w:val="22"/>
        </w:rPr>
        <w:t xml:space="preserve"> California, Rand Corporation.</w:t>
      </w:r>
    </w:p>
    <w:p w14:paraId="012BF3A8" w14:textId="77777777" w:rsidR="00C646D5" w:rsidRPr="00584D74" w:rsidRDefault="00C646D5" w:rsidP="00C646D5">
      <w:pPr>
        <w:spacing w:line="240" w:lineRule="auto"/>
        <w:rPr>
          <w:rFonts w:cs="Arial"/>
          <w:sz w:val="22"/>
          <w:szCs w:val="22"/>
        </w:rPr>
      </w:pPr>
      <w:r w:rsidRPr="00584D74">
        <w:rPr>
          <w:rFonts w:cs="Arial"/>
          <w:sz w:val="22"/>
          <w:szCs w:val="22"/>
        </w:rPr>
        <w:t xml:space="preserve">Karnon J, McIntosh A, Dean JE, Bath PA, Hutchinson A, Oakley J, Thomas N, Pratt P, Freeman-Parry L, Karsh B-T, Gandhi T &amp; Tappenden P. (2007) A prospective hazard and improvement analytic approach to predicting the effectiveness of medication error interventions.  </w:t>
      </w:r>
      <w:r w:rsidRPr="00584D74">
        <w:rPr>
          <w:rFonts w:cs="Arial"/>
          <w:i/>
          <w:sz w:val="22"/>
          <w:szCs w:val="22"/>
        </w:rPr>
        <w:t>Safety Science,</w:t>
      </w:r>
      <w:r w:rsidRPr="00584D74">
        <w:rPr>
          <w:rFonts w:cs="Arial"/>
          <w:sz w:val="22"/>
          <w:szCs w:val="22"/>
        </w:rPr>
        <w:t xml:space="preserve"> 45, 523-539.</w:t>
      </w:r>
    </w:p>
    <w:p w14:paraId="0E2F37D8" w14:textId="77777777" w:rsidR="00C646D5" w:rsidRPr="00584D74" w:rsidRDefault="00C646D5" w:rsidP="00C646D5">
      <w:pPr>
        <w:spacing w:line="240" w:lineRule="auto"/>
        <w:rPr>
          <w:rFonts w:cs="Arial"/>
          <w:sz w:val="22"/>
          <w:szCs w:val="22"/>
        </w:rPr>
      </w:pPr>
      <w:r w:rsidRPr="00584D74">
        <w:rPr>
          <w:rFonts w:cs="Arial"/>
          <w:sz w:val="22"/>
          <w:szCs w:val="22"/>
        </w:rPr>
        <w:t xml:space="preserve">Kessels-Habraken M, Van Der Schaff T, De Jonge J, Rutte C &amp; Kerkvliet K. (2009) Integration of prospective and retrospective methods for risk analysis in hospitals. </w:t>
      </w:r>
      <w:r w:rsidRPr="00584D74">
        <w:rPr>
          <w:rFonts w:cs="Arial"/>
          <w:i/>
          <w:sz w:val="22"/>
          <w:szCs w:val="22"/>
        </w:rPr>
        <w:t>International Journal for Quality in Health Care</w:t>
      </w:r>
      <w:r w:rsidRPr="00584D74">
        <w:rPr>
          <w:rFonts w:cs="Arial"/>
          <w:sz w:val="22"/>
          <w:szCs w:val="22"/>
        </w:rPr>
        <w:t>, 21,427-432.</w:t>
      </w:r>
    </w:p>
    <w:p w14:paraId="447E1BB5" w14:textId="77777777" w:rsidR="00C646D5" w:rsidRPr="00584D74" w:rsidRDefault="00C646D5" w:rsidP="00C646D5">
      <w:pPr>
        <w:spacing w:line="240" w:lineRule="auto"/>
        <w:rPr>
          <w:sz w:val="22"/>
          <w:szCs w:val="22"/>
        </w:rPr>
      </w:pPr>
      <w:r w:rsidRPr="00584D74">
        <w:rPr>
          <w:sz w:val="22"/>
          <w:szCs w:val="22"/>
        </w:rPr>
        <w:lastRenderedPageBreak/>
        <w:t xml:space="preserve">Landrigan CP, Parry GP, Bones CB, Hackbarth AD, Goldman DA &amp; Sharek PJ. (2010) Temporal trends in rates of patient harm resulting from medical care. </w:t>
      </w:r>
      <w:r w:rsidRPr="00584D74">
        <w:rPr>
          <w:i/>
          <w:sz w:val="22"/>
          <w:szCs w:val="22"/>
        </w:rPr>
        <w:t>New England Journal of Medicine</w:t>
      </w:r>
      <w:r w:rsidRPr="00584D74">
        <w:rPr>
          <w:sz w:val="22"/>
          <w:szCs w:val="22"/>
        </w:rPr>
        <w:t>, 362, 2124-2134.</w:t>
      </w:r>
    </w:p>
    <w:p w14:paraId="34F9C39C" w14:textId="77777777" w:rsidR="00C646D5" w:rsidRPr="00584D74" w:rsidRDefault="00C646D5" w:rsidP="00C646D5">
      <w:pPr>
        <w:spacing w:line="240" w:lineRule="auto"/>
        <w:rPr>
          <w:sz w:val="22"/>
          <w:szCs w:val="22"/>
        </w:rPr>
      </w:pPr>
      <w:r w:rsidRPr="00584D74">
        <w:rPr>
          <w:sz w:val="22"/>
          <w:szCs w:val="22"/>
        </w:rPr>
        <w:t xml:space="preserve">Linken DR, Sausman C, Santos L, Lyons C, Fox C, Saumiller L, Esterhai J, Pittman B &amp; Lautenbach E. (2005) Applicability of healthcare failure mode and effects analysis to healthcare epidemiology: evaluation of the sterilisation and use of surgical instruments. </w:t>
      </w:r>
      <w:r w:rsidRPr="00584D74">
        <w:rPr>
          <w:i/>
          <w:sz w:val="22"/>
          <w:szCs w:val="22"/>
        </w:rPr>
        <w:t xml:space="preserve">Clinical Infectious Diseases, </w:t>
      </w:r>
      <w:r w:rsidRPr="00584D74">
        <w:rPr>
          <w:sz w:val="22"/>
          <w:szCs w:val="22"/>
        </w:rPr>
        <w:t>4,1014-1019.</w:t>
      </w:r>
    </w:p>
    <w:p w14:paraId="6CD21987" w14:textId="77777777" w:rsidR="00C646D5" w:rsidRPr="00584D74" w:rsidRDefault="00C646D5" w:rsidP="00C646D5">
      <w:pPr>
        <w:spacing w:line="240" w:lineRule="auto"/>
        <w:rPr>
          <w:sz w:val="22"/>
          <w:szCs w:val="22"/>
        </w:rPr>
      </w:pPr>
      <w:r w:rsidRPr="00584D74">
        <w:rPr>
          <w:sz w:val="22"/>
          <w:szCs w:val="22"/>
        </w:rPr>
        <w:t xml:space="preserve">McNallyKM, Page MA &amp; Sunderland BV. (1997)  Failure-mode and effects analysis in improving a drug distribution system. </w:t>
      </w:r>
      <w:r w:rsidRPr="00584D74">
        <w:rPr>
          <w:i/>
          <w:sz w:val="22"/>
          <w:szCs w:val="22"/>
        </w:rPr>
        <w:t>American Journal for Health-System Pharmacists</w:t>
      </w:r>
      <w:r w:rsidRPr="00584D74">
        <w:rPr>
          <w:sz w:val="22"/>
          <w:szCs w:val="22"/>
        </w:rPr>
        <w:t>, 54, 171-177.</w:t>
      </w:r>
    </w:p>
    <w:p w14:paraId="532A326C" w14:textId="77777777" w:rsidR="00C646D5" w:rsidRPr="00584D74" w:rsidRDefault="00C646D5" w:rsidP="00C646D5">
      <w:pPr>
        <w:spacing w:line="240" w:lineRule="auto"/>
        <w:rPr>
          <w:sz w:val="22"/>
          <w:szCs w:val="22"/>
        </w:rPr>
      </w:pPr>
      <w:r w:rsidRPr="00584D74">
        <w:rPr>
          <w:sz w:val="22"/>
          <w:szCs w:val="22"/>
        </w:rPr>
        <w:t xml:space="preserve">Nemeth CP, Nunnally M, O’Connor MF, Brandwijk M, Kowalsky J &amp; Cook RI. (2007) Regularly irregular: how groups reconcile cross-cutting agendas and demand in healthcare. </w:t>
      </w:r>
      <w:r w:rsidRPr="00584D74">
        <w:rPr>
          <w:i/>
          <w:sz w:val="22"/>
          <w:szCs w:val="22"/>
        </w:rPr>
        <w:t>Cognition, Technology and Work,</w:t>
      </w:r>
      <w:r w:rsidRPr="00584D74">
        <w:rPr>
          <w:sz w:val="22"/>
          <w:szCs w:val="22"/>
        </w:rPr>
        <w:t xml:space="preserve"> doi:10.1007/s10111-006-0058-4.</w:t>
      </w:r>
    </w:p>
    <w:p w14:paraId="14DD461C" w14:textId="77777777" w:rsidR="00C646D5" w:rsidRPr="00584D74" w:rsidRDefault="00C646D5" w:rsidP="00C646D5">
      <w:pPr>
        <w:spacing w:line="240" w:lineRule="auto"/>
        <w:rPr>
          <w:sz w:val="22"/>
          <w:szCs w:val="22"/>
        </w:rPr>
      </w:pPr>
      <w:r w:rsidRPr="00584D74">
        <w:rPr>
          <w:sz w:val="22"/>
          <w:szCs w:val="22"/>
        </w:rPr>
        <w:t xml:space="preserve">Nemeth C, Wears R, Woods D, Hollnagel E, Cook R. (2008a). Minding the gaps: Creating resilience in healthcare. </w:t>
      </w:r>
      <w:r w:rsidRPr="00584D74">
        <w:rPr>
          <w:i/>
          <w:sz w:val="22"/>
          <w:szCs w:val="22"/>
        </w:rPr>
        <w:t>in</w:t>
      </w:r>
      <w:r w:rsidRPr="00584D74">
        <w:rPr>
          <w:sz w:val="22"/>
          <w:szCs w:val="22"/>
        </w:rPr>
        <w:t xml:space="preserve"> K Henriksen (eds) </w:t>
      </w:r>
      <w:r w:rsidRPr="00584D74">
        <w:rPr>
          <w:i/>
          <w:sz w:val="22"/>
          <w:szCs w:val="22"/>
        </w:rPr>
        <w:t>Advances in Patient Safety: New directions and alternative approaches.</w:t>
      </w:r>
      <w:r w:rsidRPr="00584D74">
        <w:rPr>
          <w:sz w:val="22"/>
          <w:szCs w:val="22"/>
        </w:rPr>
        <w:t xml:space="preserve"> Vol. 3. Performance and tools. AHRQ Publication No. 08-0034-3. Rockville, MD, Agency for Healthcare Research and Quality. p. 259-271.</w:t>
      </w:r>
    </w:p>
    <w:p w14:paraId="07D750BB" w14:textId="77777777" w:rsidR="00C646D5" w:rsidRPr="00584D74" w:rsidRDefault="00C646D5" w:rsidP="00C646D5">
      <w:pPr>
        <w:spacing w:line="240" w:lineRule="auto"/>
        <w:rPr>
          <w:sz w:val="22"/>
          <w:szCs w:val="22"/>
        </w:rPr>
      </w:pPr>
      <w:r w:rsidRPr="00584D74">
        <w:rPr>
          <w:sz w:val="22"/>
          <w:szCs w:val="22"/>
        </w:rPr>
        <w:t xml:space="preserve">Nemeth CP, Cook RI &amp; Woods DD. (2004)  The messy details: insights from the study of technical work in healthcare. </w:t>
      </w:r>
      <w:r w:rsidRPr="00584D74">
        <w:rPr>
          <w:i/>
          <w:sz w:val="22"/>
          <w:szCs w:val="22"/>
        </w:rPr>
        <w:t>IEE Transactions on systems, man and cybernetics. Part A: systems and humans</w:t>
      </w:r>
      <w:r w:rsidRPr="00584D74">
        <w:rPr>
          <w:sz w:val="22"/>
          <w:szCs w:val="22"/>
        </w:rPr>
        <w:t>, 34, 689-692.</w:t>
      </w:r>
    </w:p>
    <w:p w14:paraId="6A40BE05" w14:textId="77777777" w:rsidR="00C646D5" w:rsidRPr="00584D74" w:rsidRDefault="00C646D5" w:rsidP="00C646D5">
      <w:pPr>
        <w:spacing w:line="240" w:lineRule="auto"/>
        <w:rPr>
          <w:i/>
          <w:sz w:val="22"/>
          <w:szCs w:val="22"/>
        </w:rPr>
      </w:pPr>
      <w:r w:rsidRPr="00584D74">
        <w:rPr>
          <w:sz w:val="22"/>
          <w:szCs w:val="22"/>
        </w:rPr>
        <w:t xml:space="preserve">Nemeth C, Walter J, Wears R &amp; Cook RI. (2008b) The path to resilience in ambulatory care.  </w:t>
      </w:r>
      <w:hyperlink r:id="rId14" w:history="1">
        <w:r w:rsidRPr="00584D74">
          <w:rPr>
            <w:rStyle w:val="Hyperlink"/>
            <w:sz w:val="22"/>
            <w:szCs w:val="22"/>
          </w:rPr>
          <w:t>http://www.ctlab.org/documents/AHRQ-PathToResillInAmbCare-Sep08.pdf</w:t>
        </w:r>
      </w:hyperlink>
      <w:r w:rsidRPr="00584D74">
        <w:rPr>
          <w:sz w:val="22"/>
          <w:szCs w:val="22"/>
        </w:rPr>
        <w:t xml:space="preserve">    </w:t>
      </w:r>
      <w:r w:rsidRPr="00584D74">
        <w:rPr>
          <w:i/>
          <w:sz w:val="22"/>
          <w:szCs w:val="22"/>
        </w:rPr>
        <w:t>Accessed 22/01/14.</w:t>
      </w:r>
    </w:p>
    <w:p w14:paraId="50C6A679" w14:textId="77777777" w:rsidR="00C646D5" w:rsidRPr="00584D74" w:rsidRDefault="00C646D5" w:rsidP="00C646D5">
      <w:pPr>
        <w:spacing w:line="240" w:lineRule="auto"/>
        <w:rPr>
          <w:sz w:val="22"/>
          <w:szCs w:val="22"/>
        </w:rPr>
      </w:pPr>
      <w:r w:rsidRPr="00584D74">
        <w:rPr>
          <w:sz w:val="22"/>
          <w:szCs w:val="22"/>
        </w:rPr>
        <w:t xml:space="preserve">Nemeth C, Wears RL &amp; Cook R. (2011) Resilience is not control: healthcare, crisis management, and ICT. </w:t>
      </w:r>
      <w:r w:rsidRPr="00584D74">
        <w:rPr>
          <w:i/>
          <w:sz w:val="22"/>
          <w:szCs w:val="22"/>
        </w:rPr>
        <w:t>Cognition, Technology and Work</w:t>
      </w:r>
      <w:r w:rsidRPr="00584D74">
        <w:rPr>
          <w:sz w:val="22"/>
          <w:szCs w:val="22"/>
        </w:rPr>
        <w:t xml:space="preserve">,  doi 10.1007/s10111-011-0174-7. </w:t>
      </w:r>
    </w:p>
    <w:p w14:paraId="6FED55EF" w14:textId="77777777" w:rsidR="00C646D5" w:rsidRPr="00584D74" w:rsidRDefault="00C646D5" w:rsidP="00C646D5">
      <w:pPr>
        <w:spacing w:line="240" w:lineRule="auto"/>
        <w:rPr>
          <w:sz w:val="22"/>
          <w:szCs w:val="22"/>
        </w:rPr>
      </w:pPr>
      <w:r w:rsidRPr="00584D74">
        <w:rPr>
          <w:sz w:val="22"/>
          <w:szCs w:val="22"/>
        </w:rPr>
        <w:t xml:space="preserve">Nicholl J, Jaques R &amp; Campbell MJ. (2013) Mortality indicators used to rank hospital performance; should include deaths after discharge. </w:t>
      </w:r>
      <w:r w:rsidRPr="00584D74">
        <w:rPr>
          <w:i/>
          <w:sz w:val="22"/>
          <w:szCs w:val="22"/>
        </w:rPr>
        <w:t>British Medical Journal</w:t>
      </w:r>
      <w:r w:rsidRPr="00584D74">
        <w:rPr>
          <w:sz w:val="22"/>
          <w:szCs w:val="22"/>
        </w:rPr>
        <w:t>, 347, f5952.</w:t>
      </w:r>
    </w:p>
    <w:p w14:paraId="7F0693D4" w14:textId="77777777" w:rsidR="00C646D5" w:rsidRPr="00584D74" w:rsidRDefault="00C646D5" w:rsidP="00C646D5">
      <w:pPr>
        <w:spacing w:line="240" w:lineRule="auto"/>
        <w:rPr>
          <w:sz w:val="22"/>
          <w:szCs w:val="22"/>
        </w:rPr>
      </w:pPr>
      <w:r w:rsidRPr="00584D74">
        <w:rPr>
          <w:sz w:val="22"/>
          <w:szCs w:val="22"/>
        </w:rPr>
        <w:t xml:space="preserve">Nieva VF, Sorra J. (2003) Safety culture assessment: a tool for improving patient safety in organisations. </w:t>
      </w:r>
      <w:r w:rsidRPr="00584D74">
        <w:rPr>
          <w:i/>
          <w:sz w:val="22"/>
          <w:szCs w:val="22"/>
        </w:rPr>
        <w:t xml:space="preserve">Quality and Safety in Health Care, </w:t>
      </w:r>
      <w:r w:rsidRPr="00584D74">
        <w:rPr>
          <w:sz w:val="22"/>
          <w:szCs w:val="22"/>
        </w:rPr>
        <w:t xml:space="preserve">12, ii17-23. </w:t>
      </w:r>
    </w:p>
    <w:p w14:paraId="3A621C55" w14:textId="77777777" w:rsidR="00C646D5" w:rsidRPr="00584D74" w:rsidRDefault="00C646D5" w:rsidP="00C646D5">
      <w:pPr>
        <w:spacing w:line="240" w:lineRule="auto"/>
        <w:rPr>
          <w:rFonts w:eastAsia="Calibri"/>
          <w:sz w:val="22"/>
          <w:szCs w:val="22"/>
        </w:rPr>
      </w:pPr>
      <w:r w:rsidRPr="00584D74">
        <w:rPr>
          <w:rFonts w:eastAsia="Calibri"/>
          <w:sz w:val="22"/>
          <w:szCs w:val="22"/>
        </w:rPr>
        <w:t>O’Hara R, O’Keefe C, Mason S, Coster JE</w:t>
      </w:r>
      <w:r w:rsidRPr="00584D74">
        <w:rPr>
          <w:sz w:val="22"/>
          <w:szCs w:val="22"/>
        </w:rPr>
        <w:t xml:space="preserve"> &amp;</w:t>
      </w:r>
      <w:r w:rsidRPr="00584D74">
        <w:rPr>
          <w:rFonts w:eastAsia="Calibri"/>
          <w:sz w:val="22"/>
          <w:szCs w:val="22"/>
        </w:rPr>
        <w:t xml:space="preserve"> Hutchinson A. </w:t>
      </w:r>
      <w:r w:rsidRPr="00584D74">
        <w:rPr>
          <w:sz w:val="22"/>
          <w:szCs w:val="22"/>
        </w:rPr>
        <w:t xml:space="preserve">(2010) </w:t>
      </w:r>
      <w:r w:rsidRPr="00584D74">
        <w:rPr>
          <w:rFonts w:eastAsia="Calibri"/>
          <w:sz w:val="22"/>
          <w:szCs w:val="22"/>
        </w:rPr>
        <w:t xml:space="preserve">Quality and safety of care provided by emergency care practitioners. </w:t>
      </w:r>
      <w:r w:rsidRPr="00584D74">
        <w:rPr>
          <w:rFonts w:eastAsia="Calibri"/>
          <w:i/>
          <w:sz w:val="22"/>
          <w:szCs w:val="22"/>
        </w:rPr>
        <w:t>Emergency Medicine Journal</w:t>
      </w:r>
      <w:r w:rsidRPr="00584D74">
        <w:rPr>
          <w:sz w:val="22"/>
          <w:szCs w:val="22"/>
        </w:rPr>
        <w:t>,</w:t>
      </w:r>
      <w:r w:rsidRPr="00584D74">
        <w:rPr>
          <w:rFonts w:eastAsia="Calibri"/>
          <w:sz w:val="22"/>
          <w:szCs w:val="22"/>
        </w:rPr>
        <w:t xml:space="preserve"> doi: 10.1136/emj.2010.104190</w:t>
      </w:r>
      <w:r w:rsidRPr="00584D74">
        <w:rPr>
          <w:sz w:val="22"/>
          <w:szCs w:val="22"/>
        </w:rPr>
        <w:t>.</w:t>
      </w:r>
    </w:p>
    <w:p w14:paraId="60E5CD82" w14:textId="77777777" w:rsidR="00C646D5" w:rsidRPr="00584D74" w:rsidRDefault="00C646D5" w:rsidP="00C646D5">
      <w:pPr>
        <w:spacing w:line="240" w:lineRule="auto"/>
        <w:rPr>
          <w:sz w:val="22"/>
          <w:szCs w:val="22"/>
        </w:rPr>
      </w:pPr>
      <w:r w:rsidRPr="00584D74">
        <w:rPr>
          <w:sz w:val="22"/>
          <w:szCs w:val="22"/>
        </w:rPr>
        <w:t xml:space="preserve">Patterson ES, Cook RI, Woods DD &amp; Render ML. Gaps and resilience. </w:t>
      </w:r>
      <w:r w:rsidRPr="00584D74">
        <w:rPr>
          <w:i/>
          <w:sz w:val="22"/>
          <w:szCs w:val="22"/>
        </w:rPr>
        <w:t>In</w:t>
      </w:r>
      <w:r w:rsidRPr="00584D74">
        <w:rPr>
          <w:sz w:val="22"/>
          <w:szCs w:val="22"/>
        </w:rPr>
        <w:t xml:space="preserve"> Bogner MS, (ed.) </w:t>
      </w:r>
      <w:r w:rsidRPr="00584D74">
        <w:rPr>
          <w:i/>
          <w:sz w:val="22"/>
          <w:szCs w:val="22"/>
        </w:rPr>
        <w:t>Human error in medicine (2</w:t>
      </w:r>
      <w:r w:rsidRPr="00584D74">
        <w:rPr>
          <w:i/>
          <w:sz w:val="22"/>
          <w:szCs w:val="22"/>
          <w:vertAlign w:val="superscript"/>
        </w:rPr>
        <w:t>nd</w:t>
      </w:r>
      <w:r w:rsidRPr="00584D74">
        <w:rPr>
          <w:i/>
          <w:sz w:val="22"/>
          <w:szCs w:val="22"/>
        </w:rPr>
        <w:t xml:space="preserve"> Edition)</w:t>
      </w:r>
      <w:r w:rsidRPr="00584D74">
        <w:rPr>
          <w:sz w:val="22"/>
          <w:szCs w:val="22"/>
        </w:rPr>
        <w:t xml:space="preserve"> Hilldale NJ, Lawrence Erlbaum Associates (</w:t>
      </w:r>
      <w:r w:rsidRPr="00584D74">
        <w:rPr>
          <w:i/>
          <w:sz w:val="22"/>
          <w:szCs w:val="22"/>
        </w:rPr>
        <w:t>in press</w:t>
      </w:r>
      <w:r w:rsidRPr="00584D74">
        <w:rPr>
          <w:sz w:val="22"/>
          <w:szCs w:val="22"/>
        </w:rPr>
        <w:t>).</w:t>
      </w:r>
    </w:p>
    <w:p w14:paraId="6B09CBE4" w14:textId="77777777" w:rsidR="00C646D5" w:rsidRPr="00584D74" w:rsidRDefault="002770D3" w:rsidP="00C646D5">
      <w:pPr>
        <w:spacing w:line="240" w:lineRule="auto"/>
        <w:rPr>
          <w:sz w:val="22"/>
          <w:szCs w:val="22"/>
        </w:rPr>
      </w:pPr>
      <w:hyperlink r:id="rId15" w:history="1">
        <w:r w:rsidR="00C646D5" w:rsidRPr="00584D74">
          <w:rPr>
            <w:rStyle w:val="Hyperlink"/>
            <w:sz w:val="22"/>
            <w:szCs w:val="22"/>
          </w:rPr>
          <w:t>http://www.ctlab.org/documents/heinmedv26-gaps%20and%20resilience.pdf</w:t>
        </w:r>
      </w:hyperlink>
      <w:r w:rsidR="00C646D5" w:rsidRPr="00584D74">
        <w:rPr>
          <w:sz w:val="22"/>
          <w:szCs w:val="22"/>
        </w:rPr>
        <w:t xml:space="preserve">  </w:t>
      </w:r>
    </w:p>
    <w:p w14:paraId="71DFD798" w14:textId="77777777" w:rsidR="00C646D5" w:rsidRPr="00584D74" w:rsidRDefault="00C646D5" w:rsidP="00C646D5">
      <w:pPr>
        <w:spacing w:line="240" w:lineRule="auto"/>
        <w:rPr>
          <w:i/>
          <w:sz w:val="22"/>
          <w:szCs w:val="22"/>
        </w:rPr>
      </w:pPr>
      <w:r w:rsidRPr="00584D74">
        <w:rPr>
          <w:i/>
          <w:sz w:val="22"/>
          <w:szCs w:val="22"/>
        </w:rPr>
        <w:t>accessed 22/1/14</w:t>
      </w:r>
    </w:p>
    <w:p w14:paraId="335EE678" w14:textId="77777777" w:rsidR="00C646D5" w:rsidRPr="00584D74" w:rsidRDefault="00C646D5" w:rsidP="00C646D5">
      <w:pPr>
        <w:spacing w:line="240" w:lineRule="auto"/>
        <w:rPr>
          <w:rFonts w:cs="Arial"/>
          <w:sz w:val="22"/>
          <w:szCs w:val="22"/>
        </w:rPr>
      </w:pPr>
      <w:r w:rsidRPr="00584D74">
        <w:rPr>
          <w:rFonts w:cs="Arial"/>
          <w:sz w:val="22"/>
          <w:szCs w:val="22"/>
        </w:rPr>
        <w:t xml:space="preserve">Pearson ML, Lee JL, Chang BL, Elliott M, Kahn KL &amp; Rubenstein LV. (2000) Structured implicit review: a new method for monitoring nursing care quality. </w:t>
      </w:r>
      <w:r w:rsidRPr="00584D74">
        <w:rPr>
          <w:rFonts w:cs="Arial"/>
          <w:i/>
          <w:sz w:val="22"/>
          <w:szCs w:val="22"/>
        </w:rPr>
        <w:t>Medical Care,</w:t>
      </w:r>
      <w:r w:rsidRPr="00584D74">
        <w:rPr>
          <w:rFonts w:cs="Arial"/>
          <w:sz w:val="22"/>
          <w:szCs w:val="22"/>
        </w:rPr>
        <w:t xml:space="preserve"> 38, 1074-1091.</w:t>
      </w:r>
    </w:p>
    <w:p w14:paraId="5ABC53FF" w14:textId="77777777" w:rsidR="00C646D5" w:rsidRPr="00584D74" w:rsidRDefault="00C646D5" w:rsidP="00C646D5">
      <w:pPr>
        <w:spacing w:line="240" w:lineRule="auto"/>
        <w:rPr>
          <w:sz w:val="22"/>
          <w:szCs w:val="22"/>
        </w:rPr>
      </w:pPr>
      <w:r w:rsidRPr="00584D74">
        <w:rPr>
          <w:sz w:val="22"/>
          <w:szCs w:val="22"/>
        </w:rPr>
        <w:t xml:space="preserve">Perrow C. (1999) </w:t>
      </w:r>
      <w:r w:rsidRPr="00584D74">
        <w:rPr>
          <w:i/>
          <w:sz w:val="22"/>
          <w:szCs w:val="22"/>
        </w:rPr>
        <w:t>Normal accidents: living with high-risk technologies.</w:t>
      </w:r>
      <w:r w:rsidRPr="00584D74">
        <w:rPr>
          <w:sz w:val="22"/>
          <w:szCs w:val="22"/>
        </w:rPr>
        <w:t xml:space="preserve">  Princeton, NJ. Princeton University Press.</w:t>
      </w:r>
    </w:p>
    <w:p w14:paraId="05EF45A4" w14:textId="77777777" w:rsidR="00C646D5" w:rsidRPr="00584D74" w:rsidRDefault="00C646D5" w:rsidP="00C646D5">
      <w:pPr>
        <w:spacing w:line="240" w:lineRule="auto"/>
        <w:rPr>
          <w:rFonts w:cs="Arial"/>
          <w:sz w:val="22"/>
          <w:szCs w:val="22"/>
        </w:rPr>
      </w:pPr>
      <w:r w:rsidRPr="00584D74">
        <w:rPr>
          <w:rFonts w:cs="Arial"/>
          <w:sz w:val="22"/>
          <w:szCs w:val="22"/>
        </w:rPr>
        <w:lastRenderedPageBreak/>
        <w:t xml:space="preserve">Pitches DW, Mohammed MA &amp; Lilford RJ.  (2007) What is the empirical evidence that hospitals with higher-risk adjusted mortality rates provide poorer quality care?  A systematic review of the literature.  </w:t>
      </w:r>
      <w:r w:rsidRPr="00584D74">
        <w:rPr>
          <w:rFonts w:cs="Arial"/>
          <w:i/>
          <w:sz w:val="22"/>
          <w:szCs w:val="22"/>
        </w:rPr>
        <w:t>BMC Health Services Research</w:t>
      </w:r>
      <w:r w:rsidRPr="00584D74">
        <w:rPr>
          <w:rFonts w:cs="Arial"/>
          <w:sz w:val="22"/>
          <w:szCs w:val="22"/>
        </w:rPr>
        <w:t xml:space="preserve">, 7, 91.  </w:t>
      </w:r>
    </w:p>
    <w:p w14:paraId="474F5C8D" w14:textId="77777777" w:rsidR="00C646D5" w:rsidRPr="00584D74" w:rsidRDefault="00C646D5" w:rsidP="00C646D5">
      <w:pPr>
        <w:spacing w:line="240" w:lineRule="auto"/>
        <w:rPr>
          <w:sz w:val="22"/>
          <w:szCs w:val="22"/>
        </w:rPr>
      </w:pPr>
      <w:r w:rsidRPr="00584D74">
        <w:rPr>
          <w:sz w:val="22"/>
          <w:szCs w:val="22"/>
        </w:rPr>
        <w:t xml:space="preserve">Rankin A, Lundberg J &amp; Woltjer R. (2011) </w:t>
      </w:r>
      <w:r w:rsidRPr="00584D74">
        <w:rPr>
          <w:i/>
          <w:sz w:val="22"/>
          <w:szCs w:val="22"/>
        </w:rPr>
        <w:t>Resilience strategies across industries for managing everyday risks. Fourth Resilience Engineering International Symposium.</w:t>
      </w:r>
      <w:r w:rsidRPr="00584D74">
        <w:rPr>
          <w:sz w:val="22"/>
          <w:szCs w:val="22"/>
        </w:rPr>
        <w:t xml:space="preserve"> Sophia Antipolis, France.  URL. </w:t>
      </w:r>
      <w:hyperlink r:id="rId16" w:history="1">
        <w:r w:rsidRPr="00584D74">
          <w:rPr>
            <w:rStyle w:val="Hyperlink"/>
            <w:sz w:val="22"/>
            <w:szCs w:val="22"/>
          </w:rPr>
          <w:t>http://urn.kb.se/resolve?urn=urn:se:liu:diva-80325</w:t>
        </w:r>
      </w:hyperlink>
      <w:r w:rsidRPr="00584D74">
        <w:rPr>
          <w:sz w:val="22"/>
          <w:szCs w:val="22"/>
        </w:rPr>
        <w:t xml:space="preserve"> Accessed 20/01/2014</w:t>
      </w:r>
    </w:p>
    <w:p w14:paraId="4A9E5AFF" w14:textId="77777777" w:rsidR="00C646D5" w:rsidRPr="00584D74" w:rsidRDefault="00C646D5" w:rsidP="00C646D5">
      <w:pPr>
        <w:spacing w:line="240" w:lineRule="auto"/>
        <w:rPr>
          <w:sz w:val="22"/>
          <w:szCs w:val="22"/>
        </w:rPr>
      </w:pPr>
      <w:r w:rsidRPr="00584D74">
        <w:rPr>
          <w:sz w:val="22"/>
          <w:szCs w:val="22"/>
        </w:rPr>
        <w:t xml:space="preserve">Reason, J. (1990)  </w:t>
      </w:r>
      <w:r w:rsidRPr="00584D74">
        <w:rPr>
          <w:i/>
          <w:sz w:val="22"/>
          <w:szCs w:val="22"/>
        </w:rPr>
        <w:t>Human Error.</w:t>
      </w:r>
      <w:r w:rsidRPr="00584D74">
        <w:rPr>
          <w:sz w:val="22"/>
          <w:szCs w:val="22"/>
        </w:rPr>
        <w:t xml:space="preserve"> New York, NY, Cambridge University Press.</w:t>
      </w:r>
    </w:p>
    <w:p w14:paraId="3815D74E" w14:textId="77777777" w:rsidR="00C646D5" w:rsidRPr="00584D74" w:rsidRDefault="00C646D5" w:rsidP="00C646D5">
      <w:pPr>
        <w:spacing w:line="240" w:lineRule="auto"/>
        <w:rPr>
          <w:sz w:val="22"/>
          <w:szCs w:val="22"/>
        </w:rPr>
      </w:pPr>
      <w:r w:rsidRPr="00584D74">
        <w:rPr>
          <w:sz w:val="22"/>
          <w:szCs w:val="22"/>
        </w:rPr>
        <w:t xml:space="preserve">Reason J. (1997) </w:t>
      </w:r>
      <w:r w:rsidRPr="00584D74">
        <w:rPr>
          <w:i/>
          <w:sz w:val="22"/>
          <w:szCs w:val="22"/>
        </w:rPr>
        <w:t>Managing the risks of organisational accidents</w:t>
      </w:r>
      <w:r w:rsidRPr="00584D74">
        <w:rPr>
          <w:sz w:val="22"/>
          <w:szCs w:val="22"/>
        </w:rPr>
        <w:t>. Farnham: Ashgate Publishing.</w:t>
      </w:r>
    </w:p>
    <w:p w14:paraId="38F1B00A" w14:textId="77777777" w:rsidR="00C646D5" w:rsidRPr="00584D74" w:rsidRDefault="00C646D5" w:rsidP="00C646D5">
      <w:pPr>
        <w:spacing w:line="240" w:lineRule="auto"/>
        <w:rPr>
          <w:sz w:val="22"/>
          <w:szCs w:val="22"/>
        </w:rPr>
      </w:pPr>
      <w:r w:rsidRPr="00584D74">
        <w:rPr>
          <w:sz w:val="22"/>
          <w:szCs w:val="22"/>
        </w:rPr>
        <w:t xml:space="preserve">Reason J. (2000)  Human Error: models and management. </w:t>
      </w:r>
      <w:r w:rsidRPr="00584D74">
        <w:rPr>
          <w:i/>
          <w:sz w:val="22"/>
          <w:szCs w:val="22"/>
        </w:rPr>
        <w:t>British Medical Journal</w:t>
      </w:r>
      <w:r w:rsidRPr="00584D74">
        <w:rPr>
          <w:sz w:val="22"/>
          <w:szCs w:val="22"/>
        </w:rPr>
        <w:t>, 320,768-770.</w:t>
      </w:r>
    </w:p>
    <w:p w14:paraId="2AFB4E45" w14:textId="77777777" w:rsidR="00C646D5" w:rsidRPr="00584D74" w:rsidRDefault="00C646D5" w:rsidP="00C646D5">
      <w:pPr>
        <w:spacing w:line="240" w:lineRule="auto"/>
        <w:rPr>
          <w:sz w:val="22"/>
          <w:szCs w:val="22"/>
        </w:rPr>
      </w:pPr>
      <w:r w:rsidRPr="00584D74">
        <w:rPr>
          <w:sz w:val="22"/>
          <w:szCs w:val="22"/>
        </w:rPr>
        <w:t xml:space="preserve">Reason J. Understanding adverse events: the human factor. (2001) </w:t>
      </w:r>
      <w:r w:rsidRPr="00584D74">
        <w:rPr>
          <w:i/>
          <w:sz w:val="22"/>
          <w:szCs w:val="22"/>
        </w:rPr>
        <w:t>In</w:t>
      </w:r>
      <w:r w:rsidRPr="00584D74">
        <w:rPr>
          <w:sz w:val="22"/>
          <w:szCs w:val="22"/>
        </w:rPr>
        <w:t xml:space="preserve"> C Vincent. (ed) </w:t>
      </w:r>
      <w:r w:rsidRPr="00584D74">
        <w:rPr>
          <w:i/>
          <w:sz w:val="22"/>
          <w:szCs w:val="22"/>
        </w:rPr>
        <w:t>Clinical risk management: Enhancing patient safety. 2</w:t>
      </w:r>
      <w:r w:rsidRPr="00584D74">
        <w:rPr>
          <w:i/>
          <w:sz w:val="22"/>
          <w:szCs w:val="22"/>
          <w:vertAlign w:val="superscript"/>
        </w:rPr>
        <w:t>nd</w:t>
      </w:r>
      <w:r w:rsidRPr="00584D74">
        <w:rPr>
          <w:i/>
          <w:sz w:val="22"/>
          <w:szCs w:val="22"/>
        </w:rPr>
        <w:t xml:space="preserve"> Edition Ed</w:t>
      </w:r>
      <w:r w:rsidRPr="00584D74">
        <w:rPr>
          <w:sz w:val="22"/>
          <w:szCs w:val="22"/>
        </w:rPr>
        <w:t xml:space="preserve">.  London, BMJ Publishing Group, ISBN 0-7279-1392-1.  p. 9-30.  </w:t>
      </w:r>
    </w:p>
    <w:p w14:paraId="05F6705B" w14:textId="77777777" w:rsidR="00C646D5" w:rsidRPr="00584D74" w:rsidRDefault="00C646D5" w:rsidP="00C646D5">
      <w:pPr>
        <w:spacing w:line="240" w:lineRule="auto"/>
        <w:rPr>
          <w:sz w:val="22"/>
          <w:szCs w:val="22"/>
        </w:rPr>
      </w:pPr>
      <w:r w:rsidRPr="00584D74">
        <w:rPr>
          <w:sz w:val="22"/>
          <w:szCs w:val="22"/>
        </w:rPr>
        <w:t xml:space="preserve">Reason J. (2008). </w:t>
      </w:r>
      <w:r w:rsidRPr="00584D74">
        <w:rPr>
          <w:i/>
          <w:sz w:val="22"/>
          <w:szCs w:val="22"/>
        </w:rPr>
        <w:t>The human contribution.</w:t>
      </w:r>
      <w:r w:rsidRPr="00584D74">
        <w:rPr>
          <w:sz w:val="22"/>
          <w:szCs w:val="22"/>
        </w:rPr>
        <w:t xml:space="preserve"> Farnham, Ashgate Publishing.</w:t>
      </w:r>
    </w:p>
    <w:p w14:paraId="5A410AE1" w14:textId="77777777" w:rsidR="00C646D5" w:rsidRPr="00584D74" w:rsidRDefault="00C646D5" w:rsidP="00C646D5">
      <w:pPr>
        <w:spacing w:line="240" w:lineRule="auto"/>
        <w:rPr>
          <w:sz w:val="22"/>
          <w:szCs w:val="22"/>
        </w:rPr>
      </w:pPr>
      <w:r w:rsidRPr="00003011">
        <w:rPr>
          <w:sz w:val="22"/>
          <w:szCs w:val="22"/>
          <w:lang w:val="fr-FR"/>
        </w:rPr>
        <w:t xml:space="preserve">Rochlin GI, La Porte T &amp; Roberts KH. </w:t>
      </w:r>
      <w:r w:rsidRPr="00584D74">
        <w:rPr>
          <w:sz w:val="22"/>
          <w:szCs w:val="22"/>
        </w:rPr>
        <w:t xml:space="preserve">(1987) The self designing high reliability organisation: aircraft carrier flight operations at sea. </w:t>
      </w:r>
      <w:r w:rsidRPr="00584D74">
        <w:rPr>
          <w:i/>
          <w:sz w:val="22"/>
          <w:szCs w:val="22"/>
        </w:rPr>
        <w:t>Naval War College Review,</w:t>
      </w:r>
      <w:r w:rsidRPr="00584D74">
        <w:rPr>
          <w:sz w:val="22"/>
          <w:szCs w:val="22"/>
        </w:rPr>
        <w:t xml:space="preserve"> 42,76-90.</w:t>
      </w:r>
    </w:p>
    <w:p w14:paraId="0C4B3FF2" w14:textId="77777777" w:rsidR="00C646D5" w:rsidRPr="00584D74" w:rsidRDefault="00C646D5" w:rsidP="00C646D5">
      <w:pPr>
        <w:spacing w:line="240" w:lineRule="auto"/>
        <w:rPr>
          <w:sz w:val="22"/>
          <w:szCs w:val="22"/>
        </w:rPr>
      </w:pPr>
      <w:r w:rsidRPr="00584D74">
        <w:rPr>
          <w:sz w:val="22"/>
          <w:szCs w:val="22"/>
        </w:rPr>
        <w:t xml:space="preserve">Roberts KH, Madsen P, Desai V &amp; Van Stralen D. (2005) A case of the birth and death of a high reliability healthcare organisation. </w:t>
      </w:r>
      <w:r w:rsidRPr="00584D74">
        <w:rPr>
          <w:i/>
          <w:sz w:val="22"/>
          <w:szCs w:val="22"/>
        </w:rPr>
        <w:t>Quality and Safety in Health Care,</w:t>
      </w:r>
      <w:r w:rsidRPr="00584D74">
        <w:rPr>
          <w:sz w:val="22"/>
          <w:szCs w:val="22"/>
        </w:rPr>
        <w:t xml:space="preserve"> 14, 216-220. </w:t>
      </w:r>
    </w:p>
    <w:p w14:paraId="3DE0D119" w14:textId="77777777" w:rsidR="00C646D5" w:rsidRPr="00584D74" w:rsidRDefault="00C646D5" w:rsidP="00C646D5">
      <w:pPr>
        <w:spacing w:line="240" w:lineRule="auto"/>
        <w:rPr>
          <w:sz w:val="22"/>
          <w:szCs w:val="22"/>
        </w:rPr>
      </w:pPr>
      <w:r w:rsidRPr="00584D74">
        <w:rPr>
          <w:sz w:val="22"/>
          <w:szCs w:val="22"/>
        </w:rPr>
        <w:t xml:space="preserve">Rubenstein LV, Kahn KL, Harrison ER, Sherwood MJ, Rogers WH &amp; Brook RH. (1991)  </w:t>
      </w:r>
      <w:r w:rsidRPr="00584D74">
        <w:rPr>
          <w:i/>
          <w:sz w:val="22"/>
          <w:szCs w:val="22"/>
        </w:rPr>
        <w:t>Structured implicit review of the medical record: a method for measuring quality of in-hospital medical care and a summary of quality changes following implementation of the Medicare prospective payment system</w:t>
      </w:r>
      <w:r w:rsidRPr="00584D74">
        <w:rPr>
          <w:sz w:val="22"/>
          <w:szCs w:val="22"/>
        </w:rPr>
        <w:t xml:space="preserve">. Santa Monica CA, Rand.  </w:t>
      </w:r>
    </w:p>
    <w:p w14:paraId="74C29009" w14:textId="77777777" w:rsidR="00C646D5" w:rsidRDefault="00C646D5" w:rsidP="00C646D5">
      <w:pPr>
        <w:spacing w:line="240" w:lineRule="auto"/>
        <w:rPr>
          <w:sz w:val="22"/>
          <w:szCs w:val="22"/>
        </w:rPr>
      </w:pPr>
      <w:r w:rsidRPr="00584D74">
        <w:rPr>
          <w:sz w:val="22"/>
          <w:szCs w:val="22"/>
        </w:rPr>
        <w:t xml:space="preserve">Runciman WB, Hunt Td, Hannaford NA, Hibbert PD, Westbrook JI, Coiera EW, Day RO, Hindmarsh DM, McGlynn EA &amp; BraithwaiteJ. (2012) Caretrack: assessing the appropriateness of health care delivery in Australia. </w:t>
      </w:r>
      <w:r w:rsidRPr="00584D74">
        <w:rPr>
          <w:i/>
          <w:sz w:val="22"/>
          <w:szCs w:val="22"/>
        </w:rPr>
        <w:t>Medical Journal of Australia</w:t>
      </w:r>
      <w:r w:rsidRPr="00584D74">
        <w:rPr>
          <w:sz w:val="22"/>
          <w:szCs w:val="22"/>
        </w:rPr>
        <w:t>, 197,100-105.</w:t>
      </w:r>
    </w:p>
    <w:p w14:paraId="671C8EF2" w14:textId="77777777" w:rsidR="00745A69" w:rsidRPr="00584D74" w:rsidRDefault="00745A69" w:rsidP="00C646D5">
      <w:pPr>
        <w:spacing w:line="240" w:lineRule="auto"/>
        <w:rPr>
          <w:sz w:val="22"/>
          <w:szCs w:val="22"/>
        </w:rPr>
      </w:pPr>
      <w:r>
        <w:rPr>
          <w:sz w:val="22"/>
          <w:szCs w:val="22"/>
        </w:rPr>
        <w:t xml:space="preserve">Sharek PJ, Parry G, Goldmann D, Bones K, Hackbarth A, Resar R, Griffin FA, Rhoda D, Murphy C, Landrigan CP. (2010) Performance characteristics of a methodology to quantify adverse events over time in hospitalized patients.  Health Services Research, 654-678 </w:t>
      </w:r>
    </w:p>
    <w:p w14:paraId="4DA4C67C" w14:textId="77777777" w:rsidR="00C646D5" w:rsidRPr="00584D74" w:rsidRDefault="00C646D5" w:rsidP="00C646D5">
      <w:pPr>
        <w:spacing w:line="240" w:lineRule="auto"/>
        <w:rPr>
          <w:sz w:val="22"/>
          <w:szCs w:val="22"/>
        </w:rPr>
      </w:pPr>
      <w:r w:rsidRPr="00584D74">
        <w:rPr>
          <w:rFonts w:cs="Arial"/>
          <w:bCs/>
          <w:sz w:val="22"/>
          <w:szCs w:val="22"/>
        </w:rPr>
        <w:t>Sexton JB</w:t>
      </w:r>
      <w:r w:rsidRPr="00584D74">
        <w:rPr>
          <w:rFonts w:cs="Arial"/>
          <w:sz w:val="22"/>
          <w:szCs w:val="22"/>
        </w:rPr>
        <w:t xml:space="preserve">, Thomas EJ &amp; Helmreich RL. (2003)  </w:t>
      </w:r>
      <w:r w:rsidRPr="00584D74">
        <w:rPr>
          <w:rFonts w:cs="Arial"/>
          <w:i/>
          <w:sz w:val="22"/>
          <w:szCs w:val="22"/>
        </w:rPr>
        <w:t>Frontline assessments of healthcare culture: Safety Attitudes Questionnaire norms and psychometric properties</w:t>
      </w:r>
      <w:r w:rsidRPr="00584D74">
        <w:rPr>
          <w:rFonts w:cs="Arial"/>
          <w:sz w:val="22"/>
          <w:szCs w:val="22"/>
        </w:rPr>
        <w:t xml:space="preserve">.  </w:t>
      </w:r>
      <w:r w:rsidRPr="00584D74">
        <w:rPr>
          <w:rFonts w:cs="Arial"/>
          <w:i/>
          <w:sz w:val="22"/>
          <w:szCs w:val="22"/>
        </w:rPr>
        <w:t>Technical Report 04-01</w:t>
      </w:r>
      <w:r w:rsidRPr="00584D74">
        <w:rPr>
          <w:rFonts w:cs="Arial"/>
          <w:sz w:val="22"/>
          <w:szCs w:val="22"/>
        </w:rPr>
        <w:t xml:space="preserve">.  Houston TX, The University of Texas Center of Excellence for Patient Safety Research and Practice.  </w:t>
      </w:r>
    </w:p>
    <w:p w14:paraId="455F6474" w14:textId="77777777" w:rsidR="00C646D5" w:rsidRPr="00584D74" w:rsidRDefault="00C646D5" w:rsidP="00C646D5">
      <w:pPr>
        <w:spacing w:line="240" w:lineRule="auto"/>
        <w:rPr>
          <w:sz w:val="22"/>
          <w:szCs w:val="22"/>
        </w:rPr>
      </w:pPr>
      <w:r w:rsidRPr="00584D74">
        <w:rPr>
          <w:sz w:val="22"/>
          <w:szCs w:val="22"/>
        </w:rPr>
        <w:t xml:space="preserve">Shapiro MJ &amp; Jay GD. (2003) High reliability organisational change for hospitals: translating tenets for medical professionals. </w:t>
      </w:r>
      <w:r w:rsidRPr="00584D74">
        <w:rPr>
          <w:i/>
          <w:sz w:val="22"/>
          <w:szCs w:val="22"/>
        </w:rPr>
        <w:t>Quality and Safety in Health Care</w:t>
      </w:r>
      <w:r w:rsidRPr="00584D74">
        <w:rPr>
          <w:sz w:val="22"/>
          <w:szCs w:val="22"/>
        </w:rPr>
        <w:t>, 12, 238-239.</w:t>
      </w:r>
    </w:p>
    <w:p w14:paraId="779D9512" w14:textId="77777777" w:rsidR="00C646D5" w:rsidRPr="00584D74" w:rsidRDefault="00C646D5" w:rsidP="00C646D5">
      <w:pPr>
        <w:spacing w:line="240" w:lineRule="auto"/>
        <w:rPr>
          <w:sz w:val="22"/>
          <w:szCs w:val="22"/>
        </w:rPr>
      </w:pPr>
      <w:r w:rsidRPr="00584D74">
        <w:rPr>
          <w:sz w:val="22"/>
          <w:szCs w:val="22"/>
        </w:rPr>
        <w:t xml:space="preserve">Shojania KG. (2008) The frustrating case of incident-reporting systems. </w:t>
      </w:r>
      <w:r w:rsidRPr="00584D74">
        <w:rPr>
          <w:i/>
          <w:sz w:val="22"/>
          <w:szCs w:val="22"/>
        </w:rPr>
        <w:t xml:space="preserve">Quality and Safety in Health Care, </w:t>
      </w:r>
      <w:r w:rsidRPr="00584D74">
        <w:rPr>
          <w:sz w:val="22"/>
          <w:szCs w:val="22"/>
        </w:rPr>
        <w:t>17, 400-402.</w:t>
      </w:r>
    </w:p>
    <w:p w14:paraId="736CD90F" w14:textId="77777777" w:rsidR="00C646D5" w:rsidRPr="00584D74" w:rsidRDefault="00C646D5" w:rsidP="00C646D5">
      <w:pPr>
        <w:spacing w:after="0" w:line="240" w:lineRule="auto"/>
        <w:jc w:val="both"/>
        <w:rPr>
          <w:rFonts w:cs="Arial"/>
          <w:sz w:val="22"/>
          <w:szCs w:val="22"/>
        </w:rPr>
      </w:pPr>
      <w:r w:rsidRPr="00584D74">
        <w:rPr>
          <w:rFonts w:cs="Arial"/>
          <w:bCs/>
          <w:sz w:val="22"/>
          <w:szCs w:val="22"/>
        </w:rPr>
        <w:t>Singer SJ</w:t>
      </w:r>
      <w:r w:rsidRPr="00584D74">
        <w:rPr>
          <w:rFonts w:cs="Arial"/>
          <w:sz w:val="22"/>
          <w:szCs w:val="22"/>
        </w:rPr>
        <w:t xml:space="preserve">, Gaba DM, Geppert JJ, Sinaiko AD, Howard SK &amp; Park KC. (2003)  The culture of safety: results of an organization-wide survey in 15 California hospitals.  </w:t>
      </w:r>
      <w:r w:rsidRPr="00584D74">
        <w:rPr>
          <w:rFonts w:cs="Arial"/>
          <w:i/>
          <w:iCs/>
          <w:sz w:val="22"/>
          <w:szCs w:val="22"/>
        </w:rPr>
        <w:t>Quality and Safety in Health Care</w:t>
      </w:r>
      <w:r w:rsidRPr="00584D74">
        <w:rPr>
          <w:rFonts w:cs="Arial"/>
          <w:sz w:val="22"/>
          <w:szCs w:val="22"/>
        </w:rPr>
        <w:t xml:space="preserve">, </w:t>
      </w:r>
      <w:r w:rsidRPr="00584D74">
        <w:rPr>
          <w:rFonts w:cs="Arial"/>
          <w:bCs/>
          <w:sz w:val="22"/>
          <w:szCs w:val="22"/>
        </w:rPr>
        <w:t>12</w:t>
      </w:r>
      <w:r w:rsidRPr="00584D74">
        <w:rPr>
          <w:rFonts w:cs="Arial"/>
          <w:sz w:val="22"/>
          <w:szCs w:val="22"/>
        </w:rPr>
        <w:t>, 112-118.</w:t>
      </w:r>
    </w:p>
    <w:p w14:paraId="31D008AA" w14:textId="77777777" w:rsidR="00C646D5" w:rsidRPr="00584D74" w:rsidRDefault="00C646D5" w:rsidP="00C646D5">
      <w:pPr>
        <w:spacing w:line="240" w:lineRule="auto"/>
        <w:rPr>
          <w:sz w:val="22"/>
          <w:szCs w:val="22"/>
        </w:rPr>
      </w:pPr>
    </w:p>
    <w:p w14:paraId="14E9311C" w14:textId="77777777" w:rsidR="00C646D5" w:rsidRPr="00584D74" w:rsidRDefault="00C646D5" w:rsidP="00C646D5">
      <w:pPr>
        <w:spacing w:line="240" w:lineRule="auto"/>
        <w:rPr>
          <w:sz w:val="22"/>
          <w:szCs w:val="22"/>
        </w:rPr>
      </w:pPr>
      <w:r w:rsidRPr="00584D74">
        <w:rPr>
          <w:sz w:val="22"/>
          <w:szCs w:val="22"/>
        </w:rPr>
        <w:lastRenderedPageBreak/>
        <w:t xml:space="preserve">Smith MW, Giardina TD, Murphy DR, Laxmisan A &amp; Singh H. (2013) Resilient actions in the diagnostic process and system performance.  </w:t>
      </w:r>
      <w:r w:rsidRPr="00584D74">
        <w:rPr>
          <w:i/>
          <w:sz w:val="22"/>
          <w:szCs w:val="22"/>
        </w:rPr>
        <w:t xml:space="preserve">BMJ Quality and Safety, </w:t>
      </w:r>
      <w:r w:rsidRPr="00584D74">
        <w:rPr>
          <w:sz w:val="22"/>
          <w:szCs w:val="22"/>
        </w:rPr>
        <w:t>Published Online First: 27 06 2013. doi:10.1136/bmjqs-2012-001661.</w:t>
      </w:r>
    </w:p>
    <w:p w14:paraId="510DC05C" w14:textId="77777777" w:rsidR="00C646D5" w:rsidRPr="00584D74" w:rsidRDefault="00C646D5" w:rsidP="00C646D5">
      <w:pPr>
        <w:spacing w:line="240" w:lineRule="auto"/>
        <w:rPr>
          <w:sz w:val="22"/>
          <w:szCs w:val="22"/>
        </w:rPr>
      </w:pPr>
      <w:r w:rsidRPr="00584D74">
        <w:rPr>
          <w:sz w:val="22"/>
          <w:szCs w:val="22"/>
        </w:rPr>
        <w:t xml:space="preserve">Spiegelhalter D. (2013) Have there been 13000 needless deaths in 14 NHS trusts. </w:t>
      </w:r>
      <w:r w:rsidRPr="00584D74">
        <w:rPr>
          <w:i/>
          <w:sz w:val="22"/>
          <w:szCs w:val="22"/>
        </w:rPr>
        <w:t>British Medical Journal</w:t>
      </w:r>
      <w:r w:rsidRPr="00584D74">
        <w:rPr>
          <w:sz w:val="22"/>
          <w:szCs w:val="22"/>
        </w:rPr>
        <w:t>, 347, f4893.</w:t>
      </w:r>
    </w:p>
    <w:p w14:paraId="17996450" w14:textId="77777777" w:rsidR="00C646D5" w:rsidRPr="00584D74" w:rsidRDefault="00C646D5" w:rsidP="00C646D5">
      <w:pPr>
        <w:spacing w:line="240" w:lineRule="auto"/>
        <w:rPr>
          <w:sz w:val="22"/>
          <w:szCs w:val="22"/>
        </w:rPr>
      </w:pPr>
      <w:r w:rsidRPr="00584D74">
        <w:rPr>
          <w:sz w:val="22"/>
          <w:szCs w:val="22"/>
        </w:rPr>
        <w:t xml:space="preserve">Sutcliffe KM &amp; Vogus TJ. (2003) Organizing for resilience. </w:t>
      </w:r>
      <w:r w:rsidRPr="00003011">
        <w:rPr>
          <w:i/>
          <w:sz w:val="22"/>
          <w:szCs w:val="22"/>
          <w:lang w:val="it-IT"/>
        </w:rPr>
        <w:t xml:space="preserve">In </w:t>
      </w:r>
      <w:r w:rsidRPr="00003011">
        <w:rPr>
          <w:sz w:val="22"/>
          <w:szCs w:val="22"/>
          <w:lang w:val="it-IT"/>
        </w:rPr>
        <w:t xml:space="preserve">Cameron KS </w:t>
      </w:r>
      <w:r w:rsidRPr="00003011">
        <w:rPr>
          <w:i/>
          <w:sz w:val="22"/>
          <w:szCs w:val="22"/>
          <w:lang w:val="it-IT"/>
        </w:rPr>
        <w:t xml:space="preserve">et al. </w:t>
      </w:r>
      <w:r w:rsidRPr="00584D74">
        <w:rPr>
          <w:sz w:val="22"/>
          <w:szCs w:val="22"/>
        </w:rPr>
        <w:t xml:space="preserve">(eds) </w:t>
      </w:r>
      <w:r w:rsidRPr="00584D74">
        <w:rPr>
          <w:i/>
          <w:sz w:val="22"/>
          <w:szCs w:val="22"/>
        </w:rPr>
        <w:t>Positive Organizational Scholarship: Foundations of a new discipline</w:t>
      </w:r>
      <w:r w:rsidRPr="00584D74">
        <w:rPr>
          <w:sz w:val="22"/>
          <w:szCs w:val="22"/>
        </w:rPr>
        <w:t>. San Francisco, Berrett-Koehler Publishers Inc. p. 94-110.</w:t>
      </w:r>
    </w:p>
    <w:p w14:paraId="72AA1133" w14:textId="77777777" w:rsidR="00C646D5" w:rsidRPr="00584D74" w:rsidRDefault="00C646D5" w:rsidP="00C646D5">
      <w:pPr>
        <w:spacing w:line="240" w:lineRule="auto"/>
        <w:rPr>
          <w:sz w:val="22"/>
          <w:szCs w:val="22"/>
        </w:rPr>
      </w:pPr>
      <w:r w:rsidRPr="00584D74">
        <w:rPr>
          <w:sz w:val="22"/>
          <w:szCs w:val="22"/>
        </w:rPr>
        <w:t xml:space="preserve">Tanner J Padley W, Kiernan M. Leaper D, Norrie P &amp; Baggott R. (2013) A benchmark too far; findings from a national survey of surgical site infection surveillance. </w:t>
      </w:r>
      <w:r w:rsidRPr="00584D74">
        <w:rPr>
          <w:i/>
          <w:sz w:val="22"/>
          <w:szCs w:val="22"/>
        </w:rPr>
        <w:t>Journal of Hospital Infection</w:t>
      </w:r>
      <w:r w:rsidRPr="00584D74">
        <w:rPr>
          <w:sz w:val="22"/>
          <w:szCs w:val="22"/>
        </w:rPr>
        <w:t>, 83, 87-91.</w:t>
      </w:r>
    </w:p>
    <w:p w14:paraId="0162BDF4" w14:textId="77777777" w:rsidR="00C646D5" w:rsidRPr="00584D74" w:rsidRDefault="00C646D5" w:rsidP="00C646D5">
      <w:pPr>
        <w:spacing w:line="240" w:lineRule="auto"/>
        <w:rPr>
          <w:sz w:val="22"/>
          <w:szCs w:val="22"/>
        </w:rPr>
      </w:pPr>
      <w:r w:rsidRPr="00584D74">
        <w:rPr>
          <w:sz w:val="22"/>
          <w:szCs w:val="22"/>
        </w:rPr>
        <w:t xml:space="preserve">The North of England Study of Standards and Performance in General Practice. (1992) Medical audit in general practice  I: Effects on doctors' clinical behaviour for common childhood conditions.  </w:t>
      </w:r>
      <w:r w:rsidRPr="00584D74">
        <w:rPr>
          <w:i/>
          <w:sz w:val="22"/>
          <w:szCs w:val="22"/>
        </w:rPr>
        <w:t xml:space="preserve">British Medical Journal, </w:t>
      </w:r>
      <w:r w:rsidRPr="00584D74">
        <w:rPr>
          <w:sz w:val="22"/>
          <w:szCs w:val="22"/>
        </w:rPr>
        <w:t>304, 1480-1484.</w:t>
      </w:r>
    </w:p>
    <w:p w14:paraId="441DE6D3" w14:textId="77777777" w:rsidR="00C646D5" w:rsidRPr="00584D74" w:rsidRDefault="00C646D5" w:rsidP="00C646D5">
      <w:pPr>
        <w:spacing w:line="240" w:lineRule="auto"/>
        <w:rPr>
          <w:rFonts w:cs="Arial"/>
          <w:sz w:val="22"/>
          <w:szCs w:val="22"/>
        </w:rPr>
      </w:pPr>
      <w:r w:rsidRPr="00584D74">
        <w:rPr>
          <w:rFonts w:cs="Arial"/>
          <w:sz w:val="22"/>
          <w:szCs w:val="22"/>
        </w:rPr>
        <w:t>The Stationary Office. (2013)  Report of the Mid Staffordshire NHS Foundation Trust Public Inquiry. London: The Stationary Office. ISBN 9780102981476.</w:t>
      </w:r>
    </w:p>
    <w:p w14:paraId="4A2CF46F" w14:textId="77777777" w:rsidR="00C646D5" w:rsidRPr="00584D74" w:rsidRDefault="00C646D5" w:rsidP="00C646D5">
      <w:pPr>
        <w:spacing w:after="0" w:line="240" w:lineRule="auto"/>
        <w:rPr>
          <w:rFonts w:cs="Arial"/>
          <w:sz w:val="22"/>
          <w:szCs w:val="22"/>
        </w:rPr>
      </w:pPr>
      <w:r w:rsidRPr="00584D74">
        <w:rPr>
          <w:rFonts w:cs="Arial"/>
          <w:sz w:val="22"/>
          <w:szCs w:val="22"/>
        </w:rPr>
        <w:t>T</w:t>
      </w:r>
      <w:r w:rsidRPr="00584D74">
        <w:rPr>
          <w:rFonts w:cs="Arial"/>
          <w:bCs/>
          <w:sz w:val="22"/>
          <w:szCs w:val="22"/>
        </w:rPr>
        <w:t>he University of Texas Center of Excellence for Patient Safety Research and Practice</w:t>
      </w:r>
      <w:r w:rsidRPr="00584D74">
        <w:rPr>
          <w:rFonts w:cs="Arial"/>
          <w:sz w:val="22"/>
          <w:szCs w:val="22"/>
        </w:rPr>
        <w:t>.  Available at</w:t>
      </w:r>
    </w:p>
    <w:p w14:paraId="39AA2C14" w14:textId="77777777" w:rsidR="00C646D5" w:rsidRPr="00584D74" w:rsidRDefault="00C646D5" w:rsidP="00C646D5">
      <w:pPr>
        <w:spacing w:line="240" w:lineRule="auto"/>
        <w:rPr>
          <w:rFonts w:cs="Arial"/>
          <w:sz w:val="22"/>
          <w:szCs w:val="22"/>
        </w:rPr>
      </w:pPr>
      <w:r w:rsidRPr="00584D74">
        <w:rPr>
          <w:rFonts w:cs="Arial"/>
          <w:sz w:val="22"/>
          <w:szCs w:val="22"/>
          <w:u w:val="single"/>
        </w:rPr>
        <w:t xml:space="preserve">http://www.uth.tmc.edu/schools/med/imed/patient_safety/survey&amp;tools.htm </w:t>
      </w:r>
      <w:r w:rsidRPr="00584D74">
        <w:rPr>
          <w:rFonts w:cs="Arial"/>
          <w:sz w:val="22"/>
          <w:szCs w:val="22"/>
        </w:rPr>
        <w:t>(accessed 25 August 2005).</w:t>
      </w:r>
    </w:p>
    <w:p w14:paraId="5069C85E" w14:textId="77777777" w:rsidR="00C646D5" w:rsidRPr="00584D74" w:rsidRDefault="00C646D5" w:rsidP="00C646D5">
      <w:pPr>
        <w:spacing w:line="240" w:lineRule="auto"/>
        <w:rPr>
          <w:sz w:val="22"/>
          <w:szCs w:val="22"/>
        </w:rPr>
      </w:pPr>
      <w:r w:rsidRPr="00584D74">
        <w:rPr>
          <w:sz w:val="22"/>
          <w:szCs w:val="22"/>
        </w:rPr>
        <w:t xml:space="preserve">Tucker AL, Edmondson AC. (2003) Why hospitals don’t learn from failures: Organisational and psychological dynamics that inhibit system change. </w:t>
      </w:r>
      <w:r w:rsidRPr="00584D74">
        <w:rPr>
          <w:i/>
          <w:sz w:val="22"/>
          <w:szCs w:val="22"/>
        </w:rPr>
        <w:t>California Management  Review</w:t>
      </w:r>
      <w:r w:rsidRPr="00584D74">
        <w:rPr>
          <w:sz w:val="22"/>
          <w:szCs w:val="22"/>
        </w:rPr>
        <w:t>, 42(2), 55-72.</w:t>
      </w:r>
    </w:p>
    <w:p w14:paraId="05389478" w14:textId="77777777" w:rsidR="00C646D5" w:rsidRPr="00584D74" w:rsidRDefault="00C646D5" w:rsidP="00C646D5">
      <w:pPr>
        <w:spacing w:line="240" w:lineRule="auto"/>
        <w:rPr>
          <w:sz w:val="22"/>
          <w:szCs w:val="22"/>
        </w:rPr>
      </w:pPr>
      <w:r w:rsidRPr="00584D74">
        <w:rPr>
          <w:sz w:val="22"/>
          <w:szCs w:val="22"/>
        </w:rPr>
        <w:t xml:space="preserve">Ward J, Clarkson J, Buckle P, Berman J, Lim R &amp; Jun T. (2010) </w:t>
      </w:r>
      <w:r w:rsidRPr="00584D74">
        <w:rPr>
          <w:i/>
          <w:sz w:val="22"/>
          <w:szCs w:val="22"/>
        </w:rPr>
        <w:t>Prospective Hazard Analysis: tailoring prospective methods to a healthcare context.</w:t>
      </w:r>
      <w:r w:rsidRPr="00584D74">
        <w:rPr>
          <w:sz w:val="22"/>
          <w:szCs w:val="22"/>
        </w:rPr>
        <w:t xml:space="preserve"> Cambridge, University of Cambridge.</w:t>
      </w:r>
    </w:p>
    <w:p w14:paraId="66A47CA9" w14:textId="77777777" w:rsidR="00C646D5" w:rsidRPr="00584D74" w:rsidRDefault="00C646D5" w:rsidP="00C646D5">
      <w:pPr>
        <w:spacing w:line="240" w:lineRule="auto"/>
        <w:rPr>
          <w:sz w:val="22"/>
          <w:szCs w:val="22"/>
        </w:rPr>
      </w:pPr>
      <w:r w:rsidRPr="00584D74">
        <w:rPr>
          <w:sz w:val="22"/>
          <w:szCs w:val="22"/>
        </w:rPr>
        <w:t xml:space="preserve">Waring J. (2013) What Safety II might learn from the socio-cultural critique of Safety I. </w:t>
      </w:r>
      <w:r w:rsidRPr="00584D74">
        <w:rPr>
          <w:i/>
          <w:sz w:val="22"/>
          <w:szCs w:val="22"/>
        </w:rPr>
        <w:t>In</w:t>
      </w:r>
      <w:r w:rsidRPr="00584D74">
        <w:rPr>
          <w:sz w:val="22"/>
          <w:szCs w:val="22"/>
        </w:rPr>
        <w:t xml:space="preserve"> Hollnagel E </w:t>
      </w:r>
      <w:r w:rsidRPr="00584D74">
        <w:rPr>
          <w:i/>
          <w:sz w:val="22"/>
          <w:szCs w:val="22"/>
        </w:rPr>
        <w:t>et al.</w:t>
      </w:r>
      <w:r w:rsidRPr="00584D74">
        <w:rPr>
          <w:sz w:val="22"/>
          <w:szCs w:val="22"/>
        </w:rPr>
        <w:t xml:space="preserve"> (eds) </w:t>
      </w:r>
      <w:r w:rsidRPr="00584D74">
        <w:rPr>
          <w:i/>
          <w:sz w:val="22"/>
          <w:szCs w:val="22"/>
        </w:rPr>
        <w:t>Resilient Health Care</w:t>
      </w:r>
      <w:r w:rsidRPr="00584D74">
        <w:rPr>
          <w:sz w:val="22"/>
          <w:szCs w:val="22"/>
        </w:rPr>
        <w:t>. Farnham, Ashgate Publishing p 39-48.</w:t>
      </w:r>
    </w:p>
    <w:p w14:paraId="4F4F3AA8" w14:textId="77777777" w:rsidR="00C646D5" w:rsidRPr="00584D74" w:rsidRDefault="00C646D5" w:rsidP="00C646D5">
      <w:pPr>
        <w:spacing w:line="240" w:lineRule="auto"/>
        <w:rPr>
          <w:sz w:val="22"/>
          <w:szCs w:val="22"/>
        </w:rPr>
      </w:pPr>
      <w:r w:rsidRPr="00584D74">
        <w:rPr>
          <w:sz w:val="22"/>
          <w:szCs w:val="22"/>
        </w:rPr>
        <w:t xml:space="preserve">Waterson P, Griffiths P, Stride C, Murphy J &amp; Hignett S. (2009) Psychometric properties of the Hospital Survey on Patient Safety Culture: findings from the UK. </w:t>
      </w:r>
      <w:r w:rsidRPr="00584D74">
        <w:rPr>
          <w:i/>
          <w:sz w:val="22"/>
          <w:szCs w:val="22"/>
        </w:rPr>
        <w:t>Quality and Safety in Health Care,</w:t>
      </w:r>
      <w:r w:rsidRPr="00584D74">
        <w:rPr>
          <w:sz w:val="22"/>
          <w:szCs w:val="22"/>
        </w:rPr>
        <w:t xml:space="preserve"> doi 10.1136/qshc.2008.031625.</w:t>
      </w:r>
    </w:p>
    <w:p w14:paraId="2D8A2203" w14:textId="77777777" w:rsidR="00C646D5" w:rsidRPr="00584D74" w:rsidRDefault="00C646D5" w:rsidP="00C646D5">
      <w:pPr>
        <w:spacing w:line="240" w:lineRule="auto"/>
        <w:rPr>
          <w:sz w:val="22"/>
          <w:szCs w:val="22"/>
        </w:rPr>
      </w:pPr>
      <w:r w:rsidRPr="00584D74">
        <w:rPr>
          <w:sz w:val="22"/>
          <w:szCs w:val="22"/>
        </w:rPr>
        <w:t xml:space="preserve">Wears RL, Perry S &amp; McFauls A. (2006) Free Fall – A case study in resilience, its degradation and recovery in an Emergency Department. </w:t>
      </w:r>
      <w:r w:rsidRPr="00584D74">
        <w:rPr>
          <w:i/>
          <w:sz w:val="22"/>
          <w:szCs w:val="22"/>
        </w:rPr>
        <w:t>In</w:t>
      </w:r>
      <w:r w:rsidRPr="00584D74">
        <w:rPr>
          <w:sz w:val="22"/>
          <w:szCs w:val="22"/>
        </w:rPr>
        <w:t xml:space="preserve"> Hollnagel E </w:t>
      </w:r>
      <w:r w:rsidRPr="00584D74">
        <w:rPr>
          <w:i/>
          <w:sz w:val="22"/>
          <w:szCs w:val="22"/>
        </w:rPr>
        <w:t>et al</w:t>
      </w:r>
      <w:r w:rsidRPr="00584D74">
        <w:rPr>
          <w:sz w:val="22"/>
          <w:szCs w:val="22"/>
        </w:rPr>
        <w:t xml:space="preserve"> (eds) </w:t>
      </w:r>
      <w:r w:rsidRPr="00584D74">
        <w:rPr>
          <w:i/>
          <w:sz w:val="22"/>
          <w:szCs w:val="22"/>
        </w:rPr>
        <w:t>Proceedings of the Second Resilience Engineering Symposium.</w:t>
      </w:r>
      <w:r w:rsidRPr="00584D74">
        <w:rPr>
          <w:sz w:val="22"/>
          <w:szCs w:val="22"/>
        </w:rPr>
        <w:t xml:space="preserve"> Paris France, Presses des Mines.  p. 325-332.</w:t>
      </w:r>
    </w:p>
    <w:p w14:paraId="2747A4E8" w14:textId="77777777" w:rsidR="00C646D5" w:rsidRPr="00584D74" w:rsidRDefault="00C646D5" w:rsidP="00C646D5">
      <w:pPr>
        <w:spacing w:line="240" w:lineRule="auto"/>
        <w:rPr>
          <w:sz w:val="22"/>
          <w:szCs w:val="22"/>
        </w:rPr>
      </w:pPr>
      <w:r w:rsidRPr="00584D74">
        <w:rPr>
          <w:sz w:val="22"/>
          <w:szCs w:val="22"/>
        </w:rPr>
        <w:t xml:space="preserve">Wears RL &amp; Nemeth CP. (2007) Replacing hindsight with insight: toward better understanding of diagnostic failures. </w:t>
      </w:r>
      <w:r w:rsidRPr="00584D74">
        <w:rPr>
          <w:i/>
          <w:sz w:val="22"/>
          <w:szCs w:val="22"/>
        </w:rPr>
        <w:t xml:space="preserve">Annals of </w:t>
      </w:r>
      <w:r w:rsidR="006D0FC2">
        <w:rPr>
          <w:i/>
          <w:sz w:val="22"/>
          <w:szCs w:val="22"/>
        </w:rPr>
        <w:t>Emergency</w:t>
      </w:r>
      <w:r w:rsidRPr="00584D74">
        <w:rPr>
          <w:i/>
          <w:sz w:val="22"/>
          <w:szCs w:val="22"/>
        </w:rPr>
        <w:t xml:space="preserve"> Medicine, </w:t>
      </w:r>
      <w:r w:rsidRPr="00584D74">
        <w:rPr>
          <w:sz w:val="22"/>
          <w:szCs w:val="22"/>
        </w:rPr>
        <w:t>49, 206-208.</w:t>
      </w:r>
    </w:p>
    <w:p w14:paraId="028E2DA1" w14:textId="77777777" w:rsidR="00C646D5" w:rsidRPr="00584D74" w:rsidRDefault="00C646D5" w:rsidP="00C646D5">
      <w:pPr>
        <w:spacing w:line="240" w:lineRule="auto"/>
        <w:rPr>
          <w:sz w:val="22"/>
          <w:szCs w:val="22"/>
        </w:rPr>
      </w:pPr>
      <w:r w:rsidRPr="00584D74">
        <w:rPr>
          <w:sz w:val="22"/>
          <w:szCs w:val="22"/>
        </w:rPr>
        <w:t xml:space="preserve">Weick KE. (1987) Organisational culture as a source of high reliability. </w:t>
      </w:r>
      <w:r w:rsidRPr="00584D74">
        <w:rPr>
          <w:i/>
          <w:sz w:val="22"/>
          <w:szCs w:val="22"/>
        </w:rPr>
        <w:t xml:space="preserve">California Management Review, </w:t>
      </w:r>
      <w:r w:rsidRPr="00584D74">
        <w:rPr>
          <w:sz w:val="22"/>
          <w:szCs w:val="22"/>
        </w:rPr>
        <w:t>29, 112-127.</w:t>
      </w:r>
    </w:p>
    <w:p w14:paraId="237928B2" w14:textId="77777777" w:rsidR="00C646D5" w:rsidRPr="00584D74" w:rsidRDefault="00C646D5" w:rsidP="00C646D5">
      <w:pPr>
        <w:spacing w:line="240" w:lineRule="auto"/>
        <w:rPr>
          <w:sz w:val="22"/>
          <w:szCs w:val="22"/>
        </w:rPr>
      </w:pPr>
      <w:r w:rsidRPr="00584D74">
        <w:rPr>
          <w:sz w:val="22"/>
          <w:szCs w:val="22"/>
        </w:rPr>
        <w:t xml:space="preserve">Weick KE &amp; Sutcliffe KM. (2003) Hospitals as cultures of entrapment: a re-analysis of the Bristol Royal Infirmary. </w:t>
      </w:r>
      <w:r w:rsidRPr="00584D74">
        <w:rPr>
          <w:i/>
          <w:sz w:val="22"/>
          <w:szCs w:val="22"/>
        </w:rPr>
        <w:t>California Management Review</w:t>
      </w:r>
      <w:r w:rsidRPr="00584D74">
        <w:rPr>
          <w:sz w:val="22"/>
          <w:szCs w:val="22"/>
        </w:rPr>
        <w:t>, 45 (2), 73-84.</w:t>
      </w:r>
    </w:p>
    <w:p w14:paraId="7A1AF8C6" w14:textId="77777777" w:rsidR="00C646D5" w:rsidRPr="00584D74" w:rsidRDefault="00C646D5" w:rsidP="00C646D5">
      <w:pPr>
        <w:spacing w:line="240" w:lineRule="auto"/>
        <w:rPr>
          <w:sz w:val="22"/>
          <w:szCs w:val="22"/>
        </w:rPr>
      </w:pPr>
      <w:r w:rsidRPr="00584D74">
        <w:rPr>
          <w:sz w:val="22"/>
          <w:szCs w:val="22"/>
        </w:rPr>
        <w:t xml:space="preserve">Weick KE &amp; Sutcliffe KM. (2007) </w:t>
      </w:r>
      <w:r w:rsidRPr="00584D74">
        <w:rPr>
          <w:i/>
          <w:sz w:val="22"/>
          <w:szCs w:val="22"/>
        </w:rPr>
        <w:t>Managing the unexpected – resilient behaviour in an age of uncertainty</w:t>
      </w:r>
      <w:r w:rsidRPr="00584D74">
        <w:rPr>
          <w:sz w:val="22"/>
          <w:szCs w:val="22"/>
        </w:rPr>
        <w:t xml:space="preserve">. 2nd Edition. San Francisco, John Wiley and Sons Inc. </w:t>
      </w:r>
    </w:p>
    <w:p w14:paraId="77C6B90A" w14:textId="77777777" w:rsidR="00C646D5" w:rsidRPr="00584D74" w:rsidRDefault="00C646D5" w:rsidP="00C646D5">
      <w:pPr>
        <w:spacing w:line="240" w:lineRule="auto"/>
        <w:rPr>
          <w:sz w:val="22"/>
          <w:szCs w:val="22"/>
        </w:rPr>
      </w:pPr>
      <w:r w:rsidRPr="00584D74">
        <w:rPr>
          <w:sz w:val="22"/>
          <w:szCs w:val="22"/>
        </w:rPr>
        <w:lastRenderedPageBreak/>
        <w:t xml:space="preserve">Weingart SN, Davis RB, Palmer RH, Cahalane M, Hamel MB, Mukamal K, Phillips RS, Davies DT &amp; Iezzoni LI. (2002) Discrepancies between explicit and implicit review: Physician and nurse assessments of complication and quality. </w:t>
      </w:r>
      <w:r w:rsidRPr="00584D74">
        <w:rPr>
          <w:i/>
          <w:sz w:val="22"/>
          <w:szCs w:val="22"/>
        </w:rPr>
        <w:t>Health Services Research</w:t>
      </w:r>
      <w:r w:rsidRPr="00584D74">
        <w:rPr>
          <w:sz w:val="22"/>
          <w:szCs w:val="22"/>
        </w:rPr>
        <w:t xml:space="preserve">, 32, 483- 498. </w:t>
      </w:r>
    </w:p>
    <w:p w14:paraId="1DB5B13E" w14:textId="77777777" w:rsidR="00C646D5" w:rsidRPr="00584D74" w:rsidRDefault="00C646D5" w:rsidP="00C646D5">
      <w:pPr>
        <w:spacing w:line="240" w:lineRule="auto"/>
        <w:rPr>
          <w:rFonts w:cs="Arial"/>
          <w:sz w:val="22"/>
          <w:szCs w:val="22"/>
        </w:rPr>
      </w:pPr>
      <w:r w:rsidRPr="00584D74">
        <w:rPr>
          <w:rFonts w:cs="Arial"/>
          <w:sz w:val="22"/>
          <w:szCs w:val="22"/>
        </w:rPr>
        <w:t xml:space="preserve">Wilson RM, Runciman WB, Gibberd RW, Harrison BT, Newby L &amp; Hamilton JD. (1995) The Quality in Australian Health Care Study. </w:t>
      </w:r>
      <w:r w:rsidRPr="00584D74">
        <w:rPr>
          <w:rFonts w:cs="Arial"/>
          <w:i/>
          <w:sz w:val="22"/>
          <w:szCs w:val="22"/>
        </w:rPr>
        <w:t>Medical Journal of Australia</w:t>
      </w:r>
      <w:r w:rsidRPr="00584D74">
        <w:rPr>
          <w:rFonts w:cs="Arial"/>
          <w:sz w:val="22"/>
          <w:szCs w:val="22"/>
        </w:rPr>
        <w:t>, 163(9), 458-71.</w:t>
      </w:r>
    </w:p>
    <w:p w14:paraId="5E5D4DB2" w14:textId="77777777" w:rsidR="00C646D5" w:rsidRPr="00584D74" w:rsidRDefault="00C646D5" w:rsidP="00C646D5">
      <w:pPr>
        <w:spacing w:line="240" w:lineRule="auto"/>
        <w:rPr>
          <w:sz w:val="22"/>
          <w:szCs w:val="22"/>
        </w:rPr>
      </w:pPr>
      <w:r w:rsidRPr="00584D74">
        <w:rPr>
          <w:sz w:val="22"/>
          <w:szCs w:val="22"/>
        </w:rPr>
        <w:t>Woods DD, Cook RI. (2002) Nine steps to move forward from error.</w:t>
      </w:r>
      <w:r w:rsidRPr="00584D74">
        <w:rPr>
          <w:b/>
          <w:sz w:val="22"/>
          <w:szCs w:val="22"/>
        </w:rPr>
        <w:t xml:space="preserve"> </w:t>
      </w:r>
      <w:r w:rsidRPr="00584D74">
        <w:rPr>
          <w:i/>
          <w:sz w:val="22"/>
          <w:szCs w:val="22"/>
        </w:rPr>
        <w:t xml:space="preserve">Cognition Technology &amp; Work, </w:t>
      </w:r>
      <w:r w:rsidRPr="00584D74">
        <w:rPr>
          <w:sz w:val="22"/>
          <w:szCs w:val="22"/>
        </w:rPr>
        <w:t>4, 137-144.</w:t>
      </w:r>
    </w:p>
    <w:p w14:paraId="3C7A8C04" w14:textId="77777777" w:rsidR="00C646D5" w:rsidRPr="00584D74" w:rsidRDefault="00C646D5" w:rsidP="00C646D5">
      <w:pPr>
        <w:spacing w:line="240" w:lineRule="auto"/>
        <w:rPr>
          <w:sz w:val="22"/>
          <w:szCs w:val="22"/>
        </w:rPr>
      </w:pPr>
      <w:r w:rsidRPr="00584D74">
        <w:rPr>
          <w:sz w:val="22"/>
          <w:szCs w:val="22"/>
        </w:rPr>
        <w:t xml:space="preserve">Woods DD. Essential characteristics of resilience. (2006a) </w:t>
      </w:r>
      <w:r w:rsidRPr="00584D74">
        <w:rPr>
          <w:i/>
          <w:sz w:val="22"/>
          <w:szCs w:val="22"/>
        </w:rPr>
        <w:t>In</w:t>
      </w:r>
      <w:r w:rsidRPr="00584D74">
        <w:rPr>
          <w:sz w:val="22"/>
          <w:szCs w:val="22"/>
        </w:rPr>
        <w:t xml:space="preserve"> Hollnagel E </w:t>
      </w:r>
      <w:r w:rsidRPr="00584D74">
        <w:rPr>
          <w:i/>
          <w:sz w:val="22"/>
          <w:szCs w:val="22"/>
        </w:rPr>
        <w:t>et al.</w:t>
      </w:r>
      <w:r w:rsidRPr="00584D74">
        <w:rPr>
          <w:sz w:val="22"/>
          <w:szCs w:val="22"/>
        </w:rPr>
        <w:t xml:space="preserve"> (eds)  </w:t>
      </w:r>
      <w:r w:rsidRPr="00584D74">
        <w:rPr>
          <w:i/>
          <w:sz w:val="22"/>
          <w:szCs w:val="22"/>
        </w:rPr>
        <w:t>Resilience Engineering: Concepts and precepts.</w:t>
      </w:r>
      <w:r w:rsidRPr="00584D74">
        <w:rPr>
          <w:sz w:val="22"/>
          <w:szCs w:val="22"/>
        </w:rPr>
        <w:t xml:space="preserve">    Burlington VT, Ashgate Publishing Company. p. 21-34.</w:t>
      </w:r>
    </w:p>
    <w:p w14:paraId="445A53F0" w14:textId="77777777" w:rsidR="00C646D5" w:rsidRPr="00584D74" w:rsidRDefault="00C646D5" w:rsidP="00C646D5">
      <w:pPr>
        <w:spacing w:line="240" w:lineRule="auto"/>
        <w:rPr>
          <w:sz w:val="22"/>
          <w:szCs w:val="22"/>
        </w:rPr>
      </w:pPr>
      <w:r w:rsidRPr="00584D74">
        <w:rPr>
          <w:sz w:val="22"/>
          <w:szCs w:val="22"/>
        </w:rPr>
        <w:t xml:space="preserve">Woods DD, Patterson ES &amp; Cook RI. (2007) Behind human error: taming complexity to improve patient safety.  </w:t>
      </w:r>
      <w:r w:rsidRPr="00584D74">
        <w:rPr>
          <w:i/>
          <w:sz w:val="22"/>
          <w:szCs w:val="22"/>
        </w:rPr>
        <w:t>In</w:t>
      </w:r>
      <w:r w:rsidRPr="00584D74">
        <w:rPr>
          <w:sz w:val="22"/>
          <w:szCs w:val="22"/>
        </w:rPr>
        <w:t xml:space="preserve"> Carayon P (ed). </w:t>
      </w:r>
      <w:r w:rsidRPr="00584D74">
        <w:rPr>
          <w:i/>
          <w:sz w:val="22"/>
          <w:szCs w:val="22"/>
        </w:rPr>
        <w:t>Handbook of human factors and ergonomics in patient safety.</w:t>
      </w:r>
      <w:r w:rsidRPr="00584D74">
        <w:rPr>
          <w:sz w:val="22"/>
          <w:szCs w:val="22"/>
        </w:rPr>
        <w:t xml:space="preserve">  Mahwah, NJ, Lawrence Erlbaum Associates Inc. p. 459-476.</w:t>
      </w:r>
    </w:p>
    <w:p w14:paraId="5852F9E6" w14:textId="77777777" w:rsidR="00C646D5" w:rsidRPr="00584D74" w:rsidRDefault="00C646D5" w:rsidP="00C646D5">
      <w:pPr>
        <w:spacing w:line="240" w:lineRule="auto"/>
        <w:rPr>
          <w:sz w:val="22"/>
          <w:szCs w:val="22"/>
        </w:rPr>
      </w:pPr>
      <w:r w:rsidRPr="00584D74">
        <w:rPr>
          <w:sz w:val="22"/>
          <w:szCs w:val="22"/>
        </w:rPr>
        <w:t xml:space="preserve">Woods DD &amp; Cook RI. (2006) Incidents –markers of resilience or brittleness? </w:t>
      </w:r>
      <w:r w:rsidRPr="00584D74">
        <w:rPr>
          <w:i/>
          <w:sz w:val="22"/>
          <w:szCs w:val="22"/>
        </w:rPr>
        <w:t>In</w:t>
      </w:r>
      <w:r w:rsidRPr="00584D74">
        <w:rPr>
          <w:sz w:val="22"/>
          <w:szCs w:val="22"/>
        </w:rPr>
        <w:t xml:space="preserve"> Hollnagel E </w:t>
      </w:r>
      <w:r w:rsidRPr="00584D74">
        <w:rPr>
          <w:i/>
          <w:sz w:val="22"/>
          <w:szCs w:val="22"/>
        </w:rPr>
        <w:t>et al</w:t>
      </w:r>
      <w:r w:rsidRPr="00584D74">
        <w:rPr>
          <w:sz w:val="22"/>
          <w:szCs w:val="22"/>
        </w:rPr>
        <w:t xml:space="preserve">. (eds) </w:t>
      </w:r>
      <w:r w:rsidRPr="00584D74">
        <w:rPr>
          <w:i/>
          <w:sz w:val="22"/>
          <w:szCs w:val="22"/>
        </w:rPr>
        <w:t>Resilience Engineering: Concepts and precepts.</w:t>
      </w:r>
      <w:r w:rsidRPr="00584D74">
        <w:rPr>
          <w:sz w:val="22"/>
          <w:szCs w:val="22"/>
        </w:rPr>
        <w:t xml:space="preserve"> Burlington VT, Ashgate Publishing Company. p. 69-75.</w:t>
      </w:r>
    </w:p>
    <w:p w14:paraId="0249D2FC" w14:textId="77777777" w:rsidR="00C646D5" w:rsidRPr="00584D74" w:rsidRDefault="00C646D5" w:rsidP="00C646D5">
      <w:pPr>
        <w:spacing w:line="240" w:lineRule="auto"/>
        <w:rPr>
          <w:sz w:val="22"/>
          <w:szCs w:val="22"/>
        </w:rPr>
      </w:pPr>
      <w:r w:rsidRPr="00584D74">
        <w:rPr>
          <w:sz w:val="22"/>
          <w:szCs w:val="22"/>
        </w:rPr>
        <w:t>Woods DD, Dekker S, Cook R, Johannesen L &amp; Sarter N. (2010) Behind Human Error. Farnham, Ashgate Publishing Limited.</w:t>
      </w:r>
    </w:p>
    <w:p w14:paraId="652FCCA2" w14:textId="77777777" w:rsidR="00C646D5" w:rsidRPr="00584D74" w:rsidRDefault="00C646D5" w:rsidP="00C646D5">
      <w:pPr>
        <w:spacing w:line="240" w:lineRule="auto"/>
        <w:rPr>
          <w:sz w:val="22"/>
          <w:szCs w:val="22"/>
        </w:rPr>
      </w:pPr>
      <w:r w:rsidRPr="00584D74">
        <w:rPr>
          <w:sz w:val="22"/>
          <w:szCs w:val="22"/>
        </w:rPr>
        <w:t xml:space="preserve">Wreathall J &amp; Nemeth C. (2004) Assessing risk: the role of probabilistic risk assessment (PRA) in patient safety improvement. </w:t>
      </w:r>
      <w:r w:rsidRPr="00584D74">
        <w:rPr>
          <w:i/>
          <w:sz w:val="22"/>
          <w:szCs w:val="22"/>
        </w:rPr>
        <w:t>Quality and Safety in Health Care,</w:t>
      </w:r>
      <w:r w:rsidRPr="00584D74">
        <w:rPr>
          <w:sz w:val="22"/>
          <w:szCs w:val="22"/>
        </w:rPr>
        <w:t xml:space="preserve"> 13, 206-12.</w:t>
      </w:r>
    </w:p>
    <w:p w14:paraId="75CA60CE" w14:textId="77777777" w:rsidR="00C646D5" w:rsidRPr="00584D74" w:rsidRDefault="00C646D5" w:rsidP="00C646D5">
      <w:pPr>
        <w:spacing w:line="240" w:lineRule="auto"/>
        <w:rPr>
          <w:sz w:val="22"/>
          <w:szCs w:val="22"/>
        </w:rPr>
      </w:pPr>
      <w:r w:rsidRPr="00584D74">
        <w:rPr>
          <w:sz w:val="22"/>
          <w:szCs w:val="22"/>
        </w:rPr>
        <w:t xml:space="preserve">Wreathall J. (2006) Properties of resilient organisations: an initial view.  </w:t>
      </w:r>
      <w:r w:rsidRPr="00584D74">
        <w:rPr>
          <w:i/>
          <w:sz w:val="22"/>
          <w:szCs w:val="22"/>
        </w:rPr>
        <w:t>In</w:t>
      </w:r>
      <w:r w:rsidRPr="00584D74">
        <w:rPr>
          <w:sz w:val="22"/>
          <w:szCs w:val="22"/>
        </w:rPr>
        <w:t xml:space="preserve"> Hollnagel E </w:t>
      </w:r>
      <w:r w:rsidRPr="00584D74">
        <w:rPr>
          <w:i/>
          <w:sz w:val="22"/>
          <w:szCs w:val="22"/>
        </w:rPr>
        <w:t>et al</w:t>
      </w:r>
      <w:r w:rsidRPr="00584D74">
        <w:rPr>
          <w:sz w:val="22"/>
          <w:szCs w:val="22"/>
        </w:rPr>
        <w:t xml:space="preserve">. (eds)  </w:t>
      </w:r>
      <w:r w:rsidRPr="00584D74">
        <w:rPr>
          <w:i/>
          <w:sz w:val="22"/>
          <w:szCs w:val="22"/>
        </w:rPr>
        <w:t>Resilience Engineering: Concepts and precepts.</w:t>
      </w:r>
      <w:r w:rsidRPr="00584D74">
        <w:rPr>
          <w:sz w:val="22"/>
          <w:szCs w:val="22"/>
        </w:rPr>
        <w:t xml:space="preserve"> Burlington VT, Ashgate Publishing Company. p275-285.</w:t>
      </w:r>
    </w:p>
    <w:p w14:paraId="6FF0BCA3" w14:textId="77777777" w:rsidR="00C646D5" w:rsidRPr="00584D74" w:rsidRDefault="00C646D5" w:rsidP="00C646D5">
      <w:pPr>
        <w:spacing w:line="240" w:lineRule="auto"/>
        <w:rPr>
          <w:sz w:val="22"/>
          <w:szCs w:val="22"/>
        </w:rPr>
      </w:pPr>
      <w:r w:rsidRPr="00584D74">
        <w:rPr>
          <w:sz w:val="22"/>
          <w:szCs w:val="22"/>
        </w:rPr>
        <w:t xml:space="preserve">Zegers M, de Bruijne MC, Wagner C, Hounhoot LHF, Waaijman R, Smits M, Hout FAG, Zwaan L, Christiaans-Dingelhoff I, Timmermans DRM, Groenewegen PP &amp; van der Wal G. (2009) Adverse events and potentially preventable deaths in Dutch hospitals: results of a retrospective patient record review study. </w:t>
      </w:r>
      <w:r w:rsidRPr="00584D74">
        <w:rPr>
          <w:i/>
          <w:sz w:val="22"/>
          <w:szCs w:val="22"/>
        </w:rPr>
        <w:t>Quality and Safety in Health Care</w:t>
      </w:r>
      <w:r w:rsidRPr="00584D74">
        <w:rPr>
          <w:sz w:val="22"/>
          <w:szCs w:val="22"/>
        </w:rPr>
        <w:t>, 18, 297-302.</w:t>
      </w:r>
    </w:p>
    <w:p w14:paraId="0181B886" w14:textId="77777777" w:rsidR="00C646D5" w:rsidRPr="00584D74" w:rsidRDefault="00C646D5" w:rsidP="00C646D5">
      <w:pPr>
        <w:spacing w:line="240" w:lineRule="auto"/>
        <w:rPr>
          <w:b/>
          <w:sz w:val="22"/>
          <w:szCs w:val="22"/>
        </w:rPr>
      </w:pPr>
    </w:p>
    <w:p w14:paraId="6890912B" w14:textId="77777777" w:rsidR="00C646D5" w:rsidRDefault="00C646D5" w:rsidP="00C646D5">
      <w:pPr>
        <w:rPr>
          <w:b/>
        </w:rPr>
      </w:pPr>
      <w:r w:rsidRPr="00584D74">
        <w:rPr>
          <w:b/>
          <w:sz w:val="22"/>
          <w:szCs w:val="22"/>
        </w:rPr>
        <w:br w:type="page"/>
      </w:r>
    </w:p>
    <w:p w14:paraId="0D1E0A13" w14:textId="77777777" w:rsidR="00C646D5" w:rsidRDefault="00C646D5" w:rsidP="00C646D5">
      <w:pPr>
        <w:rPr>
          <w:b/>
          <w:sz w:val="28"/>
          <w:szCs w:val="28"/>
        </w:rPr>
      </w:pPr>
      <w:r>
        <w:rPr>
          <w:b/>
          <w:sz w:val="28"/>
          <w:szCs w:val="28"/>
        </w:rPr>
        <w:lastRenderedPageBreak/>
        <w:t>10</w:t>
      </w:r>
      <w:r w:rsidRPr="00F9374C">
        <w:rPr>
          <w:b/>
          <w:sz w:val="28"/>
          <w:szCs w:val="28"/>
        </w:rPr>
        <w:t xml:space="preserve">. Appendices to the Thesis </w:t>
      </w:r>
    </w:p>
    <w:p w14:paraId="5475259C" w14:textId="77777777" w:rsidR="00F9296D" w:rsidRDefault="00F9296D" w:rsidP="00F9296D">
      <w:pPr>
        <w:tabs>
          <w:tab w:val="left" w:pos="8505"/>
          <w:tab w:val="left" w:pos="8789"/>
        </w:tabs>
        <w:ind w:left="720"/>
        <w:rPr>
          <w:bCs/>
        </w:rPr>
      </w:pPr>
      <w:r w:rsidRPr="00151445">
        <w:t>10.</w:t>
      </w:r>
      <w:r>
        <w:t>1</w:t>
      </w:r>
      <w:r w:rsidRPr="00151445">
        <w:t xml:space="preserve"> Publication 1. </w:t>
      </w:r>
      <w:r w:rsidRPr="00151445">
        <w:rPr>
          <w:bCs/>
        </w:rPr>
        <w:t xml:space="preserve"> Using a safety climate questionnaire</w:t>
      </w:r>
      <w:r>
        <w:rPr>
          <w:bCs/>
        </w:rPr>
        <w:t xml:space="preserve"> </w:t>
      </w:r>
      <w:r w:rsidRPr="00151445">
        <w:rPr>
          <w:bCs/>
        </w:rPr>
        <w:t xml:space="preserve">in UK healthcare: factor structure, reliability and </w:t>
      </w:r>
      <w:r>
        <w:rPr>
          <w:bCs/>
        </w:rPr>
        <w:t>usability.............................</w:t>
      </w:r>
      <w:r w:rsidR="00F514DA">
        <w:rPr>
          <w:bCs/>
        </w:rPr>
        <w:t>.............................5</w:t>
      </w:r>
      <w:r w:rsidR="00EC00B2">
        <w:rPr>
          <w:bCs/>
        </w:rPr>
        <w:t>7</w:t>
      </w:r>
    </w:p>
    <w:p w14:paraId="2D30C00B" w14:textId="77777777" w:rsidR="00F9296D" w:rsidRPr="00151445" w:rsidRDefault="00F9296D" w:rsidP="00F9296D">
      <w:pPr>
        <w:tabs>
          <w:tab w:val="left" w:pos="8505"/>
          <w:tab w:val="left" w:pos="8789"/>
        </w:tabs>
        <w:ind w:left="720"/>
      </w:pPr>
      <w:r w:rsidRPr="00151445">
        <w:t>10.</w:t>
      </w:r>
      <w:r>
        <w:t>2</w:t>
      </w:r>
      <w:r w:rsidRPr="00151445">
        <w:t xml:space="preserve"> Publication 2. Trends in healthcare incident reporting</w:t>
      </w:r>
      <w:r>
        <w:t xml:space="preserve"> </w:t>
      </w:r>
      <w:r w:rsidRPr="00151445">
        <w:t>and relationship to safety and quality data in acute hospitals:</w:t>
      </w:r>
      <w:r>
        <w:t xml:space="preserve"> </w:t>
      </w:r>
      <w:r w:rsidRPr="00151445">
        <w:t>results from the National Reporting and Learning System............................</w:t>
      </w:r>
      <w:r>
        <w:t>................</w:t>
      </w:r>
      <w:r w:rsidRPr="00151445">
        <w:t>.......................................</w:t>
      </w:r>
      <w:r>
        <w:t>..</w:t>
      </w:r>
      <w:r w:rsidRPr="00151445">
        <w:t>.</w:t>
      </w:r>
      <w:r>
        <w:t>8</w:t>
      </w:r>
      <w:r w:rsidR="00EC00B2">
        <w:t>2</w:t>
      </w:r>
    </w:p>
    <w:p w14:paraId="42442ED4" w14:textId="77777777" w:rsidR="00F514DA" w:rsidRDefault="00F9296D" w:rsidP="00F9296D">
      <w:pPr>
        <w:tabs>
          <w:tab w:val="left" w:pos="8505"/>
          <w:tab w:val="left" w:pos="8789"/>
        </w:tabs>
        <w:ind w:left="720"/>
        <w:rPr>
          <w:bCs/>
          <w:kern w:val="32"/>
        </w:rPr>
      </w:pPr>
      <w:r w:rsidRPr="00151445">
        <w:t>10.</w:t>
      </w:r>
      <w:r>
        <w:t>3</w:t>
      </w:r>
      <w:r w:rsidRPr="00151445">
        <w:t xml:space="preserve"> Publication 3. </w:t>
      </w:r>
      <w:r w:rsidRPr="00151445">
        <w:rPr>
          <w:bCs/>
          <w:kern w:val="32"/>
        </w:rPr>
        <w:t xml:space="preserve">Using a multi-method, user centred, prospective hazard analysis to assess care quality and </w:t>
      </w:r>
      <w:r w:rsidR="00F514DA">
        <w:rPr>
          <w:bCs/>
          <w:kern w:val="32"/>
        </w:rPr>
        <w:t>pa</w:t>
      </w:r>
      <w:r w:rsidRPr="00151445">
        <w:rPr>
          <w:bCs/>
          <w:kern w:val="32"/>
        </w:rPr>
        <w:t xml:space="preserve">tient safety in a care </w:t>
      </w:r>
      <w:r w:rsidR="00F514DA">
        <w:rPr>
          <w:bCs/>
          <w:kern w:val="32"/>
        </w:rPr>
        <w:t>pathway............9</w:t>
      </w:r>
      <w:r w:rsidR="00EC00B2">
        <w:rPr>
          <w:bCs/>
          <w:kern w:val="32"/>
        </w:rPr>
        <w:t>8</w:t>
      </w:r>
      <w:r w:rsidR="00F514DA">
        <w:rPr>
          <w:bCs/>
          <w:kern w:val="32"/>
        </w:rPr>
        <w:t xml:space="preserve"> </w:t>
      </w:r>
    </w:p>
    <w:p w14:paraId="4CC543C5" w14:textId="77777777" w:rsidR="00F9296D" w:rsidRPr="00151445" w:rsidRDefault="00F9296D" w:rsidP="00F9296D">
      <w:pPr>
        <w:tabs>
          <w:tab w:val="left" w:pos="8505"/>
          <w:tab w:val="left" w:pos="8789"/>
        </w:tabs>
        <w:ind w:left="720"/>
      </w:pPr>
      <w:r w:rsidRPr="00151445">
        <w:t>10.</w:t>
      </w:r>
      <w:r>
        <w:t>4</w:t>
      </w:r>
      <w:r w:rsidRPr="00151445">
        <w:t xml:space="preserve">  Publication 4. Assessing quality of care from hospital case notes: comparison of reliability of two</w:t>
      </w:r>
      <w:r w:rsidR="00F514DA">
        <w:t xml:space="preserve"> methods......................................................11</w:t>
      </w:r>
      <w:r w:rsidR="00EC00B2">
        <w:t>7</w:t>
      </w:r>
      <w:r>
        <w:t xml:space="preserve"> </w:t>
      </w:r>
    </w:p>
    <w:p w14:paraId="46C5C4B7" w14:textId="77777777" w:rsidR="00F9296D" w:rsidRPr="00151445" w:rsidRDefault="00F9296D" w:rsidP="00F9296D">
      <w:pPr>
        <w:tabs>
          <w:tab w:val="left" w:pos="8505"/>
          <w:tab w:val="left" w:pos="8789"/>
        </w:tabs>
        <w:ind w:left="720"/>
      </w:pPr>
      <w:r w:rsidRPr="00151445">
        <w:t>10.</w:t>
      </w:r>
      <w:r>
        <w:t>5</w:t>
      </w:r>
      <w:r w:rsidRPr="00151445">
        <w:t xml:space="preserve"> Publication 5. Comparison of case note review methods</w:t>
      </w:r>
      <w:r>
        <w:t xml:space="preserve"> for </w:t>
      </w:r>
      <w:r w:rsidRPr="00151445">
        <w:t>evaluating quality and safety in health care.......................</w:t>
      </w:r>
      <w:r w:rsidR="00F514DA">
        <w:t>............................................</w:t>
      </w:r>
      <w:r>
        <w:t>1</w:t>
      </w:r>
      <w:r w:rsidR="00F514DA">
        <w:t>1</w:t>
      </w:r>
      <w:r w:rsidR="00EC00B2">
        <w:t>8</w:t>
      </w:r>
    </w:p>
    <w:p w14:paraId="2C188CC1" w14:textId="77777777" w:rsidR="00F9296D" w:rsidRPr="00151445" w:rsidRDefault="00F9296D" w:rsidP="00F9296D">
      <w:pPr>
        <w:tabs>
          <w:tab w:val="left" w:pos="8505"/>
          <w:tab w:val="left" w:pos="8789"/>
        </w:tabs>
        <w:ind w:left="720"/>
      </w:pPr>
      <w:r w:rsidRPr="00151445">
        <w:t>10.</w:t>
      </w:r>
      <w:r>
        <w:t>6</w:t>
      </w:r>
      <w:r w:rsidRPr="00151445">
        <w:t xml:space="preserve"> Publication 6. </w:t>
      </w:r>
      <w:r w:rsidRPr="00151445">
        <w:rPr>
          <w:rFonts w:cs="Arial"/>
        </w:rPr>
        <w:t>A structured judgement method to enhance mortality case note review: development and</w:t>
      </w:r>
      <w:r>
        <w:rPr>
          <w:rFonts w:cs="Arial"/>
        </w:rPr>
        <w:t xml:space="preserve"> evaluation.......</w:t>
      </w:r>
      <w:r w:rsidRPr="00151445">
        <w:rPr>
          <w:rFonts w:cs="Arial"/>
        </w:rPr>
        <w:t>..</w:t>
      </w:r>
      <w:r w:rsidR="00F514DA">
        <w:rPr>
          <w:rFonts w:cs="Arial"/>
        </w:rPr>
        <w:t>...........................................</w:t>
      </w:r>
      <w:r>
        <w:rPr>
          <w:rFonts w:cs="Arial"/>
        </w:rPr>
        <w:t>3</w:t>
      </w:r>
      <w:r w:rsidR="00F514DA">
        <w:rPr>
          <w:rFonts w:cs="Arial"/>
        </w:rPr>
        <w:t>3</w:t>
      </w:r>
      <w:r w:rsidR="00EC00B2">
        <w:rPr>
          <w:rFonts w:cs="Arial"/>
        </w:rPr>
        <w:t>6</w:t>
      </w:r>
    </w:p>
    <w:p w14:paraId="44DC8DA6" w14:textId="77777777" w:rsidR="00C646D5" w:rsidRPr="00151445" w:rsidRDefault="00C646D5" w:rsidP="00C646D5">
      <w:pPr>
        <w:rPr>
          <w:b/>
        </w:rPr>
      </w:pPr>
    </w:p>
    <w:p w14:paraId="5C32E25C" w14:textId="77777777" w:rsidR="00C646D5" w:rsidRDefault="00C646D5" w:rsidP="00C646D5">
      <w:r>
        <w:br w:type="page"/>
      </w:r>
    </w:p>
    <w:p w14:paraId="2722C116" w14:textId="77777777" w:rsidR="00F37F0F" w:rsidRPr="00A12147" w:rsidRDefault="00D64608">
      <w:pPr>
        <w:rPr>
          <w:b/>
          <w:sz w:val="28"/>
          <w:szCs w:val="28"/>
        </w:rPr>
      </w:pPr>
      <w:r w:rsidRPr="00A12147">
        <w:rPr>
          <w:b/>
          <w:sz w:val="28"/>
          <w:szCs w:val="28"/>
        </w:rPr>
        <w:lastRenderedPageBreak/>
        <w:t>10.</w:t>
      </w:r>
      <w:r w:rsidR="00EC00B2">
        <w:rPr>
          <w:b/>
          <w:sz w:val="28"/>
          <w:szCs w:val="28"/>
        </w:rPr>
        <w:t>1</w:t>
      </w:r>
      <w:r w:rsidRPr="00A12147">
        <w:rPr>
          <w:b/>
          <w:sz w:val="28"/>
          <w:szCs w:val="28"/>
        </w:rPr>
        <w:t xml:space="preserve"> </w:t>
      </w:r>
      <w:r w:rsidR="00F01091" w:rsidRPr="00A12147">
        <w:rPr>
          <w:b/>
          <w:sz w:val="28"/>
          <w:szCs w:val="28"/>
        </w:rPr>
        <w:t xml:space="preserve"> </w:t>
      </w:r>
      <w:r w:rsidR="00F37F0F" w:rsidRPr="00A12147">
        <w:rPr>
          <w:b/>
          <w:sz w:val="28"/>
          <w:szCs w:val="28"/>
        </w:rPr>
        <w:t>Publication 1</w:t>
      </w:r>
    </w:p>
    <w:p w14:paraId="7B561E6A" w14:textId="77777777" w:rsidR="00F37F0F" w:rsidRPr="00333175" w:rsidRDefault="00F37F0F"/>
    <w:p w14:paraId="31D9B5E8" w14:textId="77777777" w:rsidR="003A385F" w:rsidRPr="009324A4" w:rsidRDefault="003A385F" w:rsidP="009324A4">
      <w:pPr>
        <w:spacing w:line="360" w:lineRule="auto"/>
        <w:rPr>
          <w:sz w:val="22"/>
          <w:szCs w:val="22"/>
        </w:rPr>
      </w:pPr>
      <w:r w:rsidRPr="009324A4">
        <w:rPr>
          <w:b/>
          <w:sz w:val="22"/>
          <w:szCs w:val="22"/>
        </w:rPr>
        <w:t>Hutchinson A</w:t>
      </w:r>
      <w:r w:rsidRPr="009324A4">
        <w:rPr>
          <w:sz w:val="22"/>
          <w:szCs w:val="22"/>
        </w:rPr>
        <w:t>, Cooper KL, Dean JE, McIntosh A, Patterson M, Stride CB, Laurence BE, Smith CM.</w:t>
      </w:r>
      <w:r w:rsidRPr="009324A4">
        <w:rPr>
          <w:b/>
          <w:bCs/>
          <w:sz w:val="22"/>
          <w:szCs w:val="22"/>
        </w:rPr>
        <w:t xml:space="preserve"> </w:t>
      </w:r>
      <w:r w:rsidRPr="009324A4">
        <w:rPr>
          <w:bCs/>
          <w:sz w:val="22"/>
          <w:szCs w:val="22"/>
        </w:rPr>
        <w:t>Using a safety climate questionnaire in UK healthcare: factor structure, reliability and usability.</w:t>
      </w:r>
      <w:r w:rsidRPr="009324A4">
        <w:rPr>
          <w:b/>
          <w:bCs/>
          <w:sz w:val="22"/>
          <w:szCs w:val="22"/>
        </w:rPr>
        <w:t xml:space="preserve"> </w:t>
      </w:r>
      <w:r w:rsidRPr="009324A4">
        <w:rPr>
          <w:i/>
          <w:sz w:val="22"/>
          <w:szCs w:val="22"/>
        </w:rPr>
        <w:t xml:space="preserve">Quality &amp; Safety in Health Care </w:t>
      </w:r>
      <w:r w:rsidRPr="009324A4">
        <w:rPr>
          <w:sz w:val="22"/>
          <w:szCs w:val="22"/>
        </w:rPr>
        <w:t>2006;15:347-353</w:t>
      </w:r>
    </w:p>
    <w:p w14:paraId="08244041" w14:textId="77777777" w:rsidR="00F37F0F" w:rsidRDefault="00F37F0F"/>
    <w:p w14:paraId="71C1AF37" w14:textId="77777777" w:rsidR="00F37F0F" w:rsidRDefault="00F37F0F"/>
    <w:p w14:paraId="2E6BB443" w14:textId="77777777" w:rsidR="00F37F0F" w:rsidRDefault="00F37F0F"/>
    <w:p w14:paraId="74EF3BBD" w14:textId="77777777" w:rsidR="00F37F0F" w:rsidRDefault="00F37F0F"/>
    <w:p w14:paraId="18D3B3DB" w14:textId="77777777" w:rsidR="00F37F0F" w:rsidRDefault="00F37F0F"/>
    <w:p w14:paraId="0CA78525" w14:textId="77777777" w:rsidR="00F37F0F" w:rsidRDefault="00F37F0F"/>
    <w:p w14:paraId="11AB92D8" w14:textId="77777777" w:rsidR="00F37F0F" w:rsidRDefault="00F37F0F"/>
    <w:p w14:paraId="7E2D16FF" w14:textId="77777777" w:rsidR="00F37F0F" w:rsidRDefault="00F37F0F"/>
    <w:p w14:paraId="22D82D20" w14:textId="77777777" w:rsidR="00F37F0F" w:rsidRDefault="00F37F0F"/>
    <w:p w14:paraId="5A47DB19" w14:textId="77777777" w:rsidR="00F37F0F" w:rsidRDefault="00F37F0F"/>
    <w:p w14:paraId="11AD29F3" w14:textId="77777777" w:rsidR="00F37F0F" w:rsidRDefault="00F37F0F"/>
    <w:p w14:paraId="3B2EF6EA" w14:textId="77777777" w:rsidR="00F37F0F" w:rsidRDefault="00F37F0F"/>
    <w:p w14:paraId="13C34C39" w14:textId="77777777" w:rsidR="00F37F0F" w:rsidRDefault="00F37F0F"/>
    <w:p w14:paraId="464FD8AF" w14:textId="77777777" w:rsidR="00F37F0F" w:rsidRDefault="00F37F0F"/>
    <w:p w14:paraId="00389156" w14:textId="77777777" w:rsidR="00F37F0F" w:rsidRDefault="00F37F0F"/>
    <w:p w14:paraId="152C48F7" w14:textId="77777777" w:rsidR="00F37F0F" w:rsidRDefault="00F37F0F"/>
    <w:p w14:paraId="5EF7F276" w14:textId="77777777" w:rsidR="00F37F0F" w:rsidRDefault="00F37F0F"/>
    <w:p w14:paraId="691D930E" w14:textId="77777777" w:rsidR="00F37F0F" w:rsidRDefault="00F37F0F"/>
    <w:p w14:paraId="2E9F6B9C" w14:textId="77777777" w:rsidR="00F37F0F" w:rsidRDefault="00F37F0F"/>
    <w:p w14:paraId="34F00C40" w14:textId="77777777" w:rsidR="00F37F0F" w:rsidRDefault="00F37F0F"/>
    <w:p w14:paraId="7812BF26" w14:textId="77777777" w:rsidR="00F37F0F" w:rsidRDefault="00F37F0F"/>
    <w:p w14:paraId="023C1516" w14:textId="77777777" w:rsidR="00F37F0F" w:rsidRDefault="00F37F0F"/>
    <w:p w14:paraId="56019F45" w14:textId="77777777" w:rsidR="00F37F0F" w:rsidRPr="0031249D" w:rsidRDefault="00F37F0F" w:rsidP="00F37F0F">
      <w:pPr>
        <w:pStyle w:val="BodyText3"/>
        <w:rPr>
          <w:rFonts w:ascii="Arial" w:hAnsi="Arial" w:cs="Arial"/>
          <w:b/>
          <w:sz w:val="22"/>
          <w:szCs w:val="22"/>
        </w:rPr>
      </w:pPr>
      <w:r w:rsidRPr="0031249D">
        <w:rPr>
          <w:rFonts w:ascii="Arial" w:hAnsi="Arial" w:cs="Arial"/>
          <w:b/>
          <w:sz w:val="22"/>
          <w:szCs w:val="22"/>
        </w:rPr>
        <w:lastRenderedPageBreak/>
        <w:t>Using a safety climate questionnaire in UK healthcare: factor structure, reliability and usability</w:t>
      </w:r>
    </w:p>
    <w:p w14:paraId="1747EF57" w14:textId="77777777" w:rsidR="00F37F0F" w:rsidRPr="0031249D" w:rsidRDefault="00F37F0F" w:rsidP="00F37F0F">
      <w:pPr>
        <w:spacing w:line="480" w:lineRule="auto"/>
        <w:jc w:val="both"/>
        <w:rPr>
          <w:rFonts w:cs="Arial"/>
          <w:sz w:val="22"/>
          <w:szCs w:val="22"/>
        </w:rPr>
      </w:pPr>
      <w:r w:rsidRPr="0031249D">
        <w:rPr>
          <w:rFonts w:cs="Arial"/>
          <w:sz w:val="22"/>
          <w:szCs w:val="22"/>
        </w:rPr>
        <w:t>Hutchinson A, Cooper KL, Dean JE, McIntosh A, Patterson M, Stride CB, Laurence BE, Smith CM</w:t>
      </w:r>
    </w:p>
    <w:p w14:paraId="3DB59BD8" w14:textId="77777777" w:rsidR="00F37F0F" w:rsidRPr="0031249D" w:rsidRDefault="00F37F0F" w:rsidP="009F601A">
      <w:pPr>
        <w:rPr>
          <w:b/>
          <w:sz w:val="22"/>
          <w:szCs w:val="22"/>
        </w:rPr>
      </w:pPr>
      <w:r w:rsidRPr="0031249D">
        <w:rPr>
          <w:b/>
          <w:sz w:val="22"/>
          <w:szCs w:val="22"/>
        </w:rPr>
        <w:t>Section of Public Health, ScHARR</w:t>
      </w:r>
    </w:p>
    <w:p w14:paraId="7B2892FE" w14:textId="77777777" w:rsidR="00F37F0F" w:rsidRPr="0031249D" w:rsidRDefault="00F37F0F" w:rsidP="00F37F0F">
      <w:pPr>
        <w:spacing w:line="480" w:lineRule="auto"/>
        <w:rPr>
          <w:rFonts w:cs="Arial"/>
          <w:bCs/>
          <w:sz w:val="22"/>
          <w:szCs w:val="22"/>
        </w:rPr>
      </w:pPr>
      <w:r w:rsidRPr="0031249D">
        <w:rPr>
          <w:rFonts w:cs="Arial"/>
          <w:bCs/>
          <w:sz w:val="22"/>
          <w:szCs w:val="22"/>
        </w:rPr>
        <w:t>University of Sheffield, Sheffield, UK</w:t>
      </w:r>
    </w:p>
    <w:p w14:paraId="5E9C1F32" w14:textId="77777777" w:rsidR="00F37F0F" w:rsidRPr="0031249D" w:rsidRDefault="00F37F0F" w:rsidP="00F37F0F">
      <w:pPr>
        <w:spacing w:line="480" w:lineRule="auto"/>
        <w:rPr>
          <w:rFonts w:cs="Arial"/>
          <w:sz w:val="22"/>
          <w:szCs w:val="22"/>
        </w:rPr>
      </w:pPr>
      <w:r w:rsidRPr="0031249D">
        <w:rPr>
          <w:rFonts w:cs="Arial"/>
          <w:sz w:val="22"/>
          <w:szCs w:val="22"/>
        </w:rPr>
        <w:t>A Hutchinson</w:t>
      </w:r>
    </w:p>
    <w:p w14:paraId="2665A3FF" w14:textId="77777777" w:rsidR="00F37F0F" w:rsidRPr="0031249D" w:rsidRDefault="00F37F0F" w:rsidP="00F37F0F">
      <w:pPr>
        <w:spacing w:line="480" w:lineRule="auto"/>
        <w:rPr>
          <w:rFonts w:cs="Arial"/>
          <w:sz w:val="22"/>
          <w:szCs w:val="22"/>
        </w:rPr>
      </w:pPr>
      <w:r w:rsidRPr="0031249D">
        <w:rPr>
          <w:rFonts w:cs="Arial"/>
          <w:sz w:val="22"/>
          <w:szCs w:val="22"/>
        </w:rPr>
        <w:t>K L Cooper</w:t>
      </w:r>
    </w:p>
    <w:p w14:paraId="24513785" w14:textId="77777777" w:rsidR="00F37F0F" w:rsidRPr="0031249D" w:rsidRDefault="00F37F0F" w:rsidP="00F37F0F">
      <w:pPr>
        <w:spacing w:line="480" w:lineRule="auto"/>
        <w:rPr>
          <w:rFonts w:cs="Arial"/>
          <w:sz w:val="22"/>
          <w:szCs w:val="22"/>
        </w:rPr>
      </w:pPr>
      <w:r w:rsidRPr="0031249D">
        <w:rPr>
          <w:rFonts w:cs="Arial"/>
          <w:sz w:val="22"/>
          <w:szCs w:val="22"/>
        </w:rPr>
        <w:t>J E Dean</w:t>
      </w:r>
    </w:p>
    <w:p w14:paraId="5ACBA08A" w14:textId="77777777" w:rsidR="00F37F0F" w:rsidRPr="0031249D" w:rsidRDefault="00F37F0F" w:rsidP="00F37F0F">
      <w:pPr>
        <w:spacing w:line="480" w:lineRule="auto"/>
        <w:rPr>
          <w:rFonts w:cs="Arial"/>
          <w:sz w:val="22"/>
          <w:szCs w:val="22"/>
        </w:rPr>
      </w:pPr>
      <w:r w:rsidRPr="0031249D">
        <w:rPr>
          <w:rFonts w:cs="Arial"/>
          <w:sz w:val="22"/>
          <w:szCs w:val="22"/>
        </w:rPr>
        <w:t>A McIntosh</w:t>
      </w:r>
    </w:p>
    <w:p w14:paraId="50DAA2F3" w14:textId="77777777" w:rsidR="00F37F0F" w:rsidRPr="0031249D" w:rsidRDefault="00F37F0F" w:rsidP="00F37F0F">
      <w:pPr>
        <w:spacing w:line="480" w:lineRule="auto"/>
        <w:rPr>
          <w:rFonts w:cs="Arial"/>
          <w:sz w:val="22"/>
          <w:szCs w:val="22"/>
        </w:rPr>
      </w:pPr>
      <w:r w:rsidRPr="0031249D">
        <w:rPr>
          <w:rFonts w:cs="Arial"/>
          <w:sz w:val="22"/>
          <w:szCs w:val="22"/>
        </w:rPr>
        <w:t>BE Laurence</w:t>
      </w:r>
    </w:p>
    <w:p w14:paraId="6EAA35CB" w14:textId="77777777" w:rsidR="00F37F0F" w:rsidRPr="0031249D" w:rsidRDefault="00F37F0F" w:rsidP="00F37F0F">
      <w:pPr>
        <w:spacing w:line="480" w:lineRule="auto"/>
        <w:rPr>
          <w:rFonts w:cs="Arial"/>
          <w:sz w:val="22"/>
          <w:szCs w:val="22"/>
        </w:rPr>
      </w:pPr>
      <w:r w:rsidRPr="0031249D">
        <w:rPr>
          <w:rFonts w:cs="Arial"/>
          <w:sz w:val="22"/>
          <w:szCs w:val="22"/>
        </w:rPr>
        <w:t>CM Smith</w:t>
      </w:r>
    </w:p>
    <w:p w14:paraId="12DE8DB5" w14:textId="77777777" w:rsidR="00F37F0F" w:rsidRPr="0031249D" w:rsidRDefault="00F37F0F" w:rsidP="00F37F0F">
      <w:pPr>
        <w:spacing w:line="480" w:lineRule="auto"/>
        <w:rPr>
          <w:rFonts w:cs="Arial"/>
          <w:b/>
          <w:bCs/>
          <w:sz w:val="22"/>
          <w:szCs w:val="22"/>
        </w:rPr>
      </w:pPr>
      <w:r w:rsidRPr="0031249D">
        <w:rPr>
          <w:rFonts w:cs="Arial"/>
          <w:b/>
          <w:bCs/>
          <w:sz w:val="22"/>
          <w:szCs w:val="22"/>
        </w:rPr>
        <w:t>Institute of Work Psychology</w:t>
      </w:r>
    </w:p>
    <w:p w14:paraId="7EEF0E06" w14:textId="77777777" w:rsidR="00F37F0F" w:rsidRPr="0031249D" w:rsidRDefault="00F37F0F" w:rsidP="0031249D">
      <w:pPr>
        <w:spacing w:line="480" w:lineRule="auto"/>
        <w:rPr>
          <w:rFonts w:cs="Arial"/>
          <w:bCs/>
          <w:sz w:val="22"/>
          <w:szCs w:val="22"/>
        </w:rPr>
      </w:pPr>
      <w:r w:rsidRPr="0031249D">
        <w:rPr>
          <w:rFonts w:cs="Arial"/>
          <w:bCs/>
          <w:sz w:val="22"/>
          <w:szCs w:val="22"/>
        </w:rPr>
        <w:t>University of Sheffield</w:t>
      </w:r>
      <w:r w:rsidR="0031249D" w:rsidRPr="0031249D">
        <w:rPr>
          <w:rFonts w:cs="Arial"/>
          <w:bCs/>
          <w:sz w:val="22"/>
          <w:szCs w:val="22"/>
        </w:rPr>
        <w:t xml:space="preserve">, </w:t>
      </w:r>
      <w:r w:rsidRPr="0031249D">
        <w:rPr>
          <w:rFonts w:cs="Arial"/>
          <w:bCs/>
          <w:sz w:val="22"/>
          <w:szCs w:val="22"/>
        </w:rPr>
        <w:t>Sheffield, UK</w:t>
      </w:r>
    </w:p>
    <w:p w14:paraId="33FA0201" w14:textId="77777777" w:rsidR="00F37F0F" w:rsidRPr="0031249D" w:rsidRDefault="00F37F0F" w:rsidP="00F37F0F">
      <w:pPr>
        <w:tabs>
          <w:tab w:val="left" w:pos="1355"/>
        </w:tabs>
        <w:spacing w:line="480" w:lineRule="auto"/>
        <w:rPr>
          <w:rFonts w:cs="Arial"/>
          <w:sz w:val="22"/>
          <w:szCs w:val="22"/>
        </w:rPr>
      </w:pPr>
      <w:r w:rsidRPr="0031249D">
        <w:rPr>
          <w:rFonts w:cs="Arial"/>
          <w:sz w:val="22"/>
          <w:szCs w:val="22"/>
        </w:rPr>
        <w:t>M Patterson</w:t>
      </w:r>
    </w:p>
    <w:p w14:paraId="192BA3BA" w14:textId="77777777" w:rsidR="00F37F0F" w:rsidRPr="0031249D" w:rsidRDefault="00F37F0F" w:rsidP="00F37F0F">
      <w:pPr>
        <w:tabs>
          <w:tab w:val="left" w:pos="1355"/>
        </w:tabs>
        <w:spacing w:line="480" w:lineRule="auto"/>
        <w:rPr>
          <w:rFonts w:cs="Arial"/>
          <w:sz w:val="22"/>
          <w:szCs w:val="22"/>
        </w:rPr>
      </w:pPr>
      <w:r w:rsidRPr="0031249D">
        <w:rPr>
          <w:rFonts w:cs="Arial"/>
          <w:sz w:val="22"/>
          <w:szCs w:val="22"/>
        </w:rPr>
        <w:t>C B Stride</w:t>
      </w:r>
    </w:p>
    <w:p w14:paraId="3A34D55C" w14:textId="77777777" w:rsidR="00F37F0F" w:rsidRPr="0031249D" w:rsidRDefault="00F37F0F" w:rsidP="0031249D">
      <w:pPr>
        <w:spacing w:line="480" w:lineRule="auto"/>
        <w:rPr>
          <w:rFonts w:cs="Arial"/>
          <w:sz w:val="22"/>
          <w:szCs w:val="22"/>
        </w:rPr>
      </w:pPr>
      <w:r w:rsidRPr="0031249D">
        <w:rPr>
          <w:rFonts w:cs="Arial"/>
          <w:b/>
          <w:bCs/>
          <w:sz w:val="22"/>
          <w:szCs w:val="22"/>
        </w:rPr>
        <w:t>Corresponding author:</w:t>
      </w:r>
      <w:r w:rsidR="0031249D" w:rsidRPr="0031249D">
        <w:rPr>
          <w:rFonts w:cs="Arial"/>
          <w:b/>
          <w:bCs/>
          <w:sz w:val="22"/>
          <w:szCs w:val="22"/>
        </w:rPr>
        <w:t xml:space="preserve"> </w:t>
      </w:r>
      <w:r w:rsidRPr="0031249D">
        <w:rPr>
          <w:rFonts w:cs="Arial"/>
          <w:sz w:val="22"/>
          <w:szCs w:val="22"/>
        </w:rPr>
        <w:t>Professor Allen Hutchinson</w:t>
      </w:r>
    </w:p>
    <w:p w14:paraId="17EA0C81" w14:textId="77777777" w:rsidR="00F37F0F" w:rsidRPr="0031249D" w:rsidRDefault="00F37F0F" w:rsidP="00F37F0F">
      <w:pPr>
        <w:spacing w:line="480" w:lineRule="auto"/>
        <w:jc w:val="both"/>
        <w:rPr>
          <w:rFonts w:cs="Arial"/>
          <w:sz w:val="22"/>
          <w:szCs w:val="22"/>
        </w:rPr>
      </w:pPr>
      <w:r w:rsidRPr="0031249D">
        <w:rPr>
          <w:rFonts w:cs="Arial"/>
          <w:sz w:val="22"/>
          <w:szCs w:val="22"/>
        </w:rPr>
        <w:t>Section of Public Health, ScHARR</w:t>
      </w:r>
      <w:r w:rsidR="0031249D" w:rsidRPr="0031249D">
        <w:rPr>
          <w:rFonts w:cs="Arial"/>
          <w:sz w:val="22"/>
          <w:szCs w:val="22"/>
        </w:rPr>
        <w:t xml:space="preserve">, </w:t>
      </w:r>
      <w:r w:rsidRPr="0031249D">
        <w:rPr>
          <w:rFonts w:cs="Arial"/>
          <w:sz w:val="22"/>
          <w:szCs w:val="22"/>
        </w:rPr>
        <w:t>Regent Court, 30 Regent St.</w:t>
      </w:r>
    </w:p>
    <w:p w14:paraId="08EE81CA" w14:textId="77777777" w:rsidR="00F37F0F" w:rsidRPr="0031249D" w:rsidRDefault="00F37F0F" w:rsidP="00F37F0F">
      <w:pPr>
        <w:spacing w:line="480" w:lineRule="auto"/>
        <w:jc w:val="both"/>
        <w:rPr>
          <w:rFonts w:cs="Arial"/>
          <w:sz w:val="22"/>
          <w:szCs w:val="22"/>
          <w:u w:val="single"/>
        </w:rPr>
      </w:pPr>
      <w:r w:rsidRPr="0031249D">
        <w:rPr>
          <w:rFonts w:cs="Arial"/>
          <w:sz w:val="22"/>
          <w:szCs w:val="22"/>
        </w:rPr>
        <w:t>Sheffield S1 4DA, UK</w:t>
      </w:r>
      <w:r w:rsidR="0031249D" w:rsidRPr="0031249D">
        <w:rPr>
          <w:rFonts w:cs="Arial"/>
          <w:sz w:val="22"/>
          <w:szCs w:val="22"/>
        </w:rPr>
        <w:t xml:space="preserve">, </w:t>
      </w:r>
      <w:r w:rsidRPr="0031249D">
        <w:rPr>
          <w:rFonts w:cs="Arial"/>
          <w:sz w:val="22"/>
          <w:szCs w:val="22"/>
        </w:rPr>
        <w:t>Tel. 01142220811</w:t>
      </w:r>
      <w:r w:rsidR="0031249D" w:rsidRPr="0031249D">
        <w:rPr>
          <w:rFonts w:cs="Arial"/>
          <w:sz w:val="22"/>
          <w:szCs w:val="22"/>
        </w:rPr>
        <w:t xml:space="preserve">, </w:t>
      </w:r>
      <w:r w:rsidRPr="0031249D">
        <w:rPr>
          <w:rFonts w:cs="Arial"/>
          <w:sz w:val="22"/>
          <w:szCs w:val="22"/>
          <w:u w:val="single"/>
        </w:rPr>
        <w:t xml:space="preserve">Allen.Hutchinson@sheffield.ac.uk  </w:t>
      </w:r>
    </w:p>
    <w:p w14:paraId="40F5DC74" w14:textId="77777777" w:rsidR="00F37F0F" w:rsidRPr="0031249D" w:rsidRDefault="00F37F0F" w:rsidP="009324A4">
      <w:pPr>
        <w:spacing w:line="360" w:lineRule="auto"/>
        <w:rPr>
          <w:rFonts w:cs="Arial"/>
          <w:b/>
          <w:bCs/>
          <w:sz w:val="22"/>
          <w:szCs w:val="22"/>
        </w:rPr>
      </w:pPr>
      <w:r w:rsidRPr="0031249D">
        <w:rPr>
          <w:rFonts w:cs="Arial"/>
          <w:sz w:val="22"/>
          <w:szCs w:val="22"/>
        </w:rPr>
        <w:t>Keywords:  Safety climate, healthcare</w:t>
      </w:r>
      <w:r w:rsidRPr="0031249D">
        <w:rPr>
          <w:rFonts w:cs="Arial"/>
          <w:sz w:val="22"/>
          <w:szCs w:val="22"/>
        </w:rPr>
        <w:br w:type="page"/>
      </w:r>
      <w:r w:rsidRPr="0031249D">
        <w:rPr>
          <w:rFonts w:cs="Arial"/>
          <w:b/>
          <w:bCs/>
          <w:sz w:val="22"/>
          <w:szCs w:val="22"/>
        </w:rPr>
        <w:lastRenderedPageBreak/>
        <w:t>Abstract:</w:t>
      </w:r>
      <w:r w:rsidRPr="0031249D">
        <w:rPr>
          <w:rFonts w:cs="Arial"/>
          <w:sz w:val="22"/>
          <w:szCs w:val="22"/>
        </w:rPr>
        <w:t xml:space="preserve"> </w:t>
      </w:r>
      <w:r w:rsidRPr="0031249D">
        <w:rPr>
          <w:rFonts w:cs="Arial"/>
          <w:b/>
          <w:bCs/>
          <w:sz w:val="22"/>
          <w:szCs w:val="22"/>
        </w:rPr>
        <w:t>Using a safety climate questionnaire in UK healthcare: factor structure, reliability and usability</w:t>
      </w:r>
    </w:p>
    <w:p w14:paraId="33171F37" w14:textId="77777777" w:rsidR="00F37F0F" w:rsidRPr="0031249D" w:rsidRDefault="00F37F0F" w:rsidP="009324A4">
      <w:pPr>
        <w:spacing w:line="360" w:lineRule="auto"/>
        <w:jc w:val="both"/>
        <w:rPr>
          <w:rFonts w:cs="Arial"/>
          <w:sz w:val="22"/>
          <w:szCs w:val="22"/>
        </w:rPr>
      </w:pPr>
    </w:p>
    <w:p w14:paraId="191548FD" w14:textId="77777777" w:rsidR="00F37F0F" w:rsidRPr="0031249D" w:rsidRDefault="00F37F0F" w:rsidP="009324A4">
      <w:pPr>
        <w:spacing w:line="360" w:lineRule="auto"/>
        <w:jc w:val="both"/>
        <w:rPr>
          <w:rFonts w:cs="Arial"/>
          <w:sz w:val="22"/>
          <w:szCs w:val="22"/>
        </w:rPr>
      </w:pPr>
      <w:r w:rsidRPr="0031249D">
        <w:rPr>
          <w:rFonts w:cs="Arial"/>
          <w:b/>
          <w:bCs/>
          <w:sz w:val="22"/>
          <w:szCs w:val="22"/>
        </w:rPr>
        <w:t>Aim</w:t>
      </w:r>
      <w:r w:rsidRPr="0031249D">
        <w:rPr>
          <w:rFonts w:cs="Arial"/>
          <w:sz w:val="22"/>
          <w:szCs w:val="22"/>
        </w:rPr>
        <w:t>: The study aim was to explore the factor structure, reliability and potential usefulness of a patient safety climate questionnaire in UK healthcare.</w:t>
      </w:r>
    </w:p>
    <w:p w14:paraId="609DDABD" w14:textId="77777777" w:rsidR="00F37F0F" w:rsidRPr="0031249D" w:rsidRDefault="00F37F0F" w:rsidP="009324A4">
      <w:pPr>
        <w:spacing w:line="360" w:lineRule="auto"/>
        <w:jc w:val="both"/>
        <w:rPr>
          <w:rFonts w:cs="Arial"/>
          <w:sz w:val="22"/>
          <w:szCs w:val="22"/>
        </w:rPr>
      </w:pPr>
      <w:r w:rsidRPr="0031249D">
        <w:rPr>
          <w:rFonts w:cs="Arial"/>
          <w:b/>
          <w:bCs/>
          <w:sz w:val="22"/>
          <w:szCs w:val="22"/>
        </w:rPr>
        <w:t>Setting</w:t>
      </w:r>
      <w:r w:rsidRPr="0031249D">
        <w:rPr>
          <w:rFonts w:cs="Arial"/>
          <w:sz w:val="22"/>
          <w:szCs w:val="22"/>
        </w:rPr>
        <w:t>:  Four acute hospital Trusts and nine Primary Care Trusts in England.</w:t>
      </w:r>
    </w:p>
    <w:p w14:paraId="22DD73C8" w14:textId="77777777" w:rsidR="00F37F0F" w:rsidRPr="0031249D" w:rsidRDefault="00F37F0F" w:rsidP="009324A4">
      <w:pPr>
        <w:spacing w:line="360" w:lineRule="auto"/>
        <w:jc w:val="both"/>
        <w:rPr>
          <w:rFonts w:cs="Arial"/>
          <w:sz w:val="22"/>
          <w:szCs w:val="22"/>
        </w:rPr>
      </w:pPr>
      <w:r w:rsidRPr="0031249D">
        <w:rPr>
          <w:rFonts w:cs="Arial"/>
          <w:b/>
          <w:sz w:val="22"/>
          <w:szCs w:val="22"/>
        </w:rPr>
        <w:t>Methods</w:t>
      </w:r>
      <w:r w:rsidRPr="0031249D">
        <w:rPr>
          <w:rFonts w:cs="Arial"/>
          <w:sz w:val="22"/>
          <w:szCs w:val="22"/>
        </w:rPr>
        <w:t>: The questionnaire used was the 27 item “Teamwork and Safety Climate Survey”.  Firstly, 33 healthcare staff commented on wording and relevance.  Secondly, the questionnaire was sent to 3650 staff within the 13 NHS Trusts, seeking to achieve at least 600 responses as the basis for the factor analysis. 1307 questionnaires were returned (36% response).  Factor analyses and reliability analyses were carried out on 897 responses from staff involved in direct patient care, to explore how consistently the questions measured the underlying constructs of safety climate and teamwork.</w:t>
      </w:r>
    </w:p>
    <w:p w14:paraId="24AF8172" w14:textId="77777777" w:rsidR="00F37F0F" w:rsidRPr="0031249D" w:rsidRDefault="00F37F0F" w:rsidP="009324A4">
      <w:pPr>
        <w:spacing w:line="360" w:lineRule="auto"/>
        <w:jc w:val="both"/>
        <w:rPr>
          <w:rFonts w:cs="Arial"/>
          <w:sz w:val="22"/>
          <w:szCs w:val="22"/>
        </w:rPr>
      </w:pPr>
      <w:r w:rsidRPr="0031249D">
        <w:rPr>
          <w:rFonts w:cs="Arial"/>
          <w:b/>
          <w:bCs/>
          <w:sz w:val="22"/>
          <w:szCs w:val="22"/>
        </w:rPr>
        <w:t>Results</w:t>
      </w:r>
      <w:r w:rsidRPr="0031249D">
        <w:rPr>
          <w:rFonts w:cs="Arial"/>
          <w:sz w:val="22"/>
          <w:szCs w:val="22"/>
        </w:rPr>
        <w:t>: S</w:t>
      </w:r>
      <w:r w:rsidRPr="0031249D">
        <w:rPr>
          <w:rFonts w:cs="Arial"/>
          <w:iCs/>
          <w:sz w:val="22"/>
          <w:szCs w:val="22"/>
        </w:rPr>
        <w:t xml:space="preserve">ome questionnaire items related to multiple factors or did not relate strongly to any factor.  </w:t>
      </w:r>
      <w:r w:rsidRPr="0031249D">
        <w:rPr>
          <w:rFonts w:cs="Arial"/>
          <w:sz w:val="22"/>
          <w:szCs w:val="22"/>
        </w:rPr>
        <w:t xml:space="preserve">5 items were discarded.  Two Teamwork factors were derived from the remaining 11 Teamwork items and three Safety Climate factors were derived from the remaining 11 Safety items. Internal consistency reliabilities were satisfactory to good, Cronbach’s alpha being 0.69 and above for all five factors. </w:t>
      </w:r>
    </w:p>
    <w:p w14:paraId="7C05B852" w14:textId="77777777" w:rsidR="00F37F0F" w:rsidRDefault="00F37F0F" w:rsidP="009324A4">
      <w:pPr>
        <w:spacing w:line="360" w:lineRule="auto"/>
        <w:jc w:val="both"/>
        <w:rPr>
          <w:rFonts w:cs="Arial"/>
          <w:sz w:val="22"/>
          <w:szCs w:val="22"/>
        </w:rPr>
      </w:pPr>
      <w:r w:rsidRPr="0031249D">
        <w:rPr>
          <w:rFonts w:cs="Arial"/>
          <w:b/>
          <w:bCs/>
          <w:sz w:val="22"/>
          <w:szCs w:val="22"/>
        </w:rPr>
        <w:t>Conclusions</w:t>
      </w:r>
      <w:r w:rsidRPr="0031249D">
        <w:rPr>
          <w:rFonts w:cs="Arial"/>
          <w:sz w:val="22"/>
          <w:szCs w:val="22"/>
        </w:rPr>
        <w:t xml:space="preserve">: This is one of the few studies to undertake a detailed evaluation of a patient safety climate questionnaire in UK healthcare and possibly the first to do so in primary as well as secondary care.  The results indicate that a 22 item version of this safety climate questionnaire is useable as a research instrument in both settings, but also demonstrates a more general need for thorough validation of safety climate questionnaires before widespread usage.  </w:t>
      </w:r>
    </w:p>
    <w:p w14:paraId="027D0DB1" w14:textId="77777777" w:rsidR="009324A4" w:rsidRDefault="009324A4" w:rsidP="009324A4">
      <w:pPr>
        <w:spacing w:line="360" w:lineRule="auto"/>
        <w:jc w:val="both"/>
        <w:rPr>
          <w:rFonts w:cs="Arial"/>
          <w:sz w:val="22"/>
          <w:szCs w:val="22"/>
        </w:rPr>
      </w:pPr>
    </w:p>
    <w:p w14:paraId="1282E1FF" w14:textId="77777777" w:rsidR="009324A4" w:rsidRDefault="009324A4" w:rsidP="009324A4">
      <w:pPr>
        <w:spacing w:line="360" w:lineRule="auto"/>
        <w:jc w:val="both"/>
        <w:rPr>
          <w:rFonts w:cs="Arial"/>
          <w:sz w:val="22"/>
          <w:szCs w:val="22"/>
        </w:rPr>
      </w:pPr>
    </w:p>
    <w:p w14:paraId="4224AAF0" w14:textId="77777777" w:rsidR="009324A4" w:rsidRDefault="009324A4" w:rsidP="009324A4">
      <w:pPr>
        <w:spacing w:line="360" w:lineRule="auto"/>
        <w:jc w:val="both"/>
        <w:rPr>
          <w:rFonts w:cs="Arial"/>
          <w:sz w:val="22"/>
          <w:szCs w:val="22"/>
        </w:rPr>
      </w:pPr>
    </w:p>
    <w:p w14:paraId="13BE859E" w14:textId="77777777" w:rsidR="00A12147" w:rsidRDefault="00A12147" w:rsidP="009324A4">
      <w:pPr>
        <w:spacing w:line="360" w:lineRule="auto"/>
        <w:jc w:val="both"/>
        <w:rPr>
          <w:rFonts w:cs="Arial"/>
          <w:sz w:val="22"/>
          <w:szCs w:val="22"/>
        </w:rPr>
      </w:pPr>
    </w:p>
    <w:p w14:paraId="0F18BC5E" w14:textId="77777777" w:rsidR="009324A4" w:rsidRPr="0031249D" w:rsidRDefault="009324A4" w:rsidP="009324A4">
      <w:pPr>
        <w:spacing w:line="360" w:lineRule="auto"/>
        <w:jc w:val="both"/>
        <w:rPr>
          <w:rFonts w:cs="Arial"/>
          <w:sz w:val="22"/>
          <w:szCs w:val="22"/>
        </w:rPr>
      </w:pPr>
    </w:p>
    <w:p w14:paraId="42FF1DF1" w14:textId="77777777" w:rsidR="00F37F0F" w:rsidRPr="0031249D" w:rsidRDefault="00F37F0F" w:rsidP="009324A4">
      <w:pPr>
        <w:spacing w:line="360" w:lineRule="auto"/>
        <w:jc w:val="both"/>
        <w:rPr>
          <w:rFonts w:cs="Arial"/>
          <w:b/>
          <w:bCs/>
          <w:sz w:val="22"/>
          <w:szCs w:val="22"/>
        </w:rPr>
      </w:pPr>
      <w:r w:rsidRPr="0031249D">
        <w:rPr>
          <w:rFonts w:cs="Arial"/>
          <w:b/>
          <w:bCs/>
          <w:sz w:val="22"/>
          <w:szCs w:val="22"/>
        </w:rPr>
        <w:lastRenderedPageBreak/>
        <w:t>Using a safety climate questionnaire in UK healthcare: factor structure, reliability and usability</w:t>
      </w:r>
    </w:p>
    <w:p w14:paraId="502C7E71" w14:textId="77777777" w:rsidR="00F37F0F" w:rsidRPr="0031249D" w:rsidRDefault="00F37F0F" w:rsidP="009324A4">
      <w:pPr>
        <w:spacing w:line="360" w:lineRule="auto"/>
        <w:jc w:val="both"/>
        <w:rPr>
          <w:rFonts w:cs="Arial"/>
          <w:sz w:val="22"/>
          <w:szCs w:val="22"/>
        </w:rPr>
      </w:pPr>
      <w:r w:rsidRPr="0031249D">
        <w:rPr>
          <w:rFonts w:cs="Arial"/>
          <w:sz w:val="22"/>
          <w:szCs w:val="22"/>
        </w:rPr>
        <w:t>As healthcare comes to be seen as a potentially high-risk environment, there is increasing pressure to assess the safety culture of health care organisations.  Some authors promote the use of semi-structured or qualitative approaches to assessing culture [1] whilst others suggest that culture can be assessed using a questionnaire approach. [2][3]</w:t>
      </w:r>
    </w:p>
    <w:p w14:paraId="55FB915D" w14:textId="77777777" w:rsidR="00F37F0F" w:rsidRPr="0031249D" w:rsidRDefault="00F37F0F" w:rsidP="009324A4">
      <w:pPr>
        <w:spacing w:line="360" w:lineRule="auto"/>
        <w:jc w:val="both"/>
        <w:rPr>
          <w:rFonts w:cs="Arial"/>
          <w:sz w:val="22"/>
          <w:szCs w:val="22"/>
        </w:rPr>
      </w:pPr>
      <w:r w:rsidRPr="0031249D">
        <w:rPr>
          <w:rFonts w:cs="Arial"/>
          <w:sz w:val="22"/>
          <w:szCs w:val="22"/>
        </w:rPr>
        <w:t>There is a real debate over how effectively culture can be assessed using climate questionnaires.  As described by Denison [4], culture refers to the ‘deep structure of organisations’ (values, beliefs and behaviours) and is traditionally assessed through interviews or observation, whereas climate mainly concerns individuals’ perceptions of their work environment (policies, practices and procedures) at a particular point in time [5][6][7][8] and is amenable to measurement by questionnaire [9].  Despite this debate, safety climate questionnaires have been used to assess safety culture in many safety-critical industries such as nuclear power and aviation [10] and petrochemicals [11].  Some questionnaires for use in healthcare have been derived from work in other industries such as aviation [12] or have included several items validated in other settings; for example, the armed forces [13].   Most of the available healthcare safety climate questionnaires have been developed in the United States.</w:t>
      </w:r>
    </w:p>
    <w:p w14:paraId="2F046E3C" w14:textId="77777777" w:rsidR="00F37F0F" w:rsidRPr="0031249D" w:rsidRDefault="00F37F0F" w:rsidP="009324A4">
      <w:pPr>
        <w:spacing w:line="360" w:lineRule="auto"/>
        <w:jc w:val="both"/>
        <w:rPr>
          <w:rFonts w:cs="Arial"/>
          <w:sz w:val="22"/>
          <w:szCs w:val="22"/>
        </w:rPr>
      </w:pPr>
      <w:r w:rsidRPr="0031249D">
        <w:rPr>
          <w:rFonts w:cs="Arial"/>
          <w:sz w:val="22"/>
          <w:szCs w:val="22"/>
        </w:rPr>
        <w:t>It has been suggested that safety climate questionnaire data may be used as an indicator of aspects of the underlying safety culture [14] whilst others have  promoted use of this data to evaluate safety programmes or track changes over time in a healthcare setting [15][16].  Now a number of US-developed safety climate questionnaires can be accessed via the internet [1][16][17] and are beginning to be used by US and UK healthcare organisations.</w:t>
      </w:r>
    </w:p>
    <w:p w14:paraId="5805B848" w14:textId="77777777" w:rsidR="00F37F0F" w:rsidRPr="0031249D" w:rsidRDefault="00F37F0F" w:rsidP="009324A4">
      <w:pPr>
        <w:spacing w:line="360" w:lineRule="auto"/>
        <w:jc w:val="both"/>
        <w:rPr>
          <w:rFonts w:cs="Arial"/>
          <w:sz w:val="22"/>
          <w:szCs w:val="22"/>
        </w:rPr>
      </w:pPr>
      <w:r w:rsidRPr="0031249D">
        <w:rPr>
          <w:rFonts w:cs="Arial"/>
          <w:sz w:val="22"/>
          <w:szCs w:val="22"/>
        </w:rPr>
        <w:t>Although there is a slowly building research literature on the scientific basis for measuring safety culture in healthcare, there has been a warning that ‘the enthusiasm for measuring culture may be outpacing the science’ [2].   This may particularly be the case where there has been limited testing of how consistently the questionnaires measure specific domains of safety and also of whether questionnaires developed in one environment are valid for use in another healthcare setting.  Such environmental differences might be at the national level (e.g. whether a US-developed questionnaire has the same meaning in a UK setting) or at the organisational level (e.g. whether a questionnaire designed for acute hospital care can also be used in primary care/general practice).</w:t>
      </w:r>
    </w:p>
    <w:p w14:paraId="6E7B7CBE" w14:textId="77777777" w:rsidR="00F37F0F" w:rsidRPr="0031249D" w:rsidRDefault="00F37F0F" w:rsidP="009324A4">
      <w:pPr>
        <w:spacing w:line="360" w:lineRule="auto"/>
        <w:jc w:val="both"/>
        <w:rPr>
          <w:rFonts w:cs="Arial"/>
          <w:sz w:val="22"/>
          <w:szCs w:val="22"/>
        </w:rPr>
      </w:pPr>
      <w:r w:rsidRPr="0031249D">
        <w:rPr>
          <w:rFonts w:cs="Arial"/>
          <w:sz w:val="22"/>
          <w:szCs w:val="22"/>
        </w:rPr>
        <w:t xml:space="preserve">The aim of this study was to explore these questions by investigating the factor structure, internal reliability and usefulness of a US-developed safety climate questionnaire in a UK </w:t>
      </w:r>
      <w:r w:rsidRPr="0031249D">
        <w:rPr>
          <w:rFonts w:cs="Arial"/>
          <w:sz w:val="22"/>
          <w:szCs w:val="22"/>
        </w:rPr>
        <w:lastRenderedPageBreak/>
        <w:t>healthcare setting.  An additional aim was to explore the relevance of the same questionnaire in both primary and secondary care.  The study sought to achieve enough responses from each of the two settings to be able to undertake an analysis of the underlying factor structure of the questionnaire items (rather than attempting to assess the actual safety culture of the individual organisations, which would require a response rate of at least 50-60%).</w:t>
      </w:r>
    </w:p>
    <w:p w14:paraId="126D7605" w14:textId="77777777" w:rsidR="00F37F0F" w:rsidRPr="0031249D" w:rsidRDefault="00F37F0F" w:rsidP="009324A4">
      <w:pPr>
        <w:spacing w:line="360" w:lineRule="auto"/>
        <w:jc w:val="both"/>
        <w:rPr>
          <w:rFonts w:cs="Arial"/>
          <w:sz w:val="22"/>
          <w:szCs w:val="22"/>
        </w:rPr>
      </w:pPr>
    </w:p>
    <w:p w14:paraId="0C554E00" w14:textId="77777777" w:rsidR="00F37F0F" w:rsidRPr="0031249D" w:rsidRDefault="00F37F0F" w:rsidP="009324A4">
      <w:pPr>
        <w:spacing w:line="360" w:lineRule="auto"/>
        <w:jc w:val="both"/>
        <w:rPr>
          <w:rFonts w:cs="Arial"/>
          <w:sz w:val="22"/>
          <w:szCs w:val="22"/>
        </w:rPr>
      </w:pPr>
      <w:r w:rsidRPr="0031249D">
        <w:rPr>
          <w:rFonts w:cs="Arial"/>
          <w:b/>
          <w:bCs/>
          <w:sz w:val="22"/>
          <w:szCs w:val="22"/>
        </w:rPr>
        <w:t xml:space="preserve">Methods </w:t>
      </w:r>
    </w:p>
    <w:p w14:paraId="3F9E019C" w14:textId="77777777" w:rsidR="00F37F0F" w:rsidRPr="0031249D" w:rsidRDefault="00F37F0F" w:rsidP="009324A4">
      <w:pPr>
        <w:spacing w:line="360" w:lineRule="auto"/>
        <w:jc w:val="both"/>
        <w:rPr>
          <w:rFonts w:cs="Arial"/>
          <w:i/>
          <w:sz w:val="22"/>
          <w:szCs w:val="22"/>
        </w:rPr>
      </w:pPr>
      <w:r w:rsidRPr="0031249D">
        <w:rPr>
          <w:rFonts w:cs="Arial"/>
          <w:i/>
          <w:sz w:val="22"/>
          <w:szCs w:val="22"/>
        </w:rPr>
        <w:t>Selection of instrument</w:t>
      </w:r>
    </w:p>
    <w:p w14:paraId="2BB08C93" w14:textId="77777777" w:rsidR="00F37F0F" w:rsidRPr="0031249D" w:rsidRDefault="00F37F0F" w:rsidP="009324A4">
      <w:pPr>
        <w:spacing w:line="360" w:lineRule="auto"/>
        <w:jc w:val="both"/>
        <w:rPr>
          <w:rFonts w:cs="Arial"/>
          <w:sz w:val="22"/>
          <w:szCs w:val="22"/>
        </w:rPr>
      </w:pPr>
      <w:r w:rsidRPr="0031249D">
        <w:rPr>
          <w:rFonts w:cs="Arial"/>
          <w:sz w:val="22"/>
          <w:szCs w:val="22"/>
        </w:rPr>
        <w:t>A review of available patient safety climate questionnaires was undertaken in late 2003. Selection criteria were that 1) there was some public domain evidence base concerning development, 2) the instrument measured safety climate at the clinical team or directorate level, and 3) the instrument was short enough for use by busy health professionals.  Using these criteria there was a limited selection from which to choose, some still being in final development stage [13][15][17] and</w:t>
      </w:r>
      <w:r w:rsidRPr="0031249D">
        <w:rPr>
          <w:sz w:val="22"/>
          <w:szCs w:val="22"/>
        </w:rPr>
        <w:t xml:space="preserve"> </w:t>
      </w:r>
      <w:r w:rsidRPr="0031249D">
        <w:rPr>
          <w:rFonts w:cs="Arial"/>
          <w:sz w:val="22"/>
          <w:szCs w:val="22"/>
        </w:rPr>
        <w:t>others having limited peer reviewed data available, including the ‘family’ of the approximately 65 item “Safety Attitude Questionnaire” (SAQ) [2][12][18], the 19 item “Safety Climate Survey” [3][16][19] and the 27 item “Teamwork and Safety Climate Survey” [18].</w:t>
      </w:r>
    </w:p>
    <w:p w14:paraId="2F0DA125" w14:textId="77777777" w:rsidR="00F37F0F" w:rsidRPr="0031249D" w:rsidRDefault="00F37F0F" w:rsidP="009324A4">
      <w:pPr>
        <w:spacing w:line="360" w:lineRule="auto"/>
        <w:jc w:val="both"/>
        <w:rPr>
          <w:rFonts w:cs="Arial"/>
          <w:sz w:val="22"/>
          <w:szCs w:val="22"/>
        </w:rPr>
      </w:pPr>
      <w:r w:rsidRPr="0031249D">
        <w:rPr>
          <w:rFonts w:cs="Arial"/>
          <w:sz w:val="22"/>
          <w:szCs w:val="22"/>
        </w:rPr>
        <w:t xml:space="preserve">Using our selection criteria we identified two of the shorter instruments (the Stanford University “Patient Safety Climate in Healthcare Organizations” questionnaire [13] and the “Teamwork and Safety Climate Survey” [18]) as possibly useful among frontline NHS staff.  </w:t>
      </w:r>
    </w:p>
    <w:p w14:paraId="38EBD5B1" w14:textId="77777777" w:rsidR="00F37F0F" w:rsidRPr="0031249D" w:rsidRDefault="00F37F0F" w:rsidP="009324A4">
      <w:pPr>
        <w:spacing w:line="360" w:lineRule="auto"/>
        <w:jc w:val="both"/>
        <w:rPr>
          <w:rFonts w:cs="Arial"/>
          <w:sz w:val="22"/>
          <w:szCs w:val="22"/>
        </w:rPr>
      </w:pPr>
      <w:r w:rsidRPr="0031249D">
        <w:rPr>
          <w:rFonts w:cs="Arial"/>
          <w:sz w:val="22"/>
          <w:szCs w:val="22"/>
        </w:rPr>
        <w:t>Thirty-three healthcare professionals, 16 from primary care and 17 from acute hospital care, were asked to complete these two questionnaires and comment on their understanding of each item in the manner of a ‘thinking aloud’ protocol [20][21].  On the basis of this work, we concluded that the 27 item Teamwork and Safety Climate Survey contained a greater number of items that were applicable to front-line clinical teams; this instrument was therefore taken forward for further study.  The original one-page format was retained and UK-related demographic questions added.</w:t>
      </w:r>
    </w:p>
    <w:p w14:paraId="4A71CB8E" w14:textId="77777777" w:rsidR="00F37F0F" w:rsidRPr="0031249D" w:rsidRDefault="00F37F0F" w:rsidP="009324A4">
      <w:pPr>
        <w:spacing w:line="360" w:lineRule="auto"/>
        <w:jc w:val="both"/>
        <w:rPr>
          <w:rFonts w:cs="Arial"/>
          <w:i/>
          <w:sz w:val="22"/>
          <w:szCs w:val="22"/>
        </w:rPr>
      </w:pPr>
      <w:r w:rsidRPr="0031249D">
        <w:rPr>
          <w:rFonts w:cs="Arial"/>
          <w:i/>
          <w:sz w:val="22"/>
          <w:szCs w:val="22"/>
        </w:rPr>
        <w:t>The sample</w:t>
      </w:r>
    </w:p>
    <w:p w14:paraId="0A9AE1C7" w14:textId="77777777" w:rsidR="00F37F0F" w:rsidRPr="0031249D" w:rsidRDefault="00F37F0F" w:rsidP="009324A4">
      <w:pPr>
        <w:spacing w:line="360" w:lineRule="auto"/>
        <w:jc w:val="both"/>
        <w:rPr>
          <w:rFonts w:cs="Arial"/>
          <w:sz w:val="22"/>
          <w:szCs w:val="22"/>
        </w:rPr>
      </w:pPr>
      <w:r w:rsidRPr="0031249D">
        <w:rPr>
          <w:rFonts w:cs="Arial"/>
          <w:sz w:val="22"/>
          <w:szCs w:val="22"/>
        </w:rPr>
        <w:t xml:space="preserve">The purpose of using the questionnaire in a single-round study was to provide sufficient responses on which to carry out factor analysis and reliability analysis of the questionnaire structure.  At least 300 responses were required for the factor analysis of each of the </w:t>
      </w:r>
      <w:r w:rsidRPr="0031249D">
        <w:rPr>
          <w:rFonts w:cs="Arial"/>
          <w:sz w:val="22"/>
          <w:szCs w:val="22"/>
        </w:rPr>
        <w:lastRenderedPageBreak/>
        <w:t xml:space="preserve">healthcare staff populations (acute care and primary care), a minimum of 600 in all.  The sample size for the study was calculated accordingly, with the anticipation that the response rate may be as low as 20%.  </w:t>
      </w:r>
    </w:p>
    <w:p w14:paraId="72D444F0" w14:textId="77777777" w:rsidR="00F37F0F" w:rsidRPr="0031249D" w:rsidRDefault="00F37F0F" w:rsidP="009324A4">
      <w:pPr>
        <w:spacing w:line="360" w:lineRule="auto"/>
        <w:jc w:val="both"/>
        <w:rPr>
          <w:rFonts w:cs="Arial"/>
          <w:sz w:val="22"/>
          <w:szCs w:val="22"/>
        </w:rPr>
      </w:pPr>
      <w:r w:rsidRPr="0031249D">
        <w:rPr>
          <w:rFonts w:cs="Arial"/>
          <w:sz w:val="22"/>
          <w:szCs w:val="22"/>
        </w:rPr>
        <w:t>Staff from 13 healthcare organisations were invited to take part.  In the four acute hospital Trusts a random sample of 1900 recipients was drawn from staff involved in direct patient care, management, clinical support services or patient contact administration roles.  The Teamwork and Safety Climate questionnaires were distributed through the hospital postal systems and returned in a reply-paid envelope direct to the study team.</w:t>
      </w:r>
    </w:p>
    <w:p w14:paraId="5465AD7D" w14:textId="77777777" w:rsidR="00F37F0F" w:rsidRPr="0031249D" w:rsidRDefault="00F37F0F" w:rsidP="009324A4">
      <w:pPr>
        <w:spacing w:line="360" w:lineRule="auto"/>
        <w:jc w:val="both"/>
        <w:rPr>
          <w:rFonts w:cs="Arial"/>
          <w:sz w:val="22"/>
          <w:szCs w:val="22"/>
        </w:rPr>
      </w:pPr>
      <w:r w:rsidRPr="0031249D">
        <w:rPr>
          <w:rFonts w:cs="Arial"/>
          <w:sz w:val="22"/>
          <w:szCs w:val="22"/>
        </w:rPr>
        <w:t>In the nine Primary Care Trusts, the questionnaire was sent to 1750 staff, including General Practitioners, Practice Nurses and Practice Managers, and a sample of other staff (Community Nurses, Health Visitors, School Nurses and Allied Health Professionals).</w:t>
      </w:r>
    </w:p>
    <w:p w14:paraId="5BBD6974" w14:textId="77777777" w:rsidR="00F37F0F" w:rsidRPr="0031249D" w:rsidRDefault="00F37F0F" w:rsidP="009324A4">
      <w:pPr>
        <w:spacing w:line="360" w:lineRule="auto"/>
        <w:jc w:val="both"/>
        <w:rPr>
          <w:rFonts w:cs="Arial"/>
          <w:i/>
          <w:sz w:val="22"/>
          <w:szCs w:val="22"/>
        </w:rPr>
      </w:pPr>
      <w:r w:rsidRPr="0031249D">
        <w:rPr>
          <w:rFonts w:cs="Arial"/>
          <w:i/>
          <w:sz w:val="22"/>
          <w:szCs w:val="22"/>
        </w:rPr>
        <w:t>Analysis</w:t>
      </w:r>
    </w:p>
    <w:p w14:paraId="0C836734" w14:textId="77777777" w:rsidR="00F37F0F" w:rsidRPr="0031249D" w:rsidRDefault="00F37F0F" w:rsidP="009324A4">
      <w:pPr>
        <w:autoSpaceDE w:val="0"/>
        <w:autoSpaceDN w:val="0"/>
        <w:adjustRightInd w:val="0"/>
        <w:spacing w:line="360" w:lineRule="auto"/>
        <w:jc w:val="both"/>
        <w:rPr>
          <w:rFonts w:cs="Arial"/>
          <w:sz w:val="22"/>
          <w:szCs w:val="22"/>
        </w:rPr>
      </w:pPr>
      <w:r w:rsidRPr="0031249D">
        <w:rPr>
          <w:color w:val="000000"/>
          <w:sz w:val="22"/>
          <w:szCs w:val="22"/>
          <w:lang w:val="en-US"/>
        </w:rPr>
        <w:t xml:space="preserve">Factor analysis explores the extent to which individual items </w:t>
      </w:r>
      <w:r w:rsidRPr="0031249D">
        <w:rPr>
          <w:rFonts w:cs="Arial"/>
          <w:sz w:val="22"/>
          <w:szCs w:val="22"/>
        </w:rPr>
        <w:t xml:space="preserve">in a questionnaire </w:t>
      </w:r>
      <w:r w:rsidRPr="0031249D">
        <w:rPr>
          <w:color w:val="000000"/>
          <w:sz w:val="22"/>
          <w:szCs w:val="22"/>
          <w:lang w:val="en-US"/>
        </w:rPr>
        <w:t>can be grouped together according to the correlations between the responses to them, hence reducing the dimensionality of the data.  If a questionnaire is to have construct validity, then the items should measure key underlying concepts (or factors) in a coherent way; items successfully measuring the same underlying factor should consistently generate similar responses to each other.  The resulting groups of items can then be examined to interpret the meaning of the factors.</w:t>
      </w:r>
    </w:p>
    <w:p w14:paraId="281AE420" w14:textId="77777777" w:rsidR="00F37F0F" w:rsidRPr="0031249D" w:rsidRDefault="00F37F0F" w:rsidP="009324A4">
      <w:pPr>
        <w:spacing w:line="360" w:lineRule="auto"/>
        <w:jc w:val="both"/>
        <w:rPr>
          <w:rFonts w:cs="Arial"/>
          <w:sz w:val="22"/>
          <w:szCs w:val="22"/>
        </w:rPr>
      </w:pPr>
      <w:r w:rsidRPr="0031249D">
        <w:rPr>
          <w:rFonts w:cs="Arial"/>
          <w:sz w:val="22"/>
          <w:szCs w:val="22"/>
        </w:rPr>
        <w:t xml:space="preserve"> The questionnaire contained two sections, “Teamwork” and “Safety Climate” [18][25].  An initial exploratory factor analysis on all 27 items showed that the Teamwork questions factored out separately to the Safety Climate questions, but that there were multiple factors within each section.  Exploratory factor analysis was therefore undertaken separately on each of the two domains of the questionnaire, Teamwork (14 items) and Safety Climate (13 items).  This was carried out on a random 50% sample of respondents (the ‘construction’ half of the data), using principal components extraction.  The number of factors to be extracted was determined using the Kaiser criterion (eigenvalues greater than 1) in conjunction with assessment of scree plots (the former method has a tendency to over-extract but in this case the two methods suggested identical solutions).  Oblique rotation was used to aid interpretation of the resulting factor loadings.  An optimal factor structure was derived and the internal consistency reliabilities of the resulting factors were assessed using Cronbach’s alpha.   Analysis was performed in </w:t>
      </w:r>
      <w:r w:rsidRPr="0031249D">
        <w:rPr>
          <w:rFonts w:cs="Arial"/>
          <w:i/>
          <w:sz w:val="22"/>
          <w:szCs w:val="22"/>
        </w:rPr>
        <w:t>M</w:t>
      </w:r>
      <w:r w:rsidRPr="0031249D">
        <w:rPr>
          <w:rFonts w:cs="Arial"/>
          <w:sz w:val="22"/>
          <w:szCs w:val="22"/>
        </w:rPr>
        <w:t>plus using maximum likelihood estimation.</w:t>
      </w:r>
    </w:p>
    <w:p w14:paraId="2AAE55E0" w14:textId="77777777" w:rsidR="00F37F0F" w:rsidRPr="0031249D" w:rsidRDefault="00F37F0F" w:rsidP="009324A4">
      <w:pPr>
        <w:spacing w:line="360" w:lineRule="auto"/>
        <w:jc w:val="both"/>
        <w:rPr>
          <w:rFonts w:cs="Arial"/>
          <w:sz w:val="22"/>
          <w:szCs w:val="22"/>
        </w:rPr>
      </w:pPr>
      <w:r w:rsidRPr="0031249D">
        <w:rPr>
          <w:rFonts w:cs="Arial"/>
          <w:sz w:val="22"/>
          <w:szCs w:val="22"/>
        </w:rPr>
        <w:lastRenderedPageBreak/>
        <w:t>Confirmatory factor analysis was then undertaken to assess the fit of the proposed factor structure to the remaining 50% of the dataset.  This was examined using a number of fit indices: CFI (comparative fit index), TLI (Tucker-Lewis index), RMSEA (Root Mean Square Error of Approximation) and SRMR (Standardized Root Mean Square Residual), in addition to the model chi square statistic.  Missing items were listwise deleted, and items were treated as continuous variables.</w:t>
      </w:r>
    </w:p>
    <w:p w14:paraId="7D213954" w14:textId="77777777" w:rsidR="00F37F0F" w:rsidRPr="0031249D" w:rsidRDefault="00F37F0F" w:rsidP="009324A4">
      <w:pPr>
        <w:spacing w:line="360" w:lineRule="auto"/>
        <w:jc w:val="both"/>
        <w:rPr>
          <w:rFonts w:cs="Arial"/>
          <w:sz w:val="22"/>
          <w:szCs w:val="22"/>
        </w:rPr>
      </w:pPr>
      <w:r w:rsidRPr="0031249D">
        <w:rPr>
          <w:rFonts w:cs="Arial"/>
          <w:sz w:val="22"/>
          <w:szCs w:val="22"/>
        </w:rPr>
        <w:t>To assess how well the factor model separately fitted each of the primary care and hospital datasets, and also whether there was a difference in the level of reported Teamwork and Safety Climate between the two groups, a test of factorial invariance and population homogeneity was carried out.  This consisted of performing a series of confirmatory factor analyses, within which successive model parameters (inter-factor correlations, scale means, variances and factor loadings) were allowed to vary between the primary and secondary care groups.  At each stage the results were examined to determine whether allowing the parameters to differ between the groups had improved the fit of the model (which would suggest a difference between the groups either in the factor structure or in the level of Teamwork / Safety Climate).  Additionally, a confirmatory factor analysis was carried out on each of the primary and secondary care groups separately.</w:t>
      </w:r>
    </w:p>
    <w:p w14:paraId="7EA14C3D" w14:textId="77777777" w:rsidR="00F37F0F" w:rsidRPr="0031249D" w:rsidRDefault="00F37F0F" w:rsidP="009324A4">
      <w:pPr>
        <w:spacing w:line="360" w:lineRule="auto"/>
        <w:jc w:val="both"/>
        <w:rPr>
          <w:rFonts w:cs="Arial"/>
          <w:i/>
          <w:sz w:val="22"/>
          <w:szCs w:val="22"/>
        </w:rPr>
      </w:pPr>
      <w:r w:rsidRPr="0031249D">
        <w:rPr>
          <w:rFonts w:cs="Arial"/>
          <w:i/>
          <w:sz w:val="22"/>
          <w:szCs w:val="22"/>
        </w:rPr>
        <w:t>Research governance</w:t>
      </w:r>
    </w:p>
    <w:p w14:paraId="0CF6C2C3" w14:textId="77777777" w:rsidR="00F37F0F" w:rsidRPr="0031249D" w:rsidRDefault="00F37F0F" w:rsidP="009324A4">
      <w:pPr>
        <w:spacing w:line="360" w:lineRule="auto"/>
        <w:jc w:val="both"/>
        <w:rPr>
          <w:rFonts w:cs="Arial"/>
          <w:sz w:val="22"/>
          <w:szCs w:val="22"/>
        </w:rPr>
      </w:pPr>
      <w:r w:rsidRPr="0031249D">
        <w:rPr>
          <w:rFonts w:cs="Arial"/>
          <w:sz w:val="22"/>
          <w:szCs w:val="22"/>
        </w:rPr>
        <w:t>External scientific review was provided by the Sheffield Health and Social Research Consortium.  Ethical review was provided by North Sheffield Research Ethics Committee and research governance approval sought from each participating organisation.</w:t>
      </w:r>
    </w:p>
    <w:p w14:paraId="719A7D64" w14:textId="77777777" w:rsidR="00F37F0F" w:rsidRPr="0031249D" w:rsidRDefault="00F37F0F" w:rsidP="009324A4">
      <w:pPr>
        <w:spacing w:line="360" w:lineRule="auto"/>
        <w:jc w:val="both"/>
        <w:rPr>
          <w:rFonts w:cs="Arial"/>
          <w:sz w:val="22"/>
          <w:szCs w:val="22"/>
        </w:rPr>
      </w:pPr>
    </w:p>
    <w:p w14:paraId="4EC95B44" w14:textId="77777777" w:rsidR="00F37F0F" w:rsidRPr="0031249D" w:rsidRDefault="00F37F0F" w:rsidP="009324A4">
      <w:pPr>
        <w:spacing w:line="360" w:lineRule="auto"/>
        <w:jc w:val="both"/>
        <w:rPr>
          <w:rFonts w:cs="Arial"/>
          <w:sz w:val="22"/>
          <w:szCs w:val="22"/>
        </w:rPr>
      </w:pPr>
      <w:r w:rsidRPr="0031249D">
        <w:rPr>
          <w:rFonts w:cs="Arial"/>
          <w:b/>
          <w:bCs/>
          <w:sz w:val="22"/>
          <w:szCs w:val="22"/>
        </w:rPr>
        <w:t xml:space="preserve">Results  </w:t>
      </w:r>
    </w:p>
    <w:p w14:paraId="1DBF15F3" w14:textId="77777777" w:rsidR="00F37F0F" w:rsidRPr="0031249D" w:rsidRDefault="00F37F0F" w:rsidP="009324A4">
      <w:pPr>
        <w:pStyle w:val="Heading3"/>
        <w:spacing w:line="360" w:lineRule="auto"/>
        <w:rPr>
          <w:sz w:val="22"/>
          <w:szCs w:val="22"/>
        </w:rPr>
      </w:pPr>
      <w:r w:rsidRPr="0031249D">
        <w:rPr>
          <w:sz w:val="22"/>
          <w:szCs w:val="22"/>
        </w:rPr>
        <w:t>Face validity</w:t>
      </w:r>
    </w:p>
    <w:p w14:paraId="46B9C160" w14:textId="77777777" w:rsidR="00F37F0F" w:rsidRPr="0031249D" w:rsidRDefault="00F37F0F" w:rsidP="009324A4">
      <w:pPr>
        <w:spacing w:line="360" w:lineRule="auto"/>
        <w:jc w:val="both"/>
        <w:rPr>
          <w:rFonts w:cs="Arial"/>
          <w:sz w:val="22"/>
          <w:szCs w:val="22"/>
        </w:rPr>
      </w:pPr>
      <w:r w:rsidRPr="0031249D">
        <w:rPr>
          <w:rFonts w:cs="Arial"/>
          <w:sz w:val="22"/>
          <w:szCs w:val="22"/>
        </w:rPr>
        <w:t>As a result of the ‘thinking aloud’ exercise, minor adaptations were made to the questionnaire wording before it was used in the survey.  For example, ‘institution’ was changed to ‘organisation’ and ‘physicians’ to ‘doctors’.  However, care was taken not to alter the underlying meaning of the items, and for this reason some wording was left unchanged; for example, the term ‘briefings’ (which was unfamiliar to a number of respondents) and ‘medical error’ (which several respondents associated only with doctors/medical interventions).</w:t>
      </w:r>
    </w:p>
    <w:p w14:paraId="5F3C5F42" w14:textId="77777777" w:rsidR="00F37F0F" w:rsidRPr="0031249D" w:rsidRDefault="00F37F0F" w:rsidP="009324A4">
      <w:pPr>
        <w:spacing w:line="360" w:lineRule="auto"/>
        <w:jc w:val="both"/>
        <w:rPr>
          <w:rFonts w:cs="Arial"/>
          <w:i/>
          <w:iCs/>
          <w:sz w:val="22"/>
          <w:szCs w:val="22"/>
        </w:rPr>
      </w:pPr>
      <w:r w:rsidRPr="0031249D">
        <w:rPr>
          <w:rFonts w:cs="Arial"/>
          <w:i/>
          <w:iCs/>
          <w:sz w:val="22"/>
          <w:szCs w:val="22"/>
        </w:rPr>
        <w:t>Survey response rates</w:t>
      </w:r>
    </w:p>
    <w:p w14:paraId="2A1F4995" w14:textId="77777777" w:rsidR="00F37F0F" w:rsidRPr="0031249D" w:rsidRDefault="00F37F0F" w:rsidP="009324A4">
      <w:pPr>
        <w:spacing w:line="360" w:lineRule="auto"/>
        <w:jc w:val="both"/>
        <w:rPr>
          <w:rFonts w:cs="Arial"/>
          <w:sz w:val="22"/>
          <w:szCs w:val="22"/>
        </w:rPr>
      </w:pPr>
      <w:r w:rsidRPr="0031249D">
        <w:rPr>
          <w:rFonts w:cs="Arial"/>
          <w:sz w:val="22"/>
          <w:szCs w:val="22"/>
        </w:rPr>
        <w:lastRenderedPageBreak/>
        <w:t xml:space="preserve">Since the aim of the study was primarily to examine the factor structure, a single-round posting was used (with no follow-up requests to non-responders).  1307 responses were received, the overall response rate being 36% (33% for Primary Care Trusts and 38% for acute hospital Trusts).  The number of responses and associated response rates were felt to be sufficient for factor analysis, since non-responders were unlikely to differ from respondents </w:t>
      </w:r>
      <w:r w:rsidRPr="0031249D">
        <w:rPr>
          <w:rFonts w:cs="Arial"/>
          <w:color w:val="000000"/>
          <w:sz w:val="22"/>
          <w:szCs w:val="22"/>
          <w:lang w:val="en-US"/>
        </w:rPr>
        <w:t>in terms of the pattern of relationship between their responses to different questions (i.e. the factor structure).</w:t>
      </w:r>
    </w:p>
    <w:p w14:paraId="0D56B478" w14:textId="77777777" w:rsidR="00F37F0F" w:rsidRPr="0031249D" w:rsidRDefault="00F37F0F" w:rsidP="009324A4">
      <w:pPr>
        <w:spacing w:line="360" w:lineRule="auto"/>
        <w:jc w:val="both"/>
        <w:rPr>
          <w:rFonts w:cs="Arial"/>
          <w:i/>
          <w:sz w:val="22"/>
          <w:szCs w:val="22"/>
        </w:rPr>
      </w:pPr>
      <w:r w:rsidRPr="0031249D">
        <w:rPr>
          <w:rFonts w:cs="Arial"/>
          <w:i/>
          <w:sz w:val="22"/>
          <w:szCs w:val="22"/>
        </w:rPr>
        <w:t>Applicability of items to staff groups</w:t>
      </w:r>
    </w:p>
    <w:p w14:paraId="5256232E" w14:textId="77777777" w:rsidR="00F37F0F" w:rsidRPr="0031249D" w:rsidRDefault="00F37F0F" w:rsidP="009324A4">
      <w:pPr>
        <w:spacing w:line="360" w:lineRule="auto"/>
        <w:jc w:val="both"/>
        <w:rPr>
          <w:rFonts w:cs="Arial"/>
          <w:sz w:val="22"/>
          <w:szCs w:val="22"/>
        </w:rPr>
      </w:pPr>
      <w:r w:rsidRPr="0031249D">
        <w:rPr>
          <w:rFonts w:cs="Arial"/>
          <w:sz w:val="22"/>
          <w:szCs w:val="22"/>
        </w:rPr>
        <w:t xml:space="preserve">A number of responses were obtained from staff not involved in direct patient care, many of whom answered ‘not applicable’ to several questions.  Factor analysis was therefore carried out only on responses from the 897 staff involved in direct patient care, which included 237 hospital nurses, 187 primary care nurses, 51 hospital doctors and 152 GPs.  </w:t>
      </w:r>
    </w:p>
    <w:p w14:paraId="4D906F68" w14:textId="77777777" w:rsidR="00F37F0F" w:rsidRPr="0031249D" w:rsidRDefault="00F37F0F" w:rsidP="009324A4">
      <w:pPr>
        <w:spacing w:line="360" w:lineRule="auto"/>
        <w:jc w:val="both"/>
        <w:rPr>
          <w:rFonts w:cs="Arial"/>
          <w:sz w:val="22"/>
          <w:szCs w:val="22"/>
        </w:rPr>
      </w:pPr>
      <w:r w:rsidRPr="0031249D">
        <w:rPr>
          <w:rFonts w:cs="Arial"/>
          <w:sz w:val="22"/>
          <w:szCs w:val="22"/>
        </w:rPr>
        <w:t>Many questions, particularly in the Teamwork domain, exhibited very weak discrimination, with a high proportion of respondents answering ‘agree’ or ’strongly agree’.  Item responses are shown in Tables 1 – 3 and the skew of the distributions in Table 4.</w:t>
      </w:r>
    </w:p>
    <w:p w14:paraId="390EBE80" w14:textId="77777777" w:rsidR="00F37F0F" w:rsidRPr="0031249D" w:rsidRDefault="00F37F0F" w:rsidP="009324A4">
      <w:pPr>
        <w:spacing w:line="360" w:lineRule="auto"/>
        <w:jc w:val="both"/>
        <w:rPr>
          <w:rFonts w:cs="Arial"/>
          <w:i/>
          <w:iCs/>
          <w:sz w:val="22"/>
          <w:szCs w:val="22"/>
        </w:rPr>
      </w:pPr>
      <w:r w:rsidRPr="0031249D">
        <w:rPr>
          <w:rFonts w:cs="Arial"/>
          <w:i/>
          <w:iCs/>
          <w:sz w:val="22"/>
          <w:szCs w:val="22"/>
        </w:rPr>
        <w:t xml:space="preserve">Exploratory factor analysis </w:t>
      </w:r>
    </w:p>
    <w:p w14:paraId="05AF068D" w14:textId="77777777" w:rsidR="00F37F0F" w:rsidRPr="0031249D" w:rsidRDefault="00F37F0F" w:rsidP="009324A4">
      <w:pPr>
        <w:spacing w:line="360" w:lineRule="auto"/>
        <w:jc w:val="both"/>
        <w:rPr>
          <w:rFonts w:cs="Arial"/>
          <w:sz w:val="22"/>
          <w:szCs w:val="22"/>
        </w:rPr>
      </w:pPr>
      <w:r w:rsidRPr="0031249D">
        <w:rPr>
          <w:rFonts w:cs="Arial"/>
          <w:sz w:val="22"/>
          <w:szCs w:val="22"/>
        </w:rPr>
        <w:t xml:space="preserve">Exploratory factor analysis initially suggested a three-factor solution for the Teamwork domain and a three-factor solution for the Safety Climate domain.  However, the four negatively worded items consistently formed a separate factor.  This occurred when analysing the Teamwork and Safety Climate domains separately and when analysing all 27 items together (Supplementary Table 7).  Other authors [22][23] have suggested that artificial factors can occur as a result of respondents misreading negative items.  Some of the staff we spoke to also commented that they had almost misread these items, especially since only a small proportion of items were reverse-worded.  These items were therefore removed from the analysis at this stage (Table 3). </w:t>
      </w:r>
    </w:p>
    <w:p w14:paraId="269AFEBB" w14:textId="77777777" w:rsidR="00F37F0F" w:rsidRPr="0031249D" w:rsidRDefault="00F37F0F" w:rsidP="009324A4">
      <w:pPr>
        <w:spacing w:line="360" w:lineRule="auto"/>
        <w:jc w:val="both"/>
        <w:rPr>
          <w:rFonts w:cs="Arial"/>
          <w:sz w:val="22"/>
          <w:szCs w:val="22"/>
        </w:rPr>
      </w:pPr>
    </w:p>
    <w:p w14:paraId="232B058E" w14:textId="77777777" w:rsidR="00F37F0F" w:rsidRPr="0031249D" w:rsidRDefault="00F37F0F" w:rsidP="009324A4">
      <w:pPr>
        <w:spacing w:line="360" w:lineRule="auto"/>
        <w:jc w:val="both"/>
        <w:rPr>
          <w:rFonts w:cs="Arial"/>
          <w:sz w:val="22"/>
          <w:szCs w:val="22"/>
        </w:rPr>
      </w:pPr>
      <w:r w:rsidRPr="0031249D">
        <w:rPr>
          <w:rFonts w:cs="Arial"/>
          <w:sz w:val="22"/>
          <w:szCs w:val="22"/>
        </w:rPr>
        <w:t>Exploratory factor analysis was then carried out on the remaining items in each of the Teamwork and Safety Climate domains.  The optimal solution for the Teamwork domain contained two factors, which together explained 50% of the variance of the 11 items (Table 1).  This suggested two underlying themes, which were interpreted as representing: 1) input into decisions and collaboration with other staff, and 2) information handover.</w:t>
      </w:r>
    </w:p>
    <w:p w14:paraId="4480E636" w14:textId="77777777" w:rsidR="00F37F0F" w:rsidRPr="0031249D" w:rsidRDefault="00F37F0F" w:rsidP="009324A4">
      <w:pPr>
        <w:spacing w:line="360" w:lineRule="auto"/>
        <w:jc w:val="both"/>
        <w:rPr>
          <w:rFonts w:cs="Arial"/>
          <w:sz w:val="22"/>
          <w:szCs w:val="22"/>
        </w:rPr>
      </w:pPr>
      <w:r w:rsidRPr="0031249D">
        <w:rPr>
          <w:rFonts w:cs="Arial"/>
          <w:sz w:val="22"/>
          <w:szCs w:val="22"/>
        </w:rPr>
        <w:lastRenderedPageBreak/>
        <w:t>The best solution for the Safety Climate domain gave three factors explaining 61% of the variance (Table 2).  From their item loadings, these were interpreted as representing: 1) attitudes to safety within own team and capacity to learn from errors, 2) overall confidence in safety of the organisation, and 3) perceptions of management’s attitudes to safety.</w:t>
      </w:r>
    </w:p>
    <w:p w14:paraId="200C865A" w14:textId="77777777" w:rsidR="00F37F0F" w:rsidRDefault="00F37F0F" w:rsidP="009324A4">
      <w:pPr>
        <w:spacing w:line="360" w:lineRule="auto"/>
        <w:jc w:val="both"/>
        <w:rPr>
          <w:rFonts w:cs="Arial"/>
          <w:sz w:val="22"/>
          <w:szCs w:val="22"/>
        </w:rPr>
      </w:pPr>
      <w:r w:rsidRPr="0031249D">
        <w:rPr>
          <w:rFonts w:cs="Arial"/>
          <w:sz w:val="22"/>
          <w:szCs w:val="22"/>
        </w:rPr>
        <w:t>The factor loadings (a measure of how strongly each item relates to each factor) are shown in Tables 5 and 6.</w:t>
      </w:r>
    </w:p>
    <w:p w14:paraId="1B8AF148" w14:textId="77777777" w:rsidR="0031249D" w:rsidRPr="0031249D" w:rsidRDefault="0031249D" w:rsidP="009324A4">
      <w:pPr>
        <w:spacing w:line="360" w:lineRule="auto"/>
        <w:jc w:val="both"/>
        <w:rPr>
          <w:rFonts w:cs="Arial"/>
          <w:i/>
          <w:sz w:val="22"/>
          <w:szCs w:val="22"/>
        </w:rPr>
      </w:pPr>
      <w:r w:rsidRPr="0031249D">
        <w:rPr>
          <w:rFonts w:cs="Arial"/>
          <w:i/>
          <w:sz w:val="22"/>
          <w:szCs w:val="22"/>
        </w:rPr>
        <w:t>Internal consistency reliabilities</w:t>
      </w:r>
    </w:p>
    <w:p w14:paraId="3C570EAE" w14:textId="77777777" w:rsidR="00F37F0F" w:rsidRPr="0031249D" w:rsidRDefault="00F37F0F" w:rsidP="009324A4">
      <w:pPr>
        <w:spacing w:line="360" w:lineRule="auto"/>
        <w:jc w:val="both"/>
        <w:rPr>
          <w:rFonts w:cs="Arial"/>
          <w:sz w:val="22"/>
          <w:szCs w:val="22"/>
        </w:rPr>
      </w:pPr>
      <w:r w:rsidRPr="0031249D">
        <w:rPr>
          <w:rFonts w:cs="Arial"/>
          <w:sz w:val="22"/>
          <w:szCs w:val="22"/>
        </w:rPr>
        <w:t xml:space="preserve">Internal consistency reliabilities (how clearly a set of items measure a single theme) were satisfactory to good, with Cronbach’s alpha 0.69 or above in all five factors (Tables 1 and 2).  Removing a further item from the initial 5 items forming Teamwork factor 2 improved the internal consistency reliability of this factor.  This item (“Briefing staff on handovers between shifts is important for patient safety”) appears to relate to opinion, rather than what actually happens. </w:t>
      </w:r>
    </w:p>
    <w:p w14:paraId="72DAF389" w14:textId="77777777" w:rsidR="00F37F0F" w:rsidRPr="0031249D" w:rsidRDefault="00F37F0F" w:rsidP="009324A4">
      <w:pPr>
        <w:spacing w:line="360" w:lineRule="auto"/>
        <w:jc w:val="both"/>
        <w:rPr>
          <w:rFonts w:cs="Arial"/>
          <w:sz w:val="22"/>
          <w:szCs w:val="22"/>
        </w:rPr>
      </w:pPr>
    </w:p>
    <w:p w14:paraId="54BDD62A" w14:textId="77777777" w:rsidR="00F37F0F" w:rsidRPr="0031249D" w:rsidRDefault="00F37F0F" w:rsidP="009324A4">
      <w:pPr>
        <w:spacing w:line="360" w:lineRule="auto"/>
        <w:jc w:val="both"/>
        <w:rPr>
          <w:rFonts w:cs="Arial"/>
          <w:i/>
          <w:sz w:val="22"/>
          <w:szCs w:val="22"/>
        </w:rPr>
      </w:pPr>
      <w:r w:rsidRPr="0031249D">
        <w:rPr>
          <w:rFonts w:cs="Arial"/>
          <w:i/>
          <w:sz w:val="22"/>
          <w:szCs w:val="22"/>
        </w:rPr>
        <w:t>Confirmatory factor analysis</w:t>
      </w:r>
    </w:p>
    <w:p w14:paraId="11CDEBCB" w14:textId="77777777" w:rsidR="00F37F0F" w:rsidRPr="0031249D" w:rsidRDefault="00F37F0F" w:rsidP="009324A4">
      <w:pPr>
        <w:spacing w:line="360" w:lineRule="auto"/>
        <w:jc w:val="both"/>
        <w:rPr>
          <w:rFonts w:cs="Arial"/>
          <w:sz w:val="22"/>
          <w:szCs w:val="22"/>
        </w:rPr>
      </w:pPr>
      <w:r w:rsidRPr="0031249D">
        <w:rPr>
          <w:rFonts w:cs="Arial"/>
          <w:sz w:val="22"/>
          <w:szCs w:val="22"/>
        </w:rPr>
        <w:t>Confirmatory factor analysis on the remaining 50% (the ‘validation half’) of the dataset indicated an almost adequate fit of the model to the data, under the widely applied fit indices criteria [24].  The CFI and RMSEA took values of 0.93 and 0.08 for Teamwork, and 0.94 and 0.07 for Safety Climate respectively (Supplementary Table 8).  These can be compared to the cut-off values for a good model, estimated as a CFI greater than 0.95 and an RMSEA smaller than 0.06 [24].</w:t>
      </w:r>
    </w:p>
    <w:p w14:paraId="23DB78C1" w14:textId="77777777" w:rsidR="00F37F0F" w:rsidRPr="0031249D" w:rsidRDefault="0031249D" w:rsidP="009324A4">
      <w:pPr>
        <w:spacing w:line="360" w:lineRule="auto"/>
        <w:jc w:val="both"/>
        <w:rPr>
          <w:rFonts w:cs="Arial"/>
          <w:i/>
          <w:sz w:val="22"/>
          <w:szCs w:val="22"/>
        </w:rPr>
      </w:pPr>
      <w:r w:rsidRPr="0031249D">
        <w:rPr>
          <w:rFonts w:cs="Arial"/>
          <w:i/>
          <w:sz w:val="22"/>
          <w:szCs w:val="22"/>
        </w:rPr>
        <w:t>Use of the questionnaire in different settings</w:t>
      </w:r>
    </w:p>
    <w:p w14:paraId="35B44BD2" w14:textId="77777777" w:rsidR="00F37F0F" w:rsidRPr="0031249D" w:rsidRDefault="00F37F0F" w:rsidP="009324A4">
      <w:pPr>
        <w:pStyle w:val="BodyText2"/>
        <w:spacing w:line="360" w:lineRule="auto"/>
        <w:jc w:val="both"/>
        <w:rPr>
          <w:rFonts w:ascii="Arial" w:hAnsi="Arial" w:cs="Arial"/>
          <w:sz w:val="22"/>
          <w:szCs w:val="22"/>
        </w:rPr>
      </w:pPr>
      <w:r w:rsidRPr="0031249D">
        <w:rPr>
          <w:rFonts w:ascii="Arial" w:hAnsi="Arial" w:cs="Arial"/>
          <w:sz w:val="22"/>
          <w:szCs w:val="22"/>
        </w:rPr>
        <w:t>To assess how well the factor model fitted each of the primary care and hospital datasets, and also to explore whether there was a difference in Teamwork or Safety Climate between the two groups, a series of confirmatory factor analyses were performed, allowing successive model parameters to vary between the groups.  Separate confirmatory factor analyses were also carried out on each of the primary and secondary care groups (Supplementary Table 9).</w:t>
      </w:r>
    </w:p>
    <w:p w14:paraId="60CD8A9C" w14:textId="77777777" w:rsidR="00F37F0F" w:rsidRPr="0031249D" w:rsidRDefault="00F37F0F" w:rsidP="009324A4">
      <w:pPr>
        <w:pStyle w:val="BodyText2"/>
        <w:spacing w:line="360" w:lineRule="auto"/>
        <w:jc w:val="both"/>
        <w:rPr>
          <w:rFonts w:ascii="Arial" w:hAnsi="Arial" w:cs="Arial"/>
          <w:sz w:val="22"/>
          <w:szCs w:val="22"/>
        </w:rPr>
      </w:pPr>
      <w:r w:rsidRPr="0031249D">
        <w:rPr>
          <w:rFonts w:ascii="Arial" w:hAnsi="Arial" w:cs="Arial"/>
          <w:sz w:val="22"/>
          <w:szCs w:val="22"/>
        </w:rPr>
        <w:t xml:space="preserve">There was some difference in reported Teamwork Climate between the groups; the factor model showed a slight but significant improvement when scale means were allowed to vary, and mean scores on both Teamwork factors were lower for secondary care than for primary care.  There also appeared to be some difference in optimal factor structure between the </w:t>
      </w:r>
      <w:r w:rsidRPr="0031249D">
        <w:rPr>
          <w:rFonts w:ascii="Arial" w:hAnsi="Arial" w:cs="Arial"/>
          <w:sz w:val="22"/>
          <w:szCs w:val="22"/>
        </w:rPr>
        <w:lastRenderedPageBreak/>
        <w:t xml:space="preserve">groups, since allowing the factor loadings to vary resulted in a significant improvement in fit (difference in </w:t>
      </w:r>
      <w:r w:rsidRPr="0031249D">
        <w:rPr>
          <w:rFonts w:ascii="Arial" w:hAnsi="Arial" w:cs="Arial"/>
          <w:sz w:val="22"/>
          <w:szCs w:val="22"/>
        </w:rPr>
        <w:sym w:font="Symbol" w:char="F063"/>
      </w:r>
      <w:r w:rsidRPr="0031249D">
        <w:rPr>
          <w:rFonts w:ascii="Arial" w:hAnsi="Arial" w:cs="Arial"/>
          <w:sz w:val="22"/>
          <w:szCs w:val="22"/>
          <w:vertAlign w:val="superscript"/>
        </w:rPr>
        <w:t>2</w:t>
      </w:r>
      <w:r w:rsidRPr="0031249D">
        <w:rPr>
          <w:rFonts w:ascii="Arial" w:hAnsi="Arial" w:cs="Arial"/>
          <w:sz w:val="22"/>
          <w:szCs w:val="22"/>
        </w:rPr>
        <w:t xml:space="preserve"> = 39 on 9df, p &lt; 0.05).  Factor loadings for two items (“It is easy for staff here to ask questions when there is something that they do not understand” and “I have the support I need from other staff to care for patients”) were relatively low for the primary care sample (0.713 and 0.562), reflected in the low percentage of variance explained for these items for the primary care sample (R</w:t>
      </w:r>
      <w:r w:rsidRPr="0031249D">
        <w:rPr>
          <w:rFonts w:ascii="Arial" w:hAnsi="Arial" w:cs="Arial"/>
          <w:sz w:val="22"/>
          <w:szCs w:val="22"/>
          <w:vertAlign w:val="superscript"/>
        </w:rPr>
        <w:t>2</w:t>
      </w:r>
      <w:r w:rsidRPr="0031249D">
        <w:rPr>
          <w:rFonts w:ascii="Arial" w:hAnsi="Arial" w:cs="Arial"/>
          <w:sz w:val="22"/>
          <w:szCs w:val="22"/>
        </w:rPr>
        <w:t xml:space="preserve"> = 0.249 and R</w:t>
      </w:r>
      <w:r w:rsidRPr="0031249D">
        <w:rPr>
          <w:rFonts w:ascii="Arial" w:hAnsi="Arial" w:cs="Arial"/>
          <w:sz w:val="22"/>
          <w:szCs w:val="22"/>
          <w:vertAlign w:val="superscript"/>
        </w:rPr>
        <w:t>2</w:t>
      </w:r>
      <w:r w:rsidRPr="0031249D">
        <w:rPr>
          <w:rFonts w:ascii="Arial" w:hAnsi="Arial" w:cs="Arial"/>
          <w:sz w:val="22"/>
          <w:szCs w:val="22"/>
        </w:rPr>
        <w:t xml:space="preserve"> = 0.195, compared to R</w:t>
      </w:r>
      <w:r w:rsidRPr="0031249D">
        <w:rPr>
          <w:rFonts w:ascii="Arial" w:hAnsi="Arial" w:cs="Arial"/>
          <w:sz w:val="22"/>
          <w:szCs w:val="22"/>
          <w:vertAlign w:val="superscript"/>
        </w:rPr>
        <w:t>2</w:t>
      </w:r>
      <w:r w:rsidRPr="0031249D">
        <w:rPr>
          <w:rFonts w:ascii="Arial" w:hAnsi="Arial" w:cs="Arial"/>
          <w:sz w:val="22"/>
          <w:szCs w:val="22"/>
        </w:rPr>
        <w:t xml:space="preserve"> = 0.411 and R</w:t>
      </w:r>
      <w:r w:rsidRPr="0031249D">
        <w:rPr>
          <w:rFonts w:ascii="Arial" w:hAnsi="Arial" w:cs="Arial"/>
          <w:sz w:val="22"/>
          <w:szCs w:val="22"/>
          <w:vertAlign w:val="superscript"/>
        </w:rPr>
        <w:t>2</w:t>
      </w:r>
      <w:r w:rsidRPr="0031249D">
        <w:rPr>
          <w:rFonts w:ascii="Arial" w:hAnsi="Arial" w:cs="Arial"/>
          <w:sz w:val="22"/>
          <w:szCs w:val="22"/>
        </w:rPr>
        <w:t xml:space="preserve"> = 0.512 for secondary care).  Separate confirmatory factor analyses on the two datasets indicated that the model fitted the secondary care data substantially better than the primary care data (CFI = 0.938 and CFI = 0.858 respectively).</w:t>
      </w:r>
    </w:p>
    <w:p w14:paraId="484B5BE9" w14:textId="77777777" w:rsidR="00F37F0F" w:rsidRPr="0031249D" w:rsidRDefault="00F37F0F" w:rsidP="009324A4">
      <w:pPr>
        <w:pStyle w:val="BodyText2"/>
        <w:spacing w:line="360" w:lineRule="auto"/>
        <w:jc w:val="both"/>
        <w:rPr>
          <w:rFonts w:ascii="Arial" w:hAnsi="Arial" w:cs="Arial"/>
          <w:sz w:val="22"/>
          <w:szCs w:val="22"/>
        </w:rPr>
      </w:pPr>
      <w:r w:rsidRPr="0031249D">
        <w:rPr>
          <w:rFonts w:ascii="Arial" w:hAnsi="Arial" w:cs="Arial"/>
          <w:sz w:val="22"/>
          <w:szCs w:val="22"/>
        </w:rPr>
        <w:t xml:space="preserve">For Safety Climate, the results of the multigroup analyses suggested that the optimal factor model was similar across both primary and secondary care, since improvement in fit was not statistically significant when factor loadings were allowed to vary between the groups.  The separate confirmatory factor analyses on the two datasets indicated that the model offered a better fit to the hospital data, though the difference was smaller than for the Teamwork Climate model.  However, there was evidence of a difference in level of Safety Climate between the groups, with the model fit greatly improved by allowing variation in the factor means (difference in </w:t>
      </w:r>
      <w:r w:rsidRPr="0031249D">
        <w:rPr>
          <w:rFonts w:ascii="Arial" w:hAnsi="Arial" w:cs="Arial"/>
          <w:sz w:val="22"/>
          <w:szCs w:val="22"/>
        </w:rPr>
        <w:sym w:font="Symbol" w:char="F063"/>
      </w:r>
      <w:r w:rsidRPr="0031249D">
        <w:rPr>
          <w:rFonts w:ascii="Arial" w:hAnsi="Arial" w:cs="Arial"/>
          <w:sz w:val="22"/>
          <w:szCs w:val="22"/>
          <w:vertAlign w:val="superscript"/>
        </w:rPr>
        <w:t>2</w:t>
      </w:r>
      <w:r w:rsidRPr="0031249D">
        <w:rPr>
          <w:rFonts w:ascii="Arial" w:hAnsi="Arial" w:cs="Arial"/>
          <w:sz w:val="22"/>
          <w:szCs w:val="22"/>
        </w:rPr>
        <w:t xml:space="preserve"> = 43 on 3 df, p &lt; 0.05) and variances (difference in </w:t>
      </w:r>
      <w:r w:rsidRPr="0031249D">
        <w:rPr>
          <w:rFonts w:ascii="Arial" w:hAnsi="Arial" w:cs="Arial"/>
          <w:sz w:val="22"/>
          <w:szCs w:val="22"/>
        </w:rPr>
        <w:sym w:font="Symbol" w:char="F063"/>
      </w:r>
      <w:r w:rsidRPr="0031249D">
        <w:rPr>
          <w:rFonts w:ascii="Arial" w:hAnsi="Arial" w:cs="Arial"/>
          <w:sz w:val="22"/>
          <w:szCs w:val="22"/>
          <w:vertAlign w:val="superscript"/>
        </w:rPr>
        <w:t>2</w:t>
      </w:r>
      <w:r w:rsidRPr="0031249D">
        <w:rPr>
          <w:rFonts w:ascii="Arial" w:hAnsi="Arial" w:cs="Arial"/>
          <w:sz w:val="22"/>
          <w:szCs w:val="22"/>
        </w:rPr>
        <w:t xml:space="preserve"> = 15 on 3 df, p &lt; 0.05).  The mean scores on each of the 3 Safety Climate factors were significantly lower for the secondary care subsample, and their variances were greater.</w:t>
      </w:r>
    </w:p>
    <w:p w14:paraId="0E11E04D" w14:textId="77777777" w:rsidR="00F37F0F" w:rsidRPr="0031249D" w:rsidRDefault="00F37F0F" w:rsidP="009324A4">
      <w:pPr>
        <w:spacing w:line="360" w:lineRule="auto"/>
        <w:jc w:val="both"/>
        <w:rPr>
          <w:rFonts w:cs="Arial"/>
          <w:b/>
          <w:bCs/>
          <w:sz w:val="22"/>
          <w:szCs w:val="22"/>
        </w:rPr>
      </w:pPr>
    </w:p>
    <w:p w14:paraId="5ED6979A" w14:textId="77777777" w:rsidR="00774329" w:rsidRDefault="00774329" w:rsidP="009324A4">
      <w:pPr>
        <w:spacing w:line="360" w:lineRule="auto"/>
        <w:jc w:val="both"/>
        <w:rPr>
          <w:rFonts w:cs="Arial"/>
          <w:b/>
          <w:bCs/>
          <w:sz w:val="22"/>
          <w:szCs w:val="22"/>
        </w:rPr>
      </w:pPr>
    </w:p>
    <w:p w14:paraId="6982E089" w14:textId="77777777" w:rsidR="00774329" w:rsidRDefault="00774329" w:rsidP="009324A4">
      <w:pPr>
        <w:spacing w:line="360" w:lineRule="auto"/>
        <w:jc w:val="both"/>
        <w:rPr>
          <w:rFonts w:cs="Arial"/>
          <w:b/>
          <w:bCs/>
          <w:sz w:val="22"/>
          <w:szCs w:val="22"/>
        </w:rPr>
      </w:pPr>
    </w:p>
    <w:p w14:paraId="5CECCFB2" w14:textId="77777777" w:rsidR="00F37F0F" w:rsidRPr="0031249D" w:rsidRDefault="00F37F0F" w:rsidP="009324A4">
      <w:pPr>
        <w:spacing w:line="360" w:lineRule="auto"/>
        <w:jc w:val="both"/>
        <w:rPr>
          <w:rFonts w:cs="Arial"/>
          <w:b/>
          <w:bCs/>
          <w:sz w:val="22"/>
          <w:szCs w:val="22"/>
        </w:rPr>
      </w:pPr>
      <w:r w:rsidRPr="0031249D">
        <w:rPr>
          <w:rFonts w:cs="Arial"/>
          <w:b/>
          <w:bCs/>
          <w:sz w:val="22"/>
          <w:szCs w:val="22"/>
        </w:rPr>
        <w:t xml:space="preserve">Conclusions </w:t>
      </w:r>
    </w:p>
    <w:p w14:paraId="03E8B709" w14:textId="77777777" w:rsidR="00F37F0F" w:rsidRPr="0031249D" w:rsidRDefault="00F37F0F" w:rsidP="009324A4">
      <w:pPr>
        <w:spacing w:line="360" w:lineRule="auto"/>
        <w:jc w:val="both"/>
        <w:rPr>
          <w:rFonts w:cs="Arial"/>
          <w:sz w:val="22"/>
          <w:szCs w:val="22"/>
        </w:rPr>
      </w:pPr>
      <w:r w:rsidRPr="0031249D">
        <w:rPr>
          <w:rFonts w:cs="Arial"/>
          <w:sz w:val="22"/>
          <w:szCs w:val="22"/>
        </w:rPr>
        <w:t>The purpose of this study was two-fold: first, to test whether the questionnaire met conventional scientific criteria for internal reliability and factor structure and, second, to determine whether there was any difference in the factor model when compared between primary care and secondary care responses.</w:t>
      </w:r>
    </w:p>
    <w:p w14:paraId="11C27FCE" w14:textId="77777777" w:rsidR="00F37F0F" w:rsidRPr="0031249D" w:rsidRDefault="00F37F0F" w:rsidP="009324A4">
      <w:pPr>
        <w:spacing w:line="360" w:lineRule="auto"/>
        <w:rPr>
          <w:sz w:val="22"/>
          <w:szCs w:val="22"/>
        </w:rPr>
      </w:pPr>
      <w:r w:rsidRPr="0031249D">
        <w:rPr>
          <w:sz w:val="22"/>
          <w:szCs w:val="22"/>
        </w:rPr>
        <w:t>Factor structure</w:t>
      </w:r>
    </w:p>
    <w:p w14:paraId="6DADC9C4" w14:textId="77777777" w:rsidR="00F37F0F" w:rsidRPr="0031249D" w:rsidRDefault="00F37F0F" w:rsidP="009324A4">
      <w:pPr>
        <w:spacing w:line="360" w:lineRule="auto"/>
        <w:jc w:val="both"/>
        <w:rPr>
          <w:rFonts w:cs="Arial"/>
          <w:sz w:val="22"/>
          <w:szCs w:val="22"/>
        </w:rPr>
      </w:pPr>
      <w:r w:rsidRPr="0031249D">
        <w:rPr>
          <w:rFonts w:cs="Arial"/>
          <w:sz w:val="22"/>
          <w:szCs w:val="22"/>
        </w:rPr>
        <w:t xml:space="preserve">One key consideration when using questionnaires to assess safety climate is the need for a well-grounded item content (reflecting the topics to be covered by the questionnaire), together with a clearly defined factor structure relating groups of items (questions) to specific themes.  </w:t>
      </w:r>
    </w:p>
    <w:p w14:paraId="3F224C6E" w14:textId="77777777" w:rsidR="00F37F0F" w:rsidRPr="0031249D" w:rsidRDefault="00F37F0F" w:rsidP="009324A4">
      <w:pPr>
        <w:spacing w:line="360" w:lineRule="auto"/>
        <w:jc w:val="both"/>
        <w:rPr>
          <w:rFonts w:cs="Arial"/>
          <w:sz w:val="22"/>
          <w:szCs w:val="22"/>
        </w:rPr>
      </w:pPr>
      <w:r w:rsidRPr="0031249D">
        <w:rPr>
          <w:rFonts w:cs="Arial"/>
          <w:sz w:val="22"/>
          <w:szCs w:val="22"/>
        </w:rPr>
        <w:lastRenderedPageBreak/>
        <w:t>Interpretation of the factor structure of this questionnaire was not clear-cut, since some items were found to relate to more than one factor.  This may cause difficulties in interpreting results if the questionnaire was to be used to evaluate safety programmes or track changes over time [15].  Conversely, the factors within a topic such as safety climate are likely to be inter-related to some extent, which may partially account for the cross-loading of several items to more than one factor (Tables 5 and 6).</w:t>
      </w:r>
    </w:p>
    <w:p w14:paraId="21DAE4EA" w14:textId="77777777" w:rsidR="00F37F0F" w:rsidRPr="0031249D" w:rsidRDefault="00F37F0F" w:rsidP="009324A4">
      <w:pPr>
        <w:spacing w:line="360" w:lineRule="auto"/>
        <w:jc w:val="both"/>
        <w:rPr>
          <w:rFonts w:cs="Arial"/>
          <w:sz w:val="22"/>
          <w:szCs w:val="22"/>
        </w:rPr>
      </w:pPr>
      <w:r w:rsidRPr="0031249D">
        <w:rPr>
          <w:rFonts w:cs="Arial"/>
          <w:sz w:val="22"/>
          <w:szCs w:val="22"/>
        </w:rPr>
        <w:t>Removing 5 items from the questionnaire improved the internal reliabilities of both domains.  The three-factor Safety Climate solution was the more satisfactory, explaining 61% of the variance of the 11 items, whereas the two-factor Teamwork scale only explained 50%.  Furthermore, our Teamwork factor 1 and Safety Climate factor 1 correspond reasonably well with the ‘Teamwork Climate’ and ‘Safety Climate’ factors in the 60-item Safety Attitudes Questionnaire from which the Teamwork and Safety Climate Survey questionnaire was originally developed [25] and which has recently been proposed for hospital-wide use [2].  Interestingly, our three Safety Climate factors also agree well with three key safety climate dimensions identified in reviews by Flin et al [14] and Wiegmann et al [26].  These relate to 1) employees’ own attitudes to risk and safety, 2) organisational commitment and safety system, and 3) management’s attitudes to safety.</w:t>
      </w:r>
    </w:p>
    <w:p w14:paraId="658CAD63" w14:textId="77777777" w:rsidR="00F37F0F" w:rsidRPr="0031249D" w:rsidRDefault="00F37F0F" w:rsidP="009324A4">
      <w:pPr>
        <w:spacing w:line="360" w:lineRule="auto"/>
        <w:rPr>
          <w:sz w:val="22"/>
          <w:szCs w:val="22"/>
        </w:rPr>
      </w:pPr>
      <w:r w:rsidRPr="0031249D">
        <w:rPr>
          <w:sz w:val="22"/>
          <w:szCs w:val="22"/>
        </w:rPr>
        <w:t>Negatively worded items</w:t>
      </w:r>
    </w:p>
    <w:p w14:paraId="60E49AA3" w14:textId="77777777" w:rsidR="00F37F0F" w:rsidRPr="0031249D" w:rsidRDefault="00F37F0F" w:rsidP="009324A4">
      <w:pPr>
        <w:spacing w:line="360" w:lineRule="auto"/>
        <w:jc w:val="both"/>
        <w:rPr>
          <w:rFonts w:cs="Arial"/>
          <w:sz w:val="22"/>
          <w:szCs w:val="22"/>
        </w:rPr>
      </w:pPr>
      <w:r w:rsidRPr="0031249D">
        <w:rPr>
          <w:rFonts w:cs="Arial"/>
          <w:iCs/>
          <w:sz w:val="22"/>
          <w:szCs w:val="22"/>
        </w:rPr>
        <w:t xml:space="preserve">In common with many other survey instruments, the Teamwork and Safety Climate questionnaire contained some items that were negatively worded (Table 3).  </w:t>
      </w:r>
      <w:r w:rsidRPr="0031249D">
        <w:rPr>
          <w:rFonts w:cs="Arial"/>
          <w:sz w:val="22"/>
          <w:szCs w:val="22"/>
        </w:rPr>
        <w:t>Although suggested as a means of reducing response bias [27], negatively-worded items have often been found to factor out separately [22] [28] [29].   Schmitt and Stults [23] showed that an artificial factor can be produced when as few as 10% of respondents fail to recognise the reversal of the wording.  Since the four negatively-worded items exhibited this clustering behaviour, they were removed from the final stage of the factor analysis.</w:t>
      </w:r>
    </w:p>
    <w:p w14:paraId="3D0D39BB" w14:textId="77777777" w:rsidR="00F37F0F" w:rsidRPr="0031249D" w:rsidRDefault="00F37F0F" w:rsidP="009324A4">
      <w:pPr>
        <w:spacing w:line="360" w:lineRule="auto"/>
        <w:jc w:val="both"/>
        <w:rPr>
          <w:rFonts w:cs="Arial"/>
          <w:i/>
          <w:sz w:val="22"/>
          <w:szCs w:val="22"/>
        </w:rPr>
      </w:pPr>
      <w:r w:rsidRPr="0031249D">
        <w:rPr>
          <w:rFonts w:cs="Arial"/>
          <w:i/>
          <w:sz w:val="22"/>
          <w:szCs w:val="22"/>
        </w:rPr>
        <w:t>Use of the questionnaire in primary and secondary care</w:t>
      </w:r>
    </w:p>
    <w:p w14:paraId="3F6C7E98" w14:textId="77777777" w:rsidR="00F37F0F" w:rsidRPr="0031249D" w:rsidRDefault="00F37F0F" w:rsidP="009324A4">
      <w:pPr>
        <w:pStyle w:val="BodyText2"/>
        <w:spacing w:line="360" w:lineRule="auto"/>
        <w:jc w:val="both"/>
        <w:rPr>
          <w:rFonts w:ascii="Arial" w:hAnsi="Arial" w:cs="Arial"/>
          <w:sz w:val="22"/>
          <w:szCs w:val="22"/>
        </w:rPr>
      </w:pPr>
      <w:r w:rsidRPr="0031249D">
        <w:rPr>
          <w:rFonts w:ascii="Arial" w:hAnsi="Arial" w:cs="Arial"/>
          <w:sz w:val="22"/>
          <w:szCs w:val="22"/>
        </w:rPr>
        <w:t>We have also been able to show, we believe for the first time, that a safety climate questionnaire can be used across a whole health community, both in primary and in secondary care.   The final overall factor model appeared to fit both groups reasonably well, although the fit was slightly better for the hospital data than for primary care, which is not surprising given that the questionnaire was designed for a hospital setting.  This suggests that after further refinement (our interview data suggests that some questions may not be as relevant for primary care) comparisons using this type of questionnaire could be made between primary and secondary care.</w:t>
      </w:r>
    </w:p>
    <w:p w14:paraId="404167E2" w14:textId="77777777" w:rsidR="00F37F0F" w:rsidRPr="0031249D" w:rsidRDefault="00F37F0F" w:rsidP="009324A4">
      <w:pPr>
        <w:pStyle w:val="BodyText2"/>
        <w:spacing w:line="360" w:lineRule="auto"/>
        <w:jc w:val="both"/>
        <w:rPr>
          <w:rFonts w:ascii="Arial" w:hAnsi="Arial" w:cs="Arial"/>
          <w:sz w:val="22"/>
          <w:szCs w:val="22"/>
        </w:rPr>
      </w:pPr>
      <w:r w:rsidRPr="0031249D">
        <w:rPr>
          <w:rFonts w:ascii="Arial" w:hAnsi="Arial" w:cs="Arial"/>
          <w:sz w:val="22"/>
          <w:szCs w:val="22"/>
        </w:rPr>
        <w:lastRenderedPageBreak/>
        <w:t>However, a further cautionary note is that staff whose main role was not direct patient care answered ‘not applicable’ to many questions, which has implications for the use of this type of questionnaire across whole healthcare organisations.</w:t>
      </w:r>
    </w:p>
    <w:p w14:paraId="283B1AB3" w14:textId="77777777" w:rsidR="00F37F0F" w:rsidRPr="0031249D" w:rsidRDefault="00F37F0F" w:rsidP="009324A4">
      <w:pPr>
        <w:spacing w:line="360" w:lineRule="auto"/>
        <w:jc w:val="both"/>
        <w:rPr>
          <w:rFonts w:cs="Arial"/>
          <w:i/>
          <w:sz w:val="22"/>
          <w:szCs w:val="22"/>
        </w:rPr>
      </w:pPr>
      <w:r w:rsidRPr="0031249D">
        <w:rPr>
          <w:rFonts w:cs="Arial"/>
          <w:i/>
          <w:sz w:val="22"/>
          <w:szCs w:val="22"/>
        </w:rPr>
        <w:t>Limitations of the study</w:t>
      </w:r>
    </w:p>
    <w:p w14:paraId="7E7C1772" w14:textId="77777777" w:rsidR="00F37F0F" w:rsidRPr="0031249D" w:rsidRDefault="00F37F0F" w:rsidP="009324A4">
      <w:pPr>
        <w:spacing w:line="360" w:lineRule="auto"/>
        <w:jc w:val="both"/>
        <w:rPr>
          <w:rFonts w:cs="Arial"/>
          <w:sz w:val="22"/>
          <w:szCs w:val="22"/>
        </w:rPr>
      </w:pPr>
      <w:r w:rsidRPr="0031249D">
        <w:rPr>
          <w:rFonts w:cs="Arial"/>
          <w:sz w:val="22"/>
          <w:szCs w:val="22"/>
        </w:rPr>
        <w:t>The aim of this study was to evaluate the factor structure, and hence usefulness, of this safety climate questionnaire in UK healthcare.  However, we did not aim to assess from first principles the key dimensions of safety climate in an NHS setting.  This would have been the best strategy had we been setting out to create a new questionnaire but it would have been much more resource-intensive.</w:t>
      </w:r>
    </w:p>
    <w:p w14:paraId="799C691F" w14:textId="77777777" w:rsidR="00F37F0F" w:rsidRPr="0031249D" w:rsidRDefault="00F37F0F" w:rsidP="009324A4">
      <w:pPr>
        <w:spacing w:line="360" w:lineRule="auto"/>
        <w:jc w:val="both"/>
        <w:rPr>
          <w:rFonts w:cs="Arial"/>
          <w:sz w:val="22"/>
          <w:szCs w:val="22"/>
        </w:rPr>
      </w:pPr>
      <w:r w:rsidRPr="0031249D">
        <w:rPr>
          <w:rFonts w:cs="Arial"/>
          <w:sz w:val="22"/>
          <w:szCs w:val="22"/>
        </w:rPr>
        <w:t>At this stage of the analysis we did not set out to undertake a multilevel confirmatory factor analysis to explore the influence that caregiver type (for example, doctor or nurse) might have had on the results.</w:t>
      </w:r>
    </w:p>
    <w:p w14:paraId="0079BC15" w14:textId="77777777" w:rsidR="00F37F0F" w:rsidRPr="0031249D" w:rsidRDefault="00F37F0F" w:rsidP="009324A4">
      <w:pPr>
        <w:spacing w:line="360" w:lineRule="auto"/>
        <w:jc w:val="both"/>
        <w:rPr>
          <w:rFonts w:cs="Arial"/>
          <w:sz w:val="22"/>
          <w:szCs w:val="22"/>
        </w:rPr>
      </w:pPr>
      <w:r w:rsidRPr="0031249D">
        <w:rPr>
          <w:rFonts w:cs="Arial"/>
          <w:i/>
          <w:sz w:val="22"/>
          <w:szCs w:val="22"/>
        </w:rPr>
        <w:t>Implications</w:t>
      </w:r>
    </w:p>
    <w:p w14:paraId="593121CE" w14:textId="77777777" w:rsidR="00F37F0F" w:rsidRPr="0031249D" w:rsidRDefault="00F37F0F" w:rsidP="009324A4">
      <w:pPr>
        <w:spacing w:line="360" w:lineRule="auto"/>
        <w:jc w:val="both"/>
        <w:rPr>
          <w:rFonts w:cs="Arial"/>
          <w:sz w:val="22"/>
          <w:szCs w:val="22"/>
        </w:rPr>
      </w:pPr>
      <w:r w:rsidRPr="0031249D">
        <w:rPr>
          <w:rFonts w:cs="Arial"/>
          <w:sz w:val="22"/>
          <w:szCs w:val="22"/>
        </w:rPr>
        <w:t>The refined 22 item questionnaire provides a measure of safety climate in both primary and secondary UK healthcare, meeting some of the criteria on factor structure and internal reliability.  It might, for example, prove useful in research studies that sought associations between safety culture and health outcomes, seeking also to determine the predictive validity of the instrument.  However, there are enough cautionary points arising from the item content and factor analysis of this questionnaire to suggest that there is more to be done in exploring the properties of safety climate instruments, even those recently released [17], before proceeding wholesale into measuring safety climate across health services, at least those in the UK.</w:t>
      </w:r>
    </w:p>
    <w:p w14:paraId="4CEAD42C" w14:textId="77777777" w:rsidR="00F37F0F" w:rsidRPr="0031249D" w:rsidRDefault="00F37F0F" w:rsidP="009324A4">
      <w:pPr>
        <w:spacing w:line="360" w:lineRule="auto"/>
        <w:jc w:val="both"/>
        <w:rPr>
          <w:rFonts w:cs="Arial"/>
          <w:sz w:val="22"/>
          <w:szCs w:val="22"/>
        </w:rPr>
      </w:pPr>
    </w:p>
    <w:p w14:paraId="67DA7659" w14:textId="77777777" w:rsidR="00F37F0F" w:rsidRPr="0031249D" w:rsidRDefault="00F37F0F" w:rsidP="009324A4">
      <w:pPr>
        <w:spacing w:line="360" w:lineRule="auto"/>
        <w:jc w:val="both"/>
        <w:rPr>
          <w:rFonts w:cs="Arial"/>
          <w:sz w:val="22"/>
          <w:szCs w:val="22"/>
        </w:rPr>
      </w:pPr>
      <w:r w:rsidRPr="0031249D">
        <w:rPr>
          <w:rFonts w:cs="Arial"/>
          <w:sz w:val="22"/>
          <w:szCs w:val="22"/>
        </w:rPr>
        <w:t>As Pronovost and Sexton [2] have recently pointed out, there is still much work required before we are able to understand the full value of using climate questionnaires in healthcare, including the meaningfulness of the resulting data.  Until it is possible to derive evidence of predictive validity, such as whether positive culture data predicts measurably safer healthcare, the costs of routinely using safety climate questionnaires may not be justified.</w:t>
      </w:r>
    </w:p>
    <w:p w14:paraId="42FB106B" w14:textId="77777777" w:rsidR="00F37F0F" w:rsidRPr="0031249D" w:rsidRDefault="00F37F0F" w:rsidP="009324A4">
      <w:pPr>
        <w:spacing w:line="360" w:lineRule="auto"/>
        <w:jc w:val="both"/>
        <w:rPr>
          <w:rFonts w:cs="Arial"/>
          <w:sz w:val="22"/>
          <w:szCs w:val="22"/>
        </w:rPr>
      </w:pPr>
    </w:p>
    <w:p w14:paraId="34B1BBC7" w14:textId="77777777" w:rsidR="00F37F0F" w:rsidRPr="0031249D" w:rsidRDefault="00F37F0F" w:rsidP="009324A4">
      <w:pPr>
        <w:spacing w:line="360" w:lineRule="auto"/>
        <w:jc w:val="both"/>
        <w:rPr>
          <w:rFonts w:cs="Arial"/>
          <w:sz w:val="22"/>
          <w:szCs w:val="22"/>
        </w:rPr>
      </w:pPr>
      <w:r w:rsidRPr="0031249D">
        <w:rPr>
          <w:rFonts w:cs="Arial"/>
          <w:b/>
          <w:bCs/>
          <w:sz w:val="22"/>
          <w:szCs w:val="22"/>
        </w:rPr>
        <w:t>Acknowledgements</w:t>
      </w:r>
      <w:r w:rsidRPr="0031249D">
        <w:rPr>
          <w:rFonts w:cs="Arial"/>
          <w:sz w:val="22"/>
          <w:szCs w:val="22"/>
        </w:rPr>
        <w:t>:  We wish to thank the members of staff in all 13 sites who assisted with the organisation of the surveys.  Our particular thanks are due to Eric Thomas and Bryan Sexton for their support in using the Teamwork and Safety Climate questionnaire.</w:t>
      </w:r>
    </w:p>
    <w:p w14:paraId="217D9225" w14:textId="77777777" w:rsidR="00F37F0F" w:rsidRPr="0031249D" w:rsidRDefault="00F37F0F" w:rsidP="009324A4">
      <w:pPr>
        <w:spacing w:line="360" w:lineRule="auto"/>
        <w:jc w:val="both"/>
        <w:rPr>
          <w:rFonts w:cs="Arial"/>
          <w:sz w:val="22"/>
          <w:szCs w:val="22"/>
        </w:rPr>
      </w:pPr>
      <w:r w:rsidRPr="0031249D">
        <w:rPr>
          <w:rFonts w:cs="Arial"/>
          <w:sz w:val="22"/>
          <w:szCs w:val="22"/>
        </w:rPr>
        <w:lastRenderedPageBreak/>
        <w:t xml:space="preserve">Karen Beck acted as project administrator and her support was invaluable. </w:t>
      </w:r>
    </w:p>
    <w:p w14:paraId="695C488A" w14:textId="77777777" w:rsidR="00F37F0F" w:rsidRPr="0031249D" w:rsidRDefault="00F37F0F" w:rsidP="009324A4">
      <w:pPr>
        <w:spacing w:line="360" w:lineRule="auto"/>
        <w:jc w:val="both"/>
        <w:rPr>
          <w:rFonts w:cs="Arial"/>
          <w:sz w:val="22"/>
          <w:szCs w:val="22"/>
        </w:rPr>
      </w:pPr>
      <w:r w:rsidRPr="0031249D">
        <w:rPr>
          <w:rFonts w:cs="Arial"/>
          <w:b/>
          <w:bCs/>
          <w:sz w:val="22"/>
          <w:szCs w:val="22"/>
        </w:rPr>
        <w:t>Competing interests</w:t>
      </w:r>
      <w:r w:rsidRPr="0031249D">
        <w:rPr>
          <w:rFonts w:cs="Arial"/>
          <w:sz w:val="22"/>
          <w:szCs w:val="22"/>
        </w:rPr>
        <w:t>:  None declared by any of the authors</w:t>
      </w:r>
    </w:p>
    <w:p w14:paraId="1457D1B1" w14:textId="77777777" w:rsidR="00F37F0F" w:rsidRPr="0031249D" w:rsidRDefault="00F37F0F" w:rsidP="009324A4">
      <w:pPr>
        <w:spacing w:line="360" w:lineRule="auto"/>
        <w:jc w:val="both"/>
        <w:rPr>
          <w:rFonts w:cs="Arial"/>
          <w:sz w:val="22"/>
          <w:szCs w:val="22"/>
        </w:rPr>
      </w:pPr>
      <w:r w:rsidRPr="0031249D">
        <w:rPr>
          <w:rFonts w:cs="Arial"/>
          <w:b/>
          <w:bCs/>
          <w:sz w:val="22"/>
          <w:szCs w:val="22"/>
        </w:rPr>
        <w:t>Funding sources</w:t>
      </w:r>
      <w:r w:rsidRPr="0031249D">
        <w:rPr>
          <w:rFonts w:cs="Arial"/>
          <w:sz w:val="22"/>
          <w:szCs w:val="22"/>
        </w:rPr>
        <w:t>: Funding was provided by the Sheffield Health and Social Care Research Consortium and by the devolved funds programme at the University of Sheffield.</w:t>
      </w:r>
    </w:p>
    <w:p w14:paraId="08143AF0" w14:textId="77777777" w:rsidR="00F37F0F" w:rsidRPr="0031249D" w:rsidRDefault="00F37F0F" w:rsidP="009324A4">
      <w:pPr>
        <w:spacing w:line="360" w:lineRule="auto"/>
        <w:jc w:val="both"/>
        <w:rPr>
          <w:rFonts w:cs="Arial"/>
          <w:sz w:val="22"/>
          <w:szCs w:val="22"/>
        </w:rPr>
      </w:pPr>
      <w:r w:rsidRPr="0031249D">
        <w:rPr>
          <w:rFonts w:cs="Arial"/>
          <w:sz w:val="22"/>
          <w:szCs w:val="22"/>
        </w:rPr>
        <w:br w:type="page"/>
      </w:r>
    </w:p>
    <w:p w14:paraId="0B25AF2E" w14:textId="77777777" w:rsidR="00F37F0F" w:rsidRPr="0031249D" w:rsidRDefault="00F37F0F" w:rsidP="009324A4">
      <w:pPr>
        <w:spacing w:line="360" w:lineRule="auto"/>
        <w:jc w:val="both"/>
        <w:rPr>
          <w:rFonts w:cs="Arial"/>
          <w:b/>
          <w:bCs/>
          <w:sz w:val="22"/>
          <w:szCs w:val="22"/>
        </w:rPr>
      </w:pPr>
      <w:r w:rsidRPr="0031249D">
        <w:rPr>
          <w:rFonts w:cs="Arial"/>
          <w:b/>
          <w:bCs/>
          <w:sz w:val="22"/>
          <w:szCs w:val="22"/>
        </w:rPr>
        <w:lastRenderedPageBreak/>
        <w:t>References</w:t>
      </w:r>
    </w:p>
    <w:p w14:paraId="3FBE2EB5" w14:textId="77777777" w:rsidR="00F37F0F" w:rsidRPr="0031249D" w:rsidRDefault="00F37F0F" w:rsidP="009324A4">
      <w:pPr>
        <w:spacing w:line="360" w:lineRule="auto"/>
        <w:jc w:val="both"/>
        <w:rPr>
          <w:rFonts w:cs="Arial"/>
          <w:sz w:val="22"/>
          <w:szCs w:val="22"/>
        </w:rPr>
      </w:pPr>
      <w:r w:rsidRPr="0031249D">
        <w:rPr>
          <w:rFonts w:cs="Arial"/>
          <w:b/>
          <w:bCs/>
          <w:sz w:val="22"/>
          <w:szCs w:val="22"/>
        </w:rPr>
        <w:t xml:space="preserve">  </w:t>
      </w:r>
    </w:p>
    <w:p w14:paraId="7E12BC07" w14:textId="77777777" w:rsidR="00F37F0F" w:rsidRPr="0031249D" w:rsidRDefault="00F37F0F" w:rsidP="009324A4">
      <w:pPr>
        <w:numPr>
          <w:ilvl w:val="0"/>
          <w:numId w:val="4"/>
        </w:numPr>
        <w:spacing w:after="0" w:line="360" w:lineRule="auto"/>
        <w:jc w:val="both"/>
        <w:rPr>
          <w:rFonts w:cs="Arial"/>
          <w:sz w:val="22"/>
          <w:szCs w:val="22"/>
        </w:rPr>
      </w:pPr>
      <w:r w:rsidRPr="0031249D">
        <w:rPr>
          <w:rFonts w:cs="Arial"/>
          <w:bCs/>
          <w:sz w:val="22"/>
          <w:szCs w:val="22"/>
        </w:rPr>
        <w:t>National Patient Safety Agency  “saferhealthcare” website</w:t>
      </w:r>
      <w:r w:rsidRPr="0031249D">
        <w:rPr>
          <w:rFonts w:cs="Arial"/>
          <w:sz w:val="22"/>
          <w:szCs w:val="22"/>
        </w:rPr>
        <w:t>.  Available at</w:t>
      </w:r>
    </w:p>
    <w:p w14:paraId="2FC4566C" w14:textId="77777777" w:rsidR="00F37F0F" w:rsidRPr="0031249D" w:rsidRDefault="00F37F0F" w:rsidP="009324A4">
      <w:pPr>
        <w:spacing w:line="360" w:lineRule="auto"/>
        <w:ind w:left="360" w:firstLine="360"/>
        <w:jc w:val="both"/>
        <w:rPr>
          <w:rFonts w:cs="Arial"/>
          <w:sz w:val="22"/>
          <w:szCs w:val="22"/>
        </w:rPr>
      </w:pPr>
      <w:r w:rsidRPr="0031249D">
        <w:rPr>
          <w:rFonts w:cs="Arial"/>
          <w:sz w:val="22"/>
          <w:szCs w:val="22"/>
          <w:u w:val="single"/>
        </w:rPr>
        <w:t>http://www.saferhealthcare.org.uk</w:t>
      </w:r>
      <w:r w:rsidRPr="0031249D">
        <w:rPr>
          <w:rFonts w:cs="Arial"/>
          <w:sz w:val="22"/>
          <w:szCs w:val="22"/>
        </w:rPr>
        <w:t xml:space="preserve"> (accessed 25 August 2005).</w:t>
      </w:r>
    </w:p>
    <w:p w14:paraId="1A344D12" w14:textId="77777777" w:rsidR="00F37F0F" w:rsidRPr="0031249D" w:rsidRDefault="00F37F0F" w:rsidP="009324A4">
      <w:pPr>
        <w:numPr>
          <w:ilvl w:val="0"/>
          <w:numId w:val="4"/>
        </w:numPr>
        <w:spacing w:after="0" w:line="360" w:lineRule="auto"/>
        <w:jc w:val="both"/>
        <w:rPr>
          <w:rFonts w:cs="Arial"/>
          <w:sz w:val="22"/>
          <w:szCs w:val="22"/>
        </w:rPr>
      </w:pPr>
      <w:r w:rsidRPr="0031249D">
        <w:rPr>
          <w:rFonts w:cs="Arial"/>
          <w:bCs/>
          <w:sz w:val="22"/>
          <w:szCs w:val="22"/>
        </w:rPr>
        <w:t>Pronovost</w:t>
      </w:r>
      <w:r w:rsidRPr="0031249D">
        <w:rPr>
          <w:rFonts w:cs="Arial"/>
          <w:b/>
          <w:sz w:val="22"/>
          <w:szCs w:val="22"/>
        </w:rPr>
        <w:t xml:space="preserve"> </w:t>
      </w:r>
      <w:r w:rsidRPr="0031249D">
        <w:rPr>
          <w:rFonts w:cs="Arial"/>
          <w:bCs/>
          <w:sz w:val="22"/>
          <w:szCs w:val="22"/>
        </w:rPr>
        <w:t>P</w:t>
      </w:r>
      <w:r w:rsidRPr="0031249D">
        <w:rPr>
          <w:rFonts w:cs="Arial"/>
          <w:sz w:val="22"/>
          <w:szCs w:val="22"/>
        </w:rPr>
        <w:t xml:space="preserve">, Sexton B.  Assessing safety culture: guidelines and recommendations.  </w:t>
      </w:r>
      <w:r w:rsidRPr="0031249D">
        <w:rPr>
          <w:rFonts w:cs="Arial"/>
          <w:i/>
          <w:iCs/>
          <w:sz w:val="22"/>
          <w:szCs w:val="22"/>
        </w:rPr>
        <w:t>Qual Saf Health Care</w:t>
      </w:r>
      <w:r w:rsidRPr="0031249D">
        <w:rPr>
          <w:rFonts w:cs="Arial"/>
          <w:sz w:val="22"/>
          <w:szCs w:val="22"/>
        </w:rPr>
        <w:t xml:space="preserve"> 2005;</w:t>
      </w:r>
      <w:r w:rsidRPr="0031249D">
        <w:rPr>
          <w:rFonts w:cs="Arial"/>
          <w:b/>
          <w:bCs/>
          <w:sz w:val="22"/>
          <w:szCs w:val="22"/>
        </w:rPr>
        <w:t>14</w:t>
      </w:r>
      <w:r w:rsidRPr="0031249D">
        <w:rPr>
          <w:rFonts w:cs="Arial"/>
          <w:sz w:val="22"/>
          <w:szCs w:val="22"/>
        </w:rPr>
        <w:t>:231-233.</w:t>
      </w:r>
    </w:p>
    <w:p w14:paraId="637D6B3A" w14:textId="77777777" w:rsidR="00F37F0F" w:rsidRPr="0031249D" w:rsidRDefault="00F37F0F" w:rsidP="009324A4">
      <w:pPr>
        <w:numPr>
          <w:ilvl w:val="0"/>
          <w:numId w:val="4"/>
        </w:numPr>
        <w:spacing w:after="0" w:line="360" w:lineRule="auto"/>
        <w:jc w:val="both"/>
        <w:rPr>
          <w:rFonts w:cs="Arial"/>
          <w:sz w:val="22"/>
          <w:szCs w:val="22"/>
        </w:rPr>
      </w:pPr>
      <w:r w:rsidRPr="0031249D">
        <w:rPr>
          <w:rFonts w:cs="Arial"/>
          <w:bCs/>
          <w:sz w:val="22"/>
          <w:szCs w:val="22"/>
        </w:rPr>
        <w:t>Kho ME</w:t>
      </w:r>
      <w:r w:rsidRPr="0031249D">
        <w:rPr>
          <w:rFonts w:cs="Arial"/>
          <w:sz w:val="22"/>
          <w:szCs w:val="22"/>
        </w:rPr>
        <w:t xml:space="preserve">, Carbone JM, Lucas J, </w:t>
      </w:r>
      <w:r w:rsidRPr="0031249D">
        <w:rPr>
          <w:rFonts w:cs="Arial"/>
          <w:i/>
          <w:sz w:val="22"/>
          <w:szCs w:val="22"/>
        </w:rPr>
        <w:t>et al</w:t>
      </w:r>
      <w:r w:rsidRPr="0031249D">
        <w:rPr>
          <w:rFonts w:cs="Arial"/>
          <w:sz w:val="22"/>
          <w:szCs w:val="22"/>
        </w:rPr>
        <w:t xml:space="preserve">.  Safety Climate Survey: reliability of results from a multicenter ICU survey.  </w:t>
      </w:r>
      <w:r w:rsidRPr="0031249D">
        <w:rPr>
          <w:rFonts w:cs="Arial"/>
          <w:i/>
          <w:iCs/>
          <w:sz w:val="22"/>
          <w:szCs w:val="22"/>
        </w:rPr>
        <w:t>Qual Saf Health Care</w:t>
      </w:r>
      <w:r w:rsidRPr="0031249D">
        <w:rPr>
          <w:rFonts w:cs="Arial"/>
          <w:sz w:val="22"/>
          <w:szCs w:val="22"/>
        </w:rPr>
        <w:t xml:space="preserve"> 2005;</w:t>
      </w:r>
      <w:r w:rsidRPr="0031249D">
        <w:rPr>
          <w:rFonts w:cs="Arial"/>
          <w:b/>
          <w:bCs/>
          <w:sz w:val="22"/>
          <w:szCs w:val="22"/>
        </w:rPr>
        <w:t>14</w:t>
      </w:r>
      <w:r w:rsidRPr="0031249D">
        <w:rPr>
          <w:rFonts w:cs="Arial"/>
          <w:sz w:val="22"/>
          <w:szCs w:val="22"/>
        </w:rPr>
        <w:t>:273-278.</w:t>
      </w:r>
    </w:p>
    <w:p w14:paraId="5D87790B" w14:textId="77777777" w:rsidR="00F37F0F" w:rsidRPr="0031249D" w:rsidRDefault="00F37F0F" w:rsidP="009324A4">
      <w:pPr>
        <w:numPr>
          <w:ilvl w:val="0"/>
          <w:numId w:val="4"/>
        </w:numPr>
        <w:autoSpaceDE w:val="0"/>
        <w:autoSpaceDN w:val="0"/>
        <w:adjustRightInd w:val="0"/>
        <w:spacing w:after="0" w:line="360" w:lineRule="auto"/>
        <w:jc w:val="both"/>
        <w:rPr>
          <w:rFonts w:cs="Arial"/>
          <w:sz w:val="22"/>
          <w:szCs w:val="22"/>
        </w:rPr>
      </w:pPr>
      <w:r w:rsidRPr="0031249D">
        <w:rPr>
          <w:bCs/>
          <w:color w:val="000000"/>
          <w:sz w:val="22"/>
          <w:szCs w:val="22"/>
          <w:lang w:val="en-US"/>
        </w:rPr>
        <w:t>Denison DR</w:t>
      </w:r>
      <w:r w:rsidRPr="0031249D">
        <w:rPr>
          <w:color w:val="000000"/>
          <w:sz w:val="22"/>
          <w:szCs w:val="22"/>
          <w:lang w:val="en-US"/>
        </w:rPr>
        <w:t xml:space="preserve">.  What is the difference between organizational culture and organizational climate?  A native’s point of view on a decade of paradigm wars.  </w:t>
      </w:r>
      <w:r w:rsidRPr="0031249D">
        <w:rPr>
          <w:i/>
          <w:color w:val="000000"/>
          <w:sz w:val="22"/>
          <w:szCs w:val="22"/>
          <w:lang w:val="en-US"/>
        </w:rPr>
        <w:t>Academy of Management Review</w:t>
      </w:r>
      <w:r w:rsidRPr="0031249D">
        <w:rPr>
          <w:color w:val="000000"/>
          <w:sz w:val="22"/>
          <w:szCs w:val="22"/>
          <w:lang w:val="en-US"/>
        </w:rPr>
        <w:t xml:space="preserve"> 1996;</w:t>
      </w:r>
      <w:r w:rsidRPr="0031249D">
        <w:rPr>
          <w:b/>
          <w:color w:val="000000"/>
          <w:sz w:val="22"/>
          <w:szCs w:val="22"/>
          <w:lang w:val="en-US"/>
        </w:rPr>
        <w:t>21</w:t>
      </w:r>
      <w:r w:rsidRPr="0031249D">
        <w:rPr>
          <w:color w:val="000000"/>
          <w:sz w:val="22"/>
          <w:szCs w:val="22"/>
          <w:lang w:val="en-US"/>
        </w:rPr>
        <w:t>:619-654.</w:t>
      </w:r>
    </w:p>
    <w:p w14:paraId="313B8732" w14:textId="77777777" w:rsidR="00F37F0F" w:rsidRPr="0031249D" w:rsidRDefault="00F37F0F" w:rsidP="009324A4">
      <w:pPr>
        <w:numPr>
          <w:ilvl w:val="0"/>
          <w:numId w:val="4"/>
        </w:numPr>
        <w:autoSpaceDE w:val="0"/>
        <w:autoSpaceDN w:val="0"/>
        <w:adjustRightInd w:val="0"/>
        <w:spacing w:after="0" w:line="360" w:lineRule="auto"/>
        <w:jc w:val="both"/>
        <w:rPr>
          <w:color w:val="000000"/>
          <w:sz w:val="22"/>
          <w:szCs w:val="22"/>
          <w:lang w:val="en-US"/>
        </w:rPr>
      </w:pPr>
      <w:r w:rsidRPr="0031249D">
        <w:rPr>
          <w:bCs/>
          <w:color w:val="000000"/>
          <w:sz w:val="22"/>
          <w:szCs w:val="22"/>
          <w:lang w:val="en-US"/>
        </w:rPr>
        <w:t>Schneider B</w:t>
      </w:r>
      <w:r w:rsidRPr="0031249D">
        <w:rPr>
          <w:color w:val="000000"/>
          <w:sz w:val="22"/>
          <w:szCs w:val="22"/>
          <w:lang w:val="en-US"/>
        </w:rPr>
        <w:t xml:space="preserve">.  The psychological life of organizations.  In NM Ashkanasy, CPM Wilderon, MF Peterson (Eds.), </w:t>
      </w:r>
      <w:r w:rsidRPr="0031249D">
        <w:rPr>
          <w:i/>
          <w:color w:val="000000"/>
          <w:sz w:val="22"/>
          <w:szCs w:val="22"/>
          <w:lang w:val="en-US"/>
        </w:rPr>
        <w:t>Handbook of  organizational culture and climate</w:t>
      </w:r>
      <w:r w:rsidRPr="0031249D">
        <w:rPr>
          <w:color w:val="000000"/>
          <w:sz w:val="22"/>
          <w:szCs w:val="22"/>
          <w:lang w:val="en-US"/>
        </w:rPr>
        <w:t>.  Thousand Oaks, CA: Sage, 2000, xvii-xxi.</w:t>
      </w:r>
    </w:p>
    <w:p w14:paraId="53BE47BA" w14:textId="77777777" w:rsidR="00F37F0F" w:rsidRPr="0031249D" w:rsidRDefault="00F37F0F" w:rsidP="009324A4">
      <w:pPr>
        <w:numPr>
          <w:ilvl w:val="0"/>
          <w:numId w:val="4"/>
        </w:numPr>
        <w:spacing w:after="0" w:line="360" w:lineRule="auto"/>
        <w:jc w:val="both"/>
        <w:rPr>
          <w:rFonts w:cs="Arial"/>
          <w:sz w:val="22"/>
          <w:szCs w:val="22"/>
        </w:rPr>
      </w:pPr>
      <w:r w:rsidRPr="0031249D">
        <w:rPr>
          <w:rFonts w:cs="Arial"/>
          <w:bCs/>
          <w:sz w:val="22"/>
          <w:szCs w:val="22"/>
        </w:rPr>
        <w:t>Barling J</w:t>
      </w:r>
      <w:r w:rsidRPr="0031249D">
        <w:rPr>
          <w:rFonts w:cs="Arial"/>
          <w:sz w:val="22"/>
          <w:szCs w:val="22"/>
        </w:rPr>
        <w:t xml:space="preserve">, Loughlin C, Kelloway EK.  Development and test of a model linking safety-specific transformational leadership and occupational safety.  </w:t>
      </w:r>
      <w:r w:rsidRPr="0031249D">
        <w:rPr>
          <w:rFonts w:cs="Arial"/>
          <w:i/>
          <w:sz w:val="22"/>
          <w:szCs w:val="22"/>
        </w:rPr>
        <w:t>J Appl Psychol</w:t>
      </w:r>
      <w:r w:rsidRPr="0031249D">
        <w:rPr>
          <w:rFonts w:cs="Arial"/>
          <w:sz w:val="22"/>
          <w:szCs w:val="22"/>
        </w:rPr>
        <w:t xml:space="preserve"> 2002;</w:t>
      </w:r>
      <w:r w:rsidRPr="0031249D">
        <w:rPr>
          <w:rFonts w:cs="Arial"/>
          <w:b/>
          <w:sz w:val="22"/>
          <w:szCs w:val="22"/>
        </w:rPr>
        <w:t>87</w:t>
      </w:r>
      <w:r w:rsidRPr="0031249D">
        <w:rPr>
          <w:rFonts w:cs="Arial"/>
          <w:sz w:val="22"/>
          <w:szCs w:val="22"/>
        </w:rPr>
        <w:t>:488-496.</w:t>
      </w:r>
    </w:p>
    <w:p w14:paraId="45D29E1C" w14:textId="77777777" w:rsidR="00F37F0F" w:rsidRPr="0031249D" w:rsidRDefault="00F37F0F" w:rsidP="009324A4">
      <w:pPr>
        <w:numPr>
          <w:ilvl w:val="0"/>
          <w:numId w:val="4"/>
        </w:numPr>
        <w:spacing w:after="0" w:line="360" w:lineRule="auto"/>
        <w:jc w:val="both"/>
        <w:rPr>
          <w:rFonts w:cs="Arial"/>
          <w:sz w:val="22"/>
          <w:szCs w:val="22"/>
        </w:rPr>
      </w:pPr>
      <w:r w:rsidRPr="0031249D">
        <w:rPr>
          <w:rFonts w:cs="Arial"/>
          <w:bCs/>
          <w:sz w:val="22"/>
          <w:szCs w:val="22"/>
        </w:rPr>
        <w:t>Griffin MA</w:t>
      </w:r>
      <w:r w:rsidRPr="0031249D">
        <w:rPr>
          <w:rFonts w:cs="Arial"/>
          <w:sz w:val="22"/>
          <w:szCs w:val="22"/>
        </w:rPr>
        <w:t xml:space="preserve">, Neal A.  Perceptions of safety at work: a framework for linking safety climate to safety performance, knowledge, and motivation.  </w:t>
      </w:r>
      <w:r w:rsidRPr="0031249D">
        <w:rPr>
          <w:rFonts w:cs="Arial"/>
          <w:i/>
          <w:sz w:val="22"/>
          <w:szCs w:val="22"/>
        </w:rPr>
        <w:t>J Occup Health Psychol</w:t>
      </w:r>
      <w:r w:rsidRPr="0031249D">
        <w:rPr>
          <w:rFonts w:cs="Arial"/>
          <w:sz w:val="22"/>
          <w:szCs w:val="22"/>
        </w:rPr>
        <w:t xml:space="preserve"> 2000;</w:t>
      </w:r>
      <w:r w:rsidRPr="0031249D">
        <w:rPr>
          <w:rFonts w:cs="Arial"/>
          <w:b/>
          <w:sz w:val="22"/>
          <w:szCs w:val="22"/>
        </w:rPr>
        <w:t>5</w:t>
      </w:r>
      <w:r w:rsidRPr="0031249D">
        <w:rPr>
          <w:rFonts w:cs="Arial"/>
          <w:sz w:val="22"/>
          <w:szCs w:val="22"/>
        </w:rPr>
        <w:t>:347-358.</w:t>
      </w:r>
    </w:p>
    <w:p w14:paraId="3C087575" w14:textId="77777777" w:rsidR="00F37F0F" w:rsidRPr="0031249D" w:rsidRDefault="00F37F0F" w:rsidP="009324A4">
      <w:pPr>
        <w:numPr>
          <w:ilvl w:val="0"/>
          <w:numId w:val="4"/>
        </w:numPr>
        <w:spacing w:after="0" w:line="360" w:lineRule="auto"/>
        <w:jc w:val="both"/>
        <w:rPr>
          <w:rFonts w:cs="Arial"/>
          <w:sz w:val="22"/>
          <w:szCs w:val="22"/>
        </w:rPr>
      </w:pPr>
      <w:r w:rsidRPr="0031249D">
        <w:rPr>
          <w:rFonts w:cs="Arial"/>
          <w:bCs/>
          <w:sz w:val="22"/>
          <w:szCs w:val="22"/>
        </w:rPr>
        <w:t>Zohar D</w:t>
      </w:r>
      <w:r w:rsidRPr="0031249D">
        <w:rPr>
          <w:rFonts w:cs="Arial"/>
          <w:sz w:val="22"/>
          <w:szCs w:val="22"/>
        </w:rPr>
        <w:t xml:space="preserve">.  Safety climate: conceptual and measurement issues.  In JC Quick, LE Tetrick (Eds.), </w:t>
      </w:r>
      <w:r w:rsidRPr="0031249D">
        <w:rPr>
          <w:rFonts w:cs="Arial"/>
          <w:i/>
          <w:sz w:val="22"/>
          <w:szCs w:val="22"/>
        </w:rPr>
        <w:t>Handbook of occupational health psychology</w:t>
      </w:r>
      <w:r w:rsidRPr="0031249D">
        <w:rPr>
          <w:rFonts w:cs="Arial"/>
          <w:sz w:val="22"/>
          <w:szCs w:val="22"/>
        </w:rPr>
        <w:t>.  Washington, DC: American Psychological Association, 2003, 123-142.</w:t>
      </w:r>
    </w:p>
    <w:p w14:paraId="2B8EE8D0" w14:textId="77777777" w:rsidR="00F37F0F" w:rsidRPr="0031249D" w:rsidRDefault="00F37F0F" w:rsidP="009324A4">
      <w:pPr>
        <w:numPr>
          <w:ilvl w:val="0"/>
          <w:numId w:val="4"/>
        </w:numPr>
        <w:autoSpaceDE w:val="0"/>
        <w:autoSpaceDN w:val="0"/>
        <w:adjustRightInd w:val="0"/>
        <w:spacing w:after="0" w:line="360" w:lineRule="auto"/>
        <w:jc w:val="both"/>
        <w:rPr>
          <w:color w:val="000000"/>
          <w:sz w:val="22"/>
          <w:szCs w:val="22"/>
          <w:lang w:val="en-US"/>
        </w:rPr>
      </w:pPr>
      <w:r w:rsidRPr="0031249D">
        <w:rPr>
          <w:bCs/>
          <w:color w:val="000000"/>
          <w:sz w:val="22"/>
          <w:szCs w:val="22"/>
          <w:lang w:val="en-US"/>
        </w:rPr>
        <w:t>Schein EH</w:t>
      </w:r>
      <w:r w:rsidRPr="0031249D">
        <w:rPr>
          <w:color w:val="000000"/>
          <w:sz w:val="22"/>
          <w:szCs w:val="22"/>
          <w:lang w:val="en-US"/>
        </w:rPr>
        <w:t xml:space="preserve">.  Sense and nonsense about climate and culture.  In NM Ashkanasy, CPM Wilderon, MF Peterson (Eds.), </w:t>
      </w:r>
      <w:r w:rsidRPr="0031249D">
        <w:rPr>
          <w:i/>
          <w:color w:val="000000"/>
          <w:sz w:val="22"/>
          <w:szCs w:val="22"/>
          <w:lang w:val="en-US"/>
        </w:rPr>
        <w:t>Handbook of  organizational culture and climate</w:t>
      </w:r>
      <w:r w:rsidRPr="0031249D">
        <w:rPr>
          <w:color w:val="000000"/>
          <w:sz w:val="22"/>
          <w:szCs w:val="22"/>
          <w:lang w:val="en-US"/>
        </w:rPr>
        <w:t>.  Thousand Oaks, CA: Sage, 2000, xxiii-xxx.</w:t>
      </w:r>
    </w:p>
    <w:p w14:paraId="24864F34" w14:textId="77777777" w:rsidR="00F37F0F" w:rsidRPr="0031249D" w:rsidRDefault="00F37F0F" w:rsidP="009324A4">
      <w:pPr>
        <w:numPr>
          <w:ilvl w:val="0"/>
          <w:numId w:val="4"/>
        </w:numPr>
        <w:spacing w:after="0" w:line="360" w:lineRule="auto"/>
        <w:jc w:val="both"/>
        <w:rPr>
          <w:rFonts w:cs="Arial"/>
          <w:sz w:val="22"/>
          <w:szCs w:val="22"/>
        </w:rPr>
      </w:pPr>
      <w:r w:rsidRPr="0031249D">
        <w:rPr>
          <w:rFonts w:cs="Arial"/>
          <w:bCs/>
          <w:sz w:val="22"/>
          <w:szCs w:val="22"/>
        </w:rPr>
        <w:t>Helmreich R</w:t>
      </w:r>
      <w:r w:rsidRPr="0031249D">
        <w:rPr>
          <w:rFonts w:cs="Arial"/>
          <w:sz w:val="22"/>
          <w:szCs w:val="22"/>
        </w:rPr>
        <w:t xml:space="preserve">, Merritt A.  </w:t>
      </w:r>
      <w:r w:rsidRPr="0031249D">
        <w:rPr>
          <w:rFonts w:cs="Arial"/>
          <w:i/>
          <w:sz w:val="22"/>
          <w:szCs w:val="22"/>
        </w:rPr>
        <w:t>Culture at work in aviation and medicine</w:t>
      </w:r>
      <w:r w:rsidRPr="0031249D">
        <w:rPr>
          <w:rFonts w:cs="Arial"/>
          <w:sz w:val="22"/>
          <w:szCs w:val="22"/>
        </w:rPr>
        <w:t>.  Ashgate: Aldershot, 1998.</w:t>
      </w:r>
    </w:p>
    <w:p w14:paraId="4F9936FC" w14:textId="77777777" w:rsidR="00F37F0F" w:rsidRPr="0031249D" w:rsidRDefault="00F37F0F" w:rsidP="009324A4">
      <w:pPr>
        <w:numPr>
          <w:ilvl w:val="0"/>
          <w:numId w:val="4"/>
        </w:numPr>
        <w:spacing w:after="0" w:line="360" w:lineRule="auto"/>
        <w:jc w:val="both"/>
        <w:rPr>
          <w:rFonts w:cs="Arial"/>
          <w:sz w:val="22"/>
          <w:szCs w:val="22"/>
        </w:rPr>
      </w:pPr>
      <w:r w:rsidRPr="0031249D">
        <w:rPr>
          <w:rFonts w:cs="Arial"/>
          <w:bCs/>
          <w:sz w:val="22"/>
          <w:szCs w:val="22"/>
        </w:rPr>
        <w:t>Mearns K</w:t>
      </w:r>
      <w:r w:rsidRPr="0031249D">
        <w:rPr>
          <w:rFonts w:cs="Arial"/>
          <w:sz w:val="22"/>
          <w:szCs w:val="22"/>
        </w:rPr>
        <w:t xml:space="preserve">, Flin R, Gordon R, </w:t>
      </w:r>
      <w:r w:rsidRPr="0031249D">
        <w:rPr>
          <w:rFonts w:cs="Arial"/>
          <w:i/>
          <w:sz w:val="22"/>
          <w:szCs w:val="22"/>
        </w:rPr>
        <w:t>et al</w:t>
      </w:r>
      <w:r w:rsidRPr="0031249D">
        <w:rPr>
          <w:rFonts w:cs="Arial"/>
          <w:sz w:val="22"/>
          <w:szCs w:val="22"/>
        </w:rPr>
        <w:t xml:space="preserve">.  Measuring safety climate on offshore installations.  </w:t>
      </w:r>
      <w:r w:rsidRPr="0031249D">
        <w:rPr>
          <w:rFonts w:cs="Arial"/>
          <w:i/>
          <w:iCs/>
          <w:sz w:val="22"/>
          <w:szCs w:val="22"/>
        </w:rPr>
        <w:t>Work &amp; Stress</w:t>
      </w:r>
      <w:r w:rsidRPr="0031249D">
        <w:rPr>
          <w:rFonts w:cs="Arial"/>
          <w:sz w:val="22"/>
          <w:szCs w:val="22"/>
        </w:rPr>
        <w:t xml:space="preserve"> 1998;</w:t>
      </w:r>
      <w:r w:rsidRPr="0031249D">
        <w:rPr>
          <w:rFonts w:cs="Arial"/>
          <w:b/>
          <w:bCs/>
          <w:sz w:val="22"/>
          <w:szCs w:val="22"/>
        </w:rPr>
        <w:t>12</w:t>
      </w:r>
      <w:r w:rsidRPr="0031249D">
        <w:rPr>
          <w:rFonts w:cs="Arial"/>
          <w:sz w:val="22"/>
          <w:szCs w:val="22"/>
        </w:rPr>
        <w:t>:238-254.</w:t>
      </w:r>
    </w:p>
    <w:p w14:paraId="43DF4B1F" w14:textId="77777777" w:rsidR="00F37F0F" w:rsidRPr="0031249D" w:rsidRDefault="00F37F0F" w:rsidP="009324A4">
      <w:pPr>
        <w:numPr>
          <w:ilvl w:val="0"/>
          <w:numId w:val="4"/>
        </w:numPr>
        <w:spacing w:after="0" w:line="360" w:lineRule="auto"/>
        <w:jc w:val="both"/>
        <w:rPr>
          <w:rFonts w:cs="Arial"/>
          <w:sz w:val="22"/>
          <w:szCs w:val="22"/>
        </w:rPr>
      </w:pPr>
      <w:r w:rsidRPr="0031249D">
        <w:rPr>
          <w:rFonts w:cs="Arial"/>
          <w:bCs/>
          <w:sz w:val="22"/>
          <w:szCs w:val="22"/>
        </w:rPr>
        <w:t>Sexton JB</w:t>
      </w:r>
      <w:r w:rsidRPr="0031249D">
        <w:rPr>
          <w:rFonts w:cs="Arial"/>
          <w:sz w:val="22"/>
          <w:szCs w:val="22"/>
        </w:rPr>
        <w:t xml:space="preserve">, Thomas EJ, Helmreich RL.  Error, stress and teamwork in medicine and aviation: cross sectional surveys.  </w:t>
      </w:r>
      <w:r w:rsidRPr="0031249D">
        <w:rPr>
          <w:rFonts w:cs="Arial"/>
          <w:i/>
          <w:iCs/>
          <w:sz w:val="22"/>
          <w:szCs w:val="22"/>
        </w:rPr>
        <w:t>BMJ</w:t>
      </w:r>
      <w:r w:rsidRPr="0031249D">
        <w:rPr>
          <w:rFonts w:cs="Arial"/>
          <w:sz w:val="22"/>
          <w:szCs w:val="22"/>
        </w:rPr>
        <w:t xml:space="preserve"> 2000;</w:t>
      </w:r>
      <w:r w:rsidRPr="0031249D">
        <w:rPr>
          <w:rFonts w:cs="Arial"/>
          <w:b/>
          <w:bCs/>
          <w:sz w:val="22"/>
          <w:szCs w:val="22"/>
        </w:rPr>
        <w:t>320</w:t>
      </w:r>
      <w:r w:rsidRPr="0031249D">
        <w:rPr>
          <w:rFonts w:cs="Arial"/>
          <w:sz w:val="22"/>
          <w:szCs w:val="22"/>
        </w:rPr>
        <w:t>:745-749.</w:t>
      </w:r>
    </w:p>
    <w:p w14:paraId="6851BB7A" w14:textId="77777777" w:rsidR="00F37F0F" w:rsidRPr="0031249D" w:rsidRDefault="00F37F0F" w:rsidP="009324A4">
      <w:pPr>
        <w:spacing w:line="360" w:lineRule="auto"/>
        <w:jc w:val="both"/>
        <w:rPr>
          <w:rFonts w:cs="Arial"/>
          <w:sz w:val="22"/>
          <w:szCs w:val="22"/>
        </w:rPr>
      </w:pPr>
    </w:p>
    <w:p w14:paraId="229221A5" w14:textId="77777777" w:rsidR="00F37F0F" w:rsidRPr="0031249D" w:rsidRDefault="00F37F0F" w:rsidP="009324A4">
      <w:pPr>
        <w:numPr>
          <w:ilvl w:val="0"/>
          <w:numId w:val="4"/>
        </w:numPr>
        <w:spacing w:after="0" w:line="360" w:lineRule="auto"/>
        <w:jc w:val="both"/>
        <w:rPr>
          <w:rFonts w:cs="Arial"/>
          <w:sz w:val="22"/>
          <w:szCs w:val="22"/>
        </w:rPr>
      </w:pPr>
      <w:r w:rsidRPr="0031249D">
        <w:rPr>
          <w:rFonts w:cs="Arial"/>
          <w:bCs/>
          <w:sz w:val="22"/>
          <w:szCs w:val="22"/>
        </w:rPr>
        <w:lastRenderedPageBreak/>
        <w:t>Singer SJ</w:t>
      </w:r>
      <w:r w:rsidRPr="0031249D">
        <w:rPr>
          <w:rFonts w:cs="Arial"/>
          <w:sz w:val="22"/>
          <w:szCs w:val="22"/>
        </w:rPr>
        <w:t xml:space="preserve">, Gaba DM, Geppert JJ, </w:t>
      </w:r>
      <w:r w:rsidRPr="0031249D">
        <w:rPr>
          <w:rFonts w:cs="Arial"/>
          <w:i/>
          <w:iCs/>
          <w:sz w:val="22"/>
          <w:szCs w:val="22"/>
        </w:rPr>
        <w:t>et al</w:t>
      </w:r>
      <w:r w:rsidRPr="0031249D">
        <w:rPr>
          <w:rFonts w:cs="Arial"/>
          <w:sz w:val="22"/>
          <w:szCs w:val="22"/>
        </w:rPr>
        <w:t xml:space="preserve">.  The culture of safety: results of an organization-wide survey in 15 California hospitals.  </w:t>
      </w:r>
      <w:r w:rsidRPr="0031249D">
        <w:rPr>
          <w:rFonts w:cs="Arial"/>
          <w:i/>
          <w:iCs/>
          <w:sz w:val="22"/>
          <w:szCs w:val="22"/>
        </w:rPr>
        <w:t>Qual Saf Health Care</w:t>
      </w:r>
      <w:r w:rsidRPr="0031249D">
        <w:rPr>
          <w:rFonts w:cs="Arial"/>
          <w:sz w:val="22"/>
          <w:szCs w:val="22"/>
        </w:rPr>
        <w:t xml:space="preserve"> 2003;</w:t>
      </w:r>
      <w:r w:rsidRPr="0031249D">
        <w:rPr>
          <w:rFonts w:cs="Arial"/>
          <w:b/>
          <w:bCs/>
          <w:sz w:val="22"/>
          <w:szCs w:val="22"/>
        </w:rPr>
        <w:t>12</w:t>
      </w:r>
      <w:r w:rsidRPr="0031249D">
        <w:rPr>
          <w:rFonts w:cs="Arial"/>
          <w:sz w:val="22"/>
          <w:szCs w:val="22"/>
        </w:rPr>
        <w:t>:112-118.</w:t>
      </w:r>
    </w:p>
    <w:p w14:paraId="5B21871D" w14:textId="77777777" w:rsidR="00F37F0F" w:rsidRPr="0031249D" w:rsidRDefault="00F37F0F" w:rsidP="009324A4">
      <w:pPr>
        <w:numPr>
          <w:ilvl w:val="0"/>
          <w:numId w:val="4"/>
        </w:numPr>
        <w:spacing w:after="0" w:line="360" w:lineRule="auto"/>
        <w:jc w:val="both"/>
        <w:rPr>
          <w:rFonts w:cs="Arial"/>
          <w:sz w:val="22"/>
          <w:szCs w:val="22"/>
        </w:rPr>
      </w:pPr>
      <w:r w:rsidRPr="0031249D">
        <w:rPr>
          <w:rFonts w:cs="Arial"/>
          <w:bCs/>
          <w:sz w:val="22"/>
          <w:szCs w:val="22"/>
        </w:rPr>
        <w:t>Flin R</w:t>
      </w:r>
      <w:r w:rsidRPr="0031249D">
        <w:rPr>
          <w:rFonts w:cs="Arial"/>
          <w:sz w:val="22"/>
          <w:szCs w:val="22"/>
        </w:rPr>
        <w:t xml:space="preserve">, Mearns K, O’Connor P, </w:t>
      </w:r>
      <w:r w:rsidRPr="0031249D">
        <w:rPr>
          <w:rFonts w:cs="Arial"/>
          <w:i/>
          <w:sz w:val="22"/>
          <w:szCs w:val="22"/>
        </w:rPr>
        <w:t>et al</w:t>
      </w:r>
      <w:r w:rsidRPr="0031249D">
        <w:rPr>
          <w:rFonts w:cs="Arial"/>
          <w:sz w:val="22"/>
          <w:szCs w:val="22"/>
        </w:rPr>
        <w:t xml:space="preserve">.  Measuring safety climate: identifying the common features.  </w:t>
      </w:r>
      <w:r w:rsidRPr="0031249D">
        <w:rPr>
          <w:rFonts w:cs="Arial"/>
          <w:i/>
          <w:sz w:val="22"/>
          <w:szCs w:val="22"/>
        </w:rPr>
        <w:t>Safety Science</w:t>
      </w:r>
      <w:r w:rsidRPr="0031249D">
        <w:rPr>
          <w:rFonts w:cs="Arial"/>
          <w:sz w:val="22"/>
          <w:szCs w:val="22"/>
        </w:rPr>
        <w:t xml:space="preserve"> 2000;</w:t>
      </w:r>
      <w:r w:rsidRPr="0031249D">
        <w:rPr>
          <w:rFonts w:cs="Arial"/>
          <w:b/>
          <w:sz w:val="22"/>
          <w:szCs w:val="22"/>
        </w:rPr>
        <w:t>34</w:t>
      </w:r>
      <w:r w:rsidRPr="0031249D">
        <w:rPr>
          <w:rFonts w:cs="Arial"/>
          <w:sz w:val="22"/>
          <w:szCs w:val="22"/>
        </w:rPr>
        <w:t>:177-192.</w:t>
      </w:r>
    </w:p>
    <w:p w14:paraId="30494B03" w14:textId="77777777" w:rsidR="00F37F0F" w:rsidRPr="0031249D" w:rsidRDefault="00F37F0F" w:rsidP="009324A4">
      <w:pPr>
        <w:numPr>
          <w:ilvl w:val="0"/>
          <w:numId w:val="4"/>
        </w:numPr>
        <w:spacing w:after="0" w:line="360" w:lineRule="auto"/>
        <w:jc w:val="both"/>
        <w:rPr>
          <w:rFonts w:cs="Arial"/>
          <w:sz w:val="22"/>
          <w:szCs w:val="22"/>
        </w:rPr>
      </w:pPr>
      <w:r w:rsidRPr="0031249D">
        <w:rPr>
          <w:rFonts w:cs="Arial"/>
          <w:bCs/>
          <w:sz w:val="22"/>
          <w:szCs w:val="22"/>
        </w:rPr>
        <w:t>Nieva VF</w:t>
      </w:r>
      <w:r w:rsidRPr="0031249D">
        <w:rPr>
          <w:rFonts w:cs="Arial"/>
          <w:sz w:val="22"/>
          <w:szCs w:val="22"/>
        </w:rPr>
        <w:t xml:space="preserve">, Sorra J.  Safety culture assessment: a tool for improving patient safety in healthcare organizations.  </w:t>
      </w:r>
      <w:r w:rsidRPr="0031249D">
        <w:rPr>
          <w:rFonts w:cs="Arial"/>
          <w:i/>
          <w:iCs/>
          <w:sz w:val="22"/>
          <w:szCs w:val="22"/>
        </w:rPr>
        <w:t>Qual Saf Health Care</w:t>
      </w:r>
      <w:r w:rsidRPr="0031249D">
        <w:rPr>
          <w:rFonts w:cs="Arial"/>
          <w:sz w:val="22"/>
          <w:szCs w:val="22"/>
        </w:rPr>
        <w:t xml:space="preserve"> 2003;</w:t>
      </w:r>
      <w:r w:rsidRPr="0031249D">
        <w:rPr>
          <w:rFonts w:cs="Arial"/>
          <w:b/>
          <w:bCs/>
          <w:sz w:val="22"/>
          <w:szCs w:val="22"/>
        </w:rPr>
        <w:t>12</w:t>
      </w:r>
      <w:r w:rsidRPr="0031249D">
        <w:rPr>
          <w:rFonts w:cs="Arial"/>
          <w:sz w:val="22"/>
          <w:szCs w:val="22"/>
        </w:rPr>
        <w:t>(Suppl ll):ii17-ii23.</w:t>
      </w:r>
    </w:p>
    <w:p w14:paraId="06CF8603" w14:textId="77777777" w:rsidR="00F37F0F" w:rsidRPr="0031249D" w:rsidRDefault="00F37F0F" w:rsidP="009324A4">
      <w:pPr>
        <w:numPr>
          <w:ilvl w:val="0"/>
          <w:numId w:val="4"/>
        </w:numPr>
        <w:spacing w:after="0" w:line="360" w:lineRule="auto"/>
        <w:jc w:val="both"/>
        <w:rPr>
          <w:rFonts w:cs="Arial"/>
          <w:sz w:val="22"/>
          <w:szCs w:val="22"/>
        </w:rPr>
      </w:pPr>
      <w:r w:rsidRPr="0031249D">
        <w:rPr>
          <w:rFonts w:cs="Arial"/>
          <w:bCs/>
          <w:sz w:val="22"/>
          <w:szCs w:val="22"/>
        </w:rPr>
        <w:t>Institute for Healthcare Improvement</w:t>
      </w:r>
      <w:r w:rsidRPr="0031249D">
        <w:rPr>
          <w:rFonts w:cs="Arial"/>
          <w:sz w:val="22"/>
          <w:szCs w:val="22"/>
        </w:rPr>
        <w:t>.  Available at</w:t>
      </w:r>
    </w:p>
    <w:p w14:paraId="6254E559" w14:textId="77777777" w:rsidR="00F37F0F" w:rsidRPr="0031249D" w:rsidRDefault="00F37F0F" w:rsidP="009324A4">
      <w:pPr>
        <w:spacing w:line="360" w:lineRule="auto"/>
        <w:ind w:left="720"/>
        <w:jc w:val="both"/>
        <w:rPr>
          <w:rFonts w:cs="Arial"/>
          <w:sz w:val="22"/>
          <w:szCs w:val="22"/>
          <w:u w:val="single"/>
        </w:rPr>
      </w:pPr>
      <w:r w:rsidRPr="0031249D">
        <w:rPr>
          <w:rFonts w:cs="Arial"/>
          <w:sz w:val="22"/>
          <w:szCs w:val="22"/>
          <w:u w:val="single"/>
        </w:rPr>
        <w:t>http://www.ihi.org/IHI/Topics/PatientSafety/SafetyGeneral/Tools/Safety+Climate+Survey+%28IHI+Tool%29.htm</w:t>
      </w:r>
      <w:r w:rsidRPr="0031249D">
        <w:rPr>
          <w:rFonts w:cs="Arial"/>
          <w:sz w:val="22"/>
          <w:szCs w:val="22"/>
        </w:rPr>
        <w:t xml:space="preserve"> (accessed 25 August 2005).</w:t>
      </w:r>
    </w:p>
    <w:p w14:paraId="6DEF7360" w14:textId="77777777" w:rsidR="00F37F0F" w:rsidRPr="0031249D" w:rsidRDefault="00F37F0F" w:rsidP="009324A4">
      <w:pPr>
        <w:pStyle w:val="BodyTextIndent"/>
        <w:numPr>
          <w:ilvl w:val="0"/>
          <w:numId w:val="4"/>
        </w:numPr>
        <w:spacing w:after="0" w:line="360" w:lineRule="auto"/>
        <w:jc w:val="both"/>
        <w:rPr>
          <w:sz w:val="22"/>
          <w:szCs w:val="22"/>
        </w:rPr>
      </w:pPr>
      <w:r w:rsidRPr="0031249D">
        <w:rPr>
          <w:sz w:val="22"/>
          <w:szCs w:val="22"/>
        </w:rPr>
        <w:t xml:space="preserve">Hospital Survey on Patient Safety Culture.  Agency for Healthcare Research and Quality, Rockville, MD.  2005.  Available at </w:t>
      </w:r>
      <w:r w:rsidRPr="0031249D">
        <w:rPr>
          <w:sz w:val="22"/>
          <w:szCs w:val="22"/>
          <w:u w:val="single"/>
        </w:rPr>
        <w:t>http://www.ahrq.gov/qual/hospculture/</w:t>
      </w:r>
      <w:r w:rsidRPr="0031249D">
        <w:rPr>
          <w:sz w:val="22"/>
          <w:szCs w:val="22"/>
        </w:rPr>
        <w:t xml:space="preserve"> (accessed 25 August 2005).</w:t>
      </w:r>
    </w:p>
    <w:p w14:paraId="162A273C" w14:textId="77777777" w:rsidR="00F37F0F" w:rsidRPr="0031249D" w:rsidRDefault="00F37F0F" w:rsidP="009324A4">
      <w:pPr>
        <w:numPr>
          <w:ilvl w:val="0"/>
          <w:numId w:val="4"/>
        </w:numPr>
        <w:spacing w:after="0" w:line="360" w:lineRule="auto"/>
        <w:jc w:val="both"/>
        <w:rPr>
          <w:rFonts w:cs="Arial"/>
          <w:sz w:val="22"/>
          <w:szCs w:val="22"/>
        </w:rPr>
      </w:pPr>
      <w:r w:rsidRPr="0031249D">
        <w:rPr>
          <w:rFonts w:cs="Arial"/>
          <w:sz w:val="22"/>
          <w:szCs w:val="22"/>
        </w:rPr>
        <w:t>T</w:t>
      </w:r>
      <w:r w:rsidRPr="0031249D">
        <w:rPr>
          <w:rFonts w:cs="Arial"/>
          <w:bCs/>
          <w:sz w:val="22"/>
          <w:szCs w:val="22"/>
        </w:rPr>
        <w:t>he University of Texas Center of Excellence for Patient Safety Research and Practice</w:t>
      </w:r>
      <w:r w:rsidRPr="0031249D">
        <w:rPr>
          <w:rFonts w:cs="Arial"/>
          <w:sz w:val="22"/>
          <w:szCs w:val="22"/>
        </w:rPr>
        <w:t>.  Available at</w:t>
      </w:r>
    </w:p>
    <w:p w14:paraId="6A2FD7ED" w14:textId="77777777" w:rsidR="00F37F0F" w:rsidRPr="0031249D" w:rsidRDefault="00F37F0F" w:rsidP="009324A4">
      <w:pPr>
        <w:spacing w:line="360" w:lineRule="auto"/>
        <w:ind w:left="720"/>
        <w:jc w:val="both"/>
        <w:rPr>
          <w:rFonts w:cs="Arial"/>
          <w:sz w:val="22"/>
          <w:szCs w:val="22"/>
        </w:rPr>
      </w:pPr>
      <w:r w:rsidRPr="0031249D">
        <w:rPr>
          <w:rFonts w:cs="Arial"/>
          <w:sz w:val="22"/>
          <w:szCs w:val="22"/>
          <w:u w:val="single"/>
        </w:rPr>
        <w:t xml:space="preserve">http://www.uth.tmc.edu/schools/med/imed/patient_safety/survey&amp;tools.htm </w:t>
      </w:r>
      <w:r w:rsidRPr="0031249D">
        <w:rPr>
          <w:rFonts w:cs="Arial"/>
          <w:sz w:val="22"/>
          <w:szCs w:val="22"/>
        </w:rPr>
        <w:t>(accessed 25 August 2005).</w:t>
      </w:r>
    </w:p>
    <w:p w14:paraId="487B829A" w14:textId="77777777" w:rsidR="00F37F0F" w:rsidRPr="0031249D" w:rsidRDefault="00F37F0F" w:rsidP="009324A4">
      <w:pPr>
        <w:pStyle w:val="BodyTextIndent"/>
        <w:numPr>
          <w:ilvl w:val="0"/>
          <w:numId w:val="4"/>
        </w:numPr>
        <w:spacing w:after="0" w:line="360" w:lineRule="auto"/>
        <w:jc w:val="both"/>
        <w:rPr>
          <w:sz w:val="22"/>
          <w:szCs w:val="22"/>
        </w:rPr>
      </w:pPr>
      <w:r w:rsidRPr="0031249D">
        <w:rPr>
          <w:sz w:val="22"/>
          <w:szCs w:val="22"/>
        </w:rPr>
        <w:t>Sexton JB, Helmreich RL, Pronovost P, Thomas E.  Safety Climate Survey.  University of Texas.  2003.</w:t>
      </w:r>
    </w:p>
    <w:p w14:paraId="454E302D" w14:textId="77777777" w:rsidR="00F37F0F" w:rsidRPr="0031249D" w:rsidRDefault="00F37F0F" w:rsidP="009324A4">
      <w:pPr>
        <w:numPr>
          <w:ilvl w:val="0"/>
          <w:numId w:val="4"/>
        </w:numPr>
        <w:spacing w:after="0" w:line="360" w:lineRule="auto"/>
        <w:jc w:val="both"/>
        <w:rPr>
          <w:rFonts w:cs="Arial"/>
          <w:sz w:val="22"/>
          <w:szCs w:val="22"/>
        </w:rPr>
      </w:pPr>
      <w:r w:rsidRPr="0031249D">
        <w:rPr>
          <w:rFonts w:cs="Arial"/>
          <w:bCs/>
          <w:sz w:val="22"/>
          <w:szCs w:val="22"/>
        </w:rPr>
        <w:t>Drennan J</w:t>
      </w:r>
      <w:r w:rsidRPr="0031249D">
        <w:rPr>
          <w:rFonts w:cs="Arial"/>
          <w:sz w:val="22"/>
          <w:szCs w:val="22"/>
        </w:rPr>
        <w:t xml:space="preserve">.  Cognitive interviewing: verbal data in the design and pretesting of questionnaires.  </w:t>
      </w:r>
      <w:r w:rsidRPr="0031249D">
        <w:rPr>
          <w:rFonts w:cs="Arial"/>
          <w:i/>
          <w:sz w:val="22"/>
          <w:szCs w:val="22"/>
        </w:rPr>
        <w:t>J Adv Nurs</w:t>
      </w:r>
      <w:r w:rsidRPr="0031249D">
        <w:rPr>
          <w:rFonts w:cs="Arial"/>
          <w:sz w:val="22"/>
          <w:szCs w:val="22"/>
        </w:rPr>
        <w:t xml:space="preserve"> 2003;</w:t>
      </w:r>
      <w:r w:rsidRPr="0031249D">
        <w:rPr>
          <w:rFonts w:cs="Arial"/>
          <w:b/>
          <w:sz w:val="22"/>
          <w:szCs w:val="22"/>
        </w:rPr>
        <w:t>42</w:t>
      </w:r>
      <w:r w:rsidRPr="0031249D">
        <w:rPr>
          <w:rFonts w:cs="Arial"/>
          <w:sz w:val="22"/>
          <w:szCs w:val="22"/>
        </w:rPr>
        <w:t>:57-63.</w:t>
      </w:r>
    </w:p>
    <w:p w14:paraId="639B0D34" w14:textId="77777777" w:rsidR="00F37F0F" w:rsidRPr="0031249D" w:rsidRDefault="00F37F0F" w:rsidP="009324A4">
      <w:pPr>
        <w:numPr>
          <w:ilvl w:val="0"/>
          <w:numId w:val="4"/>
        </w:numPr>
        <w:spacing w:after="0" w:line="360" w:lineRule="auto"/>
        <w:jc w:val="both"/>
        <w:rPr>
          <w:rFonts w:cs="Arial"/>
          <w:sz w:val="22"/>
          <w:szCs w:val="22"/>
        </w:rPr>
      </w:pPr>
      <w:r w:rsidRPr="0031249D">
        <w:rPr>
          <w:rFonts w:cs="Arial"/>
          <w:bCs/>
          <w:sz w:val="22"/>
          <w:szCs w:val="22"/>
        </w:rPr>
        <w:t>Ericsson KA</w:t>
      </w:r>
      <w:r w:rsidRPr="0031249D">
        <w:rPr>
          <w:rFonts w:cs="Arial"/>
          <w:sz w:val="22"/>
          <w:szCs w:val="22"/>
        </w:rPr>
        <w:t xml:space="preserve">, Simon HA.  </w:t>
      </w:r>
      <w:r w:rsidRPr="0031249D">
        <w:rPr>
          <w:rFonts w:cs="Arial"/>
          <w:i/>
          <w:iCs/>
          <w:sz w:val="22"/>
          <w:szCs w:val="22"/>
        </w:rPr>
        <w:t xml:space="preserve">Protocol analysis: Verbal reports as data </w:t>
      </w:r>
      <w:r w:rsidRPr="0031249D">
        <w:rPr>
          <w:rFonts w:cs="Arial"/>
          <w:sz w:val="22"/>
          <w:szCs w:val="22"/>
        </w:rPr>
        <w:t>(Revised ed.).  Cambridge, MA: MIT Press, 1993.</w:t>
      </w:r>
    </w:p>
    <w:p w14:paraId="4E568272" w14:textId="77777777" w:rsidR="00F37F0F" w:rsidRPr="0031249D" w:rsidRDefault="00F37F0F" w:rsidP="009324A4">
      <w:pPr>
        <w:numPr>
          <w:ilvl w:val="0"/>
          <w:numId w:val="4"/>
        </w:numPr>
        <w:spacing w:after="0" w:line="360" w:lineRule="auto"/>
        <w:jc w:val="both"/>
        <w:rPr>
          <w:rFonts w:cs="Arial"/>
          <w:sz w:val="22"/>
          <w:szCs w:val="22"/>
        </w:rPr>
      </w:pPr>
      <w:r w:rsidRPr="0031249D">
        <w:rPr>
          <w:rFonts w:cs="Arial"/>
          <w:bCs/>
          <w:sz w:val="22"/>
          <w:szCs w:val="22"/>
        </w:rPr>
        <w:t>Roberts RE</w:t>
      </w:r>
      <w:r w:rsidRPr="0031249D">
        <w:rPr>
          <w:rFonts w:cs="Arial"/>
          <w:sz w:val="22"/>
          <w:szCs w:val="22"/>
        </w:rPr>
        <w:t xml:space="preserve">, Lewinsohn PM, Seeley JR.  A brief measure of loneliness suitable for use with adolescents.  </w:t>
      </w:r>
      <w:r w:rsidRPr="0031249D">
        <w:rPr>
          <w:rFonts w:cs="Arial"/>
          <w:i/>
          <w:sz w:val="22"/>
          <w:szCs w:val="22"/>
        </w:rPr>
        <w:t>Psychological Reports</w:t>
      </w:r>
      <w:r w:rsidRPr="0031249D">
        <w:rPr>
          <w:rFonts w:cs="Arial"/>
          <w:sz w:val="22"/>
          <w:szCs w:val="22"/>
        </w:rPr>
        <w:t xml:space="preserve"> 1993:</w:t>
      </w:r>
      <w:r w:rsidRPr="0031249D">
        <w:rPr>
          <w:rFonts w:cs="Arial"/>
          <w:b/>
          <w:sz w:val="22"/>
          <w:szCs w:val="22"/>
        </w:rPr>
        <w:t>72</w:t>
      </w:r>
      <w:r w:rsidRPr="0031249D">
        <w:rPr>
          <w:rFonts w:cs="Arial"/>
          <w:sz w:val="22"/>
          <w:szCs w:val="22"/>
        </w:rPr>
        <w:t>:1379-1391.</w:t>
      </w:r>
    </w:p>
    <w:p w14:paraId="67D7213C" w14:textId="77777777" w:rsidR="00F37F0F" w:rsidRPr="0031249D" w:rsidRDefault="00F37F0F" w:rsidP="009324A4">
      <w:pPr>
        <w:numPr>
          <w:ilvl w:val="0"/>
          <w:numId w:val="4"/>
        </w:numPr>
        <w:spacing w:after="0" w:line="360" w:lineRule="auto"/>
        <w:jc w:val="both"/>
        <w:rPr>
          <w:rFonts w:cs="Arial"/>
          <w:sz w:val="22"/>
          <w:szCs w:val="22"/>
        </w:rPr>
      </w:pPr>
      <w:r w:rsidRPr="0031249D">
        <w:rPr>
          <w:rFonts w:cs="Arial"/>
          <w:bCs/>
          <w:sz w:val="22"/>
          <w:szCs w:val="22"/>
        </w:rPr>
        <w:t>Schmitt N</w:t>
      </w:r>
      <w:r w:rsidRPr="0031249D">
        <w:rPr>
          <w:rFonts w:cs="Arial"/>
          <w:sz w:val="22"/>
          <w:szCs w:val="22"/>
        </w:rPr>
        <w:t xml:space="preserve">, Stults DM.  Factors defined by negatively keyed items: the result of careless respondents?  </w:t>
      </w:r>
      <w:r w:rsidRPr="0031249D">
        <w:rPr>
          <w:rFonts w:cs="Arial"/>
          <w:i/>
          <w:iCs/>
          <w:sz w:val="22"/>
          <w:szCs w:val="22"/>
        </w:rPr>
        <w:t>Applied</w:t>
      </w:r>
      <w:r w:rsidRPr="0031249D">
        <w:rPr>
          <w:rFonts w:cs="Arial"/>
          <w:sz w:val="22"/>
          <w:szCs w:val="22"/>
        </w:rPr>
        <w:t xml:space="preserve"> </w:t>
      </w:r>
      <w:r w:rsidRPr="0031249D">
        <w:rPr>
          <w:rFonts w:cs="Arial"/>
          <w:i/>
          <w:iCs/>
          <w:sz w:val="22"/>
          <w:szCs w:val="22"/>
        </w:rPr>
        <w:t>Psychological Measurement</w:t>
      </w:r>
      <w:r w:rsidRPr="0031249D">
        <w:rPr>
          <w:rFonts w:cs="Arial"/>
          <w:sz w:val="22"/>
          <w:szCs w:val="22"/>
        </w:rPr>
        <w:t xml:space="preserve"> 1985;</w:t>
      </w:r>
      <w:r w:rsidRPr="0031249D">
        <w:rPr>
          <w:rFonts w:cs="Arial"/>
          <w:b/>
          <w:bCs/>
          <w:sz w:val="22"/>
          <w:szCs w:val="22"/>
        </w:rPr>
        <w:t>9</w:t>
      </w:r>
      <w:r w:rsidRPr="0031249D">
        <w:rPr>
          <w:rFonts w:cs="Arial"/>
          <w:sz w:val="22"/>
          <w:szCs w:val="22"/>
        </w:rPr>
        <w:t>:367-373.</w:t>
      </w:r>
    </w:p>
    <w:p w14:paraId="4322E220" w14:textId="77777777" w:rsidR="00F37F0F" w:rsidRPr="0031249D" w:rsidRDefault="00F37F0F" w:rsidP="009324A4">
      <w:pPr>
        <w:numPr>
          <w:ilvl w:val="0"/>
          <w:numId w:val="4"/>
        </w:numPr>
        <w:spacing w:after="0" w:line="360" w:lineRule="auto"/>
        <w:jc w:val="both"/>
        <w:rPr>
          <w:rFonts w:cs="Arial"/>
          <w:sz w:val="22"/>
          <w:szCs w:val="22"/>
        </w:rPr>
      </w:pPr>
      <w:r w:rsidRPr="0031249D">
        <w:rPr>
          <w:rFonts w:cs="Arial"/>
          <w:bCs/>
          <w:sz w:val="22"/>
          <w:szCs w:val="22"/>
        </w:rPr>
        <w:t>Hu L</w:t>
      </w:r>
      <w:r w:rsidRPr="0031249D">
        <w:rPr>
          <w:rFonts w:cs="Arial"/>
          <w:sz w:val="22"/>
          <w:szCs w:val="22"/>
        </w:rPr>
        <w:t xml:space="preserve">, Bentler PM.  Cutoff criteria for fit indices in covariance structure analysis: Conventional criteria versus new alternatives.  </w:t>
      </w:r>
      <w:r w:rsidRPr="0031249D">
        <w:rPr>
          <w:rFonts w:cs="Arial"/>
          <w:i/>
          <w:sz w:val="22"/>
          <w:szCs w:val="22"/>
        </w:rPr>
        <w:t>Structural Equation Modeling</w:t>
      </w:r>
      <w:r w:rsidRPr="0031249D">
        <w:rPr>
          <w:rFonts w:cs="Arial"/>
          <w:sz w:val="22"/>
          <w:szCs w:val="22"/>
        </w:rPr>
        <w:t xml:space="preserve"> 1999;</w:t>
      </w:r>
      <w:r w:rsidRPr="0031249D">
        <w:rPr>
          <w:rFonts w:cs="Arial"/>
          <w:b/>
          <w:sz w:val="22"/>
          <w:szCs w:val="22"/>
        </w:rPr>
        <w:t>6</w:t>
      </w:r>
      <w:r w:rsidRPr="0031249D">
        <w:rPr>
          <w:rFonts w:cs="Arial"/>
          <w:sz w:val="22"/>
          <w:szCs w:val="22"/>
        </w:rPr>
        <w:t>:1-55.</w:t>
      </w:r>
    </w:p>
    <w:p w14:paraId="2C49AB9C" w14:textId="77777777" w:rsidR="00F37F0F" w:rsidRPr="009324A4" w:rsidRDefault="00F37F0F" w:rsidP="009324A4">
      <w:pPr>
        <w:numPr>
          <w:ilvl w:val="0"/>
          <w:numId w:val="4"/>
        </w:numPr>
        <w:spacing w:after="0" w:line="360" w:lineRule="auto"/>
        <w:rPr>
          <w:rFonts w:cs="Arial"/>
          <w:sz w:val="22"/>
          <w:szCs w:val="22"/>
        </w:rPr>
      </w:pPr>
      <w:r w:rsidRPr="009324A4">
        <w:rPr>
          <w:rFonts w:cs="Arial"/>
          <w:bCs/>
          <w:sz w:val="22"/>
          <w:szCs w:val="22"/>
        </w:rPr>
        <w:t>Sexton JB</w:t>
      </w:r>
      <w:r w:rsidRPr="009324A4">
        <w:rPr>
          <w:rFonts w:cs="Arial"/>
          <w:sz w:val="22"/>
          <w:szCs w:val="22"/>
        </w:rPr>
        <w:t xml:space="preserve">, Thomas EJ, Helmreich RL, </w:t>
      </w:r>
      <w:r w:rsidRPr="009324A4">
        <w:rPr>
          <w:rFonts w:cs="Arial"/>
          <w:i/>
          <w:sz w:val="22"/>
          <w:szCs w:val="22"/>
        </w:rPr>
        <w:t>et al</w:t>
      </w:r>
      <w:r w:rsidRPr="009324A4">
        <w:rPr>
          <w:rFonts w:cs="Arial"/>
          <w:sz w:val="22"/>
          <w:szCs w:val="22"/>
        </w:rPr>
        <w:t xml:space="preserve">.  </w:t>
      </w:r>
      <w:r w:rsidRPr="009324A4">
        <w:rPr>
          <w:rFonts w:cs="Arial"/>
          <w:i/>
          <w:sz w:val="22"/>
          <w:szCs w:val="22"/>
        </w:rPr>
        <w:t>Frontline assessments of healthcare culture: Safety Attitudes Questionnaire norms and psychometric properties</w:t>
      </w:r>
      <w:r w:rsidRPr="009324A4">
        <w:rPr>
          <w:rFonts w:cs="Arial"/>
          <w:sz w:val="22"/>
          <w:szCs w:val="22"/>
        </w:rPr>
        <w:t xml:space="preserve">.  Technical Report 04-01.  Houston: The University of Texas Center of Excellence for Patient Safety Research and Practice, 2003.  Available at </w:t>
      </w:r>
      <w:r w:rsidRPr="009324A4">
        <w:rPr>
          <w:rFonts w:cs="Arial"/>
          <w:sz w:val="22"/>
          <w:szCs w:val="22"/>
          <w:u w:val="single"/>
        </w:rPr>
        <w:t>http://www.uth.tmc.edu/schools/med/imed/patient_safety/survey&amp;tools.htm</w:t>
      </w:r>
      <w:r w:rsidRPr="009324A4">
        <w:rPr>
          <w:rFonts w:cs="Arial"/>
          <w:sz w:val="22"/>
          <w:szCs w:val="22"/>
        </w:rPr>
        <w:t xml:space="preserve"> (accessed 25 August 2005).</w:t>
      </w:r>
    </w:p>
    <w:p w14:paraId="21494C2D" w14:textId="77777777" w:rsidR="00F37F0F" w:rsidRPr="0031249D" w:rsidRDefault="00F37F0F" w:rsidP="009324A4">
      <w:pPr>
        <w:numPr>
          <w:ilvl w:val="0"/>
          <w:numId w:val="4"/>
        </w:numPr>
        <w:spacing w:after="0" w:line="360" w:lineRule="auto"/>
        <w:jc w:val="both"/>
        <w:rPr>
          <w:rFonts w:cs="Arial"/>
          <w:sz w:val="22"/>
          <w:szCs w:val="22"/>
        </w:rPr>
      </w:pPr>
      <w:r w:rsidRPr="0031249D">
        <w:rPr>
          <w:rFonts w:cs="Arial"/>
          <w:bCs/>
          <w:sz w:val="22"/>
          <w:szCs w:val="22"/>
        </w:rPr>
        <w:lastRenderedPageBreak/>
        <w:t>Weigmann DA</w:t>
      </w:r>
      <w:r w:rsidRPr="0031249D">
        <w:rPr>
          <w:rFonts w:cs="Arial"/>
          <w:sz w:val="22"/>
          <w:szCs w:val="22"/>
        </w:rPr>
        <w:t xml:space="preserve">, Zhang H, von Thaden T, </w:t>
      </w:r>
      <w:r w:rsidRPr="0031249D">
        <w:rPr>
          <w:rFonts w:cs="Arial"/>
          <w:i/>
          <w:iCs/>
          <w:sz w:val="22"/>
          <w:szCs w:val="22"/>
        </w:rPr>
        <w:t>et al</w:t>
      </w:r>
      <w:r w:rsidRPr="0031249D">
        <w:rPr>
          <w:rFonts w:cs="Arial"/>
          <w:sz w:val="22"/>
          <w:szCs w:val="22"/>
        </w:rPr>
        <w:t xml:space="preserve">.  </w:t>
      </w:r>
      <w:r w:rsidRPr="0031249D">
        <w:rPr>
          <w:rFonts w:cs="Arial"/>
          <w:i/>
          <w:iCs/>
          <w:sz w:val="22"/>
          <w:szCs w:val="22"/>
        </w:rPr>
        <w:t>A synthesis of safety culture and safety climate research.</w:t>
      </w:r>
      <w:r w:rsidRPr="0031249D">
        <w:rPr>
          <w:rFonts w:cs="Arial"/>
          <w:sz w:val="22"/>
          <w:szCs w:val="22"/>
        </w:rPr>
        <w:t xml:space="preserve">  Savoy, Illinois: University of Illinois at Urbana-Champaign, 2002.</w:t>
      </w:r>
    </w:p>
    <w:p w14:paraId="13FC1F49" w14:textId="77777777" w:rsidR="00F37F0F" w:rsidRPr="0031249D" w:rsidRDefault="00F37F0F" w:rsidP="009324A4">
      <w:pPr>
        <w:numPr>
          <w:ilvl w:val="0"/>
          <w:numId w:val="4"/>
        </w:numPr>
        <w:spacing w:after="0" w:line="360" w:lineRule="auto"/>
        <w:jc w:val="both"/>
        <w:rPr>
          <w:rFonts w:cs="Arial"/>
          <w:sz w:val="22"/>
          <w:szCs w:val="22"/>
        </w:rPr>
      </w:pPr>
      <w:r w:rsidRPr="0031249D">
        <w:rPr>
          <w:rFonts w:cs="Arial"/>
          <w:bCs/>
          <w:sz w:val="22"/>
          <w:szCs w:val="22"/>
        </w:rPr>
        <w:t>Nunnally JC, Bernstein I</w:t>
      </w:r>
      <w:r w:rsidRPr="0031249D">
        <w:rPr>
          <w:rFonts w:cs="Arial"/>
          <w:sz w:val="22"/>
          <w:szCs w:val="22"/>
        </w:rPr>
        <w:t xml:space="preserve">.  </w:t>
      </w:r>
      <w:r w:rsidRPr="0031249D">
        <w:rPr>
          <w:rFonts w:cs="Arial"/>
          <w:i/>
          <w:iCs/>
          <w:sz w:val="22"/>
          <w:szCs w:val="22"/>
        </w:rPr>
        <w:t>Psychometric Theory</w:t>
      </w:r>
      <w:r w:rsidRPr="0031249D">
        <w:rPr>
          <w:rFonts w:cs="Arial"/>
          <w:sz w:val="22"/>
          <w:szCs w:val="22"/>
        </w:rPr>
        <w:t>.  New York: McGraw-Hill, 1994.</w:t>
      </w:r>
    </w:p>
    <w:p w14:paraId="4A48EB31" w14:textId="77777777" w:rsidR="00F37F0F" w:rsidRPr="0031249D" w:rsidRDefault="00F37F0F" w:rsidP="009324A4">
      <w:pPr>
        <w:numPr>
          <w:ilvl w:val="0"/>
          <w:numId w:val="4"/>
        </w:numPr>
        <w:spacing w:after="0" w:line="360" w:lineRule="auto"/>
        <w:jc w:val="both"/>
        <w:rPr>
          <w:rFonts w:cs="Arial"/>
          <w:sz w:val="22"/>
          <w:szCs w:val="22"/>
        </w:rPr>
      </w:pPr>
      <w:r w:rsidRPr="0031249D">
        <w:rPr>
          <w:rFonts w:cs="Arial"/>
          <w:bCs/>
          <w:sz w:val="22"/>
          <w:szCs w:val="22"/>
        </w:rPr>
        <w:t>Cordery JL</w:t>
      </w:r>
      <w:r w:rsidRPr="0031249D">
        <w:rPr>
          <w:rFonts w:cs="Arial"/>
          <w:sz w:val="22"/>
          <w:szCs w:val="22"/>
        </w:rPr>
        <w:t xml:space="preserve">, Sevastos PP.  Responses to the original and revised Job Diagnostic Survey: is education a factor in responses to negatively worded items?  </w:t>
      </w:r>
      <w:r w:rsidRPr="0031249D">
        <w:rPr>
          <w:rFonts w:cs="Arial"/>
          <w:i/>
          <w:sz w:val="22"/>
          <w:szCs w:val="22"/>
        </w:rPr>
        <w:t>J App Psychology</w:t>
      </w:r>
      <w:r w:rsidRPr="0031249D">
        <w:rPr>
          <w:rFonts w:cs="Arial"/>
          <w:sz w:val="22"/>
          <w:szCs w:val="22"/>
        </w:rPr>
        <w:t xml:space="preserve"> 1993;</w:t>
      </w:r>
      <w:r w:rsidRPr="0031249D">
        <w:rPr>
          <w:rFonts w:cs="Arial"/>
          <w:b/>
          <w:sz w:val="22"/>
          <w:szCs w:val="22"/>
        </w:rPr>
        <w:t>78</w:t>
      </w:r>
      <w:r w:rsidRPr="0031249D">
        <w:rPr>
          <w:rFonts w:cs="Arial"/>
          <w:sz w:val="22"/>
          <w:szCs w:val="22"/>
        </w:rPr>
        <w:t>:141-143.</w:t>
      </w:r>
    </w:p>
    <w:p w14:paraId="6A738F10" w14:textId="77777777" w:rsidR="00F37F0F" w:rsidRPr="0031249D" w:rsidRDefault="00F37F0F" w:rsidP="009324A4">
      <w:pPr>
        <w:numPr>
          <w:ilvl w:val="0"/>
          <w:numId w:val="4"/>
        </w:numPr>
        <w:spacing w:after="0" w:line="360" w:lineRule="auto"/>
        <w:jc w:val="both"/>
        <w:rPr>
          <w:rFonts w:cs="Arial"/>
          <w:sz w:val="22"/>
          <w:szCs w:val="22"/>
        </w:rPr>
      </w:pPr>
      <w:r w:rsidRPr="0031249D">
        <w:rPr>
          <w:rFonts w:cs="Arial"/>
          <w:bCs/>
          <w:sz w:val="22"/>
          <w:szCs w:val="22"/>
        </w:rPr>
        <w:t>Spector PE</w:t>
      </w:r>
      <w:r w:rsidRPr="0031249D">
        <w:rPr>
          <w:rFonts w:cs="Arial"/>
          <w:sz w:val="22"/>
          <w:szCs w:val="22"/>
        </w:rPr>
        <w:t xml:space="preserve">, Van Katwyk PT, Brannick MT, </w:t>
      </w:r>
      <w:r w:rsidRPr="0031249D">
        <w:rPr>
          <w:rFonts w:cs="Arial"/>
          <w:i/>
          <w:sz w:val="22"/>
          <w:szCs w:val="22"/>
        </w:rPr>
        <w:t>et al</w:t>
      </w:r>
      <w:r w:rsidRPr="0031249D">
        <w:rPr>
          <w:rFonts w:cs="Arial"/>
          <w:sz w:val="22"/>
          <w:szCs w:val="22"/>
        </w:rPr>
        <w:t xml:space="preserve">.  When two factors don’t reflect two constructs: how item characteristics can produce artifactual factors.  </w:t>
      </w:r>
      <w:r w:rsidRPr="0031249D">
        <w:rPr>
          <w:rFonts w:cs="Arial"/>
          <w:i/>
          <w:sz w:val="22"/>
          <w:szCs w:val="22"/>
        </w:rPr>
        <w:t>Journal of Management</w:t>
      </w:r>
      <w:r w:rsidRPr="0031249D">
        <w:rPr>
          <w:rFonts w:cs="Arial"/>
          <w:sz w:val="22"/>
          <w:szCs w:val="22"/>
        </w:rPr>
        <w:t xml:space="preserve"> 1997;</w:t>
      </w:r>
      <w:r w:rsidRPr="0031249D">
        <w:rPr>
          <w:rFonts w:cs="Arial"/>
          <w:b/>
          <w:sz w:val="22"/>
          <w:szCs w:val="22"/>
        </w:rPr>
        <w:t>23</w:t>
      </w:r>
      <w:r w:rsidRPr="0031249D">
        <w:rPr>
          <w:rFonts w:cs="Arial"/>
          <w:sz w:val="22"/>
          <w:szCs w:val="22"/>
        </w:rPr>
        <w:t>:659-677.</w:t>
      </w:r>
    </w:p>
    <w:p w14:paraId="6E4457F7" w14:textId="77777777" w:rsidR="00F37F0F" w:rsidRPr="0031249D" w:rsidRDefault="00F37F0F" w:rsidP="009324A4">
      <w:pPr>
        <w:spacing w:line="360" w:lineRule="auto"/>
        <w:jc w:val="both"/>
        <w:rPr>
          <w:rFonts w:cs="Arial"/>
          <w:sz w:val="22"/>
          <w:szCs w:val="22"/>
        </w:rPr>
      </w:pPr>
    </w:p>
    <w:p w14:paraId="4EEF81EF" w14:textId="77777777" w:rsidR="00F37F0F" w:rsidRPr="0031249D" w:rsidRDefault="00F37F0F" w:rsidP="009324A4">
      <w:pPr>
        <w:spacing w:line="360" w:lineRule="auto"/>
        <w:jc w:val="both"/>
        <w:rPr>
          <w:rFonts w:cs="Arial"/>
          <w:sz w:val="22"/>
          <w:szCs w:val="22"/>
        </w:rPr>
      </w:pPr>
    </w:p>
    <w:p w14:paraId="55589A8B" w14:textId="77777777" w:rsidR="00F37F0F" w:rsidRPr="0031249D" w:rsidRDefault="00F37F0F" w:rsidP="009324A4">
      <w:pPr>
        <w:spacing w:line="360" w:lineRule="auto"/>
        <w:rPr>
          <w:rFonts w:cs="Arial"/>
          <w:sz w:val="22"/>
          <w:szCs w:val="22"/>
        </w:rPr>
      </w:pPr>
      <w:r w:rsidRPr="0031249D">
        <w:rPr>
          <w:rFonts w:cs="Arial"/>
          <w:sz w:val="22"/>
          <w:szCs w:val="22"/>
        </w:rPr>
        <w:br w:type="page"/>
      </w:r>
    </w:p>
    <w:tbl>
      <w:tblPr>
        <w:tblpPr w:leftFromText="180" w:rightFromText="180" w:vertAnchor="text" w:horzAnchor="margin" w:tblpXSpec="center" w:tblpY="835"/>
        <w:tblW w:w="7692" w:type="dxa"/>
        <w:tblBorders>
          <w:top w:val="single" w:sz="4" w:space="0" w:color="auto"/>
          <w:left w:val="single" w:sz="4" w:space="0" w:color="auto"/>
          <w:bottom w:val="single" w:sz="4" w:space="0" w:color="auto"/>
          <w:right w:val="single" w:sz="4" w:space="0" w:color="auto"/>
          <w:insideH w:val="single" w:sz="4" w:space="0" w:color="999999"/>
          <w:insideV w:val="single" w:sz="4" w:space="0" w:color="999999"/>
        </w:tblBorders>
        <w:tblLayout w:type="fixed"/>
        <w:tblCellMar>
          <w:left w:w="0" w:type="dxa"/>
          <w:right w:w="0" w:type="dxa"/>
        </w:tblCellMar>
        <w:tblLook w:val="0000" w:firstRow="0" w:lastRow="0" w:firstColumn="0" w:lastColumn="0" w:noHBand="0" w:noVBand="0"/>
      </w:tblPr>
      <w:tblGrid>
        <w:gridCol w:w="4258"/>
        <w:gridCol w:w="541"/>
        <w:gridCol w:w="559"/>
        <w:gridCol w:w="473"/>
        <w:gridCol w:w="458"/>
        <w:gridCol w:w="506"/>
        <w:gridCol w:w="865"/>
        <w:gridCol w:w="32"/>
      </w:tblGrid>
      <w:tr w:rsidR="00F37F0F" w14:paraId="4BA5CFCC" w14:textId="77777777" w:rsidTr="00F01091">
        <w:trPr>
          <w:gridAfter w:val="1"/>
          <w:wAfter w:w="31" w:type="dxa"/>
          <w:trHeight w:hRule="exact" w:val="723"/>
        </w:trPr>
        <w:tc>
          <w:tcPr>
            <w:tcW w:w="7661" w:type="dxa"/>
            <w:gridSpan w:val="7"/>
            <w:tcBorders>
              <w:top w:val="nil"/>
              <w:left w:val="nil"/>
              <w:bottom w:val="single" w:sz="4" w:space="0" w:color="auto"/>
              <w:right w:val="nil"/>
            </w:tcBorders>
            <w:tcMar>
              <w:top w:w="14" w:type="dxa"/>
              <w:left w:w="43" w:type="dxa"/>
              <w:bottom w:w="14" w:type="dxa"/>
              <w:right w:w="43" w:type="dxa"/>
            </w:tcMar>
            <w:vAlign w:val="center"/>
          </w:tcPr>
          <w:p w14:paraId="432DB5D7" w14:textId="77777777" w:rsidR="00F37F0F" w:rsidRDefault="00F37F0F" w:rsidP="00F01091">
            <w:pPr>
              <w:pStyle w:val="Header"/>
              <w:spacing w:before="40" w:after="40"/>
              <w:rPr>
                <w:rFonts w:cs="Arial"/>
                <w:vertAlign w:val="superscript"/>
              </w:rPr>
            </w:pPr>
            <w:r>
              <w:rPr>
                <w:rFonts w:cs="Arial"/>
                <w:b/>
              </w:rPr>
              <w:lastRenderedPageBreak/>
              <w:t>Table 1: Teamwork factors and % responses to items</w:t>
            </w:r>
          </w:p>
        </w:tc>
      </w:tr>
      <w:tr w:rsidR="00F01091" w14:paraId="3BD54F01" w14:textId="77777777" w:rsidTr="00F01091">
        <w:trPr>
          <w:gridAfter w:val="1"/>
          <w:wAfter w:w="32" w:type="dxa"/>
          <w:trHeight w:hRule="exact" w:val="1525"/>
        </w:trPr>
        <w:tc>
          <w:tcPr>
            <w:tcW w:w="4259" w:type="dxa"/>
            <w:tcBorders>
              <w:top w:val="single" w:sz="4" w:space="0" w:color="auto"/>
              <w:bottom w:val="single" w:sz="4" w:space="0" w:color="999999"/>
              <w:right w:val="single" w:sz="4" w:space="0" w:color="000000"/>
            </w:tcBorders>
            <w:tcMar>
              <w:top w:w="14" w:type="dxa"/>
              <w:left w:w="43" w:type="dxa"/>
              <w:bottom w:w="14" w:type="dxa"/>
              <w:right w:w="43" w:type="dxa"/>
            </w:tcMar>
            <w:vAlign w:val="center"/>
          </w:tcPr>
          <w:p w14:paraId="3321A505" w14:textId="77777777" w:rsidR="00F37F0F" w:rsidRDefault="00F37F0F" w:rsidP="00F01091">
            <w:pPr>
              <w:rPr>
                <w:rFonts w:cs="Arial"/>
                <w:sz w:val="20"/>
              </w:rPr>
            </w:pPr>
            <w:r>
              <w:rPr>
                <w:rFonts w:cs="Arial"/>
                <w:b/>
                <w:sz w:val="20"/>
                <w:lang w:val="en-US"/>
              </w:rPr>
              <w:t>Teamwork factor 1:</w:t>
            </w:r>
            <w:r>
              <w:rPr>
                <w:rFonts w:cs="Arial"/>
                <w:sz w:val="20"/>
                <w:lang w:val="en-US"/>
              </w:rPr>
              <w:t xml:space="preserve"> </w:t>
            </w:r>
            <w:r>
              <w:rPr>
                <w:rFonts w:cs="Arial"/>
                <w:sz w:val="20"/>
              </w:rPr>
              <w:t>Input into decisions and collaboration with other staff</w:t>
            </w:r>
          </w:p>
          <w:p w14:paraId="2CC4777A" w14:textId="77777777" w:rsidR="00F37F0F" w:rsidRDefault="00F37F0F" w:rsidP="00F01091">
            <w:pPr>
              <w:rPr>
                <w:rFonts w:cs="Arial"/>
                <w:sz w:val="20"/>
                <w:lang w:val="en-US"/>
              </w:rPr>
            </w:pPr>
            <w:r>
              <w:rPr>
                <w:rFonts w:cs="Arial"/>
                <w:sz w:val="20"/>
                <w:lang w:val="en-US"/>
              </w:rPr>
              <w:t xml:space="preserve">Cronbach’s </w:t>
            </w:r>
            <w:r>
              <w:rPr>
                <w:rFonts w:cs="Arial"/>
                <w:sz w:val="20"/>
                <w:lang w:val="en-US"/>
              </w:rPr>
              <w:sym w:font="Symbol" w:char="F061"/>
            </w:r>
            <w:r>
              <w:rPr>
                <w:rFonts w:cs="Arial"/>
                <w:sz w:val="20"/>
                <w:lang w:val="en-US"/>
              </w:rPr>
              <w:t xml:space="preserve"> = 0.84</w:t>
            </w:r>
          </w:p>
          <w:p w14:paraId="082841D0" w14:textId="77777777" w:rsidR="00F37F0F" w:rsidRDefault="00F37F0F" w:rsidP="00F01091">
            <w:pPr>
              <w:rPr>
                <w:rFonts w:cs="Arial"/>
                <w:sz w:val="20"/>
                <w:lang w:val="en-US"/>
              </w:rPr>
            </w:pPr>
          </w:p>
          <w:p w14:paraId="0B718EC6" w14:textId="77777777" w:rsidR="00F37F0F" w:rsidRDefault="00F37F0F" w:rsidP="00F01091">
            <w:pPr>
              <w:rPr>
                <w:rFonts w:cs="Arial"/>
                <w:sz w:val="20"/>
                <w:lang w:val="en-US"/>
              </w:rPr>
            </w:pPr>
          </w:p>
        </w:tc>
        <w:tc>
          <w:tcPr>
            <w:tcW w:w="541" w:type="dxa"/>
            <w:tcBorders>
              <w:top w:val="single" w:sz="4" w:space="0" w:color="auto"/>
              <w:left w:val="single" w:sz="4" w:space="0" w:color="000000"/>
              <w:bottom w:val="single" w:sz="4" w:space="0" w:color="999999"/>
            </w:tcBorders>
          </w:tcPr>
          <w:p w14:paraId="1E7EFCFA" w14:textId="77777777" w:rsidR="00F37F0F" w:rsidRDefault="00F37F0F" w:rsidP="00F01091">
            <w:pPr>
              <w:pStyle w:val="Header"/>
              <w:spacing w:before="40" w:after="40"/>
              <w:jc w:val="center"/>
              <w:rPr>
                <w:rFonts w:cs="Arial"/>
                <w:sz w:val="14"/>
              </w:rPr>
            </w:pPr>
            <w:r>
              <w:rPr>
                <w:rFonts w:cs="Arial"/>
                <w:sz w:val="14"/>
                <w:szCs w:val="14"/>
                <w:vertAlign w:val="superscript"/>
              </w:rPr>
              <w:t>†</w:t>
            </w:r>
            <w:r>
              <w:rPr>
                <w:rFonts w:cs="Arial"/>
                <w:sz w:val="14"/>
              </w:rPr>
              <w:t>Disagree strongly</w:t>
            </w:r>
          </w:p>
        </w:tc>
        <w:tc>
          <w:tcPr>
            <w:tcW w:w="559" w:type="dxa"/>
            <w:tcBorders>
              <w:top w:val="single" w:sz="4" w:space="0" w:color="auto"/>
              <w:bottom w:val="single" w:sz="4" w:space="0" w:color="999999"/>
            </w:tcBorders>
          </w:tcPr>
          <w:p w14:paraId="08BBBB65" w14:textId="77777777" w:rsidR="00F37F0F" w:rsidRDefault="00F37F0F" w:rsidP="00F01091">
            <w:pPr>
              <w:pStyle w:val="Header"/>
              <w:spacing w:before="40" w:after="40"/>
              <w:jc w:val="center"/>
              <w:rPr>
                <w:rFonts w:cs="Arial"/>
                <w:sz w:val="14"/>
              </w:rPr>
            </w:pPr>
            <w:r>
              <w:rPr>
                <w:rFonts w:cs="Arial"/>
                <w:sz w:val="14"/>
                <w:szCs w:val="14"/>
                <w:vertAlign w:val="superscript"/>
              </w:rPr>
              <w:t>†</w:t>
            </w:r>
            <w:r>
              <w:rPr>
                <w:rFonts w:cs="Arial"/>
                <w:sz w:val="14"/>
              </w:rPr>
              <w:t>Disagree slightly</w:t>
            </w:r>
          </w:p>
        </w:tc>
        <w:tc>
          <w:tcPr>
            <w:tcW w:w="473" w:type="dxa"/>
            <w:tcBorders>
              <w:top w:val="single" w:sz="4" w:space="0" w:color="auto"/>
              <w:bottom w:val="single" w:sz="4" w:space="0" w:color="999999"/>
            </w:tcBorders>
          </w:tcPr>
          <w:p w14:paraId="2510CA7D" w14:textId="77777777" w:rsidR="00F37F0F" w:rsidRDefault="00F37F0F" w:rsidP="00F01091">
            <w:pPr>
              <w:pStyle w:val="Header"/>
              <w:spacing w:before="40" w:after="40"/>
              <w:jc w:val="center"/>
              <w:rPr>
                <w:rFonts w:cs="Arial"/>
                <w:sz w:val="14"/>
              </w:rPr>
            </w:pPr>
            <w:r>
              <w:rPr>
                <w:rFonts w:cs="Arial"/>
                <w:sz w:val="14"/>
                <w:szCs w:val="14"/>
                <w:vertAlign w:val="superscript"/>
              </w:rPr>
              <w:t>†</w:t>
            </w:r>
            <w:r>
              <w:rPr>
                <w:rFonts w:cs="Arial"/>
                <w:sz w:val="14"/>
              </w:rPr>
              <w:t>Neutral</w:t>
            </w:r>
          </w:p>
        </w:tc>
        <w:tc>
          <w:tcPr>
            <w:tcW w:w="458" w:type="dxa"/>
            <w:tcBorders>
              <w:top w:val="single" w:sz="4" w:space="0" w:color="auto"/>
              <w:bottom w:val="single" w:sz="4" w:space="0" w:color="999999"/>
            </w:tcBorders>
          </w:tcPr>
          <w:p w14:paraId="1034EB1D" w14:textId="77777777" w:rsidR="00F37F0F" w:rsidRDefault="00F37F0F" w:rsidP="00F01091">
            <w:pPr>
              <w:pStyle w:val="Header"/>
              <w:spacing w:before="40" w:after="40"/>
              <w:jc w:val="center"/>
              <w:rPr>
                <w:rFonts w:cs="Arial"/>
                <w:sz w:val="14"/>
              </w:rPr>
            </w:pPr>
            <w:r>
              <w:rPr>
                <w:rFonts w:cs="Arial"/>
                <w:sz w:val="14"/>
                <w:szCs w:val="14"/>
                <w:vertAlign w:val="superscript"/>
              </w:rPr>
              <w:t>†</w:t>
            </w:r>
            <w:r>
              <w:rPr>
                <w:rFonts w:cs="Arial"/>
                <w:sz w:val="14"/>
              </w:rPr>
              <w:t>Agree slightly</w:t>
            </w:r>
          </w:p>
        </w:tc>
        <w:tc>
          <w:tcPr>
            <w:tcW w:w="506" w:type="dxa"/>
            <w:tcBorders>
              <w:top w:val="single" w:sz="4" w:space="0" w:color="auto"/>
              <w:bottom w:val="single" w:sz="4" w:space="0" w:color="999999"/>
              <w:right w:val="single" w:sz="4" w:space="0" w:color="000000"/>
            </w:tcBorders>
          </w:tcPr>
          <w:p w14:paraId="592C78DF" w14:textId="77777777" w:rsidR="00F37F0F" w:rsidRDefault="00F37F0F" w:rsidP="00F01091">
            <w:pPr>
              <w:pStyle w:val="Header"/>
              <w:spacing w:before="40" w:after="40"/>
              <w:jc w:val="center"/>
              <w:rPr>
                <w:rFonts w:cs="Arial"/>
                <w:sz w:val="14"/>
              </w:rPr>
            </w:pPr>
            <w:r>
              <w:rPr>
                <w:rFonts w:cs="Arial"/>
                <w:sz w:val="14"/>
                <w:szCs w:val="14"/>
                <w:vertAlign w:val="superscript"/>
              </w:rPr>
              <w:t>†</w:t>
            </w:r>
            <w:r>
              <w:rPr>
                <w:rFonts w:cs="Arial"/>
                <w:sz w:val="14"/>
              </w:rPr>
              <w:t>Agree strongly</w:t>
            </w:r>
          </w:p>
        </w:tc>
        <w:tc>
          <w:tcPr>
            <w:tcW w:w="864" w:type="dxa"/>
            <w:tcBorders>
              <w:top w:val="single" w:sz="4" w:space="0" w:color="auto"/>
              <w:left w:val="single" w:sz="4" w:space="0" w:color="000000"/>
              <w:bottom w:val="single" w:sz="4" w:space="0" w:color="999999"/>
            </w:tcBorders>
          </w:tcPr>
          <w:p w14:paraId="1A25EBD7" w14:textId="77777777" w:rsidR="00F37F0F" w:rsidRDefault="00F37F0F" w:rsidP="00F01091">
            <w:pPr>
              <w:pStyle w:val="Header"/>
              <w:spacing w:before="40" w:after="40"/>
              <w:jc w:val="center"/>
              <w:rPr>
                <w:rFonts w:cs="Arial"/>
                <w:sz w:val="14"/>
              </w:rPr>
            </w:pPr>
            <w:r>
              <w:rPr>
                <w:rFonts w:cs="Arial"/>
                <w:sz w:val="14"/>
                <w:szCs w:val="14"/>
                <w:vertAlign w:val="superscript"/>
              </w:rPr>
              <w:t>‡</w:t>
            </w:r>
            <w:r>
              <w:rPr>
                <w:rFonts w:cs="Arial"/>
                <w:sz w:val="14"/>
              </w:rPr>
              <w:t>Not applicable</w:t>
            </w:r>
          </w:p>
        </w:tc>
      </w:tr>
      <w:tr w:rsidR="00F01091" w14:paraId="127311AA" w14:textId="77777777" w:rsidTr="00F01091">
        <w:trPr>
          <w:gridAfter w:val="1"/>
          <w:wAfter w:w="32" w:type="dxa"/>
          <w:trHeight w:hRule="exact" w:val="563"/>
        </w:trPr>
        <w:tc>
          <w:tcPr>
            <w:tcW w:w="4259" w:type="dxa"/>
            <w:tcBorders>
              <w:top w:val="single" w:sz="4" w:space="0" w:color="999999"/>
              <w:bottom w:val="single" w:sz="4" w:space="0" w:color="999999"/>
              <w:right w:val="single" w:sz="4" w:space="0" w:color="000000"/>
            </w:tcBorders>
            <w:tcMar>
              <w:top w:w="14" w:type="dxa"/>
              <w:left w:w="43" w:type="dxa"/>
              <w:bottom w:w="14" w:type="dxa"/>
              <w:right w:w="43" w:type="dxa"/>
            </w:tcMar>
            <w:vAlign w:val="center"/>
          </w:tcPr>
          <w:p w14:paraId="0144A02D" w14:textId="77777777" w:rsidR="00F37F0F" w:rsidRDefault="00F37F0F" w:rsidP="00F01091">
            <w:pPr>
              <w:pStyle w:val="Header"/>
              <w:rPr>
                <w:rFonts w:cs="Arial"/>
                <w:sz w:val="17"/>
                <w:szCs w:val="17"/>
              </w:rPr>
            </w:pPr>
            <w:r>
              <w:rPr>
                <w:rFonts w:cs="Arial"/>
                <w:sz w:val="17"/>
                <w:szCs w:val="17"/>
              </w:rPr>
              <w:t>Nurse input is well received where I work.</w:t>
            </w:r>
          </w:p>
        </w:tc>
        <w:tc>
          <w:tcPr>
            <w:tcW w:w="541" w:type="dxa"/>
            <w:tcBorders>
              <w:top w:val="single" w:sz="4" w:space="0" w:color="999999"/>
              <w:left w:val="single" w:sz="4" w:space="0" w:color="000000"/>
              <w:bottom w:val="single" w:sz="4" w:space="0" w:color="999999"/>
            </w:tcBorders>
            <w:tcMar>
              <w:top w:w="14" w:type="dxa"/>
              <w:left w:w="43" w:type="dxa"/>
              <w:bottom w:w="14" w:type="dxa"/>
              <w:right w:w="43" w:type="dxa"/>
            </w:tcMar>
            <w:vAlign w:val="center"/>
          </w:tcPr>
          <w:p w14:paraId="40C18469" w14:textId="77777777" w:rsidR="00F37F0F" w:rsidRDefault="00F37F0F" w:rsidP="00F01091">
            <w:pPr>
              <w:jc w:val="center"/>
              <w:rPr>
                <w:rFonts w:cs="Arial"/>
                <w:sz w:val="20"/>
              </w:rPr>
            </w:pPr>
            <w:r>
              <w:rPr>
                <w:rFonts w:cs="Arial"/>
                <w:sz w:val="20"/>
              </w:rPr>
              <w:t>1</w:t>
            </w:r>
          </w:p>
        </w:tc>
        <w:tc>
          <w:tcPr>
            <w:tcW w:w="559" w:type="dxa"/>
            <w:tcBorders>
              <w:top w:val="single" w:sz="4" w:space="0" w:color="999999"/>
              <w:bottom w:val="single" w:sz="4" w:space="0" w:color="999999"/>
            </w:tcBorders>
            <w:tcMar>
              <w:top w:w="14" w:type="dxa"/>
              <w:left w:w="43" w:type="dxa"/>
              <w:bottom w:w="14" w:type="dxa"/>
              <w:right w:w="43" w:type="dxa"/>
            </w:tcMar>
            <w:vAlign w:val="center"/>
          </w:tcPr>
          <w:p w14:paraId="5B019479" w14:textId="77777777" w:rsidR="00F37F0F" w:rsidRDefault="00F37F0F" w:rsidP="00F01091">
            <w:pPr>
              <w:jc w:val="center"/>
              <w:rPr>
                <w:rFonts w:cs="Arial"/>
                <w:sz w:val="20"/>
              </w:rPr>
            </w:pPr>
            <w:r>
              <w:rPr>
                <w:rFonts w:cs="Arial"/>
                <w:sz w:val="20"/>
              </w:rPr>
              <w:t>3</w:t>
            </w:r>
          </w:p>
        </w:tc>
        <w:tc>
          <w:tcPr>
            <w:tcW w:w="473" w:type="dxa"/>
            <w:tcBorders>
              <w:top w:val="single" w:sz="4" w:space="0" w:color="999999"/>
              <w:bottom w:val="single" w:sz="4" w:space="0" w:color="999999"/>
            </w:tcBorders>
            <w:tcMar>
              <w:top w:w="14" w:type="dxa"/>
              <w:left w:w="43" w:type="dxa"/>
              <w:bottom w:w="14" w:type="dxa"/>
              <w:right w:w="43" w:type="dxa"/>
            </w:tcMar>
            <w:vAlign w:val="center"/>
          </w:tcPr>
          <w:p w14:paraId="66A9D393" w14:textId="77777777" w:rsidR="00F37F0F" w:rsidRDefault="00F37F0F" w:rsidP="00F01091">
            <w:pPr>
              <w:jc w:val="center"/>
              <w:rPr>
                <w:rFonts w:cs="Arial"/>
                <w:sz w:val="20"/>
              </w:rPr>
            </w:pPr>
            <w:r>
              <w:rPr>
                <w:rFonts w:cs="Arial"/>
                <w:sz w:val="20"/>
              </w:rPr>
              <w:t>6</w:t>
            </w:r>
          </w:p>
        </w:tc>
        <w:tc>
          <w:tcPr>
            <w:tcW w:w="458" w:type="dxa"/>
            <w:tcBorders>
              <w:top w:val="single" w:sz="4" w:space="0" w:color="999999"/>
              <w:bottom w:val="single" w:sz="4" w:space="0" w:color="999999"/>
            </w:tcBorders>
            <w:tcMar>
              <w:top w:w="14" w:type="dxa"/>
              <w:left w:w="43" w:type="dxa"/>
              <w:bottom w:w="14" w:type="dxa"/>
              <w:right w:w="43" w:type="dxa"/>
            </w:tcMar>
            <w:vAlign w:val="center"/>
          </w:tcPr>
          <w:p w14:paraId="1C26A4A4" w14:textId="77777777" w:rsidR="00F37F0F" w:rsidRDefault="00F37F0F" w:rsidP="00F01091">
            <w:pPr>
              <w:jc w:val="center"/>
              <w:rPr>
                <w:rFonts w:cs="Arial"/>
                <w:sz w:val="20"/>
              </w:rPr>
            </w:pPr>
            <w:r>
              <w:rPr>
                <w:rFonts w:cs="Arial"/>
                <w:sz w:val="20"/>
              </w:rPr>
              <w:t>23</w:t>
            </w:r>
          </w:p>
        </w:tc>
        <w:tc>
          <w:tcPr>
            <w:tcW w:w="506" w:type="dxa"/>
            <w:tcBorders>
              <w:top w:val="single" w:sz="4" w:space="0" w:color="999999"/>
              <w:bottom w:val="single" w:sz="4" w:space="0" w:color="999999"/>
              <w:right w:val="single" w:sz="4" w:space="0" w:color="000000"/>
            </w:tcBorders>
            <w:tcMar>
              <w:top w:w="14" w:type="dxa"/>
              <w:left w:w="43" w:type="dxa"/>
              <w:bottom w:w="14" w:type="dxa"/>
              <w:right w:w="43" w:type="dxa"/>
            </w:tcMar>
            <w:vAlign w:val="center"/>
          </w:tcPr>
          <w:p w14:paraId="1186F32F" w14:textId="77777777" w:rsidR="00F37F0F" w:rsidRDefault="00F37F0F" w:rsidP="00F01091">
            <w:pPr>
              <w:jc w:val="center"/>
              <w:rPr>
                <w:rFonts w:cs="Arial"/>
                <w:sz w:val="20"/>
              </w:rPr>
            </w:pPr>
            <w:r>
              <w:rPr>
                <w:rFonts w:cs="Arial"/>
                <w:sz w:val="20"/>
              </w:rPr>
              <w:t>66</w:t>
            </w:r>
          </w:p>
        </w:tc>
        <w:tc>
          <w:tcPr>
            <w:tcW w:w="864" w:type="dxa"/>
            <w:tcBorders>
              <w:top w:val="single" w:sz="4" w:space="0" w:color="999999"/>
              <w:left w:val="single" w:sz="4" w:space="0" w:color="000000"/>
              <w:bottom w:val="single" w:sz="4" w:space="0" w:color="999999"/>
            </w:tcBorders>
            <w:tcMar>
              <w:top w:w="14" w:type="dxa"/>
              <w:left w:w="43" w:type="dxa"/>
              <w:bottom w:w="14" w:type="dxa"/>
              <w:right w:w="43" w:type="dxa"/>
            </w:tcMar>
            <w:vAlign w:val="center"/>
          </w:tcPr>
          <w:p w14:paraId="012C101E" w14:textId="77777777" w:rsidR="00F37F0F" w:rsidRDefault="00F37F0F" w:rsidP="00F01091">
            <w:pPr>
              <w:jc w:val="center"/>
              <w:rPr>
                <w:rFonts w:cs="Arial"/>
                <w:sz w:val="20"/>
              </w:rPr>
            </w:pPr>
            <w:r>
              <w:rPr>
                <w:rFonts w:cs="Arial"/>
                <w:sz w:val="20"/>
              </w:rPr>
              <w:t>4</w:t>
            </w:r>
          </w:p>
        </w:tc>
      </w:tr>
      <w:tr w:rsidR="00F01091" w14:paraId="60EBBAB8" w14:textId="77777777" w:rsidTr="00F01091">
        <w:trPr>
          <w:gridAfter w:val="1"/>
          <w:wAfter w:w="32" w:type="dxa"/>
          <w:trHeight w:hRule="exact" w:val="563"/>
        </w:trPr>
        <w:tc>
          <w:tcPr>
            <w:tcW w:w="4259" w:type="dxa"/>
            <w:tcBorders>
              <w:top w:val="single" w:sz="4" w:space="0" w:color="999999"/>
              <w:bottom w:val="single" w:sz="4" w:space="0" w:color="999999"/>
              <w:right w:val="single" w:sz="4" w:space="0" w:color="000000"/>
            </w:tcBorders>
            <w:tcMar>
              <w:top w:w="14" w:type="dxa"/>
              <w:left w:w="43" w:type="dxa"/>
              <w:bottom w:w="14" w:type="dxa"/>
              <w:right w:w="43" w:type="dxa"/>
            </w:tcMar>
            <w:vAlign w:val="center"/>
          </w:tcPr>
          <w:p w14:paraId="6379542A" w14:textId="77777777" w:rsidR="00F37F0F" w:rsidRDefault="00F37F0F" w:rsidP="00F01091">
            <w:pPr>
              <w:pStyle w:val="Header"/>
              <w:rPr>
                <w:rFonts w:cs="Arial"/>
                <w:sz w:val="17"/>
                <w:szCs w:val="17"/>
              </w:rPr>
            </w:pPr>
            <w:r>
              <w:rPr>
                <w:rFonts w:cs="Arial"/>
                <w:sz w:val="17"/>
                <w:szCs w:val="17"/>
              </w:rPr>
              <w:t>Decision-making where I work uses input from relevant staff.</w:t>
            </w:r>
          </w:p>
        </w:tc>
        <w:tc>
          <w:tcPr>
            <w:tcW w:w="541" w:type="dxa"/>
            <w:tcBorders>
              <w:top w:val="single" w:sz="4" w:space="0" w:color="999999"/>
              <w:left w:val="single" w:sz="4" w:space="0" w:color="000000"/>
              <w:bottom w:val="single" w:sz="4" w:space="0" w:color="999999"/>
            </w:tcBorders>
            <w:tcMar>
              <w:top w:w="14" w:type="dxa"/>
              <w:left w:w="43" w:type="dxa"/>
              <w:bottom w:w="14" w:type="dxa"/>
              <w:right w:w="43" w:type="dxa"/>
            </w:tcMar>
            <w:vAlign w:val="center"/>
          </w:tcPr>
          <w:p w14:paraId="409EB772" w14:textId="77777777" w:rsidR="00F37F0F" w:rsidRDefault="00F37F0F" w:rsidP="00F01091">
            <w:pPr>
              <w:jc w:val="center"/>
              <w:rPr>
                <w:rFonts w:cs="Arial"/>
                <w:sz w:val="20"/>
              </w:rPr>
            </w:pPr>
            <w:r>
              <w:rPr>
                <w:rFonts w:cs="Arial"/>
                <w:sz w:val="20"/>
              </w:rPr>
              <w:t>3</w:t>
            </w:r>
          </w:p>
        </w:tc>
        <w:tc>
          <w:tcPr>
            <w:tcW w:w="559" w:type="dxa"/>
            <w:tcBorders>
              <w:top w:val="single" w:sz="4" w:space="0" w:color="999999"/>
              <w:bottom w:val="single" w:sz="4" w:space="0" w:color="999999"/>
            </w:tcBorders>
            <w:tcMar>
              <w:top w:w="14" w:type="dxa"/>
              <w:left w:w="43" w:type="dxa"/>
              <w:bottom w:w="14" w:type="dxa"/>
              <w:right w:w="43" w:type="dxa"/>
            </w:tcMar>
            <w:vAlign w:val="center"/>
          </w:tcPr>
          <w:p w14:paraId="23F06D07" w14:textId="77777777" w:rsidR="00F37F0F" w:rsidRDefault="00F37F0F" w:rsidP="00F01091">
            <w:pPr>
              <w:jc w:val="center"/>
              <w:rPr>
                <w:rFonts w:cs="Arial"/>
                <w:sz w:val="20"/>
              </w:rPr>
            </w:pPr>
            <w:r>
              <w:rPr>
                <w:rFonts w:cs="Arial"/>
                <w:sz w:val="20"/>
              </w:rPr>
              <w:t>4</w:t>
            </w:r>
          </w:p>
        </w:tc>
        <w:tc>
          <w:tcPr>
            <w:tcW w:w="473" w:type="dxa"/>
            <w:tcBorders>
              <w:top w:val="single" w:sz="4" w:space="0" w:color="999999"/>
              <w:bottom w:val="single" w:sz="4" w:space="0" w:color="999999"/>
            </w:tcBorders>
            <w:tcMar>
              <w:top w:w="14" w:type="dxa"/>
              <w:left w:w="43" w:type="dxa"/>
              <w:bottom w:w="14" w:type="dxa"/>
              <w:right w:w="43" w:type="dxa"/>
            </w:tcMar>
            <w:vAlign w:val="center"/>
          </w:tcPr>
          <w:p w14:paraId="59936C80" w14:textId="77777777" w:rsidR="00F37F0F" w:rsidRDefault="00F37F0F" w:rsidP="00F01091">
            <w:pPr>
              <w:jc w:val="center"/>
              <w:rPr>
                <w:rFonts w:cs="Arial"/>
                <w:sz w:val="20"/>
              </w:rPr>
            </w:pPr>
            <w:r>
              <w:rPr>
                <w:rFonts w:cs="Arial"/>
                <w:sz w:val="20"/>
              </w:rPr>
              <w:t>9</w:t>
            </w:r>
          </w:p>
        </w:tc>
        <w:tc>
          <w:tcPr>
            <w:tcW w:w="458" w:type="dxa"/>
            <w:tcBorders>
              <w:top w:val="single" w:sz="4" w:space="0" w:color="999999"/>
              <w:bottom w:val="single" w:sz="4" w:space="0" w:color="999999"/>
            </w:tcBorders>
            <w:tcMar>
              <w:top w:w="14" w:type="dxa"/>
              <w:left w:w="43" w:type="dxa"/>
              <w:bottom w:w="14" w:type="dxa"/>
              <w:right w:w="43" w:type="dxa"/>
            </w:tcMar>
            <w:vAlign w:val="center"/>
          </w:tcPr>
          <w:p w14:paraId="07B644DE" w14:textId="77777777" w:rsidR="00F37F0F" w:rsidRDefault="00F37F0F" w:rsidP="00F01091">
            <w:pPr>
              <w:jc w:val="center"/>
              <w:rPr>
                <w:rFonts w:cs="Arial"/>
                <w:sz w:val="20"/>
              </w:rPr>
            </w:pPr>
            <w:r>
              <w:rPr>
                <w:rFonts w:cs="Arial"/>
                <w:sz w:val="20"/>
              </w:rPr>
              <w:t>29</w:t>
            </w:r>
          </w:p>
        </w:tc>
        <w:tc>
          <w:tcPr>
            <w:tcW w:w="506" w:type="dxa"/>
            <w:tcBorders>
              <w:top w:val="single" w:sz="4" w:space="0" w:color="999999"/>
              <w:bottom w:val="single" w:sz="4" w:space="0" w:color="999999"/>
              <w:right w:val="single" w:sz="4" w:space="0" w:color="000000"/>
            </w:tcBorders>
            <w:tcMar>
              <w:top w:w="14" w:type="dxa"/>
              <w:left w:w="43" w:type="dxa"/>
              <w:bottom w:w="14" w:type="dxa"/>
              <w:right w:w="43" w:type="dxa"/>
            </w:tcMar>
            <w:vAlign w:val="center"/>
          </w:tcPr>
          <w:p w14:paraId="767CAE5E" w14:textId="77777777" w:rsidR="00F37F0F" w:rsidRDefault="00F37F0F" w:rsidP="00F01091">
            <w:pPr>
              <w:jc w:val="center"/>
              <w:rPr>
                <w:rFonts w:cs="Arial"/>
                <w:sz w:val="20"/>
              </w:rPr>
            </w:pPr>
            <w:r>
              <w:rPr>
                <w:rFonts w:cs="Arial"/>
                <w:sz w:val="20"/>
              </w:rPr>
              <w:t>54</w:t>
            </w:r>
          </w:p>
        </w:tc>
        <w:tc>
          <w:tcPr>
            <w:tcW w:w="864" w:type="dxa"/>
            <w:tcBorders>
              <w:top w:val="single" w:sz="4" w:space="0" w:color="999999"/>
              <w:left w:val="single" w:sz="4" w:space="0" w:color="000000"/>
              <w:bottom w:val="single" w:sz="4" w:space="0" w:color="999999"/>
            </w:tcBorders>
            <w:tcMar>
              <w:top w:w="14" w:type="dxa"/>
              <w:left w:w="43" w:type="dxa"/>
              <w:bottom w:w="14" w:type="dxa"/>
              <w:right w:w="43" w:type="dxa"/>
            </w:tcMar>
            <w:vAlign w:val="center"/>
          </w:tcPr>
          <w:p w14:paraId="283A556B" w14:textId="77777777" w:rsidR="00F37F0F" w:rsidRDefault="00F37F0F" w:rsidP="00F01091">
            <w:pPr>
              <w:jc w:val="center"/>
              <w:rPr>
                <w:rFonts w:cs="Arial"/>
                <w:sz w:val="20"/>
              </w:rPr>
            </w:pPr>
            <w:r>
              <w:rPr>
                <w:rFonts w:cs="Arial"/>
                <w:sz w:val="20"/>
              </w:rPr>
              <w:t>2</w:t>
            </w:r>
          </w:p>
        </w:tc>
      </w:tr>
      <w:tr w:rsidR="00F01091" w14:paraId="65BB1B7E" w14:textId="77777777" w:rsidTr="00F01091">
        <w:trPr>
          <w:trHeight w:hRule="exact" w:val="563"/>
        </w:trPr>
        <w:tc>
          <w:tcPr>
            <w:tcW w:w="4259" w:type="dxa"/>
            <w:tcBorders>
              <w:top w:val="single" w:sz="4" w:space="0" w:color="999999"/>
              <w:bottom w:val="single" w:sz="4" w:space="0" w:color="999999"/>
              <w:right w:val="single" w:sz="4" w:space="0" w:color="000000"/>
            </w:tcBorders>
            <w:tcMar>
              <w:top w:w="14" w:type="dxa"/>
              <w:left w:w="43" w:type="dxa"/>
              <w:bottom w:w="14" w:type="dxa"/>
              <w:right w:w="43" w:type="dxa"/>
            </w:tcMar>
            <w:vAlign w:val="center"/>
          </w:tcPr>
          <w:p w14:paraId="4E66FE4F" w14:textId="77777777" w:rsidR="00F37F0F" w:rsidRDefault="00F37F0F" w:rsidP="00F01091">
            <w:pPr>
              <w:pStyle w:val="Header"/>
              <w:rPr>
                <w:rFonts w:cs="Arial"/>
                <w:sz w:val="17"/>
                <w:szCs w:val="17"/>
              </w:rPr>
            </w:pPr>
            <w:r>
              <w:rPr>
                <w:rFonts w:cs="Arial"/>
                <w:sz w:val="17"/>
                <w:szCs w:val="17"/>
              </w:rPr>
              <w:t>The doctors and nurses here work together as a well co-ordinated team.</w:t>
            </w:r>
          </w:p>
        </w:tc>
        <w:tc>
          <w:tcPr>
            <w:tcW w:w="541" w:type="dxa"/>
            <w:tcBorders>
              <w:top w:val="single" w:sz="4" w:space="0" w:color="999999"/>
              <w:left w:val="single" w:sz="4" w:space="0" w:color="000000"/>
              <w:bottom w:val="single" w:sz="4" w:space="0" w:color="999999"/>
            </w:tcBorders>
            <w:tcMar>
              <w:top w:w="14" w:type="dxa"/>
              <w:left w:w="43" w:type="dxa"/>
              <w:bottom w:w="14" w:type="dxa"/>
              <w:right w:w="43" w:type="dxa"/>
            </w:tcMar>
            <w:vAlign w:val="center"/>
          </w:tcPr>
          <w:p w14:paraId="6036F1E4" w14:textId="77777777" w:rsidR="00F37F0F" w:rsidRDefault="00F37F0F" w:rsidP="00F01091">
            <w:pPr>
              <w:jc w:val="center"/>
              <w:rPr>
                <w:rFonts w:cs="Arial"/>
                <w:sz w:val="20"/>
              </w:rPr>
            </w:pPr>
            <w:r>
              <w:rPr>
                <w:rFonts w:cs="Arial"/>
                <w:sz w:val="20"/>
              </w:rPr>
              <w:t>3</w:t>
            </w:r>
          </w:p>
        </w:tc>
        <w:tc>
          <w:tcPr>
            <w:tcW w:w="559" w:type="dxa"/>
            <w:tcBorders>
              <w:top w:val="single" w:sz="4" w:space="0" w:color="999999"/>
              <w:bottom w:val="single" w:sz="4" w:space="0" w:color="999999"/>
            </w:tcBorders>
            <w:tcMar>
              <w:top w:w="14" w:type="dxa"/>
              <w:left w:w="43" w:type="dxa"/>
              <w:bottom w:w="14" w:type="dxa"/>
              <w:right w:w="43" w:type="dxa"/>
            </w:tcMar>
            <w:vAlign w:val="center"/>
          </w:tcPr>
          <w:p w14:paraId="36EAA5D3" w14:textId="77777777" w:rsidR="00F37F0F" w:rsidRDefault="00F37F0F" w:rsidP="00F01091">
            <w:pPr>
              <w:jc w:val="center"/>
              <w:rPr>
                <w:rFonts w:cs="Arial"/>
                <w:sz w:val="20"/>
              </w:rPr>
            </w:pPr>
            <w:r>
              <w:rPr>
                <w:rFonts w:cs="Arial"/>
                <w:sz w:val="20"/>
              </w:rPr>
              <w:t>8</w:t>
            </w:r>
          </w:p>
        </w:tc>
        <w:tc>
          <w:tcPr>
            <w:tcW w:w="473" w:type="dxa"/>
            <w:tcBorders>
              <w:top w:val="single" w:sz="4" w:space="0" w:color="999999"/>
              <w:bottom w:val="single" w:sz="4" w:space="0" w:color="999999"/>
            </w:tcBorders>
            <w:tcMar>
              <w:top w:w="14" w:type="dxa"/>
              <w:left w:w="43" w:type="dxa"/>
              <w:bottom w:w="14" w:type="dxa"/>
              <w:right w:w="43" w:type="dxa"/>
            </w:tcMar>
            <w:vAlign w:val="center"/>
          </w:tcPr>
          <w:p w14:paraId="62E85C01" w14:textId="77777777" w:rsidR="00F37F0F" w:rsidRDefault="00F37F0F" w:rsidP="00F01091">
            <w:pPr>
              <w:jc w:val="center"/>
              <w:rPr>
                <w:rFonts w:cs="Arial"/>
                <w:sz w:val="20"/>
              </w:rPr>
            </w:pPr>
            <w:r>
              <w:rPr>
                <w:rFonts w:cs="Arial"/>
                <w:sz w:val="20"/>
              </w:rPr>
              <w:t>9</w:t>
            </w:r>
          </w:p>
        </w:tc>
        <w:tc>
          <w:tcPr>
            <w:tcW w:w="458" w:type="dxa"/>
            <w:tcBorders>
              <w:top w:val="single" w:sz="4" w:space="0" w:color="999999"/>
              <w:bottom w:val="single" w:sz="4" w:space="0" w:color="999999"/>
            </w:tcBorders>
            <w:tcMar>
              <w:top w:w="14" w:type="dxa"/>
              <w:left w:w="43" w:type="dxa"/>
              <w:bottom w:w="14" w:type="dxa"/>
              <w:right w:w="43" w:type="dxa"/>
            </w:tcMar>
            <w:vAlign w:val="center"/>
          </w:tcPr>
          <w:p w14:paraId="071E6FBA" w14:textId="77777777" w:rsidR="00F37F0F" w:rsidRDefault="00F37F0F" w:rsidP="00F01091">
            <w:pPr>
              <w:jc w:val="center"/>
              <w:rPr>
                <w:rFonts w:cs="Arial"/>
                <w:sz w:val="20"/>
              </w:rPr>
            </w:pPr>
            <w:r>
              <w:rPr>
                <w:rFonts w:cs="Arial"/>
                <w:sz w:val="20"/>
              </w:rPr>
              <w:t>33</w:t>
            </w:r>
          </w:p>
        </w:tc>
        <w:tc>
          <w:tcPr>
            <w:tcW w:w="506" w:type="dxa"/>
            <w:tcBorders>
              <w:top w:val="single" w:sz="4" w:space="0" w:color="999999"/>
              <w:bottom w:val="single" w:sz="4" w:space="0" w:color="999999"/>
              <w:right w:val="single" w:sz="4" w:space="0" w:color="000000"/>
            </w:tcBorders>
            <w:tcMar>
              <w:top w:w="14" w:type="dxa"/>
              <w:left w:w="43" w:type="dxa"/>
              <w:bottom w:w="14" w:type="dxa"/>
              <w:right w:w="43" w:type="dxa"/>
            </w:tcMar>
            <w:vAlign w:val="center"/>
          </w:tcPr>
          <w:p w14:paraId="35B0F27C" w14:textId="77777777" w:rsidR="00F37F0F" w:rsidRDefault="00F37F0F" w:rsidP="00F01091">
            <w:pPr>
              <w:jc w:val="center"/>
              <w:rPr>
                <w:rFonts w:cs="Arial"/>
                <w:sz w:val="20"/>
              </w:rPr>
            </w:pPr>
            <w:r>
              <w:rPr>
                <w:rFonts w:cs="Arial"/>
                <w:sz w:val="20"/>
              </w:rPr>
              <w:t>47</w:t>
            </w:r>
          </w:p>
        </w:tc>
        <w:tc>
          <w:tcPr>
            <w:tcW w:w="864" w:type="dxa"/>
            <w:tcBorders>
              <w:top w:val="single" w:sz="4" w:space="0" w:color="999999"/>
              <w:left w:val="single" w:sz="4" w:space="0" w:color="000000"/>
              <w:bottom w:val="single" w:sz="4" w:space="0" w:color="999999"/>
            </w:tcBorders>
            <w:tcMar>
              <w:top w:w="14" w:type="dxa"/>
              <w:left w:w="43" w:type="dxa"/>
              <w:bottom w:w="14" w:type="dxa"/>
              <w:right w:w="43" w:type="dxa"/>
            </w:tcMar>
            <w:vAlign w:val="center"/>
          </w:tcPr>
          <w:p w14:paraId="60535690" w14:textId="77777777" w:rsidR="00F37F0F" w:rsidRDefault="00F37F0F" w:rsidP="00F01091">
            <w:pPr>
              <w:jc w:val="center"/>
              <w:rPr>
                <w:rFonts w:cs="Arial"/>
                <w:sz w:val="20"/>
              </w:rPr>
            </w:pPr>
            <w:r>
              <w:rPr>
                <w:rFonts w:cs="Arial"/>
                <w:sz w:val="20"/>
              </w:rPr>
              <w:t>4</w:t>
            </w:r>
          </w:p>
        </w:tc>
        <w:tc>
          <w:tcPr>
            <w:tcW w:w="32" w:type="dxa"/>
          </w:tcPr>
          <w:p w14:paraId="782CB225" w14:textId="77777777" w:rsidR="00F37F0F" w:rsidRDefault="00F37F0F" w:rsidP="00F01091">
            <w:pPr>
              <w:rPr>
                <w:rFonts w:cs="Arial"/>
                <w:sz w:val="16"/>
              </w:rPr>
            </w:pPr>
            <w:r>
              <w:rPr>
                <w:rFonts w:cs="Arial"/>
                <w:sz w:val="16"/>
              </w:rPr>
              <w:tab/>
            </w:r>
          </w:p>
        </w:tc>
      </w:tr>
      <w:tr w:rsidR="00F01091" w14:paraId="4D28357D" w14:textId="77777777" w:rsidTr="00F01091">
        <w:trPr>
          <w:gridAfter w:val="1"/>
          <w:wAfter w:w="32" w:type="dxa"/>
          <w:trHeight w:hRule="exact" w:val="563"/>
        </w:trPr>
        <w:tc>
          <w:tcPr>
            <w:tcW w:w="4259" w:type="dxa"/>
            <w:tcBorders>
              <w:top w:val="single" w:sz="4" w:space="0" w:color="999999"/>
              <w:bottom w:val="single" w:sz="4" w:space="0" w:color="999999"/>
              <w:right w:val="single" w:sz="4" w:space="0" w:color="000000"/>
            </w:tcBorders>
            <w:tcMar>
              <w:top w:w="14" w:type="dxa"/>
              <w:left w:w="43" w:type="dxa"/>
              <w:bottom w:w="14" w:type="dxa"/>
              <w:right w:w="43" w:type="dxa"/>
            </w:tcMar>
            <w:vAlign w:val="center"/>
          </w:tcPr>
          <w:p w14:paraId="561A99E6" w14:textId="77777777" w:rsidR="00F37F0F" w:rsidRDefault="00F37F0F" w:rsidP="00F01091">
            <w:pPr>
              <w:pStyle w:val="Header"/>
              <w:rPr>
                <w:rFonts w:cs="Arial"/>
                <w:sz w:val="17"/>
                <w:szCs w:val="17"/>
              </w:rPr>
            </w:pPr>
            <w:r>
              <w:rPr>
                <w:rFonts w:cs="Arial"/>
                <w:sz w:val="17"/>
                <w:szCs w:val="17"/>
              </w:rPr>
              <w:t>Disagreements where I work are resolved appropriately (i.e. not who is right, but what is best for the patient).</w:t>
            </w:r>
          </w:p>
        </w:tc>
        <w:tc>
          <w:tcPr>
            <w:tcW w:w="541" w:type="dxa"/>
            <w:tcBorders>
              <w:top w:val="single" w:sz="4" w:space="0" w:color="999999"/>
              <w:left w:val="single" w:sz="4" w:space="0" w:color="000000"/>
              <w:bottom w:val="single" w:sz="4" w:space="0" w:color="999999"/>
            </w:tcBorders>
            <w:tcMar>
              <w:top w:w="14" w:type="dxa"/>
              <w:left w:w="43" w:type="dxa"/>
              <w:bottom w:w="14" w:type="dxa"/>
              <w:right w:w="43" w:type="dxa"/>
            </w:tcMar>
            <w:vAlign w:val="center"/>
          </w:tcPr>
          <w:p w14:paraId="558EE053" w14:textId="77777777" w:rsidR="00F37F0F" w:rsidRDefault="00F37F0F" w:rsidP="00F01091">
            <w:pPr>
              <w:jc w:val="center"/>
              <w:rPr>
                <w:rFonts w:cs="Arial"/>
                <w:sz w:val="20"/>
              </w:rPr>
            </w:pPr>
            <w:r>
              <w:rPr>
                <w:rFonts w:cs="Arial"/>
                <w:sz w:val="20"/>
              </w:rPr>
              <w:t>4</w:t>
            </w:r>
          </w:p>
        </w:tc>
        <w:tc>
          <w:tcPr>
            <w:tcW w:w="559" w:type="dxa"/>
            <w:tcBorders>
              <w:top w:val="single" w:sz="4" w:space="0" w:color="999999"/>
              <w:bottom w:val="single" w:sz="4" w:space="0" w:color="999999"/>
            </w:tcBorders>
            <w:tcMar>
              <w:top w:w="14" w:type="dxa"/>
              <w:left w:w="43" w:type="dxa"/>
              <w:bottom w:w="14" w:type="dxa"/>
              <w:right w:w="43" w:type="dxa"/>
            </w:tcMar>
            <w:vAlign w:val="center"/>
          </w:tcPr>
          <w:p w14:paraId="6540ACD6" w14:textId="77777777" w:rsidR="00F37F0F" w:rsidRDefault="00F37F0F" w:rsidP="00F01091">
            <w:pPr>
              <w:jc w:val="center"/>
              <w:rPr>
                <w:rFonts w:cs="Arial"/>
                <w:sz w:val="20"/>
              </w:rPr>
            </w:pPr>
            <w:r>
              <w:rPr>
                <w:rFonts w:cs="Arial"/>
                <w:sz w:val="20"/>
              </w:rPr>
              <w:t>7</w:t>
            </w:r>
          </w:p>
        </w:tc>
        <w:tc>
          <w:tcPr>
            <w:tcW w:w="473" w:type="dxa"/>
            <w:tcBorders>
              <w:top w:val="single" w:sz="4" w:space="0" w:color="999999"/>
              <w:bottom w:val="single" w:sz="4" w:space="0" w:color="999999"/>
            </w:tcBorders>
            <w:tcMar>
              <w:top w:w="14" w:type="dxa"/>
              <w:left w:w="43" w:type="dxa"/>
              <w:bottom w:w="14" w:type="dxa"/>
              <w:right w:w="43" w:type="dxa"/>
            </w:tcMar>
            <w:vAlign w:val="center"/>
          </w:tcPr>
          <w:p w14:paraId="7D338207" w14:textId="77777777" w:rsidR="00F37F0F" w:rsidRDefault="00F37F0F" w:rsidP="00F01091">
            <w:pPr>
              <w:jc w:val="center"/>
              <w:rPr>
                <w:rFonts w:cs="Arial"/>
                <w:sz w:val="20"/>
              </w:rPr>
            </w:pPr>
            <w:r>
              <w:rPr>
                <w:rFonts w:cs="Arial"/>
                <w:sz w:val="20"/>
              </w:rPr>
              <w:t>16</w:t>
            </w:r>
          </w:p>
        </w:tc>
        <w:tc>
          <w:tcPr>
            <w:tcW w:w="458" w:type="dxa"/>
            <w:tcBorders>
              <w:top w:val="single" w:sz="4" w:space="0" w:color="999999"/>
              <w:bottom w:val="single" w:sz="4" w:space="0" w:color="999999"/>
            </w:tcBorders>
            <w:tcMar>
              <w:top w:w="14" w:type="dxa"/>
              <w:left w:w="43" w:type="dxa"/>
              <w:bottom w:w="14" w:type="dxa"/>
              <w:right w:w="43" w:type="dxa"/>
            </w:tcMar>
            <w:vAlign w:val="center"/>
          </w:tcPr>
          <w:p w14:paraId="3C104326" w14:textId="77777777" w:rsidR="00F37F0F" w:rsidRDefault="00F37F0F" w:rsidP="00F01091">
            <w:pPr>
              <w:jc w:val="center"/>
              <w:rPr>
                <w:rFonts w:cs="Arial"/>
                <w:sz w:val="20"/>
              </w:rPr>
            </w:pPr>
            <w:r>
              <w:rPr>
                <w:rFonts w:cs="Arial"/>
                <w:sz w:val="20"/>
              </w:rPr>
              <w:t>35</w:t>
            </w:r>
          </w:p>
        </w:tc>
        <w:tc>
          <w:tcPr>
            <w:tcW w:w="506" w:type="dxa"/>
            <w:tcBorders>
              <w:top w:val="single" w:sz="4" w:space="0" w:color="999999"/>
              <w:bottom w:val="single" w:sz="4" w:space="0" w:color="999999"/>
              <w:right w:val="single" w:sz="4" w:space="0" w:color="000000"/>
            </w:tcBorders>
            <w:tcMar>
              <w:top w:w="14" w:type="dxa"/>
              <w:left w:w="43" w:type="dxa"/>
              <w:bottom w:w="14" w:type="dxa"/>
              <w:right w:w="43" w:type="dxa"/>
            </w:tcMar>
            <w:vAlign w:val="center"/>
          </w:tcPr>
          <w:p w14:paraId="56ECE557" w14:textId="77777777" w:rsidR="00F37F0F" w:rsidRDefault="00F37F0F" w:rsidP="00F01091">
            <w:pPr>
              <w:jc w:val="center"/>
              <w:rPr>
                <w:rFonts w:cs="Arial"/>
                <w:sz w:val="20"/>
              </w:rPr>
            </w:pPr>
            <w:r>
              <w:rPr>
                <w:rFonts w:cs="Arial"/>
                <w:sz w:val="20"/>
              </w:rPr>
              <w:t>38</w:t>
            </w:r>
          </w:p>
        </w:tc>
        <w:tc>
          <w:tcPr>
            <w:tcW w:w="864" w:type="dxa"/>
            <w:tcBorders>
              <w:top w:val="single" w:sz="4" w:space="0" w:color="999999"/>
              <w:left w:val="single" w:sz="4" w:space="0" w:color="000000"/>
              <w:bottom w:val="single" w:sz="4" w:space="0" w:color="999999"/>
            </w:tcBorders>
            <w:tcMar>
              <w:top w:w="14" w:type="dxa"/>
              <w:left w:w="43" w:type="dxa"/>
              <w:bottom w:w="14" w:type="dxa"/>
              <w:right w:w="43" w:type="dxa"/>
            </w:tcMar>
            <w:vAlign w:val="center"/>
          </w:tcPr>
          <w:p w14:paraId="592720F5" w14:textId="77777777" w:rsidR="00F37F0F" w:rsidRDefault="00F37F0F" w:rsidP="00F01091">
            <w:pPr>
              <w:jc w:val="center"/>
              <w:rPr>
                <w:rFonts w:cs="Arial"/>
                <w:sz w:val="20"/>
              </w:rPr>
            </w:pPr>
            <w:r>
              <w:rPr>
                <w:rFonts w:cs="Arial"/>
                <w:sz w:val="20"/>
              </w:rPr>
              <w:t>2</w:t>
            </w:r>
          </w:p>
        </w:tc>
      </w:tr>
      <w:tr w:rsidR="00F01091" w14:paraId="77AD62AC" w14:textId="77777777" w:rsidTr="00F01091">
        <w:trPr>
          <w:gridAfter w:val="1"/>
          <w:wAfter w:w="32" w:type="dxa"/>
          <w:trHeight w:hRule="exact" w:val="563"/>
        </w:trPr>
        <w:tc>
          <w:tcPr>
            <w:tcW w:w="4259" w:type="dxa"/>
            <w:tcBorders>
              <w:top w:val="single" w:sz="4" w:space="0" w:color="999999"/>
              <w:bottom w:val="single" w:sz="4" w:space="0" w:color="999999"/>
              <w:right w:val="single" w:sz="4" w:space="0" w:color="000000"/>
            </w:tcBorders>
            <w:tcMar>
              <w:top w:w="14" w:type="dxa"/>
              <w:left w:w="43" w:type="dxa"/>
              <w:bottom w:w="14" w:type="dxa"/>
              <w:right w:w="43" w:type="dxa"/>
            </w:tcMar>
            <w:vAlign w:val="center"/>
          </w:tcPr>
          <w:p w14:paraId="1A98D820" w14:textId="77777777" w:rsidR="00F37F0F" w:rsidRDefault="00F37F0F" w:rsidP="00F01091">
            <w:pPr>
              <w:pStyle w:val="Header"/>
              <w:rPr>
                <w:rFonts w:cs="Arial"/>
                <w:sz w:val="17"/>
                <w:szCs w:val="17"/>
              </w:rPr>
            </w:pPr>
            <w:r>
              <w:rPr>
                <w:rFonts w:cs="Arial"/>
                <w:sz w:val="17"/>
                <w:szCs w:val="17"/>
              </w:rPr>
              <w:t>It is easy for staff here to ask questions when there is something that they do not understand.</w:t>
            </w:r>
          </w:p>
        </w:tc>
        <w:tc>
          <w:tcPr>
            <w:tcW w:w="541" w:type="dxa"/>
            <w:tcBorders>
              <w:top w:val="single" w:sz="4" w:space="0" w:color="999999"/>
              <w:left w:val="single" w:sz="4" w:space="0" w:color="000000"/>
              <w:bottom w:val="single" w:sz="4" w:space="0" w:color="999999"/>
            </w:tcBorders>
            <w:tcMar>
              <w:top w:w="14" w:type="dxa"/>
              <w:left w:w="43" w:type="dxa"/>
              <w:bottom w:w="14" w:type="dxa"/>
              <w:right w:w="43" w:type="dxa"/>
            </w:tcMar>
            <w:vAlign w:val="center"/>
          </w:tcPr>
          <w:p w14:paraId="74A803B0" w14:textId="77777777" w:rsidR="00F37F0F" w:rsidRDefault="00F37F0F" w:rsidP="00F01091">
            <w:pPr>
              <w:jc w:val="center"/>
              <w:rPr>
                <w:rFonts w:cs="Arial"/>
                <w:sz w:val="20"/>
              </w:rPr>
            </w:pPr>
            <w:r>
              <w:rPr>
                <w:rFonts w:cs="Arial"/>
                <w:sz w:val="20"/>
              </w:rPr>
              <w:t>1</w:t>
            </w:r>
          </w:p>
        </w:tc>
        <w:tc>
          <w:tcPr>
            <w:tcW w:w="559" w:type="dxa"/>
            <w:tcBorders>
              <w:top w:val="single" w:sz="4" w:space="0" w:color="999999"/>
              <w:bottom w:val="single" w:sz="4" w:space="0" w:color="999999"/>
            </w:tcBorders>
            <w:tcMar>
              <w:top w:w="14" w:type="dxa"/>
              <w:left w:w="43" w:type="dxa"/>
              <w:bottom w:w="14" w:type="dxa"/>
              <w:right w:w="43" w:type="dxa"/>
            </w:tcMar>
            <w:vAlign w:val="center"/>
          </w:tcPr>
          <w:p w14:paraId="6CA25C63" w14:textId="77777777" w:rsidR="00F37F0F" w:rsidRDefault="00F37F0F" w:rsidP="00F01091">
            <w:pPr>
              <w:jc w:val="center"/>
              <w:rPr>
                <w:rFonts w:cs="Arial"/>
                <w:sz w:val="20"/>
              </w:rPr>
            </w:pPr>
            <w:r>
              <w:rPr>
                <w:rFonts w:cs="Arial"/>
                <w:sz w:val="20"/>
              </w:rPr>
              <w:t>3</w:t>
            </w:r>
          </w:p>
        </w:tc>
        <w:tc>
          <w:tcPr>
            <w:tcW w:w="473" w:type="dxa"/>
            <w:tcBorders>
              <w:top w:val="single" w:sz="4" w:space="0" w:color="999999"/>
              <w:bottom w:val="single" w:sz="4" w:space="0" w:color="999999"/>
            </w:tcBorders>
            <w:tcMar>
              <w:top w:w="14" w:type="dxa"/>
              <w:left w:w="43" w:type="dxa"/>
              <w:bottom w:w="14" w:type="dxa"/>
              <w:right w:w="43" w:type="dxa"/>
            </w:tcMar>
            <w:vAlign w:val="center"/>
          </w:tcPr>
          <w:p w14:paraId="2BBF4012" w14:textId="77777777" w:rsidR="00F37F0F" w:rsidRDefault="00F37F0F" w:rsidP="00F01091">
            <w:pPr>
              <w:jc w:val="center"/>
              <w:rPr>
                <w:rFonts w:cs="Arial"/>
                <w:sz w:val="20"/>
              </w:rPr>
            </w:pPr>
            <w:r>
              <w:rPr>
                <w:rFonts w:cs="Arial"/>
                <w:sz w:val="20"/>
              </w:rPr>
              <w:t>5</w:t>
            </w:r>
          </w:p>
        </w:tc>
        <w:tc>
          <w:tcPr>
            <w:tcW w:w="458" w:type="dxa"/>
            <w:tcBorders>
              <w:top w:val="single" w:sz="4" w:space="0" w:color="999999"/>
              <w:bottom w:val="single" w:sz="4" w:space="0" w:color="999999"/>
            </w:tcBorders>
            <w:tcMar>
              <w:top w:w="14" w:type="dxa"/>
              <w:left w:w="43" w:type="dxa"/>
              <w:bottom w:w="14" w:type="dxa"/>
              <w:right w:w="43" w:type="dxa"/>
            </w:tcMar>
            <w:vAlign w:val="center"/>
          </w:tcPr>
          <w:p w14:paraId="6309C0FD" w14:textId="77777777" w:rsidR="00F37F0F" w:rsidRDefault="00F37F0F" w:rsidP="00F01091">
            <w:pPr>
              <w:jc w:val="center"/>
              <w:rPr>
                <w:rFonts w:cs="Arial"/>
                <w:sz w:val="20"/>
              </w:rPr>
            </w:pPr>
            <w:r>
              <w:rPr>
                <w:rFonts w:cs="Arial"/>
                <w:sz w:val="20"/>
              </w:rPr>
              <w:t>24</w:t>
            </w:r>
          </w:p>
        </w:tc>
        <w:tc>
          <w:tcPr>
            <w:tcW w:w="506" w:type="dxa"/>
            <w:tcBorders>
              <w:top w:val="single" w:sz="4" w:space="0" w:color="999999"/>
              <w:bottom w:val="single" w:sz="4" w:space="0" w:color="999999"/>
              <w:right w:val="single" w:sz="4" w:space="0" w:color="000000"/>
            </w:tcBorders>
            <w:tcMar>
              <w:top w:w="14" w:type="dxa"/>
              <w:left w:w="43" w:type="dxa"/>
              <w:bottom w:w="14" w:type="dxa"/>
              <w:right w:w="43" w:type="dxa"/>
            </w:tcMar>
            <w:vAlign w:val="center"/>
          </w:tcPr>
          <w:p w14:paraId="083D8A92" w14:textId="77777777" w:rsidR="00F37F0F" w:rsidRDefault="00F37F0F" w:rsidP="00F01091">
            <w:pPr>
              <w:jc w:val="center"/>
              <w:rPr>
                <w:rFonts w:cs="Arial"/>
                <w:sz w:val="20"/>
              </w:rPr>
            </w:pPr>
            <w:r>
              <w:rPr>
                <w:rFonts w:cs="Arial"/>
                <w:sz w:val="20"/>
              </w:rPr>
              <w:t>67</w:t>
            </w:r>
          </w:p>
        </w:tc>
        <w:tc>
          <w:tcPr>
            <w:tcW w:w="864" w:type="dxa"/>
            <w:tcBorders>
              <w:top w:val="single" w:sz="4" w:space="0" w:color="999999"/>
              <w:left w:val="single" w:sz="4" w:space="0" w:color="000000"/>
              <w:bottom w:val="single" w:sz="4" w:space="0" w:color="999999"/>
            </w:tcBorders>
            <w:tcMar>
              <w:top w:w="14" w:type="dxa"/>
              <w:left w:w="43" w:type="dxa"/>
              <w:bottom w:w="14" w:type="dxa"/>
              <w:right w:w="43" w:type="dxa"/>
            </w:tcMar>
            <w:vAlign w:val="center"/>
          </w:tcPr>
          <w:p w14:paraId="3BF9C2A7" w14:textId="77777777" w:rsidR="00F37F0F" w:rsidRDefault="00F37F0F" w:rsidP="00F01091">
            <w:pPr>
              <w:jc w:val="center"/>
              <w:rPr>
                <w:rFonts w:cs="Arial"/>
                <w:sz w:val="20"/>
              </w:rPr>
            </w:pPr>
            <w:r>
              <w:rPr>
                <w:rFonts w:cs="Arial"/>
                <w:sz w:val="20"/>
              </w:rPr>
              <w:t>1</w:t>
            </w:r>
          </w:p>
        </w:tc>
      </w:tr>
      <w:tr w:rsidR="00F01091" w14:paraId="0642F84E" w14:textId="77777777" w:rsidTr="00F01091">
        <w:trPr>
          <w:gridAfter w:val="1"/>
          <w:wAfter w:w="32" w:type="dxa"/>
          <w:trHeight w:hRule="exact" w:val="563"/>
        </w:trPr>
        <w:tc>
          <w:tcPr>
            <w:tcW w:w="4259" w:type="dxa"/>
            <w:tcBorders>
              <w:top w:val="single" w:sz="4" w:space="0" w:color="999999"/>
              <w:bottom w:val="single" w:sz="4" w:space="0" w:color="999999"/>
              <w:right w:val="single" w:sz="4" w:space="0" w:color="000000"/>
            </w:tcBorders>
            <w:tcMar>
              <w:top w:w="14" w:type="dxa"/>
              <w:left w:w="43" w:type="dxa"/>
              <w:bottom w:w="14" w:type="dxa"/>
              <w:right w:w="43" w:type="dxa"/>
            </w:tcMar>
            <w:vAlign w:val="center"/>
          </w:tcPr>
          <w:p w14:paraId="51AF50CD" w14:textId="77777777" w:rsidR="00F37F0F" w:rsidRDefault="00F37F0F" w:rsidP="00F01091">
            <w:pPr>
              <w:pStyle w:val="Header"/>
              <w:rPr>
                <w:rFonts w:cs="Arial"/>
                <w:sz w:val="17"/>
                <w:szCs w:val="17"/>
              </w:rPr>
            </w:pPr>
            <w:r>
              <w:rPr>
                <w:rFonts w:cs="Arial"/>
                <w:sz w:val="17"/>
                <w:szCs w:val="17"/>
              </w:rPr>
              <w:t>I have the support I need from other staff to care for patients.</w:t>
            </w:r>
          </w:p>
        </w:tc>
        <w:tc>
          <w:tcPr>
            <w:tcW w:w="541" w:type="dxa"/>
            <w:tcBorders>
              <w:top w:val="single" w:sz="4" w:space="0" w:color="999999"/>
              <w:left w:val="single" w:sz="4" w:space="0" w:color="000000"/>
              <w:bottom w:val="single" w:sz="4" w:space="0" w:color="999999"/>
            </w:tcBorders>
            <w:tcMar>
              <w:top w:w="14" w:type="dxa"/>
              <w:left w:w="43" w:type="dxa"/>
              <w:bottom w:w="14" w:type="dxa"/>
              <w:right w:w="43" w:type="dxa"/>
            </w:tcMar>
            <w:vAlign w:val="center"/>
          </w:tcPr>
          <w:p w14:paraId="4DBBAD1A" w14:textId="77777777" w:rsidR="00F37F0F" w:rsidRDefault="00F37F0F" w:rsidP="00F01091">
            <w:pPr>
              <w:jc w:val="center"/>
              <w:rPr>
                <w:rFonts w:cs="Arial"/>
                <w:sz w:val="20"/>
              </w:rPr>
            </w:pPr>
            <w:r>
              <w:rPr>
                <w:rFonts w:cs="Arial"/>
                <w:sz w:val="20"/>
              </w:rPr>
              <w:t>1</w:t>
            </w:r>
          </w:p>
        </w:tc>
        <w:tc>
          <w:tcPr>
            <w:tcW w:w="559" w:type="dxa"/>
            <w:tcBorders>
              <w:top w:val="single" w:sz="4" w:space="0" w:color="999999"/>
              <w:bottom w:val="single" w:sz="4" w:space="0" w:color="999999"/>
            </w:tcBorders>
            <w:tcMar>
              <w:top w:w="14" w:type="dxa"/>
              <w:left w:w="43" w:type="dxa"/>
              <w:bottom w:w="14" w:type="dxa"/>
              <w:right w:w="43" w:type="dxa"/>
            </w:tcMar>
            <w:vAlign w:val="center"/>
          </w:tcPr>
          <w:p w14:paraId="33EC961D" w14:textId="77777777" w:rsidR="00F37F0F" w:rsidRDefault="00F37F0F" w:rsidP="00F01091">
            <w:pPr>
              <w:jc w:val="center"/>
              <w:rPr>
                <w:rFonts w:cs="Arial"/>
                <w:sz w:val="20"/>
              </w:rPr>
            </w:pPr>
            <w:r>
              <w:rPr>
                <w:rFonts w:cs="Arial"/>
                <w:sz w:val="20"/>
              </w:rPr>
              <w:t>5</w:t>
            </w:r>
          </w:p>
        </w:tc>
        <w:tc>
          <w:tcPr>
            <w:tcW w:w="473" w:type="dxa"/>
            <w:tcBorders>
              <w:top w:val="single" w:sz="4" w:space="0" w:color="999999"/>
              <w:bottom w:val="single" w:sz="4" w:space="0" w:color="999999"/>
            </w:tcBorders>
            <w:tcMar>
              <w:top w:w="14" w:type="dxa"/>
              <w:left w:w="43" w:type="dxa"/>
              <w:bottom w:w="14" w:type="dxa"/>
              <w:right w:w="43" w:type="dxa"/>
            </w:tcMar>
            <w:vAlign w:val="center"/>
          </w:tcPr>
          <w:p w14:paraId="16479DF2" w14:textId="77777777" w:rsidR="00F37F0F" w:rsidRDefault="00F37F0F" w:rsidP="00F01091">
            <w:pPr>
              <w:jc w:val="center"/>
              <w:rPr>
                <w:rFonts w:cs="Arial"/>
                <w:sz w:val="20"/>
              </w:rPr>
            </w:pPr>
            <w:r>
              <w:rPr>
                <w:rFonts w:cs="Arial"/>
                <w:sz w:val="20"/>
              </w:rPr>
              <w:t>5</w:t>
            </w:r>
          </w:p>
        </w:tc>
        <w:tc>
          <w:tcPr>
            <w:tcW w:w="458" w:type="dxa"/>
            <w:tcBorders>
              <w:top w:val="single" w:sz="4" w:space="0" w:color="999999"/>
              <w:bottom w:val="single" w:sz="4" w:space="0" w:color="999999"/>
            </w:tcBorders>
            <w:tcMar>
              <w:top w:w="14" w:type="dxa"/>
              <w:left w:w="43" w:type="dxa"/>
              <w:bottom w:w="14" w:type="dxa"/>
              <w:right w:w="43" w:type="dxa"/>
            </w:tcMar>
            <w:vAlign w:val="center"/>
          </w:tcPr>
          <w:p w14:paraId="5483045C" w14:textId="77777777" w:rsidR="00F37F0F" w:rsidRDefault="00F37F0F" w:rsidP="00F01091">
            <w:pPr>
              <w:jc w:val="center"/>
              <w:rPr>
                <w:rFonts w:cs="Arial"/>
                <w:sz w:val="20"/>
              </w:rPr>
            </w:pPr>
            <w:r>
              <w:rPr>
                <w:rFonts w:cs="Arial"/>
                <w:sz w:val="20"/>
              </w:rPr>
              <w:t>27</w:t>
            </w:r>
          </w:p>
        </w:tc>
        <w:tc>
          <w:tcPr>
            <w:tcW w:w="506" w:type="dxa"/>
            <w:tcBorders>
              <w:top w:val="single" w:sz="4" w:space="0" w:color="999999"/>
              <w:bottom w:val="single" w:sz="4" w:space="0" w:color="999999"/>
              <w:right w:val="single" w:sz="4" w:space="0" w:color="000000"/>
            </w:tcBorders>
            <w:tcMar>
              <w:top w:w="14" w:type="dxa"/>
              <w:left w:w="43" w:type="dxa"/>
              <w:bottom w:w="14" w:type="dxa"/>
              <w:right w:w="43" w:type="dxa"/>
            </w:tcMar>
            <w:vAlign w:val="center"/>
          </w:tcPr>
          <w:p w14:paraId="414B2725" w14:textId="77777777" w:rsidR="00F37F0F" w:rsidRDefault="00F37F0F" w:rsidP="00F01091">
            <w:pPr>
              <w:jc w:val="center"/>
              <w:rPr>
                <w:rFonts w:cs="Arial"/>
                <w:sz w:val="20"/>
              </w:rPr>
            </w:pPr>
            <w:r>
              <w:rPr>
                <w:rFonts w:cs="Arial"/>
                <w:sz w:val="20"/>
              </w:rPr>
              <w:t>62</w:t>
            </w:r>
          </w:p>
        </w:tc>
        <w:tc>
          <w:tcPr>
            <w:tcW w:w="864" w:type="dxa"/>
            <w:tcBorders>
              <w:top w:val="single" w:sz="4" w:space="0" w:color="999999"/>
              <w:left w:val="single" w:sz="4" w:space="0" w:color="000000"/>
              <w:bottom w:val="single" w:sz="4" w:space="0" w:color="999999"/>
            </w:tcBorders>
            <w:tcMar>
              <w:top w:w="14" w:type="dxa"/>
              <w:left w:w="43" w:type="dxa"/>
              <w:bottom w:w="14" w:type="dxa"/>
              <w:right w:w="43" w:type="dxa"/>
            </w:tcMar>
            <w:vAlign w:val="center"/>
          </w:tcPr>
          <w:p w14:paraId="7B299B97" w14:textId="77777777" w:rsidR="00F37F0F" w:rsidRDefault="00F37F0F" w:rsidP="00F01091">
            <w:pPr>
              <w:jc w:val="center"/>
              <w:rPr>
                <w:rFonts w:cs="Arial"/>
                <w:sz w:val="20"/>
              </w:rPr>
            </w:pPr>
            <w:r>
              <w:rPr>
                <w:rFonts w:cs="Arial"/>
                <w:sz w:val="20"/>
              </w:rPr>
              <w:t>1</w:t>
            </w:r>
          </w:p>
        </w:tc>
      </w:tr>
      <w:tr w:rsidR="00F01091" w14:paraId="45125BA3" w14:textId="77777777" w:rsidTr="00F01091">
        <w:trPr>
          <w:gridAfter w:val="1"/>
          <w:wAfter w:w="32" w:type="dxa"/>
          <w:trHeight w:hRule="exact" w:val="563"/>
        </w:trPr>
        <w:tc>
          <w:tcPr>
            <w:tcW w:w="4259" w:type="dxa"/>
            <w:tcBorders>
              <w:top w:val="single" w:sz="4" w:space="0" w:color="999999"/>
              <w:bottom w:val="single" w:sz="4" w:space="0" w:color="000000"/>
              <w:right w:val="single" w:sz="4" w:space="0" w:color="000000"/>
            </w:tcBorders>
            <w:tcMar>
              <w:top w:w="14" w:type="dxa"/>
              <w:left w:w="43" w:type="dxa"/>
              <w:bottom w:w="14" w:type="dxa"/>
              <w:right w:w="43" w:type="dxa"/>
            </w:tcMar>
            <w:vAlign w:val="center"/>
          </w:tcPr>
          <w:p w14:paraId="523C72F8" w14:textId="77777777" w:rsidR="00F37F0F" w:rsidRDefault="00F37F0F" w:rsidP="00F01091">
            <w:pPr>
              <w:pStyle w:val="Header"/>
              <w:rPr>
                <w:rFonts w:cs="Arial"/>
                <w:sz w:val="17"/>
                <w:szCs w:val="17"/>
              </w:rPr>
            </w:pPr>
            <w:r>
              <w:rPr>
                <w:rFonts w:cs="Arial"/>
                <w:sz w:val="17"/>
                <w:szCs w:val="17"/>
              </w:rPr>
              <w:t>I am satisfied with the quality of collaboration that I experience with senior doctors where I work.</w:t>
            </w:r>
          </w:p>
        </w:tc>
        <w:tc>
          <w:tcPr>
            <w:tcW w:w="541" w:type="dxa"/>
            <w:tcBorders>
              <w:top w:val="single" w:sz="4" w:space="0" w:color="999999"/>
              <w:left w:val="single" w:sz="4" w:space="0" w:color="000000"/>
              <w:bottom w:val="single" w:sz="4" w:space="0" w:color="000000"/>
            </w:tcBorders>
            <w:tcMar>
              <w:top w:w="14" w:type="dxa"/>
              <w:left w:w="43" w:type="dxa"/>
              <w:bottom w:w="14" w:type="dxa"/>
              <w:right w:w="43" w:type="dxa"/>
            </w:tcMar>
            <w:vAlign w:val="center"/>
          </w:tcPr>
          <w:p w14:paraId="74137B7E" w14:textId="77777777" w:rsidR="00F37F0F" w:rsidRDefault="00F37F0F" w:rsidP="00F01091">
            <w:pPr>
              <w:jc w:val="center"/>
              <w:rPr>
                <w:rFonts w:cs="Arial"/>
                <w:sz w:val="20"/>
              </w:rPr>
            </w:pPr>
            <w:r>
              <w:rPr>
                <w:rFonts w:cs="Arial"/>
                <w:sz w:val="20"/>
              </w:rPr>
              <w:t>5</w:t>
            </w:r>
          </w:p>
        </w:tc>
        <w:tc>
          <w:tcPr>
            <w:tcW w:w="559" w:type="dxa"/>
            <w:tcBorders>
              <w:top w:val="single" w:sz="4" w:space="0" w:color="999999"/>
              <w:bottom w:val="single" w:sz="4" w:space="0" w:color="000000"/>
            </w:tcBorders>
            <w:tcMar>
              <w:top w:w="14" w:type="dxa"/>
              <w:left w:w="43" w:type="dxa"/>
              <w:bottom w:w="14" w:type="dxa"/>
              <w:right w:w="43" w:type="dxa"/>
            </w:tcMar>
            <w:vAlign w:val="center"/>
          </w:tcPr>
          <w:p w14:paraId="2A758417" w14:textId="77777777" w:rsidR="00F37F0F" w:rsidRDefault="00F37F0F" w:rsidP="00F01091">
            <w:pPr>
              <w:jc w:val="center"/>
              <w:rPr>
                <w:rFonts w:cs="Arial"/>
                <w:sz w:val="20"/>
              </w:rPr>
            </w:pPr>
            <w:r>
              <w:rPr>
                <w:rFonts w:cs="Arial"/>
                <w:sz w:val="20"/>
              </w:rPr>
              <w:t>9</w:t>
            </w:r>
          </w:p>
        </w:tc>
        <w:tc>
          <w:tcPr>
            <w:tcW w:w="473" w:type="dxa"/>
            <w:tcBorders>
              <w:top w:val="single" w:sz="4" w:space="0" w:color="999999"/>
              <w:bottom w:val="single" w:sz="4" w:space="0" w:color="000000"/>
            </w:tcBorders>
            <w:tcMar>
              <w:top w:w="14" w:type="dxa"/>
              <w:left w:w="43" w:type="dxa"/>
              <w:bottom w:w="14" w:type="dxa"/>
              <w:right w:w="43" w:type="dxa"/>
            </w:tcMar>
            <w:vAlign w:val="center"/>
          </w:tcPr>
          <w:p w14:paraId="79592ECF" w14:textId="77777777" w:rsidR="00F37F0F" w:rsidRDefault="00F37F0F" w:rsidP="00F01091">
            <w:pPr>
              <w:jc w:val="center"/>
              <w:rPr>
                <w:rFonts w:cs="Arial"/>
                <w:sz w:val="20"/>
              </w:rPr>
            </w:pPr>
            <w:r>
              <w:rPr>
                <w:rFonts w:cs="Arial"/>
                <w:sz w:val="20"/>
              </w:rPr>
              <w:t>12</w:t>
            </w:r>
          </w:p>
        </w:tc>
        <w:tc>
          <w:tcPr>
            <w:tcW w:w="458" w:type="dxa"/>
            <w:tcBorders>
              <w:top w:val="single" w:sz="4" w:space="0" w:color="999999"/>
              <w:bottom w:val="single" w:sz="4" w:space="0" w:color="000000"/>
            </w:tcBorders>
            <w:tcMar>
              <w:top w:w="14" w:type="dxa"/>
              <w:left w:w="43" w:type="dxa"/>
              <w:bottom w:w="14" w:type="dxa"/>
              <w:right w:w="43" w:type="dxa"/>
            </w:tcMar>
            <w:vAlign w:val="center"/>
          </w:tcPr>
          <w:p w14:paraId="6D65ADD6" w14:textId="77777777" w:rsidR="00F37F0F" w:rsidRDefault="00F37F0F" w:rsidP="00F01091">
            <w:pPr>
              <w:jc w:val="center"/>
              <w:rPr>
                <w:rFonts w:cs="Arial"/>
                <w:sz w:val="20"/>
              </w:rPr>
            </w:pPr>
            <w:r>
              <w:rPr>
                <w:rFonts w:cs="Arial"/>
                <w:sz w:val="20"/>
              </w:rPr>
              <w:t>35</w:t>
            </w:r>
          </w:p>
        </w:tc>
        <w:tc>
          <w:tcPr>
            <w:tcW w:w="506" w:type="dxa"/>
            <w:tcBorders>
              <w:top w:val="single" w:sz="4" w:space="0" w:color="999999"/>
              <w:bottom w:val="single" w:sz="4" w:space="0" w:color="000000"/>
              <w:right w:val="single" w:sz="4" w:space="0" w:color="000000"/>
            </w:tcBorders>
            <w:tcMar>
              <w:top w:w="14" w:type="dxa"/>
              <w:left w:w="43" w:type="dxa"/>
              <w:bottom w:w="14" w:type="dxa"/>
              <w:right w:w="43" w:type="dxa"/>
            </w:tcMar>
            <w:vAlign w:val="center"/>
          </w:tcPr>
          <w:p w14:paraId="70CAE7A5" w14:textId="77777777" w:rsidR="00F37F0F" w:rsidRDefault="00F37F0F" w:rsidP="00F01091">
            <w:pPr>
              <w:jc w:val="center"/>
              <w:rPr>
                <w:rFonts w:cs="Arial"/>
                <w:sz w:val="20"/>
              </w:rPr>
            </w:pPr>
            <w:r>
              <w:rPr>
                <w:rFonts w:cs="Arial"/>
                <w:sz w:val="20"/>
              </w:rPr>
              <w:t>40</w:t>
            </w:r>
          </w:p>
        </w:tc>
        <w:tc>
          <w:tcPr>
            <w:tcW w:w="864" w:type="dxa"/>
            <w:tcBorders>
              <w:top w:val="single" w:sz="4" w:space="0" w:color="999999"/>
              <w:left w:val="single" w:sz="4" w:space="0" w:color="000000"/>
              <w:bottom w:val="single" w:sz="4" w:space="0" w:color="000000"/>
            </w:tcBorders>
            <w:tcMar>
              <w:top w:w="14" w:type="dxa"/>
              <w:left w:w="43" w:type="dxa"/>
              <w:bottom w:w="14" w:type="dxa"/>
              <w:right w:w="43" w:type="dxa"/>
            </w:tcMar>
            <w:vAlign w:val="center"/>
          </w:tcPr>
          <w:p w14:paraId="33259D5A" w14:textId="77777777" w:rsidR="00F37F0F" w:rsidRDefault="00F37F0F" w:rsidP="00F01091">
            <w:pPr>
              <w:jc w:val="center"/>
              <w:rPr>
                <w:rFonts w:cs="Arial"/>
                <w:sz w:val="20"/>
              </w:rPr>
            </w:pPr>
            <w:r>
              <w:rPr>
                <w:rFonts w:cs="Arial"/>
                <w:sz w:val="20"/>
              </w:rPr>
              <w:t>11</w:t>
            </w:r>
          </w:p>
        </w:tc>
      </w:tr>
      <w:tr w:rsidR="00F01091" w14:paraId="45E28A01" w14:textId="77777777" w:rsidTr="00F01091">
        <w:trPr>
          <w:gridAfter w:val="1"/>
          <w:wAfter w:w="32" w:type="dxa"/>
          <w:trHeight w:hRule="exact" w:val="1151"/>
        </w:trPr>
        <w:tc>
          <w:tcPr>
            <w:tcW w:w="4259" w:type="dxa"/>
            <w:tcBorders>
              <w:top w:val="single" w:sz="4" w:space="0" w:color="000000"/>
              <w:bottom w:val="single" w:sz="4" w:space="0" w:color="999999"/>
              <w:right w:val="single" w:sz="4" w:space="0" w:color="000000"/>
            </w:tcBorders>
            <w:tcMar>
              <w:top w:w="14" w:type="dxa"/>
              <w:left w:w="43" w:type="dxa"/>
              <w:bottom w:w="14" w:type="dxa"/>
              <w:right w:w="43" w:type="dxa"/>
            </w:tcMar>
            <w:vAlign w:val="center"/>
          </w:tcPr>
          <w:p w14:paraId="6C52632A" w14:textId="77777777" w:rsidR="00F37F0F" w:rsidRDefault="00F37F0F" w:rsidP="00F01091">
            <w:pPr>
              <w:rPr>
                <w:rFonts w:cs="Arial"/>
                <w:b/>
                <w:sz w:val="20"/>
                <w:lang w:val="en-US"/>
              </w:rPr>
            </w:pPr>
            <w:r>
              <w:rPr>
                <w:rFonts w:cs="Arial"/>
                <w:b/>
                <w:sz w:val="20"/>
                <w:lang w:val="en-US"/>
              </w:rPr>
              <w:t>Teamwork factor 2:</w:t>
            </w:r>
            <w:r>
              <w:rPr>
                <w:rFonts w:cs="Arial"/>
                <w:sz w:val="20"/>
              </w:rPr>
              <w:t xml:space="preserve"> Information handover</w:t>
            </w:r>
          </w:p>
          <w:p w14:paraId="2FB33221" w14:textId="77777777" w:rsidR="00F37F0F" w:rsidRDefault="00F37F0F" w:rsidP="00F01091">
            <w:pPr>
              <w:rPr>
                <w:rFonts w:cs="Arial"/>
              </w:rPr>
            </w:pPr>
            <w:r>
              <w:rPr>
                <w:rFonts w:cs="Arial"/>
                <w:sz w:val="20"/>
                <w:lang w:val="en-US"/>
              </w:rPr>
              <w:t xml:space="preserve"> Cronbach’s </w:t>
            </w:r>
            <w:r>
              <w:rPr>
                <w:rFonts w:cs="Arial"/>
                <w:sz w:val="20"/>
                <w:lang w:val="en-US"/>
              </w:rPr>
              <w:sym w:font="Symbol" w:char="F061"/>
            </w:r>
            <w:r>
              <w:rPr>
                <w:rFonts w:cs="Arial"/>
                <w:sz w:val="20"/>
                <w:lang w:val="en-US"/>
              </w:rPr>
              <w:t xml:space="preserve"> = 0.69</w:t>
            </w:r>
          </w:p>
        </w:tc>
        <w:tc>
          <w:tcPr>
            <w:tcW w:w="541" w:type="dxa"/>
            <w:tcBorders>
              <w:top w:val="single" w:sz="4" w:space="0" w:color="000000"/>
              <w:left w:val="single" w:sz="4" w:space="0" w:color="000000"/>
              <w:bottom w:val="single" w:sz="4" w:space="0" w:color="999999"/>
            </w:tcBorders>
            <w:tcMar>
              <w:top w:w="14" w:type="dxa"/>
              <w:left w:w="43" w:type="dxa"/>
              <w:bottom w:w="14" w:type="dxa"/>
              <w:right w:w="43" w:type="dxa"/>
            </w:tcMar>
            <w:vAlign w:val="center"/>
          </w:tcPr>
          <w:p w14:paraId="0896D6D0" w14:textId="77777777" w:rsidR="00F37F0F" w:rsidRDefault="00F37F0F" w:rsidP="00F01091">
            <w:pPr>
              <w:pStyle w:val="Header"/>
              <w:spacing w:before="40" w:after="40"/>
              <w:jc w:val="center"/>
              <w:rPr>
                <w:rFonts w:cs="Arial"/>
                <w:sz w:val="18"/>
              </w:rPr>
            </w:pPr>
          </w:p>
        </w:tc>
        <w:tc>
          <w:tcPr>
            <w:tcW w:w="559" w:type="dxa"/>
            <w:tcBorders>
              <w:top w:val="single" w:sz="4" w:space="0" w:color="000000"/>
              <w:bottom w:val="single" w:sz="4" w:space="0" w:color="999999"/>
            </w:tcBorders>
            <w:tcMar>
              <w:top w:w="14" w:type="dxa"/>
              <w:left w:w="43" w:type="dxa"/>
              <w:bottom w:w="14" w:type="dxa"/>
              <w:right w:w="43" w:type="dxa"/>
            </w:tcMar>
            <w:vAlign w:val="center"/>
          </w:tcPr>
          <w:p w14:paraId="1DBB8D3B" w14:textId="77777777" w:rsidR="00F37F0F" w:rsidRDefault="00F37F0F" w:rsidP="00F01091">
            <w:pPr>
              <w:pStyle w:val="Header"/>
              <w:spacing w:before="40" w:after="40"/>
              <w:jc w:val="center"/>
              <w:rPr>
                <w:rFonts w:cs="Arial"/>
                <w:sz w:val="18"/>
              </w:rPr>
            </w:pPr>
          </w:p>
        </w:tc>
        <w:tc>
          <w:tcPr>
            <w:tcW w:w="473" w:type="dxa"/>
            <w:tcBorders>
              <w:top w:val="single" w:sz="4" w:space="0" w:color="000000"/>
              <w:bottom w:val="single" w:sz="4" w:space="0" w:color="999999"/>
            </w:tcBorders>
            <w:tcMar>
              <w:top w:w="14" w:type="dxa"/>
              <w:left w:w="43" w:type="dxa"/>
              <w:bottom w:w="14" w:type="dxa"/>
              <w:right w:w="43" w:type="dxa"/>
            </w:tcMar>
            <w:vAlign w:val="center"/>
          </w:tcPr>
          <w:p w14:paraId="3F25D598" w14:textId="77777777" w:rsidR="00F37F0F" w:rsidRDefault="00F37F0F" w:rsidP="00F01091">
            <w:pPr>
              <w:pStyle w:val="Header"/>
              <w:spacing w:before="40" w:after="40"/>
              <w:jc w:val="center"/>
              <w:rPr>
                <w:rFonts w:cs="Arial"/>
                <w:sz w:val="18"/>
              </w:rPr>
            </w:pPr>
          </w:p>
        </w:tc>
        <w:tc>
          <w:tcPr>
            <w:tcW w:w="458" w:type="dxa"/>
            <w:tcBorders>
              <w:top w:val="single" w:sz="4" w:space="0" w:color="000000"/>
              <w:bottom w:val="single" w:sz="4" w:space="0" w:color="999999"/>
            </w:tcBorders>
            <w:tcMar>
              <w:top w:w="14" w:type="dxa"/>
              <w:left w:w="43" w:type="dxa"/>
              <w:bottom w:w="14" w:type="dxa"/>
              <w:right w:w="43" w:type="dxa"/>
            </w:tcMar>
            <w:vAlign w:val="center"/>
          </w:tcPr>
          <w:p w14:paraId="297FF4CC" w14:textId="77777777" w:rsidR="00F37F0F" w:rsidRDefault="00F37F0F" w:rsidP="00F01091">
            <w:pPr>
              <w:pStyle w:val="Header"/>
              <w:spacing w:before="40" w:after="40"/>
              <w:jc w:val="center"/>
              <w:rPr>
                <w:rFonts w:cs="Arial"/>
                <w:sz w:val="18"/>
              </w:rPr>
            </w:pPr>
          </w:p>
        </w:tc>
        <w:tc>
          <w:tcPr>
            <w:tcW w:w="506" w:type="dxa"/>
            <w:tcBorders>
              <w:top w:val="single" w:sz="4" w:space="0" w:color="000000"/>
              <w:bottom w:val="single" w:sz="4" w:space="0" w:color="999999"/>
              <w:right w:val="single" w:sz="4" w:space="0" w:color="000000"/>
            </w:tcBorders>
            <w:tcMar>
              <w:top w:w="14" w:type="dxa"/>
              <w:left w:w="43" w:type="dxa"/>
              <w:bottom w:w="14" w:type="dxa"/>
              <w:right w:w="43" w:type="dxa"/>
            </w:tcMar>
            <w:vAlign w:val="center"/>
          </w:tcPr>
          <w:p w14:paraId="2CDF0203" w14:textId="77777777" w:rsidR="00F37F0F" w:rsidRDefault="00F37F0F" w:rsidP="00F01091">
            <w:pPr>
              <w:pStyle w:val="Header"/>
              <w:spacing w:before="40" w:after="40"/>
              <w:jc w:val="center"/>
              <w:rPr>
                <w:rFonts w:cs="Arial"/>
                <w:sz w:val="18"/>
              </w:rPr>
            </w:pPr>
          </w:p>
        </w:tc>
        <w:tc>
          <w:tcPr>
            <w:tcW w:w="864" w:type="dxa"/>
            <w:tcBorders>
              <w:top w:val="single" w:sz="4" w:space="0" w:color="000000"/>
              <w:left w:val="single" w:sz="4" w:space="0" w:color="000000"/>
              <w:bottom w:val="single" w:sz="4" w:space="0" w:color="999999"/>
            </w:tcBorders>
            <w:tcMar>
              <w:top w:w="14" w:type="dxa"/>
              <w:left w:w="43" w:type="dxa"/>
              <w:bottom w:w="14" w:type="dxa"/>
              <w:right w:w="43" w:type="dxa"/>
            </w:tcMar>
            <w:vAlign w:val="center"/>
          </w:tcPr>
          <w:p w14:paraId="025D0702" w14:textId="77777777" w:rsidR="00F37F0F" w:rsidRDefault="00F37F0F" w:rsidP="00F01091">
            <w:pPr>
              <w:pStyle w:val="Header"/>
              <w:spacing w:before="40" w:after="40"/>
              <w:jc w:val="center"/>
              <w:rPr>
                <w:rFonts w:cs="Arial"/>
                <w:sz w:val="18"/>
              </w:rPr>
            </w:pPr>
          </w:p>
        </w:tc>
      </w:tr>
      <w:tr w:rsidR="00F01091" w14:paraId="52C11A27" w14:textId="77777777" w:rsidTr="00F01091">
        <w:trPr>
          <w:gridAfter w:val="1"/>
          <w:wAfter w:w="32" w:type="dxa"/>
          <w:trHeight w:hRule="exact" w:val="563"/>
        </w:trPr>
        <w:tc>
          <w:tcPr>
            <w:tcW w:w="4259" w:type="dxa"/>
            <w:tcBorders>
              <w:top w:val="single" w:sz="4" w:space="0" w:color="999999"/>
              <w:bottom w:val="single" w:sz="4" w:space="0" w:color="999999"/>
              <w:right w:val="single" w:sz="4" w:space="0" w:color="000000"/>
            </w:tcBorders>
            <w:tcMar>
              <w:top w:w="14" w:type="dxa"/>
              <w:left w:w="43" w:type="dxa"/>
              <w:bottom w:w="14" w:type="dxa"/>
              <w:right w:w="43" w:type="dxa"/>
            </w:tcMar>
            <w:vAlign w:val="center"/>
          </w:tcPr>
          <w:p w14:paraId="1ED51DA3" w14:textId="77777777" w:rsidR="00F37F0F" w:rsidRDefault="00F37F0F" w:rsidP="00F01091">
            <w:pPr>
              <w:pStyle w:val="Header"/>
              <w:rPr>
                <w:rFonts w:cs="Arial"/>
                <w:sz w:val="17"/>
                <w:szCs w:val="17"/>
              </w:rPr>
            </w:pPr>
            <w:r>
              <w:rPr>
                <w:rFonts w:cs="Arial"/>
                <w:sz w:val="17"/>
                <w:szCs w:val="17"/>
              </w:rPr>
              <w:t>I know the first and last names of all the staff I worked with during my last shift / period of work.</w:t>
            </w:r>
          </w:p>
        </w:tc>
        <w:tc>
          <w:tcPr>
            <w:tcW w:w="541" w:type="dxa"/>
            <w:tcBorders>
              <w:top w:val="single" w:sz="4" w:space="0" w:color="999999"/>
              <w:left w:val="single" w:sz="4" w:space="0" w:color="000000"/>
              <w:bottom w:val="single" w:sz="4" w:space="0" w:color="999999"/>
            </w:tcBorders>
            <w:tcMar>
              <w:top w:w="14" w:type="dxa"/>
              <w:left w:w="43" w:type="dxa"/>
              <w:bottom w:w="14" w:type="dxa"/>
              <w:right w:w="43" w:type="dxa"/>
            </w:tcMar>
            <w:vAlign w:val="center"/>
          </w:tcPr>
          <w:p w14:paraId="70DEB574" w14:textId="77777777" w:rsidR="00F37F0F" w:rsidRDefault="00F37F0F" w:rsidP="00F01091">
            <w:pPr>
              <w:jc w:val="center"/>
              <w:rPr>
                <w:rFonts w:cs="Arial"/>
                <w:sz w:val="20"/>
              </w:rPr>
            </w:pPr>
            <w:r>
              <w:rPr>
                <w:rFonts w:cs="Arial"/>
                <w:sz w:val="20"/>
              </w:rPr>
              <w:t>4</w:t>
            </w:r>
          </w:p>
        </w:tc>
        <w:tc>
          <w:tcPr>
            <w:tcW w:w="559" w:type="dxa"/>
            <w:tcBorders>
              <w:top w:val="single" w:sz="4" w:space="0" w:color="999999"/>
              <w:bottom w:val="single" w:sz="4" w:space="0" w:color="999999"/>
            </w:tcBorders>
            <w:tcMar>
              <w:top w:w="14" w:type="dxa"/>
              <w:left w:w="43" w:type="dxa"/>
              <w:bottom w:w="14" w:type="dxa"/>
              <w:right w:w="43" w:type="dxa"/>
            </w:tcMar>
            <w:vAlign w:val="center"/>
          </w:tcPr>
          <w:p w14:paraId="2AE408AC" w14:textId="77777777" w:rsidR="00F37F0F" w:rsidRDefault="00F37F0F" w:rsidP="00F01091">
            <w:pPr>
              <w:jc w:val="center"/>
              <w:rPr>
                <w:rFonts w:cs="Arial"/>
                <w:sz w:val="20"/>
              </w:rPr>
            </w:pPr>
            <w:r>
              <w:rPr>
                <w:rFonts w:cs="Arial"/>
                <w:sz w:val="20"/>
              </w:rPr>
              <w:t>5</w:t>
            </w:r>
          </w:p>
        </w:tc>
        <w:tc>
          <w:tcPr>
            <w:tcW w:w="473" w:type="dxa"/>
            <w:tcBorders>
              <w:top w:val="single" w:sz="4" w:space="0" w:color="999999"/>
              <w:bottom w:val="single" w:sz="4" w:space="0" w:color="999999"/>
            </w:tcBorders>
            <w:tcMar>
              <w:top w:w="14" w:type="dxa"/>
              <w:left w:w="43" w:type="dxa"/>
              <w:bottom w:w="14" w:type="dxa"/>
              <w:right w:w="43" w:type="dxa"/>
            </w:tcMar>
            <w:vAlign w:val="center"/>
          </w:tcPr>
          <w:p w14:paraId="092D66C2" w14:textId="77777777" w:rsidR="00F37F0F" w:rsidRDefault="00F37F0F" w:rsidP="00F01091">
            <w:pPr>
              <w:jc w:val="center"/>
              <w:rPr>
                <w:rFonts w:cs="Arial"/>
                <w:sz w:val="20"/>
              </w:rPr>
            </w:pPr>
            <w:r>
              <w:rPr>
                <w:rFonts w:cs="Arial"/>
                <w:sz w:val="20"/>
              </w:rPr>
              <w:t>3</w:t>
            </w:r>
          </w:p>
        </w:tc>
        <w:tc>
          <w:tcPr>
            <w:tcW w:w="458" w:type="dxa"/>
            <w:tcBorders>
              <w:top w:val="single" w:sz="4" w:space="0" w:color="999999"/>
              <w:bottom w:val="single" w:sz="4" w:space="0" w:color="999999"/>
            </w:tcBorders>
            <w:tcMar>
              <w:top w:w="14" w:type="dxa"/>
              <w:left w:w="43" w:type="dxa"/>
              <w:bottom w:w="14" w:type="dxa"/>
              <w:right w:w="43" w:type="dxa"/>
            </w:tcMar>
            <w:vAlign w:val="center"/>
          </w:tcPr>
          <w:p w14:paraId="2DCBE3C3" w14:textId="77777777" w:rsidR="00F37F0F" w:rsidRDefault="00F37F0F" w:rsidP="00F01091">
            <w:pPr>
              <w:jc w:val="center"/>
              <w:rPr>
                <w:rFonts w:cs="Arial"/>
                <w:sz w:val="20"/>
              </w:rPr>
            </w:pPr>
            <w:r>
              <w:rPr>
                <w:rFonts w:cs="Arial"/>
                <w:sz w:val="20"/>
              </w:rPr>
              <w:t>14</w:t>
            </w:r>
          </w:p>
        </w:tc>
        <w:tc>
          <w:tcPr>
            <w:tcW w:w="506" w:type="dxa"/>
            <w:tcBorders>
              <w:top w:val="single" w:sz="4" w:space="0" w:color="999999"/>
              <w:bottom w:val="single" w:sz="4" w:space="0" w:color="999999"/>
              <w:right w:val="single" w:sz="4" w:space="0" w:color="000000"/>
            </w:tcBorders>
            <w:tcMar>
              <w:top w:w="14" w:type="dxa"/>
              <w:left w:w="43" w:type="dxa"/>
              <w:bottom w:w="14" w:type="dxa"/>
              <w:right w:w="43" w:type="dxa"/>
            </w:tcMar>
            <w:vAlign w:val="center"/>
          </w:tcPr>
          <w:p w14:paraId="01ED8E07" w14:textId="77777777" w:rsidR="00F37F0F" w:rsidRDefault="00F37F0F" w:rsidP="00F01091">
            <w:pPr>
              <w:jc w:val="center"/>
              <w:rPr>
                <w:rFonts w:cs="Arial"/>
                <w:sz w:val="20"/>
              </w:rPr>
            </w:pPr>
            <w:r>
              <w:rPr>
                <w:rFonts w:cs="Arial"/>
                <w:sz w:val="20"/>
              </w:rPr>
              <w:t>74</w:t>
            </w:r>
          </w:p>
        </w:tc>
        <w:tc>
          <w:tcPr>
            <w:tcW w:w="864" w:type="dxa"/>
            <w:tcBorders>
              <w:top w:val="single" w:sz="4" w:space="0" w:color="999999"/>
              <w:left w:val="single" w:sz="4" w:space="0" w:color="000000"/>
              <w:bottom w:val="single" w:sz="4" w:space="0" w:color="999999"/>
            </w:tcBorders>
            <w:tcMar>
              <w:top w:w="14" w:type="dxa"/>
              <w:left w:w="43" w:type="dxa"/>
              <w:bottom w:w="14" w:type="dxa"/>
              <w:right w:w="43" w:type="dxa"/>
            </w:tcMar>
            <w:vAlign w:val="center"/>
          </w:tcPr>
          <w:p w14:paraId="116E6263" w14:textId="77777777" w:rsidR="00F37F0F" w:rsidRDefault="00F37F0F" w:rsidP="00F01091">
            <w:pPr>
              <w:jc w:val="center"/>
              <w:rPr>
                <w:rFonts w:cs="Arial"/>
                <w:sz w:val="20"/>
              </w:rPr>
            </w:pPr>
            <w:r>
              <w:rPr>
                <w:rFonts w:cs="Arial"/>
                <w:sz w:val="20"/>
              </w:rPr>
              <w:t>3</w:t>
            </w:r>
          </w:p>
        </w:tc>
      </w:tr>
      <w:tr w:rsidR="00F01091" w14:paraId="2E1DD71A" w14:textId="77777777" w:rsidTr="00F01091">
        <w:trPr>
          <w:gridAfter w:val="1"/>
          <w:wAfter w:w="32" w:type="dxa"/>
          <w:trHeight w:hRule="exact" w:val="563"/>
        </w:trPr>
        <w:tc>
          <w:tcPr>
            <w:tcW w:w="4259" w:type="dxa"/>
            <w:tcBorders>
              <w:top w:val="single" w:sz="4" w:space="0" w:color="999999"/>
              <w:bottom w:val="single" w:sz="4" w:space="0" w:color="999999"/>
              <w:right w:val="single" w:sz="4" w:space="0" w:color="000000"/>
            </w:tcBorders>
            <w:tcMar>
              <w:top w:w="14" w:type="dxa"/>
              <w:left w:w="43" w:type="dxa"/>
              <w:bottom w:w="14" w:type="dxa"/>
              <w:right w:w="43" w:type="dxa"/>
            </w:tcMar>
            <w:vAlign w:val="center"/>
          </w:tcPr>
          <w:p w14:paraId="55151EC3" w14:textId="77777777" w:rsidR="00F37F0F" w:rsidRDefault="00F37F0F" w:rsidP="00F01091">
            <w:pPr>
              <w:pStyle w:val="Header"/>
              <w:rPr>
                <w:rFonts w:cs="Arial"/>
                <w:sz w:val="17"/>
                <w:szCs w:val="17"/>
              </w:rPr>
            </w:pPr>
            <w:r>
              <w:rPr>
                <w:rFonts w:cs="Arial"/>
                <w:sz w:val="17"/>
                <w:szCs w:val="17"/>
              </w:rPr>
              <w:t>Important issues are well communicated at shift changes / between periods of work.</w:t>
            </w:r>
          </w:p>
        </w:tc>
        <w:tc>
          <w:tcPr>
            <w:tcW w:w="541" w:type="dxa"/>
            <w:tcBorders>
              <w:top w:val="single" w:sz="4" w:space="0" w:color="999999"/>
              <w:left w:val="single" w:sz="4" w:space="0" w:color="000000"/>
              <w:bottom w:val="single" w:sz="4" w:space="0" w:color="999999"/>
            </w:tcBorders>
            <w:tcMar>
              <w:top w:w="14" w:type="dxa"/>
              <w:left w:w="43" w:type="dxa"/>
              <w:bottom w:w="14" w:type="dxa"/>
              <w:right w:w="43" w:type="dxa"/>
            </w:tcMar>
            <w:vAlign w:val="center"/>
          </w:tcPr>
          <w:p w14:paraId="2649FB74" w14:textId="77777777" w:rsidR="00F37F0F" w:rsidRDefault="00F37F0F" w:rsidP="00F01091">
            <w:pPr>
              <w:jc w:val="center"/>
              <w:rPr>
                <w:rFonts w:cs="Arial"/>
                <w:sz w:val="20"/>
              </w:rPr>
            </w:pPr>
            <w:r>
              <w:rPr>
                <w:rFonts w:cs="Arial"/>
                <w:sz w:val="20"/>
              </w:rPr>
              <w:t>3</w:t>
            </w:r>
          </w:p>
        </w:tc>
        <w:tc>
          <w:tcPr>
            <w:tcW w:w="559" w:type="dxa"/>
            <w:tcBorders>
              <w:top w:val="single" w:sz="4" w:space="0" w:color="999999"/>
              <w:bottom w:val="single" w:sz="4" w:space="0" w:color="999999"/>
            </w:tcBorders>
            <w:tcMar>
              <w:top w:w="14" w:type="dxa"/>
              <w:left w:w="43" w:type="dxa"/>
              <w:bottom w:w="14" w:type="dxa"/>
              <w:right w:w="43" w:type="dxa"/>
            </w:tcMar>
            <w:vAlign w:val="center"/>
          </w:tcPr>
          <w:p w14:paraId="7F405818" w14:textId="77777777" w:rsidR="00F37F0F" w:rsidRDefault="00F37F0F" w:rsidP="00F01091">
            <w:pPr>
              <w:jc w:val="center"/>
              <w:rPr>
                <w:rFonts w:cs="Arial"/>
                <w:sz w:val="20"/>
              </w:rPr>
            </w:pPr>
            <w:r>
              <w:rPr>
                <w:rFonts w:cs="Arial"/>
                <w:sz w:val="20"/>
              </w:rPr>
              <w:t>7</w:t>
            </w:r>
          </w:p>
        </w:tc>
        <w:tc>
          <w:tcPr>
            <w:tcW w:w="473" w:type="dxa"/>
            <w:tcBorders>
              <w:top w:val="single" w:sz="4" w:space="0" w:color="999999"/>
              <w:bottom w:val="single" w:sz="4" w:space="0" w:color="999999"/>
            </w:tcBorders>
            <w:tcMar>
              <w:top w:w="14" w:type="dxa"/>
              <w:left w:w="43" w:type="dxa"/>
              <w:bottom w:w="14" w:type="dxa"/>
              <w:right w:w="43" w:type="dxa"/>
            </w:tcMar>
            <w:vAlign w:val="center"/>
          </w:tcPr>
          <w:p w14:paraId="62809172" w14:textId="77777777" w:rsidR="00F37F0F" w:rsidRDefault="00F37F0F" w:rsidP="00F01091">
            <w:pPr>
              <w:jc w:val="center"/>
              <w:rPr>
                <w:rFonts w:cs="Arial"/>
                <w:sz w:val="20"/>
              </w:rPr>
            </w:pPr>
            <w:r>
              <w:rPr>
                <w:rFonts w:cs="Arial"/>
                <w:sz w:val="20"/>
              </w:rPr>
              <w:t>11</w:t>
            </w:r>
          </w:p>
        </w:tc>
        <w:tc>
          <w:tcPr>
            <w:tcW w:w="458" w:type="dxa"/>
            <w:tcBorders>
              <w:top w:val="single" w:sz="4" w:space="0" w:color="999999"/>
              <w:bottom w:val="single" w:sz="4" w:space="0" w:color="999999"/>
            </w:tcBorders>
            <w:tcMar>
              <w:top w:w="14" w:type="dxa"/>
              <w:left w:w="43" w:type="dxa"/>
              <w:bottom w:w="14" w:type="dxa"/>
              <w:right w:w="43" w:type="dxa"/>
            </w:tcMar>
            <w:vAlign w:val="center"/>
          </w:tcPr>
          <w:p w14:paraId="79589EA6" w14:textId="77777777" w:rsidR="00F37F0F" w:rsidRDefault="00F37F0F" w:rsidP="00F01091">
            <w:pPr>
              <w:jc w:val="center"/>
              <w:rPr>
                <w:rFonts w:cs="Arial"/>
                <w:sz w:val="20"/>
              </w:rPr>
            </w:pPr>
            <w:r>
              <w:rPr>
                <w:rFonts w:cs="Arial"/>
                <w:sz w:val="20"/>
              </w:rPr>
              <w:t>37</w:t>
            </w:r>
          </w:p>
        </w:tc>
        <w:tc>
          <w:tcPr>
            <w:tcW w:w="506" w:type="dxa"/>
            <w:tcBorders>
              <w:top w:val="single" w:sz="4" w:space="0" w:color="999999"/>
              <w:bottom w:val="single" w:sz="4" w:space="0" w:color="999999"/>
              <w:right w:val="single" w:sz="4" w:space="0" w:color="000000"/>
            </w:tcBorders>
            <w:tcMar>
              <w:top w:w="14" w:type="dxa"/>
              <w:left w:w="43" w:type="dxa"/>
              <w:bottom w:w="14" w:type="dxa"/>
              <w:right w:w="43" w:type="dxa"/>
            </w:tcMar>
            <w:vAlign w:val="center"/>
          </w:tcPr>
          <w:p w14:paraId="57CB3725" w14:textId="77777777" w:rsidR="00F37F0F" w:rsidRDefault="00F37F0F" w:rsidP="00F01091">
            <w:pPr>
              <w:jc w:val="center"/>
              <w:rPr>
                <w:rFonts w:cs="Arial"/>
                <w:sz w:val="20"/>
              </w:rPr>
            </w:pPr>
            <w:r>
              <w:rPr>
                <w:rFonts w:cs="Arial"/>
                <w:sz w:val="20"/>
              </w:rPr>
              <w:t>42</w:t>
            </w:r>
          </w:p>
        </w:tc>
        <w:tc>
          <w:tcPr>
            <w:tcW w:w="864" w:type="dxa"/>
            <w:tcBorders>
              <w:top w:val="single" w:sz="4" w:space="0" w:color="999999"/>
              <w:left w:val="single" w:sz="4" w:space="0" w:color="000000"/>
              <w:bottom w:val="single" w:sz="4" w:space="0" w:color="999999"/>
            </w:tcBorders>
            <w:tcMar>
              <w:top w:w="14" w:type="dxa"/>
              <w:left w:w="43" w:type="dxa"/>
              <w:bottom w:w="14" w:type="dxa"/>
              <w:right w:w="43" w:type="dxa"/>
            </w:tcMar>
            <w:vAlign w:val="center"/>
          </w:tcPr>
          <w:p w14:paraId="2A0F7590" w14:textId="77777777" w:rsidR="00F37F0F" w:rsidRDefault="00F37F0F" w:rsidP="00F01091">
            <w:pPr>
              <w:jc w:val="center"/>
              <w:rPr>
                <w:rFonts w:cs="Arial"/>
                <w:sz w:val="20"/>
              </w:rPr>
            </w:pPr>
            <w:r>
              <w:rPr>
                <w:rFonts w:cs="Arial"/>
                <w:sz w:val="20"/>
              </w:rPr>
              <w:t>11</w:t>
            </w:r>
          </w:p>
        </w:tc>
      </w:tr>
      <w:tr w:rsidR="00F01091" w14:paraId="08528F55" w14:textId="77777777" w:rsidTr="00F01091">
        <w:trPr>
          <w:gridAfter w:val="1"/>
          <w:wAfter w:w="32" w:type="dxa"/>
          <w:trHeight w:hRule="exact" w:val="563"/>
        </w:trPr>
        <w:tc>
          <w:tcPr>
            <w:tcW w:w="4259" w:type="dxa"/>
            <w:tcBorders>
              <w:top w:val="single" w:sz="4" w:space="0" w:color="999999"/>
              <w:bottom w:val="single" w:sz="4" w:space="0" w:color="999999"/>
              <w:right w:val="single" w:sz="4" w:space="0" w:color="000000"/>
            </w:tcBorders>
            <w:tcMar>
              <w:top w:w="14" w:type="dxa"/>
              <w:left w:w="43" w:type="dxa"/>
              <w:bottom w:w="14" w:type="dxa"/>
              <w:right w:w="43" w:type="dxa"/>
            </w:tcMar>
            <w:vAlign w:val="center"/>
          </w:tcPr>
          <w:p w14:paraId="49D1C65A" w14:textId="77777777" w:rsidR="00F37F0F" w:rsidRDefault="00F37F0F" w:rsidP="00F01091">
            <w:pPr>
              <w:pStyle w:val="Header"/>
              <w:rPr>
                <w:rFonts w:cs="Arial"/>
                <w:sz w:val="17"/>
                <w:szCs w:val="17"/>
              </w:rPr>
            </w:pPr>
            <w:r>
              <w:rPr>
                <w:rFonts w:cs="Arial"/>
                <w:sz w:val="17"/>
                <w:szCs w:val="17"/>
              </w:rPr>
              <w:t>Briefings are common where I work.</w:t>
            </w:r>
          </w:p>
        </w:tc>
        <w:tc>
          <w:tcPr>
            <w:tcW w:w="541" w:type="dxa"/>
            <w:tcBorders>
              <w:top w:val="single" w:sz="4" w:space="0" w:color="999999"/>
              <w:left w:val="single" w:sz="4" w:space="0" w:color="000000"/>
              <w:bottom w:val="single" w:sz="4" w:space="0" w:color="999999"/>
            </w:tcBorders>
            <w:tcMar>
              <w:top w:w="14" w:type="dxa"/>
              <w:left w:w="43" w:type="dxa"/>
              <w:bottom w:w="14" w:type="dxa"/>
              <w:right w:w="43" w:type="dxa"/>
            </w:tcMar>
            <w:vAlign w:val="center"/>
          </w:tcPr>
          <w:p w14:paraId="0FB35698" w14:textId="77777777" w:rsidR="00F37F0F" w:rsidRDefault="00F37F0F" w:rsidP="00F01091">
            <w:pPr>
              <w:jc w:val="center"/>
              <w:rPr>
                <w:rFonts w:cs="Arial"/>
                <w:sz w:val="20"/>
              </w:rPr>
            </w:pPr>
            <w:r>
              <w:rPr>
                <w:rFonts w:cs="Arial"/>
                <w:sz w:val="20"/>
              </w:rPr>
              <w:t>4</w:t>
            </w:r>
          </w:p>
        </w:tc>
        <w:tc>
          <w:tcPr>
            <w:tcW w:w="559" w:type="dxa"/>
            <w:tcBorders>
              <w:top w:val="single" w:sz="4" w:space="0" w:color="999999"/>
              <w:bottom w:val="single" w:sz="4" w:space="0" w:color="999999"/>
            </w:tcBorders>
            <w:tcMar>
              <w:top w:w="14" w:type="dxa"/>
              <w:left w:w="43" w:type="dxa"/>
              <w:bottom w:w="14" w:type="dxa"/>
              <w:right w:w="43" w:type="dxa"/>
            </w:tcMar>
            <w:vAlign w:val="center"/>
          </w:tcPr>
          <w:p w14:paraId="6E0DCE45" w14:textId="77777777" w:rsidR="00F37F0F" w:rsidRDefault="00F37F0F" w:rsidP="00F01091">
            <w:pPr>
              <w:jc w:val="center"/>
              <w:rPr>
                <w:rFonts w:cs="Arial"/>
                <w:sz w:val="20"/>
              </w:rPr>
            </w:pPr>
            <w:r>
              <w:rPr>
                <w:rFonts w:cs="Arial"/>
                <w:sz w:val="20"/>
              </w:rPr>
              <w:t>7</w:t>
            </w:r>
          </w:p>
        </w:tc>
        <w:tc>
          <w:tcPr>
            <w:tcW w:w="473" w:type="dxa"/>
            <w:tcBorders>
              <w:top w:val="single" w:sz="4" w:space="0" w:color="999999"/>
              <w:bottom w:val="single" w:sz="4" w:space="0" w:color="999999"/>
            </w:tcBorders>
            <w:tcMar>
              <w:top w:w="14" w:type="dxa"/>
              <w:left w:w="43" w:type="dxa"/>
              <w:bottom w:w="14" w:type="dxa"/>
              <w:right w:w="43" w:type="dxa"/>
            </w:tcMar>
            <w:vAlign w:val="center"/>
          </w:tcPr>
          <w:p w14:paraId="22AF3118" w14:textId="77777777" w:rsidR="00F37F0F" w:rsidRDefault="00F37F0F" w:rsidP="00F01091">
            <w:pPr>
              <w:jc w:val="center"/>
              <w:rPr>
                <w:rFonts w:cs="Arial"/>
                <w:sz w:val="20"/>
              </w:rPr>
            </w:pPr>
            <w:r>
              <w:rPr>
                <w:rFonts w:cs="Arial"/>
                <w:sz w:val="20"/>
              </w:rPr>
              <w:t>13</w:t>
            </w:r>
          </w:p>
        </w:tc>
        <w:tc>
          <w:tcPr>
            <w:tcW w:w="458" w:type="dxa"/>
            <w:tcBorders>
              <w:top w:val="single" w:sz="4" w:space="0" w:color="999999"/>
              <w:bottom w:val="single" w:sz="4" w:space="0" w:color="999999"/>
            </w:tcBorders>
            <w:tcMar>
              <w:top w:w="14" w:type="dxa"/>
              <w:left w:w="43" w:type="dxa"/>
              <w:bottom w:w="14" w:type="dxa"/>
              <w:right w:w="43" w:type="dxa"/>
            </w:tcMar>
            <w:vAlign w:val="center"/>
          </w:tcPr>
          <w:p w14:paraId="35FB1B4B" w14:textId="77777777" w:rsidR="00F37F0F" w:rsidRDefault="00F37F0F" w:rsidP="00F01091">
            <w:pPr>
              <w:jc w:val="center"/>
              <w:rPr>
                <w:rFonts w:cs="Arial"/>
                <w:sz w:val="20"/>
              </w:rPr>
            </w:pPr>
            <w:r>
              <w:rPr>
                <w:rFonts w:cs="Arial"/>
                <w:sz w:val="20"/>
              </w:rPr>
              <w:t>34</w:t>
            </w:r>
          </w:p>
        </w:tc>
        <w:tc>
          <w:tcPr>
            <w:tcW w:w="506" w:type="dxa"/>
            <w:tcBorders>
              <w:top w:val="single" w:sz="4" w:space="0" w:color="999999"/>
              <w:bottom w:val="single" w:sz="4" w:space="0" w:color="999999"/>
              <w:right w:val="single" w:sz="4" w:space="0" w:color="000000"/>
            </w:tcBorders>
            <w:tcMar>
              <w:top w:w="14" w:type="dxa"/>
              <w:left w:w="43" w:type="dxa"/>
              <w:bottom w:w="14" w:type="dxa"/>
              <w:right w:w="43" w:type="dxa"/>
            </w:tcMar>
            <w:vAlign w:val="center"/>
          </w:tcPr>
          <w:p w14:paraId="7D52E136" w14:textId="77777777" w:rsidR="00F37F0F" w:rsidRDefault="00F37F0F" w:rsidP="00F01091">
            <w:pPr>
              <w:jc w:val="center"/>
              <w:rPr>
                <w:rFonts w:cs="Arial"/>
                <w:sz w:val="20"/>
              </w:rPr>
            </w:pPr>
            <w:r>
              <w:rPr>
                <w:rFonts w:cs="Arial"/>
                <w:sz w:val="20"/>
              </w:rPr>
              <w:t>41</w:t>
            </w:r>
          </w:p>
        </w:tc>
        <w:tc>
          <w:tcPr>
            <w:tcW w:w="864" w:type="dxa"/>
            <w:tcBorders>
              <w:top w:val="single" w:sz="4" w:space="0" w:color="999999"/>
              <w:left w:val="single" w:sz="4" w:space="0" w:color="000000"/>
              <w:bottom w:val="single" w:sz="4" w:space="0" w:color="999999"/>
            </w:tcBorders>
            <w:tcMar>
              <w:top w:w="14" w:type="dxa"/>
              <w:left w:w="43" w:type="dxa"/>
              <w:bottom w:w="14" w:type="dxa"/>
              <w:right w:w="43" w:type="dxa"/>
            </w:tcMar>
            <w:vAlign w:val="center"/>
          </w:tcPr>
          <w:p w14:paraId="6F96D411" w14:textId="77777777" w:rsidR="00F37F0F" w:rsidRDefault="00F37F0F" w:rsidP="00F01091">
            <w:pPr>
              <w:jc w:val="center"/>
              <w:rPr>
                <w:rFonts w:cs="Arial"/>
                <w:sz w:val="20"/>
              </w:rPr>
            </w:pPr>
            <w:r>
              <w:rPr>
                <w:rFonts w:cs="Arial"/>
                <w:sz w:val="20"/>
              </w:rPr>
              <w:t>8</w:t>
            </w:r>
          </w:p>
        </w:tc>
      </w:tr>
      <w:tr w:rsidR="00F01091" w14:paraId="3A7D8542" w14:textId="77777777" w:rsidTr="00F01091">
        <w:trPr>
          <w:gridAfter w:val="1"/>
          <w:wAfter w:w="32" w:type="dxa"/>
          <w:trHeight w:hRule="exact" w:val="563"/>
        </w:trPr>
        <w:tc>
          <w:tcPr>
            <w:tcW w:w="4259" w:type="dxa"/>
            <w:tcBorders>
              <w:top w:val="single" w:sz="4" w:space="0" w:color="999999"/>
              <w:bottom w:val="single" w:sz="4" w:space="0" w:color="auto"/>
              <w:right w:val="single" w:sz="4" w:space="0" w:color="000000"/>
            </w:tcBorders>
            <w:tcMar>
              <w:top w:w="14" w:type="dxa"/>
              <w:left w:w="43" w:type="dxa"/>
              <w:bottom w:w="14" w:type="dxa"/>
              <w:right w:w="43" w:type="dxa"/>
            </w:tcMar>
            <w:vAlign w:val="center"/>
          </w:tcPr>
          <w:p w14:paraId="62516CCB" w14:textId="77777777" w:rsidR="00F37F0F" w:rsidRDefault="00F37F0F" w:rsidP="00F01091">
            <w:pPr>
              <w:pStyle w:val="Header"/>
              <w:rPr>
                <w:rFonts w:cs="Arial"/>
                <w:sz w:val="17"/>
                <w:szCs w:val="17"/>
              </w:rPr>
            </w:pPr>
            <w:r>
              <w:rPr>
                <w:rFonts w:cs="Arial"/>
                <w:sz w:val="17"/>
                <w:szCs w:val="17"/>
              </w:rPr>
              <w:t>I am satisfied with the quality of collaboration that I experience with nurses where I work.</w:t>
            </w:r>
          </w:p>
        </w:tc>
        <w:tc>
          <w:tcPr>
            <w:tcW w:w="541" w:type="dxa"/>
            <w:tcBorders>
              <w:top w:val="single" w:sz="4" w:space="0" w:color="999999"/>
              <w:left w:val="single" w:sz="4" w:space="0" w:color="000000"/>
              <w:bottom w:val="single" w:sz="4" w:space="0" w:color="auto"/>
            </w:tcBorders>
            <w:tcMar>
              <w:top w:w="14" w:type="dxa"/>
              <w:left w:w="43" w:type="dxa"/>
              <w:bottom w:w="14" w:type="dxa"/>
              <w:right w:w="43" w:type="dxa"/>
            </w:tcMar>
            <w:vAlign w:val="center"/>
          </w:tcPr>
          <w:p w14:paraId="68C79B6F" w14:textId="77777777" w:rsidR="00F37F0F" w:rsidRDefault="00F37F0F" w:rsidP="00F01091">
            <w:pPr>
              <w:jc w:val="center"/>
              <w:rPr>
                <w:rFonts w:cs="Arial"/>
                <w:sz w:val="20"/>
              </w:rPr>
            </w:pPr>
            <w:r>
              <w:rPr>
                <w:rFonts w:cs="Arial"/>
                <w:sz w:val="20"/>
              </w:rPr>
              <w:t>2</w:t>
            </w:r>
          </w:p>
        </w:tc>
        <w:tc>
          <w:tcPr>
            <w:tcW w:w="559" w:type="dxa"/>
            <w:tcBorders>
              <w:top w:val="single" w:sz="4" w:space="0" w:color="999999"/>
              <w:bottom w:val="single" w:sz="4" w:space="0" w:color="auto"/>
            </w:tcBorders>
            <w:tcMar>
              <w:top w:w="14" w:type="dxa"/>
              <w:left w:w="43" w:type="dxa"/>
              <w:bottom w:w="14" w:type="dxa"/>
              <w:right w:w="43" w:type="dxa"/>
            </w:tcMar>
            <w:vAlign w:val="center"/>
          </w:tcPr>
          <w:p w14:paraId="4CA2DC8C" w14:textId="77777777" w:rsidR="00F37F0F" w:rsidRDefault="00F37F0F" w:rsidP="00F01091">
            <w:pPr>
              <w:jc w:val="center"/>
              <w:rPr>
                <w:rFonts w:cs="Arial"/>
                <w:sz w:val="20"/>
              </w:rPr>
            </w:pPr>
            <w:r>
              <w:rPr>
                <w:rFonts w:cs="Arial"/>
                <w:sz w:val="20"/>
              </w:rPr>
              <w:t>4</w:t>
            </w:r>
          </w:p>
        </w:tc>
        <w:tc>
          <w:tcPr>
            <w:tcW w:w="473" w:type="dxa"/>
            <w:tcBorders>
              <w:top w:val="single" w:sz="4" w:space="0" w:color="999999"/>
              <w:bottom w:val="single" w:sz="4" w:space="0" w:color="auto"/>
            </w:tcBorders>
            <w:tcMar>
              <w:top w:w="14" w:type="dxa"/>
              <w:left w:w="43" w:type="dxa"/>
              <w:bottom w:w="14" w:type="dxa"/>
              <w:right w:w="43" w:type="dxa"/>
            </w:tcMar>
            <w:vAlign w:val="center"/>
          </w:tcPr>
          <w:p w14:paraId="1EF3BDEE" w14:textId="77777777" w:rsidR="00F37F0F" w:rsidRDefault="00F37F0F" w:rsidP="00F01091">
            <w:pPr>
              <w:jc w:val="center"/>
              <w:rPr>
                <w:rFonts w:cs="Arial"/>
                <w:sz w:val="20"/>
              </w:rPr>
            </w:pPr>
            <w:r>
              <w:rPr>
                <w:rFonts w:cs="Arial"/>
                <w:sz w:val="20"/>
              </w:rPr>
              <w:t>5</w:t>
            </w:r>
          </w:p>
        </w:tc>
        <w:tc>
          <w:tcPr>
            <w:tcW w:w="458" w:type="dxa"/>
            <w:tcBorders>
              <w:top w:val="single" w:sz="4" w:space="0" w:color="999999"/>
              <w:bottom w:val="single" w:sz="4" w:space="0" w:color="auto"/>
            </w:tcBorders>
            <w:tcMar>
              <w:top w:w="14" w:type="dxa"/>
              <w:left w:w="43" w:type="dxa"/>
              <w:bottom w:w="14" w:type="dxa"/>
              <w:right w:w="43" w:type="dxa"/>
            </w:tcMar>
            <w:vAlign w:val="center"/>
          </w:tcPr>
          <w:p w14:paraId="07CA097D" w14:textId="77777777" w:rsidR="00F37F0F" w:rsidRDefault="00F37F0F" w:rsidP="00F01091">
            <w:pPr>
              <w:jc w:val="center"/>
              <w:rPr>
                <w:rFonts w:cs="Arial"/>
                <w:sz w:val="20"/>
              </w:rPr>
            </w:pPr>
            <w:r>
              <w:rPr>
                <w:rFonts w:cs="Arial"/>
                <w:sz w:val="20"/>
              </w:rPr>
              <w:t>32</w:t>
            </w:r>
          </w:p>
        </w:tc>
        <w:tc>
          <w:tcPr>
            <w:tcW w:w="506" w:type="dxa"/>
            <w:tcBorders>
              <w:top w:val="single" w:sz="4" w:space="0" w:color="999999"/>
              <w:bottom w:val="single" w:sz="4" w:space="0" w:color="auto"/>
              <w:right w:val="single" w:sz="4" w:space="0" w:color="000000"/>
            </w:tcBorders>
            <w:tcMar>
              <w:top w:w="14" w:type="dxa"/>
              <w:left w:w="43" w:type="dxa"/>
              <w:bottom w:w="14" w:type="dxa"/>
              <w:right w:w="43" w:type="dxa"/>
            </w:tcMar>
            <w:vAlign w:val="center"/>
          </w:tcPr>
          <w:p w14:paraId="6CDAB276" w14:textId="77777777" w:rsidR="00F37F0F" w:rsidRDefault="00F37F0F" w:rsidP="00F01091">
            <w:pPr>
              <w:jc w:val="center"/>
              <w:rPr>
                <w:rFonts w:cs="Arial"/>
                <w:sz w:val="20"/>
              </w:rPr>
            </w:pPr>
            <w:r>
              <w:rPr>
                <w:rFonts w:cs="Arial"/>
                <w:sz w:val="20"/>
              </w:rPr>
              <w:t>57</w:t>
            </w:r>
          </w:p>
        </w:tc>
        <w:tc>
          <w:tcPr>
            <w:tcW w:w="864" w:type="dxa"/>
            <w:tcBorders>
              <w:top w:val="single" w:sz="4" w:space="0" w:color="999999"/>
              <w:left w:val="single" w:sz="4" w:space="0" w:color="000000"/>
              <w:bottom w:val="single" w:sz="4" w:space="0" w:color="auto"/>
            </w:tcBorders>
            <w:tcMar>
              <w:top w:w="14" w:type="dxa"/>
              <w:left w:w="43" w:type="dxa"/>
              <w:bottom w:w="14" w:type="dxa"/>
              <w:right w:w="43" w:type="dxa"/>
            </w:tcMar>
            <w:vAlign w:val="center"/>
          </w:tcPr>
          <w:p w14:paraId="1CFD3F99" w14:textId="77777777" w:rsidR="00F37F0F" w:rsidRDefault="00F37F0F" w:rsidP="00F01091">
            <w:pPr>
              <w:jc w:val="center"/>
              <w:rPr>
                <w:rFonts w:cs="Arial"/>
                <w:sz w:val="20"/>
              </w:rPr>
            </w:pPr>
            <w:r>
              <w:rPr>
                <w:rFonts w:cs="Arial"/>
                <w:sz w:val="20"/>
              </w:rPr>
              <w:t>4</w:t>
            </w:r>
          </w:p>
        </w:tc>
      </w:tr>
      <w:tr w:rsidR="00F37F0F" w14:paraId="4AEE8B36" w14:textId="77777777" w:rsidTr="00F01091">
        <w:trPr>
          <w:gridAfter w:val="1"/>
          <w:wAfter w:w="31" w:type="dxa"/>
          <w:trHeight w:hRule="exact" w:val="760"/>
        </w:trPr>
        <w:tc>
          <w:tcPr>
            <w:tcW w:w="7661" w:type="dxa"/>
            <w:gridSpan w:val="7"/>
            <w:tcBorders>
              <w:top w:val="single" w:sz="4" w:space="0" w:color="auto"/>
              <w:left w:val="nil"/>
              <w:bottom w:val="nil"/>
              <w:right w:val="nil"/>
            </w:tcBorders>
            <w:tcMar>
              <w:top w:w="14" w:type="dxa"/>
              <w:left w:w="43" w:type="dxa"/>
              <w:bottom w:w="14" w:type="dxa"/>
              <w:right w:w="43" w:type="dxa"/>
            </w:tcMar>
          </w:tcPr>
          <w:p w14:paraId="7C6E030C" w14:textId="77777777" w:rsidR="00F37F0F" w:rsidRDefault="00F37F0F" w:rsidP="00F01091">
            <w:pPr>
              <w:spacing w:before="60"/>
              <w:ind w:right="-782"/>
              <w:rPr>
                <w:rFonts w:cs="Arial"/>
                <w:sz w:val="17"/>
                <w:szCs w:val="17"/>
              </w:rPr>
            </w:pPr>
            <w:r>
              <w:rPr>
                <w:rFonts w:cs="Arial"/>
                <w:sz w:val="17"/>
                <w:szCs w:val="17"/>
                <w:vertAlign w:val="superscript"/>
              </w:rPr>
              <w:t xml:space="preserve">† </w:t>
            </w:r>
            <w:r>
              <w:rPr>
                <w:rFonts w:cs="Arial"/>
                <w:sz w:val="17"/>
                <w:szCs w:val="17"/>
              </w:rPr>
              <w:t>Percentage of valid responses (not including “not applicable”) from direct patient care staff</w:t>
            </w:r>
          </w:p>
          <w:p w14:paraId="2377EDE7" w14:textId="77777777" w:rsidR="00F37F0F" w:rsidRDefault="00F37F0F" w:rsidP="00F01091">
            <w:pPr>
              <w:ind w:right="-781"/>
              <w:rPr>
                <w:rFonts w:cs="Arial"/>
                <w:sz w:val="17"/>
                <w:szCs w:val="17"/>
              </w:rPr>
            </w:pPr>
            <w:r>
              <w:rPr>
                <w:rFonts w:cs="Arial"/>
                <w:sz w:val="17"/>
                <w:szCs w:val="17"/>
                <w:vertAlign w:val="superscript"/>
              </w:rPr>
              <w:t xml:space="preserve">‡ </w:t>
            </w:r>
            <w:r>
              <w:rPr>
                <w:rFonts w:cs="Arial"/>
                <w:sz w:val="17"/>
                <w:szCs w:val="17"/>
              </w:rPr>
              <w:t>Percentage of total responses from direct patient care staff</w:t>
            </w:r>
          </w:p>
        </w:tc>
      </w:tr>
    </w:tbl>
    <w:p w14:paraId="3C5F7DB8" w14:textId="77777777" w:rsidR="00F37F0F" w:rsidRDefault="00F37F0F" w:rsidP="00F37F0F">
      <w:pPr>
        <w:rPr>
          <w:rFonts w:cs="Arial"/>
          <w:sz w:val="20"/>
        </w:rPr>
      </w:pPr>
      <w:r>
        <w:br w:type="page"/>
      </w:r>
    </w:p>
    <w:tbl>
      <w:tblPr>
        <w:tblpPr w:leftFromText="180" w:rightFromText="180" w:vertAnchor="text" w:horzAnchor="margin" w:tblpXSpec="center" w:tblpY="10"/>
        <w:tblW w:w="8143" w:type="dxa"/>
        <w:tblBorders>
          <w:top w:val="single" w:sz="4" w:space="0" w:color="auto"/>
          <w:left w:val="single" w:sz="4" w:space="0" w:color="auto"/>
          <w:bottom w:val="single" w:sz="4" w:space="0" w:color="auto"/>
          <w:right w:val="single" w:sz="4" w:space="0" w:color="auto"/>
          <w:insideH w:val="single" w:sz="4" w:space="0" w:color="999999"/>
          <w:insideV w:val="single" w:sz="4" w:space="0" w:color="999999"/>
        </w:tblBorders>
        <w:tblLayout w:type="fixed"/>
        <w:tblCellMar>
          <w:left w:w="0" w:type="dxa"/>
          <w:right w:w="0" w:type="dxa"/>
        </w:tblCellMar>
        <w:tblLook w:val="0000" w:firstRow="0" w:lastRow="0" w:firstColumn="0" w:lastColumn="0" w:noHBand="0" w:noVBand="0"/>
      </w:tblPr>
      <w:tblGrid>
        <w:gridCol w:w="4150"/>
        <w:gridCol w:w="850"/>
        <w:gridCol w:w="707"/>
        <w:gridCol w:w="566"/>
        <w:gridCol w:w="566"/>
        <w:gridCol w:w="566"/>
        <w:gridCol w:w="708"/>
        <w:gridCol w:w="30"/>
      </w:tblGrid>
      <w:tr w:rsidR="00F37F0F" w14:paraId="21C47063" w14:textId="77777777" w:rsidTr="000766DF">
        <w:trPr>
          <w:gridAfter w:val="1"/>
          <w:wAfter w:w="30" w:type="dxa"/>
          <w:trHeight w:hRule="exact" w:val="859"/>
        </w:trPr>
        <w:tc>
          <w:tcPr>
            <w:tcW w:w="8113" w:type="dxa"/>
            <w:gridSpan w:val="7"/>
            <w:tcBorders>
              <w:top w:val="nil"/>
              <w:left w:val="nil"/>
              <w:bottom w:val="single" w:sz="4" w:space="0" w:color="auto"/>
              <w:right w:val="nil"/>
            </w:tcBorders>
            <w:tcMar>
              <w:top w:w="14" w:type="dxa"/>
              <w:left w:w="43" w:type="dxa"/>
              <w:bottom w:w="14" w:type="dxa"/>
              <w:right w:w="43" w:type="dxa"/>
            </w:tcMar>
            <w:vAlign w:val="center"/>
          </w:tcPr>
          <w:p w14:paraId="3666D349" w14:textId="77777777" w:rsidR="00F37F0F" w:rsidRDefault="00F37F0F" w:rsidP="000766DF">
            <w:pPr>
              <w:pStyle w:val="Header"/>
              <w:spacing w:before="40" w:after="40"/>
              <w:rPr>
                <w:rFonts w:cs="Arial"/>
                <w:vertAlign w:val="superscript"/>
              </w:rPr>
            </w:pPr>
            <w:r>
              <w:rPr>
                <w:rFonts w:cs="Arial"/>
                <w:b/>
              </w:rPr>
              <w:lastRenderedPageBreak/>
              <w:t>Table 2: Safety Climate factors and % responses to items</w:t>
            </w:r>
          </w:p>
        </w:tc>
      </w:tr>
      <w:tr w:rsidR="00F37F0F" w14:paraId="5C22EC6A" w14:textId="77777777" w:rsidTr="000766DF">
        <w:trPr>
          <w:gridAfter w:val="1"/>
          <w:wAfter w:w="30" w:type="dxa"/>
          <w:trHeight w:hRule="exact" w:val="1451"/>
        </w:trPr>
        <w:tc>
          <w:tcPr>
            <w:tcW w:w="4150" w:type="dxa"/>
            <w:tcBorders>
              <w:top w:val="single" w:sz="4" w:space="0" w:color="auto"/>
              <w:bottom w:val="single" w:sz="4" w:space="0" w:color="999999"/>
              <w:right w:val="single" w:sz="4" w:space="0" w:color="000000"/>
            </w:tcBorders>
            <w:tcMar>
              <w:top w:w="14" w:type="dxa"/>
              <w:left w:w="43" w:type="dxa"/>
              <w:bottom w:w="14" w:type="dxa"/>
              <w:right w:w="43" w:type="dxa"/>
            </w:tcMar>
            <w:vAlign w:val="center"/>
          </w:tcPr>
          <w:p w14:paraId="081849C7" w14:textId="77777777" w:rsidR="00F37F0F" w:rsidRDefault="00F37F0F" w:rsidP="000766DF">
            <w:pPr>
              <w:rPr>
                <w:rFonts w:cs="Arial"/>
                <w:b/>
                <w:sz w:val="20"/>
                <w:lang w:val="en-US"/>
              </w:rPr>
            </w:pPr>
            <w:r>
              <w:rPr>
                <w:rFonts w:cs="Arial"/>
                <w:b/>
                <w:sz w:val="20"/>
                <w:lang w:val="en-US"/>
              </w:rPr>
              <w:t xml:space="preserve">Safety Climate factor 1: </w:t>
            </w:r>
            <w:r>
              <w:rPr>
                <w:rFonts w:cs="Arial"/>
                <w:sz w:val="20"/>
                <w:lang w:val="en-US"/>
              </w:rPr>
              <w:t>Attitudes to safety within own team; capacity to learn from errors</w:t>
            </w:r>
          </w:p>
          <w:p w14:paraId="26D31988" w14:textId="77777777" w:rsidR="00F37F0F" w:rsidRDefault="00F37F0F" w:rsidP="000766DF">
            <w:pPr>
              <w:rPr>
                <w:rFonts w:cs="Arial"/>
                <w:sz w:val="20"/>
                <w:lang w:val="en-US"/>
              </w:rPr>
            </w:pPr>
            <w:r>
              <w:rPr>
                <w:rFonts w:cs="Arial"/>
                <w:sz w:val="20"/>
                <w:lang w:val="en-US"/>
              </w:rPr>
              <w:t xml:space="preserve">Cronbach’s </w:t>
            </w:r>
            <w:r>
              <w:rPr>
                <w:rFonts w:cs="Arial"/>
                <w:sz w:val="20"/>
                <w:lang w:val="en-US"/>
              </w:rPr>
              <w:sym w:font="Symbol" w:char="F061"/>
            </w:r>
            <w:r>
              <w:rPr>
                <w:rFonts w:cs="Arial"/>
                <w:sz w:val="20"/>
                <w:lang w:val="en-US"/>
              </w:rPr>
              <w:t xml:space="preserve"> = 0.73</w:t>
            </w:r>
          </w:p>
        </w:tc>
        <w:tc>
          <w:tcPr>
            <w:tcW w:w="850" w:type="dxa"/>
            <w:tcBorders>
              <w:top w:val="single" w:sz="4" w:space="0" w:color="auto"/>
              <w:left w:val="single" w:sz="4" w:space="0" w:color="000000"/>
              <w:bottom w:val="single" w:sz="4" w:space="0" w:color="999999"/>
            </w:tcBorders>
          </w:tcPr>
          <w:p w14:paraId="0B873FC4" w14:textId="77777777" w:rsidR="00F37F0F" w:rsidRDefault="00F37F0F" w:rsidP="000766DF">
            <w:pPr>
              <w:pStyle w:val="Header"/>
              <w:spacing w:before="40" w:after="40"/>
              <w:jc w:val="center"/>
              <w:rPr>
                <w:rFonts w:cs="Arial"/>
                <w:sz w:val="14"/>
              </w:rPr>
            </w:pPr>
            <w:r>
              <w:rPr>
                <w:rFonts w:cs="Arial"/>
                <w:sz w:val="14"/>
                <w:szCs w:val="14"/>
                <w:vertAlign w:val="superscript"/>
              </w:rPr>
              <w:t>†</w:t>
            </w:r>
            <w:r>
              <w:rPr>
                <w:rFonts w:cs="Arial"/>
                <w:sz w:val="14"/>
              </w:rPr>
              <w:t>Disagree strongly</w:t>
            </w:r>
          </w:p>
        </w:tc>
        <w:tc>
          <w:tcPr>
            <w:tcW w:w="707" w:type="dxa"/>
            <w:tcBorders>
              <w:top w:val="single" w:sz="4" w:space="0" w:color="auto"/>
              <w:bottom w:val="single" w:sz="4" w:space="0" w:color="999999"/>
            </w:tcBorders>
          </w:tcPr>
          <w:p w14:paraId="5EA5EF02" w14:textId="77777777" w:rsidR="00F37F0F" w:rsidRDefault="00F37F0F" w:rsidP="000766DF">
            <w:pPr>
              <w:pStyle w:val="Header"/>
              <w:spacing w:before="40" w:after="40"/>
              <w:jc w:val="center"/>
              <w:rPr>
                <w:rFonts w:cs="Arial"/>
                <w:sz w:val="14"/>
              </w:rPr>
            </w:pPr>
            <w:r>
              <w:rPr>
                <w:rFonts w:cs="Arial"/>
                <w:sz w:val="14"/>
                <w:szCs w:val="14"/>
                <w:vertAlign w:val="superscript"/>
              </w:rPr>
              <w:t>†</w:t>
            </w:r>
            <w:r>
              <w:rPr>
                <w:rFonts w:cs="Arial"/>
                <w:sz w:val="14"/>
              </w:rPr>
              <w:t>Disagree slightly</w:t>
            </w:r>
          </w:p>
        </w:tc>
        <w:tc>
          <w:tcPr>
            <w:tcW w:w="566" w:type="dxa"/>
            <w:tcBorders>
              <w:top w:val="single" w:sz="4" w:space="0" w:color="auto"/>
              <w:bottom w:val="single" w:sz="4" w:space="0" w:color="999999"/>
            </w:tcBorders>
          </w:tcPr>
          <w:p w14:paraId="1ECF1165" w14:textId="77777777" w:rsidR="00F37F0F" w:rsidRDefault="00F37F0F" w:rsidP="000766DF">
            <w:pPr>
              <w:pStyle w:val="Header"/>
              <w:spacing w:before="40" w:after="40"/>
              <w:jc w:val="center"/>
              <w:rPr>
                <w:rFonts w:cs="Arial"/>
                <w:sz w:val="14"/>
              </w:rPr>
            </w:pPr>
            <w:r>
              <w:rPr>
                <w:rFonts w:cs="Arial"/>
                <w:sz w:val="14"/>
                <w:szCs w:val="14"/>
                <w:vertAlign w:val="superscript"/>
              </w:rPr>
              <w:t>†</w:t>
            </w:r>
            <w:r>
              <w:rPr>
                <w:rFonts w:cs="Arial"/>
                <w:sz w:val="14"/>
              </w:rPr>
              <w:t>Neutral</w:t>
            </w:r>
          </w:p>
        </w:tc>
        <w:tc>
          <w:tcPr>
            <w:tcW w:w="566" w:type="dxa"/>
            <w:tcBorders>
              <w:top w:val="single" w:sz="4" w:space="0" w:color="auto"/>
              <w:bottom w:val="single" w:sz="4" w:space="0" w:color="999999"/>
            </w:tcBorders>
          </w:tcPr>
          <w:p w14:paraId="08DB183A" w14:textId="77777777" w:rsidR="00F37F0F" w:rsidRDefault="00F37F0F" w:rsidP="000766DF">
            <w:pPr>
              <w:pStyle w:val="Header"/>
              <w:spacing w:before="40" w:after="40"/>
              <w:jc w:val="center"/>
              <w:rPr>
                <w:rFonts w:cs="Arial"/>
                <w:sz w:val="14"/>
              </w:rPr>
            </w:pPr>
            <w:r>
              <w:rPr>
                <w:rFonts w:cs="Arial"/>
                <w:sz w:val="14"/>
                <w:szCs w:val="14"/>
                <w:vertAlign w:val="superscript"/>
              </w:rPr>
              <w:t>†</w:t>
            </w:r>
            <w:r>
              <w:rPr>
                <w:rFonts w:cs="Arial"/>
                <w:sz w:val="14"/>
              </w:rPr>
              <w:t>Agree slightly</w:t>
            </w:r>
          </w:p>
        </w:tc>
        <w:tc>
          <w:tcPr>
            <w:tcW w:w="566" w:type="dxa"/>
            <w:tcBorders>
              <w:top w:val="single" w:sz="4" w:space="0" w:color="auto"/>
              <w:bottom w:val="single" w:sz="4" w:space="0" w:color="999999"/>
              <w:right w:val="single" w:sz="4" w:space="0" w:color="000000"/>
            </w:tcBorders>
          </w:tcPr>
          <w:p w14:paraId="583D15F4" w14:textId="77777777" w:rsidR="00F37F0F" w:rsidRDefault="00F37F0F" w:rsidP="000766DF">
            <w:pPr>
              <w:pStyle w:val="Header"/>
              <w:spacing w:before="40" w:after="40"/>
              <w:jc w:val="center"/>
              <w:rPr>
                <w:rFonts w:cs="Arial"/>
                <w:sz w:val="14"/>
              </w:rPr>
            </w:pPr>
            <w:r>
              <w:rPr>
                <w:rFonts w:cs="Arial"/>
                <w:sz w:val="14"/>
                <w:szCs w:val="14"/>
                <w:vertAlign w:val="superscript"/>
              </w:rPr>
              <w:t>†</w:t>
            </w:r>
            <w:r>
              <w:rPr>
                <w:rFonts w:cs="Arial"/>
                <w:sz w:val="14"/>
              </w:rPr>
              <w:t>Agree strongly</w:t>
            </w:r>
          </w:p>
        </w:tc>
        <w:tc>
          <w:tcPr>
            <w:tcW w:w="708" w:type="dxa"/>
            <w:tcBorders>
              <w:top w:val="single" w:sz="4" w:space="0" w:color="auto"/>
              <w:left w:val="single" w:sz="4" w:space="0" w:color="000000"/>
              <w:bottom w:val="single" w:sz="4" w:space="0" w:color="999999"/>
            </w:tcBorders>
          </w:tcPr>
          <w:p w14:paraId="3A8003EA" w14:textId="77777777" w:rsidR="00F37F0F" w:rsidRDefault="00F37F0F" w:rsidP="000766DF">
            <w:pPr>
              <w:pStyle w:val="Header"/>
              <w:spacing w:before="40" w:after="40"/>
              <w:jc w:val="center"/>
              <w:rPr>
                <w:rFonts w:cs="Arial"/>
                <w:sz w:val="14"/>
              </w:rPr>
            </w:pPr>
            <w:r>
              <w:rPr>
                <w:rFonts w:cs="Arial"/>
                <w:sz w:val="14"/>
                <w:szCs w:val="14"/>
                <w:vertAlign w:val="superscript"/>
              </w:rPr>
              <w:t>‡</w:t>
            </w:r>
            <w:r>
              <w:rPr>
                <w:rFonts w:cs="Arial"/>
                <w:sz w:val="14"/>
              </w:rPr>
              <w:t>Not applicable</w:t>
            </w:r>
          </w:p>
        </w:tc>
      </w:tr>
      <w:tr w:rsidR="00F37F0F" w14:paraId="2DD44AA9" w14:textId="77777777" w:rsidTr="000766DF">
        <w:trPr>
          <w:gridAfter w:val="1"/>
          <w:wAfter w:w="30" w:type="dxa"/>
          <w:trHeight w:hRule="exact" w:val="669"/>
        </w:trPr>
        <w:tc>
          <w:tcPr>
            <w:tcW w:w="4150" w:type="dxa"/>
            <w:tcBorders>
              <w:top w:val="single" w:sz="4" w:space="0" w:color="999999"/>
              <w:bottom w:val="single" w:sz="4" w:space="0" w:color="999999"/>
              <w:right w:val="single" w:sz="4" w:space="0" w:color="000000"/>
            </w:tcBorders>
            <w:tcMar>
              <w:top w:w="14" w:type="dxa"/>
              <w:left w:w="43" w:type="dxa"/>
              <w:bottom w:w="14" w:type="dxa"/>
              <w:right w:w="43" w:type="dxa"/>
            </w:tcMar>
            <w:vAlign w:val="center"/>
          </w:tcPr>
          <w:p w14:paraId="42D4987E" w14:textId="77777777" w:rsidR="00F37F0F" w:rsidRDefault="00F37F0F" w:rsidP="000766DF">
            <w:pPr>
              <w:pStyle w:val="Header"/>
              <w:rPr>
                <w:rFonts w:cs="Arial"/>
                <w:sz w:val="17"/>
                <w:szCs w:val="17"/>
              </w:rPr>
            </w:pPr>
            <w:r>
              <w:rPr>
                <w:rFonts w:cs="Arial"/>
                <w:sz w:val="17"/>
                <w:szCs w:val="17"/>
              </w:rPr>
              <w:t>I am encouraged by my colleagues to report any patient safety concerns I may have.</w:t>
            </w:r>
          </w:p>
        </w:tc>
        <w:tc>
          <w:tcPr>
            <w:tcW w:w="850" w:type="dxa"/>
            <w:tcBorders>
              <w:top w:val="single" w:sz="4" w:space="0" w:color="999999"/>
              <w:left w:val="single" w:sz="4" w:space="0" w:color="000000"/>
              <w:bottom w:val="single" w:sz="4" w:space="0" w:color="999999"/>
            </w:tcBorders>
            <w:tcMar>
              <w:top w:w="14" w:type="dxa"/>
              <w:left w:w="43" w:type="dxa"/>
              <w:bottom w:w="14" w:type="dxa"/>
              <w:right w:w="43" w:type="dxa"/>
            </w:tcMar>
            <w:vAlign w:val="center"/>
          </w:tcPr>
          <w:p w14:paraId="70EAE885" w14:textId="77777777" w:rsidR="00F37F0F" w:rsidRDefault="00F37F0F" w:rsidP="000766DF">
            <w:pPr>
              <w:jc w:val="center"/>
              <w:rPr>
                <w:rFonts w:cs="Arial"/>
                <w:sz w:val="20"/>
              </w:rPr>
            </w:pPr>
            <w:r>
              <w:rPr>
                <w:rFonts w:cs="Arial"/>
                <w:sz w:val="20"/>
              </w:rPr>
              <w:t>1</w:t>
            </w:r>
          </w:p>
        </w:tc>
        <w:tc>
          <w:tcPr>
            <w:tcW w:w="707" w:type="dxa"/>
            <w:tcBorders>
              <w:top w:val="single" w:sz="4" w:space="0" w:color="999999"/>
              <w:bottom w:val="single" w:sz="4" w:space="0" w:color="999999"/>
            </w:tcBorders>
            <w:tcMar>
              <w:top w:w="14" w:type="dxa"/>
              <w:left w:w="43" w:type="dxa"/>
              <w:bottom w:w="14" w:type="dxa"/>
              <w:right w:w="43" w:type="dxa"/>
            </w:tcMar>
            <w:vAlign w:val="center"/>
          </w:tcPr>
          <w:p w14:paraId="7EE732D8" w14:textId="77777777" w:rsidR="00F37F0F" w:rsidRDefault="00F37F0F" w:rsidP="000766DF">
            <w:pPr>
              <w:jc w:val="center"/>
              <w:rPr>
                <w:rFonts w:cs="Arial"/>
                <w:sz w:val="20"/>
              </w:rPr>
            </w:pPr>
            <w:r>
              <w:rPr>
                <w:rFonts w:cs="Arial"/>
                <w:sz w:val="20"/>
              </w:rPr>
              <w:t>4</w:t>
            </w:r>
          </w:p>
        </w:tc>
        <w:tc>
          <w:tcPr>
            <w:tcW w:w="566" w:type="dxa"/>
            <w:tcBorders>
              <w:top w:val="single" w:sz="4" w:space="0" w:color="999999"/>
              <w:bottom w:val="single" w:sz="4" w:space="0" w:color="999999"/>
            </w:tcBorders>
            <w:tcMar>
              <w:top w:w="14" w:type="dxa"/>
              <w:left w:w="43" w:type="dxa"/>
              <w:bottom w:w="14" w:type="dxa"/>
              <w:right w:w="43" w:type="dxa"/>
            </w:tcMar>
            <w:vAlign w:val="center"/>
          </w:tcPr>
          <w:p w14:paraId="0696847B" w14:textId="77777777" w:rsidR="00F37F0F" w:rsidRDefault="00F37F0F" w:rsidP="000766DF">
            <w:pPr>
              <w:jc w:val="center"/>
              <w:rPr>
                <w:rFonts w:cs="Arial"/>
                <w:sz w:val="20"/>
              </w:rPr>
            </w:pPr>
            <w:r>
              <w:rPr>
                <w:rFonts w:cs="Arial"/>
                <w:sz w:val="20"/>
              </w:rPr>
              <w:t>7</w:t>
            </w:r>
          </w:p>
        </w:tc>
        <w:tc>
          <w:tcPr>
            <w:tcW w:w="566" w:type="dxa"/>
            <w:tcBorders>
              <w:top w:val="single" w:sz="4" w:space="0" w:color="999999"/>
              <w:bottom w:val="single" w:sz="4" w:space="0" w:color="999999"/>
            </w:tcBorders>
            <w:tcMar>
              <w:top w:w="14" w:type="dxa"/>
              <w:left w:w="43" w:type="dxa"/>
              <w:bottom w:w="14" w:type="dxa"/>
              <w:right w:w="43" w:type="dxa"/>
            </w:tcMar>
            <w:vAlign w:val="center"/>
          </w:tcPr>
          <w:p w14:paraId="57650779" w14:textId="77777777" w:rsidR="00F37F0F" w:rsidRDefault="00F37F0F" w:rsidP="000766DF">
            <w:pPr>
              <w:jc w:val="center"/>
              <w:rPr>
                <w:rFonts w:cs="Arial"/>
                <w:sz w:val="20"/>
              </w:rPr>
            </w:pPr>
            <w:r>
              <w:rPr>
                <w:rFonts w:cs="Arial"/>
                <w:sz w:val="20"/>
              </w:rPr>
              <w:t>28</w:t>
            </w:r>
          </w:p>
        </w:tc>
        <w:tc>
          <w:tcPr>
            <w:tcW w:w="566" w:type="dxa"/>
            <w:tcBorders>
              <w:top w:val="single" w:sz="4" w:space="0" w:color="999999"/>
              <w:bottom w:val="single" w:sz="4" w:space="0" w:color="999999"/>
              <w:right w:val="single" w:sz="4" w:space="0" w:color="000000"/>
            </w:tcBorders>
            <w:tcMar>
              <w:top w:w="14" w:type="dxa"/>
              <w:left w:w="43" w:type="dxa"/>
              <w:bottom w:w="14" w:type="dxa"/>
              <w:right w:w="43" w:type="dxa"/>
            </w:tcMar>
            <w:vAlign w:val="center"/>
          </w:tcPr>
          <w:p w14:paraId="59DC8DEA" w14:textId="77777777" w:rsidR="00F37F0F" w:rsidRDefault="00F37F0F" w:rsidP="000766DF">
            <w:pPr>
              <w:jc w:val="center"/>
              <w:rPr>
                <w:rFonts w:cs="Arial"/>
                <w:sz w:val="20"/>
              </w:rPr>
            </w:pPr>
            <w:r>
              <w:rPr>
                <w:rFonts w:cs="Arial"/>
                <w:sz w:val="20"/>
              </w:rPr>
              <w:t>60</w:t>
            </w:r>
          </w:p>
        </w:tc>
        <w:tc>
          <w:tcPr>
            <w:tcW w:w="708" w:type="dxa"/>
            <w:tcBorders>
              <w:top w:val="single" w:sz="4" w:space="0" w:color="999999"/>
              <w:left w:val="single" w:sz="4" w:space="0" w:color="000000"/>
              <w:bottom w:val="single" w:sz="4" w:space="0" w:color="999999"/>
            </w:tcBorders>
            <w:tcMar>
              <w:top w:w="14" w:type="dxa"/>
              <w:left w:w="43" w:type="dxa"/>
              <w:bottom w:w="14" w:type="dxa"/>
              <w:right w:w="43" w:type="dxa"/>
            </w:tcMar>
            <w:vAlign w:val="center"/>
          </w:tcPr>
          <w:p w14:paraId="7D3D257E" w14:textId="77777777" w:rsidR="00F37F0F" w:rsidRDefault="00F37F0F" w:rsidP="000766DF">
            <w:pPr>
              <w:jc w:val="center"/>
              <w:rPr>
                <w:rFonts w:cs="Arial"/>
                <w:sz w:val="20"/>
              </w:rPr>
            </w:pPr>
            <w:r>
              <w:rPr>
                <w:rFonts w:cs="Arial"/>
                <w:sz w:val="20"/>
              </w:rPr>
              <w:t>1</w:t>
            </w:r>
          </w:p>
        </w:tc>
      </w:tr>
      <w:tr w:rsidR="00F37F0F" w14:paraId="75384017" w14:textId="77777777" w:rsidTr="000766DF">
        <w:trPr>
          <w:gridAfter w:val="1"/>
          <w:wAfter w:w="30" w:type="dxa"/>
          <w:trHeight w:hRule="exact" w:val="669"/>
        </w:trPr>
        <w:tc>
          <w:tcPr>
            <w:tcW w:w="4150" w:type="dxa"/>
            <w:tcBorders>
              <w:top w:val="single" w:sz="4" w:space="0" w:color="999999"/>
              <w:bottom w:val="single" w:sz="4" w:space="0" w:color="999999"/>
              <w:right w:val="single" w:sz="4" w:space="0" w:color="000000"/>
            </w:tcBorders>
            <w:tcMar>
              <w:top w:w="14" w:type="dxa"/>
              <w:left w:w="43" w:type="dxa"/>
              <w:bottom w:w="14" w:type="dxa"/>
              <w:right w:w="43" w:type="dxa"/>
            </w:tcMar>
            <w:vAlign w:val="center"/>
          </w:tcPr>
          <w:p w14:paraId="444100D9" w14:textId="77777777" w:rsidR="00F37F0F" w:rsidRDefault="00F37F0F" w:rsidP="000766DF">
            <w:pPr>
              <w:pStyle w:val="Header"/>
              <w:rPr>
                <w:rFonts w:cs="Arial"/>
                <w:sz w:val="17"/>
                <w:szCs w:val="17"/>
              </w:rPr>
            </w:pPr>
            <w:r>
              <w:rPr>
                <w:rFonts w:cs="Arial"/>
                <w:sz w:val="17"/>
                <w:szCs w:val="17"/>
              </w:rPr>
              <w:t>The culture where I work makes it easy to learn from the errors of others.</w:t>
            </w:r>
          </w:p>
        </w:tc>
        <w:tc>
          <w:tcPr>
            <w:tcW w:w="850" w:type="dxa"/>
            <w:tcBorders>
              <w:top w:val="single" w:sz="4" w:space="0" w:color="999999"/>
              <w:left w:val="single" w:sz="4" w:space="0" w:color="000000"/>
              <w:bottom w:val="single" w:sz="4" w:space="0" w:color="999999"/>
            </w:tcBorders>
            <w:tcMar>
              <w:top w:w="14" w:type="dxa"/>
              <w:left w:w="43" w:type="dxa"/>
              <w:bottom w:w="14" w:type="dxa"/>
              <w:right w:w="43" w:type="dxa"/>
            </w:tcMar>
            <w:vAlign w:val="center"/>
          </w:tcPr>
          <w:p w14:paraId="0CCA5B4D" w14:textId="77777777" w:rsidR="00F37F0F" w:rsidRDefault="00F37F0F" w:rsidP="000766DF">
            <w:pPr>
              <w:jc w:val="center"/>
              <w:rPr>
                <w:rFonts w:cs="Arial"/>
                <w:sz w:val="20"/>
              </w:rPr>
            </w:pPr>
            <w:r>
              <w:rPr>
                <w:rFonts w:cs="Arial"/>
                <w:sz w:val="20"/>
              </w:rPr>
              <w:t>4</w:t>
            </w:r>
          </w:p>
        </w:tc>
        <w:tc>
          <w:tcPr>
            <w:tcW w:w="707" w:type="dxa"/>
            <w:tcBorders>
              <w:top w:val="single" w:sz="4" w:space="0" w:color="999999"/>
              <w:bottom w:val="single" w:sz="4" w:space="0" w:color="999999"/>
            </w:tcBorders>
            <w:tcMar>
              <w:top w:w="14" w:type="dxa"/>
              <w:left w:w="43" w:type="dxa"/>
              <w:bottom w:w="14" w:type="dxa"/>
              <w:right w:w="43" w:type="dxa"/>
            </w:tcMar>
            <w:vAlign w:val="center"/>
          </w:tcPr>
          <w:p w14:paraId="4A1D63FA" w14:textId="77777777" w:rsidR="00F37F0F" w:rsidRDefault="00F37F0F" w:rsidP="000766DF">
            <w:pPr>
              <w:jc w:val="center"/>
              <w:rPr>
                <w:rFonts w:cs="Arial"/>
                <w:sz w:val="20"/>
              </w:rPr>
            </w:pPr>
            <w:r>
              <w:rPr>
                <w:rFonts w:cs="Arial"/>
                <w:sz w:val="20"/>
              </w:rPr>
              <w:t>7</w:t>
            </w:r>
          </w:p>
        </w:tc>
        <w:tc>
          <w:tcPr>
            <w:tcW w:w="566" w:type="dxa"/>
            <w:tcBorders>
              <w:top w:val="single" w:sz="4" w:space="0" w:color="999999"/>
              <w:bottom w:val="single" w:sz="4" w:space="0" w:color="999999"/>
            </w:tcBorders>
            <w:tcMar>
              <w:top w:w="14" w:type="dxa"/>
              <w:left w:w="43" w:type="dxa"/>
              <w:bottom w:w="14" w:type="dxa"/>
              <w:right w:w="43" w:type="dxa"/>
            </w:tcMar>
            <w:vAlign w:val="center"/>
          </w:tcPr>
          <w:p w14:paraId="649140D7" w14:textId="77777777" w:rsidR="00F37F0F" w:rsidRDefault="00F37F0F" w:rsidP="000766DF">
            <w:pPr>
              <w:jc w:val="center"/>
              <w:rPr>
                <w:rFonts w:cs="Arial"/>
                <w:sz w:val="20"/>
              </w:rPr>
            </w:pPr>
            <w:r>
              <w:rPr>
                <w:rFonts w:cs="Arial"/>
                <w:sz w:val="20"/>
              </w:rPr>
              <w:t>21</w:t>
            </w:r>
          </w:p>
        </w:tc>
        <w:tc>
          <w:tcPr>
            <w:tcW w:w="566" w:type="dxa"/>
            <w:tcBorders>
              <w:top w:val="single" w:sz="4" w:space="0" w:color="999999"/>
              <w:bottom w:val="single" w:sz="4" w:space="0" w:color="999999"/>
            </w:tcBorders>
            <w:tcMar>
              <w:top w:w="14" w:type="dxa"/>
              <w:left w:w="43" w:type="dxa"/>
              <w:bottom w:w="14" w:type="dxa"/>
              <w:right w:w="43" w:type="dxa"/>
            </w:tcMar>
            <w:vAlign w:val="center"/>
          </w:tcPr>
          <w:p w14:paraId="33715BD6" w14:textId="77777777" w:rsidR="00F37F0F" w:rsidRDefault="00F37F0F" w:rsidP="000766DF">
            <w:pPr>
              <w:jc w:val="center"/>
              <w:rPr>
                <w:rFonts w:cs="Arial"/>
                <w:sz w:val="20"/>
              </w:rPr>
            </w:pPr>
            <w:r>
              <w:rPr>
                <w:rFonts w:cs="Arial"/>
                <w:sz w:val="20"/>
              </w:rPr>
              <w:t>35</w:t>
            </w:r>
          </w:p>
        </w:tc>
        <w:tc>
          <w:tcPr>
            <w:tcW w:w="566" w:type="dxa"/>
            <w:tcBorders>
              <w:top w:val="single" w:sz="4" w:space="0" w:color="999999"/>
              <w:bottom w:val="single" w:sz="4" w:space="0" w:color="999999"/>
              <w:right w:val="single" w:sz="4" w:space="0" w:color="000000"/>
            </w:tcBorders>
            <w:tcMar>
              <w:top w:w="14" w:type="dxa"/>
              <w:left w:w="43" w:type="dxa"/>
              <w:bottom w:w="14" w:type="dxa"/>
              <w:right w:w="43" w:type="dxa"/>
            </w:tcMar>
            <w:vAlign w:val="center"/>
          </w:tcPr>
          <w:p w14:paraId="1EDCF184" w14:textId="77777777" w:rsidR="00F37F0F" w:rsidRDefault="00F37F0F" w:rsidP="000766DF">
            <w:pPr>
              <w:jc w:val="center"/>
              <w:rPr>
                <w:rFonts w:cs="Arial"/>
                <w:sz w:val="20"/>
              </w:rPr>
            </w:pPr>
            <w:r>
              <w:rPr>
                <w:rFonts w:cs="Arial"/>
                <w:sz w:val="20"/>
              </w:rPr>
              <w:t>32</w:t>
            </w:r>
          </w:p>
        </w:tc>
        <w:tc>
          <w:tcPr>
            <w:tcW w:w="708" w:type="dxa"/>
            <w:tcBorders>
              <w:top w:val="single" w:sz="4" w:space="0" w:color="999999"/>
              <w:left w:val="single" w:sz="4" w:space="0" w:color="000000"/>
              <w:bottom w:val="single" w:sz="4" w:space="0" w:color="999999"/>
            </w:tcBorders>
            <w:tcMar>
              <w:top w:w="14" w:type="dxa"/>
              <w:left w:w="43" w:type="dxa"/>
              <w:bottom w:w="14" w:type="dxa"/>
              <w:right w:w="43" w:type="dxa"/>
            </w:tcMar>
            <w:vAlign w:val="center"/>
          </w:tcPr>
          <w:p w14:paraId="1D2A2774" w14:textId="77777777" w:rsidR="00F37F0F" w:rsidRDefault="00F37F0F" w:rsidP="000766DF">
            <w:pPr>
              <w:jc w:val="center"/>
              <w:rPr>
                <w:rFonts w:cs="Arial"/>
                <w:sz w:val="20"/>
              </w:rPr>
            </w:pPr>
            <w:r>
              <w:rPr>
                <w:rFonts w:cs="Arial"/>
                <w:sz w:val="20"/>
              </w:rPr>
              <w:t>3</w:t>
            </w:r>
          </w:p>
        </w:tc>
      </w:tr>
      <w:tr w:rsidR="00F37F0F" w14:paraId="06692F84" w14:textId="77777777" w:rsidTr="000766DF">
        <w:trPr>
          <w:gridAfter w:val="1"/>
          <w:wAfter w:w="30" w:type="dxa"/>
          <w:trHeight w:hRule="exact" w:val="669"/>
        </w:trPr>
        <w:tc>
          <w:tcPr>
            <w:tcW w:w="4150" w:type="dxa"/>
            <w:tcBorders>
              <w:top w:val="single" w:sz="4" w:space="0" w:color="999999"/>
              <w:bottom w:val="single" w:sz="4" w:space="0" w:color="999999"/>
              <w:right w:val="single" w:sz="4" w:space="0" w:color="000000"/>
            </w:tcBorders>
            <w:tcMar>
              <w:top w:w="14" w:type="dxa"/>
              <w:left w:w="43" w:type="dxa"/>
              <w:bottom w:w="14" w:type="dxa"/>
              <w:right w:w="43" w:type="dxa"/>
            </w:tcMar>
            <w:vAlign w:val="center"/>
          </w:tcPr>
          <w:p w14:paraId="09FF9FFB" w14:textId="77777777" w:rsidR="00F37F0F" w:rsidRDefault="00F37F0F" w:rsidP="000766DF">
            <w:pPr>
              <w:pStyle w:val="Header"/>
              <w:rPr>
                <w:rFonts w:cs="Arial"/>
                <w:sz w:val="17"/>
                <w:szCs w:val="17"/>
              </w:rPr>
            </w:pPr>
            <w:r>
              <w:rPr>
                <w:rFonts w:cs="Arial"/>
                <w:sz w:val="17"/>
                <w:szCs w:val="17"/>
              </w:rPr>
              <w:t>I receive appropriate feedback about my performance.</w:t>
            </w:r>
          </w:p>
        </w:tc>
        <w:tc>
          <w:tcPr>
            <w:tcW w:w="850" w:type="dxa"/>
            <w:tcBorders>
              <w:top w:val="single" w:sz="4" w:space="0" w:color="999999"/>
              <w:left w:val="single" w:sz="4" w:space="0" w:color="000000"/>
              <w:bottom w:val="single" w:sz="4" w:space="0" w:color="999999"/>
            </w:tcBorders>
            <w:tcMar>
              <w:top w:w="14" w:type="dxa"/>
              <w:left w:w="43" w:type="dxa"/>
              <w:bottom w:w="14" w:type="dxa"/>
              <w:right w:w="43" w:type="dxa"/>
            </w:tcMar>
            <w:vAlign w:val="center"/>
          </w:tcPr>
          <w:p w14:paraId="2EA909C5" w14:textId="77777777" w:rsidR="00F37F0F" w:rsidRDefault="00F37F0F" w:rsidP="000766DF">
            <w:pPr>
              <w:jc w:val="center"/>
              <w:rPr>
                <w:rFonts w:cs="Arial"/>
                <w:sz w:val="20"/>
              </w:rPr>
            </w:pPr>
            <w:r>
              <w:rPr>
                <w:rFonts w:cs="Arial"/>
                <w:sz w:val="20"/>
              </w:rPr>
              <w:t>8</w:t>
            </w:r>
          </w:p>
        </w:tc>
        <w:tc>
          <w:tcPr>
            <w:tcW w:w="707" w:type="dxa"/>
            <w:tcBorders>
              <w:top w:val="single" w:sz="4" w:space="0" w:color="999999"/>
              <w:bottom w:val="single" w:sz="4" w:space="0" w:color="999999"/>
            </w:tcBorders>
            <w:tcMar>
              <w:top w:w="14" w:type="dxa"/>
              <w:left w:w="43" w:type="dxa"/>
              <w:bottom w:w="14" w:type="dxa"/>
              <w:right w:w="43" w:type="dxa"/>
            </w:tcMar>
            <w:vAlign w:val="center"/>
          </w:tcPr>
          <w:p w14:paraId="25E89D24" w14:textId="77777777" w:rsidR="00F37F0F" w:rsidRDefault="00F37F0F" w:rsidP="000766DF">
            <w:pPr>
              <w:jc w:val="center"/>
              <w:rPr>
                <w:rFonts w:cs="Arial"/>
                <w:sz w:val="20"/>
              </w:rPr>
            </w:pPr>
            <w:r>
              <w:rPr>
                <w:rFonts w:cs="Arial"/>
                <w:sz w:val="20"/>
              </w:rPr>
              <w:t>13</w:t>
            </w:r>
          </w:p>
        </w:tc>
        <w:tc>
          <w:tcPr>
            <w:tcW w:w="566" w:type="dxa"/>
            <w:tcBorders>
              <w:top w:val="single" w:sz="4" w:space="0" w:color="999999"/>
              <w:bottom w:val="single" w:sz="4" w:space="0" w:color="999999"/>
            </w:tcBorders>
            <w:tcMar>
              <w:top w:w="14" w:type="dxa"/>
              <w:left w:w="43" w:type="dxa"/>
              <w:bottom w:w="14" w:type="dxa"/>
              <w:right w:w="43" w:type="dxa"/>
            </w:tcMar>
            <w:vAlign w:val="center"/>
          </w:tcPr>
          <w:p w14:paraId="67E127FF" w14:textId="77777777" w:rsidR="00F37F0F" w:rsidRDefault="00F37F0F" w:rsidP="000766DF">
            <w:pPr>
              <w:jc w:val="center"/>
              <w:rPr>
                <w:rFonts w:cs="Arial"/>
                <w:sz w:val="20"/>
              </w:rPr>
            </w:pPr>
            <w:r>
              <w:rPr>
                <w:rFonts w:cs="Arial"/>
                <w:sz w:val="20"/>
              </w:rPr>
              <w:t>17</w:t>
            </w:r>
          </w:p>
        </w:tc>
        <w:tc>
          <w:tcPr>
            <w:tcW w:w="566" w:type="dxa"/>
            <w:tcBorders>
              <w:top w:val="single" w:sz="4" w:space="0" w:color="999999"/>
              <w:bottom w:val="single" w:sz="4" w:space="0" w:color="999999"/>
            </w:tcBorders>
            <w:tcMar>
              <w:top w:w="14" w:type="dxa"/>
              <w:left w:w="43" w:type="dxa"/>
              <w:bottom w:w="14" w:type="dxa"/>
              <w:right w:w="43" w:type="dxa"/>
            </w:tcMar>
            <w:vAlign w:val="center"/>
          </w:tcPr>
          <w:p w14:paraId="43C84B23" w14:textId="77777777" w:rsidR="00F37F0F" w:rsidRDefault="00F37F0F" w:rsidP="000766DF">
            <w:pPr>
              <w:jc w:val="center"/>
              <w:rPr>
                <w:rFonts w:cs="Arial"/>
                <w:sz w:val="20"/>
              </w:rPr>
            </w:pPr>
            <w:r>
              <w:rPr>
                <w:rFonts w:cs="Arial"/>
                <w:sz w:val="20"/>
              </w:rPr>
              <w:t>34</w:t>
            </w:r>
          </w:p>
        </w:tc>
        <w:tc>
          <w:tcPr>
            <w:tcW w:w="566" w:type="dxa"/>
            <w:tcBorders>
              <w:top w:val="single" w:sz="4" w:space="0" w:color="999999"/>
              <w:bottom w:val="single" w:sz="4" w:space="0" w:color="999999"/>
              <w:right w:val="single" w:sz="4" w:space="0" w:color="000000"/>
            </w:tcBorders>
            <w:tcMar>
              <w:top w:w="14" w:type="dxa"/>
              <w:left w:w="43" w:type="dxa"/>
              <w:bottom w:w="14" w:type="dxa"/>
              <w:right w:w="43" w:type="dxa"/>
            </w:tcMar>
            <w:vAlign w:val="center"/>
          </w:tcPr>
          <w:p w14:paraId="75F74DF6" w14:textId="77777777" w:rsidR="00F37F0F" w:rsidRDefault="00F37F0F" w:rsidP="000766DF">
            <w:pPr>
              <w:jc w:val="center"/>
              <w:rPr>
                <w:rFonts w:cs="Arial"/>
                <w:sz w:val="20"/>
              </w:rPr>
            </w:pPr>
            <w:r>
              <w:rPr>
                <w:rFonts w:cs="Arial"/>
                <w:sz w:val="20"/>
              </w:rPr>
              <w:t>28</w:t>
            </w:r>
          </w:p>
        </w:tc>
        <w:tc>
          <w:tcPr>
            <w:tcW w:w="708" w:type="dxa"/>
            <w:tcBorders>
              <w:top w:val="single" w:sz="4" w:space="0" w:color="999999"/>
              <w:left w:val="single" w:sz="4" w:space="0" w:color="000000"/>
              <w:bottom w:val="single" w:sz="4" w:space="0" w:color="999999"/>
            </w:tcBorders>
            <w:tcMar>
              <w:top w:w="14" w:type="dxa"/>
              <w:left w:w="43" w:type="dxa"/>
              <w:bottom w:w="14" w:type="dxa"/>
              <w:right w:w="43" w:type="dxa"/>
            </w:tcMar>
            <w:vAlign w:val="center"/>
          </w:tcPr>
          <w:p w14:paraId="2B76C4D0" w14:textId="77777777" w:rsidR="00F37F0F" w:rsidRDefault="00F37F0F" w:rsidP="000766DF">
            <w:pPr>
              <w:jc w:val="center"/>
              <w:rPr>
                <w:rFonts w:cs="Arial"/>
                <w:sz w:val="20"/>
              </w:rPr>
            </w:pPr>
            <w:r>
              <w:rPr>
                <w:rFonts w:cs="Arial"/>
                <w:sz w:val="20"/>
              </w:rPr>
              <w:t>1</w:t>
            </w:r>
          </w:p>
        </w:tc>
      </w:tr>
      <w:tr w:rsidR="00F37F0F" w14:paraId="1C8F48E4" w14:textId="77777777" w:rsidTr="000766DF">
        <w:trPr>
          <w:gridAfter w:val="1"/>
          <w:wAfter w:w="30" w:type="dxa"/>
          <w:trHeight w:hRule="exact" w:val="669"/>
        </w:trPr>
        <w:tc>
          <w:tcPr>
            <w:tcW w:w="4150" w:type="dxa"/>
            <w:tcBorders>
              <w:top w:val="single" w:sz="4" w:space="0" w:color="999999"/>
              <w:bottom w:val="single" w:sz="4" w:space="0" w:color="999999"/>
              <w:right w:val="single" w:sz="4" w:space="0" w:color="000000"/>
            </w:tcBorders>
            <w:tcMar>
              <w:top w:w="14" w:type="dxa"/>
              <w:left w:w="43" w:type="dxa"/>
              <w:bottom w:w="14" w:type="dxa"/>
              <w:right w:w="43" w:type="dxa"/>
            </w:tcMar>
            <w:vAlign w:val="center"/>
          </w:tcPr>
          <w:p w14:paraId="0C50872A" w14:textId="77777777" w:rsidR="00F37F0F" w:rsidRDefault="00F37F0F" w:rsidP="000766DF">
            <w:pPr>
              <w:pStyle w:val="Header"/>
              <w:rPr>
                <w:rFonts w:cs="Arial"/>
                <w:sz w:val="17"/>
                <w:szCs w:val="17"/>
              </w:rPr>
            </w:pPr>
            <w:r>
              <w:rPr>
                <w:rFonts w:cs="Arial"/>
                <w:sz w:val="17"/>
                <w:szCs w:val="17"/>
              </w:rPr>
              <w:t>Medical errors are handled appropriately here.</w:t>
            </w:r>
          </w:p>
        </w:tc>
        <w:tc>
          <w:tcPr>
            <w:tcW w:w="850" w:type="dxa"/>
            <w:tcBorders>
              <w:top w:val="single" w:sz="4" w:space="0" w:color="999999"/>
              <w:left w:val="single" w:sz="4" w:space="0" w:color="000000"/>
              <w:bottom w:val="single" w:sz="4" w:space="0" w:color="999999"/>
            </w:tcBorders>
            <w:tcMar>
              <w:top w:w="14" w:type="dxa"/>
              <w:left w:w="43" w:type="dxa"/>
              <w:bottom w:w="14" w:type="dxa"/>
              <w:right w:w="43" w:type="dxa"/>
            </w:tcMar>
            <w:vAlign w:val="center"/>
          </w:tcPr>
          <w:p w14:paraId="085E102E" w14:textId="77777777" w:rsidR="00F37F0F" w:rsidRDefault="00F37F0F" w:rsidP="000766DF">
            <w:pPr>
              <w:jc w:val="center"/>
              <w:rPr>
                <w:rFonts w:cs="Arial"/>
                <w:sz w:val="20"/>
              </w:rPr>
            </w:pPr>
            <w:r>
              <w:rPr>
                <w:rFonts w:cs="Arial"/>
                <w:sz w:val="20"/>
              </w:rPr>
              <w:t>1</w:t>
            </w:r>
          </w:p>
        </w:tc>
        <w:tc>
          <w:tcPr>
            <w:tcW w:w="707" w:type="dxa"/>
            <w:tcBorders>
              <w:top w:val="single" w:sz="4" w:space="0" w:color="999999"/>
              <w:bottom w:val="single" w:sz="4" w:space="0" w:color="999999"/>
            </w:tcBorders>
            <w:tcMar>
              <w:top w:w="14" w:type="dxa"/>
              <w:left w:w="43" w:type="dxa"/>
              <w:bottom w:w="14" w:type="dxa"/>
              <w:right w:w="43" w:type="dxa"/>
            </w:tcMar>
            <w:vAlign w:val="center"/>
          </w:tcPr>
          <w:p w14:paraId="1B9F77D9" w14:textId="77777777" w:rsidR="00F37F0F" w:rsidRDefault="00F37F0F" w:rsidP="000766DF">
            <w:pPr>
              <w:jc w:val="center"/>
              <w:rPr>
                <w:rFonts w:cs="Arial"/>
                <w:sz w:val="20"/>
              </w:rPr>
            </w:pPr>
            <w:r>
              <w:rPr>
                <w:rFonts w:cs="Arial"/>
                <w:sz w:val="20"/>
              </w:rPr>
              <w:t>4</w:t>
            </w:r>
          </w:p>
        </w:tc>
        <w:tc>
          <w:tcPr>
            <w:tcW w:w="566" w:type="dxa"/>
            <w:tcBorders>
              <w:top w:val="single" w:sz="4" w:space="0" w:color="999999"/>
              <w:bottom w:val="single" w:sz="4" w:space="0" w:color="999999"/>
            </w:tcBorders>
            <w:tcMar>
              <w:top w:w="14" w:type="dxa"/>
              <w:left w:w="43" w:type="dxa"/>
              <w:bottom w:w="14" w:type="dxa"/>
              <w:right w:w="43" w:type="dxa"/>
            </w:tcMar>
            <w:vAlign w:val="center"/>
          </w:tcPr>
          <w:p w14:paraId="4FC59014" w14:textId="77777777" w:rsidR="00F37F0F" w:rsidRDefault="00F37F0F" w:rsidP="000766DF">
            <w:pPr>
              <w:jc w:val="center"/>
              <w:rPr>
                <w:rFonts w:cs="Arial"/>
                <w:sz w:val="20"/>
              </w:rPr>
            </w:pPr>
            <w:r>
              <w:rPr>
                <w:rFonts w:cs="Arial"/>
                <w:sz w:val="20"/>
              </w:rPr>
              <w:t>18</w:t>
            </w:r>
          </w:p>
        </w:tc>
        <w:tc>
          <w:tcPr>
            <w:tcW w:w="566" w:type="dxa"/>
            <w:tcBorders>
              <w:top w:val="single" w:sz="4" w:space="0" w:color="999999"/>
              <w:bottom w:val="single" w:sz="4" w:space="0" w:color="999999"/>
            </w:tcBorders>
            <w:tcMar>
              <w:top w:w="14" w:type="dxa"/>
              <w:left w:w="43" w:type="dxa"/>
              <w:bottom w:w="14" w:type="dxa"/>
              <w:right w:w="43" w:type="dxa"/>
            </w:tcMar>
            <w:vAlign w:val="center"/>
          </w:tcPr>
          <w:p w14:paraId="69353DB5" w14:textId="77777777" w:rsidR="00F37F0F" w:rsidRDefault="00F37F0F" w:rsidP="000766DF">
            <w:pPr>
              <w:jc w:val="center"/>
              <w:rPr>
                <w:rFonts w:cs="Arial"/>
                <w:sz w:val="20"/>
              </w:rPr>
            </w:pPr>
            <w:r>
              <w:rPr>
                <w:rFonts w:cs="Arial"/>
                <w:sz w:val="20"/>
              </w:rPr>
              <w:t>27</w:t>
            </w:r>
          </w:p>
        </w:tc>
        <w:tc>
          <w:tcPr>
            <w:tcW w:w="566" w:type="dxa"/>
            <w:tcBorders>
              <w:top w:val="single" w:sz="4" w:space="0" w:color="999999"/>
              <w:bottom w:val="single" w:sz="4" w:space="0" w:color="999999"/>
              <w:right w:val="single" w:sz="4" w:space="0" w:color="000000"/>
            </w:tcBorders>
            <w:tcMar>
              <w:top w:w="14" w:type="dxa"/>
              <w:left w:w="43" w:type="dxa"/>
              <w:bottom w:w="14" w:type="dxa"/>
              <w:right w:w="43" w:type="dxa"/>
            </w:tcMar>
            <w:vAlign w:val="center"/>
          </w:tcPr>
          <w:p w14:paraId="3A8D3EEB" w14:textId="77777777" w:rsidR="00F37F0F" w:rsidRDefault="00F37F0F" w:rsidP="000766DF">
            <w:pPr>
              <w:jc w:val="center"/>
              <w:rPr>
                <w:rFonts w:cs="Arial"/>
                <w:sz w:val="20"/>
              </w:rPr>
            </w:pPr>
            <w:r>
              <w:rPr>
                <w:rFonts w:cs="Arial"/>
                <w:sz w:val="20"/>
              </w:rPr>
              <w:t>50</w:t>
            </w:r>
          </w:p>
        </w:tc>
        <w:tc>
          <w:tcPr>
            <w:tcW w:w="708" w:type="dxa"/>
            <w:tcBorders>
              <w:top w:val="single" w:sz="4" w:space="0" w:color="999999"/>
              <w:left w:val="single" w:sz="4" w:space="0" w:color="000000"/>
              <w:bottom w:val="single" w:sz="4" w:space="0" w:color="999999"/>
            </w:tcBorders>
            <w:tcMar>
              <w:top w:w="14" w:type="dxa"/>
              <w:left w:w="43" w:type="dxa"/>
              <w:bottom w:w="14" w:type="dxa"/>
              <w:right w:w="43" w:type="dxa"/>
            </w:tcMar>
            <w:vAlign w:val="center"/>
          </w:tcPr>
          <w:p w14:paraId="57B38201" w14:textId="77777777" w:rsidR="00F37F0F" w:rsidRDefault="00F37F0F" w:rsidP="000766DF">
            <w:pPr>
              <w:jc w:val="center"/>
              <w:rPr>
                <w:rFonts w:cs="Arial"/>
                <w:sz w:val="20"/>
              </w:rPr>
            </w:pPr>
            <w:r>
              <w:rPr>
                <w:rFonts w:cs="Arial"/>
                <w:sz w:val="20"/>
              </w:rPr>
              <w:t>5</w:t>
            </w:r>
          </w:p>
        </w:tc>
      </w:tr>
      <w:tr w:rsidR="00F37F0F" w14:paraId="6C6E2F80" w14:textId="77777777" w:rsidTr="000766DF">
        <w:trPr>
          <w:gridAfter w:val="1"/>
          <w:wAfter w:w="30" w:type="dxa"/>
          <w:trHeight w:hRule="exact" w:val="669"/>
        </w:trPr>
        <w:tc>
          <w:tcPr>
            <w:tcW w:w="4150" w:type="dxa"/>
            <w:tcBorders>
              <w:top w:val="single" w:sz="4" w:space="0" w:color="999999"/>
              <w:bottom w:val="single" w:sz="4" w:space="0" w:color="000000"/>
              <w:right w:val="single" w:sz="4" w:space="0" w:color="000000"/>
            </w:tcBorders>
            <w:tcMar>
              <w:top w:w="14" w:type="dxa"/>
              <w:left w:w="43" w:type="dxa"/>
              <w:bottom w:w="14" w:type="dxa"/>
              <w:right w:w="43" w:type="dxa"/>
            </w:tcMar>
            <w:vAlign w:val="center"/>
          </w:tcPr>
          <w:p w14:paraId="3FEC1537" w14:textId="77777777" w:rsidR="00F37F0F" w:rsidRDefault="00F37F0F" w:rsidP="000766DF">
            <w:pPr>
              <w:pStyle w:val="Header"/>
              <w:rPr>
                <w:rFonts w:cs="Arial"/>
                <w:sz w:val="17"/>
                <w:szCs w:val="17"/>
              </w:rPr>
            </w:pPr>
            <w:r>
              <w:rPr>
                <w:rFonts w:cs="Arial"/>
                <w:sz w:val="17"/>
                <w:szCs w:val="17"/>
              </w:rPr>
              <w:t>I know the proper channels to which I should direct questions regarding patient safety.</w:t>
            </w:r>
          </w:p>
        </w:tc>
        <w:tc>
          <w:tcPr>
            <w:tcW w:w="850" w:type="dxa"/>
            <w:tcBorders>
              <w:top w:val="single" w:sz="4" w:space="0" w:color="999999"/>
              <w:left w:val="single" w:sz="4" w:space="0" w:color="000000"/>
              <w:bottom w:val="single" w:sz="4" w:space="0" w:color="000000"/>
            </w:tcBorders>
            <w:tcMar>
              <w:top w:w="14" w:type="dxa"/>
              <w:left w:w="43" w:type="dxa"/>
              <w:bottom w:w="14" w:type="dxa"/>
              <w:right w:w="43" w:type="dxa"/>
            </w:tcMar>
            <w:vAlign w:val="center"/>
          </w:tcPr>
          <w:p w14:paraId="5EF6B645" w14:textId="77777777" w:rsidR="00F37F0F" w:rsidRDefault="00F37F0F" w:rsidP="000766DF">
            <w:pPr>
              <w:jc w:val="center"/>
              <w:rPr>
                <w:rFonts w:cs="Arial"/>
                <w:sz w:val="20"/>
              </w:rPr>
            </w:pPr>
            <w:r>
              <w:rPr>
                <w:rFonts w:cs="Arial"/>
                <w:sz w:val="20"/>
              </w:rPr>
              <w:t>1</w:t>
            </w:r>
          </w:p>
        </w:tc>
        <w:tc>
          <w:tcPr>
            <w:tcW w:w="707" w:type="dxa"/>
            <w:tcBorders>
              <w:top w:val="single" w:sz="4" w:space="0" w:color="999999"/>
              <w:bottom w:val="single" w:sz="4" w:space="0" w:color="000000"/>
            </w:tcBorders>
            <w:tcMar>
              <w:top w:w="14" w:type="dxa"/>
              <w:left w:w="43" w:type="dxa"/>
              <w:bottom w:w="14" w:type="dxa"/>
              <w:right w:w="43" w:type="dxa"/>
            </w:tcMar>
            <w:vAlign w:val="center"/>
          </w:tcPr>
          <w:p w14:paraId="39BB665C" w14:textId="77777777" w:rsidR="00F37F0F" w:rsidRDefault="00F37F0F" w:rsidP="000766DF">
            <w:pPr>
              <w:jc w:val="center"/>
              <w:rPr>
                <w:rFonts w:cs="Arial"/>
                <w:sz w:val="20"/>
              </w:rPr>
            </w:pPr>
            <w:r>
              <w:rPr>
                <w:rFonts w:cs="Arial"/>
                <w:sz w:val="20"/>
              </w:rPr>
              <w:t>4</w:t>
            </w:r>
          </w:p>
        </w:tc>
        <w:tc>
          <w:tcPr>
            <w:tcW w:w="566" w:type="dxa"/>
            <w:tcBorders>
              <w:top w:val="single" w:sz="4" w:space="0" w:color="999999"/>
              <w:bottom w:val="single" w:sz="4" w:space="0" w:color="000000"/>
            </w:tcBorders>
            <w:tcMar>
              <w:top w:w="14" w:type="dxa"/>
              <w:left w:w="43" w:type="dxa"/>
              <w:bottom w:w="14" w:type="dxa"/>
              <w:right w:w="43" w:type="dxa"/>
            </w:tcMar>
            <w:vAlign w:val="center"/>
          </w:tcPr>
          <w:p w14:paraId="6552A379" w14:textId="77777777" w:rsidR="00F37F0F" w:rsidRDefault="00F37F0F" w:rsidP="000766DF">
            <w:pPr>
              <w:jc w:val="center"/>
              <w:rPr>
                <w:rFonts w:cs="Arial"/>
                <w:sz w:val="20"/>
              </w:rPr>
            </w:pPr>
            <w:r>
              <w:rPr>
                <w:rFonts w:cs="Arial"/>
                <w:sz w:val="20"/>
              </w:rPr>
              <w:t>6</w:t>
            </w:r>
          </w:p>
        </w:tc>
        <w:tc>
          <w:tcPr>
            <w:tcW w:w="566" w:type="dxa"/>
            <w:tcBorders>
              <w:top w:val="single" w:sz="4" w:space="0" w:color="999999"/>
              <w:bottom w:val="single" w:sz="4" w:space="0" w:color="000000"/>
            </w:tcBorders>
            <w:tcMar>
              <w:top w:w="14" w:type="dxa"/>
              <w:left w:w="43" w:type="dxa"/>
              <w:bottom w:w="14" w:type="dxa"/>
              <w:right w:w="43" w:type="dxa"/>
            </w:tcMar>
            <w:vAlign w:val="center"/>
          </w:tcPr>
          <w:p w14:paraId="2E5640CF" w14:textId="77777777" w:rsidR="00F37F0F" w:rsidRDefault="00F37F0F" w:rsidP="000766DF">
            <w:pPr>
              <w:jc w:val="center"/>
              <w:rPr>
                <w:rFonts w:cs="Arial"/>
                <w:sz w:val="20"/>
              </w:rPr>
            </w:pPr>
            <w:r>
              <w:rPr>
                <w:rFonts w:cs="Arial"/>
                <w:sz w:val="20"/>
              </w:rPr>
              <w:t>30</w:t>
            </w:r>
          </w:p>
        </w:tc>
        <w:tc>
          <w:tcPr>
            <w:tcW w:w="566" w:type="dxa"/>
            <w:tcBorders>
              <w:top w:val="single" w:sz="4" w:space="0" w:color="999999"/>
              <w:bottom w:val="single" w:sz="4" w:space="0" w:color="000000"/>
              <w:right w:val="single" w:sz="4" w:space="0" w:color="000000"/>
            </w:tcBorders>
            <w:tcMar>
              <w:top w:w="14" w:type="dxa"/>
              <w:left w:w="43" w:type="dxa"/>
              <w:bottom w:w="14" w:type="dxa"/>
              <w:right w:w="43" w:type="dxa"/>
            </w:tcMar>
            <w:vAlign w:val="center"/>
          </w:tcPr>
          <w:p w14:paraId="3E011599" w14:textId="77777777" w:rsidR="00F37F0F" w:rsidRDefault="00F37F0F" w:rsidP="000766DF">
            <w:pPr>
              <w:jc w:val="center"/>
              <w:rPr>
                <w:rFonts w:cs="Arial"/>
                <w:sz w:val="20"/>
              </w:rPr>
            </w:pPr>
            <w:r>
              <w:rPr>
                <w:rFonts w:cs="Arial"/>
                <w:sz w:val="20"/>
              </w:rPr>
              <w:t>59</w:t>
            </w:r>
          </w:p>
        </w:tc>
        <w:tc>
          <w:tcPr>
            <w:tcW w:w="708" w:type="dxa"/>
            <w:tcBorders>
              <w:top w:val="single" w:sz="4" w:space="0" w:color="999999"/>
              <w:left w:val="single" w:sz="4" w:space="0" w:color="000000"/>
              <w:bottom w:val="single" w:sz="4" w:space="0" w:color="000000"/>
            </w:tcBorders>
            <w:tcMar>
              <w:top w:w="14" w:type="dxa"/>
              <w:left w:w="43" w:type="dxa"/>
              <w:bottom w:w="14" w:type="dxa"/>
              <w:right w:w="43" w:type="dxa"/>
            </w:tcMar>
            <w:vAlign w:val="center"/>
          </w:tcPr>
          <w:p w14:paraId="4AA66499" w14:textId="77777777" w:rsidR="00F37F0F" w:rsidRDefault="00F37F0F" w:rsidP="000766DF">
            <w:pPr>
              <w:jc w:val="center"/>
              <w:rPr>
                <w:rFonts w:cs="Arial"/>
                <w:sz w:val="20"/>
              </w:rPr>
            </w:pPr>
            <w:r>
              <w:rPr>
                <w:rFonts w:cs="Arial"/>
                <w:sz w:val="20"/>
              </w:rPr>
              <w:t>1</w:t>
            </w:r>
          </w:p>
        </w:tc>
      </w:tr>
      <w:tr w:rsidR="00F37F0F" w14:paraId="59508B6D" w14:textId="77777777" w:rsidTr="000766DF">
        <w:trPr>
          <w:gridAfter w:val="1"/>
          <w:wAfter w:w="30" w:type="dxa"/>
          <w:trHeight w:hRule="exact" w:val="1409"/>
        </w:trPr>
        <w:tc>
          <w:tcPr>
            <w:tcW w:w="4150" w:type="dxa"/>
            <w:tcBorders>
              <w:top w:val="single" w:sz="4" w:space="0" w:color="000000"/>
              <w:bottom w:val="single" w:sz="4" w:space="0" w:color="999999"/>
              <w:right w:val="single" w:sz="4" w:space="0" w:color="000000"/>
            </w:tcBorders>
            <w:tcMar>
              <w:top w:w="14" w:type="dxa"/>
              <w:left w:w="43" w:type="dxa"/>
              <w:bottom w:w="14" w:type="dxa"/>
              <w:right w:w="43" w:type="dxa"/>
            </w:tcMar>
            <w:vAlign w:val="center"/>
          </w:tcPr>
          <w:p w14:paraId="5A212D3F" w14:textId="77777777" w:rsidR="00F37F0F" w:rsidRDefault="00F37F0F" w:rsidP="000766DF">
            <w:pPr>
              <w:rPr>
                <w:rFonts w:cs="Arial"/>
                <w:b/>
                <w:sz w:val="20"/>
                <w:lang w:val="en-US"/>
              </w:rPr>
            </w:pPr>
            <w:r>
              <w:rPr>
                <w:rFonts w:cs="Arial"/>
                <w:b/>
                <w:sz w:val="20"/>
                <w:lang w:val="en-US"/>
              </w:rPr>
              <w:t xml:space="preserve">Safety Climate factor 2:  </w:t>
            </w:r>
            <w:r>
              <w:rPr>
                <w:rFonts w:cs="Arial"/>
                <w:sz w:val="20"/>
              </w:rPr>
              <w:t>Overall confidence in safety of organisation</w:t>
            </w:r>
          </w:p>
          <w:p w14:paraId="45D1AB85" w14:textId="77777777" w:rsidR="00F37F0F" w:rsidRDefault="00F37F0F" w:rsidP="000766DF">
            <w:pPr>
              <w:pStyle w:val="Header"/>
              <w:rPr>
                <w:rFonts w:cs="Arial"/>
                <w:sz w:val="17"/>
                <w:szCs w:val="17"/>
              </w:rPr>
            </w:pPr>
            <w:r>
              <w:rPr>
                <w:rFonts w:cs="Arial"/>
                <w:sz w:val="20"/>
                <w:lang w:val="en-US"/>
              </w:rPr>
              <w:t xml:space="preserve">Cronbach’s </w:t>
            </w:r>
            <w:r>
              <w:rPr>
                <w:rFonts w:cs="Arial"/>
                <w:sz w:val="20"/>
                <w:lang w:val="en-US"/>
              </w:rPr>
              <w:sym w:font="Symbol" w:char="F061"/>
            </w:r>
            <w:r>
              <w:rPr>
                <w:rFonts w:cs="Arial"/>
                <w:sz w:val="20"/>
                <w:lang w:val="en-US"/>
              </w:rPr>
              <w:t xml:space="preserve"> = 0.70</w:t>
            </w:r>
          </w:p>
        </w:tc>
        <w:tc>
          <w:tcPr>
            <w:tcW w:w="850" w:type="dxa"/>
            <w:tcBorders>
              <w:top w:val="single" w:sz="4" w:space="0" w:color="000000"/>
              <w:left w:val="single" w:sz="4" w:space="0" w:color="000000"/>
              <w:bottom w:val="single" w:sz="4" w:space="0" w:color="999999"/>
            </w:tcBorders>
            <w:tcMar>
              <w:top w:w="14" w:type="dxa"/>
              <w:left w:w="43" w:type="dxa"/>
              <w:bottom w:w="14" w:type="dxa"/>
              <w:right w:w="43" w:type="dxa"/>
            </w:tcMar>
            <w:vAlign w:val="center"/>
          </w:tcPr>
          <w:p w14:paraId="17ADDACC" w14:textId="77777777" w:rsidR="00F37F0F" w:rsidRDefault="00F37F0F" w:rsidP="000766DF">
            <w:pPr>
              <w:pStyle w:val="Header"/>
              <w:spacing w:before="40" w:after="40"/>
              <w:jc w:val="center"/>
              <w:rPr>
                <w:rFonts w:cs="Arial"/>
                <w:sz w:val="18"/>
              </w:rPr>
            </w:pPr>
          </w:p>
        </w:tc>
        <w:tc>
          <w:tcPr>
            <w:tcW w:w="707" w:type="dxa"/>
            <w:tcBorders>
              <w:top w:val="single" w:sz="4" w:space="0" w:color="000000"/>
              <w:bottom w:val="single" w:sz="4" w:space="0" w:color="999999"/>
            </w:tcBorders>
            <w:tcMar>
              <w:top w:w="14" w:type="dxa"/>
              <w:left w:w="43" w:type="dxa"/>
              <w:bottom w:w="14" w:type="dxa"/>
              <w:right w:w="43" w:type="dxa"/>
            </w:tcMar>
            <w:vAlign w:val="center"/>
          </w:tcPr>
          <w:p w14:paraId="03AF708C" w14:textId="77777777" w:rsidR="00F37F0F" w:rsidRDefault="00F37F0F" w:rsidP="000766DF">
            <w:pPr>
              <w:pStyle w:val="Header"/>
              <w:spacing w:before="40" w:after="40"/>
              <w:jc w:val="center"/>
              <w:rPr>
                <w:rFonts w:cs="Arial"/>
                <w:sz w:val="18"/>
              </w:rPr>
            </w:pPr>
          </w:p>
        </w:tc>
        <w:tc>
          <w:tcPr>
            <w:tcW w:w="566" w:type="dxa"/>
            <w:tcBorders>
              <w:top w:val="single" w:sz="4" w:space="0" w:color="000000"/>
              <w:bottom w:val="single" w:sz="4" w:space="0" w:color="999999"/>
            </w:tcBorders>
            <w:tcMar>
              <w:top w:w="14" w:type="dxa"/>
              <w:left w:w="43" w:type="dxa"/>
              <w:bottom w:w="14" w:type="dxa"/>
              <w:right w:w="43" w:type="dxa"/>
            </w:tcMar>
            <w:vAlign w:val="center"/>
          </w:tcPr>
          <w:p w14:paraId="7C7D5351" w14:textId="77777777" w:rsidR="00F37F0F" w:rsidRDefault="00F37F0F" w:rsidP="000766DF">
            <w:pPr>
              <w:pStyle w:val="Header"/>
              <w:spacing w:before="40" w:after="40"/>
              <w:jc w:val="center"/>
              <w:rPr>
                <w:rFonts w:cs="Arial"/>
                <w:sz w:val="18"/>
              </w:rPr>
            </w:pPr>
          </w:p>
        </w:tc>
        <w:tc>
          <w:tcPr>
            <w:tcW w:w="566" w:type="dxa"/>
            <w:tcBorders>
              <w:top w:val="single" w:sz="4" w:space="0" w:color="000000"/>
              <w:bottom w:val="single" w:sz="4" w:space="0" w:color="999999"/>
            </w:tcBorders>
            <w:tcMar>
              <w:top w:w="14" w:type="dxa"/>
              <w:left w:w="43" w:type="dxa"/>
              <w:bottom w:w="14" w:type="dxa"/>
              <w:right w:w="43" w:type="dxa"/>
            </w:tcMar>
            <w:vAlign w:val="center"/>
          </w:tcPr>
          <w:p w14:paraId="6EF24DEC" w14:textId="77777777" w:rsidR="00F37F0F" w:rsidRDefault="00F37F0F" w:rsidP="000766DF">
            <w:pPr>
              <w:pStyle w:val="Header"/>
              <w:spacing w:before="40" w:after="40"/>
              <w:jc w:val="center"/>
              <w:rPr>
                <w:rFonts w:cs="Arial"/>
                <w:sz w:val="18"/>
              </w:rPr>
            </w:pPr>
          </w:p>
        </w:tc>
        <w:tc>
          <w:tcPr>
            <w:tcW w:w="566" w:type="dxa"/>
            <w:tcBorders>
              <w:top w:val="single" w:sz="4" w:space="0" w:color="000000"/>
              <w:bottom w:val="single" w:sz="4" w:space="0" w:color="999999"/>
              <w:right w:val="single" w:sz="4" w:space="0" w:color="000000"/>
            </w:tcBorders>
            <w:tcMar>
              <w:top w:w="14" w:type="dxa"/>
              <w:left w:w="43" w:type="dxa"/>
              <w:bottom w:w="14" w:type="dxa"/>
              <w:right w:w="43" w:type="dxa"/>
            </w:tcMar>
            <w:vAlign w:val="center"/>
          </w:tcPr>
          <w:p w14:paraId="60A44E8B" w14:textId="77777777" w:rsidR="00F37F0F" w:rsidRDefault="00F37F0F" w:rsidP="000766DF">
            <w:pPr>
              <w:pStyle w:val="Header"/>
              <w:spacing w:before="40" w:after="40"/>
              <w:jc w:val="center"/>
              <w:rPr>
                <w:rFonts w:cs="Arial"/>
                <w:sz w:val="18"/>
              </w:rPr>
            </w:pPr>
          </w:p>
        </w:tc>
        <w:tc>
          <w:tcPr>
            <w:tcW w:w="708" w:type="dxa"/>
            <w:tcBorders>
              <w:top w:val="single" w:sz="4" w:space="0" w:color="000000"/>
              <w:left w:val="single" w:sz="4" w:space="0" w:color="000000"/>
              <w:bottom w:val="single" w:sz="4" w:space="0" w:color="999999"/>
            </w:tcBorders>
            <w:tcMar>
              <w:top w:w="14" w:type="dxa"/>
              <w:left w:w="43" w:type="dxa"/>
              <w:bottom w:w="14" w:type="dxa"/>
              <w:right w:w="43" w:type="dxa"/>
            </w:tcMar>
            <w:vAlign w:val="center"/>
          </w:tcPr>
          <w:p w14:paraId="1A66156C" w14:textId="77777777" w:rsidR="00F37F0F" w:rsidRDefault="00F37F0F" w:rsidP="000766DF">
            <w:pPr>
              <w:pStyle w:val="Header"/>
              <w:spacing w:before="40" w:after="40"/>
              <w:jc w:val="center"/>
              <w:rPr>
                <w:rFonts w:cs="Arial"/>
                <w:sz w:val="18"/>
              </w:rPr>
            </w:pPr>
          </w:p>
        </w:tc>
      </w:tr>
      <w:tr w:rsidR="00F37F0F" w14:paraId="1D57E558" w14:textId="77777777" w:rsidTr="000766DF">
        <w:trPr>
          <w:gridAfter w:val="1"/>
          <w:wAfter w:w="30" w:type="dxa"/>
          <w:trHeight w:hRule="exact" w:val="669"/>
        </w:trPr>
        <w:tc>
          <w:tcPr>
            <w:tcW w:w="4150" w:type="dxa"/>
            <w:tcBorders>
              <w:top w:val="single" w:sz="4" w:space="0" w:color="999999"/>
              <w:bottom w:val="single" w:sz="4" w:space="0" w:color="999999"/>
              <w:right w:val="single" w:sz="4" w:space="0" w:color="000000"/>
            </w:tcBorders>
            <w:tcMar>
              <w:top w:w="14" w:type="dxa"/>
              <w:left w:w="43" w:type="dxa"/>
              <w:bottom w:w="14" w:type="dxa"/>
              <w:right w:w="43" w:type="dxa"/>
            </w:tcMar>
            <w:vAlign w:val="center"/>
          </w:tcPr>
          <w:p w14:paraId="0201C179" w14:textId="77777777" w:rsidR="00F37F0F" w:rsidRDefault="00F37F0F" w:rsidP="000766DF">
            <w:pPr>
              <w:pStyle w:val="Header"/>
              <w:rPr>
                <w:rFonts w:cs="Arial"/>
                <w:sz w:val="17"/>
                <w:szCs w:val="17"/>
              </w:rPr>
            </w:pPr>
            <w:r>
              <w:rPr>
                <w:rFonts w:cs="Arial"/>
                <w:sz w:val="17"/>
                <w:szCs w:val="17"/>
              </w:rPr>
              <w:t>The levels of staffing where I work are sufficient to handle the number of patients.</w:t>
            </w:r>
          </w:p>
        </w:tc>
        <w:tc>
          <w:tcPr>
            <w:tcW w:w="850" w:type="dxa"/>
            <w:tcBorders>
              <w:top w:val="single" w:sz="4" w:space="0" w:color="999999"/>
              <w:left w:val="single" w:sz="4" w:space="0" w:color="000000"/>
              <w:bottom w:val="single" w:sz="4" w:space="0" w:color="999999"/>
            </w:tcBorders>
            <w:tcMar>
              <w:top w:w="14" w:type="dxa"/>
              <w:left w:w="43" w:type="dxa"/>
              <w:bottom w:w="14" w:type="dxa"/>
              <w:right w:w="43" w:type="dxa"/>
            </w:tcMar>
            <w:vAlign w:val="center"/>
          </w:tcPr>
          <w:p w14:paraId="1867EF83" w14:textId="77777777" w:rsidR="00F37F0F" w:rsidRDefault="00F37F0F" w:rsidP="000766DF">
            <w:pPr>
              <w:jc w:val="center"/>
              <w:rPr>
                <w:rFonts w:cs="Arial"/>
                <w:sz w:val="20"/>
              </w:rPr>
            </w:pPr>
            <w:r>
              <w:rPr>
                <w:rFonts w:cs="Arial"/>
                <w:sz w:val="20"/>
              </w:rPr>
              <w:t>22</w:t>
            </w:r>
          </w:p>
        </w:tc>
        <w:tc>
          <w:tcPr>
            <w:tcW w:w="707" w:type="dxa"/>
            <w:tcBorders>
              <w:top w:val="single" w:sz="4" w:space="0" w:color="999999"/>
              <w:bottom w:val="single" w:sz="4" w:space="0" w:color="999999"/>
            </w:tcBorders>
            <w:tcMar>
              <w:top w:w="14" w:type="dxa"/>
              <w:left w:w="43" w:type="dxa"/>
              <w:bottom w:w="14" w:type="dxa"/>
              <w:right w:w="43" w:type="dxa"/>
            </w:tcMar>
            <w:vAlign w:val="center"/>
          </w:tcPr>
          <w:p w14:paraId="665C430A" w14:textId="77777777" w:rsidR="00F37F0F" w:rsidRDefault="00F37F0F" w:rsidP="000766DF">
            <w:pPr>
              <w:jc w:val="center"/>
              <w:rPr>
                <w:rFonts w:cs="Arial"/>
                <w:sz w:val="20"/>
              </w:rPr>
            </w:pPr>
            <w:r>
              <w:rPr>
                <w:rFonts w:cs="Arial"/>
                <w:sz w:val="20"/>
              </w:rPr>
              <w:t>23</w:t>
            </w:r>
          </w:p>
        </w:tc>
        <w:tc>
          <w:tcPr>
            <w:tcW w:w="566" w:type="dxa"/>
            <w:tcBorders>
              <w:top w:val="single" w:sz="4" w:space="0" w:color="999999"/>
              <w:bottom w:val="single" w:sz="4" w:space="0" w:color="999999"/>
            </w:tcBorders>
            <w:tcMar>
              <w:top w:w="14" w:type="dxa"/>
              <w:left w:w="43" w:type="dxa"/>
              <w:bottom w:w="14" w:type="dxa"/>
              <w:right w:w="43" w:type="dxa"/>
            </w:tcMar>
            <w:vAlign w:val="center"/>
          </w:tcPr>
          <w:p w14:paraId="7C84CE4A" w14:textId="77777777" w:rsidR="00F37F0F" w:rsidRDefault="00F37F0F" w:rsidP="000766DF">
            <w:pPr>
              <w:jc w:val="center"/>
              <w:rPr>
                <w:rFonts w:cs="Arial"/>
                <w:sz w:val="20"/>
              </w:rPr>
            </w:pPr>
            <w:r>
              <w:rPr>
                <w:rFonts w:cs="Arial"/>
                <w:sz w:val="20"/>
              </w:rPr>
              <w:t>11</w:t>
            </w:r>
          </w:p>
        </w:tc>
        <w:tc>
          <w:tcPr>
            <w:tcW w:w="566" w:type="dxa"/>
            <w:tcBorders>
              <w:top w:val="single" w:sz="4" w:space="0" w:color="999999"/>
              <w:bottom w:val="single" w:sz="4" w:space="0" w:color="999999"/>
            </w:tcBorders>
            <w:tcMar>
              <w:top w:w="14" w:type="dxa"/>
              <w:left w:w="43" w:type="dxa"/>
              <w:bottom w:w="14" w:type="dxa"/>
              <w:right w:w="43" w:type="dxa"/>
            </w:tcMar>
            <w:vAlign w:val="center"/>
          </w:tcPr>
          <w:p w14:paraId="0DEAF029" w14:textId="77777777" w:rsidR="00F37F0F" w:rsidRDefault="00F37F0F" w:rsidP="000766DF">
            <w:pPr>
              <w:jc w:val="center"/>
              <w:rPr>
                <w:rFonts w:cs="Arial"/>
                <w:sz w:val="20"/>
              </w:rPr>
            </w:pPr>
            <w:r>
              <w:rPr>
                <w:rFonts w:cs="Arial"/>
                <w:sz w:val="20"/>
              </w:rPr>
              <w:t>25</w:t>
            </w:r>
          </w:p>
        </w:tc>
        <w:tc>
          <w:tcPr>
            <w:tcW w:w="566" w:type="dxa"/>
            <w:tcBorders>
              <w:top w:val="single" w:sz="4" w:space="0" w:color="999999"/>
              <w:bottom w:val="single" w:sz="4" w:space="0" w:color="999999"/>
              <w:right w:val="single" w:sz="4" w:space="0" w:color="000000"/>
            </w:tcBorders>
            <w:tcMar>
              <w:top w:w="14" w:type="dxa"/>
              <w:left w:w="43" w:type="dxa"/>
              <w:bottom w:w="14" w:type="dxa"/>
              <w:right w:w="43" w:type="dxa"/>
            </w:tcMar>
            <w:vAlign w:val="center"/>
          </w:tcPr>
          <w:p w14:paraId="090C115E" w14:textId="77777777" w:rsidR="00F37F0F" w:rsidRDefault="00F37F0F" w:rsidP="000766DF">
            <w:pPr>
              <w:jc w:val="center"/>
              <w:rPr>
                <w:rFonts w:cs="Arial"/>
                <w:sz w:val="20"/>
              </w:rPr>
            </w:pPr>
            <w:r>
              <w:rPr>
                <w:rFonts w:cs="Arial"/>
                <w:sz w:val="20"/>
              </w:rPr>
              <w:t>19</w:t>
            </w:r>
          </w:p>
        </w:tc>
        <w:tc>
          <w:tcPr>
            <w:tcW w:w="708" w:type="dxa"/>
            <w:tcBorders>
              <w:top w:val="single" w:sz="4" w:space="0" w:color="999999"/>
              <w:left w:val="single" w:sz="4" w:space="0" w:color="000000"/>
              <w:bottom w:val="single" w:sz="4" w:space="0" w:color="999999"/>
            </w:tcBorders>
            <w:tcMar>
              <w:top w:w="14" w:type="dxa"/>
              <w:left w:w="43" w:type="dxa"/>
              <w:bottom w:w="14" w:type="dxa"/>
              <w:right w:w="43" w:type="dxa"/>
            </w:tcMar>
            <w:vAlign w:val="center"/>
          </w:tcPr>
          <w:p w14:paraId="2F02E6AA" w14:textId="77777777" w:rsidR="00F37F0F" w:rsidRDefault="00F37F0F" w:rsidP="000766DF">
            <w:pPr>
              <w:jc w:val="center"/>
              <w:rPr>
                <w:rFonts w:cs="Arial"/>
                <w:sz w:val="20"/>
              </w:rPr>
            </w:pPr>
            <w:r>
              <w:rPr>
                <w:rFonts w:cs="Arial"/>
                <w:sz w:val="20"/>
              </w:rPr>
              <w:t>2</w:t>
            </w:r>
          </w:p>
        </w:tc>
      </w:tr>
      <w:tr w:rsidR="00F37F0F" w14:paraId="3FFE9F8A" w14:textId="77777777" w:rsidTr="000766DF">
        <w:trPr>
          <w:gridAfter w:val="1"/>
          <w:wAfter w:w="30" w:type="dxa"/>
          <w:trHeight w:hRule="exact" w:val="669"/>
        </w:trPr>
        <w:tc>
          <w:tcPr>
            <w:tcW w:w="4150" w:type="dxa"/>
            <w:tcBorders>
              <w:top w:val="single" w:sz="4" w:space="0" w:color="999999"/>
              <w:bottom w:val="single" w:sz="4" w:space="0" w:color="999999"/>
              <w:right w:val="single" w:sz="4" w:space="0" w:color="000000"/>
            </w:tcBorders>
            <w:tcMar>
              <w:top w:w="14" w:type="dxa"/>
              <w:left w:w="43" w:type="dxa"/>
              <w:bottom w:w="14" w:type="dxa"/>
              <w:right w:w="43" w:type="dxa"/>
            </w:tcMar>
            <w:vAlign w:val="center"/>
          </w:tcPr>
          <w:p w14:paraId="500635C9" w14:textId="77777777" w:rsidR="00F37F0F" w:rsidRDefault="00F37F0F" w:rsidP="000766DF">
            <w:pPr>
              <w:pStyle w:val="Header"/>
              <w:rPr>
                <w:rFonts w:cs="Arial"/>
                <w:sz w:val="17"/>
                <w:szCs w:val="17"/>
              </w:rPr>
            </w:pPr>
            <w:r>
              <w:rPr>
                <w:rFonts w:cs="Arial"/>
                <w:sz w:val="17"/>
                <w:szCs w:val="17"/>
              </w:rPr>
              <w:t>I would feel safe being treated as a patient in this service.</w:t>
            </w:r>
          </w:p>
        </w:tc>
        <w:tc>
          <w:tcPr>
            <w:tcW w:w="850" w:type="dxa"/>
            <w:tcBorders>
              <w:top w:val="single" w:sz="4" w:space="0" w:color="999999"/>
              <w:left w:val="single" w:sz="4" w:space="0" w:color="000000"/>
              <w:bottom w:val="single" w:sz="4" w:space="0" w:color="999999"/>
            </w:tcBorders>
            <w:tcMar>
              <w:top w:w="14" w:type="dxa"/>
              <w:left w:w="43" w:type="dxa"/>
              <w:bottom w:w="14" w:type="dxa"/>
              <w:right w:w="43" w:type="dxa"/>
            </w:tcMar>
            <w:vAlign w:val="center"/>
          </w:tcPr>
          <w:p w14:paraId="194A518A" w14:textId="77777777" w:rsidR="00F37F0F" w:rsidRDefault="00F37F0F" w:rsidP="000766DF">
            <w:pPr>
              <w:jc w:val="center"/>
              <w:rPr>
                <w:rFonts w:cs="Arial"/>
                <w:sz w:val="20"/>
              </w:rPr>
            </w:pPr>
            <w:r>
              <w:rPr>
                <w:rFonts w:cs="Arial"/>
                <w:sz w:val="20"/>
              </w:rPr>
              <w:t>5</w:t>
            </w:r>
          </w:p>
        </w:tc>
        <w:tc>
          <w:tcPr>
            <w:tcW w:w="707" w:type="dxa"/>
            <w:tcBorders>
              <w:top w:val="single" w:sz="4" w:space="0" w:color="999999"/>
              <w:bottom w:val="single" w:sz="4" w:space="0" w:color="999999"/>
            </w:tcBorders>
            <w:tcMar>
              <w:top w:w="14" w:type="dxa"/>
              <w:left w:w="43" w:type="dxa"/>
              <w:bottom w:w="14" w:type="dxa"/>
              <w:right w:w="43" w:type="dxa"/>
            </w:tcMar>
            <w:vAlign w:val="center"/>
          </w:tcPr>
          <w:p w14:paraId="5326D5BA" w14:textId="77777777" w:rsidR="00F37F0F" w:rsidRDefault="00F37F0F" w:rsidP="000766DF">
            <w:pPr>
              <w:jc w:val="center"/>
              <w:rPr>
                <w:rFonts w:cs="Arial"/>
                <w:sz w:val="20"/>
              </w:rPr>
            </w:pPr>
            <w:r>
              <w:rPr>
                <w:rFonts w:cs="Arial"/>
                <w:sz w:val="20"/>
              </w:rPr>
              <w:t>10</w:t>
            </w:r>
          </w:p>
        </w:tc>
        <w:tc>
          <w:tcPr>
            <w:tcW w:w="566" w:type="dxa"/>
            <w:tcBorders>
              <w:top w:val="single" w:sz="4" w:space="0" w:color="999999"/>
              <w:bottom w:val="single" w:sz="4" w:space="0" w:color="999999"/>
            </w:tcBorders>
            <w:tcMar>
              <w:top w:w="14" w:type="dxa"/>
              <w:left w:w="43" w:type="dxa"/>
              <w:bottom w:w="14" w:type="dxa"/>
              <w:right w:w="43" w:type="dxa"/>
            </w:tcMar>
            <w:vAlign w:val="center"/>
          </w:tcPr>
          <w:p w14:paraId="13E21C10" w14:textId="77777777" w:rsidR="00F37F0F" w:rsidRDefault="00F37F0F" w:rsidP="000766DF">
            <w:pPr>
              <w:jc w:val="center"/>
              <w:rPr>
                <w:rFonts w:cs="Arial"/>
                <w:sz w:val="20"/>
              </w:rPr>
            </w:pPr>
            <w:r>
              <w:rPr>
                <w:rFonts w:cs="Arial"/>
                <w:sz w:val="20"/>
              </w:rPr>
              <w:t>11</w:t>
            </w:r>
          </w:p>
        </w:tc>
        <w:tc>
          <w:tcPr>
            <w:tcW w:w="566" w:type="dxa"/>
            <w:tcBorders>
              <w:top w:val="single" w:sz="4" w:space="0" w:color="999999"/>
              <w:bottom w:val="single" w:sz="4" w:space="0" w:color="999999"/>
            </w:tcBorders>
            <w:tcMar>
              <w:top w:w="14" w:type="dxa"/>
              <w:left w:w="43" w:type="dxa"/>
              <w:bottom w:w="14" w:type="dxa"/>
              <w:right w:w="43" w:type="dxa"/>
            </w:tcMar>
            <w:vAlign w:val="center"/>
          </w:tcPr>
          <w:p w14:paraId="645B3CF8" w14:textId="77777777" w:rsidR="00F37F0F" w:rsidRDefault="00F37F0F" w:rsidP="000766DF">
            <w:pPr>
              <w:jc w:val="center"/>
              <w:rPr>
                <w:rFonts w:cs="Arial"/>
                <w:sz w:val="20"/>
              </w:rPr>
            </w:pPr>
            <w:r>
              <w:rPr>
                <w:rFonts w:cs="Arial"/>
                <w:sz w:val="20"/>
              </w:rPr>
              <w:t>27</w:t>
            </w:r>
          </w:p>
        </w:tc>
        <w:tc>
          <w:tcPr>
            <w:tcW w:w="566" w:type="dxa"/>
            <w:tcBorders>
              <w:top w:val="single" w:sz="4" w:space="0" w:color="999999"/>
              <w:bottom w:val="single" w:sz="4" w:space="0" w:color="999999"/>
              <w:right w:val="single" w:sz="4" w:space="0" w:color="000000"/>
            </w:tcBorders>
            <w:tcMar>
              <w:top w:w="14" w:type="dxa"/>
              <w:left w:w="43" w:type="dxa"/>
              <w:bottom w:w="14" w:type="dxa"/>
              <w:right w:w="43" w:type="dxa"/>
            </w:tcMar>
            <w:vAlign w:val="center"/>
          </w:tcPr>
          <w:p w14:paraId="1B3EE7EA" w14:textId="77777777" w:rsidR="00F37F0F" w:rsidRDefault="00F37F0F" w:rsidP="000766DF">
            <w:pPr>
              <w:jc w:val="center"/>
              <w:rPr>
                <w:rFonts w:cs="Arial"/>
                <w:sz w:val="20"/>
              </w:rPr>
            </w:pPr>
            <w:r>
              <w:rPr>
                <w:rFonts w:cs="Arial"/>
                <w:sz w:val="20"/>
              </w:rPr>
              <w:t>47</w:t>
            </w:r>
          </w:p>
        </w:tc>
        <w:tc>
          <w:tcPr>
            <w:tcW w:w="708" w:type="dxa"/>
            <w:tcBorders>
              <w:top w:val="single" w:sz="4" w:space="0" w:color="999999"/>
              <w:left w:val="single" w:sz="4" w:space="0" w:color="000000"/>
              <w:bottom w:val="single" w:sz="4" w:space="0" w:color="999999"/>
            </w:tcBorders>
            <w:tcMar>
              <w:top w:w="14" w:type="dxa"/>
              <w:left w:w="43" w:type="dxa"/>
              <w:bottom w:w="14" w:type="dxa"/>
              <w:right w:w="43" w:type="dxa"/>
            </w:tcMar>
            <w:vAlign w:val="center"/>
          </w:tcPr>
          <w:p w14:paraId="5753AC1C" w14:textId="77777777" w:rsidR="00F37F0F" w:rsidRDefault="00F37F0F" w:rsidP="000766DF">
            <w:pPr>
              <w:jc w:val="center"/>
              <w:rPr>
                <w:rFonts w:cs="Arial"/>
                <w:sz w:val="20"/>
              </w:rPr>
            </w:pPr>
            <w:r>
              <w:rPr>
                <w:rFonts w:cs="Arial"/>
                <w:sz w:val="20"/>
              </w:rPr>
              <w:t>1</w:t>
            </w:r>
          </w:p>
        </w:tc>
      </w:tr>
      <w:tr w:rsidR="00F37F0F" w14:paraId="77DDB2D3" w14:textId="77777777" w:rsidTr="000766DF">
        <w:trPr>
          <w:gridAfter w:val="1"/>
          <w:wAfter w:w="30" w:type="dxa"/>
          <w:trHeight w:hRule="exact" w:val="669"/>
        </w:trPr>
        <w:tc>
          <w:tcPr>
            <w:tcW w:w="4150" w:type="dxa"/>
            <w:tcBorders>
              <w:top w:val="single" w:sz="4" w:space="0" w:color="999999"/>
              <w:bottom w:val="single" w:sz="4" w:space="0" w:color="000000"/>
              <w:right w:val="single" w:sz="4" w:space="0" w:color="000000"/>
            </w:tcBorders>
            <w:tcMar>
              <w:top w:w="14" w:type="dxa"/>
              <w:left w:w="43" w:type="dxa"/>
              <w:bottom w:w="14" w:type="dxa"/>
              <w:right w:w="43" w:type="dxa"/>
            </w:tcMar>
            <w:vAlign w:val="center"/>
          </w:tcPr>
          <w:p w14:paraId="263B4428" w14:textId="77777777" w:rsidR="00F37F0F" w:rsidRDefault="00F37F0F" w:rsidP="000766DF">
            <w:pPr>
              <w:pStyle w:val="Header"/>
              <w:rPr>
                <w:rFonts w:cs="Arial"/>
                <w:sz w:val="17"/>
                <w:szCs w:val="17"/>
              </w:rPr>
            </w:pPr>
            <w:r>
              <w:rPr>
                <w:rFonts w:cs="Arial"/>
                <w:sz w:val="17"/>
                <w:szCs w:val="17"/>
              </w:rPr>
              <w:t>Management does not knowingly compromise the safety of patients.</w:t>
            </w:r>
          </w:p>
        </w:tc>
        <w:tc>
          <w:tcPr>
            <w:tcW w:w="850" w:type="dxa"/>
            <w:tcBorders>
              <w:top w:val="single" w:sz="4" w:space="0" w:color="999999"/>
              <w:left w:val="single" w:sz="4" w:space="0" w:color="000000"/>
              <w:bottom w:val="single" w:sz="4" w:space="0" w:color="000000"/>
            </w:tcBorders>
            <w:tcMar>
              <w:top w:w="14" w:type="dxa"/>
              <w:left w:w="43" w:type="dxa"/>
              <w:bottom w:w="14" w:type="dxa"/>
              <w:right w:w="43" w:type="dxa"/>
            </w:tcMar>
            <w:vAlign w:val="center"/>
          </w:tcPr>
          <w:p w14:paraId="4AB26FE6" w14:textId="77777777" w:rsidR="00F37F0F" w:rsidRDefault="00F37F0F" w:rsidP="000766DF">
            <w:pPr>
              <w:jc w:val="center"/>
              <w:rPr>
                <w:rFonts w:cs="Arial"/>
                <w:sz w:val="20"/>
              </w:rPr>
            </w:pPr>
            <w:r>
              <w:rPr>
                <w:rFonts w:cs="Arial"/>
                <w:sz w:val="20"/>
              </w:rPr>
              <w:t>6</w:t>
            </w:r>
          </w:p>
        </w:tc>
        <w:tc>
          <w:tcPr>
            <w:tcW w:w="707" w:type="dxa"/>
            <w:tcBorders>
              <w:top w:val="single" w:sz="4" w:space="0" w:color="999999"/>
              <w:bottom w:val="single" w:sz="4" w:space="0" w:color="000000"/>
            </w:tcBorders>
            <w:tcMar>
              <w:top w:w="14" w:type="dxa"/>
              <w:left w:w="43" w:type="dxa"/>
              <w:bottom w:w="14" w:type="dxa"/>
              <w:right w:w="43" w:type="dxa"/>
            </w:tcMar>
            <w:vAlign w:val="center"/>
          </w:tcPr>
          <w:p w14:paraId="3A7B9B54" w14:textId="77777777" w:rsidR="00F37F0F" w:rsidRDefault="00F37F0F" w:rsidP="000766DF">
            <w:pPr>
              <w:jc w:val="center"/>
              <w:rPr>
                <w:rFonts w:cs="Arial"/>
                <w:sz w:val="20"/>
              </w:rPr>
            </w:pPr>
            <w:r>
              <w:rPr>
                <w:rFonts w:cs="Arial"/>
                <w:sz w:val="20"/>
              </w:rPr>
              <w:t>6</w:t>
            </w:r>
          </w:p>
        </w:tc>
        <w:tc>
          <w:tcPr>
            <w:tcW w:w="566" w:type="dxa"/>
            <w:tcBorders>
              <w:top w:val="single" w:sz="4" w:space="0" w:color="999999"/>
              <w:bottom w:val="single" w:sz="4" w:space="0" w:color="000000"/>
            </w:tcBorders>
            <w:tcMar>
              <w:top w:w="14" w:type="dxa"/>
              <w:left w:w="43" w:type="dxa"/>
              <w:bottom w:w="14" w:type="dxa"/>
              <w:right w:w="43" w:type="dxa"/>
            </w:tcMar>
            <w:vAlign w:val="center"/>
          </w:tcPr>
          <w:p w14:paraId="3302B803" w14:textId="77777777" w:rsidR="00F37F0F" w:rsidRDefault="00F37F0F" w:rsidP="000766DF">
            <w:pPr>
              <w:jc w:val="center"/>
              <w:rPr>
                <w:rFonts w:cs="Arial"/>
                <w:sz w:val="20"/>
              </w:rPr>
            </w:pPr>
            <w:r>
              <w:rPr>
                <w:rFonts w:cs="Arial"/>
                <w:sz w:val="20"/>
              </w:rPr>
              <w:t>14</w:t>
            </w:r>
          </w:p>
        </w:tc>
        <w:tc>
          <w:tcPr>
            <w:tcW w:w="566" w:type="dxa"/>
            <w:tcBorders>
              <w:top w:val="single" w:sz="4" w:space="0" w:color="999999"/>
              <w:bottom w:val="single" w:sz="4" w:space="0" w:color="000000"/>
            </w:tcBorders>
            <w:tcMar>
              <w:top w:w="14" w:type="dxa"/>
              <w:left w:w="43" w:type="dxa"/>
              <w:bottom w:w="14" w:type="dxa"/>
              <w:right w:w="43" w:type="dxa"/>
            </w:tcMar>
            <w:vAlign w:val="center"/>
          </w:tcPr>
          <w:p w14:paraId="0A5A2468" w14:textId="77777777" w:rsidR="00F37F0F" w:rsidRDefault="00F37F0F" w:rsidP="000766DF">
            <w:pPr>
              <w:jc w:val="center"/>
              <w:rPr>
                <w:rFonts w:cs="Arial"/>
                <w:sz w:val="20"/>
              </w:rPr>
            </w:pPr>
            <w:r>
              <w:rPr>
                <w:rFonts w:cs="Arial"/>
                <w:sz w:val="20"/>
              </w:rPr>
              <w:t>22</w:t>
            </w:r>
          </w:p>
        </w:tc>
        <w:tc>
          <w:tcPr>
            <w:tcW w:w="566" w:type="dxa"/>
            <w:tcBorders>
              <w:top w:val="single" w:sz="4" w:space="0" w:color="999999"/>
              <w:bottom w:val="single" w:sz="4" w:space="0" w:color="000000"/>
              <w:right w:val="single" w:sz="4" w:space="0" w:color="000000"/>
            </w:tcBorders>
            <w:tcMar>
              <w:top w:w="14" w:type="dxa"/>
              <w:left w:w="43" w:type="dxa"/>
              <w:bottom w:w="14" w:type="dxa"/>
              <w:right w:w="43" w:type="dxa"/>
            </w:tcMar>
            <w:vAlign w:val="center"/>
          </w:tcPr>
          <w:p w14:paraId="3F33710A" w14:textId="77777777" w:rsidR="00F37F0F" w:rsidRDefault="00F37F0F" w:rsidP="000766DF">
            <w:pPr>
              <w:jc w:val="center"/>
              <w:rPr>
                <w:rFonts w:cs="Arial"/>
                <w:sz w:val="20"/>
              </w:rPr>
            </w:pPr>
            <w:r>
              <w:rPr>
                <w:rFonts w:cs="Arial"/>
                <w:sz w:val="20"/>
              </w:rPr>
              <w:t>51</w:t>
            </w:r>
          </w:p>
        </w:tc>
        <w:tc>
          <w:tcPr>
            <w:tcW w:w="708" w:type="dxa"/>
            <w:tcBorders>
              <w:top w:val="single" w:sz="4" w:space="0" w:color="999999"/>
              <w:left w:val="single" w:sz="4" w:space="0" w:color="000000"/>
              <w:bottom w:val="single" w:sz="4" w:space="0" w:color="000000"/>
            </w:tcBorders>
            <w:tcMar>
              <w:top w:w="14" w:type="dxa"/>
              <w:left w:w="43" w:type="dxa"/>
              <w:bottom w:w="14" w:type="dxa"/>
              <w:right w:w="43" w:type="dxa"/>
            </w:tcMar>
            <w:vAlign w:val="center"/>
          </w:tcPr>
          <w:p w14:paraId="33845C82" w14:textId="77777777" w:rsidR="00F37F0F" w:rsidRDefault="00F37F0F" w:rsidP="000766DF">
            <w:pPr>
              <w:jc w:val="center"/>
              <w:rPr>
                <w:rFonts w:cs="Arial"/>
                <w:sz w:val="20"/>
              </w:rPr>
            </w:pPr>
            <w:r>
              <w:rPr>
                <w:rFonts w:cs="Arial"/>
                <w:sz w:val="20"/>
              </w:rPr>
              <w:t>2</w:t>
            </w:r>
          </w:p>
        </w:tc>
      </w:tr>
      <w:tr w:rsidR="00F37F0F" w14:paraId="3922DED9" w14:textId="77777777" w:rsidTr="000766DF">
        <w:trPr>
          <w:gridAfter w:val="1"/>
          <w:wAfter w:w="30" w:type="dxa"/>
          <w:trHeight w:hRule="exact" w:val="1439"/>
        </w:trPr>
        <w:tc>
          <w:tcPr>
            <w:tcW w:w="4150" w:type="dxa"/>
            <w:tcBorders>
              <w:top w:val="single" w:sz="4" w:space="0" w:color="000000"/>
              <w:bottom w:val="single" w:sz="4" w:space="0" w:color="999999"/>
              <w:right w:val="single" w:sz="4" w:space="0" w:color="000000"/>
            </w:tcBorders>
            <w:tcMar>
              <w:top w:w="14" w:type="dxa"/>
              <w:left w:w="43" w:type="dxa"/>
              <w:bottom w:w="14" w:type="dxa"/>
              <w:right w:w="43" w:type="dxa"/>
            </w:tcMar>
            <w:vAlign w:val="center"/>
          </w:tcPr>
          <w:p w14:paraId="0F22536C" w14:textId="77777777" w:rsidR="00F37F0F" w:rsidRDefault="00F37F0F" w:rsidP="000766DF">
            <w:pPr>
              <w:rPr>
                <w:rFonts w:cs="Arial"/>
                <w:b/>
                <w:sz w:val="20"/>
                <w:lang w:val="en-US"/>
              </w:rPr>
            </w:pPr>
            <w:r>
              <w:rPr>
                <w:rFonts w:cs="Arial"/>
                <w:b/>
                <w:sz w:val="20"/>
                <w:lang w:val="en-US"/>
              </w:rPr>
              <w:t xml:space="preserve">Safety Climate factor 3: </w:t>
            </w:r>
            <w:r>
              <w:rPr>
                <w:rFonts w:cs="Arial"/>
                <w:sz w:val="20"/>
              </w:rPr>
              <w:t>Perceptions of management’s attitudes to safety</w:t>
            </w:r>
          </w:p>
          <w:p w14:paraId="32E718FF" w14:textId="77777777" w:rsidR="00F37F0F" w:rsidRDefault="00F37F0F" w:rsidP="000766DF">
            <w:pPr>
              <w:pStyle w:val="Header"/>
              <w:rPr>
                <w:rFonts w:cs="Arial"/>
                <w:sz w:val="20"/>
                <w:lang w:val="en-US"/>
              </w:rPr>
            </w:pPr>
            <w:r>
              <w:rPr>
                <w:rFonts w:cs="Arial"/>
                <w:sz w:val="20"/>
                <w:lang w:val="en-US"/>
              </w:rPr>
              <w:t xml:space="preserve">Cronbach’s </w:t>
            </w:r>
            <w:r>
              <w:rPr>
                <w:rFonts w:cs="Arial"/>
                <w:sz w:val="20"/>
                <w:lang w:val="en-US"/>
              </w:rPr>
              <w:sym w:font="Symbol" w:char="F061"/>
            </w:r>
            <w:r>
              <w:rPr>
                <w:rFonts w:cs="Arial"/>
                <w:sz w:val="20"/>
                <w:lang w:val="en-US"/>
              </w:rPr>
              <w:t xml:space="preserve"> = 0.78</w:t>
            </w:r>
          </w:p>
          <w:p w14:paraId="66B6C268" w14:textId="77777777" w:rsidR="009F601A" w:rsidRDefault="009F601A" w:rsidP="000766DF">
            <w:pPr>
              <w:pStyle w:val="Header"/>
              <w:rPr>
                <w:rFonts w:cs="Arial"/>
                <w:sz w:val="20"/>
              </w:rPr>
            </w:pPr>
          </w:p>
        </w:tc>
        <w:tc>
          <w:tcPr>
            <w:tcW w:w="850" w:type="dxa"/>
            <w:tcBorders>
              <w:top w:val="single" w:sz="4" w:space="0" w:color="000000"/>
              <w:left w:val="single" w:sz="4" w:space="0" w:color="000000"/>
              <w:bottom w:val="single" w:sz="4" w:space="0" w:color="999999"/>
            </w:tcBorders>
            <w:tcMar>
              <w:top w:w="14" w:type="dxa"/>
              <w:left w:w="43" w:type="dxa"/>
              <w:bottom w:w="14" w:type="dxa"/>
              <w:right w:w="43" w:type="dxa"/>
            </w:tcMar>
            <w:vAlign w:val="center"/>
          </w:tcPr>
          <w:p w14:paraId="0C4CEC79" w14:textId="77777777" w:rsidR="00F37F0F" w:rsidRDefault="00F37F0F" w:rsidP="000766DF">
            <w:pPr>
              <w:pStyle w:val="Header"/>
              <w:spacing w:before="40" w:after="40"/>
              <w:jc w:val="center"/>
              <w:rPr>
                <w:rFonts w:cs="Arial"/>
                <w:sz w:val="18"/>
              </w:rPr>
            </w:pPr>
          </w:p>
        </w:tc>
        <w:tc>
          <w:tcPr>
            <w:tcW w:w="707" w:type="dxa"/>
            <w:tcBorders>
              <w:top w:val="single" w:sz="4" w:space="0" w:color="000000"/>
              <w:bottom w:val="single" w:sz="4" w:space="0" w:color="999999"/>
            </w:tcBorders>
            <w:tcMar>
              <w:top w:w="14" w:type="dxa"/>
              <w:left w:w="43" w:type="dxa"/>
              <w:bottom w:w="14" w:type="dxa"/>
              <w:right w:w="43" w:type="dxa"/>
            </w:tcMar>
            <w:vAlign w:val="center"/>
          </w:tcPr>
          <w:p w14:paraId="7E188584" w14:textId="77777777" w:rsidR="00F37F0F" w:rsidRDefault="00F37F0F" w:rsidP="000766DF">
            <w:pPr>
              <w:pStyle w:val="Header"/>
              <w:spacing w:before="40" w:after="40"/>
              <w:jc w:val="center"/>
              <w:rPr>
                <w:rFonts w:cs="Arial"/>
                <w:sz w:val="18"/>
              </w:rPr>
            </w:pPr>
          </w:p>
        </w:tc>
        <w:tc>
          <w:tcPr>
            <w:tcW w:w="566" w:type="dxa"/>
            <w:tcBorders>
              <w:top w:val="single" w:sz="4" w:space="0" w:color="000000"/>
              <w:bottom w:val="single" w:sz="4" w:space="0" w:color="999999"/>
            </w:tcBorders>
            <w:tcMar>
              <w:top w:w="14" w:type="dxa"/>
              <w:left w:w="43" w:type="dxa"/>
              <w:bottom w:w="14" w:type="dxa"/>
              <w:right w:w="43" w:type="dxa"/>
            </w:tcMar>
            <w:vAlign w:val="center"/>
          </w:tcPr>
          <w:p w14:paraId="0DC71590" w14:textId="77777777" w:rsidR="00F37F0F" w:rsidRDefault="00F37F0F" w:rsidP="000766DF">
            <w:pPr>
              <w:pStyle w:val="Header"/>
              <w:spacing w:before="40" w:after="40"/>
              <w:jc w:val="center"/>
              <w:rPr>
                <w:rFonts w:cs="Arial"/>
                <w:sz w:val="18"/>
              </w:rPr>
            </w:pPr>
          </w:p>
        </w:tc>
        <w:tc>
          <w:tcPr>
            <w:tcW w:w="566" w:type="dxa"/>
            <w:tcBorders>
              <w:top w:val="single" w:sz="4" w:space="0" w:color="000000"/>
              <w:bottom w:val="single" w:sz="4" w:space="0" w:color="999999"/>
            </w:tcBorders>
            <w:tcMar>
              <w:top w:w="14" w:type="dxa"/>
              <w:left w:w="43" w:type="dxa"/>
              <w:bottom w:w="14" w:type="dxa"/>
              <w:right w:w="43" w:type="dxa"/>
            </w:tcMar>
            <w:vAlign w:val="center"/>
          </w:tcPr>
          <w:p w14:paraId="2992EB7D" w14:textId="77777777" w:rsidR="00F37F0F" w:rsidRDefault="00F37F0F" w:rsidP="000766DF">
            <w:pPr>
              <w:pStyle w:val="Header"/>
              <w:spacing w:before="40" w:after="40"/>
              <w:jc w:val="center"/>
              <w:rPr>
                <w:rFonts w:cs="Arial"/>
                <w:sz w:val="18"/>
              </w:rPr>
            </w:pPr>
          </w:p>
        </w:tc>
        <w:tc>
          <w:tcPr>
            <w:tcW w:w="566" w:type="dxa"/>
            <w:tcBorders>
              <w:top w:val="single" w:sz="4" w:space="0" w:color="000000"/>
              <w:bottom w:val="single" w:sz="4" w:space="0" w:color="999999"/>
              <w:right w:val="single" w:sz="4" w:space="0" w:color="000000"/>
            </w:tcBorders>
            <w:tcMar>
              <w:top w:w="14" w:type="dxa"/>
              <w:left w:w="43" w:type="dxa"/>
              <w:bottom w:w="14" w:type="dxa"/>
              <w:right w:w="43" w:type="dxa"/>
            </w:tcMar>
            <w:vAlign w:val="center"/>
          </w:tcPr>
          <w:p w14:paraId="0460DA67" w14:textId="77777777" w:rsidR="00F37F0F" w:rsidRDefault="00F37F0F" w:rsidP="000766DF">
            <w:pPr>
              <w:pStyle w:val="Header"/>
              <w:spacing w:before="40" w:after="40"/>
              <w:jc w:val="center"/>
              <w:rPr>
                <w:rFonts w:cs="Arial"/>
                <w:sz w:val="18"/>
              </w:rPr>
            </w:pPr>
          </w:p>
        </w:tc>
        <w:tc>
          <w:tcPr>
            <w:tcW w:w="708" w:type="dxa"/>
            <w:tcBorders>
              <w:top w:val="single" w:sz="4" w:space="0" w:color="000000"/>
              <w:left w:val="single" w:sz="4" w:space="0" w:color="000000"/>
              <w:bottom w:val="single" w:sz="4" w:space="0" w:color="999999"/>
            </w:tcBorders>
            <w:tcMar>
              <w:top w:w="14" w:type="dxa"/>
              <w:left w:w="43" w:type="dxa"/>
              <w:bottom w:w="14" w:type="dxa"/>
              <w:right w:w="43" w:type="dxa"/>
            </w:tcMar>
            <w:vAlign w:val="center"/>
          </w:tcPr>
          <w:p w14:paraId="12A7598B" w14:textId="77777777" w:rsidR="00F37F0F" w:rsidRDefault="00F37F0F" w:rsidP="000766DF">
            <w:pPr>
              <w:pStyle w:val="Header"/>
              <w:spacing w:before="40" w:after="40"/>
              <w:jc w:val="center"/>
              <w:rPr>
                <w:rFonts w:cs="Arial"/>
                <w:sz w:val="18"/>
              </w:rPr>
            </w:pPr>
          </w:p>
        </w:tc>
      </w:tr>
      <w:tr w:rsidR="00F37F0F" w14:paraId="3AA84D0D" w14:textId="77777777" w:rsidTr="000766DF">
        <w:trPr>
          <w:trHeight w:hRule="exact" w:val="669"/>
        </w:trPr>
        <w:tc>
          <w:tcPr>
            <w:tcW w:w="4150" w:type="dxa"/>
            <w:tcBorders>
              <w:top w:val="single" w:sz="4" w:space="0" w:color="999999"/>
              <w:bottom w:val="single" w:sz="4" w:space="0" w:color="999999"/>
              <w:right w:val="single" w:sz="4" w:space="0" w:color="000000"/>
            </w:tcBorders>
            <w:tcMar>
              <w:top w:w="14" w:type="dxa"/>
              <w:left w:w="43" w:type="dxa"/>
              <w:bottom w:w="14" w:type="dxa"/>
              <w:right w:w="43" w:type="dxa"/>
            </w:tcMar>
            <w:vAlign w:val="center"/>
          </w:tcPr>
          <w:p w14:paraId="09CBEAE6" w14:textId="77777777" w:rsidR="00F37F0F" w:rsidRDefault="00F37F0F" w:rsidP="000766DF">
            <w:pPr>
              <w:pStyle w:val="Header"/>
              <w:rPr>
                <w:rFonts w:cs="Arial"/>
                <w:sz w:val="17"/>
                <w:szCs w:val="17"/>
              </w:rPr>
            </w:pPr>
            <w:r>
              <w:rPr>
                <w:rFonts w:cs="Arial"/>
                <w:sz w:val="17"/>
                <w:szCs w:val="17"/>
              </w:rPr>
              <w:t>This organisation is doing more for patient safety now than it did one year ago.</w:t>
            </w:r>
          </w:p>
        </w:tc>
        <w:tc>
          <w:tcPr>
            <w:tcW w:w="850" w:type="dxa"/>
            <w:tcBorders>
              <w:top w:val="single" w:sz="4" w:space="0" w:color="999999"/>
              <w:left w:val="single" w:sz="4" w:space="0" w:color="000000"/>
              <w:bottom w:val="single" w:sz="4" w:space="0" w:color="999999"/>
            </w:tcBorders>
            <w:tcMar>
              <w:top w:w="14" w:type="dxa"/>
              <w:left w:w="43" w:type="dxa"/>
              <w:bottom w:w="14" w:type="dxa"/>
              <w:right w:w="43" w:type="dxa"/>
            </w:tcMar>
            <w:vAlign w:val="center"/>
          </w:tcPr>
          <w:p w14:paraId="6EFF38A4" w14:textId="77777777" w:rsidR="00F37F0F" w:rsidRDefault="00F37F0F" w:rsidP="000766DF">
            <w:pPr>
              <w:jc w:val="center"/>
              <w:rPr>
                <w:rFonts w:cs="Arial"/>
                <w:sz w:val="20"/>
              </w:rPr>
            </w:pPr>
            <w:r>
              <w:rPr>
                <w:rFonts w:cs="Arial"/>
                <w:sz w:val="20"/>
              </w:rPr>
              <w:t>4</w:t>
            </w:r>
          </w:p>
        </w:tc>
        <w:tc>
          <w:tcPr>
            <w:tcW w:w="707" w:type="dxa"/>
            <w:tcBorders>
              <w:top w:val="single" w:sz="4" w:space="0" w:color="999999"/>
              <w:bottom w:val="single" w:sz="4" w:space="0" w:color="999999"/>
            </w:tcBorders>
            <w:tcMar>
              <w:top w:w="14" w:type="dxa"/>
              <w:left w:w="43" w:type="dxa"/>
              <w:bottom w:w="14" w:type="dxa"/>
              <w:right w:w="43" w:type="dxa"/>
            </w:tcMar>
            <w:vAlign w:val="center"/>
          </w:tcPr>
          <w:p w14:paraId="502CE988" w14:textId="77777777" w:rsidR="00F37F0F" w:rsidRDefault="00F37F0F" w:rsidP="000766DF">
            <w:pPr>
              <w:jc w:val="center"/>
              <w:rPr>
                <w:rFonts w:cs="Arial"/>
                <w:sz w:val="20"/>
              </w:rPr>
            </w:pPr>
            <w:r>
              <w:rPr>
                <w:rFonts w:cs="Arial"/>
                <w:sz w:val="20"/>
              </w:rPr>
              <w:t>5</w:t>
            </w:r>
          </w:p>
        </w:tc>
        <w:tc>
          <w:tcPr>
            <w:tcW w:w="566" w:type="dxa"/>
            <w:tcBorders>
              <w:top w:val="single" w:sz="4" w:space="0" w:color="999999"/>
              <w:bottom w:val="single" w:sz="4" w:space="0" w:color="999999"/>
            </w:tcBorders>
            <w:tcMar>
              <w:top w:w="14" w:type="dxa"/>
              <w:left w:w="43" w:type="dxa"/>
              <w:bottom w:w="14" w:type="dxa"/>
              <w:right w:w="43" w:type="dxa"/>
            </w:tcMar>
            <w:vAlign w:val="center"/>
          </w:tcPr>
          <w:p w14:paraId="6607ED48" w14:textId="77777777" w:rsidR="00F37F0F" w:rsidRDefault="00F37F0F" w:rsidP="000766DF">
            <w:pPr>
              <w:jc w:val="center"/>
              <w:rPr>
                <w:rFonts w:cs="Arial"/>
                <w:sz w:val="20"/>
              </w:rPr>
            </w:pPr>
            <w:r>
              <w:rPr>
                <w:rFonts w:cs="Arial"/>
                <w:sz w:val="20"/>
              </w:rPr>
              <w:t>36</w:t>
            </w:r>
          </w:p>
        </w:tc>
        <w:tc>
          <w:tcPr>
            <w:tcW w:w="566" w:type="dxa"/>
            <w:tcBorders>
              <w:top w:val="single" w:sz="4" w:space="0" w:color="999999"/>
              <w:bottom w:val="single" w:sz="4" w:space="0" w:color="999999"/>
            </w:tcBorders>
            <w:tcMar>
              <w:top w:w="14" w:type="dxa"/>
              <w:left w:w="43" w:type="dxa"/>
              <w:bottom w:w="14" w:type="dxa"/>
              <w:right w:w="43" w:type="dxa"/>
            </w:tcMar>
            <w:vAlign w:val="center"/>
          </w:tcPr>
          <w:p w14:paraId="5926CC0E" w14:textId="77777777" w:rsidR="00F37F0F" w:rsidRDefault="00F37F0F" w:rsidP="000766DF">
            <w:pPr>
              <w:jc w:val="center"/>
              <w:rPr>
                <w:rFonts w:cs="Arial"/>
                <w:sz w:val="20"/>
              </w:rPr>
            </w:pPr>
            <w:r>
              <w:rPr>
                <w:rFonts w:cs="Arial"/>
                <w:sz w:val="20"/>
              </w:rPr>
              <w:t>28</w:t>
            </w:r>
          </w:p>
        </w:tc>
        <w:tc>
          <w:tcPr>
            <w:tcW w:w="566" w:type="dxa"/>
            <w:tcBorders>
              <w:top w:val="single" w:sz="4" w:space="0" w:color="999999"/>
              <w:bottom w:val="single" w:sz="4" w:space="0" w:color="999999"/>
              <w:right w:val="single" w:sz="4" w:space="0" w:color="000000"/>
            </w:tcBorders>
            <w:tcMar>
              <w:top w:w="14" w:type="dxa"/>
              <w:left w:w="43" w:type="dxa"/>
              <w:bottom w:w="14" w:type="dxa"/>
              <w:right w:w="43" w:type="dxa"/>
            </w:tcMar>
            <w:vAlign w:val="center"/>
          </w:tcPr>
          <w:p w14:paraId="406F1A50" w14:textId="77777777" w:rsidR="00F37F0F" w:rsidRDefault="00F37F0F" w:rsidP="000766DF">
            <w:pPr>
              <w:jc w:val="center"/>
              <w:rPr>
                <w:rFonts w:cs="Arial"/>
                <w:sz w:val="20"/>
              </w:rPr>
            </w:pPr>
            <w:r>
              <w:rPr>
                <w:rFonts w:cs="Arial"/>
                <w:sz w:val="20"/>
              </w:rPr>
              <w:t>27</w:t>
            </w:r>
          </w:p>
        </w:tc>
        <w:tc>
          <w:tcPr>
            <w:tcW w:w="708" w:type="dxa"/>
            <w:tcBorders>
              <w:top w:val="single" w:sz="4" w:space="0" w:color="999999"/>
              <w:left w:val="single" w:sz="4" w:space="0" w:color="000000"/>
              <w:bottom w:val="single" w:sz="4" w:space="0" w:color="999999"/>
            </w:tcBorders>
            <w:tcMar>
              <w:top w:w="14" w:type="dxa"/>
              <w:left w:w="43" w:type="dxa"/>
              <w:bottom w:w="14" w:type="dxa"/>
              <w:right w:w="43" w:type="dxa"/>
            </w:tcMar>
            <w:vAlign w:val="center"/>
          </w:tcPr>
          <w:p w14:paraId="0151581E" w14:textId="77777777" w:rsidR="00F37F0F" w:rsidRDefault="00F37F0F" w:rsidP="000766DF">
            <w:pPr>
              <w:jc w:val="center"/>
              <w:rPr>
                <w:rFonts w:cs="Arial"/>
                <w:sz w:val="20"/>
              </w:rPr>
            </w:pPr>
            <w:r>
              <w:rPr>
                <w:rFonts w:cs="Arial"/>
                <w:sz w:val="20"/>
              </w:rPr>
              <w:t>5</w:t>
            </w:r>
          </w:p>
        </w:tc>
        <w:tc>
          <w:tcPr>
            <w:tcW w:w="30" w:type="dxa"/>
          </w:tcPr>
          <w:p w14:paraId="28AE1D57" w14:textId="77777777" w:rsidR="00F37F0F" w:rsidRDefault="00F37F0F" w:rsidP="000766DF">
            <w:pPr>
              <w:rPr>
                <w:rFonts w:cs="Arial"/>
                <w:sz w:val="16"/>
              </w:rPr>
            </w:pPr>
            <w:r>
              <w:rPr>
                <w:rFonts w:cs="Arial"/>
                <w:sz w:val="16"/>
              </w:rPr>
              <w:tab/>
            </w:r>
          </w:p>
        </w:tc>
      </w:tr>
      <w:tr w:rsidR="00F37F0F" w14:paraId="0E7D9A9B" w14:textId="77777777" w:rsidTr="000766DF">
        <w:trPr>
          <w:gridAfter w:val="1"/>
          <w:wAfter w:w="30" w:type="dxa"/>
          <w:trHeight w:hRule="exact" w:val="669"/>
        </w:trPr>
        <w:tc>
          <w:tcPr>
            <w:tcW w:w="4150" w:type="dxa"/>
            <w:tcBorders>
              <w:top w:val="single" w:sz="4" w:space="0" w:color="999999"/>
              <w:bottom w:val="single" w:sz="4" w:space="0" w:color="999999"/>
              <w:right w:val="single" w:sz="4" w:space="0" w:color="000000"/>
            </w:tcBorders>
            <w:tcMar>
              <w:top w:w="14" w:type="dxa"/>
              <w:left w:w="43" w:type="dxa"/>
              <w:bottom w:w="14" w:type="dxa"/>
              <w:right w:w="43" w:type="dxa"/>
            </w:tcMar>
            <w:vAlign w:val="center"/>
          </w:tcPr>
          <w:p w14:paraId="65A0C4C6" w14:textId="77777777" w:rsidR="00F37F0F" w:rsidRDefault="00F37F0F" w:rsidP="000766DF">
            <w:pPr>
              <w:pStyle w:val="Header"/>
              <w:rPr>
                <w:rFonts w:cs="Arial"/>
                <w:sz w:val="17"/>
                <w:szCs w:val="17"/>
              </w:rPr>
            </w:pPr>
            <w:r>
              <w:rPr>
                <w:rFonts w:cs="Arial"/>
                <w:sz w:val="17"/>
                <w:szCs w:val="17"/>
              </w:rPr>
              <w:t>Leadership is driving us to be a safety-centred organisation.</w:t>
            </w:r>
          </w:p>
        </w:tc>
        <w:tc>
          <w:tcPr>
            <w:tcW w:w="850" w:type="dxa"/>
            <w:tcBorders>
              <w:top w:val="single" w:sz="4" w:space="0" w:color="999999"/>
              <w:left w:val="single" w:sz="4" w:space="0" w:color="000000"/>
              <w:bottom w:val="single" w:sz="4" w:space="0" w:color="999999"/>
            </w:tcBorders>
            <w:tcMar>
              <w:top w:w="14" w:type="dxa"/>
              <w:left w:w="43" w:type="dxa"/>
              <w:bottom w:w="14" w:type="dxa"/>
              <w:right w:w="43" w:type="dxa"/>
            </w:tcMar>
            <w:vAlign w:val="center"/>
          </w:tcPr>
          <w:p w14:paraId="63A9C861" w14:textId="77777777" w:rsidR="00F37F0F" w:rsidRDefault="00F37F0F" w:rsidP="000766DF">
            <w:pPr>
              <w:jc w:val="center"/>
              <w:rPr>
                <w:rFonts w:cs="Arial"/>
                <w:sz w:val="20"/>
              </w:rPr>
            </w:pPr>
            <w:r>
              <w:rPr>
                <w:rFonts w:cs="Arial"/>
                <w:sz w:val="20"/>
              </w:rPr>
              <w:t>4</w:t>
            </w:r>
          </w:p>
        </w:tc>
        <w:tc>
          <w:tcPr>
            <w:tcW w:w="707" w:type="dxa"/>
            <w:tcBorders>
              <w:top w:val="single" w:sz="4" w:space="0" w:color="999999"/>
              <w:bottom w:val="single" w:sz="4" w:space="0" w:color="999999"/>
            </w:tcBorders>
            <w:tcMar>
              <w:top w:w="14" w:type="dxa"/>
              <w:left w:w="43" w:type="dxa"/>
              <w:bottom w:w="14" w:type="dxa"/>
              <w:right w:w="43" w:type="dxa"/>
            </w:tcMar>
            <w:vAlign w:val="center"/>
          </w:tcPr>
          <w:p w14:paraId="03791306" w14:textId="77777777" w:rsidR="00F37F0F" w:rsidRDefault="00F37F0F" w:rsidP="000766DF">
            <w:pPr>
              <w:jc w:val="center"/>
              <w:rPr>
                <w:rFonts w:cs="Arial"/>
                <w:sz w:val="20"/>
              </w:rPr>
            </w:pPr>
            <w:r>
              <w:rPr>
                <w:rFonts w:cs="Arial"/>
                <w:sz w:val="20"/>
              </w:rPr>
              <w:t>7</w:t>
            </w:r>
          </w:p>
        </w:tc>
        <w:tc>
          <w:tcPr>
            <w:tcW w:w="566" w:type="dxa"/>
            <w:tcBorders>
              <w:top w:val="single" w:sz="4" w:space="0" w:color="999999"/>
              <w:bottom w:val="single" w:sz="4" w:space="0" w:color="999999"/>
            </w:tcBorders>
            <w:tcMar>
              <w:top w:w="14" w:type="dxa"/>
              <w:left w:w="43" w:type="dxa"/>
              <w:bottom w:w="14" w:type="dxa"/>
              <w:right w:w="43" w:type="dxa"/>
            </w:tcMar>
            <w:vAlign w:val="center"/>
          </w:tcPr>
          <w:p w14:paraId="56DB823A" w14:textId="77777777" w:rsidR="00F37F0F" w:rsidRDefault="00F37F0F" w:rsidP="000766DF">
            <w:pPr>
              <w:jc w:val="center"/>
              <w:rPr>
                <w:rFonts w:cs="Arial"/>
                <w:sz w:val="20"/>
              </w:rPr>
            </w:pPr>
            <w:r>
              <w:rPr>
                <w:rFonts w:cs="Arial"/>
                <w:sz w:val="20"/>
              </w:rPr>
              <w:t>32</w:t>
            </w:r>
          </w:p>
        </w:tc>
        <w:tc>
          <w:tcPr>
            <w:tcW w:w="566" w:type="dxa"/>
            <w:tcBorders>
              <w:top w:val="single" w:sz="4" w:space="0" w:color="999999"/>
              <w:bottom w:val="single" w:sz="4" w:space="0" w:color="999999"/>
            </w:tcBorders>
            <w:tcMar>
              <w:top w:w="14" w:type="dxa"/>
              <w:left w:w="43" w:type="dxa"/>
              <w:bottom w:w="14" w:type="dxa"/>
              <w:right w:w="43" w:type="dxa"/>
            </w:tcMar>
            <w:vAlign w:val="center"/>
          </w:tcPr>
          <w:p w14:paraId="3E1FDBFD" w14:textId="77777777" w:rsidR="00F37F0F" w:rsidRDefault="00F37F0F" w:rsidP="000766DF">
            <w:pPr>
              <w:jc w:val="center"/>
              <w:rPr>
                <w:rFonts w:cs="Arial"/>
                <w:sz w:val="20"/>
              </w:rPr>
            </w:pPr>
            <w:r>
              <w:rPr>
                <w:rFonts w:cs="Arial"/>
                <w:sz w:val="20"/>
              </w:rPr>
              <w:t>34</w:t>
            </w:r>
          </w:p>
        </w:tc>
        <w:tc>
          <w:tcPr>
            <w:tcW w:w="566" w:type="dxa"/>
            <w:tcBorders>
              <w:top w:val="single" w:sz="4" w:space="0" w:color="999999"/>
              <w:bottom w:val="single" w:sz="4" w:space="0" w:color="999999"/>
              <w:right w:val="single" w:sz="4" w:space="0" w:color="000000"/>
            </w:tcBorders>
            <w:tcMar>
              <w:top w:w="14" w:type="dxa"/>
              <w:left w:w="43" w:type="dxa"/>
              <w:bottom w:w="14" w:type="dxa"/>
              <w:right w:w="43" w:type="dxa"/>
            </w:tcMar>
            <w:vAlign w:val="center"/>
          </w:tcPr>
          <w:p w14:paraId="6747487B" w14:textId="77777777" w:rsidR="00F37F0F" w:rsidRDefault="00F37F0F" w:rsidP="000766DF">
            <w:pPr>
              <w:jc w:val="center"/>
              <w:rPr>
                <w:rFonts w:cs="Arial"/>
                <w:sz w:val="20"/>
              </w:rPr>
            </w:pPr>
            <w:r>
              <w:rPr>
                <w:rFonts w:cs="Arial"/>
                <w:sz w:val="20"/>
              </w:rPr>
              <w:t>23</w:t>
            </w:r>
          </w:p>
        </w:tc>
        <w:tc>
          <w:tcPr>
            <w:tcW w:w="708" w:type="dxa"/>
            <w:tcBorders>
              <w:top w:val="single" w:sz="4" w:space="0" w:color="999999"/>
              <w:left w:val="single" w:sz="4" w:space="0" w:color="000000"/>
              <w:bottom w:val="single" w:sz="4" w:space="0" w:color="999999"/>
            </w:tcBorders>
            <w:tcMar>
              <w:top w:w="14" w:type="dxa"/>
              <w:left w:w="43" w:type="dxa"/>
              <w:bottom w:w="14" w:type="dxa"/>
              <w:right w:w="43" w:type="dxa"/>
            </w:tcMar>
            <w:vAlign w:val="center"/>
          </w:tcPr>
          <w:p w14:paraId="34B49324" w14:textId="77777777" w:rsidR="00F37F0F" w:rsidRDefault="00F37F0F" w:rsidP="000766DF">
            <w:pPr>
              <w:jc w:val="center"/>
              <w:rPr>
                <w:rFonts w:cs="Arial"/>
                <w:sz w:val="20"/>
              </w:rPr>
            </w:pPr>
            <w:r>
              <w:rPr>
                <w:rFonts w:cs="Arial"/>
                <w:sz w:val="20"/>
              </w:rPr>
              <w:t>3</w:t>
            </w:r>
          </w:p>
        </w:tc>
      </w:tr>
      <w:tr w:rsidR="00F37F0F" w14:paraId="53F5D9BF" w14:textId="77777777" w:rsidTr="000766DF">
        <w:trPr>
          <w:gridAfter w:val="1"/>
          <w:wAfter w:w="30" w:type="dxa"/>
          <w:trHeight w:hRule="exact" w:val="669"/>
        </w:trPr>
        <w:tc>
          <w:tcPr>
            <w:tcW w:w="4150" w:type="dxa"/>
            <w:tcBorders>
              <w:top w:val="single" w:sz="4" w:space="0" w:color="999999"/>
              <w:bottom w:val="single" w:sz="4" w:space="0" w:color="auto"/>
              <w:right w:val="single" w:sz="4" w:space="0" w:color="000000"/>
            </w:tcBorders>
            <w:tcMar>
              <w:top w:w="14" w:type="dxa"/>
              <w:left w:w="43" w:type="dxa"/>
              <w:bottom w:w="14" w:type="dxa"/>
              <w:right w:w="43" w:type="dxa"/>
            </w:tcMar>
            <w:vAlign w:val="center"/>
          </w:tcPr>
          <w:p w14:paraId="03A0ED93" w14:textId="77777777" w:rsidR="00F37F0F" w:rsidRDefault="00F37F0F" w:rsidP="000766DF">
            <w:pPr>
              <w:pStyle w:val="Header"/>
              <w:rPr>
                <w:rFonts w:cs="Arial"/>
                <w:sz w:val="17"/>
                <w:szCs w:val="17"/>
              </w:rPr>
            </w:pPr>
            <w:r>
              <w:rPr>
                <w:rFonts w:cs="Arial"/>
                <w:sz w:val="17"/>
                <w:szCs w:val="17"/>
              </w:rPr>
              <w:t>My suggestions about safety would be acted upon if I expressed them to management.</w:t>
            </w:r>
          </w:p>
        </w:tc>
        <w:tc>
          <w:tcPr>
            <w:tcW w:w="850" w:type="dxa"/>
            <w:tcBorders>
              <w:top w:val="single" w:sz="4" w:space="0" w:color="999999"/>
              <w:left w:val="single" w:sz="4" w:space="0" w:color="000000"/>
              <w:bottom w:val="single" w:sz="4" w:space="0" w:color="auto"/>
            </w:tcBorders>
            <w:tcMar>
              <w:top w:w="14" w:type="dxa"/>
              <w:left w:w="43" w:type="dxa"/>
              <w:bottom w:w="14" w:type="dxa"/>
              <w:right w:w="43" w:type="dxa"/>
            </w:tcMar>
            <w:vAlign w:val="center"/>
          </w:tcPr>
          <w:p w14:paraId="4FC6DBE5" w14:textId="77777777" w:rsidR="00F37F0F" w:rsidRDefault="00F37F0F" w:rsidP="000766DF">
            <w:pPr>
              <w:jc w:val="center"/>
              <w:rPr>
                <w:rFonts w:cs="Arial"/>
                <w:sz w:val="20"/>
              </w:rPr>
            </w:pPr>
            <w:r>
              <w:rPr>
                <w:rFonts w:cs="Arial"/>
                <w:sz w:val="20"/>
              </w:rPr>
              <w:t>5</w:t>
            </w:r>
          </w:p>
        </w:tc>
        <w:tc>
          <w:tcPr>
            <w:tcW w:w="707" w:type="dxa"/>
            <w:tcBorders>
              <w:top w:val="single" w:sz="4" w:space="0" w:color="999999"/>
              <w:bottom w:val="single" w:sz="4" w:space="0" w:color="auto"/>
            </w:tcBorders>
            <w:tcMar>
              <w:top w:w="14" w:type="dxa"/>
              <w:left w:w="43" w:type="dxa"/>
              <w:bottom w:w="14" w:type="dxa"/>
              <w:right w:w="43" w:type="dxa"/>
            </w:tcMar>
            <w:vAlign w:val="center"/>
          </w:tcPr>
          <w:p w14:paraId="1AEEC293" w14:textId="77777777" w:rsidR="00F37F0F" w:rsidRDefault="00F37F0F" w:rsidP="000766DF">
            <w:pPr>
              <w:jc w:val="center"/>
              <w:rPr>
                <w:rFonts w:cs="Arial"/>
                <w:sz w:val="20"/>
              </w:rPr>
            </w:pPr>
            <w:r>
              <w:rPr>
                <w:rFonts w:cs="Arial"/>
                <w:sz w:val="20"/>
              </w:rPr>
              <w:t>6</w:t>
            </w:r>
          </w:p>
        </w:tc>
        <w:tc>
          <w:tcPr>
            <w:tcW w:w="566" w:type="dxa"/>
            <w:tcBorders>
              <w:top w:val="single" w:sz="4" w:space="0" w:color="999999"/>
              <w:bottom w:val="single" w:sz="4" w:space="0" w:color="auto"/>
            </w:tcBorders>
            <w:tcMar>
              <w:top w:w="14" w:type="dxa"/>
              <w:left w:w="43" w:type="dxa"/>
              <w:bottom w:w="14" w:type="dxa"/>
              <w:right w:w="43" w:type="dxa"/>
            </w:tcMar>
            <w:vAlign w:val="center"/>
          </w:tcPr>
          <w:p w14:paraId="54AB47D6" w14:textId="77777777" w:rsidR="00F37F0F" w:rsidRDefault="00F37F0F" w:rsidP="000766DF">
            <w:pPr>
              <w:jc w:val="center"/>
              <w:rPr>
                <w:rFonts w:cs="Arial"/>
                <w:sz w:val="20"/>
              </w:rPr>
            </w:pPr>
            <w:r>
              <w:rPr>
                <w:rFonts w:cs="Arial"/>
                <w:sz w:val="20"/>
              </w:rPr>
              <w:t>16</w:t>
            </w:r>
          </w:p>
        </w:tc>
        <w:tc>
          <w:tcPr>
            <w:tcW w:w="566" w:type="dxa"/>
            <w:tcBorders>
              <w:top w:val="single" w:sz="4" w:space="0" w:color="999999"/>
              <w:bottom w:val="single" w:sz="4" w:space="0" w:color="auto"/>
            </w:tcBorders>
            <w:tcMar>
              <w:top w:w="14" w:type="dxa"/>
              <w:left w:w="43" w:type="dxa"/>
              <w:bottom w:w="14" w:type="dxa"/>
              <w:right w:w="43" w:type="dxa"/>
            </w:tcMar>
            <w:vAlign w:val="center"/>
          </w:tcPr>
          <w:p w14:paraId="49EFACB1" w14:textId="77777777" w:rsidR="00F37F0F" w:rsidRDefault="00F37F0F" w:rsidP="000766DF">
            <w:pPr>
              <w:jc w:val="center"/>
              <w:rPr>
                <w:rFonts w:cs="Arial"/>
                <w:sz w:val="20"/>
              </w:rPr>
            </w:pPr>
            <w:r>
              <w:rPr>
                <w:rFonts w:cs="Arial"/>
                <w:sz w:val="20"/>
              </w:rPr>
              <w:t>38</w:t>
            </w:r>
          </w:p>
        </w:tc>
        <w:tc>
          <w:tcPr>
            <w:tcW w:w="566" w:type="dxa"/>
            <w:tcBorders>
              <w:top w:val="single" w:sz="4" w:space="0" w:color="999999"/>
              <w:bottom w:val="single" w:sz="4" w:space="0" w:color="auto"/>
              <w:right w:val="single" w:sz="4" w:space="0" w:color="000000"/>
            </w:tcBorders>
            <w:tcMar>
              <w:top w:w="14" w:type="dxa"/>
              <w:left w:w="43" w:type="dxa"/>
              <w:bottom w:w="14" w:type="dxa"/>
              <w:right w:w="43" w:type="dxa"/>
            </w:tcMar>
            <w:vAlign w:val="center"/>
          </w:tcPr>
          <w:p w14:paraId="0AC0D4E0" w14:textId="77777777" w:rsidR="00F37F0F" w:rsidRDefault="00F37F0F" w:rsidP="000766DF">
            <w:pPr>
              <w:jc w:val="center"/>
              <w:rPr>
                <w:rFonts w:cs="Arial"/>
                <w:sz w:val="20"/>
              </w:rPr>
            </w:pPr>
            <w:r>
              <w:rPr>
                <w:rFonts w:cs="Arial"/>
                <w:sz w:val="20"/>
              </w:rPr>
              <w:t>35</w:t>
            </w:r>
          </w:p>
        </w:tc>
        <w:tc>
          <w:tcPr>
            <w:tcW w:w="708" w:type="dxa"/>
            <w:tcBorders>
              <w:top w:val="single" w:sz="4" w:space="0" w:color="999999"/>
              <w:left w:val="single" w:sz="4" w:space="0" w:color="000000"/>
              <w:bottom w:val="single" w:sz="4" w:space="0" w:color="auto"/>
            </w:tcBorders>
            <w:tcMar>
              <w:top w:w="14" w:type="dxa"/>
              <w:left w:w="43" w:type="dxa"/>
              <w:bottom w:w="14" w:type="dxa"/>
              <w:right w:w="43" w:type="dxa"/>
            </w:tcMar>
            <w:vAlign w:val="center"/>
          </w:tcPr>
          <w:p w14:paraId="22B34F4C" w14:textId="77777777" w:rsidR="00F37F0F" w:rsidRDefault="00F37F0F" w:rsidP="000766DF">
            <w:pPr>
              <w:jc w:val="center"/>
              <w:rPr>
                <w:rFonts w:cs="Arial"/>
                <w:sz w:val="20"/>
              </w:rPr>
            </w:pPr>
            <w:r>
              <w:rPr>
                <w:rFonts w:cs="Arial"/>
                <w:sz w:val="20"/>
              </w:rPr>
              <w:t>2</w:t>
            </w:r>
          </w:p>
        </w:tc>
      </w:tr>
      <w:tr w:rsidR="00F37F0F" w14:paraId="575CF8DA" w14:textId="77777777" w:rsidTr="000766DF">
        <w:trPr>
          <w:gridAfter w:val="1"/>
          <w:wAfter w:w="30" w:type="dxa"/>
          <w:trHeight w:hRule="exact" w:val="832"/>
        </w:trPr>
        <w:tc>
          <w:tcPr>
            <w:tcW w:w="8113" w:type="dxa"/>
            <w:gridSpan w:val="7"/>
            <w:tcBorders>
              <w:top w:val="single" w:sz="4" w:space="0" w:color="auto"/>
              <w:left w:val="nil"/>
              <w:bottom w:val="nil"/>
              <w:right w:val="nil"/>
            </w:tcBorders>
            <w:tcMar>
              <w:top w:w="14" w:type="dxa"/>
              <w:left w:w="43" w:type="dxa"/>
              <w:bottom w:w="14" w:type="dxa"/>
              <w:right w:w="43" w:type="dxa"/>
            </w:tcMar>
            <w:vAlign w:val="bottom"/>
          </w:tcPr>
          <w:p w14:paraId="19AF44A3" w14:textId="77777777" w:rsidR="00F37F0F" w:rsidRDefault="00F37F0F" w:rsidP="000766DF">
            <w:pPr>
              <w:ind w:right="-781"/>
              <w:rPr>
                <w:rFonts w:cs="Arial"/>
                <w:sz w:val="17"/>
                <w:szCs w:val="17"/>
              </w:rPr>
            </w:pPr>
            <w:r>
              <w:rPr>
                <w:rFonts w:cs="Arial"/>
                <w:sz w:val="17"/>
                <w:szCs w:val="17"/>
                <w:vertAlign w:val="superscript"/>
              </w:rPr>
              <w:t xml:space="preserve">† </w:t>
            </w:r>
            <w:r>
              <w:rPr>
                <w:rFonts w:cs="Arial"/>
                <w:sz w:val="17"/>
                <w:szCs w:val="17"/>
              </w:rPr>
              <w:t>Percentage of valid responses (not including “not applicable”) from direct patient care staff</w:t>
            </w:r>
          </w:p>
          <w:p w14:paraId="73E8E94B" w14:textId="77777777" w:rsidR="00F37F0F" w:rsidRDefault="00F37F0F" w:rsidP="000766DF">
            <w:pPr>
              <w:ind w:right="-781"/>
              <w:rPr>
                <w:rFonts w:cs="Arial"/>
                <w:sz w:val="17"/>
                <w:szCs w:val="17"/>
              </w:rPr>
            </w:pPr>
            <w:r>
              <w:rPr>
                <w:rFonts w:cs="Arial"/>
                <w:sz w:val="17"/>
                <w:szCs w:val="17"/>
                <w:vertAlign w:val="superscript"/>
              </w:rPr>
              <w:t xml:space="preserve">‡ </w:t>
            </w:r>
            <w:r>
              <w:rPr>
                <w:rFonts w:cs="Arial"/>
                <w:sz w:val="17"/>
                <w:szCs w:val="17"/>
              </w:rPr>
              <w:t>Percentage of total responses from direct patient care staff</w:t>
            </w:r>
          </w:p>
          <w:p w14:paraId="494AD868" w14:textId="77777777" w:rsidR="00F01091" w:rsidRDefault="00F01091" w:rsidP="000766DF">
            <w:pPr>
              <w:ind w:right="-781"/>
              <w:rPr>
                <w:rFonts w:cs="Arial"/>
                <w:sz w:val="17"/>
                <w:szCs w:val="17"/>
              </w:rPr>
            </w:pPr>
          </w:p>
        </w:tc>
      </w:tr>
    </w:tbl>
    <w:tbl>
      <w:tblPr>
        <w:tblpPr w:leftFromText="180" w:rightFromText="180" w:vertAnchor="text" w:horzAnchor="margin" w:tblpY="-424"/>
        <w:tblOverlap w:val="never"/>
        <w:tblW w:w="7822" w:type="dxa"/>
        <w:tblBorders>
          <w:top w:val="single" w:sz="4" w:space="0" w:color="auto"/>
          <w:left w:val="single" w:sz="4" w:space="0" w:color="auto"/>
          <w:bottom w:val="single" w:sz="4" w:space="0" w:color="auto"/>
          <w:right w:val="single" w:sz="4" w:space="0" w:color="auto"/>
          <w:insideH w:val="single" w:sz="4" w:space="0" w:color="999999"/>
          <w:insideV w:val="single" w:sz="4" w:space="0" w:color="999999"/>
        </w:tblBorders>
        <w:tblCellMar>
          <w:left w:w="0" w:type="dxa"/>
          <w:right w:w="0" w:type="dxa"/>
        </w:tblCellMar>
        <w:tblLook w:val="0000" w:firstRow="0" w:lastRow="0" w:firstColumn="0" w:lastColumn="0" w:noHBand="0" w:noVBand="0"/>
      </w:tblPr>
      <w:tblGrid>
        <w:gridCol w:w="4115"/>
        <w:gridCol w:w="889"/>
        <w:gridCol w:w="621"/>
        <w:gridCol w:w="512"/>
        <w:gridCol w:w="492"/>
        <w:gridCol w:w="552"/>
        <w:gridCol w:w="641"/>
      </w:tblGrid>
      <w:tr w:rsidR="000766DF" w14:paraId="51695AB0" w14:textId="77777777" w:rsidTr="000766DF">
        <w:trPr>
          <w:trHeight w:val="702"/>
        </w:trPr>
        <w:tc>
          <w:tcPr>
            <w:tcW w:w="7822" w:type="dxa"/>
            <w:gridSpan w:val="7"/>
            <w:tcBorders>
              <w:top w:val="nil"/>
              <w:left w:val="nil"/>
              <w:bottom w:val="single" w:sz="4" w:space="0" w:color="auto"/>
              <w:right w:val="nil"/>
            </w:tcBorders>
            <w:tcMar>
              <w:top w:w="14" w:type="dxa"/>
              <w:left w:w="43" w:type="dxa"/>
              <w:bottom w:w="14" w:type="dxa"/>
              <w:right w:w="43" w:type="dxa"/>
            </w:tcMar>
            <w:vAlign w:val="center"/>
          </w:tcPr>
          <w:p w14:paraId="24C3B2B1" w14:textId="77777777" w:rsidR="000766DF" w:rsidRDefault="000766DF" w:rsidP="000766DF">
            <w:pPr>
              <w:pStyle w:val="Header"/>
              <w:spacing w:before="40" w:after="40"/>
              <w:rPr>
                <w:rFonts w:cs="Arial"/>
                <w:b/>
              </w:rPr>
            </w:pPr>
          </w:p>
          <w:p w14:paraId="02AAEE92" w14:textId="77777777" w:rsidR="000766DF" w:rsidRDefault="000766DF" w:rsidP="000766DF">
            <w:pPr>
              <w:pStyle w:val="Header"/>
              <w:spacing w:before="40" w:after="40"/>
              <w:rPr>
                <w:rFonts w:cs="Arial"/>
                <w:b/>
              </w:rPr>
            </w:pPr>
          </w:p>
          <w:p w14:paraId="728F0857" w14:textId="77777777" w:rsidR="000766DF" w:rsidRDefault="000766DF" w:rsidP="000766DF">
            <w:pPr>
              <w:pStyle w:val="Header"/>
              <w:spacing w:before="40" w:after="40"/>
              <w:rPr>
                <w:rFonts w:cs="Arial"/>
                <w:b/>
              </w:rPr>
            </w:pPr>
          </w:p>
          <w:p w14:paraId="743FDF60" w14:textId="77777777" w:rsidR="000766DF" w:rsidRDefault="000766DF" w:rsidP="000766DF">
            <w:pPr>
              <w:pStyle w:val="Header"/>
              <w:spacing w:before="40" w:after="40"/>
              <w:rPr>
                <w:rFonts w:cs="Arial"/>
                <w:vertAlign w:val="superscript"/>
              </w:rPr>
            </w:pPr>
            <w:r>
              <w:rPr>
                <w:rFonts w:cs="Arial"/>
                <w:b/>
              </w:rPr>
              <w:t>Table 3:  Responses (%) to items omitted from final factor analysis</w:t>
            </w:r>
          </w:p>
        </w:tc>
      </w:tr>
      <w:tr w:rsidR="000766DF" w14:paraId="4C5012BB" w14:textId="77777777" w:rsidTr="000766DF">
        <w:trPr>
          <w:trHeight w:val="702"/>
        </w:trPr>
        <w:tc>
          <w:tcPr>
            <w:tcW w:w="4115" w:type="dxa"/>
            <w:tcBorders>
              <w:top w:val="single" w:sz="4" w:space="0" w:color="auto"/>
              <w:right w:val="single" w:sz="4" w:space="0" w:color="000000"/>
            </w:tcBorders>
            <w:tcMar>
              <w:top w:w="14" w:type="dxa"/>
              <w:left w:w="43" w:type="dxa"/>
              <w:bottom w:w="14" w:type="dxa"/>
              <w:right w:w="43" w:type="dxa"/>
            </w:tcMar>
            <w:vAlign w:val="center"/>
          </w:tcPr>
          <w:p w14:paraId="51C8F2AB" w14:textId="77777777" w:rsidR="000766DF" w:rsidRDefault="000766DF" w:rsidP="000766DF">
            <w:pPr>
              <w:rPr>
                <w:rFonts w:cs="Arial"/>
                <w:b/>
                <w:sz w:val="20"/>
              </w:rPr>
            </w:pPr>
            <w:r>
              <w:rPr>
                <w:b/>
                <w:sz w:val="20"/>
              </w:rPr>
              <w:lastRenderedPageBreak/>
              <w:t>Teamwork items</w:t>
            </w:r>
          </w:p>
        </w:tc>
        <w:tc>
          <w:tcPr>
            <w:tcW w:w="889" w:type="dxa"/>
            <w:tcBorders>
              <w:top w:val="single" w:sz="4" w:space="0" w:color="auto"/>
              <w:left w:val="single" w:sz="4" w:space="0" w:color="000000"/>
              <w:bottom w:val="single" w:sz="4" w:space="0" w:color="999999"/>
            </w:tcBorders>
          </w:tcPr>
          <w:p w14:paraId="25127712" w14:textId="77777777" w:rsidR="000766DF" w:rsidRDefault="000766DF" w:rsidP="000766DF">
            <w:pPr>
              <w:pStyle w:val="Header"/>
              <w:spacing w:before="40" w:after="40"/>
              <w:jc w:val="center"/>
              <w:rPr>
                <w:rFonts w:cs="Arial"/>
                <w:sz w:val="14"/>
              </w:rPr>
            </w:pPr>
            <w:r>
              <w:rPr>
                <w:rFonts w:cs="Arial"/>
                <w:sz w:val="14"/>
                <w:szCs w:val="14"/>
                <w:vertAlign w:val="superscript"/>
              </w:rPr>
              <w:t>†</w:t>
            </w:r>
            <w:r>
              <w:rPr>
                <w:rFonts w:cs="Arial"/>
                <w:sz w:val="14"/>
              </w:rPr>
              <w:t>Disagree strongly</w:t>
            </w:r>
          </w:p>
        </w:tc>
        <w:tc>
          <w:tcPr>
            <w:tcW w:w="621" w:type="dxa"/>
            <w:tcBorders>
              <w:top w:val="single" w:sz="4" w:space="0" w:color="auto"/>
              <w:bottom w:val="single" w:sz="4" w:space="0" w:color="999999"/>
            </w:tcBorders>
          </w:tcPr>
          <w:p w14:paraId="506EA50F" w14:textId="77777777" w:rsidR="000766DF" w:rsidRDefault="000766DF" w:rsidP="000766DF">
            <w:pPr>
              <w:pStyle w:val="Header"/>
              <w:spacing w:before="40" w:after="40"/>
              <w:jc w:val="center"/>
              <w:rPr>
                <w:rFonts w:cs="Arial"/>
                <w:sz w:val="14"/>
              </w:rPr>
            </w:pPr>
            <w:r>
              <w:rPr>
                <w:rFonts w:cs="Arial"/>
                <w:sz w:val="14"/>
                <w:szCs w:val="14"/>
                <w:vertAlign w:val="superscript"/>
              </w:rPr>
              <w:t>†</w:t>
            </w:r>
            <w:r>
              <w:rPr>
                <w:rFonts w:cs="Arial"/>
                <w:sz w:val="14"/>
              </w:rPr>
              <w:t>Disagree slightly</w:t>
            </w:r>
          </w:p>
        </w:tc>
        <w:tc>
          <w:tcPr>
            <w:tcW w:w="512" w:type="dxa"/>
            <w:tcBorders>
              <w:top w:val="single" w:sz="4" w:space="0" w:color="auto"/>
              <w:bottom w:val="single" w:sz="4" w:space="0" w:color="999999"/>
            </w:tcBorders>
          </w:tcPr>
          <w:p w14:paraId="3FBF2124" w14:textId="77777777" w:rsidR="000766DF" w:rsidRDefault="000766DF" w:rsidP="000766DF">
            <w:pPr>
              <w:pStyle w:val="Header"/>
              <w:spacing w:before="40" w:after="40"/>
              <w:jc w:val="center"/>
              <w:rPr>
                <w:rFonts w:cs="Arial"/>
                <w:sz w:val="14"/>
              </w:rPr>
            </w:pPr>
            <w:r>
              <w:rPr>
                <w:rFonts w:cs="Arial"/>
                <w:sz w:val="14"/>
                <w:szCs w:val="14"/>
                <w:vertAlign w:val="superscript"/>
              </w:rPr>
              <w:t>†</w:t>
            </w:r>
            <w:r>
              <w:rPr>
                <w:rFonts w:cs="Arial"/>
                <w:sz w:val="14"/>
              </w:rPr>
              <w:t>Neutral</w:t>
            </w:r>
          </w:p>
        </w:tc>
        <w:tc>
          <w:tcPr>
            <w:tcW w:w="492" w:type="dxa"/>
            <w:tcBorders>
              <w:top w:val="single" w:sz="4" w:space="0" w:color="auto"/>
              <w:bottom w:val="single" w:sz="4" w:space="0" w:color="999999"/>
            </w:tcBorders>
          </w:tcPr>
          <w:p w14:paraId="2267431D" w14:textId="77777777" w:rsidR="000766DF" w:rsidRDefault="000766DF" w:rsidP="000766DF">
            <w:pPr>
              <w:pStyle w:val="Header"/>
              <w:spacing w:before="40" w:after="40"/>
              <w:jc w:val="center"/>
              <w:rPr>
                <w:rFonts w:cs="Arial"/>
                <w:sz w:val="14"/>
              </w:rPr>
            </w:pPr>
            <w:r>
              <w:rPr>
                <w:rFonts w:cs="Arial"/>
                <w:sz w:val="14"/>
                <w:szCs w:val="14"/>
                <w:vertAlign w:val="superscript"/>
              </w:rPr>
              <w:t>†</w:t>
            </w:r>
            <w:r>
              <w:rPr>
                <w:rFonts w:cs="Arial"/>
                <w:sz w:val="14"/>
              </w:rPr>
              <w:t>Agree slightly</w:t>
            </w:r>
          </w:p>
        </w:tc>
        <w:tc>
          <w:tcPr>
            <w:tcW w:w="552" w:type="dxa"/>
            <w:tcBorders>
              <w:top w:val="single" w:sz="4" w:space="0" w:color="auto"/>
              <w:bottom w:val="single" w:sz="4" w:space="0" w:color="999999"/>
              <w:right w:val="single" w:sz="4" w:space="0" w:color="000000"/>
            </w:tcBorders>
          </w:tcPr>
          <w:p w14:paraId="6E866BA0" w14:textId="77777777" w:rsidR="000766DF" w:rsidRDefault="000766DF" w:rsidP="000766DF">
            <w:pPr>
              <w:pStyle w:val="Header"/>
              <w:spacing w:before="40" w:after="40"/>
              <w:jc w:val="center"/>
              <w:rPr>
                <w:rFonts w:cs="Arial"/>
                <w:sz w:val="14"/>
              </w:rPr>
            </w:pPr>
            <w:r>
              <w:rPr>
                <w:rFonts w:cs="Arial"/>
                <w:sz w:val="14"/>
                <w:szCs w:val="14"/>
                <w:vertAlign w:val="superscript"/>
              </w:rPr>
              <w:t>†</w:t>
            </w:r>
            <w:r>
              <w:rPr>
                <w:rFonts w:cs="Arial"/>
                <w:sz w:val="14"/>
              </w:rPr>
              <w:t>Agree strongly</w:t>
            </w:r>
          </w:p>
        </w:tc>
        <w:tc>
          <w:tcPr>
            <w:tcW w:w="641" w:type="dxa"/>
            <w:tcBorders>
              <w:top w:val="single" w:sz="4" w:space="0" w:color="auto"/>
              <w:left w:val="single" w:sz="4" w:space="0" w:color="000000"/>
            </w:tcBorders>
          </w:tcPr>
          <w:p w14:paraId="35DBCCE4" w14:textId="77777777" w:rsidR="000766DF" w:rsidRDefault="000766DF" w:rsidP="000766DF">
            <w:pPr>
              <w:pStyle w:val="Header"/>
              <w:spacing w:before="40" w:after="40"/>
              <w:jc w:val="center"/>
              <w:rPr>
                <w:rFonts w:cs="Arial"/>
                <w:sz w:val="14"/>
              </w:rPr>
            </w:pPr>
            <w:r>
              <w:rPr>
                <w:rFonts w:cs="Arial"/>
                <w:sz w:val="14"/>
                <w:szCs w:val="14"/>
                <w:vertAlign w:val="superscript"/>
              </w:rPr>
              <w:t>‡</w:t>
            </w:r>
            <w:r>
              <w:rPr>
                <w:rFonts w:cs="Arial"/>
                <w:sz w:val="14"/>
              </w:rPr>
              <w:t>Not applicable</w:t>
            </w:r>
          </w:p>
        </w:tc>
      </w:tr>
      <w:tr w:rsidR="000766DF" w14:paraId="617C18B4" w14:textId="77777777" w:rsidTr="000766DF">
        <w:trPr>
          <w:trHeight w:hRule="exact" w:val="501"/>
        </w:trPr>
        <w:tc>
          <w:tcPr>
            <w:tcW w:w="4115" w:type="dxa"/>
            <w:tcBorders>
              <w:right w:val="single" w:sz="4" w:space="0" w:color="000000"/>
            </w:tcBorders>
            <w:tcMar>
              <w:top w:w="14" w:type="dxa"/>
              <w:left w:w="43" w:type="dxa"/>
              <w:bottom w:w="14" w:type="dxa"/>
              <w:right w:w="43" w:type="dxa"/>
            </w:tcMar>
            <w:vAlign w:val="center"/>
          </w:tcPr>
          <w:p w14:paraId="36EB69D9" w14:textId="77777777" w:rsidR="000766DF" w:rsidRDefault="000766DF" w:rsidP="000766DF">
            <w:pPr>
              <w:pStyle w:val="Header"/>
              <w:rPr>
                <w:rFonts w:cs="Arial"/>
                <w:sz w:val="17"/>
                <w:szCs w:val="17"/>
              </w:rPr>
            </w:pPr>
            <w:r>
              <w:rPr>
                <w:sz w:val="17"/>
                <w:szCs w:val="17"/>
              </w:rPr>
              <w:t xml:space="preserve">*Where I work, it is difficult to speak up if I perceive a problem with patient care.  </w:t>
            </w:r>
          </w:p>
        </w:tc>
        <w:tc>
          <w:tcPr>
            <w:tcW w:w="889" w:type="dxa"/>
            <w:tcBorders>
              <w:top w:val="single" w:sz="4" w:space="0" w:color="999999"/>
              <w:left w:val="single" w:sz="4" w:space="0" w:color="000000"/>
              <w:bottom w:val="single" w:sz="4" w:space="0" w:color="999999"/>
            </w:tcBorders>
            <w:tcMar>
              <w:top w:w="14" w:type="dxa"/>
              <w:left w:w="43" w:type="dxa"/>
              <w:bottom w:w="14" w:type="dxa"/>
              <w:right w:w="43" w:type="dxa"/>
            </w:tcMar>
            <w:vAlign w:val="center"/>
          </w:tcPr>
          <w:p w14:paraId="0048827A" w14:textId="77777777" w:rsidR="000766DF" w:rsidRDefault="000766DF" w:rsidP="000766DF">
            <w:pPr>
              <w:jc w:val="center"/>
              <w:rPr>
                <w:rFonts w:cs="Arial"/>
                <w:sz w:val="20"/>
              </w:rPr>
            </w:pPr>
            <w:r>
              <w:rPr>
                <w:rFonts w:cs="Arial"/>
                <w:sz w:val="20"/>
              </w:rPr>
              <w:t>6</w:t>
            </w:r>
          </w:p>
        </w:tc>
        <w:tc>
          <w:tcPr>
            <w:tcW w:w="621" w:type="dxa"/>
            <w:tcBorders>
              <w:top w:val="single" w:sz="4" w:space="0" w:color="999999"/>
              <w:bottom w:val="single" w:sz="4" w:space="0" w:color="999999"/>
            </w:tcBorders>
            <w:tcMar>
              <w:top w:w="14" w:type="dxa"/>
              <w:left w:w="43" w:type="dxa"/>
              <w:bottom w:w="14" w:type="dxa"/>
              <w:right w:w="43" w:type="dxa"/>
            </w:tcMar>
            <w:vAlign w:val="center"/>
          </w:tcPr>
          <w:p w14:paraId="78C23139" w14:textId="77777777" w:rsidR="000766DF" w:rsidRDefault="000766DF" w:rsidP="000766DF">
            <w:pPr>
              <w:jc w:val="center"/>
              <w:rPr>
                <w:rFonts w:cs="Arial"/>
                <w:sz w:val="20"/>
              </w:rPr>
            </w:pPr>
            <w:r>
              <w:rPr>
                <w:rFonts w:cs="Arial"/>
                <w:sz w:val="20"/>
              </w:rPr>
              <w:t>12</w:t>
            </w:r>
          </w:p>
        </w:tc>
        <w:tc>
          <w:tcPr>
            <w:tcW w:w="512" w:type="dxa"/>
            <w:tcBorders>
              <w:top w:val="single" w:sz="4" w:space="0" w:color="999999"/>
              <w:bottom w:val="single" w:sz="4" w:space="0" w:color="999999"/>
            </w:tcBorders>
            <w:tcMar>
              <w:top w:w="14" w:type="dxa"/>
              <w:left w:w="43" w:type="dxa"/>
              <w:bottom w:w="14" w:type="dxa"/>
              <w:right w:w="43" w:type="dxa"/>
            </w:tcMar>
            <w:vAlign w:val="center"/>
          </w:tcPr>
          <w:p w14:paraId="4CE74CAC" w14:textId="77777777" w:rsidR="000766DF" w:rsidRDefault="000766DF" w:rsidP="000766DF">
            <w:pPr>
              <w:jc w:val="center"/>
              <w:rPr>
                <w:rFonts w:cs="Arial"/>
                <w:sz w:val="20"/>
              </w:rPr>
            </w:pPr>
            <w:r>
              <w:rPr>
                <w:rFonts w:cs="Arial"/>
                <w:sz w:val="20"/>
              </w:rPr>
              <w:t>4</w:t>
            </w:r>
          </w:p>
        </w:tc>
        <w:tc>
          <w:tcPr>
            <w:tcW w:w="492" w:type="dxa"/>
            <w:tcBorders>
              <w:top w:val="single" w:sz="4" w:space="0" w:color="999999"/>
              <w:bottom w:val="single" w:sz="4" w:space="0" w:color="999999"/>
            </w:tcBorders>
            <w:tcMar>
              <w:top w:w="14" w:type="dxa"/>
              <w:left w:w="43" w:type="dxa"/>
              <w:bottom w:w="14" w:type="dxa"/>
              <w:right w:w="43" w:type="dxa"/>
            </w:tcMar>
            <w:vAlign w:val="center"/>
          </w:tcPr>
          <w:p w14:paraId="6075392D" w14:textId="77777777" w:rsidR="000766DF" w:rsidRDefault="000766DF" w:rsidP="000766DF">
            <w:pPr>
              <w:jc w:val="center"/>
              <w:rPr>
                <w:rFonts w:cs="Arial"/>
                <w:sz w:val="20"/>
              </w:rPr>
            </w:pPr>
            <w:r>
              <w:rPr>
                <w:rFonts w:cs="Arial"/>
                <w:sz w:val="20"/>
              </w:rPr>
              <w:t>23</w:t>
            </w:r>
          </w:p>
        </w:tc>
        <w:tc>
          <w:tcPr>
            <w:tcW w:w="552" w:type="dxa"/>
            <w:tcBorders>
              <w:top w:val="single" w:sz="4" w:space="0" w:color="999999"/>
              <w:bottom w:val="single" w:sz="4" w:space="0" w:color="999999"/>
              <w:right w:val="single" w:sz="4" w:space="0" w:color="000000"/>
            </w:tcBorders>
            <w:tcMar>
              <w:top w:w="14" w:type="dxa"/>
              <w:left w:w="43" w:type="dxa"/>
              <w:bottom w:w="14" w:type="dxa"/>
              <w:right w:w="43" w:type="dxa"/>
            </w:tcMar>
            <w:vAlign w:val="center"/>
          </w:tcPr>
          <w:p w14:paraId="0C1F5342" w14:textId="77777777" w:rsidR="000766DF" w:rsidRDefault="000766DF" w:rsidP="000766DF">
            <w:pPr>
              <w:jc w:val="center"/>
              <w:rPr>
                <w:rFonts w:cs="Arial"/>
                <w:sz w:val="20"/>
              </w:rPr>
            </w:pPr>
            <w:r>
              <w:rPr>
                <w:rFonts w:cs="Arial"/>
                <w:sz w:val="20"/>
              </w:rPr>
              <w:t>55</w:t>
            </w:r>
          </w:p>
        </w:tc>
        <w:tc>
          <w:tcPr>
            <w:tcW w:w="641" w:type="dxa"/>
            <w:tcBorders>
              <w:left w:val="single" w:sz="4" w:space="0" w:color="000000"/>
            </w:tcBorders>
            <w:tcMar>
              <w:top w:w="14" w:type="dxa"/>
              <w:left w:w="43" w:type="dxa"/>
              <w:bottom w:w="14" w:type="dxa"/>
              <w:right w:w="43" w:type="dxa"/>
            </w:tcMar>
            <w:vAlign w:val="center"/>
          </w:tcPr>
          <w:p w14:paraId="28C9D1A3" w14:textId="77777777" w:rsidR="000766DF" w:rsidRDefault="000766DF" w:rsidP="000766DF">
            <w:pPr>
              <w:jc w:val="center"/>
              <w:rPr>
                <w:rFonts w:cs="Arial"/>
                <w:sz w:val="20"/>
              </w:rPr>
            </w:pPr>
            <w:r>
              <w:rPr>
                <w:rFonts w:cs="Arial"/>
                <w:sz w:val="20"/>
              </w:rPr>
              <w:t>2</w:t>
            </w:r>
          </w:p>
        </w:tc>
      </w:tr>
      <w:tr w:rsidR="000766DF" w14:paraId="1E1E8465" w14:textId="77777777" w:rsidTr="000766DF">
        <w:trPr>
          <w:trHeight w:hRule="exact" w:val="501"/>
        </w:trPr>
        <w:tc>
          <w:tcPr>
            <w:tcW w:w="4115" w:type="dxa"/>
            <w:tcBorders>
              <w:bottom w:val="single" w:sz="4" w:space="0" w:color="999999"/>
              <w:right w:val="single" w:sz="4" w:space="0" w:color="000000"/>
            </w:tcBorders>
            <w:tcMar>
              <w:top w:w="14" w:type="dxa"/>
              <w:left w:w="43" w:type="dxa"/>
              <w:bottom w:w="14" w:type="dxa"/>
              <w:right w:w="43" w:type="dxa"/>
            </w:tcMar>
            <w:vAlign w:val="center"/>
          </w:tcPr>
          <w:p w14:paraId="70CC9DF6" w14:textId="77777777" w:rsidR="000766DF" w:rsidRDefault="000766DF" w:rsidP="000766DF">
            <w:pPr>
              <w:pStyle w:val="Header"/>
              <w:rPr>
                <w:rFonts w:cs="Arial"/>
                <w:sz w:val="17"/>
                <w:szCs w:val="17"/>
              </w:rPr>
            </w:pPr>
            <w:r>
              <w:rPr>
                <w:sz w:val="17"/>
                <w:szCs w:val="17"/>
              </w:rPr>
              <w:t>*I am frequently unable to express disagreement with the senior clinical staff here.</w:t>
            </w:r>
          </w:p>
        </w:tc>
        <w:tc>
          <w:tcPr>
            <w:tcW w:w="889" w:type="dxa"/>
            <w:tcBorders>
              <w:top w:val="single" w:sz="4" w:space="0" w:color="999999"/>
              <w:left w:val="single" w:sz="4" w:space="0" w:color="000000"/>
              <w:bottom w:val="single" w:sz="4" w:space="0" w:color="999999"/>
            </w:tcBorders>
            <w:tcMar>
              <w:top w:w="14" w:type="dxa"/>
              <w:left w:w="43" w:type="dxa"/>
              <w:bottom w:w="14" w:type="dxa"/>
              <w:right w:w="43" w:type="dxa"/>
            </w:tcMar>
            <w:vAlign w:val="center"/>
          </w:tcPr>
          <w:p w14:paraId="74D4C7C5" w14:textId="77777777" w:rsidR="000766DF" w:rsidRDefault="000766DF" w:rsidP="000766DF">
            <w:pPr>
              <w:jc w:val="center"/>
              <w:rPr>
                <w:rFonts w:cs="Arial"/>
                <w:sz w:val="20"/>
              </w:rPr>
            </w:pPr>
            <w:r>
              <w:rPr>
                <w:rFonts w:cs="Arial"/>
                <w:sz w:val="20"/>
              </w:rPr>
              <w:t>9</w:t>
            </w:r>
          </w:p>
        </w:tc>
        <w:tc>
          <w:tcPr>
            <w:tcW w:w="621" w:type="dxa"/>
            <w:tcBorders>
              <w:top w:val="single" w:sz="4" w:space="0" w:color="999999"/>
              <w:bottom w:val="single" w:sz="4" w:space="0" w:color="999999"/>
            </w:tcBorders>
            <w:tcMar>
              <w:top w:w="14" w:type="dxa"/>
              <w:left w:w="43" w:type="dxa"/>
              <w:bottom w:w="14" w:type="dxa"/>
              <w:right w:w="43" w:type="dxa"/>
            </w:tcMar>
            <w:vAlign w:val="center"/>
          </w:tcPr>
          <w:p w14:paraId="2200D5DE" w14:textId="77777777" w:rsidR="000766DF" w:rsidRDefault="000766DF" w:rsidP="000766DF">
            <w:pPr>
              <w:jc w:val="center"/>
              <w:rPr>
                <w:rFonts w:cs="Arial"/>
                <w:sz w:val="20"/>
              </w:rPr>
            </w:pPr>
            <w:r>
              <w:rPr>
                <w:rFonts w:cs="Arial"/>
                <w:sz w:val="20"/>
              </w:rPr>
              <w:t>13</w:t>
            </w:r>
          </w:p>
        </w:tc>
        <w:tc>
          <w:tcPr>
            <w:tcW w:w="512" w:type="dxa"/>
            <w:tcBorders>
              <w:top w:val="single" w:sz="4" w:space="0" w:color="999999"/>
              <w:bottom w:val="single" w:sz="4" w:space="0" w:color="999999"/>
            </w:tcBorders>
            <w:tcMar>
              <w:top w:w="14" w:type="dxa"/>
              <w:left w:w="43" w:type="dxa"/>
              <w:bottom w:w="14" w:type="dxa"/>
              <w:right w:w="43" w:type="dxa"/>
            </w:tcMar>
            <w:vAlign w:val="center"/>
          </w:tcPr>
          <w:p w14:paraId="15195E86" w14:textId="77777777" w:rsidR="000766DF" w:rsidRDefault="000766DF" w:rsidP="000766DF">
            <w:pPr>
              <w:jc w:val="center"/>
              <w:rPr>
                <w:rFonts w:cs="Arial"/>
                <w:sz w:val="20"/>
              </w:rPr>
            </w:pPr>
            <w:r>
              <w:rPr>
                <w:rFonts w:cs="Arial"/>
                <w:sz w:val="20"/>
              </w:rPr>
              <w:t>14</w:t>
            </w:r>
          </w:p>
        </w:tc>
        <w:tc>
          <w:tcPr>
            <w:tcW w:w="492" w:type="dxa"/>
            <w:tcBorders>
              <w:top w:val="single" w:sz="4" w:space="0" w:color="999999"/>
              <w:bottom w:val="single" w:sz="4" w:space="0" w:color="999999"/>
            </w:tcBorders>
            <w:tcMar>
              <w:top w:w="14" w:type="dxa"/>
              <w:left w:w="43" w:type="dxa"/>
              <w:bottom w:w="14" w:type="dxa"/>
              <w:right w:w="43" w:type="dxa"/>
            </w:tcMar>
            <w:vAlign w:val="center"/>
          </w:tcPr>
          <w:p w14:paraId="094BE8FD" w14:textId="77777777" w:rsidR="000766DF" w:rsidRDefault="000766DF" w:rsidP="000766DF">
            <w:pPr>
              <w:jc w:val="center"/>
              <w:rPr>
                <w:rFonts w:cs="Arial"/>
                <w:sz w:val="20"/>
              </w:rPr>
            </w:pPr>
            <w:r>
              <w:rPr>
                <w:rFonts w:cs="Arial"/>
                <w:sz w:val="20"/>
              </w:rPr>
              <w:t>27</w:t>
            </w:r>
          </w:p>
        </w:tc>
        <w:tc>
          <w:tcPr>
            <w:tcW w:w="552" w:type="dxa"/>
            <w:tcBorders>
              <w:top w:val="single" w:sz="4" w:space="0" w:color="999999"/>
              <w:bottom w:val="single" w:sz="4" w:space="0" w:color="999999"/>
              <w:right w:val="single" w:sz="4" w:space="0" w:color="000000"/>
            </w:tcBorders>
            <w:tcMar>
              <w:top w:w="14" w:type="dxa"/>
              <w:left w:w="43" w:type="dxa"/>
              <w:bottom w:w="14" w:type="dxa"/>
              <w:right w:w="43" w:type="dxa"/>
            </w:tcMar>
            <w:vAlign w:val="center"/>
          </w:tcPr>
          <w:p w14:paraId="4035EF20" w14:textId="77777777" w:rsidR="000766DF" w:rsidRDefault="000766DF" w:rsidP="000766DF">
            <w:pPr>
              <w:jc w:val="center"/>
              <w:rPr>
                <w:rFonts w:cs="Arial"/>
                <w:sz w:val="20"/>
              </w:rPr>
            </w:pPr>
            <w:r>
              <w:rPr>
                <w:rFonts w:cs="Arial"/>
                <w:sz w:val="20"/>
              </w:rPr>
              <w:t>37</w:t>
            </w:r>
          </w:p>
        </w:tc>
        <w:tc>
          <w:tcPr>
            <w:tcW w:w="641" w:type="dxa"/>
            <w:tcBorders>
              <w:left w:val="single" w:sz="4" w:space="0" w:color="000000"/>
              <w:bottom w:val="single" w:sz="4" w:space="0" w:color="999999"/>
            </w:tcBorders>
            <w:tcMar>
              <w:top w:w="14" w:type="dxa"/>
              <w:left w:w="43" w:type="dxa"/>
              <w:bottom w:w="14" w:type="dxa"/>
              <w:right w:w="43" w:type="dxa"/>
            </w:tcMar>
            <w:vAlign w:val="center"/>
          </w:tcPr>
          <w:p w14:paraId="702387D2" w14:textId="77777777" w:rsidR="000766DF" w:rsidRDefault="000766DF" w:rsidP="000766DF">
            <w:pPr>
              <w:jc w:val="center"/>
              <w:rPr>
                <w:rFonts w:cs="Arial"/>
                <w:sz w:val="20"/>
              </w:rPr>
            </w:pPr>
            <w:r>
              <w:rPr>
                <w:rFonts w:cs="Arial"/>
                <w:sz w:val="20"/>
              </w:rPr>
              <w:t>6</w:t>
            </w:r>
          </w:p>
        </w:tc>
      </w:tr>
      <w:tr w:rsidR="000766DF" w14:paraId="066BF8E9" w14:textId="77777777" w:rsidTr="000766DF">
        <w:trPr>
          <w:trHeight w:hRule="exact" w:val="642"/>
        </w:trPr>
        <w:tc>
          <w:tcPr>
            <w:tcW w:w="4115" w:type="dxa"/>
            <w:tcBorders>
              <w:top w:val="single" w:sz="4" w:space="0" w:color="999999"/>
              <w:bottom w:val="single" w:sz="4" w:space="0" w:color="auto"/>
              <w:right w:val="single" w:sz="4" w:space="0" w:color="000000"/>
            </w:tcBorders>
            <w:tcMar>
              <w:top w:w="14" w:type="dxa"/>
              <w:left w:w="43" w:type="dxa"/>
              <w:bottom w:w="14" w:type="dxa"/>
              <w:right w:w="43" w:type="dxa"/>
            </w:tcMar>
            <w:vAlign w:val="center"/>
          </w:tcPr>
          <w:p w14:paraId="13C9C8F9" w14:textId="77777777" w:rsidR="000766DF" w:rsidRDefault="000766DF" w:rsidP="000766DF">
            <w:pPr>
              <w:pStyle w:val="Header"/>
              <w:rPr>
                <w:rFonts w:cs="Arial"/>
                <w:sz w:val="17"/>
                <w:szCs w:val="17"/>
              </w:rPr>
            </w:pPr>
            <w:r>
              <w:rPr>
                <w:rFonts w:cs="Arial"/>
                <w:sz w:val="17"/>
                <w:szCs w:val="17"/>
              </w:rPr>
              <w:t>Briefing staff on handovers between shifts / periods of work (i.e. to plan for possible contingencies) is important for patient safety.</w:t>
            </w:r>
          </w:p>
        </w:tc>
        <w:tc>
          <w:tcPr>
            <w:tcW w:w="889" w:type="dxa"/>
            <w:tcBorders>
              <w:top w:val="single" w:sz="4" w:space="0" w:color="999999"/>
              <w:left w:val="single" w:sz="4" w:space="0" w:color="000000"/>
              <w:bottom w:val="single" w:sz="4" w:space="0" w:color="auto"/>
            </w:tcBorders>
            <w:tcMar>
              <w:top w:w="14" w:type="dxa"/>
              <w:left w:w="43" w:type="dxa"/>
              <w:bottom w:w="14" w:type="dxa"/>
              <w:right w:w="43" w:type="dxa"/>
            </w:tcMar>
            <w:vAlign w:val="center"/>
          </w:tcPr>
          <w:p w14:paraId="3F2FA75D" w14:textId="77777777" w:rsidR="000766DF" w:rsidRDefault="000766DF" w:rsidP="000766DF">
            <w:pPr>
              <w:jc w:val="center"/>
              <w:rPr>
                <w:rFonts w:cs="Arial"/>
                <w:sz w:val="20"/>
              </w:rPr>
            </w:pPr>
            <w:r>
              <w:rPr>
                <w:rFonts w:cs="Arial"/>
                <w:sz w:val="20"/>
              </w:rPr>
              <w:t>0.4</w:t>
            </w:r>
          </w:p>
        </w:tc>
        <w:tc>
          <w:tcPr>
            <w:tcW w:w="621" w:type="dxa"/>
            <w:tcBorders>
              <w:top w:val="single" w:sz="4" w:space="0" w:color="999999"/>
              <w:bottom w:val="single" w:sz="4" w:space="0" w:color="auto"/>
            </w:tcBorders>
            <w:tcMar>
              <w:top w:w="14" w:type="dxa"/>
              <w:left w:w="43" w:type="dxa"/>
              <w:bottom w:w="14" w:type="dxa"/>
              <w:right w:w="43" w:type="dxa"/>
            </w:tcMar>
            <w:vAlign w:val="center"/>
          </w:tcPr>
          <w:p w14:paraId="22346963" w14:textId="77777777" w:rsidR="000766DF" w:rsidRDefault="000766DF" w:rsidP="000766DF">
            <w:pPr>
              <w:jc w:val="center"/>
              <w:rPr>
                <w:rFonts w:cs="Arial"/>
                <w:sz w:val="20"/>
              </w:rPr>
            </w:pPr>
            <w:r>
              <w:rPr>
                <w:rFonts w:cs="Arial"/>
                <w:sz w:val="20"/>
              </w:rPr>
              <w:t>0.3</w:t>
            </w:r>
          </w:p>
        </w:tc>
        <w:tc>
          <w:tcPr>
            <w:tcW w:w="512" w:type="dxa"/>
            <w:tcBorders>
              <w:top w:val="single" w:sz="4" w:space="0" w:color="999999"/>
              <w:bottom w:val="single" w:sz="4" w:space="0" w:color="auto"/>
            </w:tcBorders>
            <w:tcMar>
              <w:top w:w="14" w:type="dxa"/>
              <w:left w:w="43" w:type="dxa"/>
              <w:bottom w:w="14" w:type="dxa"/>
              <w:right w:w="43" w:type="dxa"/>
            </w:tcMar>
            <w:vAlign w:val="center"/>
          </w:tcPr>
          <w:p w14:paraId="4FBBC332" w14:textId="77777777" w:rsidR="000766DF" w:rsidRDefault="000766DF" w:rsidP="000766DF">
            <w:pPr>
              <w:jc w:val="center"/>
              <w:rPr>
                <w:rFonts w:cs="Arial"/>
                <w:sz w:val="20"/>
              </w:rPr>
            </w:pPr>
            <w:r>
              <w:rPr>
                <w:rFonts w:cs="Arial"/>
                <w:sz w:val="20"/>
              </w:rPr>
              <w:t>3</w:t>
            </w:r>
          </w:p>
        </w:tc>
        <w:tc>
          <w:tcPr>
            <w:tcW w:w="492" w:type="dxa"/>
            <w:tcBorders>
              <w:top w:val="single" w:sz="4" w:space="0" w:color="999999"/>
              <w:bottom w:val="single" w:sz="4" w:space="0" w:color="auto"/>
            </w:tcBorders>
            <w:tcMar>
              <w:top w:w="14" w:type="dxa"/>
              <w:left w:w="43" w:type="dxa"/>
              <w:bottom w:w="14" w:type="dxa"/>
              <w:right w:w="43" w:type="dxa"/>
            </w:tcMar>
            <w:vAlign w:val="center"/>
          </w:tcPr>
          <w:p w14:paraId="713C32E6" w14:textId="77777777" w:rsidR="000766DF" w:rsidRDefault="000766DF" w:rsidP="000766DF">
            <w:pPr>
              <w:jc w:val="center"/>
              <w:rPr>
                <w:rFonts w:cs="Arial"/>
                <w:sz w:val="20"/>
              </w:rPr>
            </w:pPr>
            <w:r>
              <w:rPr>
                <w:rFonts w:cs="Arial"/>
                <w:sz w:val="20"/>
              </w:rPr>
              <w:t>12</w:t>
            </w:r>
          </w:p>
        </w:tc>
        <w:tc>
          <w:tcPr>
            <w:tcW w:w="552" w:type="dxa"/>
            <w:tcBorders>
              <w:top w:val="single" w:sz="4" w:space="0" w:color="999999"/>
              <w:bottom w:val="single" w:sz="4" w:space="0" w:color="auto"/>
              <w:right w:val="single" w:sz="4" w:space="0" w:color="000000"/>
            </w:tcBorders>
            <w:tcMar>
              <w:top w:w="14" w:type="dxa"/>
              <w:left w:w="43" w:type="dxa"/>
              <w:bottom w:w="14" w:type="dxa"/>
              <w:right w:w="43" w:type="dxa"/>
            </w:tcMar>
            <w:vAlign w:val="center"/>
          </w:tcPr>
          <w:p w14:paraId="2D798450" w14:textId="77777777" w:rsidR="000766DF" w:rsidRDefault="000766DF" w:rsidP="000766DF">
            <w:pPr>
              <w:jc w:val="center"/>
              <w:rPr>
                <w:rFonts w:cs="Arial"/>
                <w:sz w:val="20"/>
              </w:rPr>
            </w:pPr>
            <w:r>
              <w:rPr>
                <w:rFonts w:cs="Arial"/>
                <w:sz w:val="20"/>
              </w:rPr>
              <w:t>84</w:t>
            </w:r>
          </w:p>
        </w:tc>
        <w:tc>
          <w:tcPr>
            <w:tcW w:w="641" w:type="dxa"/>
            <w:tcBorders>
              <w:top w:val="single" w:sz="4" w:space="0" w:color="999999"/>
              <w:left w:val="single" w:sz="4" w:space="0" w:color="000000"/>
              <w:bottom w:val="single" w:sz="4" w:space="0" w:color="auto"/>
            </w:tcBorders>
            <w:tcMar>
              <w:top w:w="14" w:type="dxa"/>
              <w:left w:w="43" w:type="dxa"/>
              <w:bottom w:w="14" w:type="dxa"/>
              <w:right w:w="43" w:type="dxa"/>
            </w:tcMar>
            <w:vAlign w:val="center"/>
          </w:tcPr>
          <w:p w14:paraId="29D5B420" w14:textId="77777777" w:rsidR="000766DF" w:rsidRDefault="000766DF" w:rsidP="000766DF">
            <w:pPr>
              <w:jc w:val="center"/>
              <w:rPr>
                <w:rFonts w:cs="Arial"/>
                <w:sz w:val="20"/>
              </w:rPr>
            </w:pPr>
            <w:r>
              <w:rPr>
                <w:rFonts w:cs="Arial"/>
                <w:sz w:val="20"/>
              </w:rPr>
              <w:t>15</w:t>
            </w:r>
          </w:p>
        </w:tc>
      </w:tr>
      <w:tr w:rsidR="000766DF" w14:paraId="4B25BEF2" w14:textId="77777777" w:rsidTr="000766DF">
        <w:trPr>
          <w:trHeight w:val="768"/>
        </w:trPr>
        <w:tc>
          <w:tcPr>
            <w:tcW w:w="4115" w:type="dxa"/>
            <w:tcBorders>
              <w:top w:val="single" w:sz="4" w:space="0" w:color="auto"/>
              <w:right w:val="single" w:sz="4" w:space="0" w:color="000000"/>
            </w:tcBorders>
            <w:tcMar>
              <w:top w:w="14" w:type="dxa"/>
              <w:left w:w="43" w:type="dxa"/>
              <w:bottom w:w="14" w:type="dxa"/>
              <w:right w:w="43" w:type="dxa"/>
            </w:tcMar>
            <w:vAlign w:val="center"/>
          </w:tcPr>
          <w:p w14:paraId="7738A87B" w14:textId="77777777" w:rsidR="000766DF" w:rsidRDefault="000766DF" w:rsidP="000766DF">
            <w:pPr>
              <w:pStyle w:val="Header"/>
              <w:rPr>
                <w:sz w:val="17"/>
                <w:szCs w:val="17"/>
              </w:rPr>
            </w:pPr>
            <w:r>
              <w:rPr>
                <w:b/>
                <w:sz w:val="20"/>
              </w:rPr>
              <w:t>Safety climate items</w:t>
            </w:r>
          </w:p>
        </w:tc>
        <w:tc>
          <w:tcPr>
            <w:tcW w:w="889" w:type="dxa"/>
            <w:tcBorders>
              <w:top w:val="single" w:sz="4" w:space="0" w:color="auto"/>
              <w:left w:val="single" w:sz="4" w:space="0" w:color="000000"/>
              <w:bottom w:val="single" w:sz="4" w:space="0" w:color="999999"/>
            </w:tcBorders>
            <w:tcMar>
              <w:top w:w="14" w:type="dxa"/>
              <w:left w:w="43" w:type="dxa"/>
              <w:bottom w:w="14" w:type="dxa"/>
              <w:right w:w="43" w:type="dxa"/>
            </w:tcMar>
            <w:vAlign w:val="center"/>
          </w:tcPr>
          <w:p w14:paraId="53A46C78" w14:textId="77777777" w:rsidR="000766DF" w:rsidRDefault="000766DF" w:rsidP="000766DF">
            <w:pPr>
              <w:jc w:val="center"/>
              <w:rPr>
                <w:rFonts w:cs="Arial"/>
                <w:sz w:val="20"/>
              </w:rPr>
            </w:pPr>
          </w:p>
        </w:tc>
        <w:tc>
          <w:tcPr>
            <w:tcW w:w="621" w:type="dxa"/>
            <w:tcBorders>
              <w:top w:val="single" w:sz="4" w:space="0" w:color="auto"/>
              <w:bottom w:val="single" w:sz="4" w:space="0" w:color="999999"/>
            </w:tcBorders>
            <w:tcMar>
              <w:top w:w="14" w:type="dxa"/>
              <w:left w:w="43" w:type="dxa"/>
              <w:bottom w:w="14" w:type="dxa"/>
              <w:right w:w="43" w:type="dxa"/>
            </w:tcMar>
            <w:vAlign w:val="center"/>
          </w:tcPr>
          <w:p w14:paraId="65E2261C" w14:textId="77777777" w:rsidR="000766DF" w:rsidRDefault="000766DF" w:rsidP="000766DF">
            <w:pPr>
              <w:jc w:val="center"/>
              <w:rPr>
                <w:rFonts w:cs="Arial"/>
                <w:sz w:val="20"/>
              </w:rPr>
            </w:pPr>
          </w:p>
        </w:tc>
        <w:tc>
          <w:tcPr>
            <w:tcW w:w="512" w:type="dxa"/>
            <w:tcBorders>
              <w:top w:val="single" w:sz="4" w:space="0" w:color="auto"/>
              <w:bottom w:val="single" w:sz="4" w:space="0" w:color="999999"/>
            </w:tcBorders>
            <w:tcMar>
              <w:top w:w="14" w:type="dxa"/>
              <w:left w:w="43" w:type="dxa"/>
              <w:bottom w:w="14" w:type="dxa"/>
              <w:right w:w="43" w:type="dxa"/>
            </w:tcMar>
            <w:vAlign w:val="center"/>
          </w:tcPr>
          <w:p w14:paraId="2FDCFD4E" w14:textId="77777777" w:rsidR="000766DF" w:rsidRDefault="000766DF" w:rsidP="000766DF">
            <w:pPr>
              <w:jc w:val="center"/>
              <w:rPr>
                <w:rFonts w:cs="Arial"/>
                <w:sz w:val="20"/>
              </w:rPr>
            </w:pPr>
          </w:p>
        </w:tc>
        <w:tc>
          <w:tcPr>
            <w:tcW w:w="492" w:type="dxa"/>
            <w:tcBorders>
              <w:top w:val="single" w:sz="4" w:space="0" w:color="auto"/>
              <w:bottom w:val="single" w:sz="4" w:space="0" w:color="999999"/>
            </w:tcBorders>
            <w:tcMar>
              <w:top w:w="14" w:type="dxa"/>
              <w:left w:w="43" w:type="dxa"/>
              <w:bottom w:w="14" w:type="dxa"/>
              <w:right w:w="43" w:type="dxa"/>
            </w:tcMar>
            <w:vAlign w:val="center"/>
          </w:tcPr>
          <w:p w14:paraId="4BEE59D9" w14:textId="77777777" w:rsidR="000766DF" w:rsidRDefault="000766DF" w:rsidP="000766DF">
            <w:pPr>
              <w:jc w:val="center"/>
              <w:rPr>
                <w:rFonts w:cs="Arial"/>
                <w:sz w:val="20"/>
              </w:rPr>
            </w:pPr>
          </w:p>
        </w:tc>
        <w:tc>
          <w:tcPr>
            <w:tcW w:w="552" w:type="dxa"/>
            <w:tcBorders>
              <w:top w:val="single" w:sz="4" w:space="0" w:color="auto"/>
              <w:bottom w:val="single" w:sz="4" w:space="0" w:color="999999"/>
              <w:right w:val="single" w:sz="4" w:space="0" w:color="000000"/>
            </w:tcBorders>
            <w:tcMar>
              <w:top w:w="14" w:type="dxa"/>
              <w:left w:w="43" w:type="dxa"/>
              <w:bottom w:w="14" w:type="dxa"/>
              <w:right w:w="43" w:type="dxa"/>
            </w:tcMar>
            <w:vAlign w:val="center"/>
          </w:tcPr>
          <w:p w14:paraId="11F9C2BC" w14:textId="77777777" w:rsidR="000766DF" w:rsidRDefault="000766DF" w:rsidP="000766DF">
            <w:pPr>
              <w:jc w:val="center"/>
              <w:rPr>
                <w:rFonts w:cs="Arial"/>
                <w:sz w:val="20"/>
              </w:rPr>
            </w:pPr>
          </w:p>
        </w:tc>
        <w:tc>
          <w:tcPr>
            <w:tcW w:w="641" w:type="dxa"/>
            <w:tcBorders>
              <w:top w:val="single" w:sz="4" w:space="0" w:color="auto"/>
              <w:left w:val="single" w:sz="4" w:space="0" w:color="000000"/>
            </w:tcBorders>
            <w:tcMar>
              <w:top w:w="14" w:type="dxa"/>
              <w:left w:w="43" w:type="dxa"/>
              <w:bottom w:w="14" w:type="dxa"/>
              <w:right w:w="43" w:type="dxa"/>
            </w:tcMar>
            <w:vAlign w:val="center"/>
          </w:tcPr>
          <w:p w14:paraId="35B0652A" w14:textId="77777777" w:rsidR="000766DF" w:rsidRDefault="000766DF" w:rsidP="000766DF">
            <w:pPr>
              <w:jc w:val="center"/>
              <w:rPr>
                <w:rFonts w:cs="Arial"/>
                <w:sz w:val="20"/>
              </w:rPr>
            </w:pPr>
          </w:p>
        </w:tc>
      </w:tr>
      <w:tr w:rsidR="000766DF" w14:paraId="1DED68E7" w14:textId="77777777" w:rsidTr="000766DF">
        <w:trPr>
          <w:trHeight w:val="441"/>
        </w:trPr>
        <w:tc>
          <w:tcPr>
            <w:tcW w:w="4115" w:type="dxa"/>
            <w:tcBorders>
              <w:right w:val="single" w:sz="4" w:space="0" w:color="000000"/>
            </w:tcBorders>
            <w:tcMar>
              <w:top w:w="14" w:type="dxa"/>
              <w:left w:w="43" w:type="dxa"/>
              <w:bottom w:w="14" w:type="dxa"/>
              <w:right w:w="43" w:type="dxa"/>
            </w:tcMar>
            <w:vAlign w:val="center"/>
          </w:tcPr>
          <w:p w14:paraId="021B16B8" w14:textId="77777777" w:rsidR="000766DF" w:rsidRDefault="000766DF" w:rsidP="000766DF">
            <w:pPr>
              <w:pStyle w:val="Header"/>
              <w:rPr>
                <w:rFonts w:cs="Arial"/>
                <w:sz w:val="17"/>
                <w:szCs w:val="17"/>
              </w:rPr>
            </w:pPr>
            <w:r>
              <w:rPr>
                <w:sz w:val="17"/>
                <w:szCs w:val="17"/>
              </w:rPr>
              <w:t>*Staff frequently disregard rules or guidelines (e.g. hand-washing, treatment protocols / clinical pathways, etc.) that are established for the area where I work.</w:t>
            </w:r>
          </w:p>
        </w:tc>
        <w:tc>
          <w:tcPr>
            <w:tcW w:w="889" w:type="dxa"/>
            <w:tcBorders>
              <w:top w:val="single" w:sz="4" w:space="0" w:color="999999"/>
              <w:left w:val="single" w:sz="4" w:space="0" w:color="000000"/>
              <w:bottom w:val="single" w:sz="4" w:space="0" w:color="999999"/>
            </w:tcBorders>
            <w:tcMar>
              <w:top w:w="14" w:type="dxa"/>
              <w:left w:w="43" w:type="dxa"/>
              <w:bottom w:w="14" w:type="dxa"/>
              <w:right w:w="43" w:type="dxa"/>
            </w:tcMar>
            <w:vAlign w:val="center"/>
          </w:tcPr>
          <w:p w14:paraId="64434B49" w14:textId="77777777" w:rsidR="000766DF" w:rsidRDefault="000766DF" w:rsidP="000766DF">
            <w:pPr>
              <w:jc w:val="center"/>
              <w:rPr>
                <w:rFonts w:cs="Arial"/>
                <w:sz w:val="20"/>
              </w:rPr>
            </w:pPr>
            <w:r>
              <w:rPr>
                <w:rFonts w:cs="Arial"/>
                <w:sz w:val="20"/>
              </w:rPr>
              <w:t>7</w:t>
            </w:r>
          </w:p>
        </w:tc>
        <w:tc>
          <w:tcPr>
            <w:tcW w:w="621" w:type="dxa"/>
            <w:tcBorders>
              <w:top w:val="single" w:sz="4" w:space="0" w:color="999999"/>
              <w:bottom w:val="single" w:sz="4" w:space="0" w:color="999999"/>
            </w:tcBorders>
            <w:tcMar>
              <w:top w:w="14" w:type="dxa"/>
              <w:left w:w="43" w:type="dxa"/>
              <w:bottom w:w="14" w:type="dxa"/>
              <w:right w:w="43" w:type="dxa"/>
            </w:tcMar>
            <w:vAlign w:val="center"/>
          </w:tcPr>
          <w:p w14:paraId="04AC2371" w14:textId="77777777" w:rsidR="000766DF" w:rsidRDefault="000766DF" w:rsidP="000766DF">
            <w:pPr>
              <w:jc w:val="center"/>
              <w:rPr>
                <w:rFonts w:cs="Arial"/>
                <w:sz w:val="20"/>
              </w:rPr>
            </w:pPr>
            <w:r>
              <w:rPr>
                <w:rFonts w:cs="Arial"/>
                <w:sz w:val="20"/>
              </w:rPr>
              <w:t>10</w:t>
            </w:r>
          </w:p>
        </w:tc>
        <w:tc>
          <w:tcPr>
            <w:tcW w:w="512" w:type="dxa"/>
            <w:tcBorders>
              <w:top w:val="single" w:sz="4" w:space="0" w:color="999999"/>
              <w:bottom w:val="single" w:sz="4" w:space="0" w:color="999999"/>
            </w:tcBorders>
            <w:tcMar>
              <w:top w:w="14" w:type="dxa"/>
              <w:left w:w="43" w:type="dxa"/>
              <w:bottom w:w="14" w:type="dxa"/>
              <w:right w:w="43" w:type="dxa"/>
            </w:tcMar>
            <w:vAlign w:val="center"/>
          </w:tcPr>
          <w:p w14:paraId="5AD84A17" w14:textId="77777777" w:rsidR="000766DF" w:rsidRDefault="000766DF" w:rsidP="000766DF">
            <w:pPr>
              <w:jc w:val="center"/>
              <w:rPr>
                <w:rFonts w:cs="Arial"/>
                <w:sz w:val="20"/>
              </w:rPr>
            </w:pPr>
            <w:r>
              <w:rPr>
                <w:rFonts w:cs="Arial"/>
                <w:sz w:val="20"/>
              </w:rPr>
              <w:t>8</w:t>
            </w:r>
          </w:p>
        </w:tc>
        <w:tc>
          <w:tcPr>
            <w:tcW w:w="492" w:type="dxa"/>
            <w:tcBorders>
              <w:top w:val="single" w:sz="4" w:space="0" w:color="999999"/>
              <w:bottom w:val="single" w:sz="4" w:space="0" w:color="999999"/>
            </w:tcBorders>
            <w:tcMar>
              <w:top w:w="14" w:type="dxa"/>
              <w:left w:w="43" w:type="dxa"/>
              <w:bottom w:w="14" w:type="dxa"/>
              <w:right w:w="43" w:type="dxa"/>
            </w:tcMar>
            <w:vAlign w:val="center"/>
          </w:tcPr>
          <w:p w14:paraId="369F3C5B" w14:textId="77777777" w:rsidR="000766DF" w:rsidRDefault="000766DF" w:rsidP="000766DF">
            <w:pPr>
              <w:jc w:val="center"/>
              <w:rPr>
                <w:rFonts w:cs="Arial"/>
                <w:sz w:val="20"/>
              </w:rPr>
            </w:pPr>
            <w:r>
              <w:rPr>
                <w:rFonts w:cs="Arial"/>
                <w:sz w:val="20"/>
              </w:rPr>
              <w:t>22</w:t>
            </w:r>
          </w:p>
        </w:tc>
        <w:tc>
          <w:tcPr>
            <w:tcW w:w="552" w:type="dxa"/>
            <w:tcBorders>
              <w:top w:val="single" w:sz="4" w:space="0" w:color="999999"/>
              <w:bottom w:val="single" w:sz="4" w:space="0" w:color="999999"/>
              <w:right w:val="single" w:sz="4" w:space="0" w:color="000000"/>
            </w:tcBorders>
            <w:tcMar>
              <w:top w:w="14" w:type="dxa"/>
              <w:left w:w="43" w:type="dxa"/>
              <w:bottom w:w="14" w:type="dxa"/>
              <w:right w:w="43" w:type="dxa"/>
            </w:tcMar>
            <w:vAlign w:val="center"/>
          </w:tcPr>
          <w:p w14:paraId="15DB4D65" w14:textId="77777777" w:rsidR="000766DF" w:rsidRDefault="000766DF" w:rsidP="000766DF">
            <w:pPr>
              <w:jc w:val="center"/>
              <w:rPr>
                <w:rFonts w:cs="Arial"/>
                <w:sz w:val="20"/>
              </w:rPr>
            </w:pPr>
            <w:r>
              <w:rPr>
                <w:rFonts w:cs="Arial"/>
                <w:sz w:val="20"/>
              </w:rPr>
              <w:t>53</w:t>
            </w:r>
          </w:p>
        </w:tc>
        <w:tc>
          <w:tcPr>
            <w:tcW w:w="641" w:type="dxa"/>
            <w:tcBorders>
              <w:left w:val="single" w:sz="4" w:space="0" w:color="000000"/>
            </w:tcBorders>
            <w:tcMar>
              <w:top w:w="14" w:type="dxa"/>
              <w:left w:w="43" w:type="dxa"/>
              <w:bottom w:w="14" w:type="dxa"/>
              <w:right w:w="43" w:type="dxa"/>
            </w:tcMar>
            <w:vAlign w:val="center"/>
          </w:tcPr>
          <w:p w14:paraId="1934E978" w14:textId="77777777" w:rsidR="000766DF" w:rsidRDefault="000766DF" w:rsidP="000766DF">
            <w:pPr>
              <w:jc w:val="center"/>
              <w:rPr>
                <w:rFonts w:cs="Arial"/>
                <w:sz w:val="20"/>
              </w:rPr>
            </w:pPr>
            <w:r>
              <w:rPr>
                <w:rFonts w:cs="Arial"/>
                <w:sz w:val="20"/>
              </w:rPr>
              <w:t>2</w:t>
            </w:r>
          </w:p>
        </w:tc>
      </w:tr>
      <w:tr w:rsidR="000766DF" w14:paraId="5C5F5F8A" w14:textId="77777777" w:rsidTr="000766DF">
        <w:trPr>
          <w:trHeight w:hRule="exact" w:val="501"/>
        </w:trPr>
        <w:tc>
          <w:tcPr>
            <w:tcW w:w="4115" w:type="dxa"/>
            <w:tcBorders>
              <w:bottom w:val="single" w:sz="4" w:space="0" w:color="auto"/>
              <w:right w:val="single" w:sz="4" w:space="0" w:color="000000"/>
            </w:tcBorders>
            <w:tcMar>
              <w:top w:w="14" w:type="dxa"/>
              <w:left w:w="43" w:type="dxa"/>
              <w:bottom w:w="14" w:type="dxa"/>
              <w:right w:w="43" w:type="dxa"/>
            </w:tcMar>
            <w:vAlign w:val="center"/>
          </w:tcPr>
          <w:p w14:paraId="37DE2442" w14:textId="77777777" w:rsidR="000766DF" w:rsidRDefault="000766DF" w:rsidP="000766DF">
            <w:pPr>
              <w:pStyle w:val="Header"/>
              <w:rPr>
                <w:rFonts w:cs="Arial"/>
                <w:sz w:val="17"/>
                <w:szCs w:val="17"/>
              </w:rPr>
            </w:pPr>
            <w:r>
              <w:rPr>
                <w:sz w:val="17"/>
                <w:szCs w:val="17"/>
              </w:rPr>
              <w:t>*Where I work, it is difficult to discuss errors.</w:t>
            </w:r>
          </w:p>
        </w:tc>
        <w:tc>
          <w:tcPr>
            <w:tcW w:w="889" w:type="dxa"/>
            <w:tcBorders>
              <w:top w:val="single" w:sz="4" w:space="0" w:color="999999"/>
              <w:left w:val="single" w:sz="4" w:space="0" w:color="000000"/>
              <w:bottom w:val="single" w:sz="4" w:space="0" w:color="auto"/>
            </w:tcBorders>
            <w:tcMar>
              <w:top w:w="14" w:type="dxa"/>
              <w:left w:w="43" w:type="dxa"/>
              <w:bottom w:w="14" w:type="dxa"/>
              <w:right w:w="43" w:type="dxa"/>
            </w:tcMar>
            <w:vAlign w:val="center"/>
          </w:tcPr>
          <w:p w14:paraId="6021D69C" w14:textId="77777777" w:rsidR="000766DF" w:rsidRDefault="000766DF" w:rsidP="000766DF">
            <w:pPr>
              <w:jc w:val="center"/>
              <w:rPr>
                <w:rFonts w:cs="Arial"/>
                <w:sz w:val="20"/>
              </w:rPr>
            </w:pPr>
            <w:r>
              <w:rPr>
                <w:rFonts w:cs="Arial"/>
                <w:sz w:val="20"/>
              </w:rPr>
              <w:t>4</w:t>
            </w:r>
          </w:p>
        </w:tc>
        <w:tc>
          <w:tcPr>
            <w:tcW w:w="621" w:type="dxa"/>
            <w:tcBorders>
              <w:top w:val="single" w:sz="4" w:space="0" w:color="999999"/>
              <w:bottom w:val="single" w:sz="4" w:space="0" w:color="auto"/>
            </w:tcBorders>
            <w:tcMar>
              <w:top w:w="14" w:type="dxa"/>
              <w:left w:w="43" w:type="dxa"/>
              <w:bottom w:w="14" w:type="dxa"/>
              <w:right w:w="43" w:type="dxa"/>
            </w:tcMar>
            <w:vAlign w:val="center"/>
          </w:tcPr>
          <w:p w14:paraId="0D330853" w14:textId="77777777" w:rsidR="000766DF" w:rsidRDefault="000766DF" w:rsidP="000766DF">
            <w:pPr>
              <w:jc w:val="center"/>
              <w:rPr>
                <w:rFonts w:cs="Arial"/>
                <w:sz w:val="20"/>
              </w:rPr>
            </w:pPr>
            <w:r>
              <w:rPr>
                <w:rFonts w:cs="Arial"/>
                <w:sz w:val="20"/>
              </w:rPr>
              <w:t>11</w:t>
            </w:r>
          </w:p>
        </w:tc>
        <w:tc>
          <w:tcPr>
            <w:tcW w:w="512" w:type="dxa"/>
            <w:tcBorders>
              <w:top w:val="single" w:sz="4" w:space="0" w:color="999999"/>
              <w:bottom w:val="single" w:sz="4" w:space="0" w:color="auto"/>
            </w:tcBorders>
            <w:tcMar>
              <w:top w:w="14" w:type="dxa"/>
              <w:left w:w="43" w:type="dxa"/>
              <w:bottom w:w="14" w:type="dxa"/>
              <w:right w:w="43" w:type="dxa"/>
            </w:tcMar>
            <w:vAlign w:val="center"/>
          </w:tcPr>
          <w:p w14:paraId="79D30FF9" w14:textId="77777777" w:rsidR="000766DF" w:rsidRDefault="000766DF" w:rsidP="000766DF">
            <w:pPr>
              <w:jc w:val="center"/>
              <w:rPr>
                <w:rFonts w:cs="Arial"/>
                <w:sz w:val="20"/>
              </w:rPr>
            </w:pPr>
            <w:r>
              <w:rPr>
                <w:rFonts w:cs="Arial"/>
                <w:sz w:val="20"/>
              </w:rPr>
              <w:t>9</w:t>
            </w:r>
          </w:p>
        </w:tc>
        <w:tc>
          <w:tcPr>
            <w:tcW w:w="492" w:type="dxa"/>
            <w:tcBorders>
              <w:top w:val="single" w:sz="4" w:space="0" w:color="999999"/>
              <w:bottom w:val="single" w:sz="4" w:space="0" w:color="auto"/>
            </w:tcBorders>
            <w:tcMar>
              <w:top w:w="14" w:type="dxa"/>
              <w:left w:w="43" w:type="dxa"/>
              <w:bottom w:w="14" w:type="dxa"/>
              <w:right w:w="43" w:type="dxa"/>
            </w:tcMar>
            <w:vAlign w:val="center"/>
          </w:tcPr>
          <w:p w14:paraId="3118A9A9" w14:textId="77777777" w:rsidR="000766DF" w:rsidRDefault="000766DF" w:rsidP="000766DF">
            <w:pPr>
              <w:jc w:val="center"/>
              <w:rPr>
                <w:rFonts w:cs="Arial"/>
                <w:sz w:val="20"/>
              </w:rPr>
            </w:pPr>
            <w:r>
              <w:rPr>
                <w:rFonts w:cs="Arial"/>
                <w:sz w:val="20"/>
              </w:rPr>
              <w:t>30</w:t>
            </w:r>
          </w:p>
        </w:tc>
        <w:tc>
          <w:tcPr>
            <w:tcW w:w="552" w:type="dxa"/>
            <w:tcBorders>
              <w:top w:val="single" w:sz="4" w:space="0" w:color="999999"/>
              <w:bottom w:val="single" w:sz="4" w:space="0" w:color="auto"/>
              <w:right w:val="single" w:sz="4" w:space="0" w:color="000000"/>
            </w:tcBorders>
            <w:tcMar>
              <w:top w:w="14" w:type="dxa"/>
              <w:left w:w="43" w:type="dxa"/>
              <w:bottom w:w="14" w:type="dxa"/>
              <w:right w:w="43" w:type="dxa"/>
            </w:tcMar>
            <w:vAlign w:val="center"/>
          </w:tcPr>
          <w:p w14:paraId="1A3188F2" w14:textId="77777777" w:rsidR="000766DF" w:rsidRDefault="000766DF" w:rsidP="000766DF">
            <w:pPr>
              <w:jc w:val="center"/>
              <w:rPr>
                <w:rFonts w:cs="Arial"/>
                <w:sz w:val="20"/>
              </w:rPr>
            </w:pPr>
            <w:r>
              <w:rPr>
                <w:rFonts w:cs="Arial"/>
                <w:sz w:val="20"/>
              </w:rPr>
              <w:t>46</w:t>
            </w:r>
          </w:p>
        </w:tc>
        <w:tc>
          <w:tcPr>
            <w:tcW w:w="641" w:type="dxa"/>
            <w:tcBorders>
              <w:left w:val="single" w:sz="4" w:space="0" w:color="000000"/>
              <w:bottom w:val="single" w:sz="4" w:space="0" w:color="auto"/>
            </w:tcBorders>
            <w:tcMar>
              <w:top w:w="14" w:type="dxa"/>
              <w:left w:w="43" w:type="dxa"/>
              <w:bottom w:w="14" w:type="dxa"/>
              <w:right w:w="43" w:type="dxa"/>
            </w:tcMar>
            <w:vAlign w:val="center"/>
          </w:tcPr>
          <w:p w14:paraId="795F6980" w14:textId="77777777" w:rsidR="000766DF" w:rsidRDefault="000766DF" w:rsidP="000766DF">
            <w:pPr>
              <w:jc w:val="center"/>
              <w:rPr>
                <w:rFonts w:cs="Arial"/>
                <w:sz w:val="20"/>
              </w:rPr>
            </w:pPr>
            <w:r>
              <w:rPr>
                <w:rFonts w:cs="Arial"/>
                <w:sz w:val="20"/>
              </w:rPr>
              <w:t>1</w:t>
            </w:r>
          </w:p>
        </w:tc>
      </w:tr>
      <w:tr w:rsidR="000766DF" w14:paraId="2FE64D28" w14:textId="77777777" w:rsidTr="000766DF">
        <w:trPr>
          <w:trHeight w:hRule="exact" w:val="773"/>
        </w:trPr>
        <w:tc>
          <w:tcPr>
            <w:tcW w:w="7822" w:type="dxa"/>
            <w:gridSpan w:val="7"/>
            <w:tcBorders>
              <w:top w:val="single" w:sz="4" w:space="0" w:color="auto"/>
              <w:left w:val="nil"/>
              <w:bottom w:val="nil"/>
              <w:right w:val="nil"/>
            </w:tcBorders>
            <w:tcMar>
              <w:top w:w="14" w:type="dxa"/>
              <w:left w:w="43" w:type="dxa"/>
              <w:bottom w:w="14" w:type="dxa"/>
              <w:right w:w="43" w:type="dxa"/>
            </w:tcMar>
            <w:vAlign w:val="bottom"/>
          </w:tcPr>
          <w:p w14:paraId="51E11DB4" w14:textId="77777777" w:rsidR="000766DF" w:rsidRDefault="000766DF" w:rsidP="000766DF">
            <w:pPr>
              <w:ind w:right="-781"/>
              <w:rPr>
                <w:rFonts w:cs="Arial"/>
                <w:sz w:val="17"/>
                <w:szCs w:val="17"/>
              </w:rPr>
            </w:pPr>
            <w:r>
              <w:rPr>
                <w:rFonts w:cs="Arial"/>
                <w:sz w:val="17"/>
                <w:szCs w:val="17"/>
                <w:vertAlign w:val="superscript"/>
              </w:rPr>
              <w:t xml:space="preserve">† </w:t>
            </w:r>
            <w:r>
              <w:rPr>
                <w:rFonts w:cs="Arial"/>
                <w:sz w:val="17"/>
                <w:szCs w:val="17"/>
              </w:rPr>
              <w:t>Percentage of valid responses (not including “not applicable”) from direct patient care staff</w:t>
            </w:r>
          </w:p>
          <w:p w14:paraId="443D63CC" w14:textId="77777777" w:rsidR="000766DF" w:rsidRDefault="000766DF" w:rsidP="000766DF">
            <w:pPr>
              <w:rPr>
                <w:rFonts w:cs="Arial"/>
                <w:sz w:val="17"/>
                <w:szCs w:val="17"/>
              </w:rPr>
            </w:pPr>
            <w:r>
              <w:rPr>
                <w:rFonts w:cs="Arial"/>
                <w:sz w:val="17"/>
                <w:szCs w:val="17"/>
                <w:vertAlign w:val="superscript"/>
              </w:rPr>
              <w:t xml:space="preserve">‡ </w:t>
            </w:r>
            <w:r>
              <w:rPr>
                <w:rFonts w:cs="Arial"/>
                <w:sz w:val="17"/>
                <w:szCs w:val="17"/>
              </w:rPr>
              <w:t>Percentage of total responses from direct patient care staff</w:t>
            </w:r>
          </w:p>
          <w:p w14:paraId="022A680C" w14:textId="77777777" w:rsidR="000766DF" w:rsidRDefault="000766DF" w:rsidP="000766DF">
            <w:pPr>
              <w:rPr>
                <w:rFonts w:cs="Arial"/>
                <w:sz w:val="20"/>
              </w:rPr>
            </w:pPr>
            <w:r>
              <w:rPr>
                <w:rFonts w:cs="Arial"/>
                <w:sz w:val="17"/>
                <w:szCs w:val="17"/>
              </w:rPr>
              <w:t>*These items are negatively worded</w:t>
            </w:r>
          </w:p>
        </w:tc>
      </w:tr>
    </w:tbl>
    <w:p w14:paraId="312AC53C" w14:textId="77777777" w:rsidR="00F37F0F" w:rsidRDefault="00F37F0F" w:rsidP="00F37F0F">
      <w:pPr>
        <w:rPr>
          <w:rFonts w:cs="Arial"/>
          <w:sz w:val="20"/>
        </w:rPr>
      </w:pPr>
    </w:p>
    <w:p w14:paraId="50DD6723" w14:textId="77777777" w:rsidR="00F37F0F" w:rsidRDefault="00F37F0F" w:rsidP="00F37F0F">
      <w:pPr>
        <w:rPr>
          <w:rFonts w:cs="Arial"/>
          <w:sz w:val="17"/>
          <w:szCs w:val="17"/>
        </w:rPr>
      </w:pPr>
    </w:p>
    <w:p w14:paraId="58CA8979" w14:textId="77777777" w:rsidR="00F37F0F" w:rsidRDefault="00F37F0F" w:rsidP="00F37F0F">
      <w:pPr>
        <w:ind w:right="-781"/>
        <w:rPr>
          <w:rFonts w:cs="Arial"/>
        </w:rPr>
      </w:pPr>
    </w:p>
    <w:tbl>
      <w:tblPr>
        <w:tblW w:w="679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0"/>
        <w:gridCol w:w="1324"/>
        <w:gridCol w:w="1418"/>
      </w:tblGrid>
      <w:tr w:rsidR="00F37F0F" w14:paraId="637F7D64" w14:textId="77777777" w:rsidTr="00632A06">
        <w:trPr>
          <w:trHeight w:val="463"/>
        </w:trPr>
        <w:tc>
          <w:tcPr>
            <w:tcW w:w="6792" w:type="dxa"/>
            <w:gridSpan w:val="3"/>
            <w:tcBorders>
              <w:top w:val="nil"/>
              <w:left w:val="nil"/>
              <w:right w:val="nil"/>
            </w:tcBorders>
          </w:tcPr>
          <w:p w14:paraId="6D08C60A" w14:textId="77777777" w:rsidR="000766DF" w:rsidRDefault="000766DF" w:rsidP="003A385F">
            <w:pPr>
              <w:rPr>
                <w:rFonts w:cs="Arial"/>
                <w:b/>
              </w:rPr>
            </w:pPr>
          </w:p>
          <w:p w14:paraId="04A25ABB" w14:textId="77777777" w:rsidR="00F37F0F" w:rsidRDefault="000766DF" w:rsidP="003A385F">
            <w:pPr>
              <w:rPr>
                <w:rFonts w:cs="Arial"/>
                <w:sz w:val="20"/>
              </w:rPr>
            </w:pPr>
            <w:r>
              <w:rPr>
                <w:rFonts w:cs="Arial"/>
                <w:b/>
              </w:rPr>
              <w:t>Tab</w:t>
            </w:r>
            <w:r w:rsidR="00F37F0F">
              <w:rPr>
                <w:rFonts w:cs="Arial"/>
                <w:b/>
              </w:rPr>
              <w:t>le 4: Mean score for all items in each factor (scale)</w:t>
            </w:r>
          </w:p>
        </w:tc>
      </w:tr>
      <w:tr w:rsidR="00F37F0F" w14:paraId="4FFC26FB" w14:textId="77777777" w:rsidTr="00632A06">
        <w:trPr>
          <w:trHeight w:val="463"/>
        </w:trPr>
        <w:tc>
          <w:tcPr>
            <w:tcW w:w="4050" w:type="dxa"/>
            <w:vAlign w:val="center"/>
          </w:tcPr>
          <w:p w14:paraId="2CFA4DC8" w14:textId="77777777" w:rsidR="00F37F0F" w:rsidRDefault="00F37F0F" w:rsidP="003A385F">
            <w:pPr>
              <w:ind w:right="-781"/>
              <w:rPr>
                <w:rFonts w:cs="Arial"/>
                <w:b/>
                <w:sz w:val="20"/>
              </w:rPr>
            </w:pPr>
            <w:r>
              <w:rPr>
                <w:rFonts w:cs="Arial"/>
                <w:b/>
                <w:sz w:val="20"/>
              </w:rPr>
              <w:t>Factor</w:t>
            </w:r>
          </w:p>
        </w:tc>
        <w:tc>
          <w:tcPr>
            <w:tcW w:w="1324" w:type="dxa"/>
            <w:vAlign w:val="center"/>
          </w:tcPr>
          <w:p w14:paraId="1986AD14" w14:textId="77777777" w:rsidR="00F37F0F" w:rsidRDefault="00F37F0F" w:rsidP="003A385F">
            <w:pPr>
              <w:ind w:right="15"/>
              <w:jc w:val="center"/>
              <w:rPr>
                <w:rFonts w:cs="Arial"/>
                <w:b/>
                <w:sz w:val="20"/>
              </w:rPr>
            </w:pPr>
            <w:r>
              <w:rPr>
                <w:rFonts w:cs="Arial"/>
                <w:b/>
                <w:sz w:val="20"/>
              </w:rPr>
              <w:t>Mean score</w:t>
            </w:r>
          </w:p>
        </w:tc>
        <w:tc>
          <w:tcPr>
            <w:tcW w:w="1418" w:type="dxa"/>
            <w:vAlign w:val="center"/>
          </w:tcPr>
          <w:p w14:paraId="5EAA8D50" w14:textId="77777777" w:rsidR="00F37F0F" w:rsidRDefault="00F37F0F" w:rsidP="003A385F">
            <w:pPr>
              <w:jc w:val="center"/>
              <w:rPr>
                <w:rFonts w:cs="Arial"/>
                <w:b/>
                <w:sz w:val="20"/>
              </w:rPr>
            </w:pPr>
            <w:r>
              <w:rPr>
                <w:rFonts w:cs="Arial"/>
                <w:b/>
                <w:sz w:val="20"/>
              </w:rPr>
              <w:t>95% CI</w:t>
            </w:r>
          </w:p>
        </w:tc>
      </w:tr>
      <w:tr w:rsidR="00F37F0F" w14:paraId="166ED10C" w14:textId="77777777" w:rsidTr="00632A06">
        <w:trPr>
          <w:trHeight w:val="909"/>
        </w:trPr>
        <w:tc>
          <w:tcPr>
            <w:tcW w:w="4050" w:type="dxa"/>
            <w:vAlign w:val="center"/>
          </w:tcPr>
          <w:p w14:paraId="17703AC3" w14:textId="77777777" w:rsidR="00F37F0F" w:rsidRDefault="00F37F0F" w:rsidP="003A385F">
            <w:pPr>
              <w:rPr>
                <w:rFonts w:cs="Arial"/>
                <w:sz w:val="20"/>
                <w:lang w:val="en-US"/>
              </w:rPr>
            </w:pPr>
            <w:r>
              <w:rPr>
                <w:rFonts w:cs="Arial"/>
                <w:b/>
                <w:sz w:val="20"/>
                <w:lang w:val="en-US"/>
              </w:rPr>
              <w:t>Teamwork factor 1</w:t>
            </w:r>
            <w:r>
              <w:rPr>
                <w:rFonts w:cs="Arial"/>
                <w:sz w:val="20"/>
                <w:lang w:val="en-US"/>
              </w:rPr>
              <w:t xml:space="preserve"> </w:t>
            </w:r>
          </w:p>
          <w:p w14:paraId="478AFA92" w14:textId="77777777" w:rsidR="00F37F0F" w:rsidRDefault="00F37F0F" w:rsidP="003A385F">
            <w:pPr>
              <w:rPr>
                <w:rFonts w:cs="Arial"/>
                <w:b/>
                <w:sz w:val="20"/>
                <w:lang w:val="en-US"/>
              </w:rPr>
            </w:pPr>
            <w:r>
              <w:rPr>
                <w:rFonts w:cs="Arial"/>
                <w:sz w:val="20"/>
              </w:rPr>
              <w:t>Input into decisions and collaboration with other staff</w:t>
            </w:r>
          </w:p>
        </w:tc>
        <w:tc>
          <w:tcPr>
            <w:tcW w:w="1324" w:type="dxa"/>
            <w:vAlign w:val="center"/>
          </w:tcPr>
          <w:p w14:paraId="39BB8191" w14:textId="77777777" w:rsidR="00F37F0F" w:rsidRDefault="00F37F0F" w:rsidP="003A385F">
            <w:pPr>
              <w:ind w:right="15"/>
              <w:jc w:val="center"/>
              <w:rPr>
                <w:rFonts w:cs="Arial"/>
                <w:sz w:val="20"/>
              </w:rPr>
            </w:pPr>
            <w:r>
              <w:rPr>
                <w:rFonts w:cs="Arial"/>
                <w:sz w:val="20"/>
              </w:rPr>
              <w:t>4.25</w:t>
            </w:r>
          </w:p>
        </w:tc>
        <w:tc>
          <w:tcPr>
            <w:tcW w:w="1418" w:type="dxa"/>
            <w:vAlign w:val="center"/>
          </w:tcPr>
          <w:p w14:paraId="696658F0" w14:textId="77777777" w:rsidR="00F37F0F" w:rsidRDefault="00F37F0F" w:rsidP="003A385F">
            <w:pPr>
              <w:jc w:val="center"/>
              <w:rPr>
                <w:rFonts w:cs="Arial"/>
                <w:sz w:val="20"/>
              </w:rPr>
            </w:pPr>
            <w:r>
              <w:rPr>
                <w:rFonts w:cs="Arial"/>
                <w:sz w:val="20"/>
              </w:rPr>
              <w:t>4.21 – 4.30</w:t>
            </w:r>
          </w:p>
        </w:tc>
      </w:tr>
      <w:tr w:rsidR="00F37F0F" w14:paraId="2A100B59" w14:textId="77777777" w:rsidTr="00632A06">
        <w:trPr>
          <w:trHeight w:val="909"/>
        </w:trPr>
        <w:tc>
          <w:tcPr>
            <w:tcW w:w="4050" w:type="dxa"/>
            <w:vAlign w:val="center"/>
          </w:tcPr>
          <w:p w14:paraId="34567561" w14:textId="77777777" w:rsidR="00F37F0F" w:rsidRDefault="00F37F0F" w:rsidP="003A385F">
            <w:pPr>
              <w:rPr>
                <w:rFonts w:cs="Arial"/>
                <w:sz w:val="20"/>
                <w:lang w:val="en-US"/>
              </w:rPr>
            </w:pPr>
            <w:r>
              <w:rPr>
                <w:rFonts w:cs="Arial"/>
                <w:b/>
                <w:sz w:val="20"/>
                <w:lang w:val="en-US"/>
              </w:rPr>
              <w:t>Teamwork factor 2</w:t>
            </w:r>
            <w:r>
              <w:rPr>
                <w:rFonts w:cs="Arial"/>
                <w:sz w:val="20"/>
                <w:lang w:val="en-US"/>
              </w:rPr>
              <w:t xml:space="preserve"> </w:t>
            </w:r>
          </w:p>
          <w:p w14:paraId="73E1D0AB" w14:textId="77777777" w:rsidR="00F37F0F" w:rsidRDefault="00F37F0F" w:rsidP="003A385F">
            <w:pPr>
              <w:rPr>
                <w:rFonts w:cs="Arial"/>
                <w:b/>
                <w:sz w:val="20"/>
                <w:lang w:val="en-US"/>
              </w:rPr>
            </w:pPr>
            <w:r>
              <w:rPr>
                <w:rFonts w:cs="Arial"/>
                <w:sz w:val="20"/>
              </w:rPr>
              <w:t>Information handover</w:t>
            </w:r>
          </w:p>
        </w:tc>
        <w:tc>
          <w:tcPr>
            <w:tcW w:w="1324" w:type="dxa"/>
            <w:vAlign w:val="center"/>
          </w:tcPr>
          <w:p w14:paraId="390F266F" w14:textId="77777777" w:rsidR="00F37F0F" w:rsidRDefault="00F37F0F" w:rsidP="003A385F">
            <w:pPr>
              <w:ind w:right="15"/>
              <w:jc w:val="center"/>
              <w:rPr>
                <w:rFonts w:cs="Arial"/>
                <w:sz w:val="20"/>
              </w:rPr>
            </w:pPr>
            <w:r>
              <w:rPr>
                <w:rFonts w:cs="Arial"/>
                <w:sz w:val="20"/>
              </w:rPr>
              <w:t>4.24</w:t>
            </w:r>
          </w:p>
        </w:tc>
        <w:tc>
          <w:tcPr>
            <w:tcW w:w="1418" w:type="dxa"/>
            <w:vAlign w:val="center"/>
          </w:tcPr>
          <w:p w14:paraId="154242F9" w14:textId="77777777" w:rsidR="00F37F0F" w:rsidRDefault="00F37F0F" w:rsidP="003A385F">
            <w:pPr>
              <w:jc w:val="center"/>
              <w:rPr>
                <w:rFonts w:cs="Arial"/>
                <w:sz w:val="20"/>
              </w:rPr>
            </w:pPr>
            <w:r>
              <w:rPr>
                <w:rFonts w:cs="Arial"/>
                <w:sz w:val="20"/>
              </w:rPr>
              <w:t>4.19 – 4.29</w:t>
            </w:r>
          </w:p>
        </w:tc>
      </w:tr>
      <w:tr w:rsidR="00F37F0F" w14:paraId="739857AB" w14:textId="77777777" w:rsidTr="00632A06">
        <w:trPr>
          <w:trHeight w:val="909"/>
        </w:trPr>
        <w:tc>
          <w:tcPr>
            <w:tcW w:w="4050" w:type="dxa"/>
            <w:vAlign w:val="center"/>
          </w:tcPr>
          <w:p w14:paraId="44901459" w14:textId="77777777" w:rsidR="00F37F0F" w:rsidRDefault="00F37F0F" w:rsidP="003A385F">
            <w:pPr>
              <w:rPr>
                <w:rFonts w:cs="Arial"/>
                <w:sz w:val="20"/>
                <w:lang w:val="en-US"/>
              </w:rPr>
            </w:pPr>
            <w:r>
              <w:rPr>
                <w:rFonts w:cs="Arial"/>
                <w:b/>
                <w:sz w:val="20"/>
                <w:lang w:val="en-US"/>
              </w:rPr>
              <w:t>Safety Climate factor 1</w:t>
            </w:r>
            <w:r>
              <w:rPr>
                <w:rFonts w:cs="Arial"/>
                <w:sz w:val="20"/>
                <w:lang w:val="en-US"/>
              </w:rPr>
              <w:t xml:space="preserve"> </w:t>
            </w:r>
          </w:p>
          <w:p w14:paraId="66696AF4" w14:textId="77777777" w:rsidR="00F37F0F" w:rsidRDefault="00F37F0F" w:rsidP="003A385F">
            <w:pPr>
              <w:rPr>
                <w:rFonts w:cs="Arial"/>
                <w:b/>
                <w:sz w:val="20"/>
                <w:lang w:val="en-US"/>
              </w:rPr>
            </w:pPr>
            <w:r>
              <w:rPr>
                <w:rFonts w:cs="Arial"/>
                <w:sz w:val="20"/>
                <w:lang w:val="en-US"/>
              </w:rPr>
              <w:t>Attitudes to safety within own team; capacity to learn from errors</w:t>
            </w:r>
          </w:p>
        </w:tc>
        <w:tc>
          <w:tcPr>
            <w:tcW w:w="1324" w:type="dxa"/>
            <w:vAlign w:val="center"/>
          </w:tcPr>
          <w:p w14:paraId="7538FD8F" w14:textId="77777777" w:rsidR="00F37F0F" w:rsidRDefault="00F37F0F" w:rsidP="003A385F">
            <w:pPr>
              <w:ind w:right="15"/>
              <w:jc w:val="center"/>
              <w:rPr>
                <w:rFonts w:cs="Arial"/>
                <w:sz w:val="20"/>
              </w:rPr>
            </w:pPr>
            <w:r>
              <w:rPr>
                <w:rFonts w:cs="Arial"/>
                <w:sz w:val="20"/>
              </w:rPr>
              <w:t>4.10</w:t>
            </w:r>
          </w:p>
        </w:tc>
        <w:tc>
          <w:tcPr>
            <w:tcW w:w="1418" w:type="dxa"/>
            <w:vAlign w:val="center"/>
          </w:tcPr>
          <w:p w14:paraId="26645EDF" w14:textId="77777777" w:rsidR="00F37F0F" w:rsidRDefault="00F37F0F" w:rsidP="003A385F">
            <w:pPr>
              <w:jc w:val="center"/>
              <w:rPr>
                <w:rFonts w:cs="Arial"/>
                <w:sz w:val="20"/>
              </w:rPr>
            </w:pPr>
            <w:r>
              <w:rPr>
                <w:rFonts w:cs="Arial"/>
                <w:sz w:val="20"/>
              </w:rPr>
              <w:t>4.05 – 4.14</w:t>
            </w:r>
          </w:p>
        </w:tc>
      </w:tr>
      <w:tr w:rsidR="00F37F0F" w14:paraId="6A70B12E" w14:textId="77777777" w:rsidTr="00632A06">
        <w:trPr>
          <w:trHeight w:val="909"/>
        </w:trPr>
        <w:tc>
          <w:tcPr>
            <w:tcW w:w="4050" w:type="dxa"/>
            <w:vAlign w:val="center"/>
          </w:tcPr>
          <w:p w14:paraId="36681FFA" w14:textId="77777777" w:rsidR="00F37F0F" w:rsidRDefault="00F37F0F" w:rsidP="003A385F">
            <w:pPr>
              <w:rPr>
                <w:rFonts w:cs="Arial"/>
                <w:sz w:val="20"/>
                <w:lang w:val="en-US"/>
              </w:rPr>
            </w:pPr>
            <w:r>
              <w:rPr>
                <w:rFonts w:cs="Arial"/>
                <w:b/>
                <w:sz w:val="20"/>
                <w:lang w:val="en-US"/>
              </w:rPr>
              <w:t>Safety Climate factor 2</w:t>
            </w:r>
            <w:r>
              <w:rPr>
                <w:rFonts w:cs="Arial"/>
                <w:sz w:val="20"/>
                <w:lang w:val="en-US"/>
              </w:rPr>
              <w:t xml:space="preserve"> </w:t>
            </w:r>
          </w:p>
          <w:p w14:paraId="539F802D" w14:textId="77777777" w:rsidR="00F37F0F" w:rsidRDefault="00F37F0F" w:rsidP="003A385F">
            <w:pPr>
              <w:rPr>
                <w:rFonts w:cs="Arial"/>
                <w:b/>
                <w:sz w:val="20"/>
                <w:lang w:val="en-US"/>
              </w:rPr>
            </w:pPr>
            <w:r>
              <w:rPr>
                <w:rFonts w:cs="Arial"/>
                <w:sz w:val="20"/>
              </w:rPr>
              <w:t>Overall confidence in safety of organisation</w:t>
            </w:r>
          </w:p>
        </w:tc>
        <w:tc>
          <w:tcPr>
            <w:tcW w:w="1324" w:type="dxa"/>
            <w:vAlign w:val="center"/>
          </w:tcPr>
          <w:p w14:paraId="29052DB1" w14:textId="77777777" w:rsidR="00F37F0F" w:rsidRDefault="00F37F0F" w:rsidP="003A385F">
            <w:pPr>
              <w:ind w:right="15"/>
              <w:jc w:val="center"/>
              <w:rPr>
                <w:rFonts w:cs="Arial"/>
                <w:sz w:val="20"/>
              </w:rPr>
            </w:pPr>
            <w:r>
              <w:rPr>
                <w:rFonts w:cs="Arial"/>
                <w:sz w:val="20"/>
              </w:rPr>
              <w:t>3.68</w:t>
            </w:r>
          </w:p>
        </w:tc>
        <w:tc>
          <w:tcPr>
            <w:tcW w:w="1418" w:type="dxa"/>
            <w:vAlign w:val="center"/>
          </w:tcPr>
          <w:p w14:paraId="46B6B5FE" w14:textId="77777777" w:rsidR="00F37F0F" w:rsidRDefault="00F37F0F" w:rsidP="003A385F">
            <w:pPr>
              <w:jc w:val="center"/>
              <w:rPr>
                <w:rFonts w:cs="Arial"/>
                <w:sz w:val="20"/>
              </w:rPr>
            </w:pPr>
            <w:r>
              <w:rPr>
                <w:rFonts w:cs="Arial"/>
                <w:sz w:val="20"/>
              </w:rPr>
              <w:t>3.61 – 3.75</w:t>
            </w:r>
          </w:p>
        </w:tc>
      </w:tr>
      <w:tr w:rsidR="00F37F0F" w14:paraId="3A8CBD72" w14:textId="77777777" w:rsidTr="00632A06">
        <w:trPr>
          <w:trHeight w:val="909"/>
        </w:trPr>
        <w:tc>
          <w:tcPr>
            <w:tcW w:w="4050" w:type="dxa"/>
            <w:vAlign w:val="center"/>
          </w:tcPr>
          <w:p w14:paraId="004A1EBC" w14:textId="77777777" w:rsidR="00F37F0F" w:rsidRDefault="00F37F0F" w:rsidP="003A385F">
            <w:pPr>
              <w:rPr>
                <w:rFonts w:cs="Arial"/>
                <w:sz w:val="20"/>
                <w:lang w:val="en-US"/>
              </w:rPr>
            </w:pPr>
            <w:r>
              <w:rPr>
                <w:rFonts w:cs="Arial"/>
                <w:b/>
                <w:sz w:val="20"/>
                <w:lang w:val="en-US"/>
              </w:rPr>
              <w:t>Safety Climate factor 3</w:t>
            </w:r>
            <w:r>
              <w:rPr>
                <w:rFonts w:cs="Arial"/>
                <w:sz w:val="20"/>
                <w:lang w:val="en-US"/>
              </w:rPr>
              <w:t xml:space="preserve"> </w:t>
            </w:r>
          </w:p>
          <w:p w14:paraId="3689D0CA" w14:textId="77777777" w:rsidR="00F37F0F" w:rsidRDefault="00F37F0F" w:rsidP="003A385F">
            <w:pPr>
              <w:rPr>
                <w:rFonts w:cs="Arial"/>
                <w:b/>
                <w:sz w:val="20"/>
              </w:rPr>
            </w:pPr>
            <w:r>
              <w:rPr>
                <w:rFonts w:cs="Arial"/>
                <w:sz w:val="20"/>
              </w:rPr>
              <w:t>Perceptions of management’s attitudes to safety</w:t>
            </w:r>
          </w:p>
        </w:tc>
        <w:tc>
          <w:tcPr>
            <w:tcW w:w="1324" w:type="dxa"/>
            <w:vAlign w:val="center"/>
          </w:tcPr>
          <w:p w14:paraId="601B9B97" w14:textId="77777777" w:rsidR="00F37F0F" w:rsidRDefault="00F37F0F" w:rsidP="003A385F">
            <w:pPr>
              <w:ind w:right="15"/>
              <w:jc w:val="center"/>
              <w:rPr>
                <w:rFonts w:cs="Arial"/>
                <w:sz w:val="20"/>
              </w:rPr>
            </w:pPr>
            <w:r>
              <w:rPr>
                <w:rFonts w:cs="Arial"/>
                <w:sz w:val="20"/>
              </w:rPr>
              <w:t>3.75</w:t>
            </w:r>
          </w:p>
        </w:tc>
        <w:tc>
          <w:tcPr>
            <w:tcW w:w="1418" w:type="dxa"/>
            <w:vAlign w:val="center"/>
          </w:tcPr>
          <w:p w14:paraId="1E2CDFA7" w14:textId="77777777" w:rsidR="00F37F0F" w:rsidRDefault="00F37F0F" w:rsidP="003A385F">
            <w:pPr>
              <w:jc w:val="center"/>
              <w:rPr>
                <w:rFonts w:cs="Arial"/>
                <w:sz w:val="20"/>
              </w:rPr>
            </w:pPr>
            <w:r>
              <w:rPr>
                <w:rFonts w:cs="Arial"/>
                <w:sz w:val="20"/>
              </w:rPr>
              <w:t>3.69 – 3.81</w:t>
            </w:r>
          </w:p>
        </w:tc>
      </w:tr>
    </w:tbl>
    <w:tbl>
      <w:tblPr>
        <w:tblpPr w:leftFromText="180" w:rightFromText="180" w:vertAnchor="text" w:horzAnchor="margin" w:tblpY="-1926"/>
        <w:tblW w:w="36" w:type="dxa"/>
        <w:tblBorders>
          <w:top w:val="single" w:sz="4" w:space="0" w:color="auto"/>
          <w:left w:val="single" w:sz="4" w:space="0" w:color="auto"/>
          <w:bottom w:val="single" w:sz="4" w:space="0" w:color="auto"/>
          <w:right w:val="single" w:sz="4" w:space="0" w:color="auto"/>
          <w:insideH w:val="single" w:sz="4" w:space="0" w:color="999999"/>
          <w:insideV w:val="single" w:sz="4" w:space="0" w:color="999999"/>
        </w:tblBorders>
        <w:tblLayout w:type="fixed"/>
        <w:tblCellMar>
          <w:left w:w="0" w:type="dxa"/>
          <w:right w:w="0" w:type="dxa"/>
        </w:tblCellMar>
        <w:tblLook w:val="0000" w:firstRow="0" w:lastRow="0" w:firstColumn="0" w:lastColumn="0" w:noHBand="0" w:noVBand="0"/>
      </w:tblPr>
      <w:tblGrid>
        <w:gridCol w:w="36"/>
      </w:tblGrid>
      <w:tr w:rsidR="000766DF" w14:paraId="46AE077D" w14:textId="77777777" w:rsidTr="000766DF">
        <w:trPr>
          <w:trHeight w:val="441"/>
        </w:trPr>
        <w:tc>
          <w:tcPr>
            <w:tcW w:w="36" w:type="dxa"/>
          </w:tcPr>
          <w:p w14:paraId="444C8599" w14:textId="77777777" w:rsidR="000766DF" w:rsidRDefault="000766DF" w:rsidP="000766DF">
            <w:pPr>
              <w:rPr>
                <w:rFonts w:cs="Arial"/>
                <w:sz w:val="16"/>
              </w:rPr>
            </w:pPr>
            <w:r>
              <w:rPr>
                <w:rFonts w:cs="Arial"/>
                <w:sz w:val="16"/>
              </w:rPr>
              <w:tab/>
            </w:r>
          </w:p>
        </w:tc>
      </w:tr>
    </w:tbl>
    <w:p w14:paraId="1D621623" w14:textId="77777777" w:rsidR="00F37F0F" w:rsidRDefault="00F37F0F" w:rsidP="00F37F0F">
      <w:pPr>
        <w:rPr>
          <w:rFonts w:cs="Arial"/>
          <w:b/>
        </w:rPr>
      </w:pPr>
      <w:r>
        <w:rPr>
          <w:rFonts w:cs="Arial"/>
        </w:rPr>
        <w:br w:type="page"/>
      </w:r>
    </w:p>
    <w:p w14:paraId="56F7FA61" w14:textId="77777777" w:rsidR="00F37F0F" w:rsidRDefault="00F37F0F" w:rsidP="00F37F0F">
      <w:pPr>
        <w:rPr>
          <w:rFonts w:cs="Arial"/>
          <w:sz w:val="20"/>
        </w:rPr>
      </w:pPr>
    </w:p>
    <w:tbl>
      <w:tblPr>
        <w:tblpPr w:leftFromText="180" w:rightFromText="180" w:vertAnchor="text" w:horzAnchor="margin" w:tblpXSpec="center" w:tblpY="9"/>
        <w:tblW w:w="7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35"/>
        <w:gridCol w:w="1537"/>
        <w:gridCol w:w="1832"/>
        <w:gridCol w:w="30"/>
      </w:tblGrid>
      <w:tr w:rsidR="00F37F0F" w14:paraId="69CB9179" w14:textId="77777777" w:rsidTr="00F01091">
        <w:trPr>
          <w:gridAfter w:val="1"/>
          <w:wAfter w:w="30" w:type="dxa"/>
          <w:trHeight w:hRule="exact" w:val="645"/>
        </w:trPr>
        <w:tc>
          <w:tcPr>
            <w:tcW w:w="7404" w:type="dxa"/>
            <w:gridSpan w:val="3"/>
            <w:tcBorders>
              <w:top w:val="nil"/>
              <w:left w:val="nil"/>
              <w:bottom w:val="single" w:sz="4" w:space="0" w:color="auto"/>
              <w:right w:val="nil"/>
            </w:tcBorders>
            <w:tcMar>
              <w:top w:w="14" w:type="dxa"/>
              <w:left w:w="43" w:type="dxa"/>
              <w:bottom w:w="14" w:type="dxa"/>
              <w:right w:w="43" w:type="dxa"/>
            </w:tcMar>
            <w:vAlign w:val="center"/>
          </w:tcPr>
          <w:p w14:paraId="024D47E3" w14:textId="77777777" w:rsidR="00F37F0F" w:rsidRDefault="00F37F0F" w:rsidP="003A385F">
            <w:pPr>
              <w:rPr>
                <w:rFonts w:cs="Arial"/>
                <w:sz w:val="20"/>
                <w:vertAlign w:val="superscript"/>
              </w:rPr>
            </w:pPr>
            <w:r>
              <w:rPr>
                <w:rFonts w:cs="Arial"/>
                <w:b/>
              </w:rPr>
              <w:t>Table 5: Optimum factor loadings of Teamwork items</w:t>
            </w:r>
            <w:r>
              <w:rPr>
                <w:rFonts w:cs="Arial"/>
                <w:b/>
                <w:vertAlign w:val="superscript"/>
              </w:rPr>
              <w:t>1, 2</w:t>
            </w:r>
          </w:p>
        </w:tc>
      </w:tr>
      <w:tr w:rsidR="00F37F0F" w14:paraId="215D51F1" w14:textId="77777777" w:rsidTr="00F01091">
        <w:trPr>
          <w:gridAfter w:val="1"/>
          <w:wAfter w:w="30" w:type="dxa"/>
          <w:trHeight w:hRule="exact" w:val="511"/>
        </w:trPr>
        <w:tc>
          <w:tcPr>
            <w:tcW w:w="4035" w:type="dxa"/>
            <w:tcBorders>
              <w:bottom w:val="single" w:sz="4" w:space="0" w:color="auto"/>
            </w:tcBorders>
            <w:tcMar>
              <w:top w:w="14" w:type="dxa"/>
              <w:left w:w="43" w:type="dxa"/>
              <w:bottom w:w="14" w:type="dxa"/>
              <w:right w:w="43" w:type="dxa"/>
            </w:tcMar>
            <w:vAlign w:val="center"/>
          </w:tcPr>
          <w:p w14:paraId="4198D023" w14:textId="77777777" w:rsidR="00F37F0F" w:rsidRDefault="00F37F0F" w:rsidP="003A385F">
            <w:pPr>
              <w:rPr>
                <w:rFonts w:cs="Arial"/>
                <w:b/>
                <w:sz w:val="20"/>
                <w:lang w:val="en-US"/>
              </w:rPr>
            </w:pPr>
            <w:r>
              <w:rPr>
                <w:rFonts w:cs="Arial"/>
                <w:b/>
                <w:sz w:val="20"/>
                <w:lang w:val="en-US"/>
              </w:rPr>
              <w:t>Teamwork items</w:t>
            </w:r>
          </w:p>
        </w:tc>
        <w:tc>
          <w:tcPr>
            <w:tcW w:w="3369" w:type="dxa"/>
            <w:gridSpan w:val="2"/>
            <w:tcBorders>
              <w:bottom w:val="single" w:sz="4" w:space="0" w:color="auto"/>
            </w:tcBorders>
            <w:tcMar>
              <w:top w:w="14" w:type="dxa"/>
              <w:left w:w="43" w:type="dxa"/>
              <w:bottom w:w="14" w:type="dxa"/>
              <w:right w:w="43" w:type="dxa"/>
            </w:tcMar>
            <w:vAlign w:val="center"/>
          </w:tcPr>
          <w:p w14:paraId="1E759EE4" w14:textId="77777777" w:rsidR="00F37F0F" w:rsidRDefault="00F37F0F" w:rsidP="003A385F">
            <w:pPr>
              <w:jc w:val="center"/>
              <w:rPr>
                <w:rFonts w:cs="Arial"/>
                <w:b/>
                <w:sz w:val="20"/>
              </w:rPr>
            </w:pPr>
            <w:r>
              <w:rPr>
                <w:rFonts w:cs="Arial"/>
                <w:b/>
                <w:sz w:val="20"/>
              </w:rPr>
              <w:t>Factor loadings</w:t>
            </w:r>
          </w:p>
        </w:tc>
      </w:tr>
      <w:tr w:rsidR="00F37F0F" w14:paraId="5AB4AFF9" w14:textId="77777777" w:rsidTr="00D6411D">
        <w:trPr>
          <w:gridAfter w:val="1"/>
          <w:wAfter w:w="30" w:type="dxa"/>
          <w:trHeight w:hRule="exact" w:val="1670"/>
        </w:trPr>
        <w:tc>
          <w:tcPr>
            <w:tcW w:w="4035" w:type="dxa"/>
            <w:tcBorders>
              <w:top w:val="single" w:sz="4" w:space="0" w:color="auto"/>
              <w:bottom w:val="single" w:sz="4" w:space="0" w:color="auto"/>
            </w:tcBorders>
            <w:tcMar>
              <w:top w:w="14" w:type="dxa"/>
              <w:left w:w="43" w:type="dxa"/>
              <w:bottom w:w="14" w:type="dxa"/>
              <w:right w:w="43" w:type="dxa"/>
            </w:tcMar>
            <w:vAlign w:val="center"/>
          </w:tcPr>
          <w:p w14:paraId="141D5E79" w14:textId="77777777" w:rsidR="00F37F0F" w:rsidRDefault="00F37F0F" w:rsidP="003A385F">
            <w:pPr>
              <w:pStyle w:val="Header"/>
              <w:rPr>
                <w:rFonts w:cs="Arial"/>
                <w:sz w:val="17"/>
                <w:szCs w:val="17"/>
              </w:rPr>
            </w:pPr>
          </w:p>
        </w:tc>
        <w:tc>
          <w:tcPr>
            <w:tcW w:w="1537" w:type="dxa"/>
            <w:tcBorders>
              <w:top w:val="single" w:sz="4" w:space="0" w:color="auto"/>
              <w:bottom w:val="single" w:sz="4" w:space="0" w:color="auto"/>
            </w:tcBorders>
            <w:tcMar>
              <w:top w:w="14" w:type="dxa"/>
              <w:left w:w="43" w:type="dxa"/>
              <w:bottom w:w="14" w:type="dxa"/>
              <w:right w:w="43" w:type="dxa"/>
            </w:tcMar>
          </w:tcPr>
          <w:p w14:paraId="45BE0C37" w14:textId="77777777" w:rsidR="00F37F0F" w:rsidRDefault="00F37F0F" w:rsidP="003A385F">
            <w:pPr>
              <w:rPr>
                <w:rFonts w:cs="Arial"/>
                <w:sz w:val="20"/>
                <w:lang w:val="en-US"/>
              </w:rPr>
            </w:pPr>
            <w:r>
              <w:rPr>
                <w:rFonts w:cs="Arial"/>
                <w:b/>
                <w:sz w:val="20"/>
                <w:lang w:val="en-US"/>
              </w:rPr>
              <w:t>Teamwork factor 1</w:t>
            </w:r>
            <w:r>
              <w:rPr>
                <w:rFonts w:cs="Arial"/>
                <w:sz w:val="20"/>
                <w:lang w:val="en-US"/>
              </w:rPr>
              <w:t xml:space="preserve"> </w:t>
            </w:r>
          </w:p>
          <w:p w14:paraId="26E78607" w14:textId="77777777" w:rsidR="00F37F0F" w:rsidRDefault="00F37F0F" w:rsidP="003A385F">
            <w:pPr>
              <w:rPr>
                <w:rFonts w:cs="Arial"/>
                <w:sz w:val="20"/>
                <w:lang w:val="en-US"/>
              </w:rPr>
            </w:pPr>
            <w:r>
              <w:rPr>
                <w:rFonts w:cs="Arial"/>
                <w:sz w:val="17"/>
                <w:szCs w:val="17"/>
              </w:rPr>
              <w:t>Input into decisions and collaboration with other staff</w:t>
            </w:r>
          </w:p>
        </w:tc>
        <w:tc>
          <w:tcPr>
            <w:tcW w:w="1832" w:type="dxa"/>
            <w:tcBorders>
              <w:top w:val="single" w:sz="4" w:space="0" w:color="auto"/>
              <w:bottom w:val="single" w:sz="4" w:space="0" w:color="auto"/>
            </w:tcBorders>
            <w:tcMar>
              <w:top w:w="14" w:type="dxa"/>
              <w:left w:w="43" w:type="dxa"/>
              <w:bottom w:w="14" w:type="dxa"/>
              <w:right w:w="43" w:type="dxa"/>
            </w:tcMar>
          </w:tcPr>
          <w:p w14:paraId="1B0D918A" w14:textId="77777777" w:rsidR="00F37F0F" w:rsidRDefault="00F37F0F" w:rsidP="003A385F">
            <w:pPr>
              <w:rPr>
                <w:rFonts w:cs="Arial"/>
                <w:sz w:val="20"/>
                <w:lang w:val="en-US"/>
              </w:rPr>
            </w:pPr>
            <w:r>
              <w:rPr>
                <w:rFonts w:cs="Arial"/>
                <w:b/>
                <w:sz w:val="20"/>
                <w:lang w:val="en-US"/>
              </w:rPr>
              <w:t>Teamwork factor 2</w:t>
            </w:r>
            <w:r>
              <w:rPr>
                <w:rFonts w:cs="Arial"/>
                <w:sz w:val="20"/>
                <w:lang w:val="en-US"/>
              </w:rPr>
              <w:t xml:space="preserve"> </w:t>
            </w:r>
          </w:p>
          <w:p w14:paraId="72950A2F" w14:textId="77777777" w:rsidR="00F37F0F" w:rsidRDefault="00F37F0F" w:rsidP="003A385F">
            <w:pPr>
              <w:rPr>
                <w:rFonts w:cs="Arial"/>
                <w:sz w:val="20"/>
                <w:lang w:val="en-US"/>
              </w:rPr>
            </w:pPr>
            <w:r>
              <w:rPr>
                <w:rFonts w:cs="Arial"/>
                <w:sz w:val="17"/>
                <w:szCs w:val="17"/>
              </w:rPr>
              <w:t>Information handover</w:t>
            </w:r>
          </w:p>
        </w:tc>
      </w:tr>
      <w:tr w:rsidR="00F37F0F" w14:paraId="45D7F026" w14:textId="77777777" w:rsidTr="00F01091">
        <w:trPr>
          <w:gridAfter w:val="1"/>
          <w:wAfter w:w="30" w:type="dxa"/>
          <w:trHeight w:hRule="exact" w:val="761"/>
        </w:trPr>
        <w:tc>
          <w:tcPr>
            <w:tcW w:w="4035" w:type="dxa"/>
            <w:tcBorders>
              <w:top w:val="single" w:sz="4" w:space="0" w:color="auto"/>
              <w:bottom w:val="single" w:sz="4" w:space="0" w:color="999999"/>
            </w:tcBorders>
            <w:tcMar>
              <w:top w:w="14" w:type="dxa"/>
              <w:left w:w="43" w:type="dxa"/>
              <w:bottom w:w="14" w:type="dxa"/>
              <w:right w:w="43" w:type="dxa"/>
            </w:tcMar>
            <w:vAlign w:val="center"/>
          </w:tcPr>
          <w:p w14:paraId="60CFC9E2" w14:textId="77777777" w:rsidR="00F37F0F" w:rsidRDefault="00F37F0F" w:rsidP="003A385F">
            <w:pPr>
              <w:pStyle w:val="Header"/>
              <w:rPr>
                <w:rFonts w:cs="Arial"/>
                <w:sz w:val="17"/>
                <w:szCs w:val="17"/>
              </w:rPr>
            </w:pPr>
            <w:r>
              <w:rPr>
                <w:rFonts w:cs="Arial"/>
                <w:b/>
                <w:sz w:val="20"/>
                <w:lang w:val="en-US"/>
              </w:rPr>
              <w:t>Teamwork factor 1</w:t>
            </w:r>
          </w:p>
        </w:tc>
        <w:tc>
          <w:tcPr>
            <w:tcW w:w="1537" w:type="dxa"/>
            <w:tcBorders>
              <w:top w:val="single" w:sz="4" w:space="0" w:color="auto"/>
              <w:bottom w:val="single" w:sz="4" w:space="0" w:color="999999"/>
            </w:tcBorders>
            <w:tcMar>
              <w:top w:w="14" w:type="dxa"/>
              <w:left w:w="43" w:type="dxa"/>
              <w:bottom w:w="14" w:type="dxa"/>
              <w:right w:w="43" w:type="dxa"/>
            </w:tcMar>
          </w:tcPr>
          <w:p w14:paraId="1E80C88F" w14:textId="77777777" w:rsidR="00F37F0F" w:rsidRDefault="00F37F0F" w:rsidP="003A385F">
            <w:pPr>
              <w:rPr>
                <w:rFonts w:cs="Arial"/>
                <w:sz w:val="17"/>
                <w:szCs w:val="17"/>
                <w:lang w:val="en-US"/>
              </w:rPr>
            </w:pPr>
          </w:p>
        </w:tc>
        <w:tc>
          <w:tcPr>
            <w:tcW w:w="1832" w:type="dxa"/>
            <w:tcBorders>
              <w:top w:val="single" w:sz="4" w:space="0" w:color="auto"/>
              <w:bottom w:val="single" w:sz="4" w:space="0" w:color="999999"/>
            </w:tcBorders>
            <w:tcMar>
              <w:top w:w="14" w:type="dxa"/>
              <w:left w:w="43" w:type="dxa"/>
              <w:bottom w:w="14" w:type="dxa"/>
              <w:right w:w="43" w:type="dxa"/>
            </w:tcMar>
          </w:tcPr>
          <w:p w14:paraId="4D9AC72D" w14:textId="77777777" w:rsidR="00F37F0F" w:rsidRDefault="00F37F0F" w:rsidP="003A385F">
            <w:pPr>
              <w:rPr>
                <w:rFonts w:cs="Arial"/>
                <w:sz w:val="17"/>
                <w:szCs w:val="17"/>
                <w:lang w:val="en-US"/>
              </w:rPr>
            </w:pPr>
          </w:p>
        </w:tc>
      </w:tr>
      <w:tr w:rsidR="00F37F0F" w14:paraId="7AAEA3B8" w14:textId="77777777" w:rsidTr="00F01091">
        <w:trPr>
          <w:gridAfter w:val="1"/>
          <w:wAfter w:w="30" w:type="dxa"/>
          <w:trHeight w:hRule="exact" w:val="501"/>
        </w:trPr>
        <w:tc>
          <w:tcPr>
            <w:tcW w:w="4035" w:type="dxa"/>
            <w:tcBorders>
              <w:top w:val="single" w:sz="4" w:space="0" w:color="999999"/>
              <w:bottom w:val="single" w:sz="4" w:space="0" w:color="999999"/>
            </w:tcBorders>
            <w:tcMar>
              <w:top w:w="14" w:type="dxa"/>
              <w:left w:w="43" w:type="dxa"/>
              <w:bottom w:w="14" w:type="dxa"/>
              <w:right w:w="43" w:type="dxa"/>
            </w:tcMar>
            <w:vAlign w:val="center"/>
          </w:tcPr>
          <w:p w14:paraId="0824C3BD" w14:textId="77777777" w:rsidR="00F37F0F" w:rsidRDefault="00F37F0F" w:rsidP="003A385F">
            <w:pPr>
              <w:pStyle w:val="Header"/>
              <w:rPr>
                <w:rFonts w:cs="Arial"/>
                <w:sz w:val="17"/>
                <w:szCs w:val="17"/>
              </w:rPr>
            </w:pPr>
            <w:r>
              <w:rPr>
                <w:rFonts w:cs="Arial"/>
                <w:sz w:val="17"/>
                <w:szCs w:val="17"/>
              </w:rPr>
              <w:t>Nurse input is well received where I work.</w:t>
            </w:r>
          </w:p>
        </w:tc>
        <w:tc>
          <w:tcPr>
            <w:tcW w:w="1537" w:type="dxa"/>
            <w:tcBorders>
              <w:top w:val="single" w:sz="4" w:space="0" w:color="999999"/>
              <w:bottom w:val="single" w:sz="4" w:space="0" w:color="999999"/>
            </w:tcBorders>
            <w:tcMar>
              <w:top w:w="14" w:type="dxa"/>
              <w:left w:w="43" w:type="dxa"/>
              <w:bottom w:w="14" w:type="dxa"/>
              <w:right w:w="43" w:type="dxa"/>
            </w:tcMar>
            <w:vAlign w:val="center"/>
          </w:tcPr>
          <w:p w14:paraId="0575ECA6" w14:textId="77777777" w:rsidR="00F37F0F" w:rsidRDefault="00F37F0F" w:rsidP="003A385F">
            <w:pPr>
              <w:jc w:val="center"/>
              <w:rPr>
                <w:rFonts w:cs="Arial"/>
                <w:sz w:val="20"/>
              </w:rPr>
            </w:pPr>
            <w:r>
              <w:rPr>
                <w:rFonts w:cs="Arial"/>
                <w:sz w:val="20"/>
              </w:rPr>
              <w:t>.697</w:t>
            </w:r>
          </w:p>
        </w:tc>
        <w:tc>
          <w:tcPr>
            <w:tcW w:w="1832" w:type="dxa"/>
            <w:tcBorders>
              <w:top w:val="single" w:sz="4" w:space="0" w:color="999999"/>
              <w:bottom w:val="single" w:sz="4" w:space="0" w:color="999999"/>
            </w:tcBorders>
            <w:tcMar>
              <w:top w:w="14" w:type="dxa"/>
              <w:left w:w="43" w:type="dxa"/>
              <w:bottom w:w="14" w:type="dxa"/>
              <w:right w:w="43" w:type="dxa"/>
            </w:tcMar>
            <w:vAlign w:val="center"/>
          </w:tcPr>
          <w:p w14:paraId="18045E9E" w14:textId="77777777" w:rsidR="00F37F0F" w:rsidRDefault="00F37F0F" w:rsidP="003A385F">
            <w:pPr>
              <w:jc w:val="center"/>
              <w:rPr>
                <w:rFonts w:cs="Arial"/>
                <w:sz w:val="20"/>
              </w:rPr>
            </w:pPr>
          </w:p>
        </w:tc>
      </w:tr>
      <w:tr w:rsidR="00F37F0F" w14:paraId="333EDA87" w14:textId="77777777" w:rsidTr="00F01091">
        <w:trPr>
          <w:gridAfter w:val="1"/>
          <w:wAfter w:w="30" w:type="dxa"/>
          <w:trHeight w:hRule="exact" w:val="501"/>
        </w:trPr>
        <w:tc>
          <w:tcPr>
            <w:tcW w:w="4035" w:type="dxa"/>
            <w:tcBorders>
              <w:top w:val="single" w:sz="4" w:space="0" w:color="999999"/>
              <w:bottom w:val="single" w:sz="4" w:space="0" w:color="999999"/>
            </w:tcBorders>
            <w:tcMar>
              <w:top w:w="14" w:type="dxa"/>
              <w:left w:w="43" w:type="dxa"/>
              <w:bottom w:w="14" w:type="dxa"/>
              <w:right w:w="43" w:type="dxa"/>
            </w:tcMar>
            <w:vAlign w:val="center"/>
          </w:tcPr>
          <w:p w14:paraId="18CBBF42" w14:textId="77777777" w:rsidR="00F37F0F" w:rsidRDefault="00F37F0F" w:rsidP="003A385F">
            <w:pPr>
              <w:pStyle w:val="Header"/>
              <w:rPr>
                <w:rFonts w:cs="Arial"/>
                <w:sz w:val="17"/>
                <w:szCs w:val="17"/>
              </w:rPr>
            </w:pPr>
            <w:r>
              <w:rPr>
                <w:rFonts w:cs="Arial"/>
                <w:sz w:val="17"/>
                <w:szCs w:val="17"/>
              </w:rPr>
              <w:t>Decision-making where I work uses input from relevant staff.</w:t>
            </w:r>
          </w:p>
        </w:tc>
        <w:tc>
          <w:tcPr>
            <w:tcW w:w="1537" w:type="dxa"/>
            <w:tcBorders>
              <w:top w:val="single" w:sz="4" w:space="0" w:color="999999"/>
              <w:bottom w:val="single" w:sz="4" w:space="0" w:color="999999"/>
            </w:tcBorders>
            <w:tcMar>
              <w:top w:w="14" w:type="dxa"/>
              <w:left w:w="43" w:type="dxa"/>
              <w:bottom w:w="14" w:type="dxa"/>
              <w:right w:w="43" w:type="dxa"/>
            </w:tcMar>
            <w:vAlign w:val="center"/>
          </w:tcPr>
          <w:p w14:paraId="5B7512BA" w14:textId="77777777" w:rsidR="00F37F0F" w:rsidRDefault="00F37F0F" w:rsidP="003A385F">
            <w:pPr>
              <w:jc w:val="center"/>
              <w:rPr>
                <w:rFonts w:cs="Arial"/>
                <w:sz w:val="20"/>
              </w:rPr>
            </w:pPr>
            <w:r>
              <w:rPr>
                <w:rFonts w:cs="Arial"/>
                <w:sz w:val="20"/>
              </w:rPr>
              <w:t>.675</w:t>
            </w:r>
          </w:p>
        </w:tc>
        <w:tc>
          <w:tcPr>
            <w:tcW w:w="1832" w:type="dxa"/>
            <w:tcBorders>
              <w:top w:val="single" w:sz="4" w:space="0" w:color="999999"/>
              <w:bottom w:val="single" w:sz="4" w:space="0" w:color="999999"/>
            </w:tcBorders>
            <w:tcMar>
              <w:top w:w="14" w:type="dxa"/>
              <w:left w:w="43" w:type="dxa"/>
              <w:bottom w:w="14" w:type="dxa"/>
              <w:right w:w="43" w:type="dxa"/>
            </w:tcMar>
            <w:vAlign w:val="center"/>
          </w:tcPr>
          <w:p w14:paraId="355C5BE9" w14:textId="77777777" w:rsidR="00F37F0F" w:rsidRDefault="00F37F0F" w:rsidP="003A385F">
            <w:pPr>
              <w:jc w:val="center"/>
              <w:rPr>
                <w:rFonts w:cs="Arial"/>
                <w:sz w:val="20"/>
              </w:rPr>
            </w:pPr>
          </w:p>
        </w:tc>
      </w:tr>
      <w:tr w:rsidR="00F37F0F" w14:paraId="41A96002" w14:textId="77777777" w:rsidTr="00F01091">
        <w:trPr>
          <w:trHeight w:hRule="exact" w:val="501"/>
        </w:trPr>
        <w:tc>
          <w:tcPr>
            <w:tcW w:w="4035" w:type="dxa"/>
            <w:tcBorders>
              <w:top w:val="single" w:sz="4" w:space="0" w:color="999999"/>
              <w:bottom w:val="single" w:sz="4" w:space="0" w:color="999999"/>
            </w:tcBorders>
            <w:tcMar>
              <w:top w:w="14" w:type="dxa"/>
              <w:left w:w="43" w:type="dxa"/>
              <w:bottom w:w="14" w:type="dxa"/>
              <w:right w:w="43" w:type="dxa"/>
            </w:tcMar>
            <w:vAlign w:val="center"/>
          </w:tcPr>
          <w:p w14:paraId="0D524191" w14:textId="77777777" w:rsidR="00F37F0F" w:rsidRDefault="00F37F0F" w:rsidP="003A385F">
            <w:pPr>
              <w:pStyle w:val="Header"/>
              <w:rPr>
                <w:rFonts w:cs="Arial"/>
                <w:sz w:val="17"/>
                <w:szCs w:val="17"/>
              </w:rPr>
            </w:pPr>
            <w:r>
              <w:rPr>
                <w:rFonts w:cs="Arial"/>
                <w:sz w:val="17"/>
                <w:szCs w:val="17"/>
              </w:rPr>
              <w:t>The doctors and nurses here work together as a well co-ordinated team.</w:t>
            </w:r>
          </w:p>
        </w:tc>
        <w:tc>
          <w:tcPr>
            <w:tcW w:w="1537" w:type="dxa"/>
            <w:tcBorders>
              <w:top w:val="single" w:sz="4" w:space="0" w:color="999999"/>
              <w:bottom w:val="single" w:sz="4" w:space="0" w:color="999999"/>
            </w:tcBorders>
            <w:tcMar>
              <w:top w:w="14" w:type="dxa"/>
              <w:left w:w="43" w:type="dxa"/>
              <w:bottom w:w="14" w:type="dxa"/>
              <w:right w:w="43" w:type="dxa"/>
            </w:tcMar>
            <w:vAlign w:val="center"/>
          </w:tcPr>
          <w:p w14:paraId="27AA06F5" w14:textId="77777777" w:rsidR="00F37F0F" w:rsidRDefault="00F37F0F" w:rsidP="003A385F">
            <w:pPr>
              <w:jc w:val="center"/>
              <w:rPr>
                <w:rFonts w:cs="Arial"/>
                <w:sz w:val="20"/>
              </w:rPr>
            </w:pPr>
            <w:r>
              <w:rPr>
                <w:rFonts w:cs="Arial"/>
                <w:sz w:val="20"/>
              </w:rPr>
              <w:t>.830</w:t>
            </w:r>
          </w:p>
        </w:tc>
        <w:tc>
          <w:tcPr>
            <w:tcW w:w="1832" w:type="dxa"/>
            <w:tcBorders>
              <w:top w:val="single" w:sz="4" w:space="0" w:color="999999"/>
              <w:bottom w:val="single" w:sz="4" w:space="0" w:color="999999"/>
            </w:tcBorders>
            <w:tcMar>
              <w:top w:w="14" w:type="dxa"/>
              <w:left w:w="43" w:type="dxa"/>
              <w:bottom w:w="14" w:type="dxa"/>
              <w:right w:w="43" w:type="dxa"/>
            </w:tcMar>
            <w:vAlign w:val="center"/>
          </w:tcPr>
          <w:p w14:paraId="40D9B015" w14:textId="77777777" w:rsidR="00F37F0F" w:rsidRDefault="00F37F0F" w:rsidP="003A385F">
            <w:pPr>
              <w:jc w:val="center"/>
              <w:rPr>
                <w:rFonts w:cs="Arial"/>
                <w:sz w:val="20"/>
              </w:rPr>
            </w:pPr>
          </w:p>
        </w:tc>
        <w:tc>
          <w:tcPr>
            <w:tcW w:w="30" w:type="dxa"/>
          </w:tcPr>
          <w:p w14:paraId="7A44EF9D" w14:textId="77777777" w:rsidR="00F37F0F" w:rsidRDefault="00F37F0F">
            <w:pPr>
              <w:rPr>
                <w:rFonts w:cs="Arial"/>
                <w:sz w:val="16"/>
              </w:rPr>
            </w:pPr>
            <w:r>
              <w:rPr>
                <w:rFonts w:cs="Arial"/>
                <w:sz w:val="16"/>
              </w:rPr>
              <w:tab/>
            </w:r>
          </w:p>
        </w:tc>
      </w:tr>
      <w:tr w:rsidR="00F37F0F" w14:paraId="7B664CE8" w14:textId="77777777" w:rsidTr="00F01091">
        <w:trPr>
          <w:gridAfter w:val="1"/>
          <w:wAfter w:w="30" w:type="dxa"/>
          <w:trHeight w:hRule="exact" w:val="501"/>
        </w:trPr>
        <w:tc>
          <w:tcPr>
            <w:tcW w:w="4035" w:type="dxa"/>
            <w:tcBorders>
              <w:top w:val="single" w:sz="4" w:space="0" w:color="999999"/>
              <w:bottom w:val="single" w:sz="4" w:space="0" w:color="999999"/>
            </w:tcBorders>
            <w:tcMar>
              <w:top w:w="14" w:type="dxa"/>
              <w:left w:w="43" w:type="dxa"/>
              <w:bottom w:w="14" w:type="dxa"/>
              <w:right w:w="43" w:type="dxa"/>
            </w:tcMar>
            <w:vAlign w:val="center"/>
          </w:tcPr>
          <w:p w14:paraId="19D4FDE0" w14:textId="77777777" w:rsidR="00F37F0F" w:rsidRDefault="00F37F0F" w:rsidP="003A385F">
            <w:pPr>
              <w:pStyle w:val="Header"/>
              <w:rPr>
                <w:rFonts w:cs="Arial"/>
                <w:sz w:val="17"/>
                <w:szCs w:val="17"/>
              </w:rPr>
            </w:pPr>
            <w:r>
              <w:rPr>
                <w:rFonts w:cs="Arial"/>
                <w:sz w:val="17"/>
                <w:szCs w:val="17"/>
              </w:rPr>
              <w:t>Disagreements where I work are resolved appropriately (i.e. not who is right, but what is best for the patient).</w:t>
            </w:r>
          </w:p>
        </w:tc>
        <w:tc>
          <w:tcPr>
            <w:tcW w:w="1537" w:type="dxa"/>
            <w:tcBorders>
              <w:top w:val="single" w:sz="4" w:space="0" w:color="999999"/>
              <w:bottom w:val="single" w:sz="4" w:space="0" w:color="999999"/>
            </w:tcBorders>
            <w:tcMar>
              <w:top w:w="14" w:type="dxa"/>
              <w:left w:w="43" w:type="dxa"/>
              <w:bottom w:w="14" w:type="dxa"/>
              <w:right w:w="43" w:type="dxa"/>
            </w:tcMar>
            <w:vAlign w:val="center"/>
          </w:tcPr>
          <w:p w14:paraId="1B1C495A" w14:textId="77777777" w:rsidR="00F37F0F" w:rsidRDefault="00F37F0F" w:rsidP="003A385F">
            <w:pPr>
              <w:jc w:val="center"/>
              <w:rPr>
                <w:rFonts w:cs="Arial"/>
                <w:sz w:val="20"/>
              </w:rPr>
            </w:pPr>
            <w:r>
              <w:rPr>
                <w:rFonts w:cs="Arial"/>
                <w:sz w:val="20"/>
              </w:rPr>
              <w:t>.716</w:t>
            </w:r>
          </w:p>
        </w:tc>
        <w:tc>
          <w:tcPr>
            <w:tcW w:w="1832" w:type="dxa"/>
            <w:tcBorders>
              <w:top w:val="single" w:sz="4" w:space="0" w:color="999999"/>
              <w:bottom w:val="single" w:sz="4" w:space="0" w:color="999999"/>
            </w:tcBorders>
            <w:tcMar>
              <w:top w:w="14" w:type="dxa"/>
              <w:left w:w="43" w:type="dxa"/>
              <w:bottom w:w="14" w:type="dxa"/>
              <w:right w:w="43" w:type="dxa"/>
            </w:tcMar>
            <w:vAlign w:val="center"/>
          </w:tcPr>
          <w:p w14:paraId="2736C668" w14:textId="77777777" w:rsidR="00F37F0F" w:rsidRDefault="00F37F0F" w:rsidP="003A385F">
            <w:pPr>
              <w:jc w:val="center"/>
              <w:rPr>
                <w:rFonts w:cs="Arial"/>
                <w:sz w:val="20"/>
              </w:rPr>
            </w:pPr>
          </w:p>
        </w:tc>
      </w:tr>
      <w:tr w:rsidR="00F37F0F" w14:paraId="221C851D" w14:textId="77777777" w:rsidTr="00F01091">
        <w:trPr>
          <w:gridAfter w:val="1"/>
          <w:wAfter w:w="30" w:type="dxa"/>
          <w:trHeight w:hRule="exact" w:val="501"/>
        </w:trPr>
        <w:tc>
          <w:tcPr>
            <w:tcW w:w="4035" w:type="dxa"/>
            <w:tcBorders>
              <w:top w:val="single" w:sz="4" w:space="0" w:color="999999"/>
              <w:bottom w:val="single" w:sz="4" w:space="0" w:color="999999"/>
            </w:tcBorders>
            <w:tcMar>
              <w:top w:w="14" w:type="dxa"/>
              <w:left w:w="43" w:type="dxa"/>
              <w:bottom w:w="14" w:type="dxa"/>
              <w:right w:w="43" w:type="dxa"/>
            </w:tcMar>
            <w:vAlign w:val="center"/>
          </w:tcPr>
          <w:p w14:paraId="1EA16B47" w14:textId="77777777" w:rsidR="00F37F0F" w:rsidRDefault="00F37F0F" w:rsidP="003A385F">
            <w:pPr>
              <w:pStyle w:val="Header"/>
              <w:rPr>
                <w:rFonts w:cs="Arial"/>
                <w:sz w:val="17"/>
                <w:szCs w:val="17"/>
              </w:rPr>
            </w:pPr>
            <w:r>
              <w:rPr>
                <w:rFonts w:cs="Arial"/>
                <w:sz w:val="17"/>
                <w:szCs w:val="17"/>
              </w:rPr>
              <w:t>It is easy for staff here to ask questions when there is something that they do not understand.</w:t>
            </w:r>
          </w:p>
        </w:tc>
        <w:tc>
          <w:tcPr>
            <w:tcW w:w="1537" w:type="dxa"/>
            <w:tcBorders>
              <w:top w:val="single" w:sz="4" w:space="0" w:color="999999"/>
              <w:bottom w:val="single" w:sz="4" w:space="0" w:color="999999"/>
            </w:tcBorders>
            <w:tcMar>
              <w:top w:w="14" w:type="dxa"/>
              <w:left w:w="43" w:type="dxa"/>
              <w:bottom w:w="14" w:type="dxa"/>
              <w:right w:w="43" w:type="dxa"/>
            </w:tcMar>
            <w:vAlign w:val="center"/>
          </w:tcPr>
          <w:p w14:paraId="319D342C" w14:textId="77777777" w:rsidR="00F37F0F" w:rsidRDefault="00F37F0F" w:rsidP="003A385F">
            <w:pPr>
              <w:jc w:val="center"/>
              <w:rPr>
                <w:rFonts w:cs="Arial"/>
                <w:sz w:val="20"/>
              </w:rPr>
            </w:pPr>
            <w:r>
              <w:rPr>
                <w:rFonts w:cs="Arial"/>
                <w:sz w:val="20"/>
              </w:rPr>
              <w:t>.439</w:t>
            </w:r>
          </w:p>
        </w:tc>
        <w:tc>
          <w:tcPr>
            <w:tcW w:w="1832" w:type="dxa"/>
            <w:tcBorders>
              <w:top w:val="single" w:sz="4" w:space="0" w:color="999999"/>
              <w:bottom w:val="single" w:sz="4" w:space="0" w:color="999999"/>
            </w:tcBorders>
            <w:tcMar>
              <w:top w:w="14" w:type="dxa"/>
              <w:left w:w="43" w:type="dxa"/>
              <w:bottom w:w="14" w:type="dxa"/>
              <w:right w:w="43" w:type="dxa"/>
            </w:tcMar>
            <w:vAlign w:val="center"/>
          </w:tcPr>
          <w:p w14:paraId="76E74A5B" w14:textId="77777777" w:rsidR="00F37F0F" w:rsidRDefault="00F37F0F" w:rsidP="003A385F">
            <w:pPr>
              <w:jc w:val="center"/>
              <w:rPr>
                <w:rFonts w:cs="Arial"/>
                <w:sz w:val="20"/>
              </w:rPr>
            </w:pPr>
            <w:r>
              <w:rPr>
                <w:rFonts w:cs="Arial"/>
                <w:sz w:val="20"/>
              </w:rPr>
              <w:t>.365</w:t>
            </w:r>
          </w:p>
        </w:tc>
      </w:tr>
      <w:tr w:rsidR="00F37F0F" w14:paraId="7B25B0DC" w14:textId="77777777" w:rsidTr="00F01091">
        <w:trPr>
          <w:gridAfter w:val="1"/>
          <w:wAfter w:w="30" w:type="dxa"/>
          <w:trHeight w:hRule="exact" w:val="501"/>
        </w:trPr>
        <w:tc>
          <w:tcPr>
            <w:tcW w:w="4035" w:type="dxa"/>
            <w:tcBorders>
              <w:top w:val="single" w:sz="4" w:space="0" w:color="999999"/>
              <w:bottom w:val="single" w:sz="4" w:space="0" w:color="999999"/>
            </w:tcBorders>
            <w:tcMar>
              <w:top w:w="14" w:type="dxa"/>
              <w:left w:w="43" w:type="dxa"/>
              <w:bottom w:w="14" w:type="dxa"/>
              <w:right w:w="43" w:type="dxa"/>
            </w:tcMar>
            <w:vAlign w:val="center"/>
          </w:tcPr>
          <w:p w14:paraId="3B2B6D59" w14:textId="77777777" w:rsidR="00F37F0F" w:rsidRDefault="00F37F0F" w:rsidP="003A385F">
            <w:pPr>
              <w:pStyle w:val="Header"/>
              <w:rPr>
                <w:rFonts w:cs="Arial"/>
                <w:sz w:val="17"/>
                <w:szCs w:val="17"/>
              </w:rPr>
            </w:pPr>
            <w:r>
              <w:rPr>
                <w:rFonts w:cs="Arial"/>
                <w:sz w:val="17"/>
                <w:szCs w:val="17"/>
              </w:rPr>
              <w:t>I have the support I need from other staff to care for patients.</w:t>
            </w:r>
          </w:p>
        </w:tc>
        <w:tc>
          <w:tcPr>
            <w:tcW w:w="1537" w:type="dxa"/>
            <w:tcBorders>
              <w:top w:val="single" w:sz="4" w:space="0" w:color="999999"/>
              <w:bottom w:val="single" w:sz="4" w:space="0" w:color="999999"/>
            </w:tcBorders>
            <w:tcMar>
              <w:top w:w="14" w:type="dxa"/>
              <w:left w:w="43" w:type="dxa"/>
              <w:bottom w:w="14" w:type="dxa"/>
              <w:right w:w="43" w:type="dxa"/>
            </w:tcMar>
            <w:vAlign w:val="center"/>
          </w:tcPr>
          <w:p w14:paraId="0C0EB192" w14:textId="77777777" w:rsidR="00F37F0F" w:rsidRDefault="00F37F0F" w:rsidP="003A385F">
            <w:pPr>
              <w:jc w:val="center"/>
              <w:rPr>
                <w:rFonts w:cs="Arial"/>
                <w:sz w:val="20"/>
              </w:rPr>
            </w:pPr>
            <w:r>
              <w:rPr>
                <w:rFonts w:cs="Arial"/>
                <w:sz w:val="20"/>
              </w:rPr>
              <w:t>.510</w:t>
            </w:r>
          </w:p>
        </w:tc>
        <w:tc>
          <w:tcPr>
            <w:tcW w:w="1832" w:type="dxa"/>
            <w:tcBorders>
              <w:top w:val="single" w:sz="4" w:space="0" w:color="999999"/>
              <w:bottom w:val="single" w:sz="4" w:space="0" w:color="999999"/>
            </w:tcBorders>
            <w:tcMar>
              <w:top w:w="14" w:type="dxa"/>
              <w:left w:w="43" w:type="dxa"/>
              <w:bottom w:w="14" w:type="dxa"/>
              <w:right w:w="43" w:type="dxa"/>
            </w:tcMar>
            <w:vAlign w:val="center"/>
          </w:tcPr>
          <w:p w14:paraId="2ABEF765" w14:textId="77777777" w:rsidR="00F37F0F" w:rsidRDefault="00F37F0F" w:rsidP="003A385F">
            <w:pPr>
              <w:jc w:val="center"/>
              <w:rPr>
                <w:rFonts w:cs="Arial"/>
                <w:sz w:val="20"/>
              </w:rPr>
            </w:pPr>
            <w:r>
              <w:rPr>
                <w:rFonts w:cs="Arial"/>
                <w:sz w:val="20"/>
              </w:rPr>
              <w:t>.420</w:t>
            </w:r>
          </w:p>
        </w:tc>
      </w:tr>
      <w:tr w:rsidR="00F37F0F" w14:paraId="6C5546A6" w14:textId="77777777" w:rsidTr="00F01091">
        <w:trPr>
          <w:gridAfter w:val="1"/>
          <w:wAfter w:w="30" w:type="dxa"/>
          <w:trHeight w:hRule="exact" w:val="501"/>
        </w:trPr>
        <w:tc>
          <w:tcPr>
            <w:tcW w:w="4035" w:type="dxa"/>
            <w:tcBorders>
              <w:top w:val="single" w:sz="4" w:space="0" w:color="999999"/>
              <w:bottom w:val="single" w:sz="4" w:space="0" w:color="auto"/>
            </w:tcBorders>
            <w:tcMar>
              <w:top w:w="14" w:type="dxa"/>
              <w:left w:w="43" w:type="dxa"/>
              <w:bottom w:w="14" w:type="dxa"/>
              <w:right w:w="43" w:type="dxa"/>
            </w:tcMar>
            <w:vAlign w:val="center"/>
          </w:tcPr>
          <w:p w14:paraId="6FFED996" w14:textId="77777777" w:rsidR="00F37F0F" w:rsidRDefault="00F37F0F" w:rsidP="003A385F">
            <w:pPr>
              <w:pStyle w:val="Header"/>
              <w:rPr>
                <w:rFonts w:cs="Arial"/>
                <w:sz w:val="17"/>
                <w:szCs w:val="17"/>
              </w:rPr>
            </w:pPr>
            <w:r>
              <w:rPr>
                <w:rFonts w:cs="Arial"/>
                <w:sz w:val="17"/>
                <w:szCs w:val="17"/>
              </w:rPr>
              <w:t>I am satisfied with the quality of collaboration that I experience with senior doctors where I work.</w:t>
            </w:r>
          </w:p>
        </w:tc>
        <w:tc>
          <w:tcPr>
            <w:tcW w:w="1537" w:type="dxa"/>
            <w:tcBorders>
              <w:top w:val="single" w:sz="4" w:space="0" w:color="999999"/>
              <w:bottom w:val="single" w:sz="4" w:space="0" w:color="auto"/>
            </w:tcBorders>
            <w:tcMar>
              <w:top w:w="14" w:type="dxa"/>
              <w:left w:w="43" w:type="dxa"/>
              <w:bottom w:w="14" w:type="dxa"/>
              <w:right w:w="43" w:type="dxa"/>
            </w:tcMar>
            <w:vAlign w:val="center"/>
          </w:tcPr>
          <w:p w14:paraId="1EEE3E77" w14:textId="77777777" w:rsidR="00F37F0F" w:rsidRDefault="00F37F0F" w:rsidP="003A385F">
            <w:pPr>
              <w:jc w:val="center"/>
              <w:rPr>
                <w:rFonts w:cs="Arial"/>
                <w:sz w:val="20"/>
              </w:rPr>
            </w:pPr>
            <w:r>
              <w:rPr>
                <w:rFonts w:cs="Arial"/>
                <w:sz w:val="20"/>
              </w:rPr>
              <w:t>.779</w:t>
            </w:r>
          </w:p>
        </w:tc>
        <w:tc>
          <w:tcPr>
            <w:tcW w:w="1832" w:type="dxa"/>
            <w:tcBorders>
              <w:top w:val="single" w:sz="4" w:space="0" w:color="999999"/>
              <w:bottom w:val="single" w:sz="4" w:space="0" w:color="auto"/>
            </w:tcBorders>
            <w:tcMar>
              <w:top w:w="14" w:type="dxa"/>
              <w:left w:w="43" w:type="dxa"/>
              <w:bottom w:w="14" w:type="dxa"/>
              <w:right w:w="43" w:type="dxa"/>
            </w:tcMar>
            <w:vAlign w:val="center"/>
          </w:tcPr>
          <w:p w14:paraId="34DF0F28" w14:textId="77777777" w:rsidR="00F37F0F" w:rsidRDefault="00F37F0F" w:rsidP="003A385F">
            <w:pPr>
              <w:jc w:val="center"/>
              <w:rPr>
                <w:rFonts w:cs="Arial"/>
                <w:sz w:val="20"/>
              </w:rPr>
            </w:pPr>
          </w:p>
        </w:tc>
      </w:tr>
      <w:tr w:rsidR="00F37F0F" w14:paraId="335B79E7" w14:textId="77777777" w:rsidTr="00F01091">
        <w:trPr>
          <w:gridAfter w:val="1"/>
          <w:wAfter w:w="30" w:type="dxa"/>
          <w:trHeight w:hRule="exact" w:val="740"/>
        </w:trPr>
        <w:tc>
          <w:tcPr>
            <w:tcW w:w="4035" w:type="dxa"/>
            <w:tcBorders>
              <w:bottom w:val="single" w:sz="4" w:space="0" w:color="999999"/>
            </w:tcBorders>
            <w:tcMar>
              <w:top w:w="14" w:type="dxa"/>
              <w:left w:w="43" w:type="dxa"/>
              <w:bottom w:w="14" w:type="dxa"/>
              <w:right w:w="43" w:type="dxa"/>
            </w:tcMar>
            <w:vAlign w:val="center"/>
          </w:tcPr>
          <w:p w14:paraId="1E843555" w14:textId="77777777" w:rsidR="00F37F0F" w:rsidRDefault="00F37F0F" w:rsidP="003A385F">
            <w:pPr>
              <w:pStyle w:val="Header"/>
              <w:rPr>
                <w:rFonts w:cs="Arial"/>
                <w:sz w:val="17"/>
                <w:szCs w:val="17"/>
              </w:rPr>
            </w:pPr>
            <w:r>
              <w:rPr>
                <w:rFonts w:cs="Arial"/>
                <w:b/>
                <w:sz w:val="20"/>
                <w:lang w:val="en-US"/>
              </w:rPr>
              <w:t>Teamwork factor 2</w:t>
            </w:r>
          </w:p>
        </w:tc>
        <w:tc>
          <w:tcPr>
            <w:tcW w:w="1537" w:type="dxa"/>
            <w:tcBorders>
              <w:bottom w:val="single" w:sz="4" w:space="0" w:color="999999"/>
            </w:tcBorders>
            <w:tcMar>
              <w:top w:w="14" w:type="dxa"/>
              <w:left w:w="43" w:type="dxa"/>
              <w:bottom w:w="14" w:type="dxa"/>
              <w:right w:w="43" w:type="dxa"/>
            </w:tcMar>
            <w:vAlign w:val="center"/>
          </w:tcPr>
          <w:p w14:paraId="50FECE6D" w14:textId="77777777" w:rsidR="00F37F0F" w:rsidRDefault="00F37F0F" w:rsidP="003A385F">
            <w:pPr>
              <w:jc w:val="center"/>
              <w:rPr>
                <w:rFonts w:cs="Arial"/>
                <w:sz w:val="20"/>
              </w:rPr>
            </w:pPr>
          </w:p>
        </w:tc>
        <w:tc>
          <w:tcPr>
            <w:tcW w:w="1832" w:type="dxa"/>
            <w:tcBorders>
              <w:bottom w:val="single" w:sz="4" w:space="0" w:color="999999"/>
            </w:tcBorders>
            <w:tcMar>
              <w:top w:w="14" w:type="dxa"/>
              <w:left w:w="43" w:type="dxa"/>
              <w:bottom w:w="14" w:type="dxa"/>
              <w:right w:w="43" w:type="dxa"/>
            </w:tcMar>
            <w:vAlign w:val="center"/>
          </w:tcPr>
          <w:p w14:paraId="5A420F8D" w14:textId="77777777" w:rsidR="00F37F0F" w:rsidRDefault="00F37F0F" w:rsidP="003A385F">
            <w:pPr>
              <w:jc w:val="center"/>
              <w:rPr>
                <w:rFonts w:cs="Arial"/>
                <w:sz w:val="20"/>
              </w:rPr>
            </w:pPr>
          </w:p>
        </w:tc>
      </w:tr>
      <w:tr w:rsidR="00F37F0F" w14:paraId="38868610" w14:textId="77777777" w:rsidTr="00F01091">
        <w:trPr>
          <w:gridAfter w:val="1"/>
          <w:wAfter w:w="30" w:type="dxa"/>
          <w:trHeight w:hRule="exact" w:val="501"/>
        </w:trPr>
        <w:tc>
          <w:tcPr>
            <w:tcW w:w="4035" w:type="dxa"/>
            <w:tcBorders>
              <w:top w:val="single" w:sz="4" w:space="0" w:color="999999"/>
              <w:bottom w:val="single" w:sz="4" w:space="0" w:color="999999"/>
            </w:tcBorders>
            <w:tcMar>
              <w:top w:w="14" w:type="dxa"/>
              <w:left w:w="43" w:type="dxa"/>
              <w:bottom w:w="14" w:type="dxa"/>
              <w:right w:w="43" w:type="dxa"/>
            </w:tcMar>
            <w:vAlign w:val="center"/>
          </w:tcPr>
          <w:p w14:paraId="5760590D" w14:textId="77777777" w:rsidR="00F37F0F" w:rsidRDefault="00F37F0F" w:rsidP="003A385F">
            <w:pPr>
              <w:pStyle w:val="Header"/>
              <w:rPr>
                <w:rFonts w:cs="Arial"/>
                <w:sz w:val="17"/>
                <w:szCs w:val="17"/>
              </w:rPr>
            </w:pPr>
            <w:r>
              <w:rPr>
                <w:rFonts w:cs="Arial"/>
                <w:sz w:val="17"/>
                <w:szCs w:val="17"/>
              </w:rPr>
              <w:t>I know the first and last names of all the staff I worked with during my last shift / period of work.</w:t>
            </w:r>
          </w:p>
        </w:tc>
        <w:tc>
          <w:tcPr>
            <w:tcW w:w="1537" w:type="dxa"/>
            <w:tcBorders>
              <w:top w:val="single" w:sz="4" w:space="0" w:color="999999"/>
              <w:bottom w:val="single" w:sz="4" w:space="0" w:color="999999"/>
            </w:tcBorders>
            <w:tcMar>
              <w:top w:w="14" w:type="dxa"/>
              <w:left w:w="43" w:type="dxa"/>
              <w:bottom w:w="14" w:type="dxa"/>
              <w:right w:w="43" w:type="dxa"/>
            </w:tcMar>
            <w:vAlign w:val="center"/>
          </w:tcPr>
          <w:p w14:paraId="2645222A" w14:textId="77777777" w:rsidR="00F37F0F" w:rsidRDefault="00F37F0F" w:rsidP="003A385F">
            <w:pPr>
              <w:jc w:val="center"/>
              <w:rPr>
                <w:rFonts w:cs="Arial"/>
                <w:sz w:val="20"/>
              </w:rPr>
            </w:pPr>
          </w:p>
        </w:tc>
        <w:tc>
          <w:tcPr>
            <w:tcW w:w="1832" w:type="dxa"/>
            <w:tcBorders>
              <w:top w:val="single" w:sz="4" w:space="0" w:color="999999"/>
              <w:bottom w:val="single" w:sz="4" w:space="0" w:color="999999"/>
            </w:tcBorders>
            <w:tcMar>
              <w:top w:w="14" w:type="dxa"/>
              <w:left w:w="43" w:type="dxa"/>
              <w:bottom w:w="14" w:type="dxa"/>
              <w:right w:w="43" w:type="dxa"/>
            </w:tcMar>
            <w:vAlign w:val="center"/>
          </w:tcPr>
          <w:p w14:paraId="453C61F3" w14:textId="77777777" w:rsidR="00F37F0F" w:rsidRDefault="00F37F0F" w:rsidP="003A385F">
            <w:pPr>
              <w:jc w:val="center"/>
              <w:rPr>
                <w:rFonts w:cs="Arial"/>
                <w:sz w:val="20"/>
              </w:rPr>
            </w:pPr>
            <w:r>
              <w:rPr>
                <w:rFonts w:cs="Arial"/>
                <w:sz w:val="20"/>
              </w:rPr>
              <w:t>.615</w:t>
            </w:r>
          </w:p>
        </w:tc>
      </w:tr>
      <w:tr w:rsidR="00F37F0F" w14:paraId="1C4E508C" w14:textId="77777777" w:rsidTr="00F01091">
        <w:trPr>
          <w:gridAfter w:val="1"/>
          <w:wAfter w:w="30" w:type="dxa"/>
          <w:trHeight w:hRule="exact" w:val="501"/>
        </w:trPr>
        <w:tc>
          <w:tcPr>
            <w:tcW w:w="4035" w:type="dxa"/>
            <w:tcBorders>
              <w:top w:val="single" w:sz="4" w:space="0" w:color="999999"/>
              <w:bottom w:val="single" w:sz="4" w:space="0" w:color="999999"/>
            </w:tcBorders>
            <w:tcMar>
              <w:top w:w="14" w:type="dxa"/>
              <w:left w:w="43" w:type="dxa"/>
              <w:bottom w:w="14" w:type="dxa"/>
              <w:right w:w="43" w:type="dxa"/>
            </w:tcMar>
            <w:vAlign w:val="center"/>
          </w:tcPr>
          <w:p w14:paraId="1BD1E50A" w14:textId="77777777" w:rsidR="00F37F0F" w:rsidRDefault="00F37F0F" w:rsidP="003A385F">
            <w:pPr>
              <w:pStyle w:val="Header"/>
              <w:rPr>
                <w:rFonts w:cs="Arial"/>
                <w:sz w:val="17"/>
                <w:szCs w:val="17"/>
              </w:rPr>
            </w:pPr>
            <w:r>
              <w:rPr>
                <w:rFonts w:cs="Arial"/>
                <w:sz w:val="17"/>
                <w:szCs w:val="17"/>
              </w:rPr>
              <w:t>Important issues are well communicated at shift changes / between periods of work.</w:t>
            </w:r>
          </w:p>
        </w:tc>
        <w:tc>
          <w:tcPr>
            <w:tcW w:w="1537" w:type="dxa"/>
            <w:tcBorders>
              <w:top w:val="single" w:sz="4" w:space="0" w:color="999999"/>
              <w:bottom w:val="single" w:sz="4" w:space="0" w:color="999999"/>
            </w:tcBorders>
            <w:tcMar>
              <w:top w:w="14" w:type="dxa"/>
              <w:left w:w="43" w:type="dxa"/>
              <w:bottom w:w="14" w:type="dxa"/>
              <w:right w:w="43" w:type="dxa"/>
            </w:tcMar>
            <w:vAlign w:val="center"/>
          </w:tcPr>
          <w:p w14:paraId="5E4C6036" w14:textId="77777777" w:rsidR="00F37F0F" w:rsidRDefault="00F37F0F" w:rsidP="003A385F">
            <w:pPr>
              <w:jc w:val="center"/>
              <w:rPr>
                <w:rFonts w:cs="Arial"/>
                <w:sz w:val="20"/>
              </w:rPr>
            </w:pPr>
          </w:p>
        </w:tc>
        <w:tc>
          <w:tcPr>
            <w:tcW w:w="1832" w:type="dxa"/>
            <w:tcBorders>
              <w:top w:val="single" w:sz="4" w:space="0" w:color="999999"/>
              <w:bottom w:val="single" w:sz="4" w:space="0" w:color="999999"/>
            </w:tcBorders>
            <w:tcMar>
              <w:top w:w="14" w:type="dxa"/>
              <w:left w:w="43" w:type="dxa"/>
              <w:bottom w:w="14" w:type="dxa"/>
              <w:right w:w="43" w:type="dxa"/>
            </w:tcMar>
            <w:vAlign w:val="center"/>
          </w:tcPr>
          <w:p w14:paraId="3313DE92" w14:textId="77777777" w:rsidR="00F37F0F" w:rsidRDefault="00F37F0F" w:rsidP="003A385F">
            <w:pPr>
              <w:jc w:val="center"/>
              <w:rPr>
                <w:rFonts w:cs="Arial"/>
                <w:sz w:val="20"/>
              </w:rPr>
            </w:pPr>
            <w:r>
              <w:rPr>
                <w:rFonts w:cs="Arial"/>
                <w:sz w:val="20"/>
              </w:rPr>
              <w:t>.654</w:t>
            </w:r>
          </w:p>
        </w:tc>
      </w:tr>
      <w:tr w:rsidR="00F37F0F" w14:paraId="44F486F3" w14:textId="77777777" w:rsidTr="00F01091">
        <w:trPr>
          <w:gridAfter w:val="1"/>
          <w:wAfter w:w="30" w:type="dxa"/>
          <w:trHeight w:hRule="exact" w:val="501"/>
        </w:trPr>
        <w:tc>
          <w:tcPr>
            <w:tcW w:w="4035" w:type="dxa"/>
            <w:tcBorders>
              <w:top w:val="single" w:sz="4" w:space="0" w:color="999999"/>
              <w:bottom w:val="single" w:sz="4" w:space="0" w:color="999999"/>
            </w:tcBorders>
            <w:tcMar>
              <w:top w:w="14" w:type="dxa"/>
              <w:left w:w="43" w:type="dxa"/>
              <w:bottom w:w="14" w:type="dxa"/>
              <w:right w:w="43" w:type="dxa"/>
            </w:tcMar>
            <w:vAlign w:val="center"/>
          </w:tcPr>
          <w:p w14:paraId="0374C59B" w14:textId="77777777" w:rsidR="00F37F0F" w:rsidRDefault="00F37F0F" w:rsidP="003A385F">
            <w:pPr>
              <w:pStyle w:val="Header"/>
              <w:rPr>
                <w:rFonts w:cs="Arial"/>
                <w:sz w:val="17"/>
                <w:szCs w:val="17"/>
              </w:rPr>
            </w:pPr>
            <w:r>
              <w:rPr>
                <w:rFonts w:cs="Arial"/>
                <w:sz w:val="17"/>
                <w:szCs w:val="17"/>
              </w:rPr>
              <w:t>Briefings are common where I work.</w:t>
            </w:r>
          </w:p>
        </w:tc>
        <w:tc>
          <w:tcPr>
            <w:tcW w:w="1537" w:type="dxa"/>
            <w:tcBorders>
              <w:top w:val="single" w:sz="4" w:space="0" w:color="999999"/>
              <w:bottom w:val="single" w:sz="4" w:space="0" w:color="999999"/>
            </w:tcBorders>
            <w:tcMar>
              <w:top w:w="14" w:type="dxa"/>
              <w:left w:w="43" w:type="dxa"/>
              <w:bottom w:w="14" w:type="dxa"/>
              <w:right w:w="43" w:type="dxa"/>
            </w:tcMar>
            <w:vAlign w:val="center"/>
          </w:tcPr>
          <w:p w14:paraId="31CD8E5F" w14:textId="77777777" w:rsidR="00F37F0F" w:rsidRDefault="00F37F0F" w:rsidP="003A385F">
            <w:pPr>
              <w:jc w:val="center"/>
              <w:rPr>
                <w:rFonts w:cs="Arial"/>
                <w:sz w:val="20"/>
              </w:rPr>
            </w:pPr>
          </w:p>
        </w:tc>
        <w:tc>
          <w:tcPr>
            <w:tcW w:w="1832" w:type="dxa"/>
            <w:tcBorders>
              <w:top w:val="single" w:sz="4" w:space="0" w:color="999999"/>
              <w:bottom w:val="single" w:sz="4" w:space="0" w:color="999999"/>
            </w:tcBorders>
            <w:tcMar>
              <w:top w:w="14" w:type="dxa"/>
              <w:left w:w="43" w:type="dxa"/>
              <w:bottom w:w="14" w:type="dxa"/>
              <w:right w:w="43" w:type="dxa"/>
            </w:tcMar>
            <w:vAlign w:val="center"/>
          </w:tcPr>
          <w:p w14:paraId="35DB9BCB" w14:textId="77777777" w:rsidR="00F37F0F" w:rsidRDefault="00F37F0F" w:rsidP="003A385F">
            <w:pPr>
              <w:jc w:val="center"/>
              <w:rPr>
                <w:rFonts w:cs="Arial"/>
                <w:sz w:val="20"/>
              </w:rPr>
            </w:pPr>
            <w:r>
              <w:rPr>
                <w:rFonts w:cs="Arial"/>
                <w:sz w:val="20"/>
              </w:rPr>
              <w:t>.456</w:t>
            </w:r>
          </w:p>
        </w:tc>
      </w:tr>
      <w:tr w:rsidR="00F37F0F" w14:paraId="0B33B9F3" w14:textId="77777777" w:rsidTr="00EE18DE">
        <w:trPr>
          <w:gridAfter w:val="1"/>
          <w:wAfter w:w="30" w:type="dxa"/>
          <w:trHeight w:hRule="exact" w:val="827"/>
        </w:trPr>
        <w:tc>
          <w:tcPr>
            <w:tcW w:w="4035" w:type="dxa"/>
            <w:tcBorders>
              <w:top w:val="single" w:sz="4" w:space="0" w:color="999999"/>
              <w:bottom w:val="single" w:sz="4" w:space="0" w:color="auto"/>
            </w:tcBorders>
            <w:tcMar>
              <w:top w:w="14" w:type="dxa"/>
              <w:left w:w="43" w:type="dxa"/>
              <w:bottom w:w="14" w:type="dxa"/>
              <w:right w:w="43" w:type="dxa"/>
            </w:tcMar>
            <w:vAlign w:val="center"/>
          </w:tcPr>
          <w:p w14:paraId="73E9E7B3" w14:textId="77777777" w:rsidR="00F37F0F" w:rsidRDefault="00F37F0F" w:rsidP="003A385F">
            <w:pPr>
              <w:pStyle w:val="Header"/>
              <w:rPr>
                <w:rFonts w:cs="Arial"/>
                <w:sz w:val="17"/>
                <w:szCs w:val="17"/>
              </w:rPr>
            </w:pPr>
            <w:r>
              <w:rPr>
                <w:rFonts w:cs="Arial"/>
                <w:sz w:val="17"/>
                <w:szCs w:val="17"/>
              </w:rPr>
              <w:t>I am satisfied with the quality of collaboration that I experience with nurses where I work.</w:t>
            </w:r>
          </w:p>
        </w:tc>
        <w:tc>
          <w:tcPr>
            <w:tcW w:w="1537" w:type="dxa"/>
            <w:tcBorders>
              <w:top w:val="single" w:sz="4" w:space="0" w:color="999999"/>
              <w:bottom w:val="single" w:sz="4" w:space="0" w:color="auto"/>
            </w:tcBorders>
            <w:tcMar>
              <w:top w:w="14" w:type="dxa"/>
              <w:left w:w="43" w:type="dxa"/>
              <w:bottom w:w="14" w:type="dxa"/>
              <w:right w:w="43" w:type="dxa"/>
            </w:tcMar>
            <w:vAlign w:val="center"/>
          </w:tcPr>
          <w:p w14:paraId="6F6AAC8B" w14:textId="77777777" w:rsidR="00F37F0F" w:rsidRDefault="00F37F0F" w:rsidP="003A385F">
            <w:pPr>
              <w:jc w:val="center"/>
              <w:rPr>
                <w:rFonts w:cs="Arial"/>
                <w:sz w:val="20"/>
              </w:rPr>
            </w:pPr>
          </w:p>
        </w:tc>
        <w:tc>
          <w:tcPr>
            <w:tcW w:w="1832" w:type="dxa"/>
            <w:tcBorders>
              <w:top w:val="single" w:sz="4" w:space="0" w:color="999999"/>
              <w:bottom w:val="single" w:sz="4" w:space="0" w:color="auto"/>
            </w:tcBorders>
            <w:tcMar>
              <w:top w:w="14" w:type="dxa"/>
              <w:left w:w="43" w:type="dxa"/>
              <w:bottom w:w="14" w:type="dxa"/>
              <w:right w:w="43" w:type="dxa"/>
            </w:tcMar>
            <w:vAlign w:val="center"/>
          </w:tcPr>
          <w:p w14:paraId="6A6A4DB3" w14:textId="77777777" w:rsidR="00F37F0F" w:rsidRDefault="00F37F0F" w:rsidP="003A385F">
            <w:pPr>
              <w:jc w:val="center"/>
              <w:rPr>
                <w:rFonts w:cs="Arial"/>
                <w:sz w:val="20"/>
              </w:rPr>
            </w:pPr>
            <w:r>
              <w:rPr>
                <w:rFonts w:cs="Arial"/>
                <w:sz w:val="20"/>
              </w:rPr>
              <w:t>.532</w:t>
            </w:r>
          </w:p>
        </w:tc>
      </w:tr>
      <w:tr w:rsidR="00F37F0F" w14:paraId="785C81D4" w14:textId="77777777" w:rsidTr="00F01091">
        <w:trPr>
          <w:gridAfter w:val="1"/>
          <w:wAfter w:w="30" w:type="dxa"/>
          <w:trHeight w:hRule="exact" w:val="859"/>
        </w:trPr>
        <w:tc>
          <w:tcPr>
            <w:tcW w:w="7404" w:type="dxa"/>
            <w:gridSpan w:val="3"/>
            <w:tcBorders>
              <w:left w:val="nil"/>
              <w:bottom w:val="nil"/>
              <w:right w:val="nil"/>
            </w:tcBorders>
            <w:tcMar>
              <w:top w:w="14" w:type="dxa"/>
              <w:left w:w="43" w:type="dxa"/>
              <w:bottom w:w="14" w:type="dxa"/>
              <w:right w:w="43" w:type="dxa"/>
            </w:tcMar>
            <w:vAlign w:val="bottom"/>
          </w:tcPr>
          <w:p w14:paraId="5A7164A9" w14:textId="77777777" w:rsidR="00F37F0F" w:rsidRDefault="00F37F0F" w:rsidP="003A385F">
            <w:pPr>
              <w:rPr>
                <w:rFonts w:cs="Arial"/>
                <w:sz w:val="17"/>
                <w:szCs w:val="17"/>
              </w:rPr>
            </w:pPr>
            <w:r>
              <w:rPr>
                <w:rFonts w:cs="Arial"/>
                <w:sz w:val="17"/>
                <w:szCs w:val="17"/>
                <w:vertAlign w:val="superscript"/>
              </w:rPr>
              <w:t xml:space="preserve">1 </w:t>
            </w:r>
            <w:r>
              <w:rPr>
                <w:rFonts w:cs="Arial"/>
                <w:sz w:val="17"/>
                <w:szCs w:val="17"/>
              </w:rPr>
              <w:t>Pattern matrix generated using principal components extraction and oblique rotation</w:t>
            </w:r>
          </w:p>
          <w:p w14:paraId="4B2F88E0" w14:textId="77777777" w:rsidR="00F37F0F" w:rsidRDefault="00F37F0F" w:rsidP="003A385F">
            <w:pPr>
              <w:rPr>
                <w:rFonts w:cs="Arial"/>
                <w:sz w:val="17"/>
                <w:szCs w:val="17"/>
              </w:rPr>
            </w:pPr>
            <w:r>
              <w:rPr>
                <w:rFonts w:cs="Arial"/>
                <w:sz w:val="17"/>
                <w:szCs w:val="17"/>
                <w:vertAlign w:val="superscript"/>
              </w:rPr>
              <w:t xml:space="preserve">2 </w:t>
            </w:r>
            <w:r>
              <w:rPr>
                <w:rFonts w:cs="Arial"/>
                <w:sz w:val="17"/>
                <w:szCs w:val="17"/>
              </w:rPr>
              <w:t>Factor loadings under .300 omitted for clarity</w:t>
            </w:r>
          </w:p>
          <w:p w14:paraId="79A2DF46" w14:textId="77777777" w:rsidR="00F37F0F" w:rsidRDefault="00F37F0F" w:rsidP="003A385F">
            <w:pPr>
              <w:rPr>
                <w:rFonts w:cs="Arial"/>
                <w:sz w:val="20"/>
              </w:rPr>
            </w:pPr>
          </w:p>
        </w:tc>
      </w:tr>
    </w:tbl>
    <w:p w14:paraId="0FED9688" w14:textId="77777777" w:rsidR="00F37F0F" w:rsidRDefault="00F37F0F" w:rsidP="00F37F0F">
      <w:pPr>
        <w:ind w:right="-781"/>
        <w:rPr>
          <w:rFonts w:cs="Arial"/>
          <w:sz w:val="17"/>
          <w:szCs w:val="17"/>
        </w:rPr>
      </w:pPr>
    </w:p>
    <w:p w14:paraId="28B4A444" w14:textId="77777777" w:rsidR="00F37F0F" w:rsidRDefault="00F37F0F" w:rsidP="00F37F0F">
      <w:pPr>
        <w:rPr>
          <w:rFonts w:cs="Arial"/>
          <w:sz w:val="20"/>
        </w:rPr>
      </w:pPr>
      <w:r>
        <w:rPr>
          <w:rFonts w:cs="Arial"/>
        </w:rPr>
        <w:br w:type="page"/>
      </w:r>
    </w:p>
    <w:tbl>
      <w:tblPr>
        <w:tblpPr w:leftFromText="180" w:rightFromText="180" w:vertAnchor="text" w:horzAnchor="margin" w:tblpXSpec="center" w:tblpY="9"/>
        <w:tblW w:w="7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11"/>
        <w:gridCol w:w="1280"/>
        <w:gridCol w:w="1281"/>
        <w:gridCol w:w="1280"/>
        <w:gridCol w:w="30"/>
      </w:tblGrid>
      <w:tr w:rsidR="00F37F0F" w14:paraId="0C7AB0F5" w14:textId="77777777" w:rsidTr="00D6411D">
        <w:trPr>
          <w:gridAfter w:val="1"/>
          <w:wAfter w:w="29" w:type="dxa"/>
          <w:trHeight w:hRule="exact" w:val="752"/>
        </w:trPr>
        <w:tc>
          <w:tcPr>
            <w:tcW w:w="7253" w:type="dxa"/>
            <w:gridSpan w:val="4"/>
            <w:tcBorders>
              <w:top w:val="nil"/>
              <w:left w:val="nil"/>
              <w:right w:val="nil"/>
            </w:tcBorders>
            <w:tcMar>
              <w:top w:w="14" w:type="dxa"/>
              <w:left w:w="43" w:type="dxa"/>
              <w:bottom w:w="14" w:type="dxa"/>
              <w:right w:w="43" w:type="dxa"/>
            </w:tcMar>
            <w:vAlign w:val="center"/>
          </w:tcPr>
          <w:p w14:paraId="350E9BC5" w14:textId="77777777" w:rsidR="00F37F0F" w:rsidRDefault="00F37F0F" w:rsidP="003A385F">
            <w:pPr>
              <w:rPr>
                <w:rFonts w:cs="Arial"/>
                <w:sz w:val="20"/>
                <w:vertAlign w:val="superscript"/>
              </w:rPr>
            </w:pPr>
            <w:r>
              <w:rPr>
                <w:rFonts w:cs="Arial"/>
                <w:b/>
              </w:rPr>
              <w:lastRenderedPageBreak/>
              <w:t>Table 6: Optimum factor loadings of Safety Climate items</w:t>
            </w:r>
            <w:r>
              <w:rPr>
                <w:rFonts w:cs="Arial"/>
                <w:b/>
                <w:vertAlign w:val="superscript"/>
              </w:rPr>
              <w:t>1, 2</w:t>
            </w:r>
          </w:p>
        </w:tc>
      </w:tr>
      <w:tr w:rsidR="00F37F0F" w14:paraId="7CAE8A86" w14:textId="77777777" w:rsidTr="00D6411D">
        <w:trPr>
          <w:gridAfter w:val="1"/>
          <w:wAfter w:w="29" w:type="dxa"/>
          <w:trHeight w:hRule="exact" w:val="513"/>
        </w:trPr>
        <w:tc>
          <w:tcPr>
            <w:tcW w:w="3413" w:type="dxa"/>
            <w:tcBorders>
              <w:bottom w:val="nil"/>
            </w:tcBorders>
            <w:tcMar>
              <w:top w:w="14" w:type="dxa"/>
              <w:left w:w="43" w:type="dxa"/>
              <w:bottom w:w="14" w:type="dxa"/>
              <w:right w:w="43" w:type="dxa"/>
            </w:tcMar>
            <w:vAlign w:val="center"/>
          </w:tcPr>
          <w:p w14:paraId="59E3590E" w14:textId="77777777" w:rsidR="00F37F0F" w:rsidRDefault="00F37F0F" w:rsidP="003A385F">
            <w:pPr>
              <w:rPr>
                <w:rFonts w:cs="Arial"/>
                <w:b/>
                <w:sz w:val="20"/>
                <w:lang w:val="en-US"/>
              </w:rPr>
            </w:pPr>
            <w:r>
              <w:rPr>
                <w:rFonts w:cs="Arial"/>
                <w:b/>
                <w:sz w:val="20"/>
                <w:lang w:val="en-US"/>
              </w:rPr>
              <w:t>Safety Climate items</w:t>
            </w:r>
          </w:p>
        </w:tc>
        <w:tc>
          <w:tcPr>
            <w:tcW w:w="3840" w:type="dxa"/>
            <w:gridSpan w:val="3"/>
            <w:tcMar>
              <w:top w:w="14" w:type="dxa"/>
              <w:left w:w="43" w:type="dxa"/>
              <w:bottom w:w="14" w:type="dxa"/>
              <w:right w:w="43" w:type="dxa"/>
            </w:tcMar>
            <w:vAlign w:val="center"/>
          </w:tcPr>
          <w:p w14:paraId="01DC54D1" w14:textId="77777777" w:rsidR="00F37F0F" w:rsidRDefault="00F37F0F" w:rsidP="003A385F">
            <w:pPr>
              <w:jc w:val="center"/>
              <w:rPr>
                <w:rFonts w:cs="Arial"/>
                <w:b/>
                <w:sz w:val="20"/>
              </w:rPr>
            </w:pPr>
            <w:r>
              <w:rPr>
                <w:rFonts w:cs="Arial"/>
                <w:b/>
                <w:sz w:val="20"/>
              </w:rPr>
              <w:t>Factor loadings</w:t>
            </w:r>
          </w:p>
        </w:tc>
      </w:tr>
      <w:tr w:rsidR="00F37F0F" w14:paraId="60E0FC96" w14:textId="77777777" w:rsidTr="00D6411D">
        <w:trPr>
          <w:gridAfter w:val="1"/>
          <w:wAfter w:w="28" w:type="dxa"/>
          <w:trHeight w:hRule="exact" w:val="2024"/>
        </w:trPr>
        <w:tc>
          <w:tcPr>
            <w:tcW w:w="3413" w:type="dxa"/>
            <w:tcBorders>
              <w:top w:val="nil"/>
              <w:bottom w:val="single" w:sz="4" w:space="0" w:color="auto"/>
            </w:tcBorders>
            <w:tcMar>
              <w:top w:w="14" w:type="dxa"/>
              <w:left w:w="43" w:type="dxa"/>
              <w:bottom w:w="14" w:type="dxa"/>
              <w:right w:w="43" w:type="dxa"/>
            </w:tcMar>
            <w:vAlign w:val="center"/>
          </w:tcPr>
          <w:p w14:paraId="4F052427" w14:textId="77777777" w:rsidR="00F37F0F" w:rsidRDefault="00F37F0F" w:rsidP="003A385F">
            <w:pPr>
              <w:pStyle w:val="Header"/>
              <w:rPr>
                <w:rFonts w:cs="Arial"/>
                <w:sz w:val="17"/>
                <w:szCs w:val="17"/>
              </w:rPr>
            </w:pPr>
          </w:p>
        </w:tc>
        <w:tc>
          <w:tcPr>
            <w:tcW w:w="1280" w:type="dxa"/>
            <w:tcBorders>
              <w:bottom w:val="single" w:sz="4" w:space="0" w:color="auto"/>
            </w:tcBorders>
            <w:tcMar>
              <w:top w:w="14" w:type="dxa"/>
              <w:left w:w="43" w:type="dxa"/>
              <w:bottom w:w="14" w:type="dxa"/>
              <w:right w:w="43" w:type="dxa"/>
            </w:tcMar>
          </w:tcPr>
          <w:p w14:paraId="1348C51C" w14:textId="77777777" w:rsidR="00F37F0F" w:rsidRDefault="00F37F0F" w:rsidP="003A385F">
            <w:pPr>
              <w:rPr>
                <w:rFonts w:cs="Arial"/>
                <w:sz w:val="20"/>
                <w:lang w:val="en-US"/>
              </w:rPr>
            </w:pPr>
            <w:r>
              <w:rPr>
                <w:rFonts w:cs="Arial"/>
                <w:b/>
                <w:sz w:val="20"/>
                <w:lang w:val="en-US"/>
              </w:rPr>
              <w:t>Safety Climate factor 1</w:t>
            </w:r>
          </w:p>
          <w:p w14:paraId="69BE8DF3" w14:textId="77777777" w:rsidR="00F37F0F" w:rsidRDefault="00F37F0F" w:rsidP="003A385F">
            <w:pPr>
              <w:rPr>
                <w:rFonts w:cs="Arial"/>
                <w:sz w:val="20"/>
                <w:lang w:val="en-US"/>
              </w:rPr>
            </w:pPr>
            <w:r>
              <w:rPr>
                <w:rFonts w:cs="Arial"/>
                <w:sz w:val="17"/>
                <w:szCs w:val="17"/>
                <w:lang w:val="en-US"/>
              </w:rPr>
              <w:t>Attitudes to safety within own team; capacity to learn from errors</w:t>
            </w:r>
          </w:p>
        </w:tc>
        <w:tc>
          <w:tcPr>
            <w:tcW w:w="1281" w:type="dxa"/>
            <w:tcBorders>
              <w:bottom w:val="single" w:sz="4" w:space="0" w:color="auto"/>
            </w:tcBorders>
            <w:tcMar>
              <w:top w:w="14" w:type="dxa"/>
              <w:left w:w="43" w:type="dxa"/>
              <w:bottom w:w="14" w:type="dxa"/>
              <w:right w:w="43" w:type="dxa"/>
            </w:tcMar>
          </w:tcPr>
          <w:p w14:paraId="4E5887C1" w14:textId="77777777" w:rsidR="00F37F0F" w:rsidRDefault="00F37F0F" w:rsidP="003A385F">
            <w:pPr>
              <w:rPr>
                <w:rFonts w:cs="Arial"/>
                <w:sz w:val="20"/>
                <w:lang w:val="en-US"/>
              </w:rPr>
            </w:pPr>
            <w:r>
              <w:rPr>
                <w:rFonts w:cs="Arial"/>
                <w:b/>
                <w:sz w:val="20"/>
                <w:lang w:val="en-US"/>
              </w:rPr>
              <w:t>Safety Climate factor 2</w:t>
            </w:r>
          </w:p>
          <w:p w14:paraId="355CE735" w14:textId="77777777" w:rsidR="00F37F0F" w:rsidRDefault="00F37F0F" w:rsidP="003A385F">
            <w:pPr>
              <w:rPr>
                <w:rFonts w:cs="Arial"/>
                <w:b/>
                <w:sz w:val="20"/>
                <w:lang w:val="en-US"/>
              </w:rPr>
            </w:pPr>
            <w:r>
              <w:rPr>
                <w:rFonts w:cs="Arial"/>
                <w:sz w:val="17"/>
                <w:szCs w:val="17"/>
              </w:rPr>
              <w:t>Overall confidence in safety of organisation</w:t>
            </w:r>
          </w:p>
        </w:tc>
        <w:tc>
          <w:tcPr>
            <w:tcW w:w="1280" w:type="dxa"/>
            <w:tcBorders>
              <w:bottom w:val="single" w:sz="4" w:space="0" w:color="auto"/>
            </w:tcBorders>
            <w:tcMar>
              <w:top w:w="14" w:type="dxa"/>
              <w:left w:w="43" w:type="dxa"/>
              <w:bottom w:w="14" w:type="dxa"/>
              <w:right w:w="43" w:type="dxa"/>
            </w:tcMar>
          </w:tcPr>
          <w:p w14:paraId="481EABE7" w14:textId="77777777" w:rsidR="00F37F0F" w:rsidRDefault="00F37F0F" w:rsidP="003A385F">
            <w:pPr>
              <w:rPr>
                <w:rFonts w:cs="Arial"/>
                <w:sz w:val="20"/>
                <w:lang w:val="en-US"/>
              </w:rPr>
            </w:pPr>
            <w:r>
              <w:rPr>
                <w:rFonts w:cs="Arial"/>
                <w:b/>
                <w:sz w:val="20"/>
                <w:lang w:val="en-US"/>
              </w:rPr>
              <w:t>Safety Climate factor 3</w:t>
            </w:r>
          </w:p>
          <w:p w14:paraId="5BB599FA" w14:textId="77777777" w:rsidR="00F37F0F" w:rsidRDefault="00F37F0F" w:rsidP="003A385F">
            <w:pPr>
              <w:tabs>
                <w:tab w:val="left" w:pos="1365"/>
              </w:tabs>
              <w:rPr>
                <w:rFonts w:cs="Arial"/>
                <w:sz w:val="20"/>
                <w:lang w:val="en-US"/>
              </w:rPr>
            </w:pPr>
            <w:r>
              <w:rPr>
                <w:rFonts w:cs="Arial"/>
                <w:sz w:val="17"/>
                <w:szCs w:val="17"/>
              </w:rPr>
              <w:t>Perceptions of management’s attitudes to safety</w:t>
            </w:r>
          </w:p>
        </w:tc>
      </w:tr>
      <w:tr w:rsidR="00F37F0F" w14:paraId="4252A7D5" w14:textId="77777777" w:rsidTr="00D6411D">
        <w:trPr>
          <w:gridAfter w:val="1"/>
          <w:wAfter w:w="28" w:type="dxa"/>
          <w:trHeight w:hRule="exact" w:val="763"/>
        </w:trPr>
        <w:tc>
          <w:tcPr>
            <w:tcW w:w="3413" w:type="dxa"/>
            <w:tcBorders>
              <w:bottom w:val="single" w:sz="4" w:space="0" w:color="999999"/>
              <w:right w:val="single" w:sz="4" w:space="0" w:color="auto"/>
            </w:tcBorders>
            <w:tcMar>
              <w:top w:w="14" w:type="dxa"/>
              <w:left w:w="43" w:type="dxa"/>
              <w:bottom w:w="14" w:type="dxa"/>
              <w:right w:w="43" w:type="dxa"/>
            </w:tcMar>
            <w:vAlign w:val="center"/>
          </w:tcPr>
          <w:p w14:paraId="3246EE7E" w14:textId="77777777" w:rsidR="00F37F0F" w:rsidRDefault="00F37F0F" w:rsidP="003A385F">
            <w:pPr>
              <w:pStyle w:val="Header"/>
              <w:rPr>
                <w:rFonts w:cs="Arial"/>
                <w:sz w:val="17"/>
                <w:szCs w:val="17"/>
              </w:rPr>
            </w:pPr>
            <w:r>
              <w:rPr>
                <w:rFonts w:cs="Arial"/>
                <w:b/>
                <w:sz w:val="20"/>
                <w:lang w:val="en-US"/>
              </w:rPr>
              <w:t>Safety Climate factor 1</w:t>
            </w:r>
          </w:p>
        </w:tc>
        <w:tc>
          <w:tcPr>
            <w:tcW w:w="1280" w:type="dxa"/>
            <w:tcBorders>
              <w:left w:val="single" w:sz="4" w:space="0" w:color="auto"/>
              <w:bottom w:val="single" w:sz="4" w:space="0" w:color="999999"/>
              <w:right w:val="single" w:sz="4" w:space="0" w:color="auto"/>
            </w:tcBorders>
            <w:tcMar>
              <w:top w:w="14" w:type="dxa"/>
              <w:left w:w="43" w:type="dxa"/>
              <w:bottom w:w="14" w:type="dxa"/>
              <w:right w:w="43" w:type="dxa"/>
            </w:tcMar>
            <w:vAlign w:val="center"/>
          </w:tcPr>
          <w:p w14:paraId="6638361B" w14:textId="77777777" w:rsidR="00F37F0F" w:rsidRDefault="00F37F0F" w:rsidP="003A385F">
            <w:pPr>
              <w:jc w:val="center"/>
              <w:rPr>
                <w:rFonts w:cs="Arial"/>
                <w:sz w:val="20"/>
              </w:rPr>
            </w:pPr>
          </w:p>
        </w:tc>
        <w:tc>
          <w:tcPr>
            <w:tcW w:w="1281" w:type="dxa"/>
            <w:tcBorders>
              <w:left w:val="single" w:sz="4" w:space="0" w:color="auto"/>
              <w:bottom w:val="single" w:sz="4" w:space="0" w:color="999999"/>
              <w:right w:val="single" w:sz="4" w:space="0" w:color="auto"/>
            </w:tcBorders>
            <w:tcMar>
              <w:top w:w="14" w:type="dxa"/>
              <w:left w:w="43" w:type="dxa"/>
              <w:bottom w:w="14" w:type="dxa"/>
              <w:right w:w="43" w:type="dxa"/>
            </w:tcMar>
            <w:vAlign w:val="center"/>
          </w:tcPr>
          <w:p w14:paraId="15809DF3" w14:textId="77777777" w:rsidR="00F37F0F" w:rsidRDefault="00F37F0F" w:rsidP="003A385F">
            <w:pPr>
              <w:jc w:val="center"/>
              <w:rPr>
                <w:rFonts w:cs="Arial"/>
                <w:sz w:val="20"/>
              </w:rPr>
            </w:pPr>
          </w:p>
        </w:tc>
        <w:tc>
          <w:tcPr>
            <w:tcW w:w="1280" w:type="dxa"/>
            <w:tcBorders>
              <w:left w:val="single" w:sz="4" w:space="0" w:color="auto"/>
              <w:bottom w:val="single" w:sz="4" w:space="0" w:color="999999"/>
            </w:tcBorders>
            <w:vAlign w:val="center"/>
          </w:tcPr>
          <w:p w14:paraId="02383B96" w14:textId="77777777" w:rsidR="00F37F0F" w:rsidRDefault="00F37F0F" w:rsidP="003A385F">
            <w:pPr>
              <w:jc w:val="center"/>
              <w:rPr>
                <w:rFonts w:cs="Arial"/>
                <w:sz w:val="20"/>
              </w:rPr>
            </w:pPr>
          </w:p>
        </w:tc>
      </w:tr>
      <w:tr w:rsidR="00F37F0F" w14:paraId="7C63E42B" w14:textId="77777777" w:rsidTr="00D6411D">
        <w:trPr>
          <w:gridAfter w:val="1"/>
          <w:wAfter w:w="28" w:type="dxa"/>
          <w:trHeight w:hRule="exact" w:val="502"/>
        </w:trPr>
        <w:tc>
          <w:tcPr>
            <w:tcW w:w="3413" w:type="dxa"/>
            <w:tcBorders>
              <w:top w:val="single" w:sz="4" w:space="0" w:color="999999"/>
              <w:bottom w:val="single" w:sz="4" w:space="0" w:color="999999"/>
              <w:right w:val="single" w:sz="4" w:space="0" w:color="auto"/>
            </w:tcBorders>
            <w:tcMar>
              <w:top w:w="14" w:type="dxa"/>
              <w:left w:w="43" w:type="dxa"/>
              <w:bottom w:w="14" w:type="dxa"/>
              <w:right w:w="43" w:type="dxa"/>
            </w:tcMar>
            <w:vAlign w:val="center"/>
          </w:tcPr>
          <w:p w14:paraId="77FD7503" w14:textId="77777777" w:rsidR="00F37F0F" w:rsidRDefault="00F37F0F" w:rsidP="003A385F">
            <w:pPr>
              <w:pStyle w:val="Header"/>
              <w:rPr>
                <w:rFonts w:cs="Arial"/>
                <w:sz w:val="17"/>
                <w:szCs w:val="17"/>
              </w:rPr>
            </w:pPr>
            <w:r>
              <w:rPr>
                <w:rFonts w:cs="Arial"/>
                <w:sz w:val="17"/>
                <w:szCs w:val="17"/>
              </w:rPr>
              <w:t>I am encouraged by my colleagues to report any patient safety concerns I may have.</w:t>
            </w:r>
          </w:p>
        </w:tc>
        <w:tc>
          <w:tcPr>
            <w:tcW w:w="1280" w:type="dxa"/>
            <w:tcBorders>
              <w:top w:val="single" w:sz="4" w:space="0" w:color="999999"/>
              <w:left w:val="single" w:sz="4" w:space="0" w:color="auto"/>
              <w:bottom w:val="single" w:sz="4" w:space="0" w:color="999999"/>
              <w:right w:val="single" w:sz="4" w:space="0" w:color="auto"/>
            </w:tcBorders>
            <w:tcMar>
              <w:top w:w="14" w:type="dxa"/>
              <w:left w:w="43" w:type="dxa"/>
              <w:bottom w:w="14" w:type="dxa"/>
              <w:right w:w="43" w:type="dxa"/>
            </w:tcMar>
            <w:vAlign w:val="center"/>
          </w:tcPr>
          <w:p w14:paraId="517EF4BE" w14:textId="77777777" w:rsidR="00F37F0F" w:rsidRDefault="00F37F0F" w:rsidP="003A385F">
            <w:pPr>
              <w:jc w:val="center"/>
              <w:rPr>
                <w:rFonts w:cs="Arial"/>
                <w:sz w:val="20"/>
              </w:rPr>
            </w:pPr>
            <w:r>
              <w:rPr>
                <w:rFonts w:cs="Arial"/>
                <w:sz w:val="20"/>
              </w:rPr>
              <w:t>.707</w:t>
            </w:r>
          </w:p>
        </w:tc>
        <w:tc>
          <w:tcPr>
            <w:tcW w:w="1281" w:type="dxa"/>
            <w:tcBorders>
              <w:top w:val="single" w:sz="4" w:space="0" w:color="999999"/>
              <w:left w:val="single" w:sz="4" w:space="0" w:color="auto"/>
              <w:bottom w:val="single" w:sz="4" w:space="0" w:color="999999"/>
              <w:right w:val="single" w:sz="4" w:space="0" w:color="auto"/>
            </w:tcBorders>
            <w:tcMar>
              <w:top w:w="14" w:type="dxa"/>
              <w:left w:w="43" w:type="dxa"/>
              <w:bottom w:w="14" w:type="dxa"/>
              <w:right w:w="43" w:type="dxa"/>
            </w:tcMar>
            <w:vAlign w:val="center"/>
          </w:tcPr>
          <w:p w14:paraId="0E7FF238" w14:textId="77777777" w:rsidR="00F37F0F" w:rsidRDefault="00F37F0F" w:rsidP="003A385F">
            <w:pPr>
              <w:jc w:val="center"/>
              <w:rPr>
                <w:rFonts w:cs="Arial"/>
                <w:sz w:val="20"/>
              </w:rPr>
            </w:pPr>
          </w:p>
        </w:tc>
        <w:tc>
          <w:tcPr>
            <w:tcW w:w="1280" w:type="dxa"/>
            <w:tcBorders>
              <w:top w:val="single" w:sz="4" w:space="0" w:color="999999"/>
              <w:left w:val="single" w:sz="4" w:space="0" w:color="auto"/>
              <w:bottom w:val="single" w:sz="4" w:space="0" w:color="999999"/>
            </w:tcBorders>
            <w:vAlign w:val="center"/>
          </w:tcPr>
          <w:p w14:paraId="5D7C15F9" w14:textId="77777777" w:rsidR="00F37F0F" w:rsidRDefault="00F37F0F" w:rsidP="003A385F">
            <w:pPr>
              <w:jc w:val="center"/>
              <w:rPr>
                <w:rFonts w:cs="Arial"/>
                <w:sz w:val="20"/>
              </w:rPr>
            </w:pPr>
          </w:p>
        </w:tc>
      </w:tr>
      <w:tr w:rsidR="00F37F0F" w14:paraId="33EA5FB5" w14:textId="77777777" w:rsidTr="00D6411D">
        <w:trPr>
          <w:gridAfter w:val="1"/>
          <w:wAfter w:w="28" w:type="dxa"/>
          <w:trHeight w:hRule="exact" w:val="502"/>
        </w:trPr>
        <w:tc>
          <w:tcPr>
            <w:tcW w:w="3413" w:type="dxa"/>
            <w:tcBorders>
              <w:top w:val="single" w:sz="4" w:space="0" w:color="999999"/>
              <w:bottom w:val="single" w:sz="4" w:space="0" w:color="999999"/>
              <w:right w:val="single" w:sz="4" w:space="0" w:color="auto"/>
            </w:tcBorders>
            <w:tcMar>
              <w:top w:w="14" w:type="dxa"/>
              <w:left w:w="43" w:type="dxa"/>
              <w:bottom w:w="14" w:type="dxa"/>
              <w:right w:w="43" w:type="dxa"/>
            </w:tcMar>
            <w:vAlign w:val="center"/>
          </w:tcPr>
          <w:p w14:paraId="1F354959" w14:textId="77777777" w:rsidR="00F37F0F" w:rsidRDefault="00F37F0F" w:rsidP="003A385F">
            <w:pPr>
              <w:pStyle w:val="Header"/>
              <w:rPr>
                <w:rFonts w:cs="Arial"/>
                <w:sz w:val="17"/>
                <w:szCs w:val="17"/>
              </w:rPr>
            </w:pPr>
            <w:r>
              <w:rPr>
                <w:rFonts w:cs="Arial"/>
                <w:sz w:val="17"/>
                <w:szCs w:val="17"/>
              </w:rPr>
              <w:t>The culture where I work makes it easy to learn from the errors of others.</w:t>
            </w:r>
          </w:p>
        </w:tc>
        <w:tc>
          <w:tcPr>
            <w:tcW w:w="1280" w:type="dxa"/>
            <w:tcBorders>
              <w:top w:val="single" w:sz="4" w:space="0" w:color="999999"/>
              <w:left w:val="single" w:sz="4" w:space="0" w:color="auto"/>
              <w:bottom w:val="single" w:sz="4" w:space="0" w:color="999999"/>
              <w:right w:val="single" w:sz="4" w:space="0" w:color="auto"/>
            </w:tcBorders>
            <w:tcMar>
              <w:top w:w="14" w:type="dxa"/>
              <w:left w:w="43" w:type="dxa"/>
              <w:bottom w:w="14" w:type="dxa"/>
              <w:right w:w="43" w:type="dxa"/>
            </w:tcMar>
            <w:vAlign w:val="center"/>
          </w:tcPr>
          <w:p w14:paraId="5A4B9B65" w14:textId="77777777" w:rsidR="00F37F0F" w:rsidRDefault="00F37F0F" w:rsidP="003A385F">
            <w:pPr>
              <w:jc w:val="center"/>
              <w:rPr>
                <w:rFonts w:cs="Arial"/>
                <w:sz w:val="20"/>
              </w:rPr>
            </w:pPr>
            <w:r>
              <w:rPr>
                <w:rFonts w:cs="Arial"/>
                <w:sz w:val="20"/>
              </w:rPr>
              <w:t>.623</w:t>
            </w:r>
          </w:p>
        </w:tc>
        <w:tc>
          <w:tcPr>
            <w:tcW w:w="1281" w:type="dxa"/>
            <w:tcBorders>
              <w:top w:val="single" w:sz="4" w:space="0" w:color="999999"/>
              <w:left w:val="single" w:sz="4" w:space="0" w:color="auto"/>
              <w:bottom w:val="single" w:sz="4" w:space="0" w:color="999999"/>
              <w:right w:val="single" w:sz="4" w:space="0" w:color="auto"/>
            </w:tcBorders>
            <w:tcMar>
              <w:top w:w="14" w:type="dxa"/>
              <w:left w:w="43" w:type="dxa"/>
              <w:bottom w:w="14" w:type="dxa"/>
              <w:right w:w="43" w:type="dxa"/>
            </w:tcMar>
            <w:vAlign w:val="center"/>
          </w:tcPr>
          <w:p w14:paraId="21955726" w14:textId="77777777" w:rsidR="00F37F0F" w:rsidRDefault="00F37F0F" w:rsidP="003A385F">
            <w:pPr>
              <w:jc w:val="center"/>
              <w:rPr>
                <w:rFonts w:cs="Arial"/>
                <w:sz w:val="20"/>
              </w:rPr>
            </w:pPr>
          </w:p>
        </w:tc>
        <w:tc>
          <w:tcPr>
            <w:tcW w:w="1280" w:type="dxa"/>
            <w:tcBorders>
              <w:top w:val="single" w:sz="4" w:space="0" w:color="999999"/>
              <w:left w:val="single" w:sz="4" w:space="0" w:color="auto"/>
              <w:bottom w:val="single" w:sz="4" w:space="0" w:color="999999"/>
            </w:tcBorders>
            <w:vAlign w:val="center"/>
          </w:tcPr>
          <w:p w14:paraId="793CFE08" w14:textId="77777777" w:rsidR="00F37F0F" w:rsidRDefault="00F37F0F" w:rsidP="003A385F">
            <w:pPr>
              <w:jc w:val="center"/>
              <w:rPr>
                <w:rFonts w:cs="Arial"/>
                <w:sz w:val="20"/>
              </w:rPr>
            </w:pPr>
          </w:p>
        </w:tc>
      </w:tr>
      <w:tr w:rsidR="00F37F0F" w14:paraId="7F31279E" w14:textId="77777777" w:rsidTr="00D6411D">
        <w:trPr>
          <w:trHeight w:hRule="exact" w:val="502"/>
        </w:trPr>
        <w:tc>
          <w:tcPr>
            <w:tcW w:w="3413" w:type="dxa"/>
            <w:tcBorders>
              <w:top w:val="single" w:sz="4" w:space="0" w:color="999999"/>
              <w:bottom w:val="single" w:sz="4" w:space="0" w:color="999999"/>
              <w:right w:val="single" w:sz="4" w:space="0" w:color="auto"/>
            </w:tcBorders>
            <w:tcMar>
              <w:top w:w="14" w:type="dxa"/>
              <w:left w:w="43" w:type="dxa"/>
              <w:bottom w:w="14" w:type="dxa"/>
              <w:right w:w="43" w:type="dxa"/>
            </w:tcMar>
            <w:vAlign w:val="center"/>
          </w:tcPr>
          <w:p w14:paraId="416684AF" w14:textId="77777777" w:rsidR="00F37F0F" w:rsidRDefault="00F37F0F" w:rsidP="003A385F">
            <w:pPr>
              <w:pStyle w:val="Header"/>
              <w:rPr>
                <w:rFonts w:cs="Arial"/>
                <w:sz w:val="17"/>
                <w:szCs w:val="17"/>
              </w:rPr>
            </w:pPr>
            <w:r>
              <w:rPr>
                <w:rFonts w:cs="Arial"/>
                <w:sz w:val="17"/>
                <w:szCs w:val="17"/>
              </w:rPr>
              <w:t>I receive appropriate feedback about my performance.</w:t>
            </w:r>
          </w:p>
        </w:tc>
        <w:tc>
          <w:tcPr>
            <w:tcW w:w="1280" w:type="dxa"/>
            <w:tcBorders>
              <w:top w:val="single" w:sz="4" w:space="0" w:color="999999"/>
              <w:left w:val="single" w:sz="4" w:space="0" w:color="auto"/>
              <w:bottom w:val="single" w:sz="4" w:space="0" w:color="999999"/>
              <w:right w:val="single" w:sz="4" w:space="0" w:color="auto"/>
            </w:tcBorders>
            <w:tcMar>
              <w:top w:w="14" w:type="dxa"/>
              <w:left w:w="43" w:type="dxa"/>
              <w:bottom w:w="14" w:type="dxa"/>
              <w:right w:w="43" w:type="dxa"/>
            </w:tcMar>
            <w:vAlign w:val="center"/>
          </w:tcPr>
          <w:p w14:paraId="14FD16ED" w14:textId="77777777" w:rsidR="00F37F0F" w:rsidRDefault="00F37F0F" w:rsidP="003A385F">
            <w:pPr>
              <w:jc w:val="center"/>
              <w:rPr>
                <w:rFonts w:cs="Arial"/>
                <w:sz w:val="20"/>
              </w:rPr>
            </w:pPr>
            <w:r>
              <w:rPr>
                <w:rFonts w:cs="Arial"/>
                <w:sz w:val="20"/>
              </w:rPr>
              <w:t>.663</w:t>
            </w:r>
          </w:p>
        </w:tc>
        <w:tc>
          <w:tcPr>
            <w:tcW w:w="1281" w:type="dxa"/>
            <w:tcBorders>
              <w:top w:val="single" w:sz="4" w:space="0" w:color="999999"/>
              <w:left w:val="single" w:sz="4" w:space="0" w:color="auto"/>
              <w:bottom w:val="single" w:sz="4" w:space="0" w:color="999999"/>
              <w:right w:val="single" w:sz="4" w:space="0" w:color="auto"/>
            </w:tcBorders>
            <w:tcMar>
              <w:top w:w="14" w:type="dxa"/>
              <w:left w:w="43" w:type="dxa"/>
              <w:bottom w:w="14" w:type="dxa"/>
              <w:right w:w="43" w:type="dxa"/>
            </w:tcMar>
            <w:vAlign w:val="center"/>
          </w:tcPr>
          <w:p w14:paraId="4C654469" w14:textId="77777777" w:rsidR="00F37F0F" w:rsidRDefault="00F37F0F" w:rsidP="003A385F">
            <w:pPr>
              <w:jc w:val="center"/>
              <w:rPr>
                <w:rFonts w:cs="Arial"/>
                <w:sz w:val="20"/>
              </w:rPr>
            </w:pPr>
          </w:p>
        </w:tc>
        <w:tc>
          <w:tcPr>
            <w:tcW w:w="1280" w:type="dxa"/>
            <w:tcBorders>
              <w:top w:val="single" w:sz="4" w:space="0" w:color="999999"/>
              <w:left w:val="single" w:sz="4" w:space="0" w:color="auto"/>
              <w:bottom w:val="single" w:sz="4" w:space="0" w:color="999999"/>
            </w:tcBorders>
            <w:vAlign w:val="center"/>
          </w:tcPr>
          <w:p w14:paraId="63FE4077" w14:textId="77777777" w:rsidR="00F37F0F" w:rsidRDefault="00F37F0F" w:rsidP="003A385F">
            <w:pPr>
              <w:jc w:val="center"/>
              <w:rPr>
                <w:rFonts w:cs="Arial"/>
                <w:sz w:val="20"/>
              </w:rPr>
            </w:pPr>
          </w:p>
        </w:tc>
        <w:tc>
          <w:tcPr>
            <w:tcW w:w="28" w:type="dxa"/>
          </w:tcPr>
          <w:p w14:paraId="2BFC0AA5" w14:textId="77777777" w:rsidR="00F37F0F" w:rsidRDefault="00F37F0F">
            <w:pPr>
              <w:rPr>
                <w:rFonts w:cs="Arial"/>
                <w:sz w:val="16"/>
              </w:rPr>
            </w:pPr>
            <w:r>
              <w:rPr>
                <w:rFonts w:cs="Arial"/>
                <w:sz w:val="16"/>
              </w:rPr>
              <w:tab/>
            </w:r>
          </w:p>
        </w:tc>
      </w:tr>
      <w:tr w:rsidR="00F37F0F" w14:paraId="27268A0C" w14:textId="77777777" w:rsidTr="00D6411D">
        <w:trPr>
          <w:gridAfter w:val="1"/>
          <w:wAfter w:w="28" w:type="dxa"/>
          <w:trHeight w:hRule="exact" w:val="502"/>
        </w:trPr>
        <w:tc>
          <w:tcPr>
            <w:tcW w:w="3413" w:type="dxa"/>
            <w:tcBorders>
              <w:top w:val="single" w:sz="4" w:space="0" w:color="999999"/>
              <w:bottom w:val="single" w:sz="4" w:space="0" w:color="999999"/>
              <w:right w:val="single" w:sz="4" w:space="0" w:color="auto"/>
            </w:tcBorders>
            <w:tcMar>
              <w:top w:w="14" w:type="dxa"/>
              <w:left w:w="43" w:type="dxa"/>
              <w:bottom w:w="14" w:type="dxa"/>
              <w:right w:w="43" w:type="dxa"/>
            </w:tcMar>
            <w:vAlign w:val="center"/>
          </w:tcPr>
          <w:p w14:paraId="1BC9C3C6" w14:textId="77777777" w:rsidR="00F37F0F" w:rsidRDefault="00F37F0F" w:rsidP="003A385F">
            <w:pPr>
              <w:pStyle w:val="Header"/>
              <w:rPr>
                <w:rFonts w:cs="Arial"/>
                <w:sz w:val="17"/>
                <w:szCs w:val="17"/>
              </w:rPr>
            </w:pPr>
            <w:r>
              <w:rPr>
                <w:rFonts w:cs="Arial"/>
                <w:sz w:val="17"/>
                <w:szCs w:val="17"/>
              </w:rPr>
              <w:t>Medical errors are handled appropriately here.</w:t>
            </w:r>
          </w:p>
        </w:tc>
        <w:tc>
          <w:tcPr>
            <w:tcW w:w="1280" w:type="dxa"/>
            <w:tcBorders>
              <w:top w:val="single" w:sz="4" w:space="0" w:color="999999"/>
              <w:left w:val="single" w:sz="4" w:space="0" w:color="auto"/>
              <w:bottom w:val="single" w:sz="4" w:space="0" w:color="999999"/>
              <w:right w:val="single" w:sz="4" w:space="0" w:color="auto"/>
            </w:tcBorders>
            <w:tcMar>
              <w:top w:w="14" w:type="dxa"/>
              <w:left w:w="43" w:type="dxa"/>
              <w:bottom w:w="14" w:type="dxa"/>
              <w:right w:w="43" w:type="dxa"/>
            </w:tcMar>
            <w:vAlign w:val="center"/>
          </w:tcPr>
          <w:p w14:paraId="266841A6" w14:textId="77777777" w:rsidR="00F37F0F" w:rsidRDefault="00F37F0F" w:rsidP="003A385F">
            <w:pPr>
              <w:jc w:val="center"/>
              <w:rPr>
                <w:rFonts w:cs="Arial"/>
                <w:sz w:val="20"/>
              </w:rPr>
            </w:pPr>
            <w:r>
              <w:rPr>
                <w:rFonts w:cs="Arial"/>
                <w:sz w:val="20"/>
              </w:rPr>
              <w:t>.807</w:t>
            </w:r>
          </w:p>
        </w:tc>
        <w:tc>
          <w:tcPr>
            <w:tcW w:w="1281" w:type="dxa"/>
            <w:tcBorders>
              <w:top w:val="single" w:sz="4" w:space="0" w:color="999999"/>
              <w:left w:val="single" w:sz="4" w:space="0" w:color="auto"/>
              <w:bottom w:val="single" w:sz="4" w:space="0" w:color="999999"/>
              <w:right w:val="single" w:sz="4" w:space="0" w:color="auto"/>
            </w:tcBorders>
            <w:tcMar>
              <w:top w:w="14" w:type="dxa"/>
              <w:left w:w="43" w:type="dxa"/>
              <w:bottom w:w="14" w:type="dxa"/>
              <w:right w:w="43" w:type="dxa"/>
            </w:tcMar>
            <w:vAlign w:val="center"/>
          </w:tcPr>
          <w:p w14:paraId="08AB320F" w14:textId="77777777" w:rsidR="00F37F0F" w:rsidRDefault="00F37F0F" w:rsidP="003A385F">
            <w:pPr>
              <w:jc w:val="center"/>
              <w:rPr>
                <w:rFonts w:cs="Arial"/>
                <w:sz w:val="20"/>
              </w:rPr>
            </w:pPr>
          </w:p>
        </w:tc>
        <w:tc>
          <w:tcPr>
            <w:tcW w:w="1280" w:type="dxa"/>
            <w:tcBorders>
              <w:top w:val="single" w:sz="4" w:space="0" w:color="999999"/>
              <w:left w:val="single" w:sz="4" w:space="0" w:color="auto"/>
              <w:bottom w:val="single" w:sz="4" w:space="0" w:color="999999"/>
            </w:tcBorders>
            <w:vAlign w:val="center"/>
          </w:tcPr>
          <w:p w14:paraId="2AAC1822" w14:textId="77777777" w:rsidR="00F37F0F" w:rsidRDefault="00F37F0F" w:rsidP="003A385F">
            <w:pPr>
              <w:jc w:val="center"/>
              <w:rPr>
                <w:rFonts w:cs="Arial"/>
                <w:sz w:val="20"/>
              </w:rPr>
            </w:pPr>
          </w:p>
        </w:tc>
      </w:tr>
      <w:tr w:rsidR="00F37F0F" w14:paraId="4C136181" w14:textId="77777777" w:rsidTr="00EE18DE">
        <w:trPr>
          <w:gridAfter w:val="1"/>
          <w:wAfter w:w="28" w:type="dxa"/>
          <w:trHeight w:hRule="exact" w:val="637"/>
        </w:trPr>
        <w:tc>
          <w:tcPr>
            <w:tcW w:w="3413" w:type="dxa"/>
            <w:tcBorders>
              <w:top w:val="single" w:sz="4" w:space="0" w:color="999999"/>
              <w:bottom w:val="single" w:sz="4" w:space="0" w:color="auto"/>
              <w:right w:val="single" w:sz="4" w:space="0" w:color="auto"/>
            </w:tcBorders>
            <w:tcMar>
              <w:top w:w="14" w:type="dxa"/>
              <w:left w:w="43" w:type="dxa"/>
              <w:bottom w:w="14" w:type="dxa"/>
              <w:right w:w="43" w:type="dxa"/>
            </w:tcMar>
            <w:vAlign w:val="center"/>
          </w:tcPr>
          <w:p w14:paraId="0C8AC2F5" w14:textId="77777777" w:rsidR="00F37F0F" w:rsidRDefault="00F37F0F" w:rsidP="003A385F">
            <w:pPr>
              <w:pStyle w:val="Header"/>
              <w:rPr>
                <w:rFonts w:cs="Arial"/>
                <w:sz w:val="17"/>
                <w:szCs w:val="17"/>
              </w:rPr>
            </w:pPr>
            <w:r>
              <w:rPr>
                <w:rFonts w:cs="Arial"/>
                <w:sz w:val="17"/>
                <w:szCs w:val="17"/>
              </w:rPr>
              <w:t>I know the proper channels to which I should direct questions regarding patient safety.</w:t>
            </w:r>
          </w:p>
        </w:tc>
        <w:tc>
          <w:tcPr>
            <w:tcW w:w="1280" w:type="dxa"/>
            <w:tcBorders>
              <w:top w:val="single" w:sz="4" w:space="0" w:color="999999"/>
              <w:left w:val="single" w:sz="4" w:space="0" w:color="auto"/>
              <w:bottom w:val="single" w:sz="4" w:space="0" w:color="auto"/>
              <w:right w:val="single" w:sz="4" w:space="0" w:color="auto"/>
            </w:tcBorders>
            <w:tcMar>
              <w:top w:w="14" w:type="dxa"/>
              <w:left w:w="43" w:type="dxa"/>
              <w:bottom w:w="14" w:type="dxa"/>
              <w:right w:w="43" w:type="dxa"/>
            </w:tcMar>
            <w:vAlign w:val="center"/>
          </w:tcPr>
          <w:p w14:paraId="4265E741" w14:textId="77777777" w:rsidR="00F37F0F" w:rsidRDefault="00F37F0F" w:rsidP="003A385F">
            <w:pPr>
              <w:jc w:val="center"/>
              <w:rPr>
                <w:rFonts w:cs="Arial"/>
                <w:sz w:val="20"/>
              </w:rPr>
            </w:pPr>
            <w:r>
              <w:rPr>
                <w:rFonts w:cs="Arial"/>
                <w:sz w:val="20"/>
              </w:rPr>
              <w:t>.592</w:t>
            </w:r>
          </w:p>
        </w:tc>
        <w:tc>
          <w:tcPr>
            <w:tcW w:w="1281" w:type="dxa"/>
            <w:tcBorders>
              <w:top w:val="single" w:sz="4" w:space="0" w:color="999999"/>
              <w:left w:val="single" w:sz="4" w:space="0" w:color="auto"/>
              <w:bottom w:val="single" w:sz="4" w:space="0" w:color="auto"/>
              <w:right w:val="single" w:sz="4" w:space="0" w:color="auto"/>
            </w:tcBorders>
            <w:tcMar>
              <w:top w:w="14" w:type="dxa"/>
              <w:left w:w="43" w:type="dxa"/>
              <w:bottom w:w="14" w:type="dxa"/>
              <w:right w:w="43" w:type="dxa"/>
            </w:tcMar>
            <w:vAlign w:val="center"/>
          </w:tcPr>
          <w:p w14:paraId="5A656F92" w14:textId="77777777" w:rsidR="00F37F0F" w:rsidRDefault="00F37F0F" w:rsidP="003A385F">
            <w:pPr>
              <w:jc w:val="center"/>
              <w:rPr>
                <w:rFonts w:cs="Arial"/>
                <w:sz w:val="20"/>
              </w:rPr>
            </w:pPr>
          </w:p>
        </w:tc>
        <w:tc>
          <w:tcPr>
            <w:tcW w:w="1280" w:type="dxa"/>
            <w:tcBorders>
              <w:top w:val="single" w:sz="4" w:space="0" w:color="999999"/>
              <w:left w:val="single" w:sz="4" w:space="0" w:color="auto"/>
              <w:bottom w:val="single" w:sz="4" w:space="0" w:color="auto"/>
            </w:tcBorders>
            <w:vAlign w:val="center"/>
          </w:tcPr>
          <w:p w14:paraId="00760E68" w14:textId="77777777" w:rsidR="00F37F0F" w:rsidRDefault="00F37F0F" w:rsidP="003A385F">
            <w:pPr>
              <w:jc w:val="center"/>
              <w:rPr>
                <w:rFonts w:cs="Arial"/>
                <w:sz w:val="20"/>
              </w:rPr>
            </w:pPr>
          </w:p>
        </w:tc>
      </w:tr>
      <w:tr w:rsidR="00F37F0F" w14:paraId="7AB36378" w14:textId="77777777" w:rsidTr="00D6411D">
        <w:trPr>
          <w:gridAfter w:val="1"/>
          <w:wAfter w:w="28" w:type="dxa"/>
          <w:trHeight w:hRule="exact" w:val="742"/>
        </w:trPr>
        <w:tc>
          <w:tcPr>
            <w:tcW w:w="3413" w:type="dxa"/>
            <w:tcBorders>
              <w:bottom w:val="single" w:sz="4" w:space="0" w:color="999999"/>
            </w:tcBorders>
            <w:tcMar>
              <w:top w:w="14" w:type="dxa"/>
              <w:left w:w="43" w:type="dxa"/>
              <w:bottom w:w="14" w:type="dxa"/>
              <w:right w:w="43" w:type="dxa"/>
            </w:tcMar>
            <w:vAlign w:val="center"/>
          </w:tcPr>
          <w:p w14:paraId="1E9074C6" w14:textId="77777777" w:rsidR="00F37F0F" w:rsidRDefault="00F37F0F" w:rsidP="003A385F">
            <w:pPr>
              <w:pStyle w:val="Header"/>
              <w:rPr>
                <w:rFonts w:cs="Arial"/>
                <w:sz w:val="17"/>
                <w:szCs w:val="17"/>
              </w:rPr>
            </w:pPr>
            <w:r>
              <w:rPr>
                <w:rFonts w:cs="Arial"/>
                <w:b/>
                <w:sz w:val="20"/>
                <w:lang w:val="en-US"/>
              </w:rPr>
              <w:t>Safety Climate factor 2</w:t>
            </w:r>
          </w:p>
        </w:tc>
        <w:tc>
          <w:tcPr>
            <w:tcW w:w="1280" w:type="dxa"/>
            <w:tcBorders>
              <w:bottom w:val="single" w:sz="4" w:space="0" w:color="999999"/>
            </w:tcBorders>
            <w:tcMar>
              <w:top w:w="14" w:type="dxa"/>
              <w:left w:w="43" w:type="dxa"/>
              <w:bottom w:w="14" w:type="dxa"/>
              <w:right w:w="43" w:type="dxa"/>
            </w:tcMar>
            <w:vAlign w:val="center"/>
          </w:tcPr>
          <w:p w14:paraId="26DC85E1" w14:textId="77777777" w:rsidR="00F37F0F" w:rsidRDefault="00F37F0F" w:rsidP="003A385F">
            <w:pPr>
              <w:jc w:val="center"/>
              <w:rPr>
                <w:rFonts w:cs="Arial"/>
                <w:sz w:val="20"/>
              </w:rPr>
            </w:pPr>
          </w:p>
        </w:tc>
        <w:tc>
          <w:tcPr>
            <w:tcW w:w="1281" w:type="dxa"/>
            <w:tcBorders>
              <w:bottom w:val="single" w:sz="4" w:space="0" w:color="999999"/>
            </w:tcBorders>
            <w:tcMar>
              <w:top w:w="14" w:type="dxa"/>
              <w:left w:w="43" w:type="dxa"/>
              <w:bottom w:w="14" w:type="dxa"/>
              <w:right w:w="43" w:type="dxa"/>
            </w:tcMar>
            <w:vAlign w:val="center"/>
          </w:tcPr>
          <w:p w14:paraId="7508DA2F" w14:textId="77777777" w:rsidR="00F37F0F" w:rsidRDefault="00F37F0F" w:rsidP="003A385F">
            <w:pPr>
              <w:jc w:val="center"/>
              <w:rPr>
                <w:rFonts w:cs="Arial"/>
                <w:sz w:val="20"/>
              </w:rPr>
            </w:pPr>
          </w:p>
        </w:tc>
        <w:tc>
          <w:tcPr>
            <w:tcW w:w="1280" w:type="dxa"/>
            <w:tcBorders>
              <w:bottom w:val="single" w:sz="4" w:space="0" w:color="999999"/>
            </w:tcBorders>
            <w:vAlign w:val="center"/>
          </w:tcPr>
          <w:p w14:paraId="6FA727EB" w14:textId="77777777" w:rsidR="00F37F0F" w:rsidRDefault="00F37F0F" w:rsidP="003A385F">
            <w:pPr>
              <w:jc w:val="center"/>
              <w:rPr>
                <w:rFonts w:cs="Arial"/>
                <w:sz w:val="20"/>
              </w:rPr>
            </w:pPr>
          </w:p>
        </w:tc>
      </w:tr>
      <w:tr w:rsidR="00F37F0F" w14:paraId="7374758A" w14:textId="77777777" w:rsidTr="00D6411D">
        <w:trPr>
          <w:gridAfter w:val="1"/>
          <w:wAfter w:w="28" w:type="dxa"/>
          <w:trHeight w:hRule="exact" w:val="502"/>
        </w:trPr>
        <w:tc>
          <w:tcPr>
            <w:tcW w:w="3413" w:type="dxa"/>
            <w:tcBorders>
              <w:top w:val="single" w:sz="4" w:space="0" w:color="999999"/>
              <w:bottom w:val="single" w:sz="4" w:space="0" w:color="999999"/>
            </w:tcBorders>
            <w:tcMar>
              <w:top w:w="14" w:type="dxa"/>
              <w:left w:w="43" w:type="dxa"/>
              <w:bottom w:w="14" w:type="dxa"/>
              <w:right w:w="43" w:type="dxa"/>
            </w:tcMar>
            <w:vAlign w:val="center"/>
          </w:tcPr>
          <w:p w14:paraId="4EFBF199" w14:textId="77777777" w:rsidR="00F37F0F" w:rsidRDefault="00F37F0F" w:rsidP="003A385F">
            <w:pPr>
              <w:pStyle w:val="Header"/>
              <w:rPr>
                <w:rFonts w:cs="Arial"/>
                <w:sz w:val="17"/>
                <w:szCs w:val="17"/>
              </w:rPr>
            </w:pPr>
            <w:r>
              <w:rPr>
                <w:rFonts w:cs="Arial"/>
                <w:sz w:val="17"/>
                <w:szCs w:val="17"/>
              </w:rPr>
              <w:t>The levels of staffing where I work are sufficient to handle the number of patients.</w:t>
            </w:r>
          </w:p>
        </w:tc>
        <w:tc>
          <w:tcPr>
            <w:tcW w:w="1280" w:type="dxa"/>
            <w:tcBorders>
              <w:top w:val="single" w:sz="4" w:space="0" w:color="999999"/>
              <w:bottom w:val="single" w:sz="4" w:space="0" w:color="999999"/>
            </w:tcBorders>
            <w:tcMar>
              <w:top w:w="14" w:type="dxa"/>
              <w:left w:w="43" w:type="dxa"/>
              <w:bottom w:w="14" w:type="dxa"/>
              <w:right w:w="43" w:type="dxa"/>
            </w:tcMar>
            <w:vAlign w:val="center"/>
          </w:tcPr>
          <w:p w14:paraId="32704FED" w14:textId="77777777" w:rsidR="00F37F0F" w:rsidRDefault="00F37F0F" w:rsidP="003A385F">
            <w:pPr>
              <w:jc w:val="center"/>
              <w:rPr>
                <w:rFonts w:cs="Arial"/>
                <w:sz w:val="20"/>
              </w:rPr>
            </w:pPr>
          </w:p>
        </w:tc>
        <w:tc>
          <w:tcPr>
            <w:tcW w:w="1281" w:type="dxa"/>
            <w:tcBorders>
              <w:top w:val="single" w:sz="4" w:space="0" w:color="999999"/>
              <w:bottom w:val="single" w:sz="4" w:space="0" w:color="999999"/>
            </w:tcBorders>
            <w:tcMar>
              <w:top w:w="14" w:type="dxa"/>
              <w:left w:w="43" w:type="dxa"/>
              <w:bottom w:w="14" w:type="dxa"/>
              <w:right w:w="43" w:type="dxa"/>
            </w:tcMar>
            <w:vAlign w:val="center"/>
          </w:tcPr>
          <w:p w14:paraId="19B70CAB" w14:textId="77777777" w:rsidR="00F37F0F" w:rsidRDefault="00F37F0F" w:rsidP="003A385F">
            <w:pPr>
              <w:jc w:val="center"/>
              <w:rPr>
                <w:rFonts w:cs="Arial"/>
                <w:sz w:val="20"/>
              </w:rPr>
            </w:pPr>
            <w:r>
              <w:rPr>
                <w:rFonts w:cs="Arial"/>
                <w:sz w:val="20"/>
              </w:rPr>
              <w:t>.905</w:t>
            </w:r>
          </w:p>
        </w:tc>
        <w:tc>
          <w:tcPr>
            <w:tcW w:w="1280" w:type="dxa"/>
            <w:tcBorders>
              <w:top w:val="single" w:sz="4" w:space="0" w:color="999999"/>
              <w:bottom w:val="single" w:sz="4" w:space="0" w:color="999999"/>
            </w:tcBorders>
            <w:vAlign w:val="center"/>
          </w:tcPr>
          <w:p w14:paraId="1E6DC03C" w14:textId="77777777" w:rsidR="00F37F0F" w:rsidRDefault="00F37F0F" w:rsidP="003A385F">
            <w:pPr>
              <w:jc w:val="center"/>
              <w:rPr>
                <w:rFonts w:cs="Arial"/>
                <w:sz w:val="20"/>
              </w:rPr>
            </w:pPr>
          </w:p>
        </w:tc>
      </w:tr>
      <w:tr w:rsidR="00F37F0F" w14:paraId="28FD70C2" w14:textId="77777777" w:rsidTr="00D6411D">
        <w:trPr>
          <w:gridAfter w:val="1"/>
          <w:wAfter w:w="28" w:type="dxa"/>
          <w:trHeight w:hRule="exact" w:val="502"/>
        </w:trPr>
        <w:tc>
          <w:tcPr>
            <w:tcW w:w="3413" w:type="dxa"/>
            <w:tcBorders>
              <w:top w:val="single" w:sz="4" w:space="0" w:color="999999"/>
              <w:bottom w:val="single" w:sz="4" w:space="0" w:color="999999"/>
            </w:tcBorders>
            <w:tcMar>
              <w:top w:w="14" w:type="dxa"/>
              <w:left w:w="43" w:type="dxa"/>
              <w:bottom w:w="14" w:type="dxa"/>
              <w:right w:w="43" w:type="dxa"/>
            </w:tcMar>
            <w:vAlign w:val="center"/>
          </w:tcPr>
          <w:p w14:paraId="55CE34BB" w14:textId="77777777" w:rsidR="00F37F0F" w:rsidRDefault="00F37F0F" w:rsidP="003A385F">
            <w:pPr>
              <w:pStyle w:val="Header"/>
              <w:rPr>
                <w:rFonts w:cs="Arial"/>
                <w:sz w:val="17"/>
                <w:szCs w:val="17"/>
              </w:rPr>
            </w:pPr>
            <w:r>
              <w:rPr>
                <w:rFonts w:cs="Arial"/>
                <w:sz w:val="17"/>
                <w:szCs w:val="17"/>
              </w:rPr>
              <w:t>I would feel safe being treated as a patient in this service.</w:t>
            </w:r>
          </w:p>
        </w:tc>
        <w:tc>
          <w:tcPr>
            <w:tcW w:w="1280" w:type="dxa"/>
            <w:tcBorders>
              <w:top w:val="single" w:sz="4" w:space="0" w:color="999999"/>
              <w:bottom w:val="single" w:sz="4" w:space="0" w:color="999999"/>
            </w:tcBorders>
            <w:tcMar>
              <w:top w:w="14" w:type="dxa"/>
              <w:left w:w="43" w:type="dxa"/>
              <w:bottom w:w="14" w:type="dxa"/>
              <w:right w:w="43" w:type="dxa"/>
            </w:tcMar>
            <w:vAlign w:val="center"/>
          </w:tcPr>
          <w:p w14:paraId="62C9BEAD" w14:textId="77777777" w:rsidR="00F37F0F" w:rsidRDefault="00F37F0F" w:rsidP="003A385F">
            <w:pPr>
              <w:jc w:val="center"/>
              <w:rPr>
                <w:rFonts w:cs="Arial"/>
                <w:sz w:val="20"/>
              </w:rPr>
            </w:pPr>
            <w:r>
              <w:rPr>
                <w:rFonts w:cs="Arial"/>
                <w:sz w:val="20"/>
              </w:rPr>
              <w:t>.445</w:t>
            </w:r>
          </w:p>
        </w:tc>
        <w:tc>
          <w:tcPr>
            <w:tcW w:w="1281" w:type="dxa"/>
            <w:tcBorders>
              <w:top w:val="single" w:sz="4" w:space="0" w:color="999999"/>
              <w:bottom w:val="single" w:sz="4" w:space="0" w:color="999999"/>
            </w:tcBorders>
            <w:tcMar>
              <w:top w:w="14" w:type="dxa"/>
              <w:left w:w="43" w:type="dxa"/>
              <w:bottom w:w="14" w:type="dxa"/>
              <w:right w:w="43" w:type="dxa"/>
            </w:tcMar>
            <w:vAlign w:val="center"/>
          </w:tcPr>
          <w:p w14:paraId="70A4DD65" w14:textId="77777777" w:rsidR="00F37F0F" w:rsidRDefault="00F37F0F" w:rsidP="003A385F">
            <w:pPr>
              <w:jc w:val="center"/>
              <w:rPr>
                <w:rFonts w:cs="Arial"/>
                <w:sz w:val="20"/>
              </w:rPr>
            </w:pPr>
            <w:r>
              <w:rPr>
                <w:rFonts w:cs="Arial"/>
                <w:sz w:val="20"/>
              </w:rPr>
              <w:t>.554</w:t>
            </w:r>
          </w:p>
        </w:tc>
        <w:tc>
          <w:tcPr>
            <w:tcW w:w="1280" w:type="dxa"/>
            <w:tcBorders>
              <w:top w:val="single" w:sz="4" w:space="0" w:color="999999"/>
              <w:bottom w:val="single" w:sz="4" w:space="0" w:color="999999"/>
            </w:tcBorders>
            <w:vAlign w:val="center"/>
          </w:tcPr>
          <w:p w14:paraId="7FCE50C4" w14:textId="77777777" w:rsidR="00F37F0F" w:rsidRDefault="00F37F0F" w:rsidP="003A385F">
            <w:pPr>
              <w:jc w:val="center"/>
              <w:rPr>
                <w:rFonts w:cs="Arial"/>
                <w:sz w:val="20"/>
              </w:rPr>
            </w:pPr>
          </w:p>
        </w:tc>
      </w:tr>
      <w:tr w:rsidR="00F37F0F" w14:paraId="2C4E041F" w14:textId="77777777" w:rsidTr="00D6411D">
        <w:trPr>
          <w:gridAfter w:val="1"/>
          <w:wAfter w:w="28" w:type="dxa"/>
          <w:trHeight w:hRule="exact" w:val="502"/>
        </w:trPr>
        <w:tc>
          <w:tcPr>
            <w:tcW w:w="3413" w:type="dxa"/>
            <w:tcBorders>
              <w:top w:val="single" w:sz="4" w:space="0" w:color="999999"/>
              <w:bottom w:val="single" w:sz="4" w:space="0" w:color="auto"/>
            </w:tcBorders>
            <w:tcMar>
              <w:top w:w="14" w:type="dxa"/>
              <w:left w:w="43" w:type="dxa"/>
              <w:bottom w:w="14" w:type="dxa"/>
              <w:right w:w="43" w:type="dxa"/>
            </w:tcMar>
            <w:vAlign w:val="center"/>
          </w:tcPr>
          <w:p w14:paraId="1DDB7834" w14:textId="77777777" w:rsidR="00F37F0F" w:rsidRDefault="00F37F0F" w:rsidP="003A385F">
            <w:pPr>
              <w:pStyle w:val="Header"/>
              <w:rPr>
                <w:rFonts w:cs="Arial"/>
                <w:sz w:val="17"/>
                <w:szCs w:val="17"/>
              </w:rPr>
            </w:pPr>
            <w:r>
              <w:rPr>
                <w:rFonts w:cs="Arial"/>
                <w:sz w:val="17"/>
                <w:szCs w:val="17"/>
              </w:rPr>
              <w:t>Management does not knowingly compromise the safety of patients.</w:t>
            </w:r>
          </w:p>
        </w:tc>
        <w:tc>
          <w:tcPr>
            <w:tcW w:w="1280" w:type="dxa"/>
            <w:tcBorders>
              <w:top w:val="single" w:sz="4" w:space="0" w:color="999999"/>
              <w:bottom w:val="single" w:sz="4" w:space="0" w:color="auto"/>
            </w:tcBorders>
            <w:tcMar>
              <w:top w:w="14" w:type="dxa"/>
              <w:left w:w="43" w:type="dxa"/>
              <w:bottom w:w="14" w:type="dxa"/>
              <w:right w:w="43" w:type="dxa"/>
            </w:tcMar>
            <w:vAlign w:val="center"/>
          </w:tcPr>
          <w:p w14:paraId="079F1F70" w14:textId="77777777" w:rsidR="00F37F0F" w:rsidRDefault="00F37F0F" w:rsidP="003A385F">
            <w:pPr>
              <w:jc w:val="center"/>
              <w:rPr>
                <w:rFonts w:cs="Arial"/>
                <w:sz w:val="20"/>
              </w:rPr>
            </w:pPr>
          </w:p>
        </w:tc>
        <w:tc>
          <w:tcPr>
            <w:tcW w:w="1281" w:type="dxa"/>
            <w:tcBorders>
              <w:top w:val="single" w:sz="4" w:space="0" w:color="999999"/>
              <w:bottom w:val="single" w:sz="4" w:space="0" w:color="auto"/>
            </w:tcBorders>
            <w:tcMar>
              <w:top w:w="14" w:type="dxa"/>
              <w:left w:w="43" w:type="dxa"/>
              <w:bottom w:w="14" w:type="dxa"/>
              <w:right w:w="43" w:type="dxa"/>
            </w:tcMar>
            <w:vAlign w:val="center"/>
          </w:tcPr>
          <w:p w14:paraId="7E85B62B" w14:textId="77777777" w:rsidR="00F37F0F" w:rsidRDefault="00F37F0F" w:rsidP="003A385F">
            <w:pPr>
              <w:jc w:val="center"/>
              <w:rPr>
                <w:rFonts w:cs="Arial"/>
                <w:sz w:val="20"/>
              </w:rPr>
            </w:pPr>
            <w:r>
              <w:rPr>
                <w:rFonts w:cs="Arial"/>
                <w:sz w:val="20"/>
              </w:rPr>
              <w:t>.519</w:t>
            </w:r>
          </w:p>
        </w:tc>
        <w:tc>
          <w:tcPr>
            <w:tcW w:w="1280" w:type="dxa"/>
            <w:tcBorders>
              <w:top w:val="single" w:sz="4" w:space="0" w:color="999999"/>
              <w:bottom w:val="single" w:sz="4" w:space="0" w:color="auto"/>
            </w:tcBorders>
            <w:vAlign w:val="center"/>
          </w:tcPr>
          <w:p w14:paraId="6AAA8F72" w14:textId="77777777" w:rsidR="00F37F0F" w:rsidRDefault="00F37F0F" w:rsidP="003A385F">
            <w:pPr>
              <w:jc w:val="center"/>
              <w:rPr>
                <w:rFonts w:cs="Arial"/>
                <w:sz w:val="20"/>
              </w:rPr>
            </w:pPr>
            <w:r>
              <w:rPr>
                <w:rFonts w:cs="Arial"/>
                <w:sz w:val="20"/>
              </w:rPr>
              <w:t>-.411</w:t>
            </w:r>
          </w:p>
        </w:tc>
      </w:tr>
      <w:tr w:rsidR="00F37F0F" w14:paraId="315A48E5" w14:textId="77777777" w:rsidTr="00D6411D">
        <w:trPr>
          <w:gridAfter w:val="1"/>
          <w:wAfter w:w="28" w:type="dxa"/>
          <w:trHeight w:hRule="exact" w:val="826"/>
        </w:trPr>
        <w:tc>
          <w:tcPr>
            <w:tcW w:w="3413" w:type="dxa"/>
            <w:tcBorders>
              <w:bottom w:val="single" w:sz="4" w:space="0" w:color="999999"/>
            </w:tcBorders>
            <w:tcMar>
              <w:top w:w="14" w:type="dxa"/>
              <w:left w:w="43" w:type="dxa"/>
              <w:bottom w:w="14" w:type="dxa"/>
              <w:right w:w="43" w:type="dxa"/>
            </w:tcMar>
            <w:vAlign w:val="center"/>
          </w:tcPr>
          <w:p w14:paraId="4800EED4" w14:textId="77777777" w:rsidR="00F37F0F" w:rsidRDefault="00F37F0F" w:rsidP="003A385F">
            <w:pPr>
              <w:pStyle w:val="Header"/>
              <w:rPr>
                <w:rFonts w:cs="Arial"/>
                <w:sz w:val="17"/>
                <w:szCs w:val="17"/>
              </w:rPr>
            </w:pPr>
            <w:r>
              <w:rPr>
                <w:rFonts w:cs="Arial"/>
                <w:b/>
                <w:sz w:val="20"/>
                <w:lang w:val="en-US"/>
              </w:rPr>
              <w:t>Safety Climate factor 3</w:t>
            </w:r>
          </w:p>
        </w:tc>
        <w:tc>
          <w:tcPr>
            <w:tcW w:w="1280" w:type="dxa"/>
            <w:tcBorders>
              <w:bottom w:val="single" w:sz="4" w:space="0" w:color="999999"/>
            </w:tcBorders>
            <w:tcMar>
              <w:top w:w="14" w:type="dxa"/>
              <w:left w:w="43" w:type="dxa"/>
              <w:bottom w:w="14" w:type="dxa"/>
              <w:right w:w="43" w:type="dxa"/>
            </w:tcMar>
            <w:vAlign w:val="center"/>
          </w:tcPr>
          <w:p w14:paraId="66D7257D" w14:textId="77777777" w:rsidR="00F37F0F" w:rsidRDefault="00F37F0F" w:rsidP="003A385F">
            <w:pPr>
              <w:jc w:val="center"/>
              <w:rPr>
                <w:rFonts w:cs="Arial"/>
                <w:sz w:val="20"/>
              </w:rPr>
            </w:pPr>
          </w:p>
        </w:tc>
        <w:tc>
          <w:tcPr>
            <w:tcW w:w="1281" w:type="dxa"/>
            <w:tcBorders>
              <w:bottom w:val="single" w:sz="4" w:space="0" w:color="999999"/>
            </w:tcBorders>
            <w:tcMar>
              <w:top w:w="14" w:type="dxa"/>
              <w:left w:w="43" w:type="dxa"/>
              <w:bottom w:w="14" w:type="dxa"/>
              <w:right w:w="43" w:type="dxa"/>
            </w:tcMar>
            <w:vAlign w:val="center"/>
          </w:tcPr>
          <w:p w14:paraId="66C60A85" w14:textId="77777777" w:rsidR="00F37F0F" w:rsidRDefault="00F37F0F" w:rsidP="003A385F">
            <w:pPr>
              <w:jc w:val="center"/>
              <w:rPr>
                <w:rFonts w:cs="Arial"/>
                <w:sz w:val="20"/>
              </w:rPr>
            </w:pPr>
          </w:p>
        </w:tc>
        <w:tc>
          <w:tcPr>
            <w:tcW w:w="1280" w:type="dxa"/>
            <w:tcBorders>
              <w:bottom w:val="single" w:sz="4" w:space="0" w:color="999999"/>
            </w:tcBorders>
            <w:vAlign w:val="center"/>
          </w:tcPr>
          <w:p w14:paraId="568E6F8D" w14:textId="77777777" w:rsidR="00F37F0F" w:rsidRDefault="00F37F0F" w:rsidP="003A385F">
            <w:pPr>
              <w:jc w:val="center"/>
              <w:rPr>
                <w:rFonts w:cs="Arial"/>
                <w:sz w:val="20"/>
              </w:rPr>
            </w:pPr>
          </w:p>
        </w:tc>
      </w:tr>
      <w:tr w:rsidR="00F37F0F" w14:paraId="7A99F145" w14:textId="77777777" w:rsidTr="00D6411D">
        <w:trPr>
          <w:gridAfter w:val="1"/>
          <w:wAfter w:w="28" w:type="dxa"/>
          <w:trHeight w:hRule="exact" w:val="502"/>
        </w:trPr>
        <w:tc>
          <w:tcPr>
            <w:tcW w:w="3413" w:type="dxa"/>
            <w:tcBorders>
              <w:top w:val="single" w:sz="4" w:space="0" w:color="999999"/>
              <w:bottom w:val="single" w:sz="4" w:space="0" w:color="999999"/>
            </w:tcBorders>
            <w:tcMar>
              <w:top w:w="14" w:type="dxa"/>
              <w:left w:w="43" w:type="dxa"/>
              <w:bottom w:w="14" w:type="dxa"/>
              <w:right w:w="43" w:type="dxa"/>
            </w:tcMar>
            <w:vAlign w:val="center"/>
          </w:tcPr>
          <w:p w14:paraId="6FAB3668" w14:textId="77777777" w:rsidR="00F37F0F" w:rsidRDefault="00F37F0F" w:rsidP="003A385F">
            <w:pPr>
              <w:pStyle w:val="Header"/>
              <w:rPr>
                <w:rFonts w:cs="Arial"/>
                <w:sz w:val="17"/>
                <w:szCs w:val="17"/>
              </w:rPr>
            </w:pPr>
            <w:r>
              <w:rPr>
                <w:rFonts w:cs="Arial"/>
                <w:sz w:val="17"/>
                <w:szCs w:val="17"/>
              </w:rPr>
              <w:t>This organisation is doing more for patient safety now than it did one year ago.</w:t>
            </w:r>
          </w:p>
        </w:tc>
        <w:tc>
          <w:tcPr>
            <w:tcW w:w="1280" w:type="dxa"/>
            <w:tcBorders>
              <w:top w:val="single" w:sz="4" w:space="0" w:color="999999"/>
              <w:bottom w:val="single" w:sz="4" w:space="0" w:color="999999"/>
            </w:tcBorders>
            <w:tcMar>
              <w:top w:w="14" w:type="dxa"/>
              <w:left w:w="43" w:type="dxa"/>
              <w:bottom w:w="14" w:type="dxa"/>
              <w:right w:w="43" w:type="dxa"/>
            </w:tcMar>
            <w:vAlign w:val="center"/>
          </w:tcPr>
          <w:p w14:paraId="16531CFC" w14:textId="77777777" w:rsidR="00F37F0F" w:rsidRDefault="00F37F0F" w:rsidP="003A385F">
            <w:pPr>
              <w:jc w:val="center"/>
              <w:rPr>
                <w:rFonts w:cs="Arial"/>
                <w:sz w:val="20"/>
              </w:rPr>
            </w:pPr>
          </w:p>
        </w:tc>
        <w:tc>
          <w:tcPr>
            <w:tcW w:w="1281" w:type="dxa"/>
            <w:tcBorders>
              <w:top w:val="single" w:sz="4" w:space="0" w:color="999999"/>
              <w:bottom w:val="single" w:sz="4" w:space="0" w:color="999999"/>
            </w:tcBorders>
            <w:tcMar>
              <w:top w:w="14" w:type="dxa"/>
              <w:left w:w="43" w:type="dxa"/>
              <w:bottom w:w="14" w:type="dxa"/>
              <w:right w:w="43" w:type="dxa"/>
            </w:tcMar>
            <w:vAlign w:val="center"/>
          </w:tcPr>
          <w:p w14:paraId="0D8BA3ED" w14:textId="77777777" w:rsidR="00F37F0F" w:rsidRDefault="00F37F0F" w:rsidP="003A385F">
            <w:pPr>
              <w:jc w:val="center"/>
              <w:rPr>
                <w:rFonts w:cs="Arial"/>
                <w:sz w:val="20"/>
              </w:rPr>
            </w:pPr>
          </w:p>
        </w:tc>
        <w:tc>
          <w:tcPr>
            <w:tcW w:w="1280" w:type="dxa"/>
            <w:tcBorders>
              <w:top w:val="single" w:sz="4" w:space="0" w:color="999999"/>
              <w:bottom w:val="single" w:sz="4" w:space="0" w:color="999999"/>
            </w:tcBorders>
            <w:vAlign w:val="center"/>
          </w:tcPr>
          <w:p w14:paraId="411C6D4D" w14:textId="77777777" w:rsidR="00F37F0F" w:rsidRDefault="00F37F0F" w:rsidP="003A385F">
            <w:pPr>
              <w:jc w:val="center"/>
              <w:rPr>
                <w:rFonts w:cs="Arial"/>
                <w:sz w:val="20"/>
              </w:rPr>
            </w:pPr>
            <w:r>
              <w:rPr>
                <w:rFonts w:cs="Arial"/>
                <w:sz w:val="20"/>
              </w:rPr>
              <w:t>-.903</w:t>
            </w:r>
          </w:p>
        </w:tc>
      </w:tr>
      <w:tr w:rsidR="00F37F0F" w14:paraId="79B5EBDD" w14:textId="77777777" w:rsidTr="00D6411D">
        <w:trPr>
          <w:gridAfter w:val="1"/>
          <w:wAfter w:w="28" w:type="dxa"/>
          <w:trHeight w:hRule="exact" w:val="502"/>
        </w:trPr>
        <w:tc>
          <w:tcPr>
            <w:tcW w:w="3413" w:type="dxa"/>
            <w:tcBorders>
              <w:top w:val="single" w:sz="4" w:space="0" w:color="999999"/>
              <w:bottom w:val="single" w:sz="4" w:space="0" w:color="999999"/>
            </w:tcBorders>
            <w:tcMar>
              <w:top w:w="14" w:type="dxa"/>
              <w:left w:w="43" w:type="dxa"/>
              <w:bottom w:w="14" w:type="dxa"/>
              <w:right w:w="43" w:type="dxa"/>
            </w:tcMar>
            <w:vAlign w:val="center"/>
          </w:tcPr>
          <w:p w14:paraId="7EC9DD26" w14:textId="77777777" w:rsidR="00F37F0F" w:rsidRDefault="00F37F0F" w:rsidP="003A385F">
            <w:pPr>
              <w:pStyle w:val="Header"/>
              <w:rPr>
                <w:rFonts w:cs="Arial"/>
                <w:sz w:val="17"/>
                <w:szCs w:val="17"/>
              </w:rPr>
            </w:pPr>
            <w:r>
              <w:rPr>
                <w:rFonts w:cs="Arial"/>
                <w:sz w:val="17"/>
                <w:szCs w:val="17"/>
              </w:rPr>
              <w:t>Leadership is driving us to be a safety-centred organisation.</w:t>
            </w:r>
          </w:p>
        </w:tc>
        <w:tc>
          <w:tcPr>
            <w:tcW w:w="1280" w:type="dxa"/>
            <w:tcBorders>
              <w:top w:val="single" w:sz="4" w:space="0" w:color="999999"/>
              <w:bottom w:val="single" w:sz="4" w:space="0" w:color="999999"/>
            </w:tcBorders>
            <w:tcMar>
              <w:top w:w="14" w:type="dxa"/>
              <w:left w:w="43" w:type="dxa"/>
              <w:bottom w:w="14" w:type="dxa"/>
              <w:right w:w="43" w:type="dxa"/>
            </w:tcMar>
            <w:vAlign w:val="center"/>
          </w:tcPr>
          <w:p w14:paraId="2135E907" w14:textId="77777777" w:rsidR="00F37F0F" w:rsidRDefault="00F37F0F" w:rsidP="003A385F">
            <w:pPr>
              <w:jc w:val="center"/>
              <w:rPr>
                <w:rFonts w:cs="Arial"/>
                <w:sz w:val="20"/>
              </w:rPr>
            </w:pPr>
          </w:p>
        </w:tc>
        <w:tc>
          <w:tcPr>
            <w:tcW w:w="1281" w:type="dxa"/>
            <w:tcBorders>
              <w:top w:val="single" w:sz="4" w:space="0" w:color="999999"/>
              <w:bottom w:val="single" w:sz="4" w:space="0" w:color="999999"/>
            </w:tcBorders>
            <w:tcMar>
              <w:top w:w="14" w:type="dxa"/>
              <w:left w:w="43" w:type="dxa"/>
              <w:bottom w:w="14" w:type="dxa"/>
              <w:right w:w="43" w:type="dxa"/>
            </w:tcMar>
            <w:vAlign w:val="center"/>
          </w:tcPr>
          <w:p w14:paraId="2C396C83" w14:textId="77777777" w:rsidR="00F37F0F" w:rsidRDefault="00F37F0F" w:rsidP="003A385F">
            <w:pPr>
              <w:jc w:val="center"/>
              <w:rPr>
                <w:rFonts w:cs="Arial"/>
                <w:sz w:val="20"/>
              </w:rPr>
            </w:pPr>
          </w:p>
        </w:tc>
        <w:tc>
          <w:tcPr>
            <w:tcW w:w="1280" w:type="dxa"/>
            <w:tcBorders>
              <w:top w:val="single" w:sz="4" w:space="0" w:color="999999"/>
              <w:bottom w:val="single" w:sz="4" w:space="0" w:color="999999"/>
            </w:tcBorders>
            <w:vAlign w:val="center"/>
          </w:tcPr>
          <w:p w14:paraId="3204B58F" w14:textId="77777777" w:rsidR="00F37F0F" w:rsidRDefault="00F37F0F" w:rsidP="003A385F">
            <w:pPr>
              <w:jc w:val="center"/>
              <w:rPr>
                <w:rFonts w:cs="Arial"/>
                <w:sz w:val="20"/>
              </w:rPr>
            </w:pPr>
            <w:r>
              <w:rPr>
                <w:rFonts w:cs="Arial"/>
                <w:sz w:val="20"/>
              </w:rPr>
              <w:t>-.786</w:t>
            </w:r>
          </w:p>
        </w:tc>
      </w:tr>
      <w:tr w:rsidR="00F37F0F" w14:paraId="52718E20" w14:textId="77777777" w:rsidTr="00D6411D">
        <w:trPr>
          <w:gridAfter w:val="1"/>
          <w:wAfter w:w="28" w:type="dxa"/>
          <w:trHeight w:hRule="exact" w:val="502"/>
        </w:trPr>
        <w:tc>
          <w:tcPr>
            <w:tcW w:w="3413" w:type="dxa"/>
            <w:tcBorders>
              <w:top w:val="single" w:sz="4" w:space="0" w:color="999999"/>
              <w:bottom w:val="single" w:sz="4" w:space="0" w:color="auto"/>
            </w:tcBorders>
            <w:tcMar>
              <w:top w:w="14" w:type="dxa"/>
              <w:left w:w="43" w:type="dxa"/>
              <w:bottom w:w="14" w:type="dxa"/>
              <w:right w:w="43" w:type="dxa"/>
            </w:tcMar>
            <w:vAlign w:val="center"/>
          </w:tcPr>
          <w:p w14:paraId="532670F9" w14:textId="77777777" w:rsidR="00F37F0F" w:rsidRDefault="00F37F0F" w:rsidP="003A385F">
            <w:pPr>
              <w:pStyle w:val="Header"/>
              <w:rPr>
                <w:rFonts w:cs="Arial"/>
                <w:sz w:val="17"/>
                <w:szCs w:val="17"/>
              </w:rPr>
            </w:pPr>
            <w:r>
              <w:rPr>
                <w:rFonts w:cs="Arial"/>
                <w:sz w:val="17"/>
                <w:szCs w:val="17"/>
              </w:rPr>
              <w:t>My suggestions about safety would be acted upon if I expressed them to management.</w:t>
            </w:r>
          </w:p>
        </w:tc>
        <w:tc>
          <w:tcPr>
            <w:tcW w:w="1280" w:type="dxa"/>
            <w:tcBorders>
              <w:top w:val="single" w:sz="4" w:space="0" w:color="999999"/>
              <w:bottom w:val="single" w:sz="4" w:space="0" w:color="auto"/>
            </w:tcBorders>
            <w:tcMar>
              <w:top w:w="14" w:type="dxa"/>
              <w:left w:w="43" w:type="dxa"/>
              <w:bottom w:w="14" w:type="dxa"/>
              <w:right w:w="43" w:type="dxa"/>
            </w:tcMar>
            <w:vAlign w:val="center"/>
          </w:tcPr>
          <w:p w14:paraId="04C8EBAF" w14:textId="77777777" w:rsidR="00F37F0F" w:rsidRDefault="00F37F0F" w:rsidP="003A385F">
            <w:pPr>
              <w:jc w:val="center"/>
              <w:rPr>
                <w:rFonts w:cs="Arial"/>
                <w:sz w:val="20"/>
              </w:rPr>
            </w:pPr>
            <w:r>
              <w:rPr>
                <w:rFonts w:cs="Arial"/>
                <w:sz w:val="20"/>
              </w:rPr>
              <w:t>.383</w:t>
            </w:r>
          </w:p>
        </w:tc>
        <w:tc>
          <w:tcPr>
            <w:tcW w:w="1281" w:type="dxa"/>
            <w:tcBorders>
              <w:top w:val="single" w:sz="4" w:space="0" w:color="999999"/>
              <w:bottom w:val="single" w:sz="4" w:space="0" w:color="auto"/>
            </w:tcBorders>
            <w:tcMar>
              <w:top w:w="14" w:type="dxa"/>
              <w:left w:w="43" w:type="dxa"/>
              <w:bottom w:w="14" w:type="dxa"/>
              <w:right w:w="43" w:type="dxa"/>
            </w:tcMar>
            <w:vAlign w:val="center"/>
          </w:tcPr>
          <w:p w14:paraId="2B064947" w14:textId="77777777" w:rsidR="00F37F0F" w:rsidRDefault="00F37F0F" w:rsidP="003A385F">
            <w:pPr>
              <w:jc w:val="center"/>
              <w:rPr>
                <w:rFonts w:cs="Arial"/>
                <w:sz w:val="20"/>
              </w:rPr>
            </w:pPr>
          </w:p>
        </w:tc>
        <w:tc>
          <w:tcPr>
            <w:tcW w:w="1280" w:type="dxa"/>
            <w:tcBorders>
              <w:top w:val="single" w:sz="4" w:space="0" w:color="999999"/>
              <w:bottom w:val="single" w:sz="4" w:space="0" w:color="auto"/>
            </w:tcBorders>
            <w:vAlign w:val="center"/>
          </w:tcPr>
          <w:p w14:paraId="2B36052E" w14:textId="77777777" w:rsidR="00F37F0F" w:rsidRDefault="00F37F0F" w:rsidP="003A385F">
            <w:pPr>
              <w:jc w:val="center"/>
              <w:rPr>
                <w:rFonts w:cs="Arial"/>
                <w:sz w:val="20"/>
              </w:rPr>
            </w:pPr>
            <w:r>
              <w:rPr>
                <w:rFonts w:cs="Arial"/>
                <w:sz w:val="20"/>
              </w:rPr>
              <w:t>-.442</w:t>
            </w:r>
          </w:p>
        </w:tc>
      </w:tr>
      <w:tr w:rsidR="00F37F0F" w14:paraId="11FC3FCE" w14:textId="77777777" w:rsidTr="00D6411D">
        <w:trPr>
          <w:gridAfter w:val="1"/>
          <w:wAfter w:w="29" w:type="dxa"/>
          <w:trHeight w:hRule="exact" w:val="860"/>
        </w:trPr>
        <w:tc>
          <w:tcPr>
            <w:tcW w:w="7253" w:type="dxa"/>
            <w:gridSpan w:val="4"/>
            <w:tcBorders>
              <w:left w:val="nil"/>
              <w:bottom w:val="nil"/>
              <w:right w:val="nil"/>
            </w:tcBorders>
            <w:tcMar>
              <w:top w:w="14" w:type="dxa"/>
              <w:left w:w="43" w:type="dxa"/>
              <w:bottom w:w="14" w:type="dxa"/>
              <w:right w:w="43" w:type="dxa"/>
            </w:tcMar>
            <w:vAlign w:val="bottom"/>
          </w:tcPr>
          <w:p w14:paraId="69664859" w14:textId="77777777" w:rsidR="00F37F0F" w:rsidRDefault="00F37F0F" w:rsidP="003A385F">
            <w:pPr>
              <w:rPr>
                <w:rFonts w:cs="Arial"/>
                <w:sz w:val="17"/>
                <w:szCs w:val="17"/>
              </w:rPr>
            </w:pPr>
            <w:r>
              <w:rPr>
                <w:rFonts w:cs="Arial"/>
                <w:sz w:val="17"/>
                <w:szCs w:val="17"/>
                <w:vertAlign w:val="superscript"/>
              </w:rPr>
              <w:t xml:space="preserve">1 </w:t>
            </w:r>
            <w:r>
              <w:rPr>
                <w:rFonts w:cs="Arial"/>
                <w:sz w:val="17"/>
                <w:szCs w:val="17"/>
              </w:rPr>
              <w:t>Pattern matrix generated using principal components extraction and oblique rotation</w:t>
            </w:r>
          </w:p>
          <w:p w14:paraId="13F27FA9" w14:textId="77777777" w:rsidR="00F37F0F" w:rsidRDefault="00F37F0F" w:rsidP="003A385F">
            <w:pPr>
              <w:rPr>
                <w:rFonts w:cs="Arial"/>
                <w:sz w:val="17"/>
                <w:szCs w:val="17"/>
              </w:rPr>
            </w:pPr>
            <w:r>
              <w:rPr>
                <w:rFonts w:cs="Arial"/>
                <w:sz w:val="17"/>
                <w:szCs w:val="17"/>
                <w:vertAlign w:val="superscript"/>
              </w:rPr>
              <w:t xml:space="preserve">2 </w:t>
            </w:r>
            <w:r>
              <w:rPr>
                <w:rFonts w:cs="Arial"/>
                <w:sz w:val="17"/>
                <w:szCs w:val="17"/>
              </w:rPr>
              <w:t>Factor loadings under .300 omitted for clarity</w:t>
            </w:r>
          </w:p>
          <w:p w14:paraId="59183D80" w14:textId="77777777" w:rsidR="00F37F0F" w:rsidRDefault="00F37F0F" w:rsidP="003A385F">
            <w:pPr>
              <w:rPr>
                <w:rFonts w:cs="Arial"/>
                <w:sz w:val="20"/>
              </w:rPr>
            </w:pPr>
          </w:p>
        </w:tc>
      </w:tr>
    </w:tbl>
    <w:p w14:paraId="15286F52" w14:textId="77777777" w:rsidR="00F37F0F" w:rsidRDefault="00F37F0F" w:rsidP="00F37F0F">
      <w:pPr>
        <w:ind w:right="-781"/>
        <w:rPr>
          <w:rFonts w:cs="Arial"/>
          <w:sz w:val="17"/>
          <w:szCs w:val="17"/>
        </w:rPr>
      </w:pPr>
    </w:p>
    <w:p w14:paraId="4B435A14" w14:textId="77777777" w:rsidR="00F37F0F" w:rsidRDefault="00F37F0F" w:rsidP="00F37F0F">
      <w:pPr>
        <w:ind w:left="-709"/>
        <w:rPr>
          <w:rFonts w:cs="Arial"/>
          <w:b/>
        </w:rPr>
      </w:pPr>
      <w:r>
        <w:br w:type="page"/>
      </w:r>
      <w:r>
        <w:rPr>
          <w:rFonts w:cs="Arial"/>
          <w:b/>
        </w:rPr>
        <w:lastRenderedPageBreak/>
        <w:t>Supplementary Table 7: Factor loadings of all 27 items</w:t>
      </w:r>
      <w:r>
        <w:rPr>
          <w:rFonts w:cs="Arial"/>
          <w:b/>
          <w:vertAlign w:val="superscript"/>
        </w:rPr>
        <w:t>1, 2</w:t>
      </w:r>
    </w:p>
    <w:tbl>
      <w:tblPr>
        <w:tblpPr w:leftFromText="180" w:rightFromText="180" w:vertAnchor="text" w:horzAnchor="margin" w:tblpXSpec="center" w:tblpY="9"/>
        <w:tblW w:w="8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44"/>
        <w:gridCol w:w="1179"/>
        <w:gridCol w:w="849"/>
        <w:gridCol w:w="850"/>
        <w:gridCol w:w="849"/>
        <w:gridCol w:w="708"/>
        <w:gridCol w:w="30"/>
      </w:tblGrid>
      <w:tr w:rsidR="00F37F0F" w14:paraId="17CD0FB2" w14:textId="77777777" w:rsidTr="00632A06">
        <w:trPr>
          <w:gridAfter w:val="1"/>
          <w:wAfter w:w="30" w:type="dxa"/>
          <w:trHeight w:hRule="exact" w:val="591"/>
        </w:trPr>
        <w:tc>
          <w:tcPr>
            <w:tcW w:w="3544" w:type="dxa"/>
            <w:tcBorders>
              <w:top w:val="nil"/>
              <w:left w:val="nil"/>
              <w:bottom w:val="single" w:sz="4" w:space="0" w:color="auto"/>
            </w:tcBorders>
            <w:tcMar>
              <w:top w:w="11" w:type="dxa"/>
              <w:left w:w="45" w:type="dxa"/>
              <w:bottom w:w="11" w:type="dxa"/>
              <w:right w:w="45" w:type="dxa"/>
            </w:tcMar>
            <w:vAlign w:val="center"/>
          </w:tcPr>
          <w:p w14:paraId="71E3A16E" w14:textId="77777777" w:rsidR="00F37F0F" w:rsidRDefault="00F37F0F" w:rsidP="003A385F">
            <w:pPr>
              <w:pStyle w:val="Header"/>
              <w:rPr>
                <w:rFonts w:cs="Arial"/>
                <w:sz w:val="17"/>
                <w:szCs w:val="17"/>
              </w:rPr>
            </w:pPr>
          </w:p>
        </w:tc>
        <w:tc>
          <w:tcPr>
            <w:tcW w:w="1179" w:type="dxa"/>
            <w:tcBorders>
              <w:bottom w:val="single" w:sz="4" w:space="0" w:color="auto"/>
            </w:tcBorders>
            <w:tcMar>
              <w:top w:w="11" w:type="dxa"/>
              <w:left w:w="45" w:type="dxa"/>
              <w:bottom w:w="11" w:type="dxa"/>
              <w:right w:w="45" w:type="dxa"/>
            </w:tcMar>
          </w:tcPr>
          <w:p w14:paraId="44B4F5F1" w14:textId="77777777" w:rsidR="00F37F0F" w:rsidRDefault="00F37F0F" w:rsidP="003A385F">
            <w:pPr>
              <w:rPr>
                <w:rFonts w:cs="Arial"/>
                <w:sz w:val="17"/>
                <w:szCs w:val="17"/>
                <w:lang w:val="en-US"/>
              </w:rPr>
            </w:pPr>
            <w:r>
              <w:rPr>
                <w:rFonts w:cs="Arial"/>
                <w:b/>
                <w:sz w:val="17"/>
                <w:szCs w:val="17"/>
                <w:lang w:val="en-US"/>
              </w:rPr>
              <w:t>Factor 1 (TW)</w:t>
            </w:r>
          </w:p>
        </w:tc>
        <w:tc>
          <w:tcPr>
            <w:tcW w:w="849" w:type="dxa"/>
            <w:tcBorders>
              <w:bottom w:val="single" w:sz="4" w:space="0" w:color="auto"/>
            </w:tcBorders>
            <w:tcMar>
              <w:top w:w="11" w:type="dxa"/>
              <w:left w:w="45" w:type="dxa"/>
              <w:bottom w:w="11" w:type="dxa"/>
              <w:right w:w="45" w:type="dxa"/>
            </w:tcMar>
          </w:tcPr>
          <w:p w14:paraId="6D4BF77D" w14:textId="77777777" w:rsidR="00F37F0F" w:rsidRDefault="00F37F0F" w:rsidP="003A385F">
            <w:pPr>
              <w:rPr>
                <w:rFonts w:cs="Arial"/>
                <w:sz w:val="17"/>
                <w:szCs w:val="17"/>
                <w:lang w:val="en-US"/>
              </w:rPr>
            </w:pPr>
            <w:r>
              <w:rPr>
                <w:rFonts w:cs="Arial"/>
                <w:b/>
                <w:sz w:val="17"/>
                <w:szCs w:val="17"/>
                <w:lang w:val="en-US"/>
              </w:rPr>
              <w:t>Factor 2 (TW)</w:t>
            </w:r>
          </w:p>
        </w:tc>
        <w:tc>
          <w:tcPr>
            <w:tcW w:w="850" w:type="dxa"/>
            <w:tcBorders>
              <w:bottom w:val="single" w:sz="4" w:space="0" w:color="auto"/>
            </w:tcBorders>
            <w:tcMar>
              <w:top w:w="11" w:type="dxa"/>
              <w:left w:w="45" w:type="dxa"/>
              <w:bottom w:w="11" w:type="dxa"/>
              <w:right w:w="45" w:type="dxa"/>
            </w:tcMar>
          </w:tcPr>
          <w:p w14:paraId="1662678E" w14:textId="77777777" w:rsidR="00F37F0F" w:rsidRDefault="00F37F0F" w:rsidP="003A385F">
            <w:pPr>
              <w:rPr>
                <w:rFonts w:cs="Arial"/>
                <w:sz w:val="17"/>
                <w:szCs w:val="17"/>
                <w:lang w:val="en-US"/>
              </w:rPr>
            </w:pPr>
            <w:r>
              <w:rPr>
                <w:rFonts w:cs="Arial"/>
                <w:b/>
                <w:sz w:val="17"/>
                <w:szCs w:val="17"/>
                <w:lang w:val="en-US"/>
              </w:rPr>
              <w:t>Factor 3 (SC)</w:t>
            </w:r>
          </w:p>
        </w:tc>
        <w:tc>
          <w:tcPr>
            <w:tcW w:w="849" w:type="dxa"/>
            <w:tcBorders>
              <w:bottom w:val="single" w:sz="4" w:space="0" w:color="auto"/>
            </w:tcBorders>
            <w:tcMar>
              <w:top w:w="11" w:type="dxa"/>
              <w:left w:w="45" w:type="dxa"/>
              <w:bottom w:w="11" w:type="dxa"/>
              <w:right w:w="45" w:type="dxa"/>
            </w:tcMar>
          </w:tcPr>
          <w:p w14:paraId="582B70DA" w14:textId="77777777" w:rsidR="00F37F0F" w:rsidRDefault="00F37F0F" w:rsidP="003A385F">
            <w:pPr>
              <w:rPr>
                <w:rFonts w:cs="Arial"/>
                <w:sz w:val="17"/>
                <w:szCs w:val="17"/>
                <w:lang w:val="en-US"/>
              </w:rPr>
            </w:pPr>
            <w:r>
              <w:rPr>
                <w:rFonts w:cs="Arial"/>
                <w:b/>
                <w:sz w:val="17"/>
                <w:szCs w:val="17"/>
                <w:lang w:val="en-US"/>
              </w:rPr>
              <w:t>Factor 4 (SC)</w:t>
            </w:r>
          </w:p>
        </w:tc>
        <w:tc>
          <w:tcPr>
            <w:tcW w:w="708" w:type="dxa"/>
            <w:tcBorders>
              <w:bottom w:val="single" w:sz="4" w:space="0" w:color="auto"/>
            </w:tcBorders>
            <w:tcMar>
              <w:top w:w="11" w:type="dxa"/>
              <w:left w:w="45" w:type="dxa"/>
              <w:bottom w:w="11" w:type="dxa"/>
              <w:right w:w="45" w:type="dxa"/>
            </w:tcMar>
          </w:tcPr>
          <w:p w14:paraId="159532DD" w14:textId="77777777" w:rsidR="00F37F0F" w:rsidRDefault="00F37F0F" w:rsidP="003A385F">
            <w:pPr>
              <w:rPr>
                <w:rFonts w:cs="Arial"/>
                <w:sz w:val="17"/>
                <w:szCs w:val="17"/>
                <w:lang w:val="en-US"/>
              </w:rPr>
            </w:pPr>
            <w:r>
              <w:rPr>
                <w:rFonts w:cs="Arial"/>
                <w:b/>
                <w:sz w:val="17"/>
                <w:szCs w:val="17"/>
                <w:lang w:val="en-US"/>
              </w:rPr>
              <w:t>Factor 5 (neg)</w:t>
            </w:r>
          </w:p>
        </w:tc>
      </w:tr>
      <w:tr w:rsidR="00F37F0F" w14:paraId="2A3BAEF3" w14:textId="77777777" w:rsidTr="00632A06">
        <w:trPr>
          <w:gridAfter w:val="1"/>
          <w:wAfter w:w="30" w:type="dxa"/>
          <w:trHeight w:hRule="exact" w:val="418"/>
        </w:trPr>
        <w:tc>
          <w:tcPr>
            <w:tcW w:w="3544" w:type="dxa"/>
            <w:tcBorders>
              <w:bottom w:val="single" w:sz="4" w:space="0" w:color="C0C0C0"/>
              <w:right w:val="single" w:sz="4" w:space="0" w:color="auto"/>
            </w:tcBorders>
            <w:tcMar>
              <w:top w:w="11" w:type="dxa"/>
              <w:left w:w="45" w:type="dxa"/>
              <w:bottom w:w="11" w:type="dxa"/>
              <w:right w:w="45" w:type="dxa"/>
            </w:tcMar>
            <w:vAlign w:val="center"/>
          </w:tcPr>
          <w:p w14:paraId="30DFD71D" w14:textId="77777777" w:rsidR="00F37F0F" w:rsidRDefault="00F37F0F" w:rsidP="003A385F">
            <w:pPr>
              <w:pStyle w:val="Header"/>
              <w:rPr>
                <w:rFonts w:cs="Arial"/>
                <w:b/>
                <w:sz w:val="20"/>
                <w:lang w:val="en-US"/>
              </w:rPr>
            </w:pPr>
            <w:r>
              <w:rPr>
                <w:rFonts w:cs="Arial"/>
                <w:b/>
                <w:sz w:val="20"/>
                <w:lang w:val="en-US"/>
              </w:rPr>
              <w:t>Factor 1 (Teamwork)</w:t>
            </w:r>
          </w:p>
        </w:tc>
        <w:tc>
          <w:tcPr>
            <w:tcW w:w="1179" w:type="dxa"/>
            <w:tcBorders>
              <w:left w:val="single" w:sz="4" w:space="0" w:color="auto"/>
              <w:bottom w:val="single" w:sz="4" w:space="0" w:color="C0C0C0"/>
              <w:right w:val="single" w:sz="4" w:space="0" w:color="auto"/>
            </w:tcBorders>
            <w:tcMar>
              <w:top w:w="11" w:type="dxa"/>
              <w:left w:w="45" w:type="dxa"/>
              <w:bottom w:w="11" w:type="dxa"/>
              <w:right w:w="45" w:type="dxa"/>
            </w:tcMar>
            <w:vAlign w:val="center"/>
          </w:tcPr>
          <w:p w14:paraId="164C36E6" w14:textId="77777777" w:rsidR="00F37F0F" w:rsidRDefault="00F37F0F" w:rsidP="003A385F">
            <w:pPr>
              <w:jc w:val="center"/>
              <w:rPr>
                <w:rFonts w:cs="Arial"/>
                <w:sz w:val="17"/>
                <w:szCs w:val="17"/>
              </w:rPr>
            </w:pPr>
          </w:p>
        </w:tc>
        <w:tc>
          <w:tcPr>
            <w:tcW w:w="849" w:type="dxa"/>
            <w:tcBorders>
              <w:left w:val="single" w:sz="4" w:space="0" w:color="auto"/>
              <w:bottom w:val="single" w:sz="4" w:space="0" w:color="C0C0C0"/>
              <w:right w:val="single" w:sz="4" w:space="0" w:color="auto"/>
            </w:tcBorders>
            <w:tcMar>
              <w:top w:w="11" w:type="dxa"/>
              <w:left w:w="45" w:type="dxa"/>
              <w:bottom w:w="11" w:type="dxa"/>
              <w:right w:w="45" w:type="dxa"/>
            </w:tcMar>
            <w:vAlign w:val="center"/>
          </w:tcPr>
          <w:p w14:paraId="04E2D459" w14:textId="77777777" w:rsidR="00F37F0F" w:rsidRDefault="00F37F0F" w:rsidP="003A385F">
            <w:pPr>
              <w:jc w:val="center"/>
              <w:rPr>
                <w:rFonts w:cs="Arial"/>
                <w:sz w:val="17"/>
                <w:szCs w:val="17"/>
              </w:rPr>
            </w:pPr>
          </w:p>
        </w:tc>
        <w:tc>
          <w:tcPr>
            <w:tcW w:w="850" w:type="dxa"/>
            <w:tcBorders>
              <w:left w:val="single" w:sz="4" w:space="0" w:color="auto"/>
              <w:bottom w:val="single" w:sz="4" w:space="0" w:color="C0C0C0"/>
            </w:tcBorders>
            <w:tcMar>
              <w:top w:w="11" w:type="dxa"/>
              <w:left w:w="45" w:type="dxa"/>
              <w:bottom w:w="11" w:type="dxa"/>
              <w:right w:w="45" w:type="dxa"/>
            </w:tcMar>
            <w:vAlign w:val="center"/>
          </w:tcPr>
          <w:p w14:paraId="0CF9160E" w14:textId="77777777" w:rsidR="00F37F0F" w:rsidRDefault="00F37F0F" w:rsidP="003A385F">
            <w:pPr>
              <w:jc w:val="center"/>
              <w:rPr>
                <w:rFonts w:cs="Arial"/>
                <w:sz w:val="17"/>
                <w:szCs w:val="17"/>
              </w:rPr>
            </w:pPr>
          </w:p>
        </w:tc>
        <w:tc>
          <w:tcPr>
            <w:tcW w:w="849" w:type="dxa"/>
            <w:tcBorders>
              <w:left w:val="single" w:sz="4" w:space="0" w:color="auto"/>
              <w:bottom w:val="single" w:sz="4" w:space="0" w:color="C0C0C0"/>
              <w:right w:val="single" w:sz="4" w:space="0" w:color="auto"/>
            </w:tcBorders>
            <w:tcMar>
              <w:top w:w="11" w:type="dxa"/>
              <w:left w:w="45" w:type="dxa"/>
              <w:bottom w:w="11" w:type="dxa"/>
              <w:right w:w="45" w:type="dxa"/>
            </w:tcMar>
            <w:vAlign w:val="center"/>
          </w:tcPr>
          <w:p w14:paraId="4ACFC1A5" w14:textId="77777777" w:rsidR="00F37F0F" w:rsidRDefault="00F37F0F" w:rsidP="003A385F">
            <w:pPr>
              <w:jc w:val="center"/>
              <w:rPr>
                <w:rFonts w:cs="Arial"/>
                <w:sz w:val="17"/>
                <w:szCs w:val="17"/>
              </w:rPr>
            </w:pPr>
          </w:p>
        </w:tc>
        <w:tc>
          <w:tcPr>
            <w:tcW w:w="708" w:type="dxa"/>
            <w:tcBorders>
              <w:left w:val="single" w:sz="4" w:space="0" w:color="auto"/>
              <w:bottom w:val="single" w:sz="4" w:space="0" w:color="C0C0C0"/>
            </w:tcBorders>
            <w:tcMar>
              <w:top w:w="11" w:type="dxa"/>
              <w:left w:w="45" w:type="dxa"/>
              <w:bottom w:w="11" w:type="dxa"/>
              <w:right w:w="45" w:type="dxa"/>
            </w:tcMar>
            <w:vAlign w:val="center"/>
          </w:tcPr>
          <w:p w14:paraId="1F44B760" w14:textId="77777777" w:rsidR="00F37F0F" w:rsidRDefault="00F37F0F" w:rsidP="003A385F">
            <w:pPr>
              <w:jc w:val="center"/>
              <w:rPr>
                <w:rFonts w:cs="Arial"/>
                <w:sz w:val="17"/>
                <w:szCs w:val="17"/>
              </w:rPr>
            </w:pPr>
          </w:p>
        </w:tc>
      </w:tr>
      <w:tr w:rsidR="00F37F0F" w14:paraId="1ADDB06B" w14:textId="77777777" w:rsidTr="00632A06">
        <w:trPr>
          <w:gridAfter w:val="1"/>
          <w:wAfter w:w="30" w:type="dxa"/>
          <w:trHeight w:hRule="exact" w:val="227"/>
        </w:trPr>
        <w:tc>
          <w:tcPr>
            <w:tcW w:w="3544" w:type="dxa"/>
            <w:tcBorders>
              <w:top w:val="single" w:sz="4" w:space="0" w:color="C0C0C0"/>
              <w:bottom w:val="single" w:sz="4" w:space="0" w:color="C0C0C0"/>
              <w:right w:val="single" w:sz="4" w:space="0" w:color="auto"/>
            </w:tcBorders>
            <w:tcMar>
              <w:top w:w="11" w:type="dxa"/>
              <w:left w:w="45" w:type="dxa"/>
              <w:bottom w:w="11" w:type="dxa"/>
              <w:right w:w="45" w:type="dxa"/>
            </w:tcMar>
            <w:vAlign w:val="center"/>
          </w:tcPr>
          <w:p w14:paraId="4EB36848" w14:textId="77777777" w:rsidR="00F37F0F" w:rsidRDefault="00F37F0F" w:rsidP="003A385F">
            <w:pPr>
              <w:pStyle w:val="Header"/>
              <w:rPr>
                <w:rFonts w:cs="Arial"/>
                <w:sz w:val="17"/>
                <w:szCs w:val="17"/>
              </w:rPr>
            </w:pPr>
            <w:r>
              <w:rPr>
                <w:rFonts w:cs="Arial"/>
                <w:sz w:val="17"/>
                <w:szCs w:val="17"/>
              </w:rPr>
              <w:t>Nurse input is well received where I work.</w:t>
            </w:r>
          </w:p>
        </w:tc>
        <w:tc>
          <w:tcPr>
            <w:tcW w:w="1179" w:type="dxa"/>
            <w:tcBorders>
              <w:top w:val="single" w:sz="4" w:space="0" w:color="C0C0C0"/>
              <w:left w:val="single" w:sz="4" w:space="0" w:color="auto"/>
              <w:bottom w:val="single" w:sz="4" w:space="0" w:color="C0C0C0"/>
              <w:right w:val="single" w:sz="4" w:space="0" w:color="auto"/>
            </w:tcBorders>
            <w:tcMar>
              <w:top w:w="11" w:type="dxa"/>
              <w:left w:w="45" w:type="dxa"/>
              <w:bottom w:w="11" w:type="dxa"/>
              <w:right w:w="45" w:type="dxa"/>
            </w:tcMar>
            <w:vAlign w:val="center"/>
          </w:tcPr>
          <w:p w14:paraId="53B48159" w14:textId="77777777" w:rsidR="00F37F0F" w:rsidRDefault="00F37F0F" w:rsidP="003A385F">
            <w:pPr>
              <w:jc w:val="center"/>
              <w:rPr>
                <w:rFonts w:cs="Arial"/>
                <w:sz w:val="17"/>
                <w:szCs w:val="17"/>
              </w:rPr>
            </w:pPr>
            <w:r>
              <w:rPr>
                <w:rFonts w:cs="Arial"/>
                <w:sz w:val="17"/>
                <w:szCs w:val="17"/>
              </w:rPr>
              <w:t>.591</w:t>
            </w:r>
          </w:p>
        </w:tc>
        <w:tc>
          <w:tcPr>
            <w:tcW w:w="849" w:type="dxa"/>
            <w:tcBorders>
              <w:top w:val="single" w:sz="4" w:space="0" w:color="C0C0C0"/>
              <w:left w:val="single" w:sz="4" w:space="0" w:color="auto"/>
              <w:bottom w:val="single" w:sz="4" w:space="0" w:color="C0C0C0"/>
              <w:right w:val="single" w:sz="4" w:space="0" w:color="auto"/>
            </w:tcBorders>
            <w:tcMar>
              <w:top w:w="11" w:type="dxa"/>
              <w:left w:w="45" w:type="dxa"/>
              <w:bottom w:w="11" w:type="dxa"/>
              <w:right w:w="45" w:type="dxa"/>
            </w:tcMar>
            <w:vAlign w:val="center"/>
          </w:tcPr>
          <w:p w14:paraId="4ED32273" w14:textId="77777777" w:rsidR="00F37F0F" w:rsidRDefault="00F37F0F" w:rsidP="003A385F">
            <w:pPr>
              <w:jc w:val="center"/>
              <w:rPr>
                <w:rFonts w:cs="Arial"/>
                <w:sz w:val="17"/>
                <w:szCs w:val="17"/>
              </w:rPr>
            </w:pPr>
          </w:p>
        </w:tc>
        <w:tc>
          <w:tcPr>
            <w:tcW w:w="850" w:type="dxa"/>
            <w:tcBorders>
              <w:top w:val="single" w:sz="4" w:space="0" w:color="C0C0C0"/>
              <w:left w:val="single" w:sz="4" w:space="0" w:color="auto"/>
              <w:bottom w:val="single" w:sz="4" w:space="0" w:color="C0C0C0"/>
            </w:tcBorders>
            <w:tcMar>
              <w:top w:w="11" w:type="dxa"/>
              <w:left w:w="45" w:type="dxa"/>
              <w:bottom w:w="11" w:type="dxa"/>
              <w:right w:w="45" w:type="dxa"/>
            </w:tcMar>
            <w:vAlign w:val="center"/>
          </w:tcPr>
          <w:p w14:paraId="14DD7DEE" w14:textId="77777777" w:rsidR="00F37F0F" w:rsidRDefault="00F37F0F" w:rsidP="003A385F">
            <w:pPr>
              <w:jc w:val="center"/>
              <w:rPr>
                <w:rFonts w:cs="Arial"/>
                <w:sz w:val="17"/>
                <w:szCs w:val="17"/>
              </w:rPr>
            </w:pPr>
          </w:p>
        </w:tc>
        <w:tc>
          <w:tcPr>
            <w:tcW w:w="849" w:type="dxa"/>
            <w:tcBorders>
              <w:top w:val="single" w:sz="4" w:space="0" w:color="C0C0C0"/>
              <w:left w:val="single" w:sz="4" w:space="0" w:color="auto"/>
              <w:bottom w:val="single" w:sz="4" w:space="0" w:color="C0C0C0"/>
              <w:right w:val="single" w:sz="4" w:space="0" w:color="auto"/>
            </w:tcBorders>
            <w:tcMar>
              <w:top w:w="11" w:type="dxa"/>
              <w:left w:w="45" w:type="dxa"/>
              <w:bottom w:w="11" w:type="dxa"/>
              <w:right w:w="45" w:type="dxa"/>
            </w:tcMar>
            <w:vAlign w:val="center"/>
          </w:tcPr>
          <w:p w14:paraId="1034D95F" w14:textId="77777777" w:rsidR="00F37F0F" w:rsidRDefault="00F37F0F" w:rsidP="003A385F">
            <w:pPr>
              <w:jc w:val="center"/>
              <w:rPr>
                <w:rFonts w:cs="Arial"/>
                <w:sz w:val="17"/>
                <w:szCs w:val="17"/>
              </w:rPr>
            </w:pPr>
          </w:p>
        </w:tc>
        <w:tc>
          <w:tcPr>
            <w:tcW w:w="708" w:type="dxa"/>
            <w:tcBorders>
              <w:top w:val="single" w:sz="4" w:space="0" w:color="C0C0C0"/>
              <w:left w:val="single" w:sz="4" w:space="0" w:color="auto"/>
              <w:bottom w:val="single" w:sz="4" w:space="0" w:color="C0C0C0"/>
            </w:tcBorders>
            <w:tcMar>
              <w:top w:w="11" w:type="dxa"/>
              <w:left w:w="45" w:type="dxa"/>
              <w:bottom w:w="11" w:type="dxa"/>
              <w:right w:w="45" w:type="dxa"/>
            </w:tcMar>
            <w:vAlign w:val="center"/>
          </w:tcPr>
          <w:p w14:paraId="5683D70B" w14:textId="77777777" w:rsidR="00F37F0F" w:rsidRDefault="00F37F0F" w:rsidP="003A385F">
            <w:pPr>
              <w:jc w:val="center"/>
              <w:rPr>
                <w:rFonts w:cs="Arial"/>
                <w:sz w:val="17"/>
                <w:szCs w:val="17"/>
              </w:rPr>
            </w:pPr>
          </w:p>
        </w:tc>
      </w:tr>
      <w:tr w:rsidR="00F37F0F" w14:paraId="13888BD0" w14:textId="77777777" w:rsidTr="00632A06">
        <w:trPr>
          <w:gridAfter w:val="1"/>
          <w:wAfter w:w="30" w:type="dxa"/>
          <w:trHeight w:hRule="exact" w:val="227"/>
        </w:trPr>
        <w:tc>
          <w:tcPr>
            <w:tcW w:w="3544" w:type="dxa"/>
            <w:tcBorders>
              <w:top w:val="single" w:sz="4" w:space="0" w:color="C0C0C0"/>
              <w:bottom w:val="single" w:sz="4" w:space="0" w:color="C0C0C0"/>
              <w:right w:val="single" w:sz="4" w:space="0" w:color="auto"/>
            </w:tcBorders>
            <w:tcMar>
              <w:top w:w="11" w:type="dxa"/>
              <w:left w:w="45" w:type="dxa"/>
              <w:bottom w:w="11" w:type="dxa"/>
              <w:right w:w="45" w:type="dxa"/>
            </w:tcMar>
            <w:vAlign w:val="center"/>
          </w:tcPr>
          <w:p w14:paraId="45C5B02B" w14:textId="77777777" w:rsidR="00F37F0F" w:rsidRDefault="00F37F0F" w:rsidP="003A385F">
            <w:pPr>
              <w:pStyle w:val="Header"/>
              <w:rPr>
                <w:rFonts w:cs="Arial"/>
                <w:sz w:val="17"/>
                <w:szCs w:val="17"/>
              </w:rPr>
            </w:pPr>
            <w:r>
              <w:rPr>
                <w:rFonts w:cs="Arial"/>
                <w:sz w:val="17"/>
                <w:szCs w:val="17"/>
              </w:rPr>
              <w:t>Decision-making where I work uses input from relevant staff.</w:t>
            </w:r>
          </w:p>
        </w:tc>
        <w:tc>
          <w:tcPr>
            <w:tcW w:w="1179" w:type="dxa"/>
            <w:tcBorders>
              <w:top w:val="single" w:sz="4" w:space="0" w:color="C0C0C0"/>
              <w:left w:val="single" w:sz="4" w:space="0" w:color="auto"/>
              <w:bottom w:val="single" w:sz="4" w:space="0" w:color="C0C0C0"/>
              <w:right w:val="single" w:sz="4" w:space="0" w:color="auto"/>
            </w:tcBorders>
            <w:tcMar>
              <w:top w:w="11" w:type="dxa"/>
              <w:left w:w="45" w:type="dxa"/>
              <w:bottom w:w="11" w:type="dxa"/>
              <w:right w:w="45" w:type="dxa"/>
            </w:tcMar>
            <w:vAlign w:val="center"/>
          </w:tcPr>
          <w:p w14:paraId="4C043D68" w14:textId="77777777" w:rsidR="00F37F0F" w:rsidRDefault="00F37F0F" w:rsidP="003A385F">
            <w:pPr>
              <w:jc w:val="center"/>
              <w:rPr>
                <w:rFonts w:cs="Arial"/>
                <w:sz w:val="17"/>
                <w:szCs w:val="17"/>
              </w:rPr>
            </w:pPr>
            <w:r>
              <w:rPr>
                <w:rFonts w:cs="Arial"/>
                <w:sz w:val="17"/>
                <w:szCs w:val="17"/>
              </w:rPr>
              <w:t>.632</w:t>
            </w:r>
          </w:p>
        </w:tc>
        <w:tc>
          <w:tcPr>
            <w:tcW w:w="849" w:type="dxa"/>
            <w:tcBorders>
              <w:top w:val="single" w:sz="4" w:space="0" w:color="C0C0C0"/>
              <w:left w:val="single" w:sz="4" w:space="0" w:color="auto"/>
              <w:bottom w:val="single" w:sz="4" w:space="0" w:color="C0C0C0"/>
              <w:right w:val="single" w:sz="4" w:space="0" w:color="auto"/>
            </w:tcBorders>
            <w:tcMar>
              <w:top w:w="11" w:type="dxa"/>
              <w:left w:w="45" w:type="dxa"/>
              <w:bottom w:w="11" w:type="dxa"/>
              <w:right w:w="45" w:type="dxa"/>
            </w:tcMar>
            <w:vAlign w:val="center"/>
          </w:tcPr>
          <w:p w14:paraId="59B4AC2D" w14:textId="77777777" w:rsidR="00F37F0F" w:rsidRDefault="00F37F0F" w:rsidP="003A385F">
            <w:pPr>
              <w:jc w:val="center"/>
              <w:rPr>
                <w:rFonts w:cs="Arial"/>
                <w:sz w:val="17"/>
                <w:szCs w:val="17"/>
              </w:rPr>
            </w:pPr>
          </w:p>
        </w:tc>
        <w:tc>
          <w:tcPr>
            <w:tcW w:w="850" w:type="dxa"/>
            <w:tcBorders>
              <w:top w:val="single" w:sz="4" w:space="0" w:color="C0C0C0"/>
              <w:left w:val="single" w:sz="4" w:space="0" w:color="auto"/>
              <w:bottom w:val="single" w:sz="4" w:space="0" w:color="C0C0C0"/>
            </w:tcBorders>
            <w:tcMar>
              <w:top w:w="11" w:type="dxa"/>
              <w:left w:w="45" w:type="dxa"/>
              <w:bottom w:w="11" w:type="dxa"/>
              <w:right w:w="45" w:type="dxa"/>
            </w:tcMar>
            <w:vAlign w:val="center"/>
          </w:tcPr>
          <w:p w14:paraId="033E1BAF" w14:textId="77777777" w:rsidR="00F37F0F" w:rsidRDefault="00F37F0F" w:rsidP="003A385F">
            <w:pPr>
              <w:jc w:val="center"/>
              <w:rPr>
                <w:rFonts w:cs="Arial"/>
                <w:sz w:val="17"/>
                <w:szCs w:val="17"/>
              </w:rPr>
            </w:pPr>
          </w:p>
        </w:tc>
        <w:tc>
          <w:tcPr>
            <w:tcW w:w="849" w:type="dxa"/>
            <w:tcBorders>
              <w:top w:val="single" w:sz="4" w:space="0" w:color="C0C0C0"/>
              <w:left w:val="single" w:sz="4" w:space="0" w:color="auto"/>
              <w:bottom w:val="single" w:sz="4" w:space="0" w:color="C0C0C0"/>
              <w:right w:val="single" w:sz="4" w:space="0" w:color="auto"/>
            </w:tcBorders>
            <w:tcMar>
              <w:top w:w="11" w:type="dxa"/>
              <w:left w:w="45" w:type="dxa"/>
              <w:bottom w:w="11" w:type="dxa"/>
              <w:right w:w="45" w:type="dxa"/>
            </w:tcMar>
            <w:vAlign w:val="center"/>
          </w:tcPr>
          <w:p w14:paraId="00B8BA2E" w14:textId="77777777" w:rsidR="00F37F0F" w:rsidRDefault="00F37F0F" w:rsidP="003A385F">
            <w:pPr>
              <w:jc w:val="center"/>
              <w:rPr>
                <w:rFonts w:cs="Arial"/>
                <w:sz w:val="17"/>
                <w:szCs w:val="17"/>
              </w:rPr>
            </w:pPr>
          </w:p>
        </w:tc>
        <w:tc>
          <w:tcPr>
            <w:tcW w:w="708" w:type="dxa"/>
            <w:tcBorders>
              <w:top w:val="single" w:sz="4" w:space="0" w:color="C0C0C0"/>
              <w:left w:val="single" w:sz="4" w:space="0" w:color="auto"/>
              <w:bottom w:val="single" w:sz="4" w:space="0" w:color="C0C0C0"/>
            </w:tcBorders>
            <w:tcMar>
              <w:top w:w="11" w:type="dxa"/>
              <w:left w:w="45" w:type="dxa"/>
              <w:bottom w:w="11" w:type="dxa"/>
              <w:right w:w="45" w:type="dxa"/>
            </w:tcMar>
            <w:vAlign w:val="center"/>
          </w:tcPr>
          <w:p w14:paraId="49CB33A1" w14:textId="77777777" w:rsidR="00F37F0F" w:rsidRDefault="00F37F0F" w:rsidP="003A385F">
            <w:pPr>
              <w:jc w:val="center"/>
              <w:rPr>
                <w:rFonts w:cs="Arial"/>
                <w:sz w:val="17"/>
                <w:szCs w:val="17"/>
              </w:rPr>
            </w:pPr>
          </w:p>
        </w:tc>
      </w:tr>
      <w:tr w:rsidR="00F37F0F" w14:paraId="08B71EAD" w14:textId="77777777" w:rsidTr="00632A06">
        <w:trPr>
          <w:gridAfter w:val="1"/>
          <w:wAfter w:w="30" w:type="dxa"/>
          <w:trHeight w:hRule="exact" w:val="227"/>
        </w:trPr>
        <w:tc>
          <w:tcPr>
            <w:tcW w:w="3544" w:type="dxa"/>
            <w:tcBorders>
              <w:top w:val="single" w:sz="4" w:space="0" w:color="C0C0C0"/>
              <w:bottom w:val="single" w:sz="4" w:space="0" w:color="C0C0C0"/>
              <w:right w:val="single" w:sz="4" w:space="0" w:color="auto"/>
            </w:tcBorders>
            <w:tcMar>
              <w:top w:w="11" w:type="dxa"/>
              <w:left w:w="45" w:type="dxa"/>
              <w:bottom w:w="11" w:type="dxa"/>
              <w:right w:w="45" w:type="dxa"/>
            </w:tcMar>
            <w:vAlign w:val="center"/>
          </w:tcPr>
          <w:p w14:paraId="7868799C" w14:textId="77777777" w:rsidR="00F37F0F" w:rsidRDefault="00F37F0F" w:rsidP="003A385F">
            <w:pPr>
              <w:pStyle w:val="Header"/>
              <w:rPr>
                <w:rFonts w:cs="Arial"/>
                <w:sz w:val="17"/>
                <w:szCs w:val="17"/>
              </w:rPr>
            </w:pPr>
            <w:r>
              <w:rPr>
                <w:rFonts w:cs="Arial"/>
                <w:sz w:val="17"/>
                <w:szCs w:val="17"/>
              </w:rPr>
              <w:t>The doctors and nurses here work together as a well co-ordinated team.</w:t>
            </w:r>
          </w:p>
        </w:tc>
        <w:tc>
          <w:tcPr>
            <w:tcW w:w="1179" w:type="dxa"/>
            <w:tcBorders>
              <w:top w:val="single" w:sz="4" w:space="0" w:color="C0C0C0"/>
              <w:left w:val="single" w:sz="4" w:space="0" w:color="auto"/>
              <w:bottom w:val="single" w:sz="4" w:space="0" w:color="C0C0C0"/>
              <w:right w:val="single" w:sz="4" w:space="0" w:color="auto"/>
            </w:tcBorders>
            <w:tcMar>
              <w:top w:w="11" w:type="dxa"/>
              <w:left w:w="45" w:type="dxa"/>
              <w:bottom w:w="11" w:type="dxa"/>
              <w:right w:w="45" w:type="dxa"/>
            </w:tcMar>
            <w:vAlign w:val="center"/>
          </w:tcPr>
          <w:p w14:paraId="5B0E47B6" w14:textId="77777777" w:rsidR="00F37F0F" w:rsidRDefault="00F37F0F" w:rsidP="003A385F">
            <w:pPr>
              <w:jc w:val="center"/>
              <w:rPr>
                <w:rFonts w:cs="Arial"/>
                <w:sz w:val="17"/>
                <w:szCs w:val="17"/>
              </w:rPr>
            </w:pPr>
            <w:r>
              <w:rPr>
                <w:rFonts w:cs="Arial"/>
                <w:sz w:val="17"/>
                <w:szCs w:val="17"/>
              </w:rPr>
              <w:t>.853</w:t>
            </w:r>
          </w:p>
        </w:tc>
        <w:tc>
          <w:tcPr>
            <w:tcW w:w="849" w:type="dxa"/>
            <w:tcBorders>
              <w:top w:val="single" w:sz="4" w:space="0" w:color="C0C0C0"/>
              <w:left w:val="single" w:sz="4" w:space="0" w:color="auto"/>
              <w:bottom w:val="single" w:sz="4" w:space="0" w:color="C0C0C0"/>
              <w:right w:val="single" w:sz="4" w:space="0" w:color="auto"/>
            </w:tcBorders>
            <w:tcMar>
              <w:top w:w="11" w:type="dxa"/>
              <w:left w:w="45" w:type="dxa"/>
              <w:bottom w:w="11" w:type="dxa"/>
              <w:right w:w="45" w:type="dxa"/>
            </w:tcMar>
            <w:vAlign w:val="center"/>
          </w:tcPr>
          <w:p w14:paraId="4DE1FCA4" w14:textId="77777777" w:rsidR="00F37F0F" w:rsidRDefault="00F37F0F" w:rsidP="003A385F">
            <w:pPr>
              <w:jc w:val="center"/>
              <w:rPr>
                <w:rFonts w:cs="Arial"/>
                <w:sz w:val="17"/>
                <w:szCs w:val="17"/>
              </w:rPr>
            </w:pPr>
          </w:p>
        </w:tc>
        <w:tc>
          <w:tcPr>
            <w:tcW w:w="850" w:type="dxa"/>
            <w:tcBorders>
              <w:top w:val="single" w:sz="4" w:space="0" w:color="C0C0C0"/>
              <w:left w:val="single" w:sz="4" w:space="0" w:color="auto"/>
              <w:bottom w:val="single" w:sz="4" w:space="0" w:color="C0C0C0"/>
            </w:tcBorders>
            <w:tcMar>
              <w:top w:w="11" w:type="dxa"/>
              <w:left w:w="45" w:type="dxa"/>
              <w:bottom w:w="11" w:type="dxa"/>
              <w:right w:w="45" w:type="dxa"/>
            </w:tcMar>
            <w:vAlign w:val="center"/>
          </w:tcPr>
          <w:p w14:paraId="71A5EC27" w14:textId="77777777" w:rsidR="00F37F0F" w:rsidRDefault="00F37F0F" w:rsidP="003A385F">
            <w:pPr>
              <w:jc w:val="center"/>
              <w:rPr>
                <w:rFonts w:cs="Arial"/>
                <w:sz w:val="17"/>
                <w:szCs w:val="17"/>
              </w:rPr>
            </w:pPr>
          </w:p>
        </w:tc>
        <w:tc>
          <w:tcPr>
            <w:tcW w:w="849" w:type="dxa"/>
            <w:tcBorders>
              <w:top w:val="single" w:sz="4" w:space="0" w:color="C0C0C0"/>
              <w:left w:val="single" w:sz="4" w:space="0" w:color="auto"/>
              <w:bottom w:val="single" w:sz="4" w:space="0" w:color="C0C0C0"/>
              <w:right w:val="single" w:sz="4" w:space="0" w:color="auto"/>
            </w:tcBorders>
            <w:tcMar>
              <w:top w:w="11" w:type="dxa"/>
              <w:left w:w="45" w:type="dxa"/>
              <w:bottom w:w="11" w:type="dxa"/>
              <w:right w:w="45" w:type="dxa"/>
            </w:tcMar>
            <w:vAlign w:val="center"/>
          </w:tcPr>
          <w:p w14:paraId="05618670" w14:textId="77777777" w:rsidR="00F37F0F" w:rsidRDefault="00F37F0F" w:rsidP="003A385F">
            <w:pPr>
              <w:jc w:val="center"/>
              <w:rPr>
                <w:rFonts w:cs="Arial"/>
                <w:sz w:val="17"/>
                <w:szCs w:val="17"/>
              </w:rPr>
            </w:pPr>
          </w:p>
        </w:tc>
        <w:tc>
          <w:tcPr>
            <w:tcW w:w="708" w:type="dxa"/>
            <w:tcBorders>
              <w:top w:val="single" w:sz="4" w:space="0" w:color="C0C0C0"/>
              <w:left w:val="single" w:sz="4" w:space="0" w:color="auto"/>
              <w:bottom w:val="single" w:sz="4" w:space="0" w:color="C0C0C0"/>
            </w:tcBorders>
            <w:tcMar>
              <w:top w:w="11" w:type="dxa"/>
              <w:left w:w="45" w:type="dxa"/>
              <w:bottom w:w="11" w:type="dxa"/>
              <w:right w:w="45" w:type="dxa"/>
            </w:tcMar>
            <w:vAlign w:val="center"/>
          </w:tcPr>
          <w:p w14:paraId="096F2A51" w14:textId="77777777" w:rsidR="00F37F0F" w:rsidRDefault="00F37F0F" w:rsidP="003A385F">
            <w:pPr>
              <w:jc w:val="center"/>
              <w:rPr>
                <w:rFonts w:cs="Arial"/>
                <w:sz w:val="17"/>
                <w:szCs w:val="17"/>
              </w:rPr>
            </w:pPr>
          </w:p>
        </w:tc>
      </w:tr>
      <w:tr w:rsidR="00F37F0F" w14:paraId="251D332D" w14:textId="77777777" w:rsidTr="00632A06">
        <w:trPr>
          <w:gridAfter w:val="1"/>
          <w:wAfter w:w="30" w:type="dxa"/>
          <w:trHeight w:hRule="exact" w:val="431"/>
        </w:trPr>
        <w:tc>
          <w:tcPr>
            <w:tcW w:w="3544" w:type="dxa"/>
            <w:tcBorders>
              <w:top w:val="single" w:sz="4" w:space="0" w:color="C0C0C0"/>
              <w:bottom w:val="single" w:sz="4" w:space="0" w:color="C0C0C0"/>
              <w:right w:val="single" w:sz="4" w:space="0" w:color="auto"/>
            </w:tcBorders>
            <w:tcMar>
              <w:top w:w="11" w:type="dxa"/>
              <w:left w:w="45" w:type="dxa"/>
              <w:bottom w:w="11" w:type="dxa"/>
              <w:right w:w="45" w:type="dxa"/>
            </w:tcMar>
            <w:vAlign w:val="center"/>
          </w:tcPr>
          <w:p w14:paraId="74207DA1" w14:textId="77777777" w:rsidR="00F37F0F" w:rsidRDefault="00F37F0F" w:rsidP="003A385F">
            <w:pPr>
              <w:pStyle w:val="Header"/>
              <w:rPr>
                <w:rFonts w:cs="Arial"/>
                <w:sz w:val="17"/>
                <w:szCs w:val="17"/>
              </w:rPr>
            </w:pPr>
            <w:r>
              <w:rPr>
                <w:rFonts w:cs="Arial"/>
                <w:sz w:val="17"/>
                <w:szCs w:val="17"/>
              </w:rPr>
              <w:t>Disagreements where I work are resolved appropriately (i.e. not who is right, but what is best for the patient).</w:t>
            </w:r>
          </w:p>
        </w:tc>
        <w:tc>
          <w:tcPr>
            <w:tcW w:w="1179" w:type="dxa"/>
            <w:tcBorders>
              <w:top w:val="single" w:sz="4" w:space="0" w:color="C0C0C0"/>
              <w:left w:val="single" w:sz="4" w:space="0" w:color="auto"/>
              <w:bottom w:val="single" w:sz="4" w:space="0" w:color="C0C0C0"/>
              <w:right w:val="single" w:sz="4" w:space="0" w:color="auto"/>
            </w:tcBorders>
            <w:tcMar>
              <w:top w:w="11" w:type="dxa"/>
              <w:left w:w="45" w:type="dxa"/>
              <w:bottom w:w="11" w:type="dxa"/>
              <w:right w:w="45" w:type="dxa"/>
            </w:tcMar>
            <w:vAlign w:val="center"/>
          </w:tcPr>
          <w:p w14:paraId="1D807ED4" w14:textId="77777777" w:rsidR="00F37F0F" w:rsidRDefault="00F37F0F" w:rsidP="003A385F">
            <w:pPr>
              <w:jc w:val="center"/>
              <w:rPr>
                <w:rFonts w:cs="Arial"/>
                <w:sz w:val="17"/>
                <w:szCs w:val="17"/>
              </w:rPr>
            </w:pPr>
            <w:r>
              <w:rPr>
                <w:rFonts w:cs="Arial"/>
                <w:sz w:val="17"/>
                <w:szCs w:val="17"/>
              </w:rPr>
              <w:t>.597</w:t>
            </w:r>
          </w:p>
        </w:tc>
        <w:tc>
          <w:tcPr>
            <w:tcW w:w="849" w:type="dxa"/>
            <w:tcBorders>
              <w:top w:val="single" w:sz="4" w:space="0" w:color="C0C0C0"/>
              <w:left w:val="single" w:sz="4" w:space="0" w:color="auto"/>
              <w:bottom w:val="single" w:sz="4" w:space="0" w:color="C0C0C0"/>
              <w:right w:val="single" w:sz="4" w:space="0" w:color="auto"/>
            </w:tcBorders>
            <w:tcMar>
              <w:top w:w="11" w:type="dxa"/>
              <w:left w:w="45" w:type="dxa"/>
              <w:bottom w:w="11" w:type="dxa"/>
              <w:right w:w="45" w:type="dxa"/>
            </w:tcMar>
            <w:vAlign w:val="center"/>
          </w:tcPr>
          <w:p w14:paraId="658E4FDF" w14:textId="77777777" w:rsidR="00F37F0F" w:rsidRDefault="00F37F0F" w:rsidP="003A385F">
            <w:pPr>
              <w:jc w:val="center"/>
              <w:rPr>
                <w:rFonts w:cs="Arial"/>
                <w:sz w:val="17"/>
                <w:szCs w:val="17"/>
              </w:rPr>
            </w:pPr>
          </w:p>
        </w:tc>
        <w:tc>
          <w:tcPr>
            <w:tcW w:w="850" w:type="dxa"/>
            <w:tcBorders>
              <w:top w:val="single" w:sz="4" w:space="0" w:color="C0C0C0"/>
              <w:left w:val="single" w:sz="4" w:space="0" w:color="auto"/>
              <w:bottom w:val="single" w:sz="4" w:space="0" w:color="C0C0C0"/>
            </w:tcBorders>
            <w:tcMar>
              <w:top w:w="11" w:type="dxa"/>
              <w:left w:w="45" w:type="dxa"/>
              <w:bottom w:w="11" w:type="dxa"/>
              <w:right w:w="45" w:type="dxa"/>
            </w:tcMar>
            <w:vAlign w:val="center"/>
          </w:tcPr>
          <w:p w14:paraId="1F9B1B72" w14:textId="77777777" w:rsidR="00F37F0F" w:rsidRDefault="00F37F0F" w:rsidP="003A385F">
            <w:pPr>
              <w:jc w:val="center"/>
              <w:rPr>
                <w:rFonts w:cs="Arial"/>
                <w:sz w:val="17"/>
                <w:szCs w:val="17"/>
              </w:rPr>
            </w:pPr>
          </w:p>
        </w:tc>
        <w:tc>
          <w:tcPr>
            <w:tcW w:w="849" w:type="dxa"/>
            <w:tcBorders>
              <w:top w:val="single" w:sz="4" w:space="0" w:color="C0C0C0"/>
              <w:left w:val="single" w:sz="4" w:space="0" w:color="auto"/>
              <w:bottom w:val="single" w:sz="4" w:space="0" w:color="C0C0C0"/>
              <w:right w:val="single" w:sz="4" w:space="0" w:color="auto"/>
            </w:tcBorders>
            <w:tcMar>
              <w:top w:w="11" w:type="dxa"/>
              <w:left w:w="45" w:type="dxa"/>
              <w:bottom w:w="11" w:type="dxa"/>
              <w:right w:w="45" w:type="dxa"/>
            </w:tcMar>
            <w:vAlign w:val="center"/>
          </w:tcPr>
          <w:p w14:paraId="1C789A71" w14:textId="77777777" w:rsidR="00F37F0F" w:rsidRDefault="00F37F0F" w:rsidP="003A385F">
            <w:pPr>
              <w:jc w:val="center"/>
              <w:rPr>
                <w:rFonts w:cs="Arial"/>
                <w:sz w:val="17"/>
                <w:szCs w:val="17"/>
              </w:rPr>
            </w:pPr>
          </w:p>
        </w:tc>
        <w:tc>
          <w:tcPr>
            <w:tcW w:w="708" w:type="dxa"/>
            <w:tcBorders>
              <w:top w:val="single" w:sz="4" w:space="0" w:color="C0C0C0"/>
              <w:left w:val="single" w:sz="4" w:space="0" w:color="auto"/>
              <w:bottom w:val="single" w:sz="4" w:space="0" w:color="C0C0C0"/>
            </w:tcBorders>
            <w:tcMar>
              <w:top w:w="11" w:type="dxa"/>
              <w:left w:w="45" w:type="dxa"/>
              <w:bottom w:w="11" w:type="dxa"/>
              <w:right w:w="45" w:type="dxa"/>
            </w:tcMar>
            <w:vAlign w:val="center"/>
          </w:tcPr>
          <w:p w14:paraId="59C9931A" w14:textId="77777777" w:rsidR="00F37F0F" w:rsidRDefault="00F37F0F" w:rsidP="003A385F">
            <w:pPr>
              <w:jc w:val="center"/>
              <w:rPr>
                <w:rFonts w:cs="Arial"/>
                <w:sz w:val="17"/>
                <w:szCs w:val="17"/>
              </w:rPr>
            </w:pPr>
          </w:p>
        </w:tc>
      </w:tr>
      <w:tr w:rsidR="00F37F0F" w14:paraId="2ECDDE8A" w14:textId="77777777" w:rsidTr="00632A06">
        <w:trPr>
          <w:gridAfter w:val="1"/>
          <w:wAfter w:w="30" w:type="dxa"/>
          <w:trHeight w:hRule="exact" w:val="239"/>
        </w:trPr>
        <w:tc>
          <w:tcPr>
            <w:tcW w:w="3544" w:type="dxa"/>
            <w:tcBorders>
              <w:top w:val="single" w:sz="4" w:space="0" w:color="C0C0C0"/>
              <w:bottom w:val="single" w:sz="4" w:space="0" w:color="C0C0C0"/>
              <w:right w:val="single" w:sz="4" w:space="0" w:color="auto"/>
            </w:tcBorders>
            <w:tcMar>
              <w:top w:w="11" w:type="dxa"/>
              <w:left w:w="45" w:type="dxa"/>
              <w:bottom w:w="11" w:type="dxa"/>
              <w:right w:w="45" w:type="dxa"/>
            </w:tcMar>
            <w:vAlign w:val="center"/>
          </w:tcPr>
          <w:p w14:paraId="6C40F9F2" w14:textId="77777777" w:rsidR="00F37F0F" w:rsidRDefault="00F37F0F" w:rsidP="003A385F">
            <w:pPr>
              <w:pStyle w:val="Header"/>
              <w:rPr>
                <w:rFonts w:cs="Arial"/>
                <w:sz w:val="17"/>
                <w:szCs w:val="17"/>
              </w:rPr>
            </w:pPr>
            <w:r>
              <w:rPr>
                <w:rFonts w:cs="Arial"/>
                <w:sz w:val="17"/>
                <w:szCs w:val="17"/>
              </w:rPr>
              <w:t>I have the support I need from other staff to care for patients.</w:t>
            </w:r>
          </w:p>
        </w:tc>
        <w:tc>
          <w:tcPr>
            <w:tcW w:w="1179" w:type="dxa"/>
            <w:tcBorders>
              <w:top w:val="single" w:sz="4" w:space="0" w:color="C0C0C0"/>
              <w:left w:val="single" w:sz="4" w:space="0" w:color="auto"/>
              <w:bottom w:val="single" w:sz="4" w:space="0" w:color="C0C0C0"/>
              <w:right w:val="single" w:sz="4" w:space="0" w:color="auto"/>
            </w:tcBorders>
            <w:tcMar>
              <w:top w:w="11" w:type="dxa"/>
              <w:left w:w="45" w:type="dxa"/>
              <w:bottom w:w="11" w:type="dxa"/>
              <w:right w:w="45" w:type="dxa"/>
            </w:tcMar>
            <w:vAlign w:val="center"/>
          </w:tcPr>
          <w:p w14:paraId="13C1A663" w14:textId="77777777" w:rsidR="00F37F0F" w:rsidRDefault="00F37F0F" w:rsidP="003A385F">
            <w:pPr>
              <w:jc w:val="center"/>
              <w:rPr>
                <w:rFonts w:cs="Arial"/>
                <w:sz w:val="17"/>
                <w:szCs w:val="17"/>
              </w:rPr>
            </w:pPr>
            <w:r>
              <w:rPr>
                <w:rFonts w:cs="Arial"/>
                <w:sz w:val="17"/>
                <w:szCs w:val="17"/>
              </w:rPr>
              <w:t>.419</w:t>
            </w:r>
          </w:p>
        </w:tc>
        <w:tc>
          <w:tcPr>
            <w:tcW w:w="849" w:type="dxa"/>
            <w:tcBorders>
              <w:top w:val="single" w:sz="4" w:space="0" w:color="C0C0C0"/>
              <w:left w:val="single" w:sz="4" w:space="0" w:color="auto"/>
              <w:bottom w:val="single" w:sz="4" w:space="0" w:color="C0C0C0"/>
              <w:right w:val="single" w:sz="4" w:space="0" w:color="auto"/>
            </w:tcBorders>
            <w:tcMar>
              <w:top w:w="11" w:type="dxa"/>
              <w:left w:w="45" w:type="dxa"/>
              <w:bottom w:w="11" w:type="dxa"/>
              <w:right w:w="45" w:type="dxa"/>
            </w:tcMar>
            <w:vAlign w:val="center"/>
          </w:tcPr>
          <w:p w14:paraId="0718E5FB" w14:textId="77777777" w:rsidR="00F37F0F" w:rsidRDefault="00F37F0F" w:rsidP="003A385F">
            <w:pPr>
              <w:jc w:val="center"/>
              <w:rPr>
                <w:rFonts w:cs="Arial"/>
                <w:sz w:val="17"/>
                <w:szCs w:val="17"/>
              </w:rPr>
            </w:pPr>
            <w:r>
              <w:rPr>
                <w:rFonts w:cs="Arial"/>
                <w:sz w:val="17"/>
                <w:szCs w:val="17"/>
              </w:rPr>
              <w:t>.386</w:t>
            </w:r>
          </w:p>
        </w:tc>
        <w:tc>
          <w:tcPr>
            <w:tcW w:w="850" w:type="dxa"/>
            <w:tcBorders>
              <w:top w:val="single" w:sz="4" w:space="0" w:color="C0C0C0"/>
              <w:left w:val="single" w:sz="4" w:space="0" w:color="auto"/>
              <w:bottom w:val="single" w:sz="4" w:space="0" w:color="C0C0C0"/>
            </w:tcBorders>
            <w:tcMar>
              <w:top w:w="11" w:type="dxa"/>
              <w:left w:w="45" w:type="dxa"/>
              <w:bottom w:w="11" w:type="dxa"/>
              <w:right w:w="45" w:type="dxa"/>
            </w:tcMar>
            <w:vAlign w:val="center"/>
          </w:tcPr>
          <w:p w14:paraId="613B82A2" w14:textId="77777777" w:rsidR="00F37F0F" w:rsidRDefault="00F37F0F" w:rsidP="003A385F">
            <w:pPr>
              <w:jc w:val="center"/>
              <w:rPr>
                <w:rFonts w:cs="Arial"/>
                <w:sz w:val="17"/>
                <w:szCs w:val="17"/>
              </w:rPr>
            </w:pPr>
          </w:p>
        </w:tc>
        <w:tc>
          <w:tcPr>
            <w:tcW w:w="849" w:type="dxa"/>
            <w:tcBorders>
              <w:top w:val="single" w:sz="4" w:space="0" w:color="C0C0C0"/>
              <w:left w:val="single" w:sz="4" w:space="0" w:color="auto"/>
              <w:bottom w:val="single" w:sz="4" w:space="0" w:color="C0C0C0"/>
              <w:right w:val="single" w:sz="4" w:space="0" w:color="auto"/>
            </w:tcBorders>
            <w:tcMar>
              <w:top w:w="11" w:type="dxa"/>
              <w:left w:w="45" w:type="dxa"/>
              <w:bottom w:w="11" w:type="dxa"/>
              <w:right w:w="45" w:type="dxa"/>
            </w:tcMar>
            <w:vAlign w:val="center"/>
          </w:tcPr>
          <w:p w14:paraId="430F6063" w14:textId="77777777" w:rsidR="00F37F0F" w:rsidRDefault="00F37F0F" w:rsidP="003A385F">
            <w:pPr>
              <w:jc w:val="center"/>
              <w:rPr>
                <w:rFonts w:cs="Arial"/>
                <w:sz w:val="17"/>
                <w:szCs w:val="17"/>
              </w:rPr>
            </w:pPr>
          </w:p>
        </w:tc>
        <w:tc>
          <w:tcPr>
            <w:tcW w:w="708" w:type="dxa"/>
            <w:tcBorders>
              <w:top w:val="single" w:sz="4" w:space="0" w:color="C0C0C0"/>
              <w:left w:val="single" w:sz="4" w:space="0" w:color="auto"/>
              <w:bottom w:val="single" w:sz="4" w:space="0" w:color="C0C0C0"/>
            </w:tcBorders>
            <w:tcMar>
              <w:top w:w="11" w:type="dxa"/>
              <w:left w:w="45" w:type="dxa"/>
              <w:bottom w:w="11" w:type="dxa"/>
              <w:right w:w="45" w:type="dxa"/>
            </w:tcMar>
            <w:vAlign w:val="center"/>
          </w:tcPr>
          <w:p w14:paraId="3FF18025" w14:textId="77777777" w:rsidR="00F37F0F" w:rsidRDefault="00F37F0F" w:rsidP="003A385F">
            <w:pPr>
              <w:jc w:val="center"/>
              <w:rPr>
                <w:rFonts w:cs="Arial"/>
                <w:sz w:val="17"/>
                <w:szCs w:val="17"/>
              </w:rPr>
            </w:pPr>
          </w:p>
        </w:tc>
      </w:tr>
      <w:tr w:rsidR="00F37F0F" w14:paraId="0312693D" w14:textId="77777777" w:rsidTr="00632A06">
        <w:trPr>
          <w:gridAfter w:val="1"/>
          <w:wAfter w:w="30" w:type="dxa"/>
          <w:trHeight w:hRule="exact" w:val="431"/>
        </w:trPr>
        <w:tc>
          <w:tcPr>
            <w:tcW w:w="3544" w:type="dxa"/>
            <w:tcBorders>
              <w:top w:val="single" w:sz="4" w:space="0" w:color="C0C0C0"/>
              <w:bottom w:val="single" w:sz="4" w:space="0" w:color="auto"/>
              <w:right w:val="single" w:sz="4" w:space="0" w:color="auto"/>
            </w:tcBorders>
            <w:tcMar>
              <w:top w:w="11" w:type="dxa"/>
              <w:left w:w="45" w:type="dxa"/>
              <w:bottom w:w="11" w:type="dxa"/>
              <w:right w:w="45" w:type="dxa"/>
            </w:tcMar>
            <w:vAlign w:val="center"/>
          </w:tcPr>
          <w:p w14:paraId="2ADF1878" w14:textId="77777777" w:rsidR="00F37F0F" w:rsidRDefault="00F37F0F" w:rsidP="003A385F">
            <w:pPr>
              <w:pStyle w:val="Header"/>
              <w:rPr>
                <w:rFonts w:cs="Arial"/>
                <w:sz w:val="17"/>
                <w:szCs w:val="17"/>
              </w:rPr>
            </w:pPr>
            <w:r>
              <w:rPr>
                <w:rFonts w:cs="Arial"/>
                <w:sz w:val="17"/>
                <w:szCs w:val="17"/>
              </w:rPr>
              <w:t>I am satisfied with the quality of collaboration that I experience with senior doctors where I work.</w:t>
            </w:r>
          </w:p>
        </w:tc>
        <w:tc>
          <w:tcPr>
            <w:tcW w:w="1179" w:type="dxa"/>
            <w:tcBorders>
              <w:top w:val="single" w:sz="4" w:space="0" w:color="C0C0C0"/>
              <w:left w:val="single" w:sz="4" w:space="0" w:color="auto"/>
              <w:bottom w:val="single" w:sz="4" w:space="0" w:color="auto"/>
              <w:right w:val="single" w:sz="4" w:space="0" w:color="auto"/>
            </w:tcBorders>
            <w:tcMar>
              <w:top w:w="11" w:type="dxa"/>
              <w:left w:w="45" w:type="dxa"/>
              <w:bottom w:w="11" w:type="dxa"/>
              <w:right w:w="45" w:type="dxa"/>
            </w:tcMar>
            <w:vAlign w:val="center"/>
          </w:tcPr>
          <w:p w14:paraId="4BBA803F" w14:textId="77777777" w:rsidR="00F37F0F" w:rsidRDefault="00F37F0F" w:rsidP="003A385F">
            <w:pPr>
              <w:jc w:val="center"/>
              <w:rPr>
                <w:rFonts w:cs="Arial"/>
                <w:sz w:val="17"/>
                <w:szCs w:val="17"/>
              </w:rPr>
            </w:pPr>
            <w:r>
              <w:rPr>
                <w:rFonts w:cs="Arial"/>
                <w:sz w:val="17"/>
                <w:szCs w:val="17"/>
              </w:rPr>
              <w:t>.786</w:t>
            </w:r>
          </w:p>
        </w:tc>
        <w:tc>
          <w:tcPr>
            <w:tcW w:w="849" w:type="dxa"/>
            <w:tcBorders>
              <w:top w:val="single" w:sz="4" w:space="0" w:color="C0C0C0"/>
              <w:left w:val="single" w:sz="4" w:space="0" w:color="auto"/>
              <w:bottom w:val="single" w:sz="4" w:space="0" w:color="auto"/>
              <w:right w:val="single" w:sz="4" w:space="0" w:color="auto"/>
            </w:tcBorders>
            <w:tcMar>
              <w:top w:w="11" w:type="dxa"/>
              <w:left w:w="45" w:type="dxa"/>
              <w:bottom w:w="11" w:type="dxa"/>
              <w:right w:w="45" w:type="dxa"/>
            </w:tcMar>
            <w:vAlign w:val="center"/>
          </w:tcPr>
          <w:p w14:paraId="4CD6C3C2" w14:textId="77777777" w:rsidR="00F37F0F" w:rsidRDefault="00F37F0F" w:rsidP="003A385F">
            <w:pPr>
              <w:jc w:val="center"/>
              <w:rPr>
                <w:rFonts w:cs="Arial"/>
                <w:sz w:val="17"/>
                <w:szCs w:val="17"/>
              </w:rPr>
            </w:pPr>
          </w:p>
        </w:tc>
        <w:tc>
          <w:tcPr>
            <w:tcW w:w="850" w:type="dxa"/>
            <w:tcBorders>
              <w:top w:val="single" w:sz="4" w:space="0" w:color="C0C0C0"/>
              <w:left w:val="single" w:sz="4" w:space="0" w:color="auto"/>
              <w:bottom w:val="single" w:sz="4" w:space="0" w:color="auto"/>
            </w:tcBorders>
            <w:tcMar>
              <w:top w:w="11" w:type="dxa"/>
              <w:left w:w="45" w:type="dxa"/>
              <w:bottom w:w="11" w:type="dxa"/>
              <w:right w:w="45" w:type="dxa"/>
            </w:tcMar>
            <w:vAlign w:val="center"/>
          </w:tcPr>
          <w:p w14:paraId="6620BF44" w14:textId="77777777" w:rsidR="00F37F0F" w:rsidRDefault="00F37F0F" w:rsidP="003A385F">
            <w:pPr>
              <w:jc w:val="center"/>
              <w:rPr>
                <w:rFonts w:cs="Arial"/>
                <w:sz w:val="17"/>
                <w:szCs w:val="17"/>
              </w:rPr>
            </w:pPr>
          </w:p>
        </w:tc>
        <w:tc>
          <w:tcPr>
            <w:tcW w:w="849" w:type="dxa"/>
            <w:tcBorders>
              <w:top w:val="single" w:sz="4" w:space="0" w:color="C0C0C0"/>
              <w:left w:val="single" w:sz="4" w:space="0" w:color="auto"/>
              <w:bottom w:val="single" w:sz="4" w:space="0" w:color="auto"/>
              <w:right w:val="single" w:sz="4" w:space="0" w:color="auto"/>
            </w:tcBorders>
            <w:tcMar>
              <w:top w:w="11" w:type="dxa"/>
              <w:left w:w="45" w:type="dxa"/>
              <w:bottom w:w="11" w:type="dxa"/>
              <w:right w:w="45" w:type="dxa"/>
            </w:tcMar>
            <w:vAlign w:val="center"/>
          </w:tcPr>
          <w:p w14:paraId="11569316" w14:textId="77777777" w:rsidR="00F37F0F" w:rsidRDefault="00F37F0F" w:rsidP="003A385F">
            <w:pPr>
              <w:jc w:val="center"/>
              <w:rPr>
                <w:rFonts w:cs="Arial"/>
                <w:sz w:val="17"/>
                <w:szCs w:val="17"/>
              </w:rPr>
            </w:pPr>
          </w:p>
        </w:tc>
        <w:tc>
          <w:tcPr>
            <w:tcW w:w="708" w:type="dxa"/>
            <w:tcBorders>
              <w:top w:val="single" w:sz="4" w:space="0" w:color="C0C0C0"/>
              <w:left w:val="single" w:sz="4" w:space="0" w:color="auto"/>
              <w:bottom w:val="single" w:sz="4" w:space="0" w:color="auto"/>
            </w:tcBorders>
            <w:tcMar>
              <w:top w:w="11" w:type="dxa"/>
              <w:left w:w="45" w:type="dxa"/>
              <w:bottom w:w="11" w:type="dxa"/>
              <w:right w:w="45" w:type="dxa"/>
            </w:tcMar>
            <w:vAlign w:val="center"/>
          </w:tcPr>
          <w:p w14:paraId="41555E60" w14:textId="77777777" w:rsidR="00F37F0F" w:rsidRDefault="00F37F0F" w:rsidP="003A385F">
            <w:pPr>
              <w:jc w:val="center"/>
              <w:rPr>
                <w:rFonts w:cs="Arial"/>
                <w:sz w:val="17"/>
                <w:szCs w:val="17"/>
              </w:rPr>
            </w:pPr>
          </w:p>
        </w:tc>
      </w:tr>
      <w:tr w:rsidR="00F37F0F" w14:paraId="6D3FA160" w14:textId="77777777" w:rsidTr="00632A06">
        <w:trPr>
          <w:gridAfter w:val="1"/>
          <w:wAfter w:w="30" w:type="dxa"/>
          <w:trHeight w:hRule="exact" w:val="394"/>
        </w:trPr>
        <w:tc>
          <w:tcPr>
            <w:tcW w:w="3544" w:type="dxa"/>
            <w:tcBorders>
              <w:bottom w:val="single" w:sz="4" w:space="0" w:color="C0C0C0"/>
              <w:right w:val="single" w:sz="4" w:space="0" w:color="auto"/>
            </w:tcBorders>
            <w:tcMar>
              <w:top w:w="11" w:type="dxa"/>
              <w:left w:w="45" w:type="dxa"/>
              <w:bottom w:w="11" w:type="dxa"/>
              <w:right w:w="45" w:type="dxa"/>
            </w:tcMar>
            <w:vAlign w:val="center"/>
          </w:tcPr>
          <w:p w14:paraId="745BECE6" w14:textId="77777777" w:rsidR="00F37F0F" w:rsidRDefault="00F37F0F" w:rsidP="003A385F">
            <w:pPr>
              <w:pStyle w:val="Header"/>
              <w:rPr>
                <w:rFonts w:cs="Arial"/>
                <w:b/>
                <w:sz w:val="20"/>
                <w:lang w:val="en-US"/>
              </w:rPr>
            </w:pPr>
            <w:r>
              <w:rPr>
                <w:rFonts w:cs="Arial"/>
                <w:b/>
                <w:sz w:val="20"/>
                <w:lang w:val="en-US"/>
              </w:rPr>
              <w:t>Factor 2 (Teamwork)</w:t>
            </w:r>
          </w:p>
        </w:tc>
        <w:tc>
          <w:tcPr>
            <w:tcW w:w="1179" w:type="dxa"/>
            <w:tcBorders>
              <w:left w:val="single" w:sz="4" w:space="0" w:color="auto"/>
              <w:bottom w:val="single" w:sz="4" w:space="0" w:color="C0C0C0"/>
              <w:right w:val="single" w:sz="4" w:space="0" w:color="auto"/>
            </w:tcBorders>
            <w:tcMar>
              <w:top w:w="11" w:type="dxa"/>
              <w:left w:w="45" w:type="dxa"/>
              <w:bottom w:w="11" w:type="dxa"/>
              <w:right w:w="45" w:type="dxa"/>
            </w:tcMar>
            <w:vAlign w:val="center"/>
          </w:tcPr>
          <w:p w14:paraId="059C260D" w14:textId="77777777" w:rsidR="00F37F0F" w:rsidRDefault="00F37F0F" w:rsidP="003A385F">
            <w:pPr>
              <w:jc w:val="center"/>
              <w:rPr>
                <w:rFonts w:cs="Arial"/>
                <w:sz w:val="17"/>
                <w:szCs w:val="17"/>
              </w:rPr>
            </w:pPr>
          </w:p>
        </w:tc>
        <w:tc>
          <w:tcPr>
            <w:tcW w:w="849" w:type="dxa"/>
            <w:tcBorders>
              <w:left w:val="single" w:sz="4" w:space="0" w:color="auto"/>
              <w:bottom w:val="single" w:sz="4" w:space="0" w:color="C0C0C0"/>
              <w:right w:val="single" w:sz="4" w:space="0" w:color="auto"/>
            </w:tcBorders>
            <w:tcMar>
              <w:top w:w="11" w:type="dxa"/>
              <w:left w:w="45" w:type="dxa"/>
              <w:bottom w:w="11" w:type="dxa"/>
              <w:right w:w="45" w:type="dxa"/>
            </w:tcMar>
            <w:vAlign w:val="center"/>
          </w:tcPr>
          <w:p w14:paraId="526C79E4" w14:textId="77777777" w:rsidR="00F37F0F" w:rsidRDefault="00F37F0F" w:rsidP="003A385F">
            <w:pPr>
              <w:jc w:val="center"/>
              <w:rPr>
                <w:rFonts w:cs="Arial"/>
                <w:sz w:val="17"/>
                <w:szCs w:val="17"/>
              </w:rPr>
            </w:pPr>
          </w:p>
        </w:tc>
        <w:tc>
          <w:tcPr>
            <w:tcW w:w="850" w:type="dxa"/>
            <w:tcBorders>
              <w:left w:val="single" w:sz="4" w:space="0" w:color="auto"/>
              <w:bottom w:val="single" w:sz="4" w:space="0" w:color="C0C0C0"/>
            </w:tcBorders>
            <w:tcMar>
              <w:top w:w="11" w:type="dxa"/>
              <w:left w:w="45" w:type="dxa"/>
              <w:bottom w:w="11" w:type="dxa"/>
              <w:right w:w="45" w:type="dxa"/>
            </w:tcMar>
            <w:vAlign w:val="center"/>
          </w:tcPr>
          <w:p w14:paraId="268D105F" w14:textId="77777777" w:rsidR="00F37F0F" w:rsidRDefault="00F37F0F" w:rsidP="003A385F">
            <w:pPr>
              <w:jc w:val="center"/>
              <w:rPr>
                <w:rFonts w:cs="Arial"/>
                <w:sz w:val="17"/>
                <w:szCs w:val="17"/>
              </w:rPr>
            </w:pPr>
          </w:p>
        </w:tc>
        <w:tc>
          <w:tcPr>
            <w:tcW w:w="849" w:type="dxa"/>
            <w:tcBorders>
              <w:left w:val="single" w:sz="4" w:space="0" w:color="auto"/>
              <w:bottom w:val="single" w:sz="4" w:space="0" w:color="C0C0C0"/>
              <w:right w:val="single" w:sz="4" w:space="0" w:color="auto"/>
            </w:tcBorders>
            <w:tcMar>
              <w:top w:w="11" w:type="dxa"/>
              <w:left w:w="45" w:type="dxa"/>
              <w:bottom w:w="11" w:type="dxa"/>
              <w:right w:w="45" w:type="dxa"/>
            </w:tcMar>
            <w:vAlign w:val="center"/>
          </w:tcPr>
          <w:p w14:paraId="0CB9DF9C" w14:textId="77777777" w:rsidR="00F37F0F" w:rsidRDefault="00F37F0F" w:rsidP="003A385F">
            <w:pPr>
              <w:jc w:val="center"/>
              <w:rPr>
                <w:rFonts w:cs="Arial"/>
                <w:sz w:val="17"/>
                <w:szCs w:val="17"/>
              </w:rPr>
            </w:pPr>
          </w:p>
        </w:tc>
        <w:tc>
          <w:tcPr>
            <w:tcW w:w="708" w:type="dxa"/>
            <w:tcBorders>
              <w:left w:val="single" w:sz="4" w:space="0" w:color="auto"/>
              <w:bottom w:val="single" w:sz="4" w:space="0" w:color="C0C0C0"/>
            </w:tcBorders>
            <w:tcMar>
              <w:top w:w="11" w:type="dxa"/>
              <w:left w:w="45" w:type="dxa"/>
              <w:bottom w:w="11" w:type="dxa"/>
              <w:right w:w="45" w:type="dxa"/>
            </w:tcMar>
            <w:vAlign w:val="center"/>
          </w:tcPr>
          <w:p w14:paraId="51C42801" w14:textId="77777777" w:rsidR="00F37F0F" w:rsidRDefault="00F37F0F" w:rsidP="003A385F">
            <w:pPr>
              <w:jc w:val="center"/>
              <w:rPr>
                <w:rFonts w:cs="Arial"/>
                <w:sz w:val="17"/>
                <w:szCs w:val="17"/>
              </w:rPr>
            </w:pPr>
          </w:p>
        </w:tc>
      </w:tr>
      <w:tr w:rsidR="00F37F0F" w14:paraId="6E8DE1B8" w14:textId="77777777" w:rsidTr="00632A06">
        <w:trPr>
          <w:gridAfter w:val="1"/>
          <w:wAfter w:w="30" w:type="dxa"/>
          <w:trHeight w:hRule="exact" w:val="431"/>
        </w:trPr>
        <w:tc>
          <w:tcPr>
            <w:tcW w:w="3544" w:type="dxa"/>
            <w:tcBorders>
              <w:top w:val="single" w:sz="4" w:space="0" w:color="C0C0C0"/>
              <w:bottom w:val="single" w:sz="4" w:space="0" w:color="C0C0C0"/>
              <w:right w:val="single" w:sz="4" w:space="0" w:color="auto"/>
            </w:tcBorders>
            <w:tcMar>
              <w:top w:w="11" w:type="dxa"/>
              <w:left w:w="45" w:type="dxa"/>
              <w:bottom w:w="11" w:type="dxa"/>
              <w:right w:w="45" w:type="dxa"/>
            </w:tcMar>
            <w:vAlign w:val="center"/>
          </w:tcPr>
          <w:p w14:paraId="3D1ED91C" w14:textId="77777777" w:rsidR="00F37F0F" w:rsidRDefault="00F37F0F" w:rsidP="003A385F">
            <w:pPr>
              <w:pStyle w:val="Header"/>
              <w:rPr>
                <w:rFonts w:cs="Arial"/>
                <w:sz w:val="17"/>
                <w:szCs w:val="17"/>
              </w:rPr>
            </w:pPr>
            <w:r>
              <w:rPr>
                <w:rFonts w:cs="Arial"/>
                <w:sz w:val="17"/>
                <w:szCs w:val="17"/>
              </w:rPr>
              <w:t>It is easy for staff here to ask questions when there is something that they do not understand.</w:t>
            </w:r>
          </w:p>
        </w:tc>
        <w:tc>
          <w:tcPr>
            <w:tcW w:w="1179" w:type="dxa"/>
            <w:tcBorders>
              <w:top w:val="single" w:sz="4" w:space="0" w:color="C0C0C0"/>
              <w:left w:val="single" w:sz="4" w:space="0" w:color="auto"/>
              <w:bottom w:val="single" w:sz="4" w:space="0" w:color="C0C0C0"/>
              <w:right w:val="single" w:sz="4" w:space="0" w:color="auto"/>
            </w:tcBorders>
            <w:tcMar>
              <w:top w:w="11" w:type="dxa"/>
              <w:left w:w="45" w:type="dxa"/>
              <w:bottom w:w="11" w:type="dxa"/>
              <w:right w:w="45" w:type="dxa"/>
            </w:tcMar>
            <w:vAlign w:val="center"/>
          </w:tcPr>
          <w:p w14:paraId="637BDD1D" w14:textId="77777777" w:rsidR="00F37F0F" w:rsidRDefault="00F37F0F" w:rsidP="003A385F">
            <w:pPr>
              <w:jc w:val="center"/>
              <w:rPr>
                <w:rFonts w:cs="Arial"/>
                <w:sz w:val="17"/>
                <w:szCs w:val="17"/>
              </w:rPr>
            </w:pPr>
          </w:p>
        </w:tc>
        <w:tc>
          <w:tcPr>
            <w:tcW w:w="849" w:type="dxa"/>
            <w:tcBorders>
              <w:top w:val="single" w:sz="4" w:space="0" w:color="C0C0C0"/>
              <w:left w:val="single" w:sz="4" w:space="0" w:color="auto"/>
              <w:bottom w:val="single" w:sz="4" w:space="0" w:color="C0C0C0"/>
              <w:right w:val="single" w:sz="4" w:space="0" w:color="auto"/>
            </w:tcBorders>
            <w:tcMar>
              <w:top w:w="11" w:type="dxa"/>
              <w:left w:w="45" w:type="dxa"/>
              <w:bottom w:w="11" w:type="dxa"/>
              <w:right w:w="45" w:type="dxa"/>
            </w:tcMar>
            <w:vAlign w:val="center"/>
          </w:tcPr>
          <w:p w14:paraId="21DE887D" w14:textId="77777777" w:rsidR="00F37F0F" w:rsidRDefault="00F37F0F" w:rsidP="003A385F">
            <w:pPr>
              <w:jc w:val="center"/>
              <w:rPr>
                <w:rFonts w:cs="Arial"/>
                <w:sz w:val="17"/>
                <w:szCs w:val="17"/>
              </w:rPr>
            </w:pPr>
            <w:r>
              <w:rPr>
                <w:rFonts w:cs="Arial"/>
                <w:sz w:val="17"/>
                <w:szCs w:val="17"/>
              </w:rPr>
              <w:t>.481</w:t>
            </w:r>
          </w:p>
        </w:tc>
        <w:tc>
          <w:tcPr>
            <w:tcW w:w="850" w:type="dxa"/>
            <w:tcBorders>
              <w:top w:val="single" w:sz="4" w:space="0" w:color="C0C0C0"/>
              <w:left w:val="single" w:sz="4" w:space="0" w:color="auto"/>
              <w:bottom w:val="single" w:sz="4" w:space="0" w:color="C0C0C0"/>
            </w:tcBorders>
            <w:tcMar>
              <w:top w:w="11" w:type="dxa"/>
              <w:left w:w="45" w:type="dxa"/>
              <w:bottom w:w="11" w:type="dxa"/>
              <w:right w:w="45" w:type="dxa"/>
            </w:tcMar>
            <w:vAlign w:val="center"/>
          </w:tcPr>
          <w:p w14:paraId="7126ECEA" w14:textId="77777777" w:rsidR="00F37F0F" w:rsidRDefault="00F37F0F" w:rsidP="003A385F">
            <w:pPr>
              <w:jc w:val="center"/>
              <w:rPr>
                <w:rFonts w:cs="Arial"/>
                <w:sz w:val="17"/>
                <w:szCs w:val="17"/>
              </w:rPr>
            </w:pPr>
          </w:p>
        </w:tc>
        <w:tc>
          <w:tcPr>
            <w:tcW w:w="849" w:type="dxa"/>
            <w:tcBorders>
              <w:top w:val="single" w:sz="4" w:space="0" w:color="C0C0C0"/>
              <w:left w:val="single" w:sz="4" w:space="0" w:color="auto"/>
              <w:bottom w:val="single" w:sz="4" w:space="0" w:color="C0C0C0"/>
              <w:right w:val="single" w:sz="4" w:space="0" w:color="auto"/>
            </w:tcBorders>
            <w:tcMar>
              <w:top w:w="11" w:type="dxa"/>
              <w:left w:w="45" w:type="dxa"/>
              <w:bottom w:w="11" w:type="dxa"/>
              <w:right w:w="45" w:type="dxa"/>
            </w:tcMar>
            <w:vAlign w:val="center"/>
          </w:tcPr>
          <w:p w14:paraId="7D5BAE1D" w14:textId="77777777" w:rsidR="00F37F0F" w:rsidRDefault="00F37F0F" w:rsidP="003A385F">
            <w:pPr>
              <w:jc w:val="center"/>
              <w:rPr>
                <w:rFonts w:cs="Arial"/>
                <w:sz w:val="17"/>
                <w:szCs w:val="17"/>
              </w:rPr>
            </w:pPr>
          </w:p>
        </w:tc>
        <w:tc>
          <w:tcPr>
            <w:tcW w:w="708" w:type="dxa"/>
            <w:tcBorders>
              <w:top w:val="single" w:sz="4" w:space="0" w:color="C0C0C0"/>
              <w:left w:val="single" w:sz="4" w:space="0" w:color="auto"/>
              <w:bottom w:val="single" w:sz="4" w:space="0" w:color="C0C0C0"/>
            </w:tcBorders>
            <w:tcMar>
              <w:top w:w="11" w:type="dxa"/>
              <w:left w:w="45" w:type="dxa"/>
              <w:bottom w:w="11" w:type="dxa"/>
              <w:right w:w="45" w:type="dxa"/>
            </w:tcMar>
            <w:vAlign w:val="center"/>
          </w:tcPr>
          <w:p w14:paraId="413377F6" w14:textId="77777777" w:rsidR="00F37F0F" w:rsidRDefault="00F37F0F" w:rsidP="003A385F">
            <w:pPr>
              <w:jc w:val="center"/>
              <w:rPr>
                <w:rFonts w:cs="Arial"/>
                <w:sz w:val="17"/>
                <w:szCs w:val="17"/>
              </w:rPr>
            </w:pPr>
          </w:p>
        </w:tc>
      </w:tr>
      <w:tr w:rsidR="00F37F0F" w14:paraId="6027687C" w14:textId="77777777" w:rsidTr="00632A06">
        <w:trPr>
          <w:gridAfter w:val="1"/>
          <w:wAfter w:w="30" w:type="dxa"/>
          <w:trHeight w:hRule="exact" w:val="431"/>
        </w:trPr>
        <w:tc>
          <w:tcPr>
            <w:tcW w:w="3544" w:type="dxa"/>
            <w:tcBorders>
              <w:top w:val="single" w:sz="4" w:space="0" w:color="C0C0C0"/>
              <w:bottom w:val="single" w:sz="4" w:space="0" w:color="C0C0C0"/>
              <w:right w:val="single" w:sz="4" w:space="0" w:color="auto"/>
            </w:tcBorders>
            <w:tcMar>
              <w:top w:w="11" w:type="dxa"/>
              <w:left w:w="45" w:type="dxa"/>
              <w:bottom w:w="11" w:type="dxa"/>
              <w:right w:w="45" w:type="dxa"/>
            </w:tcMar>
            <w:vAlign w:val="center"/>
          </w:tcPr>
          <w:p w14:paraId="54194960" w14:textId="77777777" w:rsidR="00F37F0F" w:rsidRDefault="00F37F0F" w:rsidP="003A385F">
            <w:pPr>
              <w:pStyle w:val="Header"/>
              <w:rPr>
                <w:rFonts w:cs="Arial"/>
                <w:sz w:val="17"/>
                <w:szCs w:val="17"/>
              </w:rPr>
            </w:pPr>
            <w:r>
              <w:rPr>
                <w:rFonts w:cs="Arial"/>
                <w:sz w:val="17"/>
                <w:szCs w:val="17"/>
              </w:rPr>
              <w:t>I know the first and last names of all the staff I worked with during my last shift / period of work.</w:t>
            </w:r>
          </w:p>
        </w:tc>
        <w:tc>
          <w:tcPr>
            <w:tcW w:w="1179" w:type="dxa"/>
            <w:tcBorders>
              <w:top w:val="single" w:sz="4" w:space="0" w:color="C0C0C0"/>
              <w:left w:val="single" w:sz="4" w:space="0" w:color="auto"/>
              <w:bottom w:val="single" w:sz="4" w:space="0" w:color="C0C0C0"/>
              <w:right w:val="single" w:sz="4" w:space="0" w:color="auto"/>
            </w:tcBorders>
            <w:tcMar>
              <w:top w:w="11" w:type="dxa"/>
              <w:left w:w="45" w:type="dxa"/>
              <w:bottom w:w="11" w:type="dxa"/>
              <w:right w:w="45" w:type="dxa"/>
            </w:tcMar>
            <w:vAlign w:val="center"/>
          </w:tcPr>
          <w:p w14:paraId="6920D9B0" w14:textId="77777777" w:rsidR="00F37F0F" w:rsidRDefault="00F37F0F" w:rsidP="003A385F">
            <w:pPr>
              <w:jc w:val="center"/>
              <w:rPr>
                <w:rFonts w:cs="Arial"/>
                <w:sz w:val="17"/>
                <w:szCs w:val="17"/>
              </w:rPr>
            </w:pPr>
          </w:p>
        </w:tc>
        <w:tc>
          <w:tcPr>
            <w:tcW w:w="849" w:type="dxa"/>
            <w:tcBorders>
              <w:top w:val="single" w:sz="4" w:space="0" w:color="C0C0C0"/>
              <w:left w:val="single" w:sz="4" w:space="0" w:color="auto"/>
              <w:bottom w:val="single" w:sz="4" w:space="0" w:color="C0C0C0"/>
              <w:right w:val="single" w:sz="4" w:space="0" w:color="auto"/>
            </w:tcBorders>
            <w:tcMar>
              <w:top w:w="11" w:type="dxa"/>
              <w:left w:w="45" w:type="dxa"/>
              <w:bottom w:w="11" w:type="dxa"/>
              <w:right w:w="45" w:type="dxa"/>
            </w:tcMar>
            <w:vAlign w:val="center"/>
          </w:tcPr>
          <w:p w14:paraId="2C4C31C5" w14:textId="77777777" w:rsidR="00F37F0F" w:rsidRDefault="00F37F0F" w:rsidP="003A385F">
            <w:pPr>
              <w:jc w:val="center"/>
              <w:rPr>
                <w:rFonts w:cs="Arial"/>
                <w:sz w:val="17"/>
                <w:szCs w:val="17"/>
              </w:rPr>
            </w:pPr>
            <w:r>
              <w:rPr>
                <w:rFonts w:cs="Arial"/>
                <w:sz w:val="17"/>
                <w:szCs w:val="17"/>
              </w:rPr>
              <w:t>.546</w:t>
            </w:r>
          </w:p>
        </w:tc>
        <w:tc>
          <w:tcPr>
            <w:tcW w:w="850" w:type="dxa"/>
            <w:tcBorders>
              <w:top w:val="single" w:sz="4" w:space="0" w:color="C0C0C0"/>
              <w:left w:val="single" w:sz="4" w:space="0" w:color="auto"/>
              <w:bottom w:val="single" w:sz="4" w:space="0" w:color="C0C0C0"/>
            </w:tcBorders>
            <w:tcMar>
              <w:top w:w="11" w:type="dxa"/>
              <w:left w:w="45" w:type="dxa"/>
              <w:bottom w:w="11" w:type="dxa"/>
              <w:right w:w="45" w:type="dxa"/>
            </w:tcMar>
            <w:vAlign w:val="center"/>
          </w:tcPr>
          <w:p w14:paraId="021E1D93" w14:textId="77777777" w:rsidR="00F37F0F" w:rsidRDefault="00F37F0F" w:rsidP="003A385F">
            <w:pPr>
              <w:jc w:val="center"/>
              <w:rPr>
                <w:rFonts w:cs="Arial"/>
                <w:sz w:val="17"/>
                <w:szCs w:val="17"/>
              </w:rPr>
            </w:pPr>
          </w:p>
        </w:tc>
        <w:tc>
          <w:tcPr>
            <w:tcW w:w="849" w:type="dxa"/>
            <w:tcBorders>
              <w:top w:val="single" w:sz="4" w:space="0" w:color="C0C0C0"/>
              <w:left w:val="single" w:sz="4" w:space="0" w:color="auto"/>
              <w:bottom w:val="single" w:sz="4" w:space="0" w:color="C0C0C0"/>
              <w:right w:val="single" w:sz="4" w:space="0" w:color="auto"/>
            </w:tcBorders>
            <w:tcMar>
              <w:top w:w="11" w:type="dxa"/>
              <w:left w:w="45" w:type="dxa"/>
              <w:bottom w:w="11" w:type="dxa"/>
              <w:right w:w="45" w:type="dxa"/>
            </w:tcMar>
            <w:vAlign w:val="center"/>
          </w:tcPr>
          <w:p w14:paraId="58613D0F" w14:textId="77777777" w:rsidR="00F37F0F" w:rsidRDefault="00F37F0F" w:rsidP="003A385F">
            <w:pPr>
              <w:jc w:val="center"/>
              <w:rPr>
                <w:rFonts w:cs="Arial"/>
                <w:sz w:val="17"/>
                <w:szCs w:val="17"/>
              </w:rPr>
            </w:pPr>
          </w:p>
        </w:tc>
        <w:tc>
          <w:tcPr>
            <w:tcW w:w="708" w:type="dxa"/>
            <w:tcBorders>
              <w:top w:val="single" w:sz="4" w:space="0" w:color="C0C0C0"/>
              <w:left w:val="single" w:sz="4" w:space="0" w:color="auto"/>
              <w:bottom w:val="single" w:sz="4" w:space="0" w:color="C0C0C0"/>
            </w:tcBorders>
            <w:tcMar>
              <w:top w:w="11" w:type="dxa"/>
              <w:left w:w="45" w:type="dxa"/>
              <w:bottom w:w="11" w:type="dxa"/>
              <w:right w:w="45" w:type="dxa"/>
            </w:tcMar>
            <w:vAlign w:val="center"/>
          </w:tcPr>
          <w:p w14:paraId="25704C2F" w14:textId="77777777" w:rsidR="00F37F0F" w:rsidRDefault="00F37F0F" w:rsidP="003A385F">
            <w:pPr>
              <w:jc w:val="center"/>
              <w:rPr>
                <w:rFonts w:cs="Arial"/>
                <w:sz w:val="17"/>
                <w:szCs w:val="17"/>
              </w:rPr>
            </w:pPr>
          </w:p>
        </w:tc>
      </w:tr>
      <w:tr w:rsidR="00F37F0F" w14:paraId="46FFC1AB" w14:textId="77777777" w:rsidTr="00632A06">
        <w:trPr>
          <w:gridAfter w:val="1"/>
          <w:wAfter w:w="30" w:type="dxa"/>
          <w:trHeight w:hRule="exact" w:val="240"/>
        </w:trPr>
        <w:tc>
          <w:tcPr>
            <w:tcW w:w="3544" w:type="dxa"/>
            <w:tcBorders>
              <w:top w:val="single" w:sz="4" w:space="0" w:color="C0C0C0"/>
              <w:bottom w:val="single" w:sz="4" w:space="0" w:color="C0C0C0"/>
              <w:right w:val="single" w:sz="4" w:space="0" w:color="auto"/>
            </w:tcBorders>
            <w:tcMar>
              <w:top w:w="11" w:type="dxa"/>
              <w:left w:w="45" w:type="dxa"/>
              <w:bottom w:w="11" w:type="dxa"/>
              <w:right w:w="45" w:type="dxa"/>
            </w:tcMar>
            <w:vAlign w:val="center"/>
          </w:tcPr>
          <w:p w14:paraId="62E04CD7" w14:textId="77777777" w:rsidR="00F37F0F" w:rsidRDefault="00F37F0F" w:rsidP="003A385F">
            <w:pPr>
              <w:pStyle w:val="Header"/>
              <w:rPr>
                <w:rFonts w:cs="Arial"/>
                <w:sz w:val="17"/>
                <w:szCs w:val="17"/>
              </w:rPr>
            </w:pPr>
            <w:r>
              <w:rPr>
                <w:rFonts w:cs="Arial"/>
                <w:sz w:val="17"/>
                <w:szCs w:val="17"/>
              </w:rPr>
              <w:t>Important issues are well communicated at shift changes / between periods of work.</w:t>
            </w:r>
          </w:p>
        </w:tc>
        <w:tc>
          <w:tcPr>
            <w:tcW w:w="1179" w:type="dxa"/>
            <w:tcBorders>
              <w:top w:val="single" w:sz="4" w:space="0" w:color="C0C0C0"/>
              <w:left w:val="single" w:sz="4" w:space="0" w:color="auto"/>
              <w:bottom w:val="single" w:sz="4" w:space="0" w:color="C0C0C0"/>
              <w:right w:val="single" w:sz="4" w:space="0" w:color="auto"/>
            </w:tcBorders>
            <w:tcMar>
              <w:top w:w="11" w:type="dxa"/>
              <w:left w:w="45" w:type="dxa"/>
              <w:bottom w:w="11" w:type="dxa"/>
              <w:right w:w="45" w:type="dxa"/>
            </w:tcMar>
            <w:vAlign w:val="center"/>
          </w:tcPr>
          <w:p w14:paraId="51F0AE3E" w14:textId="77777777" w:rsidR="00F37F0F" w:rsidRDefault="00F37F0F" w:rsidP="003A385F">
            <w:pPr>
              <w:jc w:val="center"/>
              <w:rPr>
                <w:rFonts w:cs="Arial"/>
                <w:sz w:val="17"/>
                <w:szCs w:val="17"/>
              </w:rPr>
            </w:pPr>
          </w:p>
        </w:tc>
        <w:tc>
          <w:tcPr>
            <w:tcW w:w="849" w:type="dxa"/>
            <w:tcBorders>
              <w:top w:val="single" w:sz="4" w:space="0" w:color="C0C0C0"/>
              <w:left w:val="single" w:sz="4" w:space="0" w:color="auto"/>
              <w:bottom w:val="single" w:sz="4" w:space="0" w:color="C0C0C0"/>
              <w:right w:val="single" w:sz="4" w:space="0" w:color="auto"/>
            </w:tcBorders>
            <w:tcMar>
              <w:top w:w="11" w:type="dxa"/>
              <w:left w:w="45" w:type="dxa"/>
              <w:bottom w:w="11" w:type="dxa"/>
              <w:right w:w="45" w:type="dxa"/>
            </w:tcMar>
            <w:vAlign w:val="center"/>
          </w:tcPr>
          <w:p w14:paraId="19596E12" w14:textId="77777777" w:rsidR="00F37F0F" w:rsidRDefault="00F37F0F" w:rsidP="003A385F">
            <w:pPr>
              <w:jc w:val="center"/>
              <w:rPr>
                <w:rFonts w:cs="Arial"/>
                <w:sz w:val="17"/>
                <w:szCs w:val="17"/>
              </w:rPr>
            </w:pPr>
            <w:r>
              <w:rPr>
                <w:rFonts w:cs="Arial"/>
                <w:sz w:val="17"/>
                <w:szCs w:val="17"/>
              </w:rPr>
              <w:t>.626</w:t>
            </w:r>
          </w:p>
        </w:tc>
        <w:tc>
          <w:tcPr>
            <w:tcW w:w="850" w:type="dxa"/>
            <w:tcBorders>
              <w:top w:val="single" w:sz="4" w:space="0" w:color="C0C0C0"/>
              <w:left w:val="single" w:sz="4" w:space="0" w:color="auto"/>
              <w:bottom w:val="single" w:sz="4" w:space="0" w:color="C0C0C0"/>
            </w:tcBorders>
            <w:tcMar>
              <w:top w:w="11" w:type="dxa"/>
              <w:left w:w="45" w:type="dxa"/>
              <w:bottom w:w="11" w:type="dxa"/>
              <w:right w:w="45" w:type="dxa"/>
            </w:tcMar>
            <w:vAlign w:val="center"/>
          </w:tcPr>
          <w:p w14:paraId="16E07172" w14:textId="77777777" w:rsidR="00F37F0F" w:rsidRDefault="00F37F0F" w:rsidP="003A385F">
            <w:pPr>
              <w:jc w:val="center"/>
              <w:rPr>
                <w:rFonts w:cs="Arial"/>
                <w:sz w:val="17"/>
                <w:szCs w:val="17"/>
              </w:rPr>
            </w:pPr>
          </w:p>
        </w:tc>
        <w:tc>
          <w:tcPr>
            <w:tcW w:w="849" w:type="dxa"/>
            <w:tcBorders>
              <w:top w:val="single" w:sz="4" w:space="0" w:color="C0C0C0"/>
              <w:left w:val="single" w:sz="4" w:space="0" w:color="auto"/>
              <w:bottom w:val="single" w:sz="4" w:space="0" w:color="C0C0C0"/>
              <w:right w:val="single" w:sz="4" w:space="0" w:color="auto"/>
            </w:tcBorders>
            <w:tcMar>
              <w:top w:w="11" w:type="dxa"/>
              <w:left w:w="45" w:type="dxa"/>
              <w:bottom w:w="11" w:type="dxa"/>
              <w:right w:w="45" w:type="dxa"/>
            </w:tcMar>
            <w:vAlign w:val="center"/>
          </w:tcPr>
          <w:p w14:paraId="3B6CF223" w14:textId="77777777" w:rsidR="00F37F0F" w:rsidRDefault="00F37F0F" w:rsidP="003A385F">
            <w:pPr>
              <w:jc w:val="center"/>
              <w:rPr>
                <w:rFonts w:cs="Arial"/>
                <w:sz w:val="17"/>
                <w:szCs w:val="17"/>
              </w:rPr>
            </w:pPr>
          </w:p>
        </w:tc>
        <w:tc>
          <w:tcPr>
            <w:tcW w:w="708" w:type="dxa"/>
            <w:tcBorders>
              <w:top w:val="single" w:sz="4" w:space="0" w:color="C0C0C0"/>
              <w:left w:val="single" w:sz="4" w:space="0" w:color="auto"/>
              <w:bottom w:val="single" w:sz="4" w:space="0" w:color="C0C0C0"/>
            </w:tcBorders>
            <w:tcMar>
              <w:top w:w="11" w:type="dxa"/>
              <w:left w:w="45" w:type="dxa"/>
              <w:bottom w:w="11" w:type="dxa"/>
              <w:right w:w="45" w:type="dxa"/>
            </w:tcMar>
            <w:vAlign w:val="center"/>
          </w:tcPr>
          <w:p w14:paraId="5D920CBE" w14:textId="77777777" w:rsidR="00F37F0F" w:rsidRDefault="00F37F0F" w:rsidP="003A385F">
            <w:pPr>
              <w:jc w:val="center"/>
              <w:rPr>
                <w:rFonts w:cs="Arial"/>
                <w:sz w:val="17"/>
                <w:szCs w:val="17"/>
              </w:rPr>
            </w:pPr>
          </w:p>
        </w:tc>
      </w:tr>
      <w:tr w:rsidR="00F37F0F" w14:paraId="7FC1241A" w14:textId="77777777" w:rsidTr="00632A06">
        <w:trPr>
          <w:gridAfter w:val="1"/>
          <w:wAfter w:w="30" w:type="dxa"/>
          <w:trHeight w:hRule="exact" w:val="431"/>
        </w:trPr>
        <w:tc>
          <w:tcPr>
            <w:tcW w:w="3544" w:type="dxa"/>
            <w:tcBorders>
              <w:top w:val="single" w:sz="4" w:space="0" w:color="C0C0C0"/>
              <w:bottom w:val="single" w:sz="4" w:space="0" w:color="C0C0C0"/>
              <w:right w:val="single" w:sz="4" w:space="0" w:color="auto"/>
            </w:tcBorders>
            <w:tcMar>
              <w:top w:w="11" w:type="dxa"/>
              <w:left w:w="45" w:type="dxa"/>
              <w:bottom w:w="11" w:type="dxa"/>
              <w:right w:w="45" w:type="dxa"/>
            </w:tcMar>
            <w:vAlign w:val="center"/>
          </w:tcPr>
          <w:p w14:paraId="5CB5A57F" w14:textId="77777777" w:rsidR="00F37F0F" w:rsidRDefault="00F37F0F" w:rsidP="003A385F">
            <w:pPr>
              <w:pStyle w:val="Header"/>
              <w:rPr>
                <w:rFonts w:cs="Arial"/>
                <w:sz w:val="17"/>
                <w:szCs w:val="17"/>
              </w:rPr>
            </w:pPr>
            <w:r>
              <w:rPr>
                <w:rFonts w:cs="Arial"/>
                <w:sz w:val="17"/>
                <w:szCs w:val="17"/>
              </w:rPr>
              <w:t>Briefing staff on handovers between shifts / periods of work (to plan for possible contingencies) is important for patient safety.</w:t>
            </w:r>
          </w:p>
        </w:tc>
        <w:tc>
          <w:tcPr>
            <w:tcW w:w="1179" w:type="dxa"/>
            <w:tcBorders>
              <w:top w:val="single" w:sz="4" w:space="0" w:color="C0C0C0"/>
              <w:left w:val="single" w:sz="4" w:space="0" w:color="auto"/>
              <w:bottom w:val="single" w:sz="4" w:space="0" w:color="C0C0C0"/>
              <w:right w:val="single" w:sz="4" w:space="0" w:color="auto"/>
            </w:tcBorders>
            <w:tcMar>
              <w:top w:w="11" w:type="dxa"/>
              <w:left w:w="45" w:type="dxa"/>
              <w:bottom w:w="11" w:type="dxa"/>
              <w:right w:w="45" w:type="dxa"/>
            </w:tcMar>
            <w:vAlign w:val="center"/>
          </w:tcPr>
          <w:p w14:paraId="3F9AD3F3" w14:textId="77777777" w:rsidR="00F37F0F" w:rsidRDefault="00F37F0F" w:rsidP="003A385F">
            <w:pPr>
              <w:jc w:val="center"/>
              <w:rPr>
                <w:rFonts w:cs="Arial"/>
                <w:sz w:val="17"/>
                <w:szCs w:val="17"/>
              </w:rPr>
            </w:pPr>
          </w:p>
        </w:tc>
        <w:tc>
          <w:tcPr>
            <w:tcW w:w="849" w:type="dxa"/>
            <w:tcBorders>
              <w:top w:val="single" w:sz="4" w:space="0" w:color="C0C0C0"/>
              <w:left w:val="single" w:sz="4" w:space="0" w:color="auto"/>
              <w:bottom w:val="single" w:sz="4" w:space="0" w:color="C0C0C0"/>
              <w:right w:val="single" w:sz="4" w:space="0" w:color="auto"/>
            </w:tcBorders>
            <w:tcMar>
              <w:top w:w="11" w:type="dxa"/>
              <w:left w:w="45" w:type="dxa"/>
              <w:bottom w:w="11" w:type="dxa"/>
              <w:right w:w="45" w:type="dxa"/>
            </w:tcMar>
            <w:vAlign w:val="center"/>
          </w:tcPr>
          <w:p w14:paraId="31C1F0D0" w14:textId="77777777" w:rsidR="00F37F0F" w:rsidRDefault="00F37F0F" w:rsidP="003A385F">
            <w:pPr>
              <w:jc w:val="center"/>
              <w:rPr>
                <w:rFonts w:cs="Arial"/>
                <w:sz w:val="17"/>
                <w:szCs w:val="17"/>
              </w:rPr>
            </w:pPr>
            <w:r>
              <w:rPr>
                <w:rFonts w:cs="Arial"/>
                <w:sz w:val="17"/>
                <w:szCs w:val="17"/>
              </w:rPr>
              <w:t>.618</w:t>
            </w:r>
          </w:p>
        </w:tc>
        <w:tc>
          <w:tcPr>
            <w:tcW w:w="850" w:type="dxa"/>
            <w:tcBorders>
              <w:top w:val="single" w:sz="4" w:space="0" w:color="C0C0C0"/>
              <w:left w:val="single" w:sz="4" w:space="0" w:color="auto"/>
              <w:bottom w:val="single" w:sz="4" w:space="0" w:color="C0C0C0"/>
            </w:tcBorders>
            <w:tcMar>
              <w:top w:w="11" w:type="dxa"/>
              <w:left w:w="45" w:type="dxa"/>
              <w:bottom w:w="11" w:type="dxa"/>
              <w:right w:w="45" w:type="dxa"/>
            </w:tcMar>
            <w:vAlign w:val="center"/>
          </w:tcPr>
          <w:p w14:paraId="784025BD" w14:textId="77777777" w:rsidR="00F37F0F" w:rsidRDefault="00F37F0F" w:rsidP="003A385F">
            <w:pPr>
              <w:jc w:val="center"/>
              <w:rPr>
                <w:rFonts w:cs="Arial"/>
                <w:sz w:val="17"/>
                <w:szCs w:val="17"/>
              </w:rPr>
            </w:pPr>
          </w:p>
        </w:tc>
        <w:tc>
          <w:tcPr>
            <w:tcW w:w="849" w:type="dxa"/>
            <w:tcBorders>
              <w:top w:val="single" w:sz="4" w:space="0" w:color="C0C0C0"/>
              <w:left w:val="single" w:sz="4" w:space="0" w:color="auto"/>
              <w:bottom w:val="single" w:sz="4" w:space="0" w:color="C0C0C0"/>
              <w:right w:val="single" w:sz="4" w:space="0" w:color="auto"/>
            </w:tcBorders>
            <w:tcMar>
              <w:top w:w="11" w:type="dxa"/>
              <w:left w:w="45" w:type="dxa"/>
              <w:bottom w:w="11" w:type="dxa"/>
              <w:right w:w="45" w:type="dxa"/>
            </w:tcMar>
            <w:vAlign w:val="center"/>
          </w:tcPr>
          <w:p w14:paraId="4FF4BD1E" w14:textId="77777777" w:rsidR="00F37F0F" w:rsidRDefault="00F37F0F" w:rsidP="003A385F">
            <w:pPr>
              <w:jc w:val="center"/>
              <w:rPr>
                <w:rFonts w:cs="Arial"/>
                <w:sz w:val="17"/>
                <w:szCs w:val="17"/>
              </w:rPr>
            </w:pPr>
          </w:p>
        </w:tc>
        <w:tc>
          <w:tcPr>
            <w:tcW w:w="708" w:type="dxa"/>
            <w:tcBorders>
              <w:top w:val="single" w:sz="4" w:space="0" w:color="C0C0C0"/>
              <w:left w:val="single" w:sz="4" w:space="0" w:color="auto"/>
              <w:bottom w:val="single" w:sz="4" w:space="0" w:color="C0C0C0"/>
            </w:tcBorders>
            <w:tcMar>
              <w:top w:w="11" w:type="dxa"/>
              <w:left w:w="45" w:type="dxa"/>
              <w:bottom w:w="11" w:type="dxa"/>
              <w:right w:w="45" w:type="dxa"/>
            </w:tcMar>
            <w:vAlign w:val="center"/>
          </w:tcPr>
          <w:p w14:paraId="7B0812AB" w14:textId="77777777" w:rsidR="00F37F0F" w:rsidRDefault="00F37F0F" w:rsidP="003A385F">
            <w:pPr>
              <w:jc w:val="center"/>
              <w:rPr>
                <w:rFonts w:cs="Arial"/>
                <w:sz w:val="17"/>
                <w:szCs w:val="17"/>
              </w:rPr>
            </w:pPr>
          </w:p>
        </w:tc>
      </w:tr>
      <w:tr w:rsidR="00F37F0F" w14:paraId="45EFDF65" w14:textId="77777777" w:rsidTr="00632A06">
        <w:trPr>
          <w:gridAfter w:val="1"/>
          <w:wAfter w:w="30" w:type="dxa"/>
          <w:trHeight w:hRule="exact" w:val="238"/>
        </w:trPr>
        <w:tc>
          <w:tcPr>
            <w:tcW w:w="3544" w:type="dxa"/>
            <w:tcBorders>
              <w:top w:val="single" w:sz="4" w:space="0" w:color="C0C0C0"/>
              <w:bottom w:val="single" w:sz="4" w:space="0" w:color="C0C0C0"/>
              <w:right w:val="single" w:sz="4" w:space="0" w:color="auto"/>
            </w:tcBorders>
            <w:tcMar>
              <w:top w:w="11" w:type="dxa"/>
              <w:left w:w="45" w:type="dxa"/>
              <w:bottom w:w="11" w:type="dxa"/>
              <w:right w:w="45" w:type="dxa"/>
            </w:tcMar>
            <w:vAlign w:val="center"/>
          </w:tcPr>
          <w:p w14:paraId="2F92EE8F" w14:textId="77777777" w:rsidR="00F37F0F" w:rsidRDefault="00F37F0F" w:rsidP="003A385F">
            <w:pPr>
              <w:pStyle w:val="Header"/>
              <w:rPr>
                <w:rFonts w:cs="Arial"/>
                <w:sz w:val="17"/>
                <w:szCs w:val="17"/>
              </w:rPr>
            </w:pPr>
            <w:r>
              <w:rPr>
                <w:rFonts w:cs="Arial"/>
                <w:sz w:val="17"/>
                <w:szCs w:val="17"/>
              </w:rPr>
              <w:t>Briefings are common where I work.</w:t>
            </w:r>
          </w:p>
        </w:tc>
        <w:tc>
          <w:tcPr>
            <w:tcW w:w="1179" w:type="dxa"/>
            <w:tcBorders>
              <w:top w:val="single" w:sz="4" w:space="0" w:color="C0C0C0"/>
              <w:left w:val="single" w:sz="4" w:space="0" w:color="auto"/>
              <w:bottom w:val="single" w:sz="4" w:space="0" w:color="C0C0C0"/>
              <w:right w:val="single" w:sz="4" w:space="0" w:color="auto"/>
            </w:tcBorders>
            <w:tcMar>
              <w:top w:w="11" w:type="dxa"/>
              <w:left w:w="45" w:type="dxa"/>
              <w:bottom w:w="11" w:type="dxa"/>
              <w:right w:w="45" w:type="dxa"/>
            </w:tcMar>
            <w:vAlign w:val="center"/>
          </w:tcPr>
          <w:p w14:paraId="32D6BA31" w14:textId="77777777" w:rsidR="00F37F0F" w:rsidRDefault="00F37F0F" w:rsidP="003A385F">
            <w:pPr>
              <w:jc w:val="center"/>
              <w:rPr>
                <w:rFonts w:cs="Arial"/>
                <w:sz w:val="17"/>
                <w:szCs w:val="17"/>
              </w:rPr>
            </w:pPr>
          </w:p>
        </w:tc>
        <w:tc>
          <w:tcPr>
            <w:tcW w:w="849" w:type="dxa"/>
            <w:tcBorders>
              <w:top w:val="single" w:sz="4" w:space="0" w:color="C0C0C0"/>
              <w:left w:val="single" w:sz="4" w:space="0" w:color="auto"/>
              <w:bottom w:val="single" w:sz="4" w:space="0" w:color="C0C0C0"/>
              <w:right w:val="single" w:sz="4" w:space="0" w:color="auto"/>
            </w:tcBorders>
            <w:tcMar>
              <w:top w:w="11" w:type="dxa"/>
              <w:left w:w="45" w:type="dxa"/>
              <w:bottom w:w="11" w:type="dxa"/>
              <w:right w:w="45" w:type="dxa"/>
            </w:tcMar>
            <w:vAlign w:val="center"/>
          </w:tcPr>
          <w:p w14:paraId="72B1C642" w14:textId="77777777" w:rsidR="00F37F0F" w:rsidRDefault="00F37F0F" w:rsidP="003A385F">
            <w:pPr>
              <w:jc w:val="center"/>
              <w:rPr>
                <w:rFonts w:cs="Arial"/>
                <w:sz w:val="17"/>
                <w:szCs w:val="17"/>
              </w:rPr>
            </w:pPr>
            <w:r>
              <w:rPr>
                <w:rFonts w:cs="Arial"/>
                <w:sz w:val="17"/>
                <w:szCs w:val="17"/>
              </w:rPr>
              <w:t>.531</w:t>
            </w:r>
          </w:p>
        </w:tc>
        <w:tc>
          <w:tcPr>
            <w:tcW w:w="850" w:type="dxa"/>
            <w:tcBorders>
              <w:top w:val="single" w:sz="4" w:space="0" w:color="C0C0C0"/>
              <w:left w:val="single" w:sz="4" w:space="0" w:color="auto"/>
              <w:bottom w:val="single" w:sz="4" w:space="0" w:color="C0C0C0"/>
            </w:tcBorders>
            <w:tcMar>
              <w:top w:w="11" w:type="dxa"/>
              <w:left w:w="45" w:type="dxa"/>
              <w:bottom w:w="11" w:type="dxa"/>
              <w:right w:w="45" w:type="dxa"/>
            </w:tcMar>
            <w:vAlign w:val="center"/>
          </w:tcPr>
          <w:p w14:paraId="290FD7BA" w14:textId="77777777" w:rsidR="00F37F0F" w:rsidRDefault="00F37F0F" w:rsidP="003A385F">
            <w:pPr>
              <w:jc w:val="center"/>
              <w:rPr>
                <w:rFonts w:cs="Arial"/>
                <w:sz w:val="17"/>
                <w:szCs w:val="17"/>
              </w:rPr>
            </w:pPr>
          </w:p>
        </w:tc>
        <w:tc>
          <w:tcPr>
            <w:tcW w:w="849" w:type="dxa"/>
            <w:tcBorders>
              <w:top w:val="single" w:sz="4" w:space="0" w:color="C0C0C0"/>
              <w:left w:val="single" w:sz="4" w:space="0" w:color="auto"/>
              <w:bottom w:val="single" w:sz="4" w:space="0" w:color="C0C0C0"/>
              <w:right w:val="single" w:sz="4" w:space="0" w:color="auto"/>
            </w:tcBorders>
            <w:tcMar>
              <w:top w:w="11" w:type="dxa"/>
              <w:left w:w="45" w:type="dxa"/>
              <w:bottom w:w="11" w:type="dxa"/>
              <w:right w:w="45" w:type="dxa"/>
            </w:tcMar>
            <w:vAlign w:val="center"/>
          </w:tcPr>
          <w:p w14:paraId="5FD3B6E3" w14:textId="77777777" w:rsidR="00F37F0F" w:rsidRDefault="00F37F0F" w:rsidP="003A385F">
            <w:pPr>
              <w:jc w:val="center"/>
              <w:rPr>
                <w:rFonts w:cs="Arial"/>
                <w:sz w:val="17"/>
                <w:szCs w:val="17"/>
              </w:rPr>
            </w:pPr>
          </w:p>
        </w:tc>
        <w:tc>
          <w:tcPr>
            <w:tcW w:w="708" w:type="dxa"/>
            <w:tcBorders>
              <w:top w:val="single" w:sz="4" w:space="0" w:color="C0C0C0"/>
              <w:left w:val="single" w:sz="4" w:space="0" w:color="auto"/>
              <w:bottom w:val="single" w:sz="4" w:space="0" w:color="C0C0C0"/>
            </w:tcBorders>
            <w:tcMar>
              <w:top w:w="11" w:type="dxa"/>
              <w:left w:w="45" w:type="dxa"/>
              <w:bottom w:w="11" w:type="dxa"/>
              <w:right w:w="45" w:type="dxa"/>
            </w:tcMar>
            <w:vAlign w:val="center"/>
          </w:tcPr>
          <w:p w14:paraId="581C04C5" w14:textId="77777777" w:rsidR="00F37F0F" w:rsidRDefault="00F37F0F" w:rsidP="003A385F">
            <w:pPr>
              <w:jc w:val="center"/>
              <w:rPr>
                <w:rFonts w:cs="Arial"/>
                <w:sz w:val="17"/>
                <w:szCs w:val="17"/>
              </w:rPr>
            </w:pPr>
          </w:p>
        </w:tc>
      </w:tr>
      <w:tr w:rsidR="00F37F0F" w14:paraId="5EA5B0A2" w14:textId="77777777" w:rsidTr="00632A06">
        <w:trPr>
          <w:gridAfter w:val="1"/>
          <w:wAfter w:w="30" w:type="dxa"/>
          <w:trHeight w:hRule="exact" w:val="431"/>
        </w:trPr>
        <w:tc>
          <w:tcPr>
            <w:tcW w:w="3544" w:type="dxa"/>
            <w:tcBorders>
              <w:top w:val="single" w:sz="4" w:space="0" w:color="C0C0C0"/>
              <w:bottom w:val="single" w:sz="4" w:space="0" w:color="auto"/>
              <w:right w:val="single" w:sz="4" w:space="0" w:color="auto"/>
            </w:tcBorders>
            <w:tcMar>
              <w:top w:w="11" w:type="dxa"/>
              <w:left w:w="45" w:type="dxa"/>
              <w:bottom w:w="11" w:type="dxa"/>
              <w:right w:w="45" w:type="dxa"/>
            </w:tcMar>
            <w:vAlign w:val="center"/>
          </w:tcPr>
          <w:p w14:paraId="1E59F9C3" w14:textId="77777777" w:rsidR="00F37F0F" w:rsidRDefault="00F37F0F" w:rsidP="003A385F">
            <w:pPr>
              <w:pStyle w:val="Header"/>
              <w:rPr>
                <w:rFonts w:cs="Arial"/>
                <w:sz w:val="17"/>
                <w:szCs w:val="17"/>
              </w:rPr>
            </w:pPr>
            <w:r>
              <w:rPr>
                <w:rFonts w:cs="Arial"/>
                <w:sz w:val="17"/>
                <w:szCs w:val="17"/>
              </w:rPr>
              <w:t>I am satisfied with the quality of collaboration that I experience with nurses where I work.</w:t>
            </w:r>
          </w:p>
        </w:tc>
        <w:tc>
          <w:tcPr>
            <w:tcW w:w="1179" w:type="dxa"/>
            <w:tcBorders>
              <w:top w:val="single" w:sz="4" w:space="0" w:color="C0C0C0"/>
              <w:left w:val="single" w:sz="4" w:space="0" w:color="auto"/>
              <w:bottom w:val="single" w:sz="4" w:space="0" w:color="auto"/>
              <w:right w:val="single" w:sz="4" w:space="0" w:color="auto"/>
            </w:tcBorders>
            <w:tcMar>
              <w:top w:w="11" w:type="dxa"/>
              <w:left w:w="45" w:type="dxa"/>
              <w:bottom w:w="11" w:type="dxa"/>
              <w:right w:w="45" w:type="dxa"/>
            </w:tcMar>
            <w:vAlign w:val="center"/>
          </w:tcPr>
          <w:p w14:paraId="7CCF8008" w14:textId="77777777" w:rsidR="00F37F0F" w:rsidRDefault="00F37F0F" w:rsidP="003A385F">
            <w:pPr>
              <w:jc w:val="center"/>
              <w:rPr>
                <w:rFonts w:cs="Arial"/>
                <w:sz w:val="17"/>
                <w:szCs w:val="17"/>
              </w:rPr>
            </w:pPr>
            <w:r>
              <w:rPr>
                <w:rFonts w:cs="Arial"/>
                <w:sz w:val="17"/>
                <w:szCs w:val="17"/>
              </w:rPr>
              <w:t>.309</w:t>
            </w:r>
          </w:p>
        </w:tc>
        <w:tc>
          <w:tcPr>
            <w:tcW w:w="849" w:type="dxa"/>
            <w:tcBorders>
              <w:top w:val="single" w:sz="4" w:space="0" w:color="C0C0C0"/>
              <w:left w:val="single" w:sz="4" w:space="0" w:color="auto"/>
              <w:bottom w:val="single" w:sz="4" w:space="0" w:color="auto"/>
              <w:right w:val="single" w:sz="4" w:space="0" w:color="auto"/>
            </w:tcBorders>
            <w:tcMar>
              <w:top w:w="11" w:type="dxa"/>
              <w:left w:w="45" w:type="dxa"/>
              <w:bottom w:w="11" w:type="dxa"/>
              <w:right w:w="45" w:type="dxa"/>
            </w:tcMar>
            <w:vAlign w:val="center"/>
          </w:tcPr>
          <w:p w14:paraId="3F6FBD13" w14:textId="77777777" w:rsidR="00F37F0F" w:rsidRDefault="00F37F0F" w:rsidP="003A385F">
            <w:pPr>
              <w:jc w:val="center"/>
              <w:rPr>
                <w:rFonts w:cs="Arial"/>
                <w:sz w:val="17"/>
                <w:szCs w:val="17"/>
              </w:rPr>
            </w:pPr>
            <w:r>
              <w:rPr>
                <w:rFonts w:cs="Arial"/>
                <w:sz w:val="17"/>
                <w:szCs w:val="17"/>
              </w:rPr>
              <w:t>.481</w:t>
            </w:r>
          </w:p>
        </w:tc>
        <w:tc>
          <w:tcPr>
            <w:tcW w:w="850" w:type="dxa"/>
            <w:tcBorders>
              <w:top w:val="single" w:sz="4" w:space="0" w:color="C0C0C0"/>
              <w:left w:val="single" w:sz="4" w:space="0" w:color="auto"/>
              <w:bottom w:val="single" w:sz="4" w:space="0" w:color="auto"/>
            </w:tcBorders>
            <w:tcMar>
              <w:top w:w="11" w:type="dxa"/>
              <w:left w:w="45" w:type="dxa"/>
              <w:bottom w:w="11" w:type="dxa"/>
              <w:right w:w="45" w:type="dxa"/>
            </w:tcMar>
            <w:vAlign w:val="center"/>
          </w:tcPr>
          <w:p w14:paraId="3CB559A5" w14:textId="77777777" w:rsidR="00F37F0F" w:rsidRDefault="00F37F0F" w:rsidP="003A385F">
            <w:pPr>
              <w:jc w:val="center"/>
              <w:rPr>
                <w:rFonts w:cs="Arial"/>
                <w:sz w:val="17"/>
                <w:szCs w:val="17"/>
              </w:rPr>
            </w:pPr>
          </w:p>
        </w:tc>
        <w:tc>
          <w:tcPr>
            <w:tcW w:w="849" w:type="dxa"/>
            <w:tcBorders>
              <w:top w:val="single" w:sz="4" w:space="0" w:color="C0C0C0"/>
              <w:left w:val="single" w:sz="4" w:space="0" w:color="auto"/>
              <w:bottom w:val="single" w:sz="4" w:space="0" w:color="auto"/>
              <w:right w:val="single" w:sz="4" w:space="0" w:color="auto"/>
            </w:tcBorders>
            <w:tcMar>
              <w:top w:w="11" w:type="dxa"/>
              <w:left w:w="45" w:type="dxa"/>
              <w:bottom w:w="11" w:type="dxa"/>
              <w:right w:w="45" w:type="dxa"/>
            </w:tcMar>
            <w:vAlign w:val="center"/>
          </w:tcPr>
          <w:p w14:paraId="143CDD52" w14:textId="77777777" w:rsidR="00F37F0F" w:rsidRDefault="00F37F0F" w:rsidP="003A385F">
            <w:pPr>
              <w:jc w:val="center"/>
              <w:rPr>
                <w:rFonts w:cs="Arial"/>
                <w:sz w:val="17"/>
                <w:szCs w:val="17"/>
              </w:rPr>
            </w:pPr>
          </w:p>
        </w:tc>
        <w:tc>
          <w:tcPr>
            <w:tcW w:w="708" w:type="dxa"/>
            <w:tcBorders>
              <w:top w:val="single" w:sz="4" w:space="0" w:color="C0C0C0"/>
              <w:left w:val="single" w:sz="4" w:space="0" w:color="auto"/>
              <w:bottom w:val="single" w:sz="4" w:space="0" w:color="auto"/>
            </w:tcBorders>
            <w:tcMar>
              <w:top w:w="11" w:type="dxa"/>
              <w:left w:w="45" w:type="dxa"/>
              <w:bottom w:w="11" w:type="dxa"/>
              <w:right w:w="45" w:type="dxa"/>
            </w:tcMar>
            <w:vAlign w:val="center"/>
          </w:tcPr>
          <w:p w14:paraId="7E03461D" w14:textId="77777777" w:rsidR="00F37F0F" w:rsidRDefault="00F37F0F" w:rsidP="003A385F">
            <w:pPr>
              <w:jc w:val="center"/>
              <w:rPr>
                <w:rFonts w:cs="Arial"/>
                <w:sz w:val="17"/>
                <w:szCs w:val="17"/>
              </w:rPr>
            </w:pPr>
          </w:p>
        </w:tc>
      </w:tr>
      <w:tr w:rsidR="00F37F0F" w14:paraId="6D99D9CB" w14:textId="77777777" w:rsidTr="00632A06">
        <w:trPr>
          <w:gridAfter w:val="1"/>
          <w:wAfter w:w="30" w:type="dxa"/>
          <w:trHeight w:hRule="exact" w:val="347"/>
        </w:trPr>
        <w:tc>
          <w:tcPr>
            <w:tcW w:w="3544" w:type="dxa"/>
            <w:tcBorders>
              <w:top w:val="single" w:sz="4" w:space="0" w:color="auto"/>
              <w:bottom w:val="single" w:sz="4" w:space="0" w:color="999999"/>
              <w:right w:val="single" w:sz="4" w:space="0" w:color="auto"/>
            </w:tcBorders>
            <w:tcMar>
              <w:top w:w="11" w:type="dxa"/>
              <w:left w:w="45" w:type="dxa"/>
              <w:bottom w:w="11" w:type="dxa"/>
              <w:right w:w="45" w:type="dxa"/>
            </w:tcMar>
            <w:vAlign w:val="center"/>
          </w:tcPr>
          <w:p w14:paraId="1576187C" w14:textId="77777777" w:rsidR="00F37F0F" w:rsidRDefault="00F37F0F" w:rsidP="003A385F">
            <w:pPr>
              <w:pStyle w:val="Header"/>
              <w:rPr>
                <w:rFonts w:cs="Arial"/>
                <w:sz w:val="17"/>
                <w:szCs w:val="17"/>
              </w:rPr>
            </w:pPr>
            <w:r>
              <w:rPr>
                <w:rFonts w:cs="Arial"/>
                <w:b/>
                <w:sz w:val="20"/>
                <w:lang w:val="en-US"/>
              </w:rPr>
              <w:t>Factor 3 (Safety Climate)</w:t>
            </w:r>
          </w:p>
        </w:tc>
        <w:tc>
          <w:tcPr>
            <w:tcW w:w="1179" w:type="dxa"/>
            <w:tcBorders>
              <w:top w:val="single" w:sz="4" w:space="0" w:color="auto"/>
              <w:left w:val="single" w:sz="4" w:space="0" w:color="auto"/>
              <w:bottom w:val="single" w:sz="4" w:space="0" w:color="999999"/>
              <w:right w:val="single" w:sz="4" w:space="0" w:color="auto"/>
            </w:tcBorders>
            <w:tcMar>
              <w:top w:w="11" w:type="dxa"/>
              <w:left w:w="45" w:type="dxa"/>
              <w:bottom w:w="11" w:type="dxa"/>
              <w:right w:w="45" w:type="dxa"/>
            </w:tcMar>
            <w:vAlign w:val="center"/>
          </w:tcPr>
          <w:p w14:paraId="6E961A85" w14:textId="77777777" w:rsidR="00F37F0F" w:rsidRDefault="00F37F0F" w:rsidP="003A385F">
            <w:pPr>
              <w:jc w:val="center"/>
              <w:rPr>
                <w:rFonts w:cs="Arial"/>
                <w:sz w:val="17"/>
                <w:szCs w:val="17"/>
              </w:rPr>
            </w:pPr>
          </w:p>
        </w:tc>
        <w:tc>
          <w:tcPr>
            <w:tcW w:w="849" w:type="dxa"/>
            <w:tcBorders>
              <w:top w:val="single" w:sz="4" w:space="0" w:color="auto"/>
              <w:left w:val="single" w:sz="4" w:space="0" w:color="auto"/>
              <w:bottom w:val="single" w:sz="4" w:space="0" w:color="999999"/>
              <w:right w:val="single" w:sz="4" w:space="0" w:color="auto"/>
            </w:tcBorders>
            <w:tcMar>
              <w:top w:w="11" w:type="dxa"/>
              <w:left w:w="45" w:type="dxa"/>
              <w:bottom w:w="11" w:type="dxa"/>
              <w:right w:w="45" w:type="dxa"/>
            </w:tcMar>
            <w:vAlign w:val="center"/>
          </w:tcPr>
          <w:p w14:paraId="0F84597B" w14:textId="77777777" w:rsidR="00F37F0F" w:rsidRDefault="00F37F0F" w:rsidP="003A385F">
            <w:pPr>
              <w:jc w:val="center"/>
              <w:rPr>
                <w:rFonts w:cs="Arial"/>
                <w:sz w:val="17"/>
                <w:szCs w:val="17"/>
              </w:rPr>
            </w:pPr>
          </w:p>
        </w:tc>
        <w:tc>
          <w:tcPr>
            <w:tcW w:w="850" w:type="dxa"/>
            <w:tcBorders>
              <w:top w:val="single" w:sz="4" w:space="0" w:color="auto"/>
              <w:left w:val="single" w:sz="4" w:space="0" w:color="auto"/>
              <w:bottom w:val="single" w:sz="4" w:space="0" w:color="999999"/>
            </w:tcBorders>
            <w:tcMar>
              <w:top w:w="11" w:type="dxa"/>
              <w:left w:w="45" w:type="dxa"/>
              <w:bottom w:w="11" w:type="dxa"/>
              <w:right w:w="45" w:type="dxa"/>
            </w:tcMar>
            <w:vAlign w:val="center"/>
          </w:tcPr>
          <w:p w14:paraId="63696C38" w14:textId="77777777" w:rsidR="00F37F0F" w:rsidRDefault="00F37F0F" w:rsidP="003A385F">
            <w:pPr>
              <w:jc w:val="center"/>
              <w:rPr>
                <w:rFonts w:cs="Arial"/>
                <w:sz w:val="17"/>
                <w:szCs w:val="17"/>
              </w:rPr>
            </w:pPr>
          </w:p>
        </w:tc>
        <w:tc>
          <w:tcPr>
            <w:tcW w:w="849" w:type="dxa"/>
            <w:tcBorders>
              <w:top w:val="single" w:sz="4" w:space="0" w:color="auto"/>
              <w:left w:val="single" w:sz="4" w:space="0" w:color="auto"/>
              <w:bottom w:val="single" w:sz="4" w:space="0" w:color="999999"/>
              <w:right w:val="single" w:sz="4" w:space="0" w:color="auto"/>
            </w:tcBorders>
            <w:tcMar>
              <w:top w:w="11" w:type="dxa"/>
              <w:left w:w="45" w:type="dxa"/>
              <w:bottom w:w="11" w:type="dxa"/>
              <w:right w:w="45" w:type="dxa"/>
            </w:tcMar>
            <w:vAlign w:val="center"/>
          </w:tcPr>
          <w:p w14:paraId="5E698472" w14:textId="77777777" w:rsidR="00F37F0F" w:rsidRDefault="00F37F0F" w:rsidP="003A385F">
            <w:pPr>
              <w:jc w:val="center"/>
              <w:rPr>
                <w:rFonts w:cs="Arial"/>
                <w:sz w:val="17"/>
                <w:szCs w:val="17"/>
              </w:rPr>
            </w:pPr>
          </w:p>
        </w:tc>
        <w:tc>
          <w:tcPr>
            <w:tcW w:w="708" w:type="dxa"/>
            <w:tcBorders>
              <w:top w:val="single" w:sz="4" w:space="0" w:color="auto"/>
              <w:left w:val="single" w:sz="4" w:space="0" w:color="auto"/>
              <w:bottom w:val="single" w:sz="4" w:space="0" w:color="999999"/>
            </w:tcBorders>
            <w:tcMar>
              <w:top w:w="11" w:type="dxa"/>
              <w:left w:w="45" w:type="dxa"/>
              <w:bottom w:w="11" w:type="dxa"/>
              <w:right w:w="45" w:type="dxa"/>
            </w:tcMar>
            <w:vAlign w:val="center"/>
          </w:tcPr>
          <w:p w14:paraId="110AFD08" w14:textId="77777777" w:rsidR="00F37F0F" w:rsidRDefault="00F37F0F" w:rsidP="003A385F">
            <w:pPr>
              <w:jc w:val="center"/>
              <w:rPr>
                <w:rFonts w:cs="Arial"/>
                <w:sz w:val="17"/>
                <w:szCs w:val="17"/>
              </w:rPr>
            </w:pPr>
          </w:p>
        </w:tc>
      </w:tr>
      <w:tr w:rsidR="00F37F0F" w14:paraId="29BCFFB4" w14:textId="77777777" w:rsidTr="00632A06">
        <w:trPr>
          <w:gridAfter w:val="1"/>
          <w:wAfter w:w="30" w:type="dxa"/>
          <w:trHeight w:hRule="exact" w:val="238"/>
        </w:trPr>
        <w:tc>
          <w:tcPr>
            <w:tcW w:w="3544" w:type="dxa"/>
            <w:tcBorders>
              <w:top w:val="single" w:sz="4" w:space="0" w:color="999999"/>
              <w:bottom w:val="single" w:sz="4" w:space="0" w:color="999999"/>
              <w:right w:val="single" w:sz="4" w:space="0" w:color="auto"/>
            </w:tcBorders>
            <w:tcMar>
              <w:top w:w="11" w:type="dxa"/>
              <w:left w:w="45" w:type="dxa"/>
              <w:bottom w:w="11" w:type="dxa"/>
              <w:right w:w="45" w:type="dxa"/>
            </w:tcMar>
            <w:vAlign w:val="center"/>
          </w:tcPr>
          <w:p w14:paraId="4245424C" w14:textId="77777777" w:rsidR="00F37F0F" w:rsidRDefault="00F37F0F" w:rsidP="003A385F">
            <w:pPr>
              <w:pStyle w:val="Header"/>
              <w:rPr>
                <w:rFonts w:cs="Arial"/>
                <w:sz w:val="17"/>
                <w:szCs w:val="17"/>
              </w:rPr>
            </w:pPr>
            <w:r>
              <w:rPr>
                <w:rFonts w:cs="Arial"/>
                <w:sz w:val="17"/>
                <w:szCs w:val="17"/>
              </w:rPr>
              <w:t>I am encouraged by my colleagues to report any patient safety concerns I may have.</w:t>
            </w:r>
          </w:p>
        </w:tc>
        <w:tc>
          <w:tcPr>
            <w:tcW w:w="1179" w:type="dxa"/>
            <w:tcBorders>
              <w:top w:val="single" w:sz="4" w:space="0" w:color="999999"/>
              <w:left w:val="single" w:sz="4" w:space="0" w:color="auto"/>
              <w:bottom w:val="single" w:sz="4" w:space="0" w:color="999999"/>
              <w:right w:val="single" w:sz="4" w:space="0" w:color="auto"/>
            </w:tcBorders>
            <w:tcMar>
              <w:top w:w="11" w:type="dxa"/>
              <w:left w:w="45" w:type="dxa"/>
              <w:bottom w:w="11" w:type="dxa"/>
              <w:right w:w="45" w:type="dxa"/>
            </w:tcMar>
            <w:vAlign w:val="center"/>
          </w:tcPr>
          <w:p w14:paraId="760D39B1" w14:textId="77777777" w:rsidR="00F37F0F" w:rsidRDefault="00F37F0F" w:rsidP="003A385F">
            <w:pPr>
              <w:jc w:val="center"/>
              <w:rPr>
                <w:rFonts w:cs="Arial"/>
                <w:sz w:val="17"/>
                <w:szCs w:val="17"/>
              </w:rPr>
            </w:pPr>
          </w:p>
        </w:tc>
        <w:tc>
          <w:tcPr>
            <w:tcW w:w="849" w:type="dxa"/>
            <w:tcBorders>
              <w:top w:val="single" w:sz="4" w:space="0" w:color="999999"/>
              <w:left w:val="single" w:sz="4" w:space="0" w:color="auto"/>
              <w:bottom w:val="single" w:sz="4" w:space="0" w:color="999999"/>
              <w:right w:val="single" w:sz="4" w:space="0" w:color="auto"/>
            </w:tcBorders>
            <w:tcMar>
              <w:top w:w="11" w:type="dxa"/>
              <w:left w:w="45" w:type="dxa"/>
              <w:bottom w:w="11" w:type="dxa"/>
              <w:right w:w="45" w:type="dxa"/>
            </w:tcMar>
            <w:vAlign w:val="center"/>
          </w:tcPr>
          <w:p w14:paraId="746B4491" w14:textId="77777777" w:rsidR="00F37F0F" w:rsidRDefault="00F37F0F" w:rsidP="003A385F">
            <w:pPr>
              <w:jc w:val="center"/>
              <w:rPr>
                <w:rFonts w:cs="Arial"/>
                <w:sz w:val="17"/>
                <w:szCs w:val="17"/>
              </w:rPr>
            </w:pPr>
          </w:p>
        </w:tc>
        <w:tc>
          <w:tcPr>
            <w:tcW w:w="850" w:type="dxa"/>
            <w:tcBorders>
              <w:top w:val="single" w:sz="4" w:space="0" w:color="999999"/>
              <w:left w:val="single" w:sz="4" w:space="0" w:color="auto"/>
              <w:bottom w:val="single" w:sz="4" w:space="0" w:color="999999"/>
            </w:tcBorders>
            <w:tcMar>
              <w:top w:w="11" w:type="dxa"/>
              <w:left w:w="45" w:type="dxa"/>
              <w:bottom w:w="11" w:type="dxa"/>
              <w:right w:w="45" w:type="dxa"/>
            </w:tcMar>
            <w:vAlign w:val="center"/>
          </w:tcPr>
          <w:p w14:paraId="523265E3" w14:textId="77777777" w:rsidR="00F37F0F" w:rsidRDefault="00F37F0F" w:rsidP="003A385F">
            <w:pPr>
              <w:jc w:val="center"/>
              <w:rPr>
                <w:rFonts w:cs="Arial"/>
                <w:sz w:val="17"/>
                <w:szCs w:val="17"/>
              </w:rPr>
            </w:pPr>
            <w:r>
              <w:rPr>
                <w:rFonts w:cs="Arial"/>
                <w:sz w:val="17"/>
                <w:szCs w:val="17"/>
              </w:rPr>
              <w:t>-.386</w:t>
            </w:r>
          </w:p>
        </w:tc>
        <w:tc>
          <w:tcPr>
            <w:tcW w:w="849" w:type="dxa"/>
            <w:tcBorders>
              <w:top w:val="single" w:sz="4" w:space="0" w:color="999999"/>
              <w:left w:val="single" w:sz="4" w:space="0" w:color="auto"/>
              <w:bottom w:val="single" w:sz="4" w:space="0" w:color="999999"/>
              <w:right w:val="single" w:sz="4" w:space="0" w:color="auto"/>
            </w:tcBorders>
            <w:tcMar>
              <w:top w:w="11" w:type="dxa"/>
              <w:left w:w="45" w:type="dxa"/>
              <w:bottom w:w="11" w:type="dxa"/>
              <w:right w:w="45" w:type="dxa"/>
            </w:tcMar>
            <w:vAlign w:val="center"/>
          </w:tcPr>
          <w:p w14:paraId="727B8F00" w14:textId="77777777" w:rsidR="00F37F0F" w:rsidRDefault="00F37F0F" w:rsidP="003A385F">
            <w:pPr>
              <w:jc w:val="center"/>
              <w:rPr>
                <w:rFonts w:cs="Arial"/>
                <w:sz w:val="17"/>
                <w:szCs w:val="17"/>
              </w:rPr>
            </w:pPr>
          </w:p>
        </w:tc>
        <w:tc>
          <w:tcPr>
            <w:tcW w:w="708" w:type="dxa"/>
            <w:tcBorders>
              <w:top w:val="single" w:sz="4" w:space="0" w:color="999999"/>
              <w:left w:val="single" w:sz="4" w:space="0" w:color="auto"/>
              <w:bottom w:val="single" w:sz="4" w:space="0" w:color="999999"/>
            </w:tcBorders>
            <w:tcMar>
              <w:top w:w="11" w:type="dxa"/>
              <w:left w:w="45" w:type="dxa"/>
              <w:bottom w:w="11" w:type="dxa"/>
              <w:right w:w="45" w:type="dxa"/>
            </w:tcMar>
            <w:vAlign w:val="center"/>
          </w:tcPr>
          <w:p w14:paraId="0929F587" w14:textId="77777777" w:rsidR="00F37F0F" w:rsidRDefault="00F37F0F" w:rsidP="003A385F">
            <w:pPr>
              <w:jc w:val="center"/>
              <w:rPr>
                <w:rFonts w:cs="Arial"/>
                <w:sz w:val="17"/>
                <w:szCs w:val="17"/>
              </w:rPr>
            </w:pPr>
          </w:p>
        </w:tc>
      </w:tr>
      <w:tr w:rsidR="00F37F0F" w14:paraId="79198572" w14:textId="77777777" w:rsidTr="00632A06">
        <w:trPr>
          <w:gridAfter w:val="1"/>
          <w:wAfter w:w="30" w:type="dxa"/>
          <w:trHeight w:hRule="exact" w:val="238"/>
        </w:trPr>
        <w:tc>
          <w:tcPr>
            <w:tcW w:w="3544" w:type="dxa"/>
            <w:tcBorders>
              <w:top w:val="single" w:sz="4" w:space="0" w:color="999999"/>
              <w:bottom w:val="single" w:sz="4" w:space="0" w:color="999999"/>
              <w:right w:val="single" w:sz="4" w:space="0" w:color="auto"/>
            </w:tcBorders>
            <w:tcMar>
              <w:top w:w="11" w:type="dxa"/>
              <w:left w:w="45" w:type="dxa"/>
              <w:bottom w:w="11" w:type="dxa"/>
              <w:right w:w="45" w:type="dxa"/>
            </w:tcMar>
            <w:vAlign w:val="center"/>
          </w:tcPr>
          <w:p w14:paraId="52AA770E" w14:textId="77777777" w:rsidR="00F37F0F" w:rsidRDefault="00F37F0F" w:rsidP="003A385F">
            <w:pPr>
              <w:pStyle w:val="Header"/>
              <w:rPr>
                <w:rFonts w:cs="Arial"/>
                <w:sz w:val="17"/>
                <w:szCs w:val="17"/>
              </w:rPr>
            </w:pPr>
            <w:r>
              <w:rPr>
                <w:rFonts w:cs="Arial"/>
                <w:sz w:val="17"/>
                <w:szCs w:val="17"/>
              </w:rPr>
              <w:t>The culture where I work makes it easy to learn from the errors of others.</w:t>
            </w:r>
          </w:p>
        </w:tc>
        <w:tc>
          <w:tcPr>
            <w:tcW w:w="1179" w:type="dxa"/>
            <w:tcBorders>
              <w:top w:val="single" w:sz="4" w:space="0" w:color="999999"/>
              <w:left w:val="single" w:sz="4" w:space="0" w:color="auto"/>
              <w:bottom w:val="single" w:sz="4" w:space="0" w:color="999999"/>
              <w:right w:val="single" w:sz="4" w:space="0" w:color="auto"/>
            </w:tcBorders>
            <w:tcMar>
              <w:top w:w="11" w:type="dxa"/>
              <w:left w:w="45" w:type="dxa"/>
              <w:bottom w:w="11" w:type="dxa"/>
              <w:right w:w="45" w:type="dxa"/>
            </w:tcMar>
            <w:vAlign w:val="center"/>
          </w:tcPr>
          <w:p w14:paraId="70A625AE" w14:textId="77777777" w:rsidR="00F37F0F" w:rsidRDefault="00F37F0F" w:rsidP="003A385F">
            <w:pPr>
              <w:jc w:val="center"/>
              <w:rPr>
                <w:rFonts w:cs="Arial"/>
                <w:sz w:val="17"/>
                <w:szCs w:val="17"/>
              </w:rPr>
            </w:pPr>
          </w:p>
        </w:tc>
        <w:tc>
          <w:tcPr>
            <w:tcW w:w="849" w:type="dxa"/>
            <w:tcBorders>
              <w:top w:val="single" w:sz="4" w:space="0" w:color="999999"/>
              <w:left w:val="single" w:sz="4" w:space="0" w:color="auto"/>
              <w:bottom w:val="single" w:sz="4" w:space="0" w:color="999999"/>
              <w:right w:val="single" w:sz="4" w:space="0" w:color="auto"/>
            </w:tcBorders>
            <w:tcMar>
              <w:top w:w="11" w:type="dxa"/>
              <w:left w:w="45" w:type="dxa"/>
              <w:bottom w:w="11" w:type="dxa"/>
              <w:right w:w="45" w:type="dxa"/>
            </w:tcMar>
            <w:vAlign w:val="center"/>
          </w:tcPr>
          <w:p w14:paraId="31007CFF" w14:textId="77777777" w:rsidR="00F37F0F" w:rsidRDefault="00F37F0F" w:rsidP="003A385F">
            <w:pPr>
              <w:jc w:val="center"/>
              <w:rPr>
                <w:rFonts w:cs="Arial"/>
                <w:sz w:val="17"/>
                <w:szCs w:val="17"/>
              </w:rPr>
            </w:pPr>
          </w:p>
        </w:tc>
        <w:tc>
          <w:tcPr>
            <w:tcW w:w="850" w:type="dxa"/>
            <w:tcBorders>
              <w:top w:val="single" w:sz="4" w:space="0" w:color="999999"/>
              <w:left w:val="single" w:sz="4" w:space="0" w:color="auto"/>
              <w:bottom w:val="single" w:sz="4" w:space="0" w:color="999999"/>
            </w:tcBorders>
            <w:tcMar>
              <w:top w:w="11" w:type="dxa"/>
              <w:left w:w="45" w:type="dxa"/>
              <w:bottom w:w="11" w:type="dxa"/>
              <w:right w:w="45" w:type="dxa"/>
            </w:tcMar>
            <w:vAlign w:val="center"/>
          </w:tcPr>
          <w:p w14:paraId="7AC814FB" w14:textId="77777777" w:rsidR="00F37F0F" w:rsidRDefault="00F37F0F" w:rsidP="003A385F">
            <w:pPr>
              <w:jc w:val="center"/>
              <w:rPr>
                <w:rFonts w:cs="Arial"/>
                <w:sz w:val="17"/>
                <w:szCs w:val="17"/>
              </w:rPr>
            </w:pPr>
            <w:r>
              <w:rPr>
                <w:rFonts w:cs="Arial"/>
                <w:sz w:val="17"/>
                <w:szCs w:val="17"/>
              </w:rPr>
              <w:t>-.612</w:t>
            </w:r>
          </w:p>
        </w:tc>
        <w:tc>
          <w:tcPr>
            <w:tcW w:w="849" w:type="dxa"/>
            <w:tcBorders>
              <w:top w:val="single" w:sz="4" w:space="0" w:color="999999"/>
              <w:left w:val="single" w:sz="4" w:space="0" w:color="auto"/>
              <w:bottom w:val="single" w:sz="4" w:space="0" w:color="999999"/>
              <w:right w:val="single" w:sz="4" w:space="0" w:color="auto"/>
            </w:tcBorders>
            <w:tcMar>
              <w:top w:w="11" w:type="dxa"/>
              <w:left w:w="45" w:type="dxa"/>
              <w:bottom w:w="11" w:type="dxa"/>
              <w:right w:w="45" w:type="dxa"/>
            </w:tcMar>
            <w:vAlign w:val="center"/>
          </w:tcPr>
          <w:p w14:paraId="68D9D2EC" w14:textId="77777777" w:rsidR="00F37F0F" w:rsidRDefault="00F37F0F" w:rsidP="003A385F">
            <w:pPr>
              <w:jc w:val="center"/>
              <w:rPr>
                <w:rFonts w:cs="Arial"/>
                <w:sz w:val="17"/>
                <w:szCs w:val="17"/>
              </w:rPr>
            </w:pPr>
          </w:p>
        </w:tc>
        <w:tc>
          <w:tcPr>
            <w:tcW w:w="708" w:type="dxa"/>
            <w:tcBorders>
              <w:top w:val="single" w:sz="4" w:space="0" w:color="999999"/>
              <w:left w:val="single" w:sz="4" w:space="0" w:color="auto"/>
              <w:bottom w:val="single" w:sz="4" w:space="0" w:color="999999"/>
            </w:tcBorders>
            <w:tcMar>
              <w:top w:w="11" w:type="dxa"/>
              <w:left w:w="45" w:type="dxa"/>
              <w:bottom w:w="11" w:type="dxa"/>
              <w:right w:w="45" w:type="dxa"/>
            </w:tcMar>
            <w:vAlign w:val="center"/>
          </w:tcPr>
          <w:p w14:paraId="077D9DC0" w14:textId="77777777" w:rsidR="00F37F0F" w:rsidRDefault="00F37F0F" w:rsidP="003A385F">
            <w:pPr>
              <w:jc w:val="center"/>
              <w:rPr>
                <w:rFonts w:cs="Arial"/>
                <w:sz w:val="17"/>
                <w:szCs w:val="17"/>
              </w:rPr>
            </w:pPr>
          </w:p>
        </w:tc>
      </w:tr>
      <w:tr w:rsidR="00F37F0F" w14:paraId="7BCFF45C" w14:textId="77777777" w:rsidTr="00632A06">
        <w:trPr>
          <w:trHeight w:hRule="exact" w:val="238"/>
        </w:trPr>
        <w:tc>
          <w:tcPr>
            <w:tcW w:w="3544" w:type="dxa"/>
            <w:tcBorders>
              <w:top w:val="single" w:sz="4" w:space="0" w:color="999999"/>
              <w:bottom w:val="single" w:sz="4" w:space="0" w:color="999999"/>
              <w:right w:val="single" w:sz="4" w:space="0" w:color="auto"/>
            </w:tcBorders>
            <w:tcMar>
              <w:top w:w="11" w:type="dxa"/>
              <w:left w:w="45" w:type="dxa"/>
              <w:bottom w:w="11" w:type="dxa"/>
              <w:right w:w="45" w:type="dxa"/>
            </w:tcMar>
            <w:vAlign w:val="center"/>
          </w:tcPr>
          <w:p w14:paraId="6321572E" w14:textId="77777777" w:rsidR="00F37F0F" w:rsidRDefault="00F37F0F" w:rsidP="003A385F">
            <w:pPr>
              <w:pStyle w:val="Header"/>
              <w:rPr>
                <w:rFonts w:cs="Arial"/>
                <w:sz w:val="17"/>
                <w:szCs w:val="17"/>
              </w:rPr>
            </w:pPr>
            <w:r>
              <w:rPr>
                <w:rFonts w:cs="Arial"/>
                <w:sz w:val="17"/>
                <w:szCs w:val="17"/>
              </w:rPr>
              <w:t>I receive appropriate feedback about my performance.</w:t>
            </w:r>
          </w:p>
        </w:tc>
        <w:tc>
          <w:tcPr>
            <w:tcW w:w="1179" w:type="dxa"/>
            <w:tcBorders>
              <w:top w:val="single" w:sz="4" w:space="0" w:color="999999"/>
              <w:left w:val="single" w:sz="4" w:space="0" w:color="auto"/>
              <w:bottom w:val="single" w:sz="4" w:space="0" w:color="999999"/>
              <w:right w:val="single" w:sz="4" w:space="0" w:color="auto"/>
            </w:tcBorders>
            <w:tcMar>
              <w:top w:w="11" w:type="dxa"/>
              <w:left w:w="45" w:type="dxa"/>
              <w:bottom w:w="11" w:type="dxa"/>
              <w:right w:w="45" w:type="dxa"/>
            </w:tcMar>
            <w:vAlign w:val="center"/>
          </w:tcPr>
          <w:p w14:paraId="111A67CA" w14:textId="77777777" w:rsidR="00F37F0F" w:rsidRDefault="00F37F0F" w:rsidP="003A385F">
            <w:pPr>
              <w:jc w:val="center"/>
              <w:rPr>
                <w:rFonts w:cs="Arial"/>
                <w:sz w:val="17"/>
                <w:szCs w:val="17"/>
              </w:rPr>
            </w:pPr>
          </w:p>
        </w:tc>
        <w:tc>
          <w:tcPr>
            <w:tcW w:w="849" w:type="dxa"/>
            <w:tcBorders>
              <w:top w:val="single" w:sz="4" w:space="0" w:color="999999"/>
              <w:left w:val="single" w:sz="4" w:space="0" w:color="auto"/>
              <w:bottom w:val="single" w:sz="4" w:space="0" w:color="999999"/>
              <w:right w:val="single" w:sz="4" w:space="0" w:color="auto"/>
            </w:tcBorders>
            <w:tcMar>
              <w:top w:w="11" w:type="dxa"/>
              <w:left w:w="45" w:type="dxa"/>
              <w:bottom w:w="11" w:type="dxa"/>
              <w:right w:w="45" w:type="dxa"/>
            </w:tcMar>
            <w:vAlign w:val="center"/>
          </w:tcPr>
          <w:p w14:paraId="3D0C6F53" w14:textId="77777777" w:rsidR="00F37F0F" w:rsidRDefault="00F37F0F" w:rsidP="003A385F">
            <w:pPr>
              <w:jc w:val="center"/>
              <w:rPr>
                <w:rFonts w:cs="Arial"/>
                <w:sz w:val="17"/>
                <w:szCs w:val="17"/>
              </w:rPr>
            </w:pPr>
          </w:p>
        </w:tc>
        <w:tc>
          <w:tcPr>
            <w:tcW w:w="850" w:type="dxa"/>
            <w:tcBorders>
              <w:top w:val="single" w:sz="4" w:space="0" w:color="999999"/>
              <w:left w:val="single" w:sz="4" w:space="0" w:color="auto"/>
              <w:bottom w:val="single" w:sz="4" w:space="0" w:color="999999"/>
            </w:tcBorders>
            <w:tcMar>
              <w:top w:w="11" w:type="dxa"/>
              <w:left w:w="45" w:type="dxa"/>
              <w:bottom w:w="11" w:type="dxa"/>
              <w:right w:w="45" w:type="dxa"/>
            </w:tcMar>
            <w:vAlign w:val="center"/>
          </w:tcPr>
          <w:p w14:paraId="21178CCF" w14:textId="77777777" w:rsidR="00F37F0F" w:rsidRDefault="00F37F0F" w:rsidP="003A385F">
            <w:pPr>
              <w:jc w:val="center"/>
              <w:rPr>
                <w:rFonts w:cs="Arial"/>
                <w:sz w:val="17"/>
                <w:szCs w:val="17"/>
              </w:rPr>
            </w:pPr>
            <w:r>
              <w:rPr>
                <w:rFonts w:cs="Arial"/>
                <w:sz w:val="17"/>
                <w:szCs w:val="17"/>
              </w:rPr>
              <w:t>-.500</w:t>
            </w:r>
          </w:p>
        </w:tc>
        <w:tc>
          <w:tcPr>
            <w:tcW w:w="849" w:type="dxa"/>
            <w:tcBorders>
              <w:top w:val="single" w:sz="4" w:space="0" w:color="999999"/>
              <w:left w:val="single" w:sz="4" w:space="0" w:color="auto"/>
              <w:bottom w:val="single" w:sz="4" w:space="0" w:color="999999"/>
              <w:right w:val="single" w:sz="4" w:space="0" w:color="auto"/>
            </w:tcBorders>
            <w:tcMar>
              <w:top w:w="11" w:type="dxa"/>
              <w:left w:w="45" w:type="dxa"/>
              <w:bottom w:w="11" w:type="dxa"/>
              <w:right w:w="45" w:type="dxa"/>
            </w:tcMar>
            <w:vAlign w:val="center"/>
          </w:tcPr>
          <w:p w14:paraId="1F81A9E2" w14:textId="77777777" w:rsidR="00F37F0F" w:rsidRDefault="00F37F0F" w:rsidP="003A385F">
            <w:pPr>
              <w:jc w:val="center"/>
              <w:rPr>
                <w:rFonts w:cs="Arial"/>
                <w:sz w:val="17"/>
                <w:szCs w:val="17"/>
              </w:rPr>
            </w:pPr>
          </w:p>
        </w:tc>
        <w:tc>
          <w:tcPr>
            <w:tcW w:w="708" w:type="dxa"/>
            <w:tcBorders>
              <w:top w:val="single" w:sz="4" w:space="0" w:color="999999"/>
              <w:left w:val="single" w:sz="4" w:space="0" w:color="auto"/>
              <w:bottom w:val="single" w:sz="4" w:space="0" w:color="999999"/>
            </w:tcBorders>
            <w:tcMar>
              <w:top w:w="11" w:type="dxa"/>
              <w:left w:w="45" w:type="dxa"/>
              <w:bottom w:w="11" w:type="dxa"/>
              <w:right w:w="45" w:type="dxa"/>
            </w:tcMar>
            <w:vAlign w:val="center"/>
          </w:tcPr>
          <w:p w14:paraId="4C5EFDEB" w14:textId="77777777" w:rsidR="00F37F0F" w:rsidRDefault="00F37F0F" w:rsidP="003A385F">
            <w:pPr>
              <w:jc w:val="center"/>
              <w:rPr>
                <w:rFonts w:cs="Arial"/>
                <w:sz w:val="17"/>
                <w:szCs w:val="17"/>
              </w:rPr>
            </w:pPr>
          </w:p>
        </w:tc>
        <w:tc>
          <w:tcPr>
            <w:tcW w:w="30" w:type="dxa"/>
          </w:tcPr>
          <w:p w14:paraId="734010C3" w14:textId="77777777" w:rsidR="00F37F0F" w:rsidRDefault="00F37F0F">
            <w:pPr>
              <w:rPr>
                <w:rFonts w:cs="Arial"/>
                <w:sz w:val="16"/>
              </w:rPr>
            </w:pPr>
            <w:r>
              <w:rPr>
                <w:rFonts w:cs="Arial"/>
                <w:sz w:val="16"/>
              </w:rPr>
              <w:tab/>
            </w:r>
          </w:p>
        </w:tc>
      </w:tr>
      <w:tr w:rsidR="00F37F0F" w14:paraId="5A80BBF6" w14:textId="77777777" w:rsidTr="00632A06">
        <w:trPr>
          <w:gridAfter w:val="1"/>
          <w:wAfter w:w="30" w:type="dxa"/>
          <w:trHeight w:hRule="exact" w:val="238"/>
        </w:trPr>
        <w:tc>
          <w:tcPr>
            <w:tcW w:w="3544" w:type="dxa"/>
            <w:tcBorders>
              <w:top w:val="single" w:sz="4" w:space="0" w:color="999999"/>
              <w:bottom w:val="single" w:sz="4" w:space="0" w:color="999999"/>
              <w:right w:val="single" w:sz="4" w:space="0" w:color="auto"/>
            </w:tcBorders>
            <w:tcMar>
              <w:top w:w="11" w:type="dxa"/>
              <w:left w:w="45" w:type="dxa"/>
              <w:bottom w:w="11" w:type="dxa"/>
              <w:right w:w="45" w:type="dxa"/>
            </w:tcMar>
            <w:vAlign w:val="center"/>
          </w:tcPr>
          <w:p w14:paraId="73DE606F" w14:textId="77777777" w:rsidR="00F37F0F" w:rsidRDefault="00F37F0F" w:rsidP="003A385F">
            <w:pPr>
              <w:pStyle w:val="Header"/>
              <w:rPr>
                <w:rFonts w:cs="Arial"/>
                <w:sz w:val="17"/>
                <w:szCs w:val="17"/>
              </w:rPr>
            </w:pPr>
            <w:r>
              <w:rPr>
                <w:rFonts w:cs="Arial"/>
                <w:sz w:val="17"/>
                <w:szCs w:val="17"/>
              </w:rPr>
              <w:t>Medical errors are handled appropriately here.</w:t>
            </w:r>
          </w:p>
        </w:tc>
        <w:tc>
          <w:tcPr>
            <w:tcW w:w="1179" w:type="dxa"/>
            <w:tcBorders>
              <w:top w:val="single" w:sz="4" w:space="0" w:color="999999"/>
              <w:left w:val="single" w:sz="4" w:space="0" w:color="auto"/>
              <w:bottom w:val="single" w:sz="4" w:space="0" w:color="999999"/>
              <w:right w:val="single" w:sz="4" w:space="0" w:color="auto"/>
            </w:tcBorders>
            <w:tcMar>
              <w:top w:w="11" w:type="dxa"/>
              <w:left w:w="45" w:type="dxa"/>
              <w:bottom w:w="11" w:type="dxa"/>
              <w:right w:w="45" w:type="dxa"/>
            </w:tcMar>
            <w:vAlign w:val="center"/>
          </w:tcPr>
          <w:p w14:paraId="35267BA2" w14:textId="77777777" w:rsidR="00F37F0F" w:rsidRDefault="00F37F0F" w:rsidP="003A385F">
            <w:pPr>
              <w:jc w:val="center"/>
              <w:rPr>
                <w:rFonts w:cs="Arial"/>
                <w:sz w:val="17"/>
                <w:szCs w:val="17"/>
              </w:rPr>
            </w:pPr>
          </w:p>
        </w:tc>
        <w:tc>
          <w:tcPr>
            <w:tcW w:w="849" w:type="dxa"/>
            <w:tcBorders>
              <w:top w:val="single" w:sz="4" w:space="0" w:color="999999"/>
              <w:left w:val="single" w:sz="4" w:space="0" w:color="auto"/>
              <w:bottom w:val="single" w:sz="4" w:space="0" w:color="999999"/>
              <w:right w:val="single" w:sz="4" w:space="0" w:color="auto"/>
            </w:tcBorders>
            <w:tcMar>
              <w:top w:w="11" w:type="dxa"/>
              <w:left w:w="45" w:type="dxa"/>
              <w:bottom w:w="11" w:type="dxa"/>
              <w:right w:w="45" w:type="dxa"/>
            </w:tcMar>
            <w:vAlign w:val="center"/>
          </w:tcPr>
          <w:p w14:paraId="2061D2B1" w14:textId="77777777" w:rsidR="00F37F0F" w:rsidRDefault="00F37F0F" w:rsidP="003A385F">
            <w:pPr>
              <w:jc w:val="center"/>
              <w:rPr>
                <w:rFonts w:cs="Arial"/>
                <w:sz w:val="17"/>
                <w:szCs w:val="17"/>
              </w:rPr>
            </w:pPr>
          </w:p>
        </w:tc>
        <w:tc>
          <w:tcPr>
            <w:tcW w:w="850" w:type="dxa"/>
            <w:tcBorders>
              <w:top w:val="single" w:sz="4" w:space="0" w:color="999999"/>
              <w:left w:val="single" w:sz="4" w:space="0" w:color="auto"/>
              <w:bottom w:val="single" w:sz="4" w:space="0" w:color="999999"/>
            </w:tcBorders>
            <w:tcMar>
              <w:top w:w="11" w:type="dxa"/>
              <w:left w:w="45" w:type="dxa"/>
              <w:bottom w:w="11" w:type="dxa"/>
              <w:right w:w="45" w:type="dxa"/>
            </w:tcMar>
            <w:vAlign w:val="center"/>
          </w:tcPr>
          <w:p w14:paraId="63DC85CC" w14:textId="77777777" w:rsidR="00F37F0F" w:rsidRDefault="00F37F0F" w:rsidP="003A385F">
            <w:pPr>
              <w:jc w:val="center"/>
              <w:rPr>
                <w:rFonts w:cs="Arial"/>
                <w:sz w:val="17"/>
                <w:szCs w:val="17"/>
              </w:rPr>
            </w:pPr>
            <w:r>
              <w:rPr>
                <w:rFonts w:cs="Arial"/>
                <w:sz w:val="17"/>
                <w:szCs w:val="17"/>
              </w:rPr>
              <w:t>-.754</w:t>
            </w:r>
          </w:p>
        </w:tc>
        <w:tc>
          <w:tcPr>
            <w:tcW w:w="849" w:type="dxa"/>
            <w:tcBorders>
              <w:top w:val="single" w:sz="4" w:space="0" w:color="999999"/>
              <w:left w:val="single" w:sz="4" w:space="0" w:color="auto"/>
              <w:bottom w:val="single" w:sz="4" w:space="0" w:color="999999"/>
              <w:right w:val="single" w:sz="4" w:space="0" w:color="auto"/>
            </w:tcBorders>
            <w:tcMar>
              <w:top w:w="11" w:type="dxa"/>
              <w:left w:w="45" w:type="dxa"/>
              <w:bottom w:w="11" w:type="dxa"/>
              <w:right w:w="45" w:type="dxa"/>
            </w:tcMar>
            <w:vAlign w:val="center"/>
          </w:tcPr>
          <w:p w14:paraId="1E05D77A" w14:textId="77777777" w:rsidR="00F37F0F" w:rsidRDefault="00F37F0F" w:rsidP="003A385F">
            <w:pPr>
              <w:jc w:val="center"/>
              <w:rPr>
                <w:rFonts w:cs="Arial"/>
                <w:sz w:val="17"/>
                <w:szCs w:val="17"/>
              </w:rPr>
            </w:pPr>
          </w:p>
        </w:tc>
        <w:tc>
          <w:tcPr>
            <w:tcW w:w="708" w:type="dxa"/>
            <w:tcBorders>
              <w:top w:val="single" w:sz="4" w:space="0" w:color="999999"/>
              <w:left w:val="single" w:sz="4" w:space="0" w:color="auto"/>
              <w:bottom w:val="single" w:sz="4" w:space="0" w:color="999999"/>
            </w:tcBorders>
            <w:tcMar>
              <w:top w:w="11" w:type="dxa"/>
              <w:left w:w="45" w:type="dxa"/>
              <w:bottom w:w="11" w:type="dxa"/>
              <w:right w:w="45" w:type="dxa"/>
            </w:tcMar>
            <w:vAlign w:val="center"/>
          </w:tcPr>
          <w:p w14:paraId="61281A2B" w14:textId="77777777" w:rsidR="00F37F0F" w:rsidRDefault="00F37F0F" w:rsidP="003A385F">
            <w:pPr>
              <w:jc w:val="center"/>
              <w:rPr>
                <w:rFonts w:cs="Arial"/>
                <w:sz w:val="17"/>
                <w:szCs w:val="17"/>
              </w:rPr>
            </w:pPr>
          </w:p>
        </w:tc>
      </w:tr>
      <w:tr w:rsidR="00F37F0F" w14:paraId="44BD9FA0" w14:textId="77777777" w:rsidTr="00632A06">
        <w:trPr>
          <w:gridAfter w:val="1"/>
          <w:wAfter w:w="30" w:type="dxa"/>
          <w:trHeight w:hRule="exact" w:val="238"/>
        </w:trPr>
        <w:tc>
          <w:tcPr>
            <w:tcW w:w="3544" w:type="dxa"/>
            <w:tcBorders>
              <w:top w:val="single" w:sz="4" w:space="0" w:color="999999"/>
              <w:bottom w:val="single" w:sz="4" w:space="0" w:color="auto"/>
              <w:right w:val="single" w:sz="4" w:space="0" w:color="auto"/>
            </w:tcBorders>
            <w:tcMar>
              <w:top w:w="11" w:type="dxa"/>
              <w:left w:w="45" w:type="dxa"/>
              <w:bottom w:w="11" w:type="dxa"/>
              <w:right w:w="45" w:type="dxa"/>
            </w:tcMar>
            <w:vAlign w:val="center"/>
          </w:tcPr>
          <w:p w14:paraId="17B7AC21" w14:textId="77777777" w:rsidR="00F37F0F" w:rsidRDefault="00F37F0F" w:rsidP="003A385F">
            <w:pPr>
              <w:pStyle w:val="Header"/>
              <w:rPr>
                <w:rFonts w:cs="Arial"/>
                <w:sz w:val="17"/>
                <w:szCs w:val="17"/>
              </w:rPr>
            </w:pPr>
            <w:r>
              <w:rPr>
                <w:rFonts w:cs="Arial"/>
                <w:sz w:val="17"/>
                <w:szCs w:val="17"/>
              </w:rPr>
              <w:t>I know the proper channels to which I should direct questions regarding patient safety.</w:t>
            </w:r>
          </w:p>
        </w:tc>
        <w:tc>
          <w:tcPr>
            <w:tcW w:w="1179" w:type="dxa"/>
            <w:tcBorders>
              <w:top w:val="single" w:sz="4" w:space="0" w:color="999999"/>
              <w:left w:val="single" w:sz="4" w:space="0" w:color="auto"/>
              <w:bottom w:val="single" w:sz="4" w:space="0" w:color="auto"/>
              <w:right w:val="single" w:sz="4" w:space="0" w:color="auto"/>
            </w:tcBorders>
            <w:tcMar>
              <w:top w:w="11" w:type="dxa"/>
              <w:left w:w="45" w:type="dxa"/>
              <w:bottom w:w="11" w:type="dxa"/>
              <w:right w:w="45" w:type="dxa"/>
            </w:tcMar>
            <w:vAlign w:val="center"/>
          </w:tcPr>
          <w:p w14:paraId="7C5326B5" w14:textId="77777777" w:rsidR="00F37F0F" w:rsidRDefault="00F37F0F" w:rsidP="003A385F">
            <w:pPr>
              <w:jc w:val="center"/>
              <w:rPr>
                <w:rFonts w:cs="Arial"/>
                <w:sz w:val="17"/>
                <w:szCs w:val="17"/>
              </w:rPr>
            </w:pPr>
          </w:p>
        </w:tc>
        <w:tc>
          <w:tcPr>
            <w:tcW w:w="849" w:type="dxa"/>
            <w:tcBorders>
              <w:top w:val="single" w:sz="4" w:space="0" w:color="999999"/>
              <w:left w:val="single" w:sz="4" w:space="0" w:color="auto"/>
              <w:bottom w:val="single" w:sz="4" w:space="0" w:color="auto"/>
              <w:right w:val="single" w:sz="4" w:space="0" w:color="auto"/>
            </w:tcBorders>
            <w:tcMar>
              <w:top w:w="11" w:type="dxa"/>
              <w:left w:w="45" w:type="dxa"/>
              <w:bottom w:w="11" w:type="dxa"/>
              <w:right w:w="45" w:type="dxa"/>
            </w:tcMar>
            <w:vAlign w:val="center"/>
          </w:tcPr>
          <w:p w14:paraId="1D00DADA" w14:textId="77777777" w:rsidR="00F37F0F" w:rsidRDefault="00F37F0F" w:rsidP="003A385F">
            <w:pPr>
              <w:jc w:val="center"/>
              <w:rPr>
                <w:rFonts w:cs="Arial"/>
                <w:sz w:val="17"/>
                <w:szCs w:val="17"/>
              </w:rPr>
            </w:pPr>
          </w:p>
        </w:tc>
        <w:tc>
          <w:tcPr>
            <w:tcW w:w="850" w:type="dxa"/>
            <w:tcBorders>
              <w:top w:val="single" w:sz="4" w:space="0" w:color="999999"/>
              <w:left w:val="single" w:sz="4" w:space="0" w:color="auto"/>
              <w:bottom w:val="single" w:sz="4" w:space="0" w:color="auto"/>
            </w:tcBorders>
            <w:tcMar>
              <w:top w:w="11" w:type="dxa"/>
              <w:left w:w="45" w:type="dxa"/>
              <w:bottom w:w="11" w:type="dxa"/>
              <w:right w:w="45" w:type="dxa"/>
            </w:tcMar>
            <w:vAlign w:val="center"/>
          </w:tcPr>
          <w:p w14:paraId="44D8A2A7" w14:textId="77777777" w:rsidR="00F37F0F" w:rsidRDefault="00F37F0F" w:rsidP="003A385F">
            <w:pPr>
              <w:jc w:val="center"/>
              <w:rPr>
                <w:rFonts w:cs="Arial"/>
                <w:sz w:val="17"/>
                <w:szCs w:val="17"/>
              </w:rPr>
            </w:pPr>
            <w:r>
              <w:rPr>
                <w:rFonts w:cs="Arial"/>
                <w:sz w:val="17"/>
                <w:szCs w:val="17"/>
              </w:rPr>
              <w:t>-.599</w:t>
            </w:r>
          </w:p>
        </w:tc>
        <w:tc>
          <w:tcPr>
            <w:tcW w:w="849" w:type="dxa"/>
            <w:tcBorders>
              <w:top w:val="single" w:sz="4" w:space="0" w:color="999999"/>
              <w:left w:val="single" w:sz="4" w:space="0" w:color="auto"/>
              <w:bottom w:val="single" w:sz="4" w:space="0" w:color="auto"/>
              <w:right w:val="single" w:sz="4" w:space="0" w:color="auto"/>
            </w:tcBorders>
            <w:tcMar>
              <w:top w:w="11" w:type="dxa"/>
              <w:left w:w="45" w:type="dxa"/>
              <w:bottom w:w="11" w:type="dxa"/>
              <w:right w:w="45" w:type="dxa"/>
            </w:tcMar>
            <w:vAlign w:val="center"/>
          </w:tcPr>
          <w:p w14:paraId="45E4C91E" w14:textId="77777777" w:rsidR="00F37F0F" w:rsidRDefault="00F37F0F" w:rsidP="003A385F">
            <w:pPr>
              <w:jc w:val="center"/>
              <w:rPr>
                <w:rFonts w:cs="Arial"/>
                <w:sz w:val="17"/>
                <w:szCs w:val="17"/>
              </w:rPr>
            </w:pPr>
          </w:p>
        </w:tc>
        <w:tc>
          <w:tcPr>
            <w:tcW w:w="708" w:type="dxa"/>
            <w:tcBorders>
              <w:top w:val="single" w:sz="4" w:space="0" w:color="999999"/>
              <w:left w:val="single" w:sz="4" w:space="0" w:color="auto"/>
              <w:bottom w:val="single" w:sz="4" w:space="0" w:color="auto"/>
            </w:tcBorders>
            <w:tcMar>
              <w:top w:w="11" w:type="dxa"/>
              <w:left w:w="45" w:type="dxa"/>
              <w:bottom w:w="11" w:type="dxa"/>
              <w:right w:w="45" w:type="dxa"/>
            </w:tcMar>
            <w:vAlign w:val="center"/>
          </w:tcPr>
          <w:p w14:paraId="750465AD" w14:textId="77777777" w:rsidR="00F37F0F" w:rsidRDefault="00F37F0F" w:rsidP="003A385F">
            <w:pPr>
              <w:jc w:val="center"/>
              <w:rPr>
                <w:rFonts w:cs="Arial"/>
                <w:sz w:val="17"/>
                <w:szCs w:val="17"/>
              </w:rPr>
            </w:pPr>
          </w:p>
        </w:tc>
      </w:tr>
      <w:tr w:rsidR="00F37F0F" w14:paraId="450D5702" w14:textId="77777777" w:rsidTr="00632A06">
        <w:trPr>
          <w:gridAfter w:val="1"/>
          <w:wAfter w:w="30" w:type="dxa"/>
          <w:trHeight w:hRule="exact" w:val="398"/>
        </w:trPr>
        <w:tc>
          <w:tcPr>
            <w:tcW w:w="3544" w:type="dxa"/>
            <w:tcBorders>
              <w:bottom w:val="single" w:sz="4" w:space="0" w:color="C0C0C0"/>
            </w:tcBorders>
            <w:tcMar>
              <w:top w:w="11" w:type="dxa"/>
              <w:left w:w="45" w:type="dxa"/>
              <w:bottom w:w="11" w:type="dxa"/>
              <w:right w:w="45" w:type="dxa"/>
            </w:tcMar>
            <w:vAlign w:val="center"/>
          </w:tcPr>
          <w:p w14:paraId="39A187AE" w14:textId="77777777" w:rsidR="00F37F0F" w:rsidRDefault="00F37F0F" w:rsidP="003A385F">
            <w:pPr>
              <w:pStyle w:val="Header"/>
              <w:rPr>
                <w:rFonts w:cs="Arial"/>
                <w:sz w:val="17"/>
                <w:szCs w:val="17"/>
              </w:rPr>
            </w:pPr>
            <w:r>
              <w:rPr>
                <w:rFonts w:cs="Arial"/>
                <w:b/>
                <w:sz w:val="20"/>
                <w:lang w:val="en-US"/>
              </w:rPr>
              <w:t>Factor 4 (Safety Climate)</w:t>
            </w:r>
          </w:p>
        </w:tc>
        <w:tc>
          <w:tcPr>
            <w:tcW w:w="1179" w:type="dxa"/>
            <w:tcBorders>
              <w:bottom w:val="single" w:sz="4" w:space="0" w:color="C0C0C0"/>
            </w:tcBorders>
            <w:tcMar>
              <w:top w:w="11" w:type="dxa"/>
              <w:left w:w="45" w:type="dxa"/>
              <w:bottom w:w="11" w:type="dxa"/>
              <w:right w:w="45" w:type="dxa"/>
            </w:tcMar>
            <w:vAlign w:val="center"/>
          </w:tcPr>
          <w:p w14:paraId="04DEEDCA" w14:textId="77777777" w:rsidR="00F37F0F" w:rsidRDefault="00F37F0F" w:rsidP="003A385F">
            <w:pPr>
              <w:jc w:val="center"/>
              <w:rPr>
                <w:rFonts w:cs="Arial"/>
                <w:sz w:val="17"/>
                <w:szCs w:val="17"/>
              </w:rPr>
            </w:pPr>
          </w:p>
        </w:tc>
        <w:tc>
          <w:tcPr>
            <w:tcW w:w="849" w:type="dxa"/>
            <w:tcBorders>
              <w:bottom w:val="single" w:sz="4" w:space="0" w:color="C0C0C0"/>
            </w:tcBorders>
            <w:tcMar>
              <w:top w:w="11" w:type="dxa"/>
              <w:left w:w="45" w:type="dxa"/>
              <w:bottom w:w="11" w:type="dxa"/>
              <w:right w:w="45" w:type="dxa"/>
            </w:tcMar>
            <w:vAlign w:val="center"/>
          </w:tcPr>
          <w:p w14:paraId="77550E1C" w14:textId="77777777" w:rsidR="00F37F0F" w:rsidRDefault="00F37F0F" w:rsidP="003A385F">
            <w:pPr>
              <w:jc w:val="center"/>
              <w:rPr>
                <w:rFonts w:cs="Arial"/>
                <w:sz w:val="17"/>
                <w:szCs w:val="17"/>
              </w:rPr>
            </w:pPr>
          </w:p>
        </w:tc>
        <w:tc>
          <w:tcPr>
            <w:tcW w:w="850" w:type="dxa"/>
            <w:tcBorders>
              <w:bottom w:val="single" w:sz="4" w:space="0" w:color="C0C0C0"/>
            </w:tcBorders>
            <w:tcMar>
              <w:top w:w="11" w:type="dxa"/>
              <w:left w:w="45" w:type="dxa"/>
              <w:bottom w:w="11" w:type="dxa"/>
              <w:right w:w="45" w:type="dxa"/>
            </w:tcMar>
            <w:vAlign w:val="center"/>
          </w:tcPr>
          <w:p w14:paraId="150B3D10" w14:textId="77777777" w:rsidR="00F37F0F" w:rsidRDefault="00F37F0F" w:rsidP="003A385F">
            <w:pPr>
              <w:jc w:val="center"/>
              <w:rPr>
                <w:rFonts w:cs="Arial"/>
                <w:sz w:val="17"/>
                <w:szCs w:val="17"/>
              </w:rPr>
            </w:pPr>
          </w:p>
        </w:tc>
        <w:tc>
          <w:tcPr>
            <w:tcW w:w="849" w:type="dxa"/>
            <w:tcBorders>
              <w:bottom w:val="single" w:sz="4" w:space="0" w:color="C0C0C0"/>
            </w:tcBorders>
            <w:tcMar>
              <w:top w:w="11" w:type="dxa"/>
              <w:left w:w="45" w:type="dxa"/>
              <w:bottom w:w="11" w:type="dxa"/>
              <w:right w:w="45" w:type="dxa"/>
            </w:tcMar>
            <w:vAlign w:val="center"/>
          </w:tcPr>
          <w:p w14:paraId="6B325013" w14:textId="77777777" w:rsidR="00F37F0F" w:rsidRDefault="00F37F0F" w:rsidP="003A385F">
            <w:pPr>
              <w:jc w:val="center"/>
              <w:rPr>
                <w:rFonts w:cs="Arial"/>
                <w:sz w:val="17"/>
                <w:szCs w:val="17"/>
              </w:rPr>
            </w:pPr>
          </w:p>
        </w:tc>
        <w:tc>
          <w:tcPr>
            <w:tcW w:w="708" w:type="dxa"/>
            <w:tcBorders>
              <w:bottom w:val="single" w:sz="4" w:space="0" w:color="C0C0C0"/>
            </w:tcBorders>
            <w:tcMar>
              <w:top w:w="11" w:type="dxa"/>
              <w:left w:w="45" w:type="dxa"/>
              <w:bottom w:w="11" w:type="dxa"/>
              <w:right w:w="45" w:type="dxa"/>
            </w:tcMar>
            <w:vAlign w:val="center"/>
          </w:tcPr>
          <w:p w14:paraId="0436CAC3" w14:textId="77777777" w:rsidR="00F37F0F" w:rsidRDefault="00F37F0F" w:rsidP="003A385F">
            <w:pPr>
              <w:jc w:val="center"/>
              <w:rPr>
                <w:rFonts w:cs="Arial"/>
                <w:sz w:val="17"/>
                <w:szCs w:val="17"/>
              </w:rPr>
            </w:pPr>
          </w:p>
        </w:tc>
      </w:tr>
      <w:tr w:rsidR="00F37F0F" w14:paraId="32135E06" w14:textId="77777777" w:rsidTr="00632A06">
        <w:trPr>
          <w:gridAfter w:val="1"/>
          <w:wAfter w:w="30" w:type="dxa"/>
          <w:trHeight w:hRule="exact" w:val="238"/>
        </w:trPr>
        <w:tc>
          <w:tcPr>
            <w:tcW w:w="3544" w:type="dxa"/>
            <w:tcBorders>
              <w:top w:val="single" w:sz="4" w:space="0" w:color="C0C0C0"/>
              <w:bottom w:val="single" w:sz="4" w:space="0" w:color="C0C0C0"/>
            </w:tcBorders>
            <w:tcMar>
              <w:top w:w="11" w:type="dxa"/>
              <w:left w:w="45" w:type="dxa"/>
              <w:bottom w:w="11" w:type="dxa"/>
              <w:right w:w="45" w:type="dxa"/>
            </w:tcMar>
            <w:vAlign w:val="center"/>
          </w:tcPr>
          <w:p w14:paraId="2BCFBC19" w14:textId="77777777" w:rsidR="00F37F0F" w:rsidRDefault="00F37F0F" w:rsidP="003A385F">
            <w:pPr>
              <w:pStyle w:val="Header"/>
              <w:rPr>
                <w:rFonts w:cs="Arial"/>
                <w:sz w:val="17"/>
                <w:szCs w:val="17"/>
              </w:rPr>
            </w:pPr>
            <w:r>
              <w:rPr>
                <w:rFonts w:cs="Arial"/>
                <w:sz w:val="17"/>
                <w:szCs w:val="17"/>
              </w:rPr>
              <w:t>The levels of staffing where I work are sufficient to handle the number of patients.</w:t>
            </w:r>
          </w:p>
        </w:tc>
        <w:tc>
          <w:tcPr>
            <w:tcW w:w="1179" w:type="dxa"/>
            <w:tcBorders>
              <w:top w:val="single" w:sz="4" w:space="0" w:color="C0C0C0"/>
              <w:bottom w:val="single" w:sz="4" w:space="0" w:color="C0C0C0"/>
            </w:tcBorders>
            <w:tcMar>
              <w:top w:w="11" w:type="dxa"/>
              <w:left w:w="45" w:type="dxa"/>
              <w:bottom w:w="11" w:type="dxa"/>
              <w:right w:w="45" w:type="dxa"/>
            </w:tcMar>
            <w:vAlign w:val="center"/>
          </w:tcPr>
          <w:p w14:paraId="5B6FD2C9" w14:textId="77777777" w:rsidR="00F37F0F" w:rsidRDefault="00F37F0F" w:rsidP="003A385F">
            <w:pPr>
              <w:jc w:val="center"/>
              <w:rPr>
                <w:rFonts w:cs="Arial"/>
                <w:sz w:val="17"/>
                <w:szCs w:val="17"/>
              </w:rPr>
            </w:pPr>
          </w:p>
        </w:tc>
        <w:tc>
          <w:tcPr>
            <w:tcW w:w="849" w:type="dxa"/>
            <w:tcBorders>
              <w:top w:val="single" w:sz="4" w:space="0" w:color="C0C0C0"/>
              <w:bottom w:val="single" w:sz="4" w:space="0" w:color="C0C0C0"/>
            </w:tcBorders>
            <w:tcMar>
              <w:top w:w="11" w:type="dxa"/>
              <w:left w:w="45" w:type="dxa"/>
              <w:bottom w:w="11" w:type="dxa"/>
              <w:right w:w="45" w:type="dxa"/>
            </w:tcMar>
            <w:vAlign w:val="center"/>
          </w:tcPr>
          <w:p w14:paraId="6BF662B3" w14:textId="77777777" w:rsidR="00F37F0F" w:rsidRDefault="00F37F0F" w:rsidP="003A385F">
            <w:pPr>
              <w:jc w:val="center"/>
              <w:rPr>
                <w:rFonts w:cs="Arial"/>
                <w:sz w:val="17"/>
                <w:szCs w:val="17"/>
              </w:rPr>
            </w:pPr>
          </w:p>
        </w:tc>
        <w:tc>
          <w:tcPr>
            <w:tcW w:w="850" w:type="dxa"/>
            <w:tcBorders>
              <w:top w:val="single" w:sz="4" w:space="0" w:color="C0C0C0"/>
              <w:bottom w:val="single" w:sz="4" w:space="0" w:color="C0C0C0"/>
            </w:tcBorders>
            <w:tcMar>
              <w:top w:w="11" w:type="dxa"/>
              <w:left w:w="45" w:type="dxa"/>
              <w:bottom w:w="11" w:type="dxa"/>
              <w:right w:w="45" w:type="dxa"/>
            </w:tcMar>
            <w:vAlign w:val="center"/>
          </w:tcPr>
          <w:p w14:paraId="66356CA1" w14:textId="77777777" w:rsidR="00F37F0F" w:rsidRDefault="00F37F0F" w:rsidP="003A385F">
            <w:pPr>
              <w:jc w:val="center"/>
              <w:rPr>
                <w:rFonts w:cs="Arial"/>
                <w:sz w:val="17"/>
                <w:szCs w:val="17"/>
              </w:rPr>
            </w:pPr>
          </w:p>
        </w:tc>
        <w:tc>
          <w:tcPr>
            <w:tcW w:w="849" w:type="dxa"/>
            <w:tcBorders>
              <w:top w:val="single" w:sz="4" w:space="0" w:color="C0C0C0"/>
              <w:bottom w:val="single" w:sz="4" w:space="0" w:color="C0C0C0"/>
            </w:tcBorders>
            <w:tcMar>
              <w:top w:w="11" w:type="dxa"/>
              <w:left w:w="45" w:type="dxa"/>
              <w:bottom w:w="11" w:type="dxa"/>
              <w:right w:w="45" w:type="dxa"/>
            </w:tcMar>
            <w:vAlign w:val="center"/>
          </w:tcPr>
          <w:p w14:paraId="2A954337" w14:textId="77777777" w:rsidR="00F37F0F" w:rsidRDefault="00F37F0F" w:rsidP="003A385F">
            <w:pPr>
              <w:jc w:val="center"/>
              <w:rPr>
                <w:rFonts w:cs="Arial"/>
                <w:sz w:val="17"/>
                <w:szCs w:val="17"/>
              </w:rPr>
            </w:pPr>
            <w:r>
              <w:rPr>
                <w:rFonts w:cs="Arial"/>
                <w:sz w:val="17"/>
                <w:szCs w:val="17"/>
              </w:rPr>
              <w:t>-.617</w:t>
            </w:r>
          </w:p>
        </w:tc>
        <w:tc>
          <w:tcPr>
            <w:tcW w:w="708" w:type="dxa"/>
            <w:tcBorders>
              <w:top w:val="single" w:sz="4" w:space="0" w:color="C0C0C0"/>
              <w:bottom w:val="single" w:sz="4" w:space="0" w:color="C0C0C0"/>
            </w:tcBorders>
            <w:tcMar>
              <w:top w:w="11" w:type="dxa"/>
              <w:left w:w="45" w:type="dxa"/>
              <w:bottom w:w="11" w:type="dxa"/>
              <w:right w:w="45" w:type="dxa"/>
            </w:tcMar>
            <w:vAlign w:val="center"/>
          </w:tcPr>
          <w:p w14:paraId="3B406FF2" w14:textId="77777777" w:rsidR="00F37F0F" w:rsidRDefault="00F37F0F" w:rsidP="003A385F">
            <w:pPr>
              <w:jc w:val="center"/>
              <w:rPr>
                <w:rFonts w:cs="Arial"/>
                <w:sz w:val="17"/>
                <w:szCs w:val="17"/>
              </w:rPr>
            </w:pPr>
          </w:p>
        </w:tc>
      </w:tr>
      <w:tr w:rsidR="00F37F0F" w14:paraId="71851D89" w14:textId="77777777" w:rsidTr="00632A06">
        <w:trPr>
          <w:gridAfter w:val="1"/>
          <w:wAfter w:w="30" w:type="dxa"/>
          <w:trHeight w:hRule="exact" w:val="238"/>
        </w:trPr>
        <w:tc>
          <w:tcPr>
            <w:tcW w:w="3544" w:type="dxa"/>
            <w:tcBorders>
              <w:top w:val="single" w:sz="4" w:space="0" w:color="C0C0C0"/>
              <w:bottom w:val="single" w:sz="4" w:space="0" w:color="C0C0C0"/>
            </w:tcBorders>
            <w:tcMar>
              <w:top w:w="11" w:type="dxa"/>
              <w:left w:w="45" w:type="dxa"/>
              <w:bottom w:w="11" w:type="dxa"/>
              <w:right w:w="45" w:type="dxa"/>
            </w:tcMar>
            <w:vAlign w:val="center"/>
          </w:tcPr>
          <w:p w14:paraId="2C0ACE1E" w14:textId="77777777" w:rsidR="00F37F0F" w:rsidRDefault="00F37F0F" w:rsidP="003A385F">
            <w:pPr>
              <w:pStyle w:val="Header"/>
              <w:rPr>
                <w:rFonts w:cs="Arial"/>
                <w:sz w:val="17"/>
                <w:szCs w:val="17"/>
              </w:rPr>
            </w:pPr>
            <w:r>
              <w:rPr>
                <w:rFonts w:cs="Arial"/>
                <w:sz w:val="17"/>
                <w:szCs w:val="17"/>
              </w:rPr>
              <w:t>I would feel safe being treated as a patient in this service.</w:t>
            </w:r>
          </w:p>
        </w:tc>
        <w:tc>
          <w:tcPr>
            <w:tcW w:w="1179" w:type="dxa"/>
            <w:tcBorders>
              <w:top w:val="single" w:sz="4" w:space="0" w:color="C0C0C0"/>
              <w:bottom w:val="single" w:sz="4" w:space="0" w:color="C0C0C0"/>
            </w:tcBorders>
            <w:tcMar>
              <w:top w:w="11" w:type="dxa"/>
              <w:left w:w="45" w:type="dxa"/>
              <w:bottom w:w="11" w:type="dxa"/>
              <w:right w:w="45" w:type="dxa"/>
            </w:tcMar>
            <w:vAlign w:val="center"/>
          </w:tcPr>
          <w:p w14:paraId="359228BF" w14:textId="77777777" w:rsidR="00F37F0F" w:rsidRDefault="00F37F0F" w:rsidP="003A385F">
            <w:pPr>
              <w:jc w:val="center"/>
              <w:rPr>
                <w:rFonts w:cs="Arial"/>
                <w:sz w:val="17"/>
                <w:szCs w:val="17"/>
              </w:rPr>
            </w:pPr>
          </w:p>
        </w:tc>
        <w:tc>
          <w:tcPr>
            <w:tcW w:w="849" w:type="dxa"/>
            <w:tcBorders>
              <w:top w:val="single" w:sz="4" w:space="0" w:color="C0C0C0"/>
              <w:bottom w:val="single" w:sz="4" w:space="0" w:color="C0C0C0"/>
            </w:tcBorders>
            <w:tcMar>
              <w:top w:w="11" w:type="dxa"/>
              <w:left w:w="45" w:type="dxa"/>
              <w:bottom w:w="11" w:type="dxa"/>
              <w:right w:w="45" w:type="dxa"/>
            </w:tcMar>
            <w:vAlign w:val="center"/>
          </w:tcPr>
          <w:p w14:paraId="4331E4AE" w14:textId="77777777" w:rsidR="00F37F0F" w:rsidRDefault="00F37F0F" w:rsidP="003A385F">
            <w:pPr>
              <w:jc w:val="center"/>
              <w:rPr>
                <w:rFonts w:cs="Arial"/>
                <w:sz w:val="17"/>
                <w:szCs w:val="17"/>
              </w:rPr>
            </w:pPr>
          </w:p>
        </w:tc>
        <w:tc>
          <w:tcPr>
            <w:tcW w:w="850" w:type="dxa"/>
            <w:tcBorders>
              <w:top w:val="single" w:sz="4" w:space="0" w:color="C0C0C0"/>
              <w:bottom w:val="single" w:sz="4" w:space="0" w:color="C0C0C0"/>
            </w:tcBorders>
            <w:tcMar>
              <w:top w:w="11" w:type="dxa"/>
              <w:left w:w="45" w:type="dxa"/>
              <w:bottom w:w="11" w:type="dxa"/>
              <w:right w:w="45" w:type="dxa"/>
            </w:tcMar>
            <w:vAlign w:val="center"/>
          </w:tcPr>
          <w:p w14:paraId="6C1EB103" w14:textId="77777777" w:rsidR="00F37F0F" w:rsidRDefault="00F37F0F" w:rsidP="003A385F">
            <w:pPr>
              <w:jc w:val="center"/>
              <w:rPr>
                <w:rFonts w:cs="Arial"/>
                <w:sz w:val="17"/>
                <w:szCs w:val="17"/>
              </w:rPr>
            </w:pPr>
            <w:r>
              <w:rPr>
                <w:rFonts w:cs="Arial"/>
                <w:sz w:val="17"/>
                <w:szCs w:val="17"/>
              </w:rPr>
              <w:t>-.304</w:t>
            </w:r>
          </w:p>
        </w:tc>
        <w:tc>
          <w:tcPr>
            <w:tcW w:w="849" w:type="dxa"/>
            <w:tcBorders>
              <w:top w:val="single" w:sz="4" w:space="0" w:color="C0C0C0"/>
              <w:bottom w:val="single" w:sz="4" w:space="0" w:color="C0C0C0"/>
            </w:tcBorders>
            <w:tcMar>
              <w:top w:w="11" w:type="dxa"/>
              <w:left w:w="45" w:type="dxa"/>
              <w:bottom w:w="11" w:type="dxa"/>
              <w:right w:w="45" w:type="dxa"/>
            </w:tcMar>
            <w:vAlign w:val="center"/>
          </w:tcPr>
          <w:p w14:paraId="7079BD11" w14:textId="77777777" w:rsidR="00F37F0F" w:rsidRDefault="00F37F0F" w:rsidP="003A385F">
            <w:pPr>
              <w:jc w:val="center"/>
              <w:rPr>
                <w:rFonts w:cs="Arial"/>
                <w:sz w:val="17"/>
                <w:szCs w:val="17"/>
              </w:rPr>
            </w:pPr>
            <w:r>
              <w:rPr>
                <w:rFonts w:cs="Arial"/>
                <w:sz w:val="17"/>
                <w:szCs w:val="17"/>
              </w:rPr>
              <w:t>-.534</w:t>
            </w:r>
          </w:p>
        </w:tc>
        <w:tc>
          <w:tcPr>
            <w:tcW w:w="708" w:type="dxa"/>
            <w:tcBorders>
              <w:top w:val="single" w:sz="4" w:space="0" w:color="C0C0C0"/>
              <w:bottom w:val="single" w:sz="4" w:space="0" w:color="C0C0C0"/>
            </w:tcBorders>
            <w:tcMar>
              <w:top w:w="11" w:type="dxa"/>
              <w:left w:w="45" w:type="dxa"/>
              <w:bottom w:w="11" w:type="dxa"/>
              <w:right w:w="45" w:type="dxa"/>
            </w:tcMar>
            <w:vAlign w:val="center"/>
          </w:tcPr>
          <w:p w14:paraId="0957347C" w14:textId="77777777" w:rsidR="00F37F0F" w:rsidRDefault="00F37F0F" w:rsidP="003A385F">
            <w:pPr>
              <w:jc w:val="center"/>
              <w:rPr>
                <w:rFonts w:cs="Arial"/>
                <w:sz w:val="17"/>
                <w:szCs w:val="17"/>
              </w:rPr>
            </w:pPr>
          </w:p>
        </w:tc>
      </w:tr>
      <w:tr w:rsidR="00F37F0F" w14:paraId="5D0985C2" w14:textId="77777777" w:rsidTr="00632A06">
        <w:trPr>
          <w:gridAfter w:val="1"/>
          <w:wAfter w:w="30" w:type="dxa"/>
          <w:trHeight w:hRule="exact" w:val="238"/>
        </w:trPr>
        <w:tc>
          <w:tcPr>
            <w:tcW w:w="3544" w:type="dxa"/>
            <w:tcBorders>
              <w:top w:val="single" w:sz="4" w:space="0" w:color="C0C0C0"/>
              <w:bottom w:val="single" w:sz="4" w:space="0" w:color="C0C0C0"/>
            </w:tcBorders>
            <w:tcMar>
              <w:top w:w="11" w:type="dxa"/>
              <w:left w:w="45" w:type="dxa"/>
              <w:bottom w:w="11" w:type="dxa"/>
              <w:right w:w="45" w:type="dxa"/>
            </w:tcMar>
            <w:vAlign w:val="center"/>
          </w:tcPr>
          <w:p w14:paraId="1ACAFC38" w14:textId="77777777" w:rsidR="00F37F0F" w:rsidRDefault="00F37F0F" w:rsidP="003A385F">
            <w:pPr>
              <w:pStyle w:val="Header"/>
              <w:rPr>
                <w:rFonts w:cs="Arial"/>
                <w:sz w:val="17"/>
                <w:szCs w:val="17"/>
              </w:rPr>
            </w:pPr>
            <w:r>
              <w:rPr>
                <w:rFonts w:cs="Arial"/>
                <w:sz w:val="17"/>
                <w:szCs w:val="17"/>
              </w:rPr>
              <w:t>Management does not knowingly compromise the safety of patients.</w:t>
            </w:r>
          </w:p>
        </w:tc>
        <w:tc>
          <w:tcPr>
            <w:tcW w:w="1179" w:type="dxa"/>
            <w:tcBorders>
              <w:top w:val="single" w:sz="4" w:space="0" w:color="C0C0C0"/>
              <w:bottom w:val="single" w:sz="4" w:space="0" w:color="C0C0C0"/>
            </w:tcBorders>
            <w:tcMar>
              <w:top w:w="11" w:type="dxa"/>
              <w:left w:w="45" w:type="dxa"/>
              <w:bottom w:w="11" w:type="dxa"/>
              <w:right w:w="45" w:type="dxa"/>
            </w:tcMar>
            <w:vAlign w:val="center"/>
          </w:tcPr>
          <w:p w14:paraId="783AB619" w14:textId="77777777" w:rsidR="00F37F0F" w:rsidRDefault="00F37F0F" w:rsidP="003A385F">
            <w:pPr>
              <w:jc w:val="center"/>
              <w:rPr>
                <w:rFonts w:cs="Arial"/>
                <w:sz w:val="17"/>
                <w:szCs w:val="17"/>
              </w:rPr>
            </w:pPr>
          </w:p>
        </w:tc>
        <w:tc>
          <w:tcPr>
            <w:tcW w:w="849" w:type="dxa"/>
            <w:tcBorders>
              <w:top w:val="single" w:sz="4" w:space="0" w:color="C0C0C0"/>
              <w:bottom w:val="single" w:sz="4" w:space="0" w:color="C0C0C0"/>
            </w:tcBorders>
            <w:tcMar>
              <w:top w:w="11" w:type="dxa"/>
              <w:left w:w="45" w:type="dxa"/>
              <w:bottom w:w="11" w:type="dxa"/>
              <w:right w:w="45" w:type="dxa"/>
            </w:tcMar>
            <w:vAlign w:val="center"/>
          </w:tcPr>
          <w:p w14:paraId="7F68E167" w14:textId="77777777" w:rsidR="00F37F0F" w:rsidRDefault="00F37F0F" w:rsidP="003A385F">
            <w:pPr>
              <w:jc w:val="center"/>
              <w:rPr>
                <w:rFonts w:cs="Arial"/>
                <w:sz w:val="17"/>
                <w:szCs w:val="17"/>
              </w:rPr>
            </w:pPr>
          </w:p>
        </w:tc>
        <w:tc>
          <w:tcPr>
            <w:tcW w:w="850" w:type="dxa"/>
            <w:tcBorders>
              <w:top w:val="single" w:sz="4" w:space="0" w:color="C0C0C0"/>
              <w:bottom w:val="single" w:sz="4" w:space="0" w:color="C0C0C0"/>
            </w:tcBorders>
            <w:tcMar>
              <w:top w:w="11" w:type="dxa"/>
              <w:left w:w="45" w:type="dxa"/>
              <w:bottom w:w="11" w:type="dxa"/>
              <w:right w:w="45" w:type="dxa"/>
            </w:tcMar>
            <w:vAlign w:val="center"/>
          </w:tcPr>
          <w:p w14:paraId="759C243A" w14:textId="77777777" w:rsidR="00F37F0F" w:rsidRDefault="00F37F0F" w:rsidP="003A385F">
            <w:pPr>
              <w:jc w:val="center"/>
              <w:rPr>
                <w:rFonts w:cs="Arial"/>
                <w:sz w:val="17"/>
                <w:szCs w:val="17"/>
              </w:rPr>
            </w:pPr>
          </w:p>
        </w:tc>
        <w:tc>
          <w:tcPr>
            <w:tcW w:w="849" w:type="dxa"/>
            <w:tcBorders>
              <w:top w:val="single" w:sz="4" w:space="0" w:color="C0C0C0"/>
              <w:bottom w:val="single" w:sz="4" w:space="0" w:color="C0C0C0"/>
            </w:tcBorders>
            <w:tcMar>
              <w:top w:w="11" w:type="dxa"/>
              <w:left w:w="45" w:type="dxa"/>
              <w:bottom w:w="11" w:type="dxa"/>
              <w:right w:w="45" w:type="dxa"/>
            </w:tcMar>
            <w:vAlign w:val="center"/>
          </w:tcPr>
          <w:p w14:paraId="0226AFFF" w14:textId="77777777" w:rsidR="00F37F0F" w:rsidRDefault="00F37F0F" w:rsidP="003A385F">
            <w:pPr>
              <w:jc w:val="center"/>
              <w:rPr>
                <w:rFonts w:cs="Arial"/>
                <w:sz w:val="17"/>
                <w:szCs w:val="17"/>
              </w:rPr>
            </w:pPr>
            <w:r>
              <w:rPr>
                <w:rFonts w:cs="Arial"/>
                <w:sz w:val="17"/>
                <w:szCs w:val="17"/>
              </w:rPr>
              <w:t>-.694</w:t>
            </w:r>
          </w:p>
        </w:tc>
        <w:tc>
          <w:tcPr>
            <w:tcW w:w="708" w:type="dxa"/>
            <w:tcBorders>
              <w:top w:val="single" w:sz="4" w:space="0" w:color="C0C0C0"/>
              <w:bottom w:val="single" w:sz="4" w:space="0" w:color="C0C0C0"/>
            </w:tcBorders>
            <w:tcMar>
              <w:top w:w="11" w:type="dxa"/>
              <w:left w:w="45" w:type="dxa"/>
              <w:bottom w:w="11" w:type="dxa"/>
              <w:right w:w="45" w:type="dxa"/>
            </w:tcMar>
            <w:vAlign w:val="center"/>
          </w:tcPr>
          <w:p w14:paraId="213A84E8" w14:textId="77777777" w:rsidR="00F37F0F" w:rsidRDefault="00F37F0F" w:rsidP="003A385F">
            <w:pPr>
              <w:jc w:val="center"/>
              <w:rPr>
                <w:rFonts w:cs="Arial"/>
                <w:sz w:val="17"/>
                <w:szCs w:val="17"/>
              </w:rPr>
            </w:pPr>
          </w:p>
        </w:tc>
      </w:tr>
      <w:tr w:rsidR="00F37F0F" w14:paraId="2F18B622" w14:textId="77777777" w:rsidTr="00632A06">
        <w:trPr>
          <w:gridAfter w:val="1"/>
          <w:wAfter w:w="30" w:type="dxa"/>
          <w:trHeight w:hRule="exact" w:val="238"/>
        </w:trPr>
        <w:tc>
          <w:tcPr>
            <w:tcW w:w="3544" w:type="dxa"/>
            <w:tcBorders>
              <w:top w:val="single" w:sz="4" w:space="0" w:color="C0C0C0"/>
              <w:bottom w:val="single" w:sz="4" w:space="0" w:color="C0C0C0"/>
            </w:tcBorders>
            <w:tcMar>
              <w:top w:w="11" w:type="dxa"/>
              <w:left w:w="45" w:type="dxa"/>
              <w:bottom w:w="11" w:type="dxa"/>
              <w:right w:w="45" w:type="dxa"/>
            </w:tcMar>
            <w:vAlign w:val="center"/>
          </w:tcPr>
          <w:p w14:paraId="515D4D46" w14:textId="77777777" w:rsidR="00F37F0F" w:rsidRDefault="00F37F0F" w:rsidP="003A385F">
            <w:pPr>
              <w:pStyle w:val="Header"/>
              <w:rPr>
                <w:rFonts w:cs="Arial"/>
                <w:sz w:val="17"/>
                <w:szCs w:val="17"/>
              </w:rPr>
            </w:pPr>
            <w:r>
              <w:rPr>
                <w:rFonts w:cs="Arial"/>
                <w:sz w:val="17"/>
                <w:szCs w:val="17"/>
              </w:rPr>
              <w:t>This organisation is doing more for patient safety now than it did one year ago.</w:t>
            </w:r>
          </w:p>
        </w:tc>
        <w:tc>
          <w:tcPr>
            <w:tcW w:w="1179" w:type="dxa"/>
            <w:tcBorders>
              <w:top w:val="single" w:sz="4" w:space="0" w:color="C0C0C0"/>
              <w:bottom w:val="single" w:sz="4" w:space="0" w:color="C0C0C0"/>
            </w:tcBorders>
            <w:tcMar>
              <w:top w:w="11" w:type="dxa"/>
              <w:left w:w="45" w:type="dxa"/>
              <w:bottom w:w="11" w:type="dxa"/>
              <w:right w:w="45" w:type="dxa"/>
            </w:tcMar>
            <w:vAlign w:val="center"/>
          </w:tcPr>
          <w:p w14:paraId="036A628E" w14:textId="77777777" w:rsidR="00F37F0F" w:rsidRDefault="00F37F0F" w:rsidP="003A385F">
            <w:pPr>
              <w:jc w:val="center"/>
              <w:rPr>
                <w:rFonts w:cs="Arial"/>
                <w:sz w:val="17"/>
                <w:szCs w:val="17"/>
              </w:rPr>
            </w:pPr>
          </w:p>
        </w:tc>
        <w:tc>
          <w:tcPr>
            <w:tcW w:w="849" w:type="dxa"/>
            <w:tcBorders>
              <w:top w:val="single" w:sz="4" w:space="0" w:color="C0C0C0"/>
              <w:bottom w:val="single" w:sz="4" w:space="0" w:color="C0C0C0"/>
            </w:tcBorders>
            <w:tcMar>
              <w:top w:w="11" w:type="dxa"/>
              <w:left w:w="45" w:type="dxa"/>
              <w:bottom w:w="11" w:type="dxa"/>
              <w:right w:w="45" w:type="dxa"/>
            </w:tcMar>
            <w:vAlign w:val="center"/>
          </w:tcPr>
          <w:p w14:paraId="2353992F" w14:textId="77777777" w:rsidR="00F37F0F" w:rsidRDefault="00F37F0F" w:rsidP="003A385F">
            <w:pPr>
              <w:jc w:val="center"/>
              <w:rPr>
                <w:rFonts w:cs="Arial"/>
                <w:sz w:val="17"/>
                <w:szCs w:val="17"/>
              </w:rPr>
            </w:pPr>
          </w:p>
        </w:tc>
        <w:tc>
          <w:tcPr>
            <w:tcW w:w="850" w:type="dxa"/>
            <w:tcBorders>
              <w:top w:val="single" w:sz="4" w:space="0" w:color="C0C0C0"/>
              <w:bottom w:val="single" w:sz="4" w:space="0" w:color="C0C0C0"/>
            </w:tcBorders>
            <w:tcMar>
              <w:top w:w="11" w:type="dxa"/>
              <w:left w:w="45" w:type="dxa"/>
              <w:bottom w:w="11" w:type="dxa"/>
              <w:right w:w="45" w:type="dxa"/>
            </w:tcMar>
            <w:vAlign w:val="center"/>
          </w:tcPr>
          <w:p w14:paraId="5928715F" w14:textId="77777777" w:rsidR="00F37F0F" w:rsidRDefault="00F37F0F" w:rsidP="003A385F">
            <w:pPr>
              <w:jc w:val="center"/>
              <w:rPr>
                <w:rFonts w:cs="Arial"/>
                <w:sz w:val="17"/>
                <w:szCs w:val="17"/>
              </w:rPr>
            </w:pPr>
          </w:p>
        </w:tc>
        <w:tc>
          <w:tcPr>
            <w:tcW w:w="849" w:type="dxa"/>
            <w:tcBorders>
              <w:top w:val="single" w:sz="4" w:space="0" w:color="C0C0C0"/>
              <w:bottom w:val="single" w:sz="4" w:space="0" w:color="C0C0C0"/>
            </w:tcBorders>
            <w:tcMar>
              <w:top w:w="11" w:type="dxa"/>
              <w:left w:w="45" w:type="dxa"/>
              <w:bottom w:w="11" w:type="dxa"/>
              <w:right w:w="45" w:type="dxa"/>
            </w:tcMar>
            <w:vAlign w:val="center"/>
          </w:tcPr>
          <w:p w14:paraId="7F92266B" w14:textId="77777777" w:rsidR="00F37F0F" w:rsidRDefault="00F37F0F" w:rsidP="003A385F">
            <w:pPr>
              <w:jc w:val="center"/>
              <w:rPr>
                <w:rFonts w:cs="Arial"/>
                <w:sz w:val="17"/>
                <w:szCs w:val="17"/>
              </w:rPr>
            </w:pPr>
            <w:r>
              <w:rPr>
                <w:rFonts w:cs="Arial"/>
                <w:sz w:val="17"/>
                <w:szCs w:val="17"/>
              </w:rPr>
              <w:t>-.794</w:t>
            </w:r>
          </w:p>
        </w:tc>
        <w:tc>
          <w:tcPr>
            <w:tcW w:w="708" w:type="dxa"/>
            <w:tcBorders>
              <w:top w:val="single" w:sz="4" w:space="0" w:color="C0C0C0"/>
              <w:bottom w:val="single" w:sz="4" w:space="0" w:color="C0C0C0"/>
            </w:tcBorders>
            <w:tcMar>
              <w:top w:w="11" w:type="dxa"/>
              <w:left w:w="45" w:type="dxa"/>
              <w:bottom w:w="11" w:type="dxa"/>
              <w:right w:w="45" w:type="dxa"/>
            </w:tcMar>
            <w:vAlign w:val="center"/>
          </w:tcPr>
          <w:p w14:paraId="24D8E011" w14:textId="77777777" w:rsidR="00F37F0F" w:rsidRDefault="00F37F0F" w:rsidP="003A385F">
            <w:pPr>
              <w:jc w:val="center"/>
              <w:rPr>
                <w:rFonts w:cs="Arial"/>
                <w:sz w:val="17"/>
                <w:szCs w:val="17"/>
              </w:rPr>
            </w:pPr>
          </w:p>
        </w:tc>
      </w:tr>
      <w:tr w:rsidR="00F37F0F" w14:paraId="59187409" w14:textId="77777777" w:rsidTr="00632A06">
        <w:trPr>
          <w:gridAfter w:val="1"/>
          <w:wAfter w:w="30" w:type="dxa"/>
          <w:trHeight w:hRule="exact" w:val="238"/>
        </w:trPr>
        <w:tc>
          <w:tcPr>
            <w:tcW w:w="3544" w:type="dxa"/>
            <w:tcBorders>
              <w:top w:val="single" w:sz="4" w:space="0" w:color="C0C0C0"/>
              <w:bottom w:val="single" w:sz="4" w:space="0" w:color="C0C0C0"/>
            </w:tcBorders>
            <w:tcMar>
              <w:top w:w="11" w:type="dxa"/>
              <w:left w:w="45" w:type="dxa"/>
              <w:bottom w:w="11" w:type="dxa"/>
              <w:right w:w="45" w:type="dxa"/>
            </w:tcMar>
            <w:vAlign w:val="center"/>
          </w:tcPr>
          <w:p w14:paraId="620FF48A" w14:textId="77777777" w:rsidR="00F37F0F" w:rsidRDefault="00F37F0F" w:rsidP="003A385F">
            <w:pPr>
              <w:pStyle w:val="Header"/>
              <w:rPr>
                <w:rFonts w:cs="Arial"/>
                <w:sz w:val="17"/>
                <w:szCs w:val="17"/>
              </w:rPr>
            </w:pPr>
            <w:r>
              <w:rPr>
                <w:rFonts w:cs="Arial"/>
                <w:sz w:val="17"/>
                <w:szCs w:val="17"/>
              </w:rPr>
              <w:t>Leadership is driving us to be a safety-centred organisation.</w:t>
            </w:r>
          </w:p>
        </w:tc>
        <w:tc>
          <w:tcPr>
            <w:tcW w:w="1179" w:type="dxa"/>
            <w:tcBorders>
              <w:top w:val="single" w:sz="4" w:space="0" w:color="C0C0C0"/>
              <w:bottom w:val="single" w:sz="4" w:space="0" w:color="C0C0C0"/>
            </w:tcBorders>
            <w:tcMar>
              <w:top w:w="11" w:type="dxa"/>
              <w:left w:w="45" w:type="dxa"/>
              <w:bottom w:w="11" w:type="dxa"/>
              <w:right w:w="45" w:type="dxa"/>
            </w:tcMar>
            <w:vAlign w:val="center"/>
          </w:tcPr>
          <w:p w14:paraId="19254932" w14:textId="77777777" w:rsidR="00F37F0F" w:rsidRDefault="00F37F0F" w:rsidP="003A385F">
            <w:pPr>
              <w:jc w:val="center"/>
              <w:rPr>
                <w:rFonts w:cs="Arial"/>
                <w:sz w:val="17"/>
                <w:szCs w:val="17"/>
              </w:rPr>
            </w:pPr>
          </w:p>
        </w:tc>
        <w:tc>
          <w:tcPr>
            <w:tcW w:w="849" w:type="dxa"/>
            <w:tcBorders>
              <w:top w:val="single" w:sz="4" w:space="0" w:color="C0C0C0"/>
              <w:bottom w:val="single" w:sz="4" w:space="0" w:color="C0C0C0"/>
            </w:tcBorders>
            <w:tcMar>
              <w:top w:w="11" w:type="dxa"/>
              <w:left w:w="45" w:type="dxa"/>
              <w:bottom w:w="11" w:type="dxa"/>
              <w:right w:w="45" w:type="dxa"/>
            </w:tcMar>
            <w:vAlign w:val="center"/>
          </w:tcPr>
          <w:p w14:paraId="4675CEB1" w14:textId="77777777" w:rsidR="00F37F0F" w:rsidRDefault="00F37F0F" w:rsidP="003A385F">
            <w:pPr>
              <w:jc w:val="center"/>
              <w:rPr>
                <w:rFonts w:cs="Arial"/>
                <w:sz w:val="17"/>
                <w:szCs w:val="17"/>
              </w:rPr>
            </w:pPr>
          </w:p>
        </w:tc>
        <w:tc>
          <w:tcPr>
            <w:tcW w:w="850" w:type="dxa"/>
            <w:tcBorders>
              <w:top w:val="single" w:sz="4" w:space="0" w:color="C0C0C0"/>
              <w:bottom w:val="single" w:sz="4" w:space="0" w:color="C0C0C0"/>
            </w:tcBorders>
            <w:tcMar>
              <w:top w:w="11" w:type="dxa"/>
              <w:left w:w="45" w:type="dxa"/>
              <w:bottom w:w="11" w:type="dxa"/>
              <w:right w:w="45" w:type="dxa"/>
            </w:tcMar>
            <w:vAlign w:val="center"/>
          </w:tcPr>
          <w:p w14:paraId="308739BD" w14:textId="77777777" w:rsidR="00F37F0F" w:rsidRDefault="00F37F0F" w:rsidP="003A385F">
            <w:pPr>
              <w:jc w:val="center"/>
              <w:rPr>
                <w:rFonts w:cs="Arial"/>
                <w:sz w:val="17"/>
                <w:szCs w:val="17"/>
              </w:rPr>
            </w:pPr>
          </w:p>
        </w:tc>
        <w:tc>
          <w:tcPr>
            <w:tcW w:w="849" w:type="dxa"/>
            <w:tcBorders>
              <w:top w:val="single" w:sz="4" w:space="0" w:color="C0C0C0"/>
              <w:bottom w:val="single" w:sz="4" w:space="0" w:color="C0C0C0"/>
            </w:tcBorders>
            <w:tcMar>
              <w:top w:w="11" w:type="dxa"/>
              <w:left w:w="45" w:type="dxa"/>
              <w:bottom w:w="11" w:type="dxa"/>
              <w:right w:w="45" w:type="dxa"/>
            </w:tcMar>
            <w:vAlign w:val="center"/>
          </w:tcPr>
          <w:p w14:paraId="4EBECE8B" w14:textId="77777777" w:rsidR="00F37F0F" w:rsidRDefault="00F37F0F" w:rsidP="003A385F">
            <w:pPr>
              <w:jc w:val="center"/>
              <w:rPr>
                <w:rFonts w:cs="Arial"/>
                <w:sz w:val="17"/>
                <w:szCs w:val="17"/>
              </w:rPr>
            </w:pPr>
            <w:r>
              <w:rPr>
                <w:rFonts w:cs="Arial"/>
                <w:sz w:val="17"/>
                <w:szCs w:val="17"/>
              </w:rPr>
              <w:t>-.712</w:t>
            </w:r>
          </w:p>
        </w:tc>
        <w:tc>
          <w:tcPr>
            <w:tcW w:w="708" w:type="dxa"/>
            <w:tcBorders>
              <w:top w:val="single" w:sz="4" w:space="0" w:color="C0C0C0"/>
              <w:bottom w:val="single" w:sz="4" w:space="0" w:color="C0C0C0"/>
            </w:tcBorders>
            <w:tcMar>
              <w:top w:w="11" w:type="dxa"/>
              <w:left w:w="45" w:type="dxa"/>
              <w:bottom w:w="11" w:type="dxa"/>
              <w:right w:w="45" w:type="dxa"/>
            </w:tcMar>
            <w:vAlign w:val="center"/>
          </w:tcPr>
          <w:p w14:paraId="09067DE5" w14:textId="77777777" w:rsidR="00F37F0F" w:rsidRDefault="00F37F0F" w:rsidP="003A385F">
            <w:pPr>
              <w:jc w:val="center"/>
              <w:rPr>
                <w:rFonts w:cs="Arial"/>
                <w:sz w:val="17"/>
                <w:szCs w:val="17"/>
              </w:rPr>
            </w:pPr>
          </w:p>
        </w:tc>
      </w:tr>
      <w:tr w:rsidR="00F37F0F" w14:paraId="57803BC4" w14:textId="77777777" w:rsidTr="00632A06">
        <w:trPr>
          <w:gridAfter w:val="1"/>
          <w:wAfter w:w="30" w:type="dxa"/>
          <w:trHeight w:hRule="exact" w:val="432"/>
        </w:trPr>
        <w:tc>
          <w:tcPr>
            <w:tcW w:w="3544" w:type="dxa"/>
            <w:tcBorders>
              <w:top w:val="single" w:sz="4" w:space="0" w:color="C0C0C0"/>
              <w:bottom w:val="single" w:sz="4" w:space="0" w:color="auto"/>
            </w:tcBorders>
            <w:tcMar>
              <w:top w:w="11" w:type="dxa"/>
              <w:left w:w="45" w:type="dxa"/>
              <w:bottom w:w="11" w:type="dxa"/>
              <w:right w:w="45" w:type="dxa"/>
            </w:tcMar>
            <w:vAlign w:val="center"/>
          </w:tcPr>
          <w:p w14:paraId="1A285FCE" w14:textId="77777777" w:rsidR="00F37F0F" w:rsidRDefault="00F37F0F" w:rsidP="003A385F">
            <w:pPr>
              <w:pStyle w:val="Header"/>
              <w:rPr>
                <w:rFonts w:cs="Arial"/>
                <w:sz w:val="17"/>
                <w:szCs w:val="17"/>
              </w:rPr>
            </w:pPr>
            <w:r>
              <w:rPr>
                <w:rFonts w:cs="Arial"/>
                <w:sz w:val="17"/>
                <w:szCs w:val="17"/>
              </w:rPr>
              <w:t>My suggestions about safety would be acted upon if I expressed them to management.</w:t>
            </w:r>
          </w:p>
        </w:tc>
        <w:tc>
          <w:tcPr>
            <w:tcW w:w="1179" w:type="dxa"/>
            <w:tcBorders>
              <w:top w:val="single" w:sz="4" w:space="0" w:color="C0C0C0"/>
              <w:bottom w:val="single" w:sz="4" w:space="0" w:color="auto"/>
            </w:tcBorders>
            <w:tcMar>
              <w:top w:w="11" w:type="dxa"/>
              <w:left w:w="45" w:type="dxa"/>
              <w:bottom w:w="11" w:type="dxa"/>
              <w:right w:w="45" w:type="dxa"/>
            </w:tcMar>
            <w:vAlign w:val="center"/>
          </w:tcPr>
          <w:p w14:paraId="19F00FD8" w14:textId="77777777" w:rsidR="00F37F0F" w:rsidRDefault="00F37F0F" w:rsidP="003A385F">
            <w:pPr>
              <w:jc w:val="center"/>
              <w:rPr>
                <w:rFonts w:cs="Arial"/>
                <w:sz w:val="17"/>
                <w:szCs w:val="17"/>
              </w:rPr>
            </w:pPr>
          </w:p>
        </w:tc>
        <w:tc>
          <w:tcPr>
            <w:tcW w:w="849" w:type="dxa"/>
            <w:tcBorders>
              <w:top w:val="single" w:sz="4" w:space="0" w:color="C0C0C0"/>
              <w:bottom w:val="single" w:sz="4" w:space="0" w:color="auto"/>
            </w:tcBorders>
            <w:tcMar>
              <w:top w:w="11" w:type="dxa"/>
              <w:left w:w="45" w:type="dxa"/>
              <w:bottom w:w="11" w:type="dxa"/>
              <w:right w:w="45" w:type="dxa"/>
            </w:tcMar>
            <w:vAlign w:val="center"/>
          </w:tcPr>
          <w:p w14:paraId="299C992D" w14:textId="77777777" w:rsidR="00F37F0F" w:rsidRDefault="00F37F0F" w:rsidP="003A385F">
            <w:pPr>
              <w:jc w:val="center"/>
              <w:rPr>
                <w:rFonts w:cs="Arial"/>
                <w:sz w:val="17"/>
                <w:szCs w:val="17"/>
              </w:rPr>
            </w:pPr>
          </w:p>
        </w:tc>
        <w:tc>
          <w:tcPr>
            <w:tcW w:w="850" w:type="dxa"/>
            <w:tcBorders>
              <w:top w:val="single" w:sz="4" w:space="0" w:color="C0C0C0"/>
              <w:bottom w:val="single" w:sz="4" w:space="0" w:color="auto"/>
            </w:tcBorders>
            <w:tcMar>
              <w:top w:w="11" w:type="dxa"/>
              <w:left w:w="45" w:type="dxa"/>
              <w:bottom w:w="11" w:type="dxa"/>
              <w:right w:w="45" w:type="dxa"/>
            </w:tcMar>
            <w:vAlign w:val="center"/>
          </w:tcPr>
          <w:p w14:paraId="77AD26AA" w14:textId="77777777" w:rsidR="00F37F0F" w:rsidRDefault="00F37F0F" w:rsidP="003A385F">
            <w:pPr>
              <w:jc w:val="center"/>
              <w:rPr>
                <w:rFonts w:cs="Arial"/>
                <w:sz w:val="17"/>
                <w:szCs w:val="17"/>
              </w:rPr>
            </w:pPr>
          </w:p>
        </w:tc>
        <w:tc>
          <w:tcPr>
            <w:tcW w:w="849" w:type="dxa"/>
            <w:tcBorders>
              <w:top w:val="single" w:sz="4" w:space="0" w:color="C0C0C0"/>
              <w:bottom w:val="single" w:sz="4" w:space="0" w:color="auto"/>
            </w:tcBorders>
            <w:tcMar>
              <w:top w:w="11" w:type="dxa"/>
              <w:left w:w="45" w:type="dxa"/>
              <w:bottom w:w="11" w:type="dxa"/>
              <w:right w:w="45" w:type="dxa"/>
            </w:tcMar>
            <w:vAlign w:val="center"/>
          </w:tcPr>
          <w:p w14:paraId="48B1475C" w14:textId="77777777" w:rsidR="00F37F0F" w:rsidRDefault="00F37F0F" w:rsidP="003A385F">
            <w:pPr>
              <w:jc w:val="center"/>
              <w:rPr>
                <w:rFonts w:cs="Arial"/>
                <w:sz w:val="17"/>
                <w:szCs w:val="17"/>
              </w:rPr>
            </w:pPr>
            <w:r>
              <w:rPr>
                <w:rFonts w:cs="Arial"/>
                <w:sz w:val="17"/>
                <w:szCs w:val="17"/>
              </w:rPr>
              <w:t>-.644</w:t>
            </w:r>
          </w:p>
        </w:tc>
        <w:tc>
          <w:tcPr>
            <w:tcW w:w="708" w:type="dxa"/>
            <w:tcBorders>
              <w:top w:val="single" w:sz="4" w:space="0" w:color="C0C0C0"/>
              <w:bottom w:val="single" w:sz="4" w:space="0" w:color="auto"/>
            </w:tcBorders>
            <w:tcMar>
              <w:top w:w="11" w:type="dxa"/>
              <w:left w:w="45" w:type="dxa"/>
              <w:bottom w:w="11" w:type="dxa"/>
              <w:right w:w="45" w:type="dxa"/>
            </w:tcMar>
            <w:vAlign w:val="center"/>
          </w:tcPr>
          <w:p w14:paraId="540B7B26" w14:textId="77777777" w:rsidR="00F37F0F" w:rsidRDefault="00F37F0F" w:rsidP="003A385F">
            <w:pPr>
              <w:jc w:val="center"/>
              <w:rPr>
                <w:rFonts w:cs="Arial"/>
                <w:sz w:val="17"/>
                <w:szCs w:val="17"/>
              </w:rPr>
            </w:pPr>
          </w:p>
        </w:tc>
      </w:tr>
      <w:tr w:rsidR="00F37F0F" w14:paraId="1B85DD92" w14:textId="77777777" w:rsidTr="00632A06">
        <w:trPr>
          <w:gridAfter w:val="1"/>
          <w:wAfter w:w="30" w:type="dxa"/>
          <w:trHeight w:hRule="exact" w:val="438"/>
        </w:trPr>
        <w:tc>
          <w:tcPr>
            <w:tcW w:w="3544" w:type="dxa"/>
            <w:tcBorders>
              <w:top w:val="single" w:sz="4" w:space="0" w:color="auto"/>
              <w:bottom w:val="single" w:sz="4" w:space="0" w:color="C0C0C0"/>
            </w:tcBorders>
            <w:tcMar>
              <w:top w:w="11" w:type="dxa"/>
              <w:left w:w="45" w:type="dxa"/>
              <w:bottom w:w="11" w:type="dxa"/>
              <w:right w:w="45" w:type="dxa"/>
            </w:tcMar>
            <w:vAlign w:val="center"/>
          </w:tcPr>
          <w:p w14:paraId="6D81BBAC" w14:textId="77777777" w:rsidR="00F37F0F" w:rsidRDefault="00F37F0F" w:rsidP="003A385F">
            <w:pPr>
              <w:pStyle w:val="Header"/>
              <w:rPr>
                <w:rFonts w:cs="Arial"/>
                <w:b/>
                <w:sz w:val="17"/>
                <w:szCs w:val="17"/>
              </w:rPr>
            </w:pPr>
            <w:r>
              <w:rPr>
                <w:rFonts w:cs="Arial"/>
                <w:b/>
                <w:sz w:val="20"/>
                <w:lang w:val="en-US"/>
              </w:rPr>
              <w:t>Factor 5 (negatively worded items)</w:t>
            </w:r>
          </w:p>
        </w:tc>
        <w:tc>
          <w:tcPr>
            <w:tcW w:w="1179" w:type="dxa"/>
            <w:tcBorders>
              <w:top w:val="single" w:sz="4" w:space="0" w:color="auto"/>
              <w:bottom w:val="single" w:sz="4" w:space="0" w:color="C0C0C0"/>
            </w:tcBorders>
            <w:tcMar>
              <w:top w:w="11" w:type="dxa"/>
              <w:left w:w="45" w:type="dxa"/>
              <w:bottom w:w="11" w:type="dxa"/>
              <w:right w:w="45" w:type="dxa"/>
            </w:tcMar>
            <w:vAlign w:val="center"/>
          </w:tcPr>
          <w:p w14:paraId="25099DC9" w14:textId="77777777" w:rsidR="00F37F0F" w:rsidRDefault="00F37F0F" w:rsidP="003A385F">
            <w:pPr>
              <w:jc w:val="center"/>
              <w:rPr>
                <w:rFonts w:cs="Arial"/>
                <w:sz w:val="17"/>
                <w:szCs w:val="17"/>
              </w:rPr>
            </w:pPr>
          </w:p>
        </w:tc>
        <w:tc>
          <w:tcPr>
            <w:tcW w:w="849" w:type="dxa"/>
            <w:tcBorders>
              <w:top w:val="single" w:sz="4" w:space="0" w:color="auto"/>
              <w:bottom w:val="single" w:sz="4" w:space="0" w:color="C0C0C0"/>
            </w:tcBorders>
            <w:tcMar>
              <w:top w:w="11" w:type="dxa"/>
              <w:left w:w="45" w:type="dxa"/>
              <w:bottom w:w="11" w:type="dxa"/>
              <w:right w:w="45" w:type="dxa"/>
            </w:tcMar>
            <w:vAlign w:val="center"/>
          </w:tcPr>
          <w:p w14:paraId="7CF6FBDC" w14:textId="77777777" w:rsidR="00F37F0F" w:rsidRDefault="00F37F0F" w:rsidP="003A385F">
            <w:pPr>
              <w:jc w:val="center"/>
              <w:rPr>
                <w:rFonts w:cs="Arial"/>
                <w:sz w:val="17"/>
                <w:szCs w:val="17"/>
              </w:rPr>
            </w:pPr>
          </w:p>
        </w:tc>
        <w:tc>
          <w:tcPr>
            <w:tcW w:w="850" w:type="dxa"/>
            <w:tcBorders>
              <w:top w:val="single" w:sz="4" w:space="0" w:color="auto"/>
              <w:bottom w:val="single" w:sz="4" w:space="0" w:color="C0C0C0"/>
            </w:tcBorders>
            <w:tcMar>
              <w:top w:w="11" w:type="dxa"/>
              <w:left w:w="45" w:type="dxa"/>
              <w:bottom w:w="11" w:type="dxa"/>
              <w:right w:w="45" w:type="dxa"/>
            </w:tcMar>
            <w:vAlign w:val="center"/>
          </w:tcPr>
          <w:p w14:paraId="2A2930F1" w14:textId="77777777" w:rsidR="00F37F0F" w:rsidRDefault="00F37F0F" w:rsidP="003A385F">
            <w:pPr>
              <w:jc w:val="center"/>
              <w:rPr>
                <w:rFonts w:cs="Arial"/>
                <w:sz w:val="17"/>
                <w:szCs w:val="17"/>
              </w:rPr>
            </w:pPr>
          </w:p>
        </w:tc>
        <w:tc>
          <w:tcPr>
            <w:tcW w:w="849" w:type="dxa"/>
            <w:tcBorders>
              <w:top w:val="single" w:sz="4" w:space="0" w:color="auto"/>
              <w:bottom w:val="single" w:sz="4" w:space="0" w:color="C0C0C0"/>
            </w:tcBorders>
            <w:tcMar>
              <w:top w:w="11" w:type="dxa"/>
              <w:left w:w="45" w:type="dxa"/>
              <w:bottom w:w="11" w:type="dxa"/>
              <w:right w:w="45" w:type="dxa"/>
            </w:tcMar>
            <w:vAlign w:val="center"/>
          </w:tcPr>
          <w:p w14:paraId="09475782" w14:textId="77777777" w:rsidR="00F37F0F" w:rsidRDefault="00F37F0F" w:rsidP="003A385F">
            <w:pPr>
              <w:jc w:val="center"/>
              <w:rPr>
                <w:rFonts w:cs="Arial"/>
                <w:sz w:val="17"/>
                <w:szCs w:val="17"/>
              </w:rPr>
            </w:pPr>
          </w:p>
        </w:tc>
        <w:tc>
          <w:tcPr>
            <w:tcW w:w="708" w:type="dxa"/>
            <w:tcBorders>
              <w:top w:val="single" w:sz="4" w:space="0" w:color="auto"/>
              <w:bottom w:val="single" w:sz="4" w:space="0" w:color="C0C0C0"/>
            </w:tcBorders>
            <w:tcMar>
              <w:top w:w="11" w:type="dxa"/>
              <w:left w:w="45" w:type="dxa"/>
              <w:bottom w:w="11" w:type="dxa"/>
              <w:right w:w="45" w:type="dxa"/>
            </w:tcMar>
            <w:vAlign w:val="center"/>
          </w:tcPr>
          <w:p w14:paraId="10F4D46C" w14:textId="77777777" w:rsidR="00F37F0F" w:rsidRDefault="00F37F0F" w:rsidP="003A385F">
            <w:pPr>
              <w:jc w:val="center"/>
              <w:rPr>
                <w:rFonts w:cs="Arial"/>
                <w:sz w:val="17"/>
                <w:szCs w:val="17"/>
              </w:rPr>
            </w:pPr>
          </w:p>
        </w:tc>
      </w:tr>
      <w:tr w:rsidR="00F37F0F" w14:paraId="3393034A" w14:textId="77777777" w:rsidTr="00632A06">
        <w:trPr>
          <w:gridAfter w:val="1"/>
          <w:wAfter w:w="30" w:type="dxa"/>
          <w:trHeight w:hRule="exact" w:val="432"/>
        </w:trPr>
        <w:tc>
          <w:tcPr>
            <w:tcW w:w="3544" w:type="dxa"/>
            <w:tcBorders>
              <w:top w:val="single" w:sz="4" w:space="0" w:color="C0C0C0"/>
              <w:bottom w:val="single" w:sz="4" w:space="0" w:color="C0C0C0"/>
            </w:tcBorders>
            <w:tcMar>
              <w:top w:w="11" w:type="dxa"/>
              <w:left w:w="45" w:type="dxa"/>
              <w:bottom w:w="11" w:type="dxa"/>
              <w:right w:w="45" w:type="dxa"/>
            </w:tcMar>
            <w:vAlign w:val="center"/>
          </w:tcPr>
          <w:p w14:paraId="7991F590" w14:textId="77777777" w:rsidR="00F37F0F" w:rsidRDefault="00F37F0F" w:rsidP="003A385F">
            <w:pPr>
              <w:pStyle w:val="Header"/>
              <w:rPr>
                <w:rFonts w:cs="Arial"/>
                <w:sz w:val="17"/>
                <w:szCs w:val="17"/>
              </w:rPr>
            </w:pPr>
            <w:r>
              <w:rPr>
                <w:rFonts w:cs="Arial"/>
                <w:sz w:val="17"/>
                <w:szCs w:val="17"/>
              </w:rPr>
              <w:t>Where I work, it is difficult to speak up if I perceive a problem with patient care. (Teamwork item)</w:t>
            </w:r>
          </w:p>
        </w:tc>
        <w:tc>
          <w:tcPr>
            <w:tcW w:w="1179" w:type="dxa"/>
            <w:tcBorders>
              <w:top w:val="single" w:sz="4" w:space="0" w:color="C0C0C0"/>
              <w:bottom w:val="single" w:sz="4" w:space="0" w:color="C0C0C0"/>
            </w:tcBorders>
            <w:tcMar>
              <w:top w:w="11" w:type="dxa"/>
              <w:left w:w="45" w:type="dxa"/>
              <w:bottom w:w="11" w:type="dxa"/>
              <w:right w:w="45" w:type="dxa"/>
            </w:tcMar>
            <w:vAlign w:val="center"/>
          </w:tcPr>
          <w:p w14:paraId="6F86991C" w14:textId="77777777" w:rsidR="00F37F0F" w:rsidRDefault="00F37F0F" w:rsidP="003A385F">
            <w:pPr>
              <w:jc w:val="center"/>
              <w:rPr>
                <w:rFonts w:cs="Arial"/>
                <w:sz w:val="17"/>
                <w:szCs w:val="17"/>
              </w:rPr>
            </w:pPr>
          </w:p>
        </w:tc>
        <w:tc>
          <w:tcPr>
            <w:tcW w:w="849" w:type="dxa"/>
            <w:tcBorders>
              <w:top w:val="single" w:sz="4" w:space="0" w:color="C0C0C0"/>
              <w:bottom w:val="single" w:sz="4" w:space="0" w:color="C0C0C0"/>
            </w:tcBorders>
            <w:tcMar>
              <w:top w:w="11" w:type="dxa"/>
              <w:left w:w="45" w:type="dxa"/>
              <w:bottom w:w="11" w:type="dxa"/>
              <w:right w:w="45" w:type="dxa"/>
            </w:tcMar>
            <w:vAlign w:val="center"/>
          </w:tcPr>
          <w:p w14:paraId="19ACB47F" w14:textId="77777777" w:rsidR="00F37F0F" w:rsidRDefault="00F37F0F" w:rsidP="003A385F">
            <w:pPr>
              <w:jc w:val="center"/>
              <w:rPr>
                <w:rFonts w:cs="Arial"/>
                <w:sz w:val="17"/>
                <w:szCs w:val="17"/>
              </w:rPr>
            </w:pPr>
          </w:p>
        </w:tc>
        <w:tc>
          <w:tcPr>
            <w:tcW w:w="850" w:type="dxa"/>
            <w:tcBorders>
              <w:top w:val="single" w:sz="4" w:space="0" w:color="C0C0C0"/>
              <w:bottom w:val="single" w:sz="4" w:space="0" w:color="C0C0C0"/>
            </w:tcBorders>
            <w:tcMar>
              <w:top w:w="11" w:type="dxa"/>
              <w:left w:w="45" w:type="dxa"/>
              <w:bottom w:w="11" w:type="dxa"/>
              <w:right w:w="45" w:type="dxa"/>
            </w:tcMar>
            <w:vAlign w:val="center"/>
          </w:tcPr>
          <w:p w14:paraId="11952037" w14:textId="77777777" w:rsidR="00F37F0F" w:rsidRDefault="00F37F0F" w:rsidP="003A385F">
            <w:pPr>
              <w:jc w:val="center"/>
              <w:rPr>
                <w:rFonts w:cs="Arial"/>
                <w:sz w:val="17"/>
                <w:szCs w:val="17"/>
              </w:rPr>
            </w:pPr>
          </w:p>
        </w:tc>
        <w:tc>
          <w:tcPr>
            <w:tcW w:w="849" w:type="dxa"/>
            <w:tcBorders>
              <w:top w:val="single" w:sz="4" w:space="0" w:color="C0C0C0"/>
              <w:bottom w:val="single" w:sz="4" w:space="0" w:color="C0C0C0"/>
            </w:tcBorders>
            <w:tcMar>
              <w:top w:w="11" w:type="dxa"/>
              <w:left w:w="45" w:type="dxa"/>
              <w:bottom w:w="11" w:type="dxa"/>
              <w:right w:w="45" w:type="dxa"/>
            </w:tcMar>
            <w:vAlign w:val="center"/>
          </w:tcPr>
          <w:p w14:paraId="21019AAD" w14:textId="77777777" w:rsidR="00F37F0F" w:rsidRDefault="00F37F0F" w:rsidP="003A385F">
            <w:pPr>
              <w:jc w:val="center"/>
              <w:rPr>
                <w:rFonts w:cs="Arial"/>
                <w:sz w:val="17"/>
                <w:szCs w:val="17"/>
              </w:rPr>
            </w:pPr>
          </w:p>
        </w:tc>
        <w:tc>
          <w:tcPr>
            <w:tcW w:w="708" w:type="dxa"/>
            <w:tcBorders>
              <w:top w:val="single" w:sz="4" w:space="0" w:color="C0C0C0"/>
              <w:bottom w:val="single" w:sz="4" w:space="0" w:color="C0C0C0"/>
            </w:tcBorders>
            <w:tcMar>
              <w:top w:w="11" w:type="dxa"/>
              <w:left w:w="45" w:type="dxa"/>
              <w:bottom w:w="11" w:type="dxa"/>
              <w:right w:w="45" w:type="dxa"/>
            </w:tcMar>
            <w:vAlign w:val="center"/>
          </w:tcPr>
          <w:p w14:paraId="55979745" w14:textId="77777777" w:rsidR="00F37F0F" w:rsidRDefault="00F37F0F" w:rsidP="003A385F">
            <w:pPr>
              <w:jc w:val="center"/>
              <w:rPr>
                <w:rFonts w:cs="Arial"/>
                <w:sz w:val="17"/>
                <w:szCs w:val="17"/>
              </w:rPr>
            </w:pPr>
            <w:r>
              <w:rPr>
                <w:rFonts w:cs="Arial"/>
                <w:sz w:val="17"/>
                <w:szCs w:val="17"/>
              </w:rPr>
              <w:t>.610</w:t>
            </w:r>
          </w:p>
        </w:tc>
      </w:tr>
      <w:tr w:rsidR="00F37F0F" w14:paraId="59A21147" w14:textId="77777777" w:rsidTr="00632A06">
        <w:trPr>
          <w:gridAfter w:val="1"/>
          <w:wAfter w:w="30" w:type="dxa"/>
          <w:trHeight w:hRule="exact" w:val="432"/>
        </w:trPr>
        <w:tc>
          <w:tcPr>
            <w:tcW w:w="3544" w:type="dxa"/>
            <w:tcBorders>
              <w:top w:val="single" w:sz="4" w:space="0" w:color="C0C0C0"/>
              <w:bottom w:val="single" w:sz="4" w:space="0" w:color="C0C0C0"/>
            </w:tcBorders>
            <w:tcMar>
              <w:top w:w="11" w:type="dxa"/>
              <w:left w:w="45" w:type="dxa"/>
              <w:bottom w:w="11" w:type="dxa"/>
              <w:right w:w="45" w:type="dxa"/>
            </w:tcMar>
            <w:vAlign w:val="center"/>
          </w:tcPr>
          <w:p w14:paraId="29F203D4" w14:textId="77777777" w:rsidR="00F37F0F" w:rsidRDefault="00F37F0F" w:rsidP="003A385F">
            <w:pPr>
              <w:pStyle w:val="Header"/>
              <w:rPr>
                <w:rFonts w:cs="Arial"/>
                <w:sz w:val="17"/>
                <w:szCs w:val="17"/>
              </w:rPr>
            </w:pPr>
            <w:r>
              <w:rPr>
                <w:rFonts w:cs="Arial"/>
                <w:sz w:val="17"/>
                <w:szCs w:val="17"/>
              </w:rPr>
              <w:t>I am frequently unable to express disagreement with the senior clinical staff here. (Teamwork item)</w:t>
            </w:r>
          </w:p>
        </w:tc>
        <w:tc>
          <w:tcPr>
            <w:tcW w:w="1179" w:type="dxa"/>
            <w:tcBorders>
              <w:top w:val="single" w:sz="4" w:space="0" w:color="C0C0C0"/>
              <w:bottom w:val="single" w:sz="4" w:space="0" w:color="C0C0C0"/>
            </w:tcBorders>
            <w:tcMar>
              <w:top w:w="11" w:type="dxa"/>
              <w:left w:w="45" w:type="dxa"/>
              <w:bottom w:w="11" w:type="dxa"/>
              <w:right w:w="45" w:type="dxa"/>
            </w:tcMar>
            <w:vAlign w:val="center"/>
          </w:tcPr>
          <w:p w14:paraId="44899C9B" w14:textId="77777777" w:rsidR="00F37F0F" w:rsidRDefault="00F37F0F" w:rsidP="003A385F">
            <w:pPr>
              <w:jc w:val="center"/>
              <w:rPr>
                <w:rFonts w:cs="Arial"/>
                <w:sz w:val="17"/>
                <w:szCs w:val="17"/>
              </w:rPr>
            </w:pPr>
          </w:p>
        </w:tc>
        <w:tc>
          <w:tcPr>
            <w:tcW w:w="849" w:type="dxa"/>
            <w:tcBorders>
              <w:top w:val="single" w:sz="4" w:space="0" w:color="C0C0C0"/>
              <w:bottom w:val="single" w:sz="4" w:space="0" w:color="C0C0C0"/>
            </w:tcBorders>
            <w:tcMar>
              <w:top w:w="11" w:type="dxa"/>
              <w:left w:w="45" w:type="dxa"/>
              <w:bottom w:w="11" w:type="dxa"/>
              <w:right w:w="45" w:type="dxa"/>
            </w:tcMar>
            <w:vAlign w:val="center"/>
          </w:tcPr>
          <w:p w14:paraId="6E49AFD0" w14:textId="77777777" w:rsidR="00F37F0F" w:rsidRDefault="00F37F0F" w:rsidP="003A385F">
            <w:pPr>
              <w:jc w:val="center"/>
              <w:rPr>
                <w:rFonts w:cs="Arial"/>
                <w:sz w:val="17"/>
                <w:szCs w:val="17"/>
              </w:rPr>
            </w:pPr>
          </w:p>
        </w:tc>
        <w:tc>
          <w:tcPr>
            <w:tcW w:w="850" w:type="dxa"/>
            <w:tcBorders>
              <w:top w:val="single" w:sz="4" w:space="0" w:color="C0C0C0"/>
              <w:bottom w:val="single" w:sz="4" w:space="0" w:color="C0C0C0"/>
            </w:tcBorders>
            <w:tcMar>
              <w:top w:w="11" w:type="dxa"/>
              <w:left w:w="45" w:type="dxa"/>
              <w:bottom w:w="11" w:type="dxa"/>
              <w:right w:w="45" w:type="dxa"/>
            </w:tcMar>
            <w:vAlign w:val="center"/>
          </w:tcPr>
          <w:p w14:paraId="1BEA9FAC" w14:textId="77777777" w:rsidR="00F37F0F" w:rsidRDefault="00F37F0F" w:rsidP="003A385F">
            <w:pPr>
              <w:jc w:val="center"/>
              <w:rPr>
                <w:rFonts w:cs="Arial"/>
                <w:sz w:val="17"/>
                <w:szCs w:val="17"/>
              </w:rPr>
            </w:pPr>
          </w:p>
        </w:tc>
        <w:tc>
          <w:tcPr>
            <w:tcW w:w="849" w:type="dxa"/>
            <w:tcBorders>
              <w:top w:val="single" w:sz="4" w:space="0" w:color="C0C0C0"/>
              <w:bottom w:val="single" w:sz="4" w:space="0" w:color="C0C0C0"/>
            </w:tcBorders>
            <w:tcMar>
              <w:top w:w="11" w:type="dxa"/>
              <w:left w:w="45" w:type="dxa"/>
              <w:bottom w:w="11" w:type="dxa"/>
              <w:right w:w="45" w:type="dxa"/>
            </w:tcMar>
            <w:vAlign w:val="center"/>
          </w:tcPr>
          <w:p w14:paraId="12FC4C8C" w14:textId="77777777" w:rsidR="00F37F0F" w:rsidRDefault="00F37F0F" w:rsidP="003A385F">
            <w:pPr>
              <w:jc w:val="center"/>
              <w:rPr>
                <w:rFonts w:cs="Arial"/>
                <w:sz w:val="17"/>
                <w:szCs w:val="17"/>
              </w:rPr>
            </w:pPr>
          </w:p>
        </w:tc>
        <w:tc>
          <w:tcPr>
            <w:tcW w:w="708" w:type="dxa"/>
            <w:tcBorders>
              <w:top w:val="single" w:sz="4" w:space="0" w:color="C0C0C0"/>
              <w:bottom w:val="single" w:sz="4" w:space="0" w:color="C0C0C0"/>
            </w:tcBorders>
            <w:tcMar>
              <w:top w:w="11" w:type="dxa"/>
              <w:left w:w="45" w:type="dxa"/>
              <w:bottom w:w="11" w:type="dxa"/>
              <w:right w:w="45" w:type="dxa"/>
            </w:tcMar>
            <w:vAlign w:val="center"/>
          </w:tcPr>
          <w:p w14:paraId="74116023" w14:textId="77777777" w:rsidR="00F37F0F" w:rsidRDefault="00F37F0F" w:rsidP="003A385F">
            <w:pPr>
              <w:jc w:val="center"/>
              <w:rPr>
                <w:rFonts w:cs="Arial"/>
                <w:sz w:val="17"/>
                <w:szCs w:val="17"/>
              </w:rPr>
            </w:pPr>
            <w:r>
              <w:rPr>
                <w:rFonts w:cs="Arial"/>
                <w:sz w:val="17"/>
                <w:szCs w:val="17"/>
              </w:rPr>
              <w:t>.594</w:t>
            </w:r>
          </w:p>
        </w:tc>
      </w:tr>
      <w:tr w:rsidR="00F37F0F" w14:paraId="72370BD5" w14:textId="77777777" w:rsidTr="00632A06">
        <w:trPr>
          <w:gridAfter w:val="1"/>
          <w:wAfter w:w="30" w:type="dxa"/>
          <w:trHeight w:hRule="exact" w:val="432"/>
        </w:trPr>
        <w:tc>
          <w:tcPr>
            <w:tcW w:w="3544" w:type="dxa"/>
            <w:tcBorders>
              <w:top w:val="single" w:sz="4" w:space="0" w:color="C0C0C0"/>
              <w:bottom w:val="single" w:sz="4" w:space="0" w:color="C0C0C0"/>
            </w:tcBorders>
            <w:tcMar>
              <w:top w:w="11" w:type="dxa"/>
              <w:left w:w="45" w:type="dxa"/>
              <w:bottom w:w="11" w:type="dxa"/>
              <w:right w:w="45" w:type="dxa"/>
            </w:tcMar>
            <w:vAlign w:val="center"/>
          </w:tcPr>
          <w:p w14:paraId="397DC6A8" w14:textId="77777777" w:rsidR="00F37F0F" w:rsidRDefault="00F37F0F" w:rsidP="003A385F">
            <w:pPr>
              <w:pStyle w:val="Header"/>
              <w:rPr>
                <w:rFonts w:cs="Arial"/>
                <w:sz w:val="17"/>
                <w:szCs w:val="17"/>
              </w:rPr>
            </w:pPr>
            <w:r>
              <w:rPr>
                <w:sz w:val="17"/>
                <w:szCs w:val="17"/>
              </w:rPr>
              <w:t>Staff frequently disregard rules or guidelines (e.g. hand-washing, treatment protocols / clinical pathways, etc.) that are established for the area where I work.</w:t>
            </w:r>
          </w:p>
        </w:tc>
        <w:tc>
          <w:tcPr>
            <w:tcW w:w="1179" w:type="dxa"/>
            <w:tcBorders>
              <w:top w:val="single" w:sz="4" w:space="0" w:color="C0C0C0"/>
              <w:bottom w:val="single" w:sz="4" w:space="0" w:color="C0C0C0"/>
            </w:tcBorders>
            <w:tcMar>
              <w:top w:w="11" w:type="dxa"/>
              <w:left w:w="45" w:type="dxa"/>
              <w:bottom w:w="11" w:type="dxa"/>
              <w:right w:w="45" w:type="dxa"/>
            </w:tcMar>
            <w:vAlign w:val="center"/>
          </w:tcPr>
          <w:p w14:paraId="293AEA28" w14:textId="77777777" w:rsidR="00F37F0F" w:rsidRDefault="00F37F0F" w:rsidP="003A385F">
            <w:pPr>
              <w:jc w:val="center"/>
              <w:rPr>
                <w:rFonts w:cs="Arial"/>
                <w:sz w:val="17"/>
                <w:szCs w:val="17"/>
              </w:rPr>
            </w:pPr>
          </w:p>
        </w:tc>
        <w:tc>
          <w:tcPr>
            <w:tcW w:w="849" w:type="dxa"/>
            <w:tcBorders>
              <w:top w:val="single" w:sz="4" w:space="0" w:color="C0C0C0"/>
              <w:bottom w:val="single" w:sz="4" w:space="0" w:color="C0C0C0"/>
            </w:tcBorders>
            <w:tcMar>
              <w:top w:w="11" w:type="dxa"/>
              <w:left w:w="45" w:type="dxa"/>
              <w:bottom w:w="11" w:type="dxa"/>
              <w:right w:w="45" w:type="dxa"/>
            </w:tcMar>
            <w:vAlign w:val="center"/>
          </w:tcPr>
          <w:p w14:paraId="5435D32D" w14:textId="77777777" w:rsidR="00F37F0F" w:rsidRDefault="00F37F0F" w:rsidP="003A385F">
            <w:pPr>
              <w:jc w:val="center"/>
              <w:rPr>
                <w:rFonts w:cs="Arial"/>
                <w:sz w:val="17"/>
                <w:szCs w:val="17"/>
              </w:rPr>
            </w:pPr>
          </w:p>
        </w:tc>
        <w:tc>
          <w:tcPr>
            <w:tcW w:w="850" w:type="dxa"/>
            <w:tcBorders>
              <w:top w:val="single" w:sz="4" w:space="0" w:color="C0C0C0"/>
              <w:bottom w:val="single" w:sz="4" w:space="0" w:color="C0C0C0"/>
            </w:tcBorders>
            <w:tcMar>
              <w:top w:w="11" w:type="dxa"/>
              <w:left w:w="45" w:type="dxa"/>
              <w:bottom w:w="11" w:type="dxa"/>
              <w:right w:w="45" w:type="dxa"/>
            </w:tcMar>
            <w:vAlign w:val="center"/>
          </w:tcPr>
          <w:p w14:paraId="2FF34C9A" w14:textId="77777777" w:rsidR="00F37F0F" w:rsidRDefault="00F37F0F" w:rsidP="003A385F">
            <w:pPr>
              <w:jc w:val="center"/>
              <w:rPr>
                <w:rFonts w:cs="Arial"/>
                <w:sz w:val="17"/>
                <w:szCs w:val="17"/>
              </w:rPr>
            </w:pPr>
          </w:p>
        </w:tc>
        <w:tc>
          <w:tcPr>
            <w:tcW w:w="849" w:type="dxa"/>
            <w:tcBorders>
              <w:top w:val="single" w:sz="4" w:space="0" w:color="C0C0C0"/>
              <w:bottom w:val="single" w:sz="4" w:space="0" w:color="C0C0C0"/>
            </w:tcBorders>
            <w:tcMar>
              <w:top w:w="11" w:type="dxa"/>
              <w:left w:w="45" w:type="dxa"/>
              <w:bottom w:w="11" w:type="dxa"/>
              <w:right w:w="45" w:type="dxa"/>
            </w:tcMar>
            <w:vAlign w:val="center"/>
          </w:tcPr>
          <w:p w14:paraId="23CE6EF6" w14:textId="77777777" w:rsidR="00F37F0F" w:rsidRDefault="00F37F0F" w:rsidP="003A385F">
            <w:pPr>
              <w:jc w:val="center"/>
              <w:rPr>
                <w:rFonts w:cs="Arial"/>
                <w:sz w:val="17"/>
                <w:szCs w:val="17"/>
              </w:rPr>
            </w:pPr>
          </w:p>
        </w:tc>
        <w:tc>
          <w:tcPr>
            <w:tcW w:w="708" w:type="dxa"/>
            <w:tcBorders>
              <w:top w:val="single" w:sz="4" w:space="0" w:color="C0C0C0"/>
              <w:bottom w:val="single" w:sz="4" w:space="0" w:color="C0C0C0"/>
            </w:tcBorders>
            <w:tcMar>
              <w:top w:w="11" w:type="dxa"/>
              <w:left w:w="45" w:type="dxa"/>
              <w:bottom w:w="11" w:type="dxa"/>
              <w:right w:w="45" w:type="dxa"/>
            </w:tcMar>
            <w:vAlign w:val="center"/>
          </w:tcPr>
          <w:p w14:paraId="4183A3FE" w14:textId="77777777" w:rsidR="00F37F0F" w:rsidRDefault="00F37F0F" w:rsidP="003A385F">
            <w:pPr>
              <w:jc w:val="center"/>
              <w:rPr>
                <w:rFonts w:cs="Arial"/>
                <w:sz w:val="17"/>
                <w:szCs w:val="17"/>
              </w:rPr>
            </w:pPr>
            <w:r>
              <w:rPr>
                <w:rFonts w:cs="Arial"/>
                <w:sz w:val="17"/>
                <w:szCs w:val="17"/>
              </w:rPr>
              <w:t>.765</w:t>
            </w:r>
          </w:p>
        </w:tc>
      </w:tr>
      <w:tr w:rsidR="00F37F0F" w14:paraId="3A968770" w14:textId="77777777" w:rsidTr="00632A06">
        <w:trPr>
          <w:gridAfter w:val="1"/>
          <w:wAfter w:w="30" w:type="dxa"/>
          <w:trHeight w:hRule="exact" w:val="284"/>
        </w:trPr>
        <w:tc>
          <w:tcPr>
            <w:tcW w:w="3544" w:type="dxa"/>
            <w:tcBorders>
              <w:top w:val="single" w:sz="4" w:space="0" w:color="C0C0C0"/>
              <w:bottom w:val="single" w:sz="4" w:space="0" w:color="auto"/>
            </w:tcBorders>
            <w:tcMar>
              <w:top w:w="11" w:type="dxa"/>
              <w:left w:w="45" w:type="dxa"/>
              <w:bottom w:w="11" w:type="dxa"/>
              <w:right w:w="45" w:type="dxa"/>
            </w:tcMar>
            <w:vAlign w:val="center"/>
          </w:tcPr>
          <w:p w14:paraId="44CDCBF0" w14:textId="77777777" w:rsidR="00F37F0F" w:rsidRDefault="00F37F0F" w:rsidP="003A385F">
            <w:pPr>
              <w:pStyle w:val="Header"/>
              <w:rPr>
                <w:rFonts w:cs="Arial"/>
                <w:sz w:val="17"/>
                <w:szCs w:val="17"/>
              </w:rPr>
            </w:pPr>
            <w:r>
              <w:rPr>
                <w:sz w:val="17"/>
                <w:szCs w:val="17"/>
              </w:rPr>
              <w:t>Where I work, it is difficult to discuss errors.</w:t>
            </w:r>
          </w:p>
        </w:tc>
        <w:tc>
          <w:tcPr>
            <w:tcW w:w="1179" w:type="dxa"/>
            <w:tcBorders>
              <w:top w:val="single" w:sz="4" w:space="0" w:color="C0C0C0"/>
              <w:bottom w:val="single" w:sz="4" w:space="0" w:color="auto"/>
            </w:tcBorders>
            <w:tcMar>
              <w:top w:w="11" w:type="dxa"/>
              <w:left w:w="45" w:type="dxa"/>
              <w:bottom w:w="11" w:type="dxa"/>
              <w:right w:w="45" w:type="dxa"/>
            </w:tcMar>
            <w:vAlign w:val="center"/>
          </w:tcPr>
          <w:p w14:paraId="26157CD9" w14:textId="77777777" w:rsidR="00F37F0F" w:rsidRDefault="00F37F0F" w:rsidP="003A385F">
            <w:pPr>
              <w:jc w:val="center"/>
              <w:rPr>
                <w:rFonts w:cs="Arial"/>
                <w:sz w:val="17"/>
                <w:szCs w:val="17"/>
              </w:rPr>
            </w:pPr>
          </w:p>
        </w:tc>
        <w:tc>
          <w:tcPr>
            <w:tcW w:w="849" w:type="dxa"/>
            <w:tcBorders>
              <w:top w:val="single" w:sz="4" w:space="0" w:color="C0C0C0"/>
              <w:bottom w:val="single" w:sz="4" w:space="0" w:color="auto"/>
            </w:tcBorders>
            <w:tcMar>
              <w:top w:w="11" w:type="dxa"/>
              <w:left w:w="45" w:type="dxa"/>
              <w:bottom w:w="11" w:type="dxa"/>
              <w:right w:w="45" w:type="dxa"/>
            </w:tcMar>
            <w:vAlign w:val="center"/>
          </w:tcPr>
          <w:p w14:paraId="21634F53" w14:textId="77777777" w:rsidR="00F37F0F" w:rsidRDefault="00F37F0F" w:rsidP="003A385F">
            <w:pPr>
              <w:jc w:val="center"/>
              <w:rPr>
                <w:rFonts w:cs="Arial"/>
                <w:sz w:val="17"/>
                <w:szCs w:val="17"/>
              </w:rPr>
            </w:pPr>
          </w:p>
        </w:tc>
        <w:tc>
          <w:tcPr>
            <w:tcW w:w="850" w:type="dxa"/>
            <w:tcBorders>
              <w:top w:val="single" w:sz="4" w:space="0" w:color="C0C0C0"/>
              <w:bottom w:val="single" w:sz="4" w:space="0" w:color="auto"/>
            </w:tcBorders>
            <w:tcMar>
              <w:top w:w="11" w:type="dxa"/>
              <w:left w:w="45" w:type="dxa"/>
              <w:bottom w:w="11" w:type="dxa"/>
              <w:right w:w="45" w:type="dxa"/>
            </w:tcMar>
            <w:vAlign w:val="center"/>
          </w:tcPr>
          <w:p w14:paraId="79E6E95B" w14:textId="77777777" w:rsidR="00F37F0F" w:rsidRDefault="00F37F0F" w:rsidP="003A385F">
            <w:pPr>
              <w:jc w:val="center"/>
              <w:rPr>
                <w:rFonts w:cs="Arial"/>
                <w:sz w:val="17"/>
                <w:szCs w:val="17"/>
              </w:rPr>
            </w:pPr>
            <w:r>
              <w:rPr>
                <w:rFonts w:cs="Arial"/>
                <w:sz w:val="17"/>
                <w:szCs w:val="17"/>
              </w:rPr>
              <w:t>-.364</w:t>
            </w:r>
          </w:p>
        </w:tc>
        <w:tc>
          <w:tcPr>
            <w:tcW w:w="849" w:type="dxa"/>
            <w:tcBorders>
              <w:top w:val="single" w:sz="4" w:space="0" w:color="C0C0C0"/>
              <w:bottom w:val="single" w:sz="4" w:space="0" w:color="auto"/>
            </w:tcBorders>
            <w:tcMar>
              <w:top w:w="11" w:type="dxa"/>
              <w:left w:w="45" w:type="dxa"/>
              <w:bottom w:w="11" w:type="dxa"/>
              <w:right w:w="45" w:type="dxa"/>
            </w:tcMar>
            <w:vAlign w:val="center"/>
          </w:tcPr>
          <w:p w14:paraId="2A934FD5" w14:textId="77777777" w:rsidR="00F37F0F" w:rsidRDefault="00F37F0F" w:rsidP="003A385F">
            <w:pPr>
              <w:jc w:val="center"/>
              <w:rPr>
                <w:rFonts w:cs="Arial"/>
                <w:sz w:val="17"/>
                <w:szCs w:val="17"/>
              </w:rPr>
            </w:pPr>
          </w:p>
        </w:tc>
        <w:tc>
          <w:tcPr>
            <w:tcW w:w="708" w:type="dxa"/>
            <w:tcBorders>
              <w:top w:val="single" w:sz="4" w:space="0" w:color="C0C0C0"/>
              <w:bottom w:val="single" w:sz="4" w:space="0" w:color="auto"/>
            </w:tcBorders>
            <w:tcMar>
              <w:top w:w="11" w:type="dxa"/>
              <w:left w:w="45" w:type="dxa"/>
              <w:bottom w:w="11" w:type="dxa"/>
              <w:right w:w="45" w:type="dxa"/>
            </w:tcMar>
            <w:vAlign w:val="center"/>
          </w:tcPr>
          <w:p w14:paraId="706A56F2" w14:textId="77777777" w:rsidR="00F37F0F" w:rsidRDefault="00F37F0F" w:rsidP="003A385F">
            <w:pPr>
              <w:jc w:val="center"/>
              <w:rPr>
                <w:rFonts w:cs="Arial"/>
                <w:sz w:val="17"/>
                <w:szCs w:val="17"/>
              </w:rPr>
            </w:pPr>
            <w:r>
              <w:rPr>
                <w:rFonts w:cs="Arial"/>
                <w:sz w:val="17"/>
                <w:szCs w:val="17"/>
              </w:rPr>
              <w:t>.543</w:t>
            </w:r>
          </w:p>
        </w:tc>
      </w:tr>
    </w:tbl>
    <w:p w14:paraId="3BD6A18A" w14:textId="77777777" w:rsidR="00F37F0F" w:rsidRDefault="00F37F0F" w:rsidP="00F37F0F">
      <w:pPr>
        <w:rPr>
          <w:rFonts w:cs="Arial"/>
          <w:sz w:val="17"/>
          <w:szCs w:val="17"/>
          <w:vertAlign w:val="superscript"/>
        </w:rPr>
      </w:pPr>
    </w:p>
    <w:p w14:paraId="33FFFA68" w14:textId="77777777" w:rsidR="00F37F0F" w:rsidRDefault="00F37F0F" w:rsidP="00632A06">
      <w:pPr>
        <w:ind w:left="720"/>
        <w:rPr>
          <w:rFonts w:cs="Arial"/>
          <w:sz w:val="17"/>
          <w:szCs w:val="17"/>
        </w:rPr>
      </w:pPr>
      <w:r>
        <w:rPr>
          <w:rFonts w:cs="Arial"/>
          <w:sz w:val="17"/>
          <w:szCs w:val="17"/>
          <w:vertAlign w:val="superscript"/>
        </w:rPr>
        <w:t xml:space="preserve">1 </w:t>
      </w:r>
      <w:r>
        <w:rPr>
          <w:rFonts w:cs="Arial"/>
          <w:sz w:val="17"/>
          <w:szCs w:val="17"/>
        </w:rPr>
        <w:t>Pattern matrix generated using principal components extraction and oblique rotation</w:t>
      </w:r>
    </w:p>
    <w:p w14:paraId="7E36485C" w14:textId="77777777" w:rsidR="00F37F0F" w:rsidRDefault="00F37F0F" w:rsidP="00632A06">
      <w:pPr>
        <w:ind w:left="720"/>
        <w:rPr>
          <w:rFonts w:cs="Arial"/>
          <w:sz w:val="17"/>
          <w:szCs w:val="17"/>
        </w:rPr>
      </w:pPr>
      <w:r>
        <w:rPr>
          <w:rFonts w:cs="Arial"/>
          <w:sz w:val="17"/>
          <w:szCs w:val="17"/>
          <w:vertAlign w:val="superscript"/>
        </w:rPr>
        <w:t xml:space="preserve">2 </w:t>
      </w:r>
      <w:r>
        <w:rPr>
          <w:rFonts w:cs="Arial"/>
          <w:sz w:val="17"/>
          <w:szCs w:val="17"/>
        </w:rPr>
        <w:t>Factor loadings under .300 omitted for clarity</w:t>
      </w:r>
    </w:p>
    <w:p w14:paraId="0382F6CC" w14:textId="77777777" w:rsidR="00F37F0F" w:rsidRDefault="00F37F0F" w:rsidP="00632A06">
      <w:pPr>
        <w:ind w:left="720"/>
        <w:jc w:val="both"/>
        <w:rPr>
          <w:rFonts w:cs="Arial"/>
          <w:b/>
          <w:vertAlign w:val="superscript"/>
        </w:rPr>
      </w:pPr>
      <w:r>
        <w:rPr>
          <w:rFonts w:cs="Arial"/>
        </w:rPr>
        <w:br w:type="page"/>
      </w:r>
      <w:r w:rsidR="00632A06">
        <w:rPr>
          <w:rFonts w:cs="Arial"/>
        </w:rPr>
        <w:lastRenderedPageBreak/>
        <w:t xml:space="preserve">     </w:t>
      </w:r>
      <w:r>
        <w:rPr>
          <w:rFonts w:cs="Arial"/>
          <w:b/>
        </w:rPr>
        <w:t>Supplementary Table 8: Confirmatory factor analysis</w:t>
      </w:r>
      <w:r>
        <w:rPr>
          <w:rFonts w:cs="Arial"/>
          <w:b/>
          <w:vertAlign w:val="superscript"/>
        </w:rPr>
        <w:t>1</w:t>
      </w:r>
    </w:p>
    <w:tbl>
      <w:tblPr>
        <w:tblW w:w="0" w:type="auto"/>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9"/>
        <w:gridCol w:w="1276"/>
        <w:gridCol w:w="1134"/>
        <w:gridCol w:w="992"/>
        <w:gridCol w:w="1134"/>
        <w:gridCol w:w="1276"/>
      </w:tblGrid>
      <w:tr w:rsidR="00F37F0F" w14:paraId="377ADB19" w14:textId="77777777" w:rsidTr="00632A06">
        <w:trPr>
          <w:trHeight w:val="365"/>
        </w:trPr>
        <w:tc>
          <w:tcPr>
            <w:tcW w:w="1559" w:type="dxa"/>
            <w:tcMar>
              <w:top w:w="11" w:type="dxa"/>
              <w:left w:w="85" w:type="dxa"/>
              <w:bottom w:w="11" w:type="dxa"/>
              <w:right w:w="85" w:type="dxa"/>
            </w:tcMar>
          </w:tcPr>
          <w:p w14:paraId="5242AFDF" w14:textId="77777777" w:rsidR="00F37F0F" w:rsidRDefault="00F37F0F" w:rsidP="003A385F">
            <w:pPr>
              <w:jc w:val="both"/>
              <w:rPr>
                <w:rFonts w:cs="Arial"/>
                <w:b/>
                <w:iCs/>
                <w:sz w:val="20"/>
                <w:szCs w:val="20"/>
              </w:rPr>
            </w:pPr>
            <w:r>
              <w:rPr>
                <w:rFonts w:cs="Arial"/>
                <w:b/>
                <w:iCs/>
                <w:sz w:val="20"/>
                <w:szCs w:val="20"/>
              </w:rPr>
              <w:t>Section</w:t>
            </w:r>
          </w:p>
        </w:tc>
        <w:tc>
          <w:tcPr>
            <w:tcW w:w="1276" w:type="dxa"/>
            <w:tcMar>
              <w:top w:w="11" w:type="dxa"/>
              <w:left w:w="85" w:type="dxa"/>
              <w:bottom w:w="11" w:type="dxa"/>
              <w:right w:w="85" w:type="dxa"/>
            </w:tcMar>
          </w:tcPr>
          <w:p w14:paraId="6361EDF4" w14:textId="77777777" w:rsidR="00F37F0F" w:rsidRDefault="00F37F0F" w:rsidP="003A385F">
            <w:pPr>
              <w:jc w:val="both"/>
              <w:rPr>
                <w:rFonts w:cs="Arial"/>
                <w:b/>
                <w:iCs/>
                <w:sz w:val="20"/>
                <w:szCs w:val="20"/>
              </w:rPr>
            </w:pPr>
            <w:r>
              <w:rPr>
                <w:rFonts w:cs="Arial"/>
                <w:b/>
                <w:sz w:val="20"/>
                <w:szCs w:val="20"/>
              </w:rPr>
              <w:sym w:font="Symbol" w:char="F063"/>
            </w:r>
            <w:r>
              <w:rPr>
                <w:rFonts w:cs="Arial"/>
                <w:b/>
                <w:sz w:val="20"/>
                <w:szCs w:val="20"/>
                <w:vertAlign w:val="superscript"/>
              </w:rPr>
              <w:t>2</w:t>
            </w:r>
          </w:p>
        </w:tc>
        <w:tc>
          <w:tcPr>
            <w:tcW w:w="1134" w:type="dxa"/>
            <w:tcMar>
              <w:top w:w="11" w:type="dxa"/>
              <w:left w:w="85" w:type="dxa"/>
              <w:bottom w:w="11" w:type="dxa"/>
              <w:right w:w="85" w:type="dxa"/>
            </w:tcMar>
          </w:tcPr>
          <w:p w14:paraId="3EF291B7" w14:textId="77777777" w:rsidR="00F37F0F" w:rsidRDefault="00F37F0F" w:rsidP="003A385F">
            <w:pPr>
              <w:jc w:val="both"/>
              <w:rPr>
                <w:rFonts w:cs="Arial"/>
                <w:b/>
                <w:iCs/>
                <w:sz w:val="20"/>
                <w:szCs w:val="20"/>
              </w:rPr>
            </w:pPr>
            <w:r>
              <w:rPr>
                <w:rFonts w:cs="Arial"/>
                <w:b/>
                <w:iCs/>
                <w:sz w:val="20"/>
                <w:szCs w:val="20"/>
              </w:rPr>
              <w:t>CFI</w:t>
            </w:r>
          </w:p>
        </w:tc>
        <w:tc>
          <w:tcPr>
            <w:tcW w:w="992" w:type="dxa"/>
            <w:tcMar>
              <w:top w:w="11" w:type="dxa"/>
              <w:left w:w="85" w:type="dxa"/>
              <w:bottom w:w="11" w:type="dxa"/>
              <w:right w:w="85" w:type="dxa"/>
            </w:tcMar>
          </w:tcPr>
          <w:p w14:paraId="7ACCFEC8" w14:textId="77777777" w:rsidR="00F37F0F" w:rsidRDefault="00F37F0F" w:rsidP="003A385F">
            <w:pPr>
              <w:jc w:val="both"/>
              <w:rPr>
                <w:rFonts w:cs="Arial"/>
                <w:b/>
                <w:iCs/>
                <w:sz w:val="20"/>
                <w:szCs w:val="20"/>
              </w:rPr>
            </w:pPr>
            <w:r>
              <w:rPr>
                <w:rFonts w:cs="Arial"/>
                <w:b/>
                <w:iCs/>
                <w:sz w:val="20"/>
                <w:szCs w:val="20"/>
              </w:rPr>
              <w:t>TLI</w:t>
            </w:r>
          </w:p>
        </w:tc>
        <w:tc>
          <w:tcPr>
            <w:tcW w:w="1134" w:type="dxa"/>
            <w:tcMar>
              <w:top w:w="11" w:type="dxa"/>
              <w:left w:w="85" w:type="dxa"/>
              <w:bottom w:w="11" w:type="dxa"/>
              <w:right w:w="85" w:type="dxa"/>
            </w:tcMar>
          </w:tcPr>
          <w:p w14:paraId="25572EAD" w14:textId="77777777" w:rsidR="00F37F0F" w:rsidRDefault="00F37F0F" w:rsidP="003A385F">
            <w:pPr>
              <w:jc w:val="both"/>
              <w:rPr>
                <w:rFonts w:cs="Arial"/>
                <w:b/>
                <w:iCs/>
                <w:sz w:val="20"/>
                <w:szCs w:val="20"/>
              </w:rPr>
            </w:pPr>
            <w:r>
              <w:rPr>
                <w:rFonts w:cs="Arial"/>
                <w:b/>
                <w:iCs/>
                <w:sz w:val="20"/>
                <w:szCs w:val="20"/>
              </w:rPr>
              <w:t>RMSEA</w:t>
            </w:r>
          </w:p>
        </w:tc>
        <w:tc>
          <w:tcPr>
            <w:tcW w:w="1276" w:type="dxa"/>
            <w:tcMar>
              <w:top w:w="11" w:type="dxa"/>
              <w:left w:w="85" w:type="dxa"/>
              <w:bottom w:w="11" w:type="dxa"/>
              <w:right w:w="85" w:type="dxa"/>
            </w:tcMar>
          </w:tcPr>
          <w:p w14:paraId="1CA66B9B" w14:textId="77777777" w:rsidR="00F37F0F" w:rsidRDefault="00F37F0F" w:rsidP="003A385F">
            <w:pPr>
              <w:jc w:val="both"/>
              <w:rPr>
                <w:rFonts w:cs="Arial"/>
                <w:b/>
                <w:iCs/>
                <w:sz w:val="20"/>
                <w:szCs w:val="20"/>
              </w:rPr>
            </w:pPr>
            <w:r>
              <w:rPr>
                <w:rFonts w:cs="Arial"/>
                <w:b/>
                <w:iCs/>
                <w:sz w:val="20"/>
                <w:szCs w:val="20"/>
              </w:rPr>
              <w:t>SRMR</w:t>
            </w:r>
          </w:p>
        </w:tc>
      </w:tr>
      <w:tr w:rsidR="00F37F0F" w14:paraId="62670534" w14:textId="77777777" w:rsidTr="00632A06">
        <w:tc>
          <w:tcPr>
            <w:tcW w:w="1559" w:type="dxa"/>
            <w:tcMar>
              <w:top w:w="11" w:type="dxa"/>
              <w:left w:w="85" w:type="dxa"/>
              <w:bottom w:w="11" w:type="dxa"/>
              <w:right w:w="85" w:type="dxa"/>
            </w:tcMar>
          </w:tcPr>
          <w:p w14:paraId="7F3413FD" w14:textId="77777777" w:rsidR="00F37F0F" w:rsidRDefault="00F37F0F" w:rsidP="003A385F">
            <w:pPr>
              <w:jc w:val="both"/>
              <w:rPr>
                <w:rFonts w:cs="Arial"/>
                <w:iCs/>
                <w:sz w:val="20"/>
                <w:szCs w:val="20"/>
              </w:rPr>
            </w:pPr>
            <w:r>
              <w:rPr>
                <w:rFonts w:cs="Arial"/>
                <w:iCs/>
                <w:sz w:val="20"/>
                <w:szCs w:val="20"/>
              </w:rPr>
              <w:t>Teamwork</w:t>
            </w:r>
          </w:p>
        </w:tc>
        <w:tc>
          <w:tcPr>
            <w:tcW w:w="1276" w:type="dxa"/>
            <w:tcMar>
              <w:top w:w="11" w:type="dxa"/>
              <w:left w:w="85" w:type="dxa"/>
              <w:bottom w:w="11" w:type="dxa"/>
              <w:right w:w="85" w:type="dxa"/>
            </w:tcMar>
          </w:tcPr>
          <w:p w14:paraId="0BEFBCCF" w14:textId="77777777" w:rsidR="00F37F0F" w:rsidRDefault="00F37F0F" w:rsidP="003A385F">
            <w:pPr>
              <w:jc w:val="both"/>
              <w:rPr>
                <w:rFonts w:cs="Arial"/>
                <w:iCs/>
                <w:sz w:val="20"/>
                <w:szCs w:val="20"/>
              </w:rPr>
            </w:pPr>
            <w:r>
              <w:rPr>
                <w:rFonts w:cs="Arial"/>
                <w:iCs/>
                <w:sz w:val="20"/>
                <w:szCs w:val="20"/>
              </w:rPr>
              <w:t>132 on 43df</w:t>
            </w:r>
          </w:p>
        </w:tc>
        <w:tc>
          <w:tcPr>
            <w:tcW w:w="1134" w:type="dxa"/>
            <w:tcMar>
              <w:top w:w="11" w:type="dxa"/>
              <w:left w:w="85" w:type="dxa"/>
              <w:bottom w:w="11" w:type="dxa"/>
              <w:right w:w="85" w:type="dxa"/>
            </w:tcMar>
          </w:tcPr>
          <w:p w14:paraId="072B1A42" w14:textId="77777777" w:rsidR="00F37F0F" w:rsidRDefault="00F37F0F" w:rsidP="003A385F">
            <w:pPr>
              <w:jc w:val="both"/>
              <w:rPr>
                <w:rFonts w:cs="Arial"/>
                <w:iCs/>
                <w:sz w:val="20"/>
                <w:szCs w:val="20"/>
              </w:rPr>
            </w:pPr>
            <w:r>
              <w:rPr>
                <w:rFonts w:cs="Arial"/>
                <w:iCs/>
                <w:sz w:val="20"/>
                <w:szCs w:val="20"/>
              </w:rPr>
              <w:t>0.926</w:t>
            </w:r>
          </w:p>
        </w:tc>
        <w:tc>
          <w:tcPr>
            <w:tcW w:w="992" w:type="dxa"/>
            <w:tcMar>
              <w:top w:w="11" w:type="dxa"/>
              <w:left w:w="85" w:type="dxa"/>
              <w:bottom w:w="11" w:type="dxa"/>
              <w:right w:w="85" w:type="dxa"/>
            </w:tcMar>
          </w:tcPr>
          <w:p w14:paraId="1B9B0D47" w14:textId="77777777" w:rsidR="00F37F0F" w:rsidRDefault="00F37F0F" w:rsidP="003A385F">
            <w:pPr>
              <w:jc w:val="both"/>
              <w:rPr>
                <w:rFonts w:cs="Arial"/>
                <w:iCs/>
                <w:sz w:val="20"/>
                <w:szCs w:val="20"/>
              </w:rPr>
            </w:pPr>
            <w:r>
              <w:rPr>
                <w:rFonts w:cs="Arial"/>
                <w:iCs/>
                <w:sz w:val="20"/>
                <w:szCs w:val="20"/>
              </w:rPr>
              <w:t>0.906</w:t>
            </w:r>
          </w:p>
        </w:tc>
        <w:tc>
          <w:tcPr>
            <w:tcW w:w="1134" w:type="dxa"/>
            <w:tcMar>
              <w:top w:w="11" w:type="dxa"/>
              <w:left w:w="85" w:type="dxa"/>
              <w:bottom w:w="11" w:type="dxa"/>
              <w:right w:w="85" w:type="dxa"/>
            </w:tcMar>
          </w:tcPr>
          <w:p w14:paraId="26591238" w14:textId="77777777" w:rsidR="00F37F0F" w:rsidRDefault="00F37F0F" w:rsidP="003A385F">
            <w:pPr>
              <w:jc w:val="both"/>
              <w:rPr>
                <w:rFonts w:cs="Arial"/>
                <w:iCs/>
                <w:sz w:val="20"/>
                <w:szCs w:val="20"/>
              </w:rPr>
            </w:pPr>
            <w:r>
              <w:rPr>
                <w:rFonts w:cs="Arial"/>
                <w:iCs/>
                <w:sz w:val="20"/>
                <w:szCs w:val="20"/>
              </w:rPr>
              <w:t>0.083</w:t>
            </w:r>
          </w:p>
        </w:tc>
        <w:tc>
          <w:tcPr>
            <w:tcW w:w="1276" w:type="dxa"/>
            <w:tcMar>
              <w:top w:w="11" w:type="dxa"/>
              <w:left w:w="85" w:type="dxa"/>
              <w:bottom w:w="11" w:type="dxa"/>
              <w:right w:w="85" w:type="dxa"/>
            </w:tcMar>
          </w:tcPr>
          <w:p w14:paraId="421CB560" w14:textId="77777777" w:rsidR="00F37F0F" w:rsidRDefault="00F37F0F" w:rsidP="003A385F">
            <w:pPr>
              <w:jc w:val="both"/>
              <w:rPr>
                <w:rFonts w:cs="Arial"/>
                <w:iCs/>
                <w:sz w:val="20"/>
                <w:szCs w:val="20"/>
              </w:rPr>
            </w:pPr>
            <w:r>
              <w:rPr>
                <w:rFonts w:cs="Arial"/>
                <w:iCs/>
                <w:sz w:val="20"/>
                <w:szCs w:val="20"/>
              </w:rPr>
              <w:t>0.050</w:t>
            </w:r>
          </w:p>
        </w:tc>
      </w:tr>
      <w:tr w:rsidR="00F37F0F" w14:paraId="314E02BB" w14:textId="77777777" w:rsidTr="00632A06">
        <w:tc>
          <w:tcPr>
            <w:tcW w:w="1559" w:type="dxa"/>
            <w:tcMar>
              <w:top w:w="11" w:type="dxa"/>
              <w:left w:w="85" w:type="dxa"/>
              <w:bottom w:w="11" w:type="dxa"/>
              <w:right w:w="85" w:type="dxa"/>
            </w:tcMar>
          </w:tcPr>
          <w:p w14:paraId="253F9A39" w14:textId="77777777" w:rsidR="00F37F0F" w:rsidRDefault="00F37F0F" w:rsidP="003A385F">
            <w:pPr>
              <w:jc w:val="both"/>
              <w:rPr>
                <w:rFonts w:cs="Arial"/>
                <w:iCs/>
                <w:sz w:val="20"/>
                <w:szCs w:val="20"/>
              </w:rPr>
            </w:pPr>
            <w:r>
              <w:rPr>
                <w:rFonts w:cs="Arial"/>
                <w:iCs/>
                <w:sz w:val="20"/>
                <w:szCs w:val="20"/>
              </w:rPr>
              <w:t>Safety Climate</w:t>
            </w:r>
          </w:p>
        </w:tc>
        <w:tc>
          <w:tcPr>
            <w:tcW w:w="1276" w:type="dxa"/>
            <w:tcMar>
              <w:top w:w="11" w:type="dxa"/>
              <w:left w:w="85" w:type="dxa"/>
              <w:bottom w:w="11" w:type="dxa"/>
              <w:right w:w="85" w:type="dxa"/>
            </w:tcMar>
          </w:tcPr>
          <w:p w14:paraId="140C39A0" w14:textId="77777777" w:rsidR="00F37F0F" w:rsidRDefault="00F37F0F" w:rsidP="003A385F">
            <w:pPr>
              <w:jc w:val="both"/>
              <w:rPr>
                <w:rFonts w:cs="Arial"/>
                <w:iCs/>
                <w:sz w:val="20"/>
                <w:szCs w:val="20"/>
              </w:rPr>
            </w:pPr>
            <w:r>
              <w:rPr>
                <w:rFonts w:cs="Arial"/>
                <w:iCs/>
                <w:sz w:val="20"/>
                <w:szCs w:val="20"/>
              </w:rPr>
              <w:t>116 on 41df</w:t>
            </w:r>
          </w:p>
        </w:tc>
        <w:tc>
          <w:tcPr>
            <w:tcW w:w="1134" w:type="dxa"/>
            <w:tcMar>
              <w:top w:w="11" w:type="dxa"/>
              <w:left w:w="85" w:type="dxa"/>
              <w:bottom w:w="11" w:type="dxa"/>
              <w:right w:w="85" w:type="dxa"/>
            </w:tcMar>
          </w:tcPr>
          <w:p w14:paraId="340B7C74" w14:textId="77777777" w:rsidR="00F37F0F" w:rsidRDefault="00F37F0F" w:rsidP="003A385F">
            <w:pPr>
              <w:jc w:val="both"/>
              <w:rPr>
                <w:rFonts w:cs="Arial"/>
                <w:iCs/>
                <w:sz w:val="20"/>
                <w:szCs w:val="20"/>
              </w:rPr>
            </w:pPr>
            <w:r>
              <w:rPr>
                <w:rFonts w:cs="Arial"/>
                <w:iCs/>
                <w:sz w:val="20"/>
                <w:szCs w:val="20"/>
              </w:rPr>
              <w:t>0.942</w:t>
            </w:r>
          </w:p>
        </w:tc>
        <w:tc>
          <w:tcPr>
            <w:tcW w:w="992" w:type="dxa"/>
            <w:tcMar>
              <w:top w:w="11" w:type="dxa"/>
              <w:left w:w="85" w:type="dxa"/>
              <w:bottom w:w="11" w:type="dxa"/>
              <w:right w:w="85" w:type="dxa"/>
            </w:tcMar>
          </w:tcPr>
          <w:p w14:paraId="37B23300" w14:textId="77777777" w:rsidR="00F37F0F" w:rsidRDefault="00F37F0F" w:rsidP="003A385F">
            <w:pPr>
              <w:jc w:val="both"/>
              <w:rPr>
                <w:rFonts w:cs="Arial"/>
                <w:iCs/>
                <w:sz w:val="20"/>
                <w:szCs w:val="20"/>
              </w:rPr>
            </w:pPr>
            <w:r>
              <w:rPr>
                <w:rFonts w:cs="Arial"/>
                <w:iCs/>
                <w:sz w:val="20"/>
                <w:szCs w:val="20"/>
              </w:rPr>
              <w:t>0.922</w:t>
            </w:r>
          </w:p>
        </w:tc>
        <w:tc>
          <w:tcPr>
            <w:tcW w:w="1134" w:type="dxa"/>
            <w:tcMar>
              <w:top w:w="11" w:type="dxa"/>
              <w:left w:w="85" w:type="dxa"/>
              <w:bottom w:w="11" w:type="dxa"/>
              <w:right w:w="85" w:type="dxa"/>
            </w:tcMar>
          </w:tcPr>
          <w:p w14:paraId="4A5B5E11" w14:textId="77777777" w:rsidR="00F37F0F" w:rsidRDefault="00F37F0F" w:rsidP="003A385F">
            <w:pPr>
              <w:jc w:val="both"/>
              <w:rPr>
                <w:rFonts w:cs="Arial"/>
                <w:iCs/>
                <w:sz w:val="20"/>
                <w:szCs w:val="20"/>
              </w:rPr>
            </w:pPr>
            <w:r>
              <w:rPr>
                <w:rFonts w:cs="Arial"/>
                <w:iCs/>
                <w:sz w:val="20"/>
                <w:szCs w:val="20"/>
              </w:rPr>
              <w:t>0.071</w:t>
            </w:r>
          </w:p>
        </w:tc>
        <w:tc>
          <w:tcPr>
            <w:tcW w:w="1276" w:type="dxa"/>
            <w:tcMar>
              <w:top w:w="11" w:type="dxa"/>
              <w:left w:w="85" w:type="dxa"/>
              <w:bottom w:w="11" w:type="dxa"/>
              <w:right w:w="85" w:type="dxa"/>
            </w:tcMar>
          </w:tcPr>
          <w:p w14:paraId="2E348E90" w14:textId="77777777" w:rsidR="00F37F0F" w:rsidRDefault="00F37F0F" w:rsidP="003A385F">
            <w:pPr>
              <w:jc w:val="both"/>
              <w:rPr>
                <w:rFonts w:cs="Arial"/>
                <w:iCs/>
                <w:sz w:val="20"/>
                <w:szCs w:val="20"/>
              </w:rPr>
            </w:pPr>
            <w:r>
              <w:rPr>
                <w:rFonts w:cs="Arial"/>
                <w:iCs/>
                <w:sz w:val="20"/>
                <w:szCs w:val="20"/>
              </w:rPr>
              <w:t>0.049</w:t>
            </w:r>
          </w:p>
        </w:tc>
      </w:tr>
    </w:tbl>
    <w:p w14:paraId="18CB804D" w14:textId="77777777" w:rsidR="00632A06" w:rsidRDefault="00F37F0F" w:rsidP="00632A06">
      <w:pPr>
        <w:ind w:left="720"/>
        <w:rPr>
          <w:rFonts w:cs="Arial"/>
          <w:sz w:val="17"/>
          <w:szCs w:val="17"/>
        </w:rPr>
      </w:pPr>
      <w:r>
        <w:rPr>
          <w:rFonts w:cs="Arial"/>
          <w:sz w:val="17"/>
          <w:szCs w:val="17"/>
          <w:vertAlign w:val="superscript"/>
        </w:rPr>
        <w:t xml:space="preserve">1 </w:t>
      </w:r>
      <w:r>
        <w:rPr>
          <w:rFonts w:cs="Arial"/>
          <w:sz w:val="17"/>
          <w:szCs w:val="17"/>
        </w:rPr>
        <w:t>For comparison, cut-off values for a good model have been estimated as: CFI greater than 0.95,</w:t>
      </w:r>
    </w:p>
    <w:p w14:paraId="5205BE92" w14:textId="77777777" w:rsidR="00F37F0F" w:rsidRDefault="00F37F0F" w:rsidP="00632A06">
      <w:pPr>
        <w:ind w:left="720"/>
        <w:rPr>
          <w:rFonts w:cs="Arial"/>
          <w:sz w:val="17"/>
          <w:szCs w:val="17"/>
        </w:rPr>
      </w:pPr>
      <w:r>
        <w:rPr>
          <w:rFonts w:cs="Arial"/>
          <w:sz w:val="17"/>
          <w:szCs w:val="17"/>
        </w:rPr>
        <w:t xml:space="preserve"> TLI greater than 0.95, RMSEA smaller than 0.06, SRMR smaller than 0.08 [ref 22]</w:t>
      </w:r>
    </w:p>
    <w:p w14:paraId="416CD482" w14:textId="77777777" w:rsidR="0025014E" w:rsidRDefault="0025014E" w:rsidP="00F37F0F">
      <w:pPr>
        <w:pStyle w:val="BodyText2"/>
        <w:ind w:left="-426"/>
        <w:rPr>
          <w:rFonts w:ascii="Arial" w:hAnsi="Arial" w:cs="Arial"/>
          <w:b/>
        </w:rPr>
      </w:pPr>
    </w:p>
    <w:tbl>
      <w:tblPr>
        <w:tblW w:w="8158"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1"/>
        <w:gridCol w:w="291"/>
        <w:gridCol w:w="646"/>
        <w:gridCol w:w="23"/>
        <w:gridCol w:w="58"/>
        <w:gridCol w:w="290"/>
        <w:gridCol w:w="692"/>
        <w:gridCol w:w="35"/>
        <w:gridCol w:w="81"/>
        <w:gridCol w:w="209"/>
        <w:gridCol w:w="582"/>
        <w:gridCol w:w="388"/>
        <w:gridCol w:w="41"/>
        <w:gridCol w:w="152"/>
        <w:gridCol w:w="437"/>
        <w:gridCol w:w="58"/>
        <w:gridCol w:w="96"/>
        <w:gridCol w:w="657"/>
        <w:gridCol w:w="235"/>
        <w:gridCol w:w="210"/>
        <w:gridCol w:w="284"/>
        <w:gridCol w:w="187"/>
        <w:gridCol w:w="507"/>
        <w:gridCol w:w="516"/>
        <w:gridCol w:w="362"/>
      </w:tblGrid>
      <w:tr w:rsidR="00030FD0" w:rsidRPr="00B30320" w14:paraId="7989DD1E" w14:textId="77777777" w:rsidTr="003E4BA7">
        <w:trPr>
          <w:gridAfter w:val="1"/>
          <w:wAfter w:w="362" w:type="dxa"/>
          <w:trHeight w:val="56"/>
        </w:trPr>
        <w:tc>
          <w:tcPr>
            <w:tcW w:w="7796" w:type="dxa"/>
            <w:gridSpan w:val="24"/>
            <w:tcBorders>
              <w:top w:val="nil"/>
              <w:left w:val="nil"/>
              <w:right w:val="nil"/>
            </w:tcBorders>
            <w:tcMar>
              <w:top w:w="11" w:type="dxa"/>
              <w:left w:w="85" w:type="dxa"/>
              <w:bottom w:w="11" w:type="dxa"/>
              <w:right w:w="85" w:type="dxa"/>
            </w:tcMar>
          </w:tcPr>
          <w:p w14:paraId="07216788" w14:textId="77777777" w:rsidR="00632A06" w:rsidRDefault="00F37F0F" w:rsidP="00632A06">
            <w:pPr>
              <w:pStyle w:val="BodyText2"/>
              <w:spacing w:before="60" w:after="180" w:line="240" w:lineRule="auto"/>
              <w:rPr>
                <w:rFonts w:ascii="Arial" w:hAnsi="Arial" w:cs="Arial"/>
                <w:b/>
              </w:rPr>
            </w:pPr>
            <w:r w:rsidRPr="00B30320">
              <w:rPr>
                <w:rFonts w:ascii="Arial" w:hAnsi="Arial" w:cs="Arial"/>
                <w:b/>
              </w:rPr>
              <w:t>Supplementary Table 9: Analysis of hospital and primary care</w:t>
            </w:r>
            <w:r w:rsidR="00632A06">
              <w:rPr>
                <w:rFonts w:ascii="Arial" w:hAnsi="Arial" w:cs="Arial"/>
                <w:b/>
              </w:rPr>
              <w:t xml:space="preserve"> subgroups </w:t>
            </w:r>
          </w:p>
          <w:p w14:paraId="278D79E4" w14:textId="77777777" w:rsidR="00030FD0" w:rsidRPr="00B30320" w:rsidRDefault="00632A06" w:rsidP="00632A06">
            <w:pPr>
              <w:pStyle w:val="BodyText2"/>
              <w:spacing w:before="60" w:after="180" w:line="240" w:lineRule="auto"/>
              <w:rPr>
                <w:rFonts w:ascii="Arial" w:hAnsi="Arial" w:cs="Arial"/>
                <w:b/>
              </w:rPr>
            </w:pPr>
            <w:r>
              <w:rPr>
                <w:rFonts w:ascii="Arial" w:hAnsi="Arial" w:cs="Arial"/>
                <w:b/>
              </w:rPr>
              <w:t>T</w:t>
            </w:r>
            <w:r w:rsidR="00030FD0" w:rsidRPr="00B30320">
              <w:rPr>
                <w:rFonts w:ascii="Arial" w:hAnsi="Arial" w:cs="Arial"/>
                <w:b/>
              </w:rPr>
              <w:t>eamwork domain</w:t>
            </w:r>
          </w:p>
        </w:tc>
      </w:tr>
      <w:tr w:rsidR="00030FD0" w14:paraId="1F463ADF" w14:textId="77777777" w:rsidTr="003E4BA7">
        <w:trPr>
          <w:gridAfter w:val="1"/>
          <w:wAfter w:w="362" w:type="dxa"/>
          <w:trHeight w:val="56"/>
        </w:trPr>
        <w:tc>
          <w:tcPr>
            <w:tcW w:w="7796" w:type="dxa"/>
            <w:gridSpan w:val="24"/>
            <w:tcMar>
              <w:top w:w="11" w:type="dxa"/>
              <w:left w:w="85" w:type="dxa"/>
              <w:bottom w:w="11" w:type="dxa"/>
              <w:right w:w="85" w:type="dxa"/>
            </w:tcMar>
          </w:tcPr>
          <w:p w14:paraId="38F4B811" w14:textId="77777777" w:rsidR="00030FD0" w:rsidRDefault="00030FD0" w:rsidP="003A385F">
            <w:pPr>
              <w:spacing w:before="120" w:after="180"/>
              <w:rPr>
                <w:rFonts w:cs="Arial"/>
                <w:b/>
                <w:sz w:val="20"/>
                <w:szCs w:val="20"/>
              </w:rPr>
            </w:pPr>
            <w:r>
              <w:rPr>
                <w:rFonts w:cs="Arial"/>
                <w:b/>
                <w:sz w:val="20"/>
                <w:szCs w:val="20"/>
              </w:rPr>
              <w:t>(i) Test of factorial invariance</w:t>
            </w:r>
          </w:p>
        </w:tc>
      </w:tr>
      <w:tr w:rsidR="00030FD0" w14:paraId="5B16BD80" w14:textId="77777777" w:rsidTr="003E4BA7">
        <w:trPr>
          <w:gridAfter w:val="1"/>
          <w:wAfter w:w="362" w:type="dxa"/>
          <w:trHeight w:val="56"/>
        </w:trPr>
        <w:tc>
          <w:tcPr>
            <w:tcW w:w="2058" w:type="dxa"/>
            <w:gridSpan w:val="3"/>
            <w:tcMar>
              <w:top w:w="11" w:type="dxa"/>
              <w:left w:w="85" w:type="dxa"/>
              <w:bottom w:w="11" w:type="dxa"/>
              <w:right w:w="85" w:type="dxa"/>
            </w:tcMar>
          </w:tcPr>
          <w:p w14:paraId="644D368E" w14:textId="77777777" w:rsidR="00030FD0" w:rsidRDefault="00030FD0" w:rsidP="003A385F">
            <w:pPr>
              <w:spacing w:before="60" w:after="60"/>
              <w:rPr>
                <w:rFonts w:cs="Arial"/>
                <w:b/>
                <w:sz w:val="20"/>
                <w:szCs w:val="20"/>
              </w:rPr>
            </w:pPr>
            <w:r>
              <w:rPr>
                <w:rFonts w:cs="Arial"/>
                <w:b/>
                <w:sz w:val="20"/>
                <w:szCs w:val="20"/>
              </w:rPr>
              <w:t>Parameters allowed to vary between hospital and primary care</w:t>
            </w:r>
          </w:p>
        </w:tc>
        <w:tc>
          <w:tcPr>
            <w:tcW w:w="1179" w:type="dxa"/>
            <w:gridSpan w:val="6"/>
            <w:tcMar>
              <w:top w:w="11" w:type="dxa"/>
              <w:left w:w="85" w:type="dxa"/>
              <w:bottom w:w="11" w:type="dxa"/>
              <w:right w:w="85" w:type="dxa"/>
            </w:tcMar>
          </w:tcPr>
          <w:p w14:paraId="0132D29C" w14:textId="77777777" w:rsidR="00030FD0" w:rsidRDefault="00030FD0" w:rsidP="003A385F">
            <w:pPr>
              <w:spacing w:before="60" w:after="60"/>
              <w:rPr>
                <w:rFonts w:cs="Arial"/>
                <w:b/>
                <w:sz w:val="20"/>
                <w:szCs w:val="20"/>
              </w:rPr>
            </w:pPr>
            <w:r>
              <w:rPr>
                <w:rFonts w:cs="Arial"/>
                <w:b/>
                <w:sz w:val="20"/>
                <w:szCs w:val="20"/>
              </w:rPr>
              <w:sym w:font="Symbol" w:char="F063"/>
            </w:r>
            <w:r>
              <w:rPr>
                <w:rFonts w:cs="Arial"/>
                <w:b/>
                <w:sz w:val="20"/>
                <w:szCs w:val="20"/>
                <w:vertAlign w:val="superscript"/>
              </w:rPr>
              <w:t>2</w:t>
            </w:r>
          </w:p>
        </w:tc>
        <w:tc>
          <w:tcPr>
            <w:tcW w:w="1179" w:type="dxa"/>
            <w:gridSpan w:val="3"/>
            <w:tcMar>
              <w:top w:w="11" w:type="dxa"/>
              <w:left w:w="85" w:type="dxa"/>
              <w:bottom w:w="11" w:type="dxa"/>
              <w:right w:w="85" w:type="dxa"/>
            </w:tcMar>
          </w:tcPr>
          <w:p w14:paraId="15C6692A" w14:textId="77777777" w:rsidR="00030FD0" w:rsidRDefault="00030FD0" w:rsidP="003A385F">
            <w:pPr>
              <w:spacing w:before="60" w:after="60"/>
              <w:rPr>
                <w:rFonts w:cs="Arial"/>
                <w:b/>
                <w:sz w:val="20"/>
                <w:szCs w:val="20"/>
              </w:rPr>
            </w:pPr>
            <w:r>
              <w:rPr>
                <w:rFonts w:cs="Arial"/>
                <w:b/>
                <w:sz w:val="20"/>
                <w:szCs w:val="20"/>
              </w:rPr>
              <w:t xml:space="preserve">Difference in </w:t>
            </w:r>
            <w:r>
              <w:rPr>
                <w:rFonts w:cs="Arial"/>
                <w:b/>
                <w:sz w:val="20"/>
                <w:szCs w:val="20"/>
              </w:rPr>
              <w:sym w:font="Symbol" w:char="F063"/>
            </w:r>
            <w:r>
              <w:rPr>
                <w:rFonts w:cs="Arial"/>
                <w:b/>
                <w:sz w:val="20"/>
                <w:szCs w:val="20"/>
                <w:vertAlign w:val="superscript"/>
              </w:rPr>
              <w:t>2</w:t>
            </w:r>
          </w:p>
        </w:tc>
        <w:tc>
          <w:tcPr>
            <w:tcW w:w="688" w:type="dxa"/>
            <w:gridSpan w:val="4"/>
            <w:tcMar>
              <w:top w:w="11" w:type="dxa"/>
              <w:left w:w="85" w:type="dxa"/>
              <w:bottom w:w="11" w:type="dxa"/>
              <w:right w:w="85" w:type="dxa"/>
            </w:tcMar>
          </w:tcPr>
          <w:p w14:paraId="77BD3677" w14:textId="77777777" w:rsidR="00030FD0" w:rsidRDefault="00030FD0" w:rsidP="003A385F">
            <w:pPr>
              <w:spacing w:before="60" w:after="60"/>
              <w:rPr>
                <w:rFonts w:cs="Arial"/>
                <w:b/>
                <w:sz w:val="20"/>
                <w:szCs w:val="20"/>
              </w:rPr>
            </w:pPr>
            <w:r>
              <w:rPr>
                <w:rFonts w:cs="Arial"/>
                <w:b/>
                <w:sz w:val="20"/>
                <w:szCs w:val="20"/>
              </w:rPr>
              <w:t>CFI</w:t>
            </w:r>
          </w:p>
        </w:tc>
        <w:tc>
          <w:tcPr>
            <w:tcW w:w="753" w:type="dxa"/>
            <w:gridSpan w:val="2"/>
            <w:tcMar>
              <w:top w:w="11" w:type="dxa"/>
              <w:left w:w="85" w:type="dxa"/>
              <w:bottom w:w="11" w:type="dxa"/>
              <w:right w:w="85" w:type="dxa"/>
            </w:tcMar>
          </w:tcPr>
          <w:p w14:paraId="30DF6024" w14:textId="77777777" w:rsidR="00030FD0" w:rsidRDefault="00030FD0" w:rsidP="003A385F">
            <w:pPr>
              <w:spacing w:before="60" w:after="60"/>
              <w:rPr>
                <w:rFonts w:cs="Arial"/>
                <w:b/>
                <w:sz w:val="20"/>
                <w:szCs w:val="20"/>
              </w:rPr>
            </w:pPr>
            <w:r>
              <w:rPr>
                <w:rFonts w:cs="Arial"/>
                <w:b/>
                <w:sz w:val="20"/>
                <w:szCs w:val="20"/>
              </w:rPr>
              <w:t>TLI</w:t>
            </w:r>
          </w:p>
        </w:tc>
        <w:tc>
          <w:tcPr>
            <w:tcW w:w="916" w:type="dxa"/>
            <w:gridSpan w:val="4"/>
            <w:tcMar>
              <w:top w:w="11" w:type="dxa"/>
              <w:left w:w="85" w:type="dxa"/>
              <w:bottom w:w="11" w:type="dxa"/>
              <w:right w:w="85" w:type="dxa"/>
            </w:tcMar>
          </w:tcPr>
          <w:p w14:paraId="04780C57" w14:textId="77777777" w:rsidR="00030FD0" w:rsidRDefault="00030FD0" w:rsidP="003A385F">
            <w:pPr>
              <w:spacing w:before="60" w:after="60"/>
              <w:rPr>
                <w:rFonts w:cs="Arial"/>
                <w:b/>
                <w:sz w:val="20"/>
                <w:szCs w:val="20"/>
              </w:rPr>
            </w:pPr>
            <w:r>
              <w:rPr>
                <w:rFonts w:cs="Arial"/>
                <w:b/>
                <w:sz w:val="20"/>
                <w:szCs w:val="20"/>
              </w:rPr>
              <w:t>RMSEA</w:t>
            </w:r>
          </w:p>
        </w:tc>
        <w:tc>
          <w:tcPr>
            <w:tcW w:w="1023" w:type="dxa"/>
            <w:gridSpan w:val="2"/>
            <w:tcMar>
              <w:top w:w="11" w:type="dxa"/>
              <w:left w:w="85" w:type="dxa"/>
              <w:bottom w:w="11" w:type="dxa"/>
              <w:right w:w="85" w:type="dxa"/>
            </w:tcMar>
          </w:tcPr>
          <w:p w14:paraId="0C7E0F1F" w14:textId="77777777" w:rsidR="00030FD0" w:rsidRDefault="00030FD0" w:rsidP="003A385F">
            <w:pPr>
              <w:spacing w:before="60" w:after="60"/>
              <w:rPr>
                <w:rFonts w:cs="Arial"/>
                <w:b/>
                <w:sz w:val="20"/>
                <w:szCs w:val="20"/>
              </w:rPr>
            </w:pPr>
            <w:r>
              <w:rPr>
                <w:rFonts w:cs="Arial"/>
                <w:b/>
                <w:sz w:val="20"/>
                <w:szCs w:val="20"/>
              </w:rPr>
              <w:t>SRMR</w:t>
            </w:r>
          </w:p>
        </w:tc>
      </w:tr>
      <w:tr w:rsidR="00030FD0" w14:paraId="160AD0B4" w14:textId="77777777" w:rsidTr="003E4BA7">
        <w:trPr>
          <w:gridAfter w:val="1"/>
          <w:wAfter w:w="362" w:type="dxa"/>
          <w:trHeight w:val="56"/>
        </w:trPr>
        <w:tc>
          <w:tcPr>
            <w:tcW w:w="2058" w:type="dxa"/>
            <w:gridSpan w:val="3"/>
            <w:tcMar>
              <w:top w:w="11" w:type="dxa"/>
              <w:left w:w="85" w:type="dxa"/>
              <w:bottom w:w="11" w:type="dxa"/>
              <w:right w:w="85" w:type="dxa"/>
            </w:tcMar>
          </w:tcPr>
          <w:p w14:paraId="1270BBE8" w14:textId="77777777" w:rsidR="00030FD0" w:rsidRDefault="00030FD0" w:rsidP="003A385F">
            <w:pPr>
              <w:rPr>
                <w:rFonts w:cs="Arial"/>
                <w:sz w:val="20"/>
                <w:szCs w:val="20"/>
              </w:rPr>
            </w:pPr>
            <w:r>
              <w:rPr>
                <w:rFonts w:cs="Arial"/>
                <w:sz w:val="20"/>
                <w:szCs w:val="20"/>
              </w:rPr>
              <w:t>All parameters constrained</w:t>
            </w:r>
          </w:p>
        </w:tc>
        <w:tc>
          <w:tcPr>
            <w:tcW w:w="1179" w:type="dxa"/>
            <w:gridSpan w:val="6"/>
            <w:tcMar>
              <w:top w:w="11" w:type="dxa"/>
              <w:left w:w="85" w:type="dxa"/>
              <w:bottom w:w="11" w:type="dxa"/>
              <w:right w:w="85" w:type="dxa"/>
            </w:tcMar>
          </w:tcPr>
          <w:p w14:paraId="09E5760C" w14:textId="77777777" w:rsidR="00030FD0" w:rsidRDefault="00030FD0" w:rsidP="003A385F">
            <w:pPr>
              <w:rPr>
                <w:rFonts w:cs="Arial"/>
                <w:sz w:val="20"/>
                <w:szCs w:val="20"/>
              </w:rPr>
            </w:pPr>
            <w:r>
              <w:rPr>
                <w:rFonts w:cs="Arial"/>
                <w:sz w:val="20"/>
                <w:szCs w:val="20"/>
              </w:rPr>
              <w:t>288 on 109df</w:t>
            </w:r>
          </w:p>
        </w:tc>
        <w:tc>
          <w:tcPr>
            <w:tcW w:w="1179" w:type="dxa"/>
            <w:gridSpan w:val="3"/>
            <w:tcMar>
              <w:top w:w="11" w:type="dxa"/>
              <w:left w:w="85" w:type="dxa"/>
              <w:bottom w:w="11" w:type="dxa"/>
              <w:right w:w="85" w:type="dxa"/>
            </w:tcMar>
          </w:tcPr>
          <w:p w14:paraId="42EE57C4" w14:textId="77777777" w:rsidR="00030FD0" w:rsidRDefault="00030FD0" w:rsidP="003A385F">
            <w:pPr>
              <w:rPr>
                <w:rFonts w:cs="Arial"/>
                <w:sz w:val="20"/>
                <w:szCs w:val="20"/>
              </w:rPr>
            </w:pPr>
            <w:r>
              <w:rPr>
                <w:rFonts w:cs="Arial"/>
                <w:sz w:val="20"/>
                <w:szCs w:val="20"/>
              </w:rPr>
              <w:t>-</w:t>
            </w:r>
          </w:p>
        </w:tc>
        <w:tc>
          <w:tcPr>
            <w:tcW w:w="688" w:type="dxa"/>
            <w:gridSpan w:val="4"/>
            <w:tcMar>
              <w:top w:w="11" w:type="dxa"/>
              <w:left w:w="85" w:type="dxa"/>
              <w:bottom w:w="11" w:type="dxa"/>
              <w:right w:w="85" w:type="dxa"/>
            </w:tcMar>
          </w:tcPr>
          <w:p w14:paraId="4CA9D6E4" w14:textId="77777777" w:rsidR="00030FD0" w:rsidRDefault="00030FD0" w:rsidP="003A385F">
            <w:pPr>
              <w:rPr>
                <w:rFonts w:cs="Arial"/>
                <w:sz w:val="20"/>
                <w:szCs w:val="20"/>
              </w:rPr>
            </w:pPr>
            <w:r>
              <w:rPr>
                <w:rFonts w:cs="Arial"/>
                <w:sz w:val="20"/>
                <w:szCs w:val="20"/>
              </w:rPr>
              <w:t>0.851</w:t>
            </w:r>
          </w:p>
        </w:tc>
        <w:tc>
          <w:tcPr>
            <w:tcW w:w="753" w:type="dxa"/>
            <w:gridSpan w:val="2"/>
            <w:tcMar>
              <w:top w:w="11" w:type="dxa"/>
              <w:left w:w="85" w:type="dxa"/>
              <w:bottom w:w="11" w:type="dxa"/>
              <w:right w:w="85" w:type="dxa"/>
            </w:tcMar>
          </w:tcPr>
          <w:p w14:paraId="2AA5B6C1" w14:textId="77777777" w:rsidR="00030FD0" w:rsidRDefault="00030FD0" w:rsidP="003A385F">
            <w:pPr>
              <w:rPr>
                <w:rFonts w:cs="Arial"/>
                <w:sz w:val="20"/>
                <w:szCs w:val="20"/>
              </w:rPr>
            </w:pPr>
            <w:r>
              <w:rPr>
                <w:rFonts w:cs="Arial"/>
                <w:sz w:val="20"/>
                <w:szCs w:val="20"/>
              </w:rPr>
              <w:t>0.850</w:t>
            </w:r>
          </w:p>
        </w:tc>
        <w:tc>
          <w:tcPr>
            <w:tcW w:w="916" w:type="dxa"/>
            <w:gridSpan w:val="4"/>
            <w:tcMar>
              <w:top w:w="11" w:type="dxa"/>
              <w:left w:w="85" w:type="dxa"/>
              <w:bottom w:w="11" w:type="dxa"/>
              <w:right w:w="85" w:type="dxa"/>
            </w:tcMar>
          </w:tcPr>
          <w:p w14:paraId="3260E05B" w14:textId="77777777" w:rsidR="00030FD0" w:rsidRDefault="00030FD0" w:rsidP="003A385F">
            <w:pPr>
              <w:rPr>
                <w:rFonts w:cs="Arial"/>
                <w:sz w:val="20"/>
                <w:szCs w:val="20"/>
              </w:rPr>
            </w:pPr>
            <w:r>
              <w:rPr>
                <w:rFonts w:cs="Arial"/>
                <w:sz w:val="20"/>
                <w:szCs w:val="20"/>
              </w:rPr>
              <w:t>0.104</w:t>
            </w:r>
          </w:p>
        </w:tc>
        <w:tc>
          <w:tcPr>
            <w:tcW w:w="1023" w:type="dxa"/>
            <w:gridSpan w:val="2"/>
            <w:tcMar>
              <w:top w:w="11" w:type="dxa"/>
              <w:left w:w="85" w:type="dxa"/>
              <w:bottom w:w="11" w:type="dxa"/>
              <w:right w:w="85" w:type="dxa"/>
            </w:tcMar>
          </w:tcPr>
          <w:p w14:paraId="498BDF85" w14:textId="77777777" w:rsidR="00030FD0" w:rsidRDefault="00030FD0" w:rsidP="003A385F">
            <w:pPr>
              <w:rPr>
                <w:rFonts w:cs="Arial"/>
                <w:sz w:val="20"/>
                <w:szCs w:val="20"/>
              </w:rPr>
            </w:pPr>
            <w:r>
              <w:rPr>
                <w:rFonts w:cs="Arial"/>
                <w:sz w:val="20"/>
                <w:szCs w:val="20"/>
              </w:rPr>
              <w:t>0.175</w:t>
            </w:r>
          </w:p>
        </w:tc>
      </w:tr>
      <w:tr w:rsidR="00030FD0" w14:paraId="6D4D05D2" w14:textId="77777777" w:rsidTr="003E4BA7">
        <w:trPr>
          <w:gridAfter w:val="1"/>
          <w:wAfter w:w="362" w:type="dxa"/>
          <w:trHeight w:val="56"/>
        </w:trPr>
        <w:tc>
          <w:tcPr>
            <w:tcW w:w="2058" w:type="dxa"/>
            <w:gridSpan w:val="3"/>
            <w:tcMar>
              <w:top w:w="11" w:type="dxa"/>
              <w:left w:w="85" w:type="dxa"/>
              <w:bottom w:w="11" w:type="dxa"/>
              <w:right w:w="85" w:type="dxa"/>
            </w:tcMar>
          </w:tcPr>
          <w:p w14:paraId="37F545A2" w14:textId="77777777" w:rsidR="00030FD0" w:rsidRDefault="00030FD0" w:rsidP="003A385F">
            <w:pPr>
              <w:rPr>
                <w:rFonts w:cs="Arial"/>
                <w:sz w:val="20"/>
                <w:szCs w:val="20"/>
              </w:rPr>
            </w:pPr>
            <w:r>
              <w:rPr>
                <w:rFonts w:cs="Arial"/>
                <w:sz w:val="20"/>
                <w:szCs w:val="20"/>
              </w:rPr>
              <w:t>Factor correlations allowed to vary by subgroup</w:t>
            </w:r>
          </w:p>
        </w:tc>
        <w:tc>
          <w:tcPr>
            <w:tcW w:w="1179" w:type="dxa"/>
            <w:gridSpan w:val="6"/>
            <w:tcMar>
              <w:top w:w="11" w:type="dxa"/>
              <w:left w:w="85" w:type="dxa"/>
              <w:bottom w:w="11" w:type="dxa"/>
              <w:right w:w="85" w:type="dxa"/>
            </w:tcMar>
          </w:tcPr>
          <w:p w14:paraId="577D3330" w14:textId="77777777" w:rsidR="00030FD0" w:rsidRDefault="00030FD0" w:rsidP="003A385F">
            <w:pPr>
              <w:rPr>
                <w:rFonts w:cs="Arial"/>
                <w:sz w:val="20"/>
                <w:szCs w:val="20"/>
              </w:rPr>
            </w:pPr>
            <w:r>
              <w:rPr>
                <w:rFonts w:cs="Arial"/>
                <w:sz w:val="20"/>
                <w:szCs w:val="20"/>
              </w:rPr>
              <w:t>286 on 108df</w:t>
            </w:r>
          </w:p>
        </w:tc>
        <w:tc>
          <w:tcPr>
            <w:tcW w:w="1179" w:type="dxa"/>
            <w:gridSpan w:val="3"/>
            <w:tcMar>
              <w:top w:w="11" w:type="dxa"/>
              <w:left w:w="85" w:type="dxa"/>
              <w:bottom w:w="11" w:type="dxa"/>
              <w:right w:w="85" w:type="dxa"/>
            </w:tcMar>
          </w:tcPr>
          <w:p w14:paraId="7921A262" w14:textId="77777777" w:rsidR="00030FD0" w:rsidRDefault="00030FD0" w:rsidP="003A385F">
            <w:pPr>
              <w:rPr>
                <w:rFonts w:cs="Arial"/>
                <w:sz w:val="20"/>
                <w:szCs w:val="20"/>
              </w:rPr>
            </w:pPr>
            <w:r>
              <w:rPr>
                <w:rFonts w:cs="Arial"/>
                <w:sz w:val="20"/>
                <w:szCs w:val="20"/>
              </w:rPr>
              <w:t>2 on 1df</w:t>
            </w:r>
          </w:p>
        </w:tc>
        <w:tc>
          <w:tcPr>
            <w:tcW w:w="688" w:type="dxa"/>
            <w:gridSpan w:val="4"/>
            <w:tcMar>
              <w:top w:w="11" w:type="dxa"/>
              <w:left w:w="85" w:type="dxa"/>
              <w:bottom w:w="11" w:type="dxa"/>
              <w:right w:w="85" w:type="dxa"/>
            </w:tcMar>
          </w:tcPr>
          <w:p w14:paraId="1A5F83AA" w14:textId="77777777" w:rsidR="00030FD0" w:rsidRDefault="00030FD0" w:rsidP="003A385F">
            <w:pPr>
              <w:rPr>
                <w:rFonts w:cs="Arial"/>
                <w:sz w:val="20"/>
                <w:szCs w:val="20"/>
              </w:rPr>
            </w:pPr>
            <w:r>
              <w:rPr>
                <w:rFonts w:cs="Arial"/>
                <w:sz w:val="20"/>
                <w:szCs w:val="20"/>
              </w:rPr>
              <w:t>0.852</w:t>
            </w:r>
          </w:p>
        </w:tc>
        <w:tc>
          <w:tcPr>
            <w:tcW w:w="753" w:type="dxa"/>
            <w:gridSpan w:val="2"/>
            <w:tcMar>
              <w:top w:w="11" w:type="dxa"/>
              <w:left w:w="85" w:type="dxa"/>
              <w:bottom w:w="11" w:type="dxa"/>
              <w:right w:w="85" w:type="dxa"/>
            </w:tcMar>
          </w:tcPr>
          <w:p w14:paraId="5D4AC030" w14:textId="77777777" w:rsidR="00030FD0" w:rsidRDefault="00030FD0" w:rsidP="003A385F">
            <w:pPr>
              <w:rPr>
                <w:rFonts w:cs="Arial"/>
                <w:sz w:val="20"/>
                <w:szCs w:val="20"/>
              </w:rPr>
            </w:pPr>
            <w:r>
              <w:rPr>
                <w:rFonts w:cs="Arial"/>
                <w:sz w:val="20"/>
                <w:szCs w:val="20"/>
              </w:rPr>
              <w:t>0.850</w:t>
            </w:r>
          </w:p>
        </w:tc>
        <w:tc>
          <w:tcPr>
            <w:tcW w:w="916" w:type="dxa"/>
            <w:gridSpan w:val="4"/>
            <w:tcMar>
              <w:top w:w="11" w:type="dxa"/>
              <w:left w:w="85" w:type="dxa"/>
              <w:bottom w:w="11" w:type="dxa"/>
              <w:right w:w="85" w:type="dxa"/>
            </w:tcMar>
          </w:tcPr>
          <w:p w14:paraId="17BBCA75" w14:textId="77777777" w:rsidR="00030FD0" w:rsidRDefault="00030FD0" w:rsidP="003A385F">
            <w:pPr>
              <w:rPr>
                <w:rFonts w:cs="Arial"/>
                <w:sz w:val="20"/>
                <w:szCs w:val="20"/>
              </w:rPr>
            </w:pPr>
            <w:r>
              <w:rPr>
                <w:rFonts w:cs="Arial"/>
                <w:sz w:val="20"/>
                <w:szCs w:val="20"/>
              </w:rPr>
              <w:t>0.105</w:t>
            </w:r>
          </w:p>
        </w:tc>
        <w:tc>
          <w:tcPr>
            <w:tcW w:w="1023" w:type="dxa"/>
            <w:gridSpan w:val="2"/>
            <w:tcMar>
              <w:top w:w="11" w:type="dxa"/>
              <w:left w:w="85" w:type="dxa"/>
              <w:bottom w:w="11" w:type="dxa"/>
              <w:right w:w="85" w:type="dxa"/>
            </w:tcMar>
          </w:tcPr>
          <w:p w14:paraId="1A5295E4" w14:textId="77777777" w:rsidR="00030FD0" w:rsidRDefault="00030FD0" w:rsidP="003A385F">
            <w:pPr>
              <w:rPr>
                <w:rFonts w:cs="Arial"/>
                <w:sz w:val="20"/>
                <w:szCs w:val="20"/>
              </w:rPr>
            </w:pPr>
            <w:r>
              <w:rPr>
                <w:rFonts w:cs="Arial"/>
                <w:sz w:val="20"/>
                <w:szCs w:val="20"/>
              </w:rPr>
              <w:t>0.166</w:t>
            </w:r>
          </w:p>
        </w:tc>
      </w:tr>
      <w:tr w:rsidR="00030FD0" w14:paraId="19A5FD0C" w14:textId="77777777" w:rsidTr="003E4BA7">
        <w:trPr>
          <w:gridAfter w:val="1"/>
          <w:wAfter w:w="362" w:type="dxa"/>
          <w:trHeight w:val="56"/>
        </w:trPr>
        <w:tc>
          <w:tcPr>
            <w:tcW w:w="2058" w:type="dxa"/>
            <w:gridSpan w:val="3"/>
            <w:tcMar>
              <w:top w:w="11" w:type="dxa"/>
              <w:left w:w="85" w:type="dxa"/>
              <w:bottom w:w="11" w:type="dxa"/>
              <w:right w:w="85" w:type="dxa"/>
            </w:tcMar>
          </w:tcPr>
          <w:p w14:paraId="3EE539C2" w14:textId="77777777" w:rsidR="00030FD0" w:rsidRDefault="00030FD0" w:rsidP="003A385F">
            <w:pPr>
              <w:rPr>
                <w:rFonts w:cs="Arial"/>
                <w:sz w:val="20"/>
                <w:szCs w:val="20"/>
              </w:rPr>
            </w:pPr>
            <w:r>
              <w:rPr>
                <w:rFonts w:cs="Arial"/>
                <w:sz w:val="20"/>
                <w:szCs w:val="20"/>
              </w:rPr>
              <w:t>Factor correlations and means allowed to vary by subgroup</w:t>
            </w:r>
          </w:p>
        </w:tc>
        <w:tc>
          <w:tcPr>
            <w:tcW w:w="1179" w:type="dxa"/>
            <w:gridSpan w:val="6"/>
            <w:tcMar>
              <w:top w:w="11" w:type="dxa"/>
              <w:left w:w="85" w:type="dxa"/>
              <w:bottom w:w="11" w:type="dxa"/>
              <w:right w:w="85" w:type="dxa"/>
            </w:tcMar>
          </w:tcPr>
          <w:p w14:paraId="7AE593AD" w14:textId="77777777" w:rsidR="00030FD0" w:rsidRDefault="00030FD0" w:rsidP="003A385F">
            <w:pPr>
              <w:rPr>
                <w:rFonts w:cs="Arial"/>
                <w:sz w:val="20"/>
                <w:szCs w:val="20"/>
              </w:rPr>
            </w:pPr>
            <w:r>
              <w:rPr>
                <w:rFonts w:cs="Arial"/>
                <w:sz w:val="20"/>
                <w:szCs w:val="20"/>
              </w:rPr>
              <w:t>269 on 106df</w:t>
            </w:r>
          </w:p>
        </w:tc>
        <w:tc>
          <w:tcPr>
            <w:tcW w:w="1179" w:type="dxa"/>
            <w:gridSpan w:val="3"/>
            <w:tcMar>
              <w:top w:w="11" w:type="dxa"/>
              <w:left w:w="85" w:type="dxa"/>
              <w:bottom w:w="11" w:type="dxa"/>
              <w:right w:w="85" w:type="dxa"/>
            </w:tcMar>
          </w:tcPr>
          <w:p w14:paraId="545F49A2" w14:textId="77777777" w:rsidR="00030FD0" w:rsidRDefault="00030FD0" w:rsidP="003A385F">
            <w:pPr>
              <w:rPr>
                <w:rFonts w:cs="Arial"/>
                <w:sz w:val="20"/>
                <w:szCs w:val="20"/>
              </w:rPr>
            </w:pPr>
            <w:r>
              <w:rPr>
                <w:rFonts w:cs="Arial"/>
                <w:sz w:val="20"/>
                <w:szCs w:val="20"/>
              </w:rPr>
              <w:t>17 on 2df *</w:t>
            </w:r>
          </w:p>
        </w:tc>
        <w:tc>
          <w:tcPr>
            <w:tcW w:w="688" w:type="dxa"/>
            <w:gridSpan w:val="4"/>
            <w:tcMar>
              <w:top w:w="11" w:type="dxa"/>
              <w:left w:w="85" w:type="dxa"/>
              <w:bottom w:w="11" w:type="dxa"/>
              <w:right w:w="85" w:type="dxa"/>
            </w:tcMar>
          </w:tcPr>
          <w:p w14:paraId="6698BA5E" w14:textId="77777777" w:rsidR="00030FD0" w:rsidRDefault="00030FD0" w:rsidP="003A385F">
            <w:pPr>
              <w:rPr>
                <w:rFonts w:cs="Arial"/>
                <w:sz w:val="20"/>
                <w:szCs w:val="20"/>
              </w:rPr>
            </w:pPr>
            <w:r>
              <w:rPr>
                <w:rFonts w:cs="Arial"/>
                <w:sz w:val="20"/>
                <w:szCs w:val="20"/>
              </w:rPr>
              <w:t>0.865</w:t>
            </w:r>
          </w:p>
        </w:tc>
        <w:tc>
          <w:tcPr>
            <w:tcW w:w="753" w:type="dxa"/>
            <w:gridSpan w:val="2"/>
            <w:tcMar>
              <w:top w:w="11" w:type="dxa"/>
              <w:left w:w="85" w:type="dxa"/>
              <w:bottom w:w="11" w:type="dxa"/>
              <w:right w:w="85" w:type="dxa"/>
            </w:tcMar>
          </w:tcPr>
          <w:p w14:paraId="0C32A548" w14:textId="77777777" w:rsidR="00030FD0" w:rsidRDefault="00030FD0" w:rsidP="003A385F">
            <w:pPr>
              <w:rPr>
                <w:rFonts w:cs="Arial"/>
                <w:sz w:val="20"/>
                <w:szCs w:val="20"/>
              </w:rPr>
            </w:pPr>
            <w:r>
              <w:rPr>
                <w:rFonts w:cs="Arial"/>
                <w:sz w:val="20"/>
                <w:szCs w:val="20"/>
              </w:rPr>
              <w:t>0.860</w:t>
            </w:r>
          </w:p>
        </w:tc>
        <w:tc>
          <w:tcPr>
            <w:tcW w:w="916" w:type="dxa"/>
            <w:gridSpan w:val="4"/>
            <w:tcMar>
              <w:top w:w="11" w:type="dxa"/>
              <w:left w:w="85" w:type="dxa"/>
              <w:bottom w:w="11" w:type="dxa"/>
              <w:right w:w="85" w:type="dxa"/>
            </w:tcMar>
          </w:tcPr>
          <w:p w14:paraId="0DFB7BAC" w14:textId="77777777" w:rsidR="00030FD0" w:rsidRDefault="00030FD0" w:rsidP="003A385F">
            <w:pPr>
              <w:rPr>
                <w:rFonts w:cs="Arial"/>
                <w:sz w:val="20"/>
                <w:szCs w:val="20"/>
              </w:rPr>
            </w:pPr>
            <w:r>
              <w:rPr>
                <w:rFonts w:cs="Arial"/>
                <w:sz w:val="20"/>
                <w:szCs w:val="20"/>
              </w:rPr>
              <w:t>0.101</w:t>
            </w:r>
          </w:p>
        </w:tc>
        <w:tc>
          <w:tcPr>
            <w:tcW w:w="1023" w:type="dxa"/>
            <w:gridSpan w:val="2"/>
            <w:tcMar>
              <w:top w:w="11" w:type="dxa"/>
              <w:left w:w="85" w:type="dxa"/>
              <w:bottom w:w="11" w:type="dxa"/>
              <w:right w:w="85" w:type="dxa"/>
            </w:tcMar>
          </w:tcPr>
          <w:p w14:paraId="03C43806" w14:textId="77777777" w:rsidR="00030FD0" w:rsidRDefault="00030FD0" w:rsidP="003A385F">
            <w:pPr>
              <w:rPr>
                <w:rFonts w:cs="Arial"/>
                <w:sz w:val="20"/>
                <w:szCs w:val="20"/>
              </w:rPr>
            </w:pPr>
            <w:r>
              <w:rPr>
                <w:rFonts w:cs="Arial"/>
                <w:sz w:val="20"/>
                <w:szCs w:val="20"/>
              </w:rPr>
              <w:t>0.141</w:t>
            </w:r>
          </w:p>
        </w:tc>
      </w:tr>
      <w:tr w:rsidR="00030FD0" w14:paraId="692A408E" w14:textId="77777777" w:rsidTr="003E4BA7">
        <w:trPr>
          <w:gridAfter w:val="1"/>
          <w:wAfter w:w="362" w:type="dxa"/>
          <w:trHeight w:val="56"/>
        </w:trPr>
        <w:tc>
          <w:tcPr>
            <w:tcW w:w="2058" w:type="dxa"/>
            <w:gridSpan w:val="3"/>
            <w:tcMar>
              <w:top w:w="11" w:type="dxa"/>
              <w:left w:w="85" w:type="dxa"/>
              <w:bottom w:w="11" w:type="dxa"/>
              <w:right w:w="85" w:type="dxa"/>
            </w:tcMar>
          </w:tcPr>
          <w:p w14:paraId="0FE9780C" w14:textId="77777777" w:rsidR="00030FD0" w:rsidRDefault="00030FD0" w:rsidP="003A385F">
            <w:pPr>
              <w:rPr>
                <w:rFonts w:cs="Arial"/>
                <w:sz w:val="20"/>
                <w:szCs w:val="20"/>
              </w:rPr>
            </w:pPr>
            <w:r>
              <w:rPr>
                <w:rFonts w:cs="Arial"/>
                <w:sz w:val="20"/>
                <w:szCs w:val="20"/>
              </w:rPr>
              <w:t>Factor correlations, means and variances allowed to vary by subgroup</w:t>
            </w:r>
          </w:p>
        </w:tc>
        <w:tc>
          <w:tcPr>
            <w:tcW w:w="1179" w:type="dxa"/>
            <w:gridSpan w:val="6"/>
            <w:tcMar>
              <w:top w:w="11" w:type="dxa"/>
              <w:left w:w="85" w:type="dxa"/>
              <w:bottom w:w="11" w:type="dxa"/>
              <w:right w:w="85" w:type="dxa"/>
            </w:tcMar>
          </w:tcPr>
          <w:p w14:paraId="0AAF312A" w14:textId="77777777" w:rsidR="00030FD0" w:rsidRDefault="00030FD0" w:rsidP="003A385F">
            <w:pPr>
              <w:rPr>
                <w:rFonts w:cs="Arial"/>
                <w:sz w:val="20"/>
                <w:szCs w:val="20"/>
              </w:rPr>
            </w:pPr>
            <w:r>
              <w:rPr>
                <w:rFonts w:cs="Arial"/>
                <w:sz w:val="20"/>
                <w:szCs w:val="20"/>
              </w:rPr>
              <w:t>260 on 104df</w:t>
            </w:r>
          </w:p>
        </w:tc>
        <w:tc>
          <w:tcPr>
            <w:tcW w:w="1179" w:type="dxa"/>
            <w:gridSpan w:val="3"/>
            <w:tcMar>
              <w:top w:w="11" w:type="dxa"/>
              <w:left w:w="85" w:type="dxa"/>
              <w:bottom w:w="11" w:type="dxa"/>
              <w:right w:w="85" w:type="dxa"/>
            </w:tcMar>
          </w:tcPr>
          <w:p w14:paraId="7DFDD2B3" w14:textId="77777777" w:rsidR="00030FD0" w:rsidRDefault="00030FD0" w:rsidP="003A385F">
            <w:pPr>
              <w:rPr>
                <w:rFonts w:cs="Arial"/>
                <w:sz w:val="20"/>
                <w:szCs w:val="20"/>
              </w:rPr>
            </w:pPr>
            <w:r>
              <w:rPr>
                <w:rFonts w:cs="Arial"/>
                <w:sz w:val="20"/>
                <w:szCs w:val="20"/>
              </w:rPr>
              <w:t>9 on 2df</w:t>
            </w:r>
          </w:p>
        </w:tc>
        <w:tc>
          <w:tcPr>
            <w:tcW w:w="688" w:type="dxa"/>
            <w:gridSpan w:val="4"/>
            <w:tcMar>
              <w:top w:w="11" w:type="dxa"/>
              <w:left w:w="85" w:type="dxa"/>
              <w:bottom w:w="11" w:type="dxa"/>
              <w:right w:w="85" w:type="dxa"/>
            </w:tcMar>
          </w:tcPr>
          <w:p w14:paraId="0D8910F2" w14:textId="77777777" w:rsidR="00030FD0" w:rsidRDefault="00030FD0" w:rsidP="003A385F">
            <w:pPr>
              <w:rPr>
                <w:rFonts w:cs="Arial"/>
                <w:sz w:val="20"/>
                <w:szCs w:val="20"/>
              </w:rPr>
            </w:pPr>
            <w:r>
              <w:rPr>
                <w:rFonts w:cs="Arial"/>
                <w:sz w:val="20"/>
                <w:szCs w:val="20"/>
              </w:rPr>
              <w:t>0.871</w:t>
            </w:r>
          </w:p>
        </w:tc>
        <w:tc>
          <w:tcPr>
            <w:tcW w:w="753" w:type="dxa"/>
            <w:gridSpan w:val="2"/>
            <w:tcMar>
              <w:top w:w="11" w:type="dxa"/>
              <w:left w:w="85" w:type="dxa"/>
              <w:bottom w:w="11" w:type="dxa"/>
              <w:right w:w="85" w:type="dxa"/>
            </w:tcMar>
          </w:tcPr>
          <w:p w14:paraId="5E5BC763" w14:textId="77777777" w:rsidR="00030FD0" w:rsidRDefault="00030FD0" w:rsidP="003A385F">
            <w:pPr>
              <w:rPr>
                <w:rFonts w:cs="Arial"/>
                <w:sz w:val="20"/>
                <w:szCs w:val="20"/>
              </w:rPr>
            </w:pPr>
            <w:r>
              <w:rPr>
                <w:rFonts w:cs="Arial"/>
                <w:sz w:val="20"/>
                <w:szCs w:val="20"/>
              </w:rPr>
              <w:t>0.863</w:t>
            </w:r>
          </w:p>
        </w:tc>
        <w:tc>
          <w:tcPr>
            <w:tcW w:w="916" w:type="dxa"/>
            <w:gridSpan w:val="4"/>
            <w:tcMar>
              <w:top w:w="11" w:type="dxa"/>
              <w:left w:w="85" w:type="dxa"/>
              <w:bottom w:w="11" w:type="dxa"/>
              <w:right w:w="85" w:type="dxa"/>
            </w:tcMar>
          </w:tcPr>
          <w:p w14:paraId="01FD1901" w14:textId="77777777" w:rsidR="00030FD0" w:rsidRDefault="00030FD0" w:rsidP="003A385F">
            <w:pPr>
              <w:rPr>
                <w:rFonts w:cs="Arial"/>
                <w:sz w:val="20"/>
                <w:szCs w:val="20"/>
              </w:rPr>
            </w:pPr>
            <w:r>
              <w:rPr>
                <w:rFonts w:cs="Arial"/>
                <w:sz w:val="20"/>
                <w:szCs w:val="20"/>
              </w:rPr>
              <w:t>0.100</w:t>
            </w:r>
          </w:p>
        </w:tc>
        <w:tc>
          <w:tcPr>
            <w:tcW w:w="1023" w:type="dxa"/>
            <w:gridSpan w:val="2"/>
            <w:tcMar>
              <w:top w:w="11" w:type="dxa"/>
              <w:left w:w="85" w:type="dxa"/>
              <w:bottom w:w="11" w:type="dxa"/>
              <w:right w:w="85" w:type="dxa"/>
            </w:tcMar>
          </w:tcPr>
          <w:p w14:paraId="65B4EE63" w14:textId="77777777" w:rsidR="00030FD0" w:rsidRDefault="00030FD0" w:rsidP="003A385F">
            <w:pPr>
              <w:rPr>
                <w:rFonts w:cs="Arial"/>
                <w:sz w:val="20"/>
                <w:szCs w:val="20"/>
              </w:rPr>
            </w:pPr>
            <w:r>
              <w:rPr>
                <w:rFonts w:cs="Arial"/>
                <w:sz w:val="20"/>
                <w:szCs w:val="20"/>
              </w:rPr>
              <w:t>0.090</w:t>
            </w:r>
          </w:p>
        </w:tc>
      </w:tr>
      <w:tr w:rsidR="00030FD0" w14:paraId="38B5807A" w14:textId="77777777" w:rsidTr="003E4BA7">
        <w:trPr>
          <w:gridAfter w:val="1"/>
          <w:wAfter w:w="362" w:type="dxa"/>
          <w:trHeight w:val="56"/>
        </w:trPr>
        <w:tc>
          <w:tcPr>
            <w:tcW w:w="2058" w:type="dxa"/>
            <w:gridSpan w:val="3"/>
            <w:tcBorders>
              <w:bottom w:val="single" w:sz="4" w:space="0" w:color="auto"/>
            </w:tcBorders>
            <w:tcMar>
              <w:top w:w="11" w:type="dxa"/>
              <w:left w:w="85" w:type="dxa"/>
              <w:bottom w:w="11" w:type="dxa"/>
              <w:right w:w="85" w:type="dxa"/>
            </w:tcMar>
          </w:tcPr>
          <w:p w14:paraId="14FB6A58" w14:textId="77777777" w:rsidR="00030FD0" w:rsidRDefault="00030FD0" w:rsidP="003A385F">
            <w:pPr>
              <w:rPr>
                <w:rFonts w:cs="Arial"/>
                <w:sz w:val="20"/>
                <w:szCs w:val="20"/>
              </w:rPr>
            </w:pPr>
            <w:r>
              <w:rPr>
                <w:rFonts w:cs="Arial"/>
                <w:sz w:val="20"/>
                <w:szCs w:val="20"/>
              </w:rPr>
              <w:t>Factor correlations, means, variances and loadings allowed to vary by subgroup (all parameters free)</w:t>
            </w:r>
          </w:p>
        </w:tc>
        <w:tc>
          <w:tcPr>
            <w:tcW w:w="1179" w:type="dxa"/>
            <w:gridSpan w:val="6"/>
            <w:tcBorders>
              <w:bottom w:val="single" w:sz="4" w:space="0" w:color="auto"/>
            </w:tcBorders>
            <w:tcMar>
              <w:top w:w="11" w:type="dxa"/>
              <w:left w:w="85" w:type="dxa"/>
              <w:bottom w:w="11" w:type="dxa"/>
              <w:right w:w="85" w:type="dxa"/>
            </w:tcMar>
          </w:tcPr>
          <w:p w14:paraId="0C2B74E2" w14:textId="77777777" w:rsidR="00030FD0" w:rsidRDefault="00030FD0" w:rsidP="003A385F">
            <w:pPr>
              <w:rPr>
                <w:rFonts w:cs="Arial"/>
                <w:sz w:val="20"/>
                <w:szCs w:val="20"/>
              </w:rPr>
            </w:pPr>
            <w:r>
              <w:rPr>
                <w:rFonts w:cs="Arial"/>
                <w:sz w:val="20"/>
                <w:szCs w:val="20"/>
              </w:rPr>
              <w:t>221 on 95df</w:t>
            </w:r>
          </w:p>
        </w:tc>
        <w:tc>
          <w:tcPr>
            <w:tcW w:w="1179" w:type="dxa"/>
            <w:gridSpan w:val="3"/>
            <w:tcBorders>
              <w:bottom w:val="single" w:sz="4" w:space="0" w:color="auto"/>
            </w:tcBorders>
            <w:tcMar>
              <w:top w:w="11" w:type="dxa"/>
              <w:left w:w="85" w:type="dxa"/>
              <w:bottom w:w="11" w:type="dxa"/>
              <w:right w:w="85" w:type="dxa"/>
            </w:tcMar>
          </w:tcPr>
          <w:p w14:paraId="7A2FBD71" w14:textId="77777777" w:rsidR="00030FD0" w:rsidRDefault="00030FD0" w:rsidP="003A385F">
            <w:pPr>
              <w:rPr>
                <w:rFonts w:cs="Arial"/>
                <w:sz w:val="20"/>
                <w:szCs w:val="20"/>
              </w:rPr>
            </w:pPr>
            <w:r>
              <w:rPr>
                <w:rFonts w:cs="Arial"/>
                <w:sz w:val="20"/>
                <w:szCs w:val="20"/>
              </w:rPr>
              <w:t>39 on 9df *</w:t>
            </w:r>
          </w:p>
        </w:tc>
        <w:tc>
          <w:tcPr>
            <w:tcW w:w="688" w:type="dxa"/>
            <w:gridSpan w:val="4"/>
            <w:tcBorders>
              <w:bottom w:val="single" w:sz="4" w:space="0" w:color="auto"/>
            </w:tcBorders>
            <w:tcMar>
              <w:top w:w="11" w:type="dxa"/>
              <w:left w:w="85" w:type="dxa"/>
              <w:bottom w:w="11" w:type="dxa"/>
              <w:right w:w="85" w:type="dxa"/>
            </w:tcMar>
          </w:tcPr>
          <w:p w14:paraId="148392DC" w14:textId="77777777" w:rsidR="00030FD0" w:rsidRDefault="00030FD0" w:rsidP="003A385F">
            <w:pPr>
              <w:rPr>
                <w:rFonts w:cs="Arial"/>
                <w:sz w:val="20"/>
                <w:szCs w:val="20"/>
              </w:rPr>
            </w:pPr>
            <w:r>
              <w:rPr>
                <w:rFonts w:cs="Arial"/>
                <w:sz w:val="20"/>
                <w:szCs w:val="20"/>
              </w:rPr>
              <w:t>0.895</w:t>
            </w:r>
          </w:p>
        </w:tc>
        <w:tc>
          <w:tcPr>
            <w:tcW w:w="753" w:type="dxa"/>
            <w:gridSpan w:val="2"/>
            <w:tcBorders>
              <w:bottom w:val="single" w:sz="4" w:space="0" w:color="auto"/>
            </w:tcBorders>
            <w:tcMar>
              <w:top w:w="11" w:type="dxa"/>
              <w:left w:w="85" w:type="dxa"/>
              <w:bottom w:w="11" w:type="dxa"/>
              <w:right w:w="85" w:type="dxa"/>
            </w:tcMar>
          </w:tcPr>
          <w:p w14:paraId="16A5D0AD" w14:textId="77777777" w:rsidR="00030FD0" w:rsidRDefault="00030FD0" w:rsidP="003A385F">
            <w:pPr>
              <w:rPr>
                <w:rFonts w:cs="Arial"/>
                <w:sz w:val="20"/>
                <w:szCs w:val="20"/>
              </w:rPr>
            </w:pPr>
            <w:r>
              <w:rPr>
                <w:rFonts w:cs="Arial"/>
                <w:sz w:val="20"/>
                <w:szCs w:val="20"/>
              </w:rPr>
              <w:t>0.879</w:t>
            </w:r>
          </w:p>
        </w:tc>
        <w:tc>
          <w:tcPr>
            <w:tcW w:w="916" w:type="dxa"/>
            <w:gridSpan w:val="4"/>
            <w:tcBorders>
              <w:bottom w:val="single" w:sz="4" w:space="0" w:color="auto"/>
            </w:tcBorders>
            <w:tcMar>
              <w:top w:w="11" w:type="dxa"/>
              <w:left w:w="85" w:type="dxa"/>
              <w:bottom w:w="11" w:type="dxa"/>
              <w:right w:w="85" w:type="dxa"/>
            </w:tcMar>
          </w:tcPr>
          <w:p w14:paraId="72432CA6" w14:textId="77777777" w:rsidR="00030FD0" w:rsidRDefault="00030FD0" w:rsidP="003A385F">
            <w:pPr>
              <w:rPr>
                <w:rFonts w:cs="Arial"/>
                <w:sz w:val="20"/>
                <w:szCs w:val="20"/>
              </w:rPr>
            </w:pPr>
            <w:r>
              <w:rPr>
                <w:rFonts w:cs="Arial"/>
                <w:sz w:val="20"/>
                <w:szCs w:val="20"/>
              </w:rPr>
              <w:t>0.094</w:t>
            </w:r>
          </w:p>
        </w:tc>
        <w:tc>
          <w:tcPr>
            <w:tcW w:w="1023" w:type="dxa"/>
            <w:gridSpan w:val="2"/>
            <w:tcBorders>
              <w:bottom w:val="single" w:sz="4" w:space="0" w:color="auto"/>
            </w:tcBorders>
            <w:tcMar>
              <w:top w:w="11" w:type="dxa"/>
              <w:left w:w="85" w:type="dxa"/>
              <w:bottom w:w="11" w:type="dxa"/>
              <w:right w:w="85" w:type="dxa"/>
            </w:tcMar>
          </w:tcPr>
          <w:p w14:paraId="1614D82A" w14:textId="77777777" w:rsidR="00030FD0" w:rsidRDefault="00030FD0" w:rsidP="003A385F">
            <w:pPr>
              <w:rPr>
                <w:rFonts w:cs="Arial"/>
                <w:sz w:val="20"/>
                <w:szCs w:val="20"/>
              </w:rPr>
            </w:pPr>
            <w:r>
              <w:rPr>
                <w:rFonts w:cs="Arial"/>
                <w:sz w:val="20"/>
                <w:szCs w:val="20"/>
              </w:rPr>
              <w:t>0.065</w:t>
            </w:r>
          </w:p>
        </w:tc>
      </w:tr>
      <w:tr w:rsidR="00030FD0" w14:paraId="2639F4B0" w14:textId="77777777" w:rsidTr="003E4BA7">
        <w:trPr>
          <w:gridAfter w:val="1"/>
          <w:wAfter w:w="362" w:type="dxa"/>
          <w:trHeight w:val="56"/>
        </w:trPr>
        <w:tc>
          <w:tcPr>
            <w:tcW w:w="7796" w:type="dxa"/>
            <w:gridSpan w:val="24"/>
            <w:tcBorders>
              <w:top w:val="nil"/>
              <w:left w:val="nil"/>
              <w:bottom w:val="nil"/>
              <w:right w:val="nil"/>
            </w:tcBorders>
            <w:tcMar>
              <w:top w:w="11" w:type="dxa"/>
              <w:left w:w="85" w:type="dxa"/>
              <w:bottom w:w="11" w:type="dxa"/>
              <w:right w:w="85" w:type="dxa"/>
            </w:tcMar>
          </w:tcPr>
          <w:p w14:paraId="260E8B29" w14:textId="77777777" w:rsidR="0025014E" w:rsidRDefault="0025014E" w:rsidP="003A385F">
            <w:pPr>
              <w:spacing w:before="120" w:after="180"/>
              <w:rPr>
                <w:rFonts w:cs="Arial"/>
                <w:b/>
                <w:sz w:val="20"/>
                <w:szCs w:val="20"/>
              </w:rPr>
            </w:pPr>
          </w:p>
          <w:p w14:paraId="16FD5846" w14:textId="77777777" w:rsidR="00B25214" w:rsidRDefault="00B25214" w:rsidP="003A385F">
            <w:pPr>
              <w:spacing w:before="120" w:after="180"/>
              <w:rPr>
                <w:rFonts w:cs="Arial"/>
                <w:b/>
                <w:sz w:val="20"/>
                <w:szCs w:val="20"/>
              </w:rPr>
            </w:pPr>
          </w:p>
          <w:p w14:paraId="103027A3" w14:textId="77777777" w:rsidR="0025014E" w:rsidRDefault="0025014E" w:rsidP="003A385F">
            <w:pPr>
              <w:spacing w:before="120" w:after="180"/>
              <w:rPr>
                <w:rFonts w:cs="Arial"/>
                <w:b/>
                <w:sz w:val="20"/>
                <w:szCs w:val="20"/>
              </w:rPr>
            </w:pPr>
          </w:p>
          <w:p w14:paraId="226D4027" w14:textId="77777777" w:rsidR="0025014E" w:rsidRDefault="0025014E" w:rsidP="003A385F">
            <w:pPr>
              <w:spacing w:before="120" w:after="180"/>
              <w:rPr>
                <w:rFonts w:cs="Arial"/>
                <w:b/>
                <w:sz w:val="20"/>
                <w:szCs w:val="20"/>
              </w:rPr>
            </w:pPr>
          </w:p>
          <w:p w14:paraId="5442EAE3" w14:textId="77777777" w:rsidR="00030FD0" w:rsidRDefault="00030FD0" w:rsidP="003A385F">
            <w:pPr>
              <w:spacing w:before="120" w:after="180"/>
              <w:rPr>
                <w:rFonts w:cs="Arial"/>
                <w:b/>
                <w:sz w:val="20"/>
                <w:szCs w:val="20"/>
              </w:rPr>
            </w:pPr>
            <w:r>
              <w:rPr>
                <w:rFonts w:cs="Arial"/>
                <w:b/>
                <w:sz w:val="20"/>
                <w:szCs w:val="20"/>
              </w:rPr>
              <w:t>(ii) Confirmatory factor analyses run separately on subgroups</w:t>
            </w:r>
          </w:p>
        </w:tc>
      </w:tr>
      <w:tr w:rsidR="003E4BA7" w14:paraId="3E8F60F7" w14:textId="77777777" w:rsidTr="003E4BA7">
        <w:trPr>
          <w:gridAfter w:val="5"/>
          <w:wAfter w:w="1856" w:type="dxa"/>
          <w:trHeight w:val="161"/>
        </w:trPr>
        <w:tc>
          <w:tcPr>
            <w:tcW w:w="1121" w:type="dxa"/>
            <w:tcBorders>
              <w:top w:val="single" w:sz="4" w:space="0" w:color="auto"/>
            </w:tcBorders>
            <w:tcMar>
              <w:top w:w="11" w:type="dxa"/>
              <w:left w:w="85" w:type="dxa"/>
              <w:bottom w:w="11" w:type="dxa"/>
              <w:right w:w="85" w:type="dxa"/>
            </w:tcMar>
          </w:tcPr>
          <w:p w14:paraId="186CBED5" w14:textId="77777777" w:rsidR="003E4BA7" w:rsidRDefault="003E4BA7" w:rsidP="003A385F">
            <w:pPr>
              <w:spacing w:before="60" w:after="60"/>
              <w:rPr>
                <w:rFonts w:cs="Arial"/>
                <w:b/>
                <w:sz w:val="20"/>
                <w:szCs w:val="20"/>
              </w:rPr>
            </w:pPr>
            <w:r>
              <w:rPr>
                <w:rFonts w:cs="Arial"/>
                <w:b/>
                <w:sz w:val="20"/>
                <w:szCs w:val="20"/>
              </w:rPr>
              <w:lastRenderedPageBreak/>
              <w:t>Subgroup</w:t>
            </w:r>
          </w:p>
        </w:tc>
        <w:tc>
          <w:tcPr>
            <w:tcW w:w="1018" w:type="dxa"/>
            <w:gridSpan w:val="4"/>
            <w:tcBorders>
              <w:top w:val="single" w:sz="4" w:space="0" w:color="auto"/>
            </w:tcBorders>
            <w:tcMar>
              <w:top w:w="11" w:type="dxa"/>
              <w:left w:w="85" w:type="dxa"/>
              <w:bottom w:w="11" w:type="dxa"/>
              <w:right w:w="85" w:type="dxa"/>
            </w:tcMar>
          </w:tcPr>
          <w:p w14:paraId="1EE1C261" w14:textId="77777777" w:rsidR="003E4BA7" w:rsidRDefault="003E4BA7" w:rsidP="003A385F">
            <w:pPr>
              <w:spacing w:before="60" w:after="60"/>
              <w:rPr>
                <w:rFonts w:cs="Arial"/>
                <w:b/>
                <w:sz w:val="20"/>
                <w:szCs w:val="20"/>
              </w:rPr>
            </w:pPr>
            <w:r>
              <w:rPr>
                <w:rFonts w:cs="Arial"/>
                <w:b/>
                <w:sz w:val="20"/>
                <w:szCs w:val="20"/>
              </w:rPr>
              <w:sym w:font="Symbol" w:char="F063"/>
            </w:r>
            <w:r>
              <w:rPr>
                <w:rFonts w:cs="Arial"/>
                <w:b/>
                <w:sz w:val="20"/>
                <w:szCs w:val="20"/>
                <w:vertAlign w:val="superscript"/>
              </w:rPr>
              <w:t>2</w:t>
            </w:r>
          </w:p>
        </w:tc>
        <w:tc>
          <w:tcPr>
            <w:tcW w:w="1017" w:type="dxa"/>
            <w:gridSpan w:val="3"/>
            <w:tcBorders>
              <w:top w:val="single" w:sz="4" w:space="0" w:color="auto"/>
            </w:tcBorders>
            <w:tcMar>
              <w:top w:w="11" w:type="dxa"/>
              <w:left w:w="85" w:type="dxa"/>
              <w:bottom w:w="11" w:type="dxa"/>
              <w:right w:w="85" w:type="dxa"/>
            </w:tcMar>
          </w:tcPr>
          <w:p w14:paraId="55EAC446" w14:textId="77777777" w:rsidR="003E4BA7" w:rsidRDefault="003E4BA7" w:rsidP="003A385F">
            <w:pPr>
              <w:spacing w:before="60" w:after="60"/>
              <w:rPr>
                <w:rFonts w:cs="Arial"/>
                <w:b/>
                <w:sz w:val="20"/>
                <w:szCs w:val="20"/>
              </w:rPr>
            </w:pPr>
            <w:r>
              <w:rPr>
                <w:rFonts w:cs="Arial"/>
                <w:b/>
                <w:sz w:val="20"/>
                <w:szCs w:val="20"/>
              </w:rPr>
              <w:t>CFI</w:t>
            </w:r>
          </w:p>
        </w:tc>
        <w:tc>
          <w:tcPr>
            <w:tcW w:w="872" w:type="dxa"/>
            <w:gridSpan w:val="3"/>
            <w:tcBorders>
              <w:top w:val="single" w:sz="4" w:space="0" w:color="auto"/>
            </w:tcBorders>
            <w:tcMar>
              <w:top w:w="11" w:type="dxa"/>
              <w:left w:w="85" w:type="dxa"/>
              <w:bottom w:w="11" w:type="dxa"/>
              <w:right w:w="85" w:type="dxa"/>
            </w:tcMar>
          </w:tcPr>
          <w:p w14:paraId="2A78A4BF" w14:textId="77777777" w:rsidR="003E4BA7" w:rsidRDefault="003E4BA7" w:rsidP="003A385F">
            <w:pPr>
              <w:spacing w:before="60" w:after="60"/>
              <w:rPr>
                <w:rFonts w:cs="Arial"/>
                <w:b/>
                <w:sz w:val="20"/>
                <w:szCs w:val="20"/>
              </w:rPr>
            </w:pPr>
            <w:r>
              <w:rPr>
                <w:rFonts w:cs="Arial"/>
                <w:b/>
                <w:sz w:val="20"/>
                <w:szCs w:val="20"/>
              </w:rPr>
              <w:t>TLI</w:t>
            </w:r>
          </w:p>
        </w:tc>
        <w:tc>
          <w:tcPr>
            <w:tcW w:w="1018" w:type="dxa"/>
            <w:gridSpan w:val="4"/>
            <w:tcBorders>
              <w:top w:val="single" w:sz="4" w:space="0" w:color="auto"/>
              <w:right w:val="nil"/>
            </w:tcBorders>
            <w:tcMar>
              <w:top w:w="11" w:type="dxa"/>
              <w:left w:w="85" w:type="dxa"/>
              <w:bottom w:w="11" w:type="dxa"/>
              <w:right w:w="85" w:type="dxa"/>
            </w:tcMar>
          </w:tcPr>
          <w:p w14:paraId="7154FBC4" w14:textId="77777777" w:rsidR="003E4BA7" w:rsidRDefault="003E4BA7" w:rsidP="003A385F">
            <w:pPr>
              <w:spacing w:before="60" w:after="60"/>
              <w:rPr>
                <w:rFonts w:cs="Arial"/>
                <w:b/>
                <w:sz w:val="20"/>
                <w:szCs w:val="20"/>
              </w:rPr>
            </w:pPr>
            <w:r>
              <w:rPr>
                <w:rFonts w:cs="Arial"/>
                <w:b/>
                <w:sz w:val="20"/>
                <w:szCs w:val="20"/>
              </w:rPr>
              <w:t>RMSEA</w:t>
            </w:r>
          </w:p>
        </w:tc>
        <w:tc>
          <w:tcPr>
            <w:tcW w:w="1256" w:type="dxa"/>
            <w:gridSpan w:val="5"/>
            <w:tcBorders>
              <w:top w:val="single" w:sz="4" w:space="0" w:color="auto"/>
              <w:left w:val="nil"/>
              <w:bottom w:val="nil"/>
              <w:right w:val="single" w:sz="4" w:space="0" w:color="auto"/>
            </w:tcBorders>
          </w:tcPr>
          <w:p w14:paraId="644B79E0" w14:textId="77777777" w:rsidR="003E4BA7" w:rsidRDefault="003E4BA7" w:rsidP="00DB011F">
            <w:pPr>
              <w:spacing w:before="60" w:after="60"/>
              <w:rPr>
                <w:rFonts w:cs="Arial"/>
                <w:b/>
                <w:sz w:val="20"/>
                <w:szCs w:val="20"/>
              </w:rPr>
            </w:pPr>
            <w:r>
              <w:rPr>
                <w:rFonts w:cs="Arial"/>
                <w:b/>
                <w:sz w:val="20"/>
                <w:szCs w:val="20"/>
              </w:rPr>
              <w:t>SRMR</w:t>
            </w:r>
          </w:p>
        </w:tc>
      </w:tr>
      <w:tr w:rsidR="003E4BA7" w14:paraId="1A1F2C4C" w14:textId="77777777" w:rsidTr="003E4BA7">
        <w:trPr>
          <w:gridAfter w:val="5"/>
          <w:wAfter w:w="1856" w:type="dxa"/>
          <w:trHeight w:val="288"/>
        </w:trPr>
        <w:tc>
          <w:tcPr>
            <w:tcW w:w="1121" w:type="dxa"/>
            <w:tcMar>
              <w:top w:w="11" w:type="dxa"/>
              <w:left w:w="85" w:type="dxa"/>
              <w:bottom w:w="11" w:type="dxa"/>
              <w:right w:w="85" w:type="dxa"/>
            </w:tcMar>
          </w:tcPr>
          <w:p w14:paraId="1D87AE5D" w14:textId="77777777" w:rsidR="003E4BA7" w:rsidRDefault="003E4BA7" w:rsidP="003A385F">
            <w:pPr>
              <w:rPr>
                <w:rFonts w:cs="Arial"/>
                <w:sz w:val="20"/>
                <w:szCs w:val="20"/>
              </w:rPr>
            </w:pPr>
            <w:r>
              <w:rPr>
                <w:rFonts w:cs="Arial"/>
                <w:sz w:val="20"/>
                <w:szCs w:val="20"/>
              </w:rPr>
              <w:t>Primary care</w:t>
            </w:r>
          </w:p>
        </w:tc>
        <w:tc>
          <w:tcPr>
            <w:tcW w:w="1018" w:type="dxa"/>
            <w:gridSpan w:val="4"/>
            <w:tcMar>
              <w:top w:w="11" w:type="dxa"/>
              <w:left w:w="85" w:type="dxa"/>
              <w:bottom w:w="11" w:type="dxa"/>
              <w:right w:w="85" w:type="dxa"/>
            </w:tcMar>
          </w:tcPr>
          <w:p w14:paraId="7938D5F6" w14:textId="77777777" w:rsidR="003E4BA7" w:rsidRDefault="003E4BA7" w:rsidP="003A385F">
            <w:pPr>
              <w:rPr>
                <w:rFonts w:cs="Arial"/>
                <w:sz w:val="20"/>
                <w:szCs w:val="20"/>
              </w:rPr>
            </w:pPr>
            <w:r>
              <w:rPr>
                <w:rFonts w:cs="Arial"/>
                <w:sz w:val="20"/>
                <w:szCs w:val="20"/>
              </w:rPr>
              <w:t>122 on 43df</w:t>
            </w:r>
          </w:p>
        </w:tc>
        <w:tc>
          <w:tcPr>
            <w:tcW w:w="1017" w:type="dxa"/>
            <w:gridSpan w:val="3"/>
            <w:tcMar>
              <w:top w:w="11" w:type="dxa"/>
              <w:left w:w="85" w:type="dxa"/>
              <w:bottom w:w="11" w:type="dxa"/>
              <w:right w:w="85" w:type="dxa"/>
            </w:tcMar>
          </w:tcPr>
          <w:p w14:paraId="147536B4" w14:textId="77777777" w:rsidR="003E4BA7" w:rsidRDefault="003E4BA7" w:rsidP="003A385F">
            <w:pPr>
              <w:rPr>
                <w:rFonts w:cs="Arial"/>
                <w:sz w:val="20"/>
                <w:szCs w:val="20"/>
              </w:rPr>
            </w:pPr>
            <w:r>
              <w:rPr>
                <w:rFonts w:cs="Arial"/>
                <w:sz w:val="20"/>
                <w:szCs w:val="20"/>
              </w:rPr>
              <w:t>0.858</w:t>
            </w:r>
          </w:p>
        </w:tc>
        <w:tc>
          <w:tcPr>
            <w:tcW w:w="872" w:type="dxa"/>
            <w:gridSpan w:val="3"/>
            <w:tcMar>
              <w:top w:w="11" w:type="dxa"/>
              <w:left w:w="85" w:type="dxa"/>
              <w:bottom w:w="11" w:type="dxa"/>
              <w:right w:w="85" w:type="dxa"/>
            </w:tcMar>
          </w:tcPr>
          <w:p w14:paraId="6FC06670" w14:textId="77777777" w:rsidR="003E4BA7" w:rsidRDefault="003E4BA7" w:rsidP="003A385F">
            <w:pPr>
              <w:rPr>
                <w:rFonts w:cs="Arial"/>
                <w:sz w:val="20"/>
                <w:szCs w:val="20"/>
              </w:rPr>
            </w:pPr>
            <w:r>
              <w:rPr>
                <w:rFonts w:cs="Arial"/>
                <w:sz w:val="20"/>
                <w:szCs w:val="20"/>
              </w:rPr>
              <w:t>0.818</w:t>
            </w:r>
          </w:p>
        </w:tc>
        <w:tc>
          <w:tcPr>
            <w:tcW w:w="1018" w:type="dxa"/>
            <w:gridSpan w:val="4"/>
            <w:tcMar>
              <w:top w:w="11" w:type="dxa"/>
              <w:left w:w="85" w:type="dxa"/>
              <w:bottom w:w="11" w:type="dxa"/>
              <w:right w:w="85" w:type="dxa"/>
            </w:tcMar>
          </w:tcPr>
          <w:p w14:paraId="4326C8BA" w14:textId="77777777" w:rsidR="003E4BA7" w:rsidRDefault="003E4BA7" w:rsidP="003A385F">
            <w:pPr>
              <w:rPr>
                <w:rFonts w:cs="Arial"/>
                <w:sz w:val="20"/>
                <w:szCs w:val="20"/>
              </w:rPr>
            </w:pPr>
            <w:r>
              <w:rPr>
                <w:rFonts w:cs="Arial"/>
                <w:sz w:val="20"/>
                <w:szCs w:val="20"/>
              </w:rPr>
              <w:t>0.116</w:t>
            </w:r>
          </w:p>
        </w:tc>
        <w:tc>
          <w:tcPr>
            <w:tcW w:w="1256" w:type="dxa"/>
            <w:gridSpan w:val="5"/>
          </w:tcPr>
          <w:p w14:paraId="41EF7318" w14:textId="77777777" w:rsidR="003E4BA7" w:rsidRDefault="003E4BA7" w:rsidP="00DB011F">
            <w:pPr>
              <w:rPr>
                <w:rFonts w:cs="Arial"/>
                <w:sz w:val="20"/>
                <w:szCs w:val="20"/>
              </w:rPr>
            </w:pPr>
            <w:r>
              <w:rPr>
                <w:rFonts w:cs="Arial"/>
                <w:sz w:val="20"/>
                <w:szCs w:val="20"/>
              </w:rPr>
              <w:t>0.075</w:t>
            </w:r>
          </w:p>
        </w:tc>
      </w:tr>
      <w:tr w:rsidR="003E4BA7" w14:paraId="69EC77BF" w14:textId="77777777" w:rsidTr="003E4BA7">
        <w:trPr>
          <w:gridAfter w:val="5"/>
          <w:wAfter w:w="1856" w:type="dxa"/>
          <w:trHeight w:val="288"/>
        </w:trPr>
        <w:tc>
          <w:tcPr>
            <w:tcW w:w="1121" w:type="dxa"/>
            <w:tcBorders>
              <w:bottom w:val="single" w:sz="4" w:space="0" w:color="auto"/>
            </w:tcBorders>
            <w:tcMar>
              <w:top w:w="11" w:type="dxa"/>
              <w:left w:w="85" w:type="dxa"/>
              <w:bottom w:w="11" w:type="dxa"/>
              <w:right w:w="85" w:type="dxa"/>
            </w:tcMar>
          </w:tcPr>
          <w:p w14:paraId="38F32B83" w14:textId="77777777" w:rsidR="003E4BA7" w:rsidRDefault="003E4BA7" w:rsidP="003A385F">
            <w:pPr>
              <w:rPr>
                <w:rFonts w:cs="Arial"/>
                <w:sz w:val="20"/>
                <w:szCs w:val="20"/>
              </w:rPr>
            </w:pPr>
            <w:r>
              <w:rPr>
                <w:rFonts w:cs="Arial"/>
                <w:sz w:val="20"/>
                <w:szCs w:val="20"/>
              </w:rPr>
              <w:t>Hospital</w:t>
            </w:r>
          </w:p>
        </w:tc>
        <w:tc>
          <w:tcPr>
            <w:tcW w:w="1018" w:type="dxa"/>
            <w:gridSpan w:val="4"/>
            <w:tcBorders>
              <w:bottom w:val="single" w:sz="4" w:space="0" w:color="auto"/>
            </w:tcBorders>
            <w:tcMar>
              <w:top w:w="11" w:type="dxa"/>
              <w:left w:w="85" w:type="dxa"/>
              <w:bottom w:w="11" w:type="dxa"/>
              <w:right w:w="85" w:type="dxa"/>
            </w:tcMar>
          </w:tcPr>
          <w:p w14:paraId="63D91A80" w14:textId="77777777" w:rsidR="003E4BA7" w:rsidRDefault="003E4BA7" w:rsidP="003A385F">
            <w:pPr>
              <w:rPr>
                <w:rFonts w:cs="Arial"/>
                <w:sz w:val="20"/>
                <w:szCs w:val="20"/>
              </w:rPr>
            </w:pPr>
            <w:r>
              <w:rPr>
                <w:rFonts w:cs="Arial"/>
                <w:sz w:val="20"/>
                <w:szCs w:val="20"/>
              </w:rPr>
              <w:t>83 on 43df</w:t>
            </w:r>
          </w:p>
        </w:tc>
        <w:tc>
          <w:tcPr>
            <w:tcW w:w="1017" w:type="dxa"/>
            <w:gridSpan w:val="3"/>
            <w:tcBorders>
              <w:bottom w:val="single" w:sz="4" w:space="0" w:color="auto"/>
            </w:tcBorders>
            <w:tcMar>
              <w:top w:w="11" w:type="dxa"/>
              <w:left w:w="85" w:type="dxa"/>
              <w:bottom w:w="11" w:type="dxa"/>
              <w:right w:w="85" w:type="dxa"/>
            </w:tcMar>
          </w:tcPr>
          <w:p w14:paraId="1ADA9F82" w14:textId="77777777" w:rsidR="003E4BA7" w:rsidRDefault="003E4BA7" w:rsidP="003A385F">
            <w:pPr>
              <w:rPr>
                <w:rFonts w:cs="Arial"/>
                <w:sz w:val="20"/>
                <w:szCs w:val="20"/>
              </w:rPr>
            </w:pPr>
            <w:r>
              <w:rPr>
                <w:rFonts w:cs="Arial"/>
                <w:sz w:val="20"/>
                <w:szCs w:val="20"/>
              </w:rPr>
              <w:t>0.938</w:t>
            </w:r>
          </w:p>
        </w:tc>
        <w:tc>
          <w:tcPr>
            <w:tcW w:w="872" w:type="dxa"/>
            <w:gridSpan w:val="3"/>
            <w:tcBorders>
              <w:bottom w:val="single" w:sz="4" w:space="0" w:color="auto"/>
            </w:tcBorders>
            <w:tcMar>
              <w:top w:w="11" w:type="dxa"/>
              <w:left w:w="85" w:type="dxa"/>
              <w:bottom w:w="11" w:type="dxa"/>
              <w:right w:w="85" w:type="dxa"/>
            </w:tcMar>
          </w:tcPr>
          <w:p w14:paraId="5025ED22" w14:textId="77777777" w:rsidR="003E4BA7" w:rsidRDefault="003E4BA7" w:rsidP="003A385F">
            <w:pPr>
              <w:rPr>
                <w:rFonts w:cs="Arial"/>
                <w:sz w:val="20"/>
                <w:szCs w:val="20"/>
              </w:rPr>
            </w:pPr>
            <w:r>
              <w:rPr>
                <w:rFonts w:cs="Arial"/>
                <w:sz w:val="20"/>
                <w:szCs w:val="20"/>
              </w:rPr>
              <w:t>0.921</w:t>
            </w:r>
          </w:p>
        </w:tc>
        <w:tc>
          <w:tcPr>
            <w:tcW w:w="1018" w:type="dxa"/>
            <w:gridSpan w:val="4"/>
            <w:tcBorders>
              <w:bottom w:val="single" w:sz="4" w:space="0" w:color="auto"/>
            </w:tcBorders>
            <w:tcMar>
              <w:top w:w="11" w:type="dxa"/>
              <w:left w:w="85" w:type="dxa"/>
              <w:bottom w:w="11" w:type="dxa"/>
              <w:right w:w="85" w:type="dxa"/>
            </w:tcMar>
          </w:tcPr>
          <w:p w14:paraId="5A06FFF3" w14:textId="77777777" w:rsidR="003E4BA7" w:rsidRDefault="003E4BA7" w:rsidP="003A385F">
            <w:pPr>
              <w:rPr>
                <w:rFonts w:cs="Arial"/>
                <w:sz w:val="20"/>
                <w:szCs w:val="20"/>
              </w:rPr>
            </w:pPr>
            <w:r>
              <w:rPr>
                <w:rFonts w:cs="Arial"/>
                <w:sz w:val="20"/>
                <w:szCs w:val="20"/>
              </w:rPr>
              <w:t>0.075</w:t>
            </w:r>
          </w:p>
        </w:tc>
        <w:tc>
          <w:tcPr>
            <w:tcW w:w="1256" w:type="dxa"/>
            <w:gridSpan w:val="5"/>
            <w:tcBorders>
              <w:bottom w:val="single" w:sz="4" w:space="0" w:color="auto"/>
            </w:tcBorders>
          </w:tcPr>
          <w:p w14:paraId="5995FBDF" w14:textId="77777777" w:rsidR="003E4BA7" w:rsidRDefault="003E4BA7" w:rsidP="00DB011F">
            <w:pPr>
              <w:rPr>
                <w:rFonts w:cs="Arial"/>
                <w:sz w:val="20"/>
                <w:szCs w:val="20"/>
              </w:rPr>
            </w:pPr>
            <w:r>
              <w:rPr>
                <w:rFonts w:cs="Arial"/>
                <w:sz w:val="20"/>
                <w:szCs w:val="20"/>
              </w:rPr>
              <w:t>0.051</w:t>
            </w:r>
          </w:p>
        </w:tc>
      </w:tr>
      <w:tr w:rsidR="00030FD0" w14:paraId="027C1968" w14:textId="77777777" w:rsidTr="003E4BA7">
        <w:trPr>
          <w:trHeight w:val="10846"/>
        </w:trPr>
        <w:tc>
          <w:tcPr>
            <w:tcW w:w="8158" w:type="dxa"/>
            <w:gridSpan w:val="25"/>
            <w:tcBorders>
              <w:top w:val="nil"/>
              <w:left w:val="nil"/>
              <w:bottom w:val="nil"/>
              <w:right w:val="nil"/>
            </w:tcBorders>
            <w:tcMar>
              <w:top w:w="11" w:type="dxa"/>
              <w:left w:w="85" w:type="dxa"/>
              <w:bottom w:w="11" w:type="dxa"/>
              <w:right w:w="85" w:type="dxa"/>
            </w:tcMar>
          </w:tcPr>
          <w:p w14:paraId="2FBABD25" w14:textId="77777777" w:rsidR="00B30320" w:rsidRDefault="00B30320" w:rsidP="003A385F">
            <w:pPr>
              <w:spacing w:before="180" w:after="180"/>
              <w:rPr>
                <w:rFonts w:cs="Arial"/>
                <w:b/>
                <w:sz w:val="22"/>
                <w:szCs w:val="22"/>
              </w:rPr>
            </w:pPr>
          </w:p>
          <w:p w14:paraId="29F6F75B" w14:textId="77777777" w:rsidR="00030FD0" w:rsidRPr="003079D8" w:rsidRDefault="00030FD0" w:rsidP="003A385F">
            <w:pPr>
              <w:spacing w:before="180" w:after="180"/>
              <w:rPr>
                <w:rFonts w:cs="Arial"/>
                <w:b/>
                <w:sz w:val="22"/>
                <w:szCs w:val="22"/>
              </w:rPr>
            </w:pPr>
          </w:p>
        </w:tc>
      </w:tr>
      <w:tr w:rsidR="00B25214" w14:paraId="5F48E4F6" w14:textId="77777777" w:rsidTr="003E4BA7">
        <w:trPr>
          <w:trHeight w:val="1001"/>
        </w:trPr>
        <w:tc>
          <w:tcPr>
            <w:tcW w:w="8158" w:type="dxa"/>
            <w:gridSpan w:val="25"/>
            <w:tcBorders>
              <w:top w:val="nil"/>
              <w:left w:val="nil"/>
              <w:right w:val="nil"/>
            </w:tcBorders>
            <w:tcMar>
              <w:top w:w="11" w:type="dxa"/>
              <w:left w:w="85" w:type="dxa"/>
              <w:bottom w:w="11" w:type="dxa"/>
              <w:right w:w="85" w:type="dxa"/>
            </w:tcMar>
          </w:tcPr>
          <w:p w14:paraId="6DE758DC" w14:textId="77777777" w:rsidR="00B25214" w:rsidRDefault="00B25214" w:rsidP="003A385F">
            <w:pPr>
              <w:spacing w:before="180" w:after="180"/>
              <w:rPr>
                <w:rFonts w:cs="Arial"/>
                <w:b/>
                <w:sz w:val="22"/>
                <w:szCs w:val="22"/>
              </w:rPr>
            </w:pPr>
            <w:r w:rsidRPr="003079D8">
              <w:rPr>
                <w:rFonts w:cs="Arial"/>
                <w:b/>
                <w:sz w:val="22"/>
                <w:szCs w:val="22"/>
              </w:rPr>
              <w:lastRenderedPageBreak/>
              <w:t>(b) Safety Climate domain</w:t>
            </w:r>
          </w:p>
        </w:tc>
      </w:tr>
      <w:tr w:rsidR="00030FD0" w14:paraId="1BBA6C76" w14:textId="77777777" w:rsidTr="003E4BA7">
        <w:trPr>
          <w:trHeight w:val="224"/>
        </w:trPr>
        <w:tc>
          <w:tcPr>
            <w:tcW w:w="8158" w:type="dxa"/>
            <w:gridSpan w:val="25"/>
            <w:tcMar>
              <w:top w:w="11" w:type="dxa"/>
              <w:left w:w="85" w:type="dxa"/>
              <w:bottom w:w="11" w:type="dxa"/>
              <w:right w:w="85" w:type="dxa"/>
            </w:tcMar>
          </w:tcPr>
          <w:p w14:paraId="0A8497A6" w14:textId="77777777" w:rsidR="00030FD0" w:rsidRDefault="00030FD0" w:rsidP="003A385F">
            <w:pPr>
              <w:spacing w:before="120" w:after="180"/>
              <w:rPr>
                <w:rFonts w:cs="Arial"/>
                <w:b/>
                <w:sz w:val="20"/>
                <w:szCs w:val="20"/>
              </w:rPr>
            </w:pPr>
            <w:r>
              <w:rPr>
                <w:rFonts w:cs="Arial"/>
                <w:b/>
                <w:sz w:val="20"/>
                <w:szCs w:val="20"/>
              </w:rPr>
              <w:t>(i) Test of factorial invariance</w:t>
            </w:r>
          </w:p>
        </w:tc>
      </w:tr>
      <w:tr w:rsidR="00030FD0" w14:paraId="7AAC33D7" w14:textId="77777777" w:rsidTr="003E4BA7">
        <w:trPr>
          <w:trHeight w:val="668"/>
        </w:trPr>
        <w:tc>
          <w:tcPr>
            <w:tcW w:w="2081" w:type="dxa"/>
            <w:gridSpan w:val="4"/>
            <w:tcMar>
              <w:top w:w="11" w:type="dxa"/>
              <w:left w:w="85" w:type="dxa"/>
              <w:bottom w:w="11" w:type="dxa"/>
              <w:right w:w="85" w:type="dxa"/>
            </w:tcMar>
          </w:tcPr>
          <w:p w14:paraId="59DFA456" w14:textId="77777777" w:rsidR="00030FD0" w:rsidRDefault="00030FD0" w:rsidP="003A385F">
            <w:pPr>
              <w:spacing w:before="60" w:after="60"/>
              <w:rPr>
                <w:rFonts w:cs="Arial"/>
                <w:b/>
                <w:sz w:val="20"/>
                <w:szCs w:val="20"/>
              </w:rPr>
            </w:pPr>
            <w:r>
              <w:rPr>
                <w:rFonts w:cs="Arial"/>
                <w:b/>
                <w:sz w:val="20"/>
                <w:szCs w:val="20"/>
              </w:rPr>
              <w:t>Parameters allowed to vary between hospital and primary care</w:t>
            </w:r>
          </w:p>
        </w:tc>
        <w:tc>
          <w:tcPr>
            <w:tcW w:w="1040" w:type="dxa"/>
            <w:gridSpan w:val="3"/>
            <w:tcMar>
              <w:top w:w="11" w:type="dxa"/>
              <w:left w:w="85" w:type="dxa"/>
              <w:bottom w:w="11" w:type="dxa"/>
              <w:right w:w="85" w:type="dxa"/>
            </w:tcMar>
          </w:tcPr>
          <w:p w14:paraId="73B05D4B" w14:textId="77777777" w:rsidR="00030FD0" w:rsidRDefault="00030FD0" w:rsidP="003A385F">
            <w:pPr>
              <w:spacing w:before="60" w:after="60"/>
              <w:rPr>
                <w:rFonts w:cs="Arial"/>
                <w:b/>
                <w:sz w:val="20"/>
                <w:szCs w:val="20"/>
              </w:rPr>
            </w:pPr>
            <w:r>
              <w:rPr>
                <w:rFonts w:cs="Arial"/>
                <w:b/>
                <w:sz w:val="20"/>
                <w:szCs w:val="20"/>
              </w:rPr>
              <w:sym w:font="Symbol" w:char="F063"/>
            </w:r>
            <w:r>
              <w:rPr>
                <w:rFonts w:cs="Arial"/>
                <w:b/>
                <w:sz w:val="20"/>
                <w:szCs w:val="20"/>
                <w:vertAlign w:val="superscript"/>
              </w:rPr>
              <w:t>2</w:t>
            </w:r>
          </w:p>
        </w:tc>
        <w:tc>
          <w:tcPr>
            <w:tcW w:w="1336" w:type="dxa"/>
            <w:gridSpan w:val="6"/>
            <w:tcMar>
              <w:top w:w="11" w:type="dxa"/>
              <w:left w:w="85" w:type="dxa"/>
              <w:bottom w:w="11" w:type="dxa"/>
              <w:right w:w="85" w:type="dxa"/>
            </w:tcMar>
          </w:tcPr>
          <w:p w14:paraId="4FF7EF38" w14:textId="77777777" w:rsidR="00030FD0" w:rsidRDefault="00030FD0" w:rsidP="003A385F">
            <w:pPr>
              <w:spacing w:before="60" w:after="60"/>
              <w:rPr>
                <w:rFonts w:cs="Arial"/>
                <w:b/>
                <w:sz w:val="20"/>
                <w:szCs w:val="20"/>
              </w:rPr>
            </w:pPr>
            <w:r>
              <w:rPr>
                <w:rFonts w:cs="Arial"/>
                <w:b/>
                <w:sz w:val="20"/>
                <w:szCs w:val="20"/>
              </w:rPr>
              <w:t xml:space="preserve">Difference in </w:t>
            </w:r>
            <w:r>
              <w:rPr>
                <w:rFonts w:cs="Arial"/>
                <w:b/>
                <w:sz w:val="20"/>
                <w:szCs w:val="20"/>
              </w:rPr>
              <w:sym w:font="Symbol" w:char="F063"/>
            </w:r>
            <w:r>
              <w:rPr>
                <w:rFonts w:cs="Arial"/>
                <w:b/>
                <w:sz w:val="20"/>
                <w:szCs w:val="20"/>
                <w:vertAlign w:val="superscript"/>
              </w:rPr>
              <w:t>2</w:t>
            </w:r>
          </w:p>
        </w:tc>
        <w:tc>
          <w:tcPr>
            <w:tcW w:w="743" w:type="dxa"/>
            <w:gridSpan w:val="4"/>
            <w:tcMar>
              <w:top w:w="11" w:type="dxa"/>
              <w:left w:w="85" w:type="dxa"/>
              <w:bottom w:w="11" w:type="dxa"/>
              <w:right w:w="85" w:type="dxa"/>
            </w:tcMar>
          </w:tcPr>
          <w:p w14:paraId="75A1239D" w14:textId="77777777" w:rsidR="00030FD0" w:rsidRDefault="00030FD0" w:rsidP="003A385F">
            <w:pPr>
              <w:spacing w:before="60" w:after="60"/>
              <w:rPr>
                <w:rFonts w:cs="Arial"/>
                <w:b/>
                <w:sz w:val="20"/>
                <w:szCs w:val="20"/>
              </w:rPr>
            </w:pPr>
            <w:r>
              <w:rPr>
                <w:rFonts w:cs="Arial"/>
                <w:b/>
                <w:sz w:val="20"/>
                <w:szCs w:val="20"/>
              </w:rPr>
              <w:t>CFI</w:t>
            </w:r>
          </w:p>
        </w:tc>
        <w:tc>
          <w:tcPr>
            <w:tcW w:w="892" w:type="dxa"/>
            <w:gridSpan w:val="2"/>
            <w:tcMar>
              <w:top w:w="11" w:type="dxa"/>
              <w:left w:w="85" w:type="dxa"/>
              <w:bottom w:w="11" w:type="dxa"/>
              <w:right w:w="85" w:type="dxa"/>
            </w:tcMar>
          </w:tcPr>
          <w:p w14:paraId="41E029EF" w14:textId="77777777" w:rsidR="00030FD0" w:rsidRDefault="00030FD0" w:rsidP="003A385F">
            <w:pPr>
              <w:spacing w:before="60" w:after="60"/>
              <w:rPr>
                <w:rFonts w:cs="Arial"/>
                <w:b/>
                <w:sz w:val="20"/>
                <w:szCs w:val="20"/>
              </w:rPr>
            </w:pPr>
            <w:r>
              <w:rPr>
                <w:rFonts w:cs="Arial"/>
                <w:b/>
                <w:sz w:val="20"/>
                <w:szCs w:val="20"/>
              </w:rPr>
              <w:t>TLI</w:t>
            </w:r>
          </w:p>
        </w:tc>
        <w:tc>
          <w:tcPr>
            <w:tcW w:w="1188" w:type="dxa"/>
            <w:gridSpan w:val="4"/>
            <w:tcMar>
              <w:top w:w="11" w:type="dxa"/>
              <w:left w:w="85" w:type="dxa"/>
              <w:bottom w:w="11" w:type="dxa"/>
              <w:right w:w="85" w:type="dxa"/>
            </w:tcMar>
          </w:tcPr>
          <w:p w14:paraId="4FB57EE1" w14:textId="77777777" w:rsidR="00030FD0" w:rsidRDefault="00030FD0" w:rsidP="003A385F">
            <w:pPr>
              <w:spacing w:before="60" w:after="60"/>
              <w:rPr>
                <w:rFonts w:cs="Arial"/>
                <w:b/>
                <w:sz w:val="20"/>
                <w:szCs w:val="20"/>
              </w:rPr>
            </w:pPr>
            <w:r>
              <w:rPr>
                <w:rFonts w:cs="Arial"/>
                <w:b/>
                <w:sz w:val="20"/>
                <w:szCs w:val="20"/>
              </w:rPr>
              <w:t>RMSEA</w:t>
            </w:r>
          </w:p>
        </w:tc>
        <w:tc>
          <w:tcPr>
            <w:tcW w:w="878" w:type="dxa"/>
            <w:gridSpan w:val="2"/>
          </w:tcPr>
          <w:p w14:paraId="00D15B67" w14:textId="77777777" w:rsidR="00030FD0" w:rsidRDefault="00030FD0" w:rsidP="00DB011F">
            <w:pPr>
              <w:spacing w:before="60" w:after="60"/>
              <w:rPr>
                <w:rFonts w:cs="Arial"/>
                <w:b/>
                <w:sz w:val="20"/>
                <w:szCs w:val="20"/>
              </w:rPr>
            </w:pPr>
            <w:r>
              <w:rPr>
                <w:rFonts w:cs="Arial"/>
                <w:b/>
                <w:sz w:val="20"/>
                <w:szCs w:val="20"/>
              </w:rPr>
              <w:t>SRMR</w:t>
            </w:r>
          </w:p>
        </w:tc>
      </w:tr>
      <w:tr w:rsidR="00030FD0" w14:paraId="79439C40" w14:textId="77777777" w:rsidTr="003E4BA7">
        <w:trPr>
          <w:trHeight w:val="385"/>
        </w:trPr>
        <w:tc>
          <w:tcPr>
            <w:tcW w:w="2081" w:type="dxa"/>
            <w:gridSpan w:val="4"/>
            <w:tcMar>
              <w:top w:w="11" w:type="dxa"/>
              <w:left w:w="85" w:type="dxa"/>
              <w:bottom w:w="11" w:type="dxa"/>
              <w:right w:w="85" w:type="dxa"/>
            </w:tcMar>
          </w:tcPr>
          <w:p w14:paraId="3B4DAC81" w14:textId="77777777" w:rsidR="00030FD0" w:rsidRDefault="00030FD0" w:rsidP="003A385F">
            <w:pPr>
              <w:rPr>
                <w:rFonts w:cs="Arial"/>
                <w:sz w:val="20"/>
                <w:szCs w:val="20"/>
              </w:rPr>
            </w:pPr>
            <w:r>
              <w:rPr>
                <w:rFonts w:cs="Arial"/>
                <w:sz w:val="20"/>
                <w:szCs w:val="20"/>
              </w:rPr>
              <w:t>All parameters constrained</w:t>
            </w:r>
          </w:p>
        </w:tc>
        <w:tc>
          <w:tcPr>
            <w:tcW w:w="1040" w:type="dxa"/>
            <w:gridSpan w:val="3"/>
            <w:tcMar>
              <w:top w:w="11" w:type="dxa"/>
              <w:left w:w="85" w:type="dxa"/>
              <w:bottom w:w="11" w:type="dxa"/>
              <w:right w:w="85" w:type="dxa"/>
            </w:tcMar>
          </w:tcPr>
          <w:p w14:paraId="2DDF975F" w14:textId="77777777" w:rsidR="00030FD0" w:rsidRDefault="00030FD0" w:rsidP="003A385F">
            <w:pPr>
              <w:rPr>
                <w:rFonts w:cs="Arial"/>
                <w:sz w:val="20"/>
                <w:szCs w:val="20"/>
              </w:rPr>
            </w:pPr>
            <w:r>
              <w:rPr>
                <w:rFonts w:cs="Arial"/>
                <w:sz w:val="20"/>
                <w:szCs w:val="20"/>
              </w:rPr>
              <w:t>253 on 107df</w:t>
            </w:r>
          </w:p>
        </w:tc>
        <w:tc>
          <w:tcPr>
            <w:tcW w:w="1336" w:type="dxa"/>
            <w:gridSpan w:val="6"/>
            <w:tcMar>
              <w:top w:w="11" w:type="dxa"/>
              <w:left w:w="85" w:type="dxa"/>
              <w:bottom w:w="11" w:type="dxa"/>
              <w:right w:w="85" w:type="dxa"/>
            </w:tcMar>
          </w:tcPr>
          <w:p w14:paraId="75BEEE6D" w14:textId="77777777" w:rsidR="00030FD0" w:rsidRDefault="00030FD0" w:rsidP="003A385F">
            <w:pPr>
              <w:rPr>
                <w:rFonts w:cs="Arial"/>
                <w:sz w:val="20"/>
                <w:szCs w:val="20"/>
              </w:rPr>
            </w:pPr>
            <w:r>
              <w:rPr>
                <w:rFonts w:cs="Arial"/>
                <w:sz w:val="20"/>
                <w:szCs w:val="20"/>
              </w:rPr>
              <w:t>-</w:t>
            </w:r>
          </w:p>
        </w:tc>
        <w:tc>
          <w:tcPr>
            <w:tcW w:w="743" w:type="dxa"/>
            <w:gridSpan w:val="4"/>
            <w:tcMar>
              <w:top w:w="11" w:type="dxa"/>
              <w:left w:w="85" w:type="dxa"/>
              <w:bottom w:w="11" w:type="dxa"/>
              <w:right w:w="85" w:type="dxa"/>
            </w:tcMar>
          </w:tcPr>
          <w:p w14:paraId="38CDC069" w14:textId="77777777" w:rsidR="00030FD0" w:rsidRDefault="00030FD0" w:rsidP="003A385F">
            <w:pPr>
              <w:rPr>
                <w:rFonts w:cs="Arial"/>
                <w:sz w:val="20"/>
                <w:szCs w:val="20"/>
              </w:rPr>
            </w:pPr>
            <w:r>
              <w:rPr>
                <w:rFonts w:cs="Arial"/>
                <w:sz w:val="20"/>
                <w:szCs w:val="20"/>
              </w:rPr>
              <w:t>0.879</w:t>
            </w:r>
          </w:p>
        </w:tc>
        <w:tc>
          <w:tcPr>
            <w:tcW w:w="892" w:type="dxa"/>
            <w:gridSpan w:val="2"/>
            <w:tcMar>
              <w:top w:w="11" w:type="dxa"/>
              <w:left w:w="85" w:type="dxa"/>
              <w:bottom w:w="11" w:type="dxa"/>
              <w:right w:w="85" w:type="dxa"/>
            </w:tcMar>
          </w:tcPr>
          <w:p w14:paraId="485B5CE0" w14:textId="77777777" w:rsidR="00030FD0" w:rsidRDefault="00030FD0" w:rsidP="003A385F">
            <w:pPr>
              <w:rPr>
                <w:rFonts w:cs="Arial"/>
                <w:sz w:val="20"/>
                <w:szCs w:val="20"/>
              </w:rPr>
            </w:pPr>
            <w:r>
              <w:rPr>
                <w:rFonts w:cs="Arial"/>
                <w:sz w:val="20"/>
                <w:szCs w:val="20"/>
              </w:rPr>
              <w:t>0.875</w:t>
            </w:r>
          </w:p>
        </w:tc>
        <w:tc>
          <w:tcPr>
            <w:tcW w:w="1188" w:type="dxa"/>
            <w:gridSpan w:val="4"/>
            <w:tcMar>
              <w:top w:w="11" w:type="dxa"/>
              <w:left w:w="85" w:type="dxa"/>
              <w:bottom w:w="11" w:type="dxa"/>
              <w:right w:w="85" w:type="dxa"/>
            </w:tcMar>
          </w:tcPr>
          <w:p w14:paraId="7406EA51" w14:textId="77777777" w:rsidR="00030FD0" w:rsidRDefault="00030FD0" w:rsidP="003A385F">
            <w:pPr>
              <w:rPr>
                <w:rFonts w:cs="Arial"/>
                <w:sz w:val="20"/>
                <w:szCs w:val="20"/>
              </w:rPr>
            </w:pPr>
            <w:r>
              <w:rPr>
                <w:rFonts w:cs="Arial"/>
                <w:sz w:val="20"/>
                <w:szCs w:val="20"/>
              </w:rPr>
              <w:t>0.087</w:t>
            </w:r>
          </w:p>
        </w:tc>
        <w:tc>
          <w:tcPr>
            <w:tcW w:w="878" w:type="dxa"/>
            <w:gridSpan w:val="2"/>
          </w:tcPr>
          <w:p w14:paraId="485829AD" w14:textId="77777777" w:rsidR="00030FD0" w:rsidRDefault="00030FD0" w:rsidP="00DB011F">
            <w:pPr>
              <w:rPr>
                <w:rFonts w:cs="Arial"/>
                <w:sz w:val="20"/>
                <w:szCs w:val="20"/>
              </w:rPr>
            </w:pPr>
            <w:r>
              <w:rPr>
                <w:rFonts w:cs="Arial"/>
                <w:sz w:val="20"/>
                <w:szCs w:val="20"/>
              </w:rPr>
              <w:t>0.126</w:t>
            </w:r>
          </w:p>
        </w:tc>
      </w:tr>
      <w:tr w:rsidR="00030FD0" w14:paraId="2FE833A2" w14:textId="77777777" w:rsidTr="003E4BA7">
        <w:trPr>
          <w:trHeight w:val="599"/>
        </w:trPr>
        <w:tc>
          <w:tcPr>
            <w:tcW w:w="2081" w:type="dxa"/>
            <w:gridSpan w:val="4"/>
            <w:tcMar>
              <w:top w:w="11" w:type="dxa"/>
              <w:left w:w="85" w:type="dxa"/>
              <w:bottom w:w="11" w:type="dxa"/>
              <w:right w:w="85" w:type="dxa"/>
            </w:tcMar>
          </w:tcPr>
          <w:p w14:paraId="31CE2B40" w14:textId="77777777" w:rsidR="00030FD0" w:rsidRDefault="00030FD0" w:rsidP="003A385F">
            <w:pPr>
              <w:rPr>
                <w:rFonts w:cs="Arial"/>
                <w:sz w:val="20"/>
                <w:szCs w:val="20"/>
              </w:rPr>
            </w:pPr>
            <w:r>
              <w:rPr>
                <w:rFonts w:cs="Arial"/>
                <w:sz w:val="20"/>
                <w:szCs w:val="20"/>
              </w:rPr>
              <w:t>Factor correlations allowed to vary by subgroup</w:t>
            </w:r>
          </w:p>
        </w:tc>
        <w:tc>
          <w:tcPr>
            <w:tcW w:w="1040" w:type="dxa"/>
            <w:gridSpan w:val="3"/>
            <w:tcMar>
              <w:top w:w="11" w:type="dxa"/>
              <w:left w:w="85" w:type="dxa"/>
              <w:bottom w:w="11" w:type="dxa"/>
              <w:right w:w="85" w:type="dxa"/>
            </w:tcMar>
          </w:tcPr>
          <w:p w14:paraId="4D5E1496" w14:textId="77777777" w:rsidR="00030FD0" w:rsidRDefault="00030FD0" w:rsidP="003A385F">
            <w:pPr>
              <w:rPr>
                <w:rFonts w:cs="Arial"/>
                <w:sz w:val="20"/>
                <w:szCs w:val="20"/>
              </w:rPr>
            </w:pPr>
            <w:r>
              <w:rPr>
                <w:rFonts w:cs="Arial"/>
                <w:sz w:val="20"/>
                <w:szCs w:val="20"/>
              </w:rPr>
              <w:t>243 on 104df</w:t>
            </w:r>
          </w:p>
        </w:tc>
        <w:tc>
          <w:tcPr>
            <w:tcW w:w="1336" w:type="dxa"/>
            <w:gridSpan w:val="6"/>
            <w:tcMar>
              <w:top w:w="11" w:type="dxa"/>
              <w:left w:w="85" w:type="dxa"/>
              <w:bottom w:w="11" w:type="dxa"/>
              <w:right w:w="85" w:type="dxa"/>
            </w:tcMar>
          </w:tcPr>
          <w:p w14:paraId="2D488C45" w14:textId="77777777" w:rsidR="00030FD0" w:rsidRDefault="00030FD0" w:rsidP="003A385F">
            <w:pPr>
              <w:rPr>
                <w:rFonts w:cs="Arial"/>
                <w:sz w:val="20"/>
                <w:szCs w:val="20"/>
              </w:rPr>
            </w:pPr>
            <w:r>
              <w:rPr>
                <w:rFonts w:cs="Arial"/>
                <w:sz w:val="20"/>
                <w:szCs w:val="20"/>
              </w:rPr>
              <w:t>10 on 3df *</w:t>
            </w:r>
          </w:p>
        </w:tc>
        <w:tc>
          <w:tcPr>
            <w:tcW w:w="743" w:type="dxa"/>
            <w:gridSpan w:val="4"/>
            <w:tcMar>
              <w:top w:w="11" w:type="dxa"/>
              <w:left w:w="85" w:type="dxa"/>
              <w:bottom w:w="11" w:type="dxa"/>
              <w:right w:w="85" w:type="dxa"/>
            </w:tcMar>
          </w:tcPr>
          <w:p w14:paraId="5339FB5F" w14:textId="77777777" w:rsidR="00030FD0" w:rsidRDefault="00030FD0" w:rsidP="003A385F">
            <w:pPr>
              <w:rPr>
                <w:rFonts w:cs="Arial"/>
                <w:sz w:val="20"/>
                <w:szCs w:val="20"/>
              </w:rPr>
            </w:pPr>
            <w:r>
              <w:rPr>
                <w:rFonts w:cs="Arial"/>
                <w:sz w:val="20"/>
                <w:szCs w:val="20"/>
              </w:rPr>
              <w:t>0.884</w:t>
            </w:r>
          </w:p>
        </w:tc>
        <w:tc>
          <w:tcPr>
            <w:tcW w:w="892" w:type="dxa"/>
            <w:gridSpan w:val="2"/>
            <w:tcMar>
              <w:top w:w="11" w:type="dxa"/>
              <w:left w:w="85" w:type="dxa"/>
              <w:bottom w:w="11" w:type="dxa"/>
              <w:right w:w="85" w:type="dxa"/>
            </w:tcMar>
          </w:tcPr>
          <w:p w14:paraId="726D5036" w14:textId="77777777" w:rsidR="00030FD0" w:rsidRDefault="00030FD0" w:rsidP="003A385F">
            <w:pPr>
              <w:rPr>
                <w:rFonts w:cs="Arial"/>
                <w:sz w:val="20"/>
                <w:szCs w:val="20"/>
              </w:rPr>
            </w:pPr>
            <w:r>
              <w:rPr>
                <w:rFonts w:cs="Arial"/>
                <w:sz w:val="20"/>
                <w:szCs w:val="20"/>
              </w:rPr>
              <w:t>0.878</w:t>
            </w:r>
          </w:p>
        </w:tc>
        <w:tc>
          <w:tcPr>
            <w:tcW w:w="1188" w:type="dxa"/>
            <w:gridSpan w:val="4"/>
            <w:tcMar>
              <w:top w:w="11" w:type="dxa"/>
              <w:left w:w="85" w:type="dxa"/>
              <w:bottom w:w="11" w:type="dxa"/>
              <w:right w:w="85" w:type="dxa"/>
            </w:tcMar>
          </w:tcPr>
          <w:p w14:paraId="66AB2C9D" w14:textId="77777777" w:rsidR="00030FD0" w:rsidRDefault="00030FD0" w:rsidP="003A385F">
            <w:pPr>
              <w:rPr>
                <w:rFonts w:cs="Arial"/>
                <w:sz w:val="20"/>
                <w:szCs w:val="20"/>
              </w:rPr>
            </w:pPr>
            <w:r>
              <w:rPr>
                <w:rFonts w:cs="Arial"/>
                <w:sz w:val="20"/>
                <w:szCs w:val="20"/>
              </w:rPr>
              <w:t>0.086</w:t>
            </w:r>
          </w:p>
        </w:tc>
        <w:tc>
          <w:tcPr>
            <w:tcW w:w="878" w:type="dxa"/>
            <w:gridSpan w:val="2"/>
          </w:tcPr>
          <w:p w14:paraId="4FDB6CC2" w14:textId="77777777" w:rsidR="00030FD0" w:rsidRDefault="00030FD0" w:rsidP="00DB011F">
            <w:pPr>
              <w:rPr>
                <w:rFonts w:cs="Arial"/>
                <w:sz w:val="20"/>
                <w:szCs w:val="20"/>
              </w:rPr>
            </w:pPr>
            <w:r>
              <w:rPr>
                <w:rFonts w:cs="Arial"/>
                <w:sz w:val="20"/>
                <w:szCs w:val="20"/>
              </w:rPr>
              <w:t>0.140</w:t>
            </w:r>
          </w:p>
        </w:tc>
      </w:tr>
      <w:tr w:rsidR="00030FD0" w14:paraId="230502D7" w14:textId="77777777" w:rsidTr="003E4BA7">
        <w:trPr>
          <w:trHeight w:val="697"/>
        </w:trPr>
        <w:tc>
          <w:tcPr>
            <w:tcW w:w="2081" w:type="dxa"/>
            <w:gridSpan w:val="4"/>
            <w:tcMar>
              <w:top w:w="11" w:type="dxa"/>
              <w:left w:w="85" w:type="dxa"/>
              <w:bottom w:w="11" w:type="dxa"/>
              <w:right w:w="85" w:type="dxa"/>
            </w:tcMar>
          </w:tcPr>
          <w:p w14:paraId="7A118991" w14:textId="77777777" w:rsidR="00030FD0" w:rsidRDefault="00030FD0" w:rsidP="003A385F">
            <w:pPr>
              <w:rPr>
                <w:rFonts w:cs="Arial"/>
                <w:sz w:val="20"/>
                <w:szCs w:val="20"/>
              </w:rPr>
            </w:pPr>
            <w:r>
              <w:rPr>
                <w:rFonts w:cs="Arial"/>
                <w:sz w:val="20"/>
                <w:szCs w:val="20"/>
              </w:rPr>
              <w:t>Factor correlations and means allowed to vary by subgroup</w:t>
            </w:r>
          </w:p>
        </w:tc>
        <w:tc>
          <w:tcPr>
            <w:tcW w:w="1040" w:type="dxa"/>
            <w:gridSpan w:val="3"/>
            <w:tcMar>
              <w:top w:w="11" w:type="dxa"/>
              <w:left w:w="85" w:type="dxa"/>
              <w:bottom w:w="11" w:type="dxa"/>
              <w:right w:w="85" w:type="dxa"/>
            </w:tcMar>
          </w:tcPr>
          <w:p w14:paraId="0DD776F7" w14:textId="77777777" w:rsidR="00030FD0" w:rsidRDefault="00030FD0" w:rsidP="003A385F">
            <w:pPr>
              <w:rPr>
                <w:rFonts w:cs="Arial"/>
                <w:sz w:val="20"/>
                <w:szCs w:val="20"/>
              </w:rPr>
            </w:pPr>
            <w:r>
              <w:rPr>
                <w:rFonts w:cs="Arial"/>
                <w:sz w:val="20"/>
                <w:szCs w:val="20"/>
              </w:rPr>
              <w:t>200 on 101df</w:t>
            </w:r>
          </w:p>
        </w:tc>
        <w:tc>
          <w:tcPr>
            <w:tcW w:w="1336" w:type="dxa"/>
            <w:gridSpan w:val="6"/>
            <w:tcMar>
              <w:top w:w="11" w:type="dxa"/>
              <w:left w:w="85" w:type="dxa"/>
              <w:bottom w:w="11" w:type="dxa"/>
              <w:right w:w="85" w:type="dxa"/>
            </w:tcMar>
          </w:tcPr>
          <w:p w14:paraId="1DFB9BCD" w14:textId="77777777" w:rsidR="00030FD0" w:rsidRDefault="00030FD0" w:rsidP="003A385F">
            <w:pPr>
              <w:rPr>
                <w:rFonts w:cs="Arial"/>
                <w:sz w:val="20"/>
                <w:szCs w:val="20"/>
              </w:rPr>
            </w:pPr>
            <w:r>
              <w:rPr>
                <w:rFonts w:cs="Arial"/>
                <w:sz w:val="20"/>
                <w:szCs w:val="20"/>
              </w:rPr>
              <w:t>43 on 3df *</w:t>
            </w:r>
          </w:p>
        </w:tc>
        <w:tc>
          <w:tcPr>
            <w:tcW w:w="743" w:type="dxa"/>
            <w:gridSpan w:val="4"/>
            <w:tcMar>
              <w:top w:w="11" w:type="dxa"/>
              <w:left w:w="85" w:type="dxa"/>
              <w:bottom w:w="11" w:type="dxa"/>
              <w:right w:w="85" w:type="dxa"/>
            </w:tcMar>
          </w:tcPr>
          <w:p w14:paraId="5894D88B" w14:textId="77777777" w:rsidR="00030FD0" w:rsidRDefault="00030FD0" w:rsidP="003A385F">
            <w:pPr>
              <w:rPr>
                <w:rFonts w:cs="Arial"/>
                <w:sz w:val="20"/>
                <w:szCs w:val="20"/>
              </w:rPr>
            </w:pPr>
            <w:r>
              <w:rPr>
                <w:rFonts w:cs="Arial"/>
                <w:sz w:val="20"/>
                <w:szCs w:val="20"/>
              </w:rPr>
              <w:t>0.917</w:t>
            </w:r>
          </w:p>
        </w:tc>
        <w:tc>
          <w:tcPr>
            <w:tcW w:w="892" w:type="dxa"/>
            <w:gridSpan w:val="2"/>
            <w:tcMar>
              <w:top w:w="11" w:type="dxa"/>
              <w:left w:w="85" w:type="dxa"/>
              <w:bottom w:w="11" w:type="dxa"/>
              <w:right w:w="85" w:type="dxa"/>
            </w:tcMar>
          </w:tcPr>
          <w:p w14:paraId="61443ADD" w14:textId="77777777" w:rsidR="00030FD0" w:rsidRDefault="00030FD0" w:rsidP="003A385F">
            <w:pPr>
              <w:rPr>
                <w:rFonts w:cs="Arial"/>
                <w:sz w:val="20"/>
                <w:szCs w:val="20"/>
              </w:rPr>
            </w:pPr>
            <w:r>
              <w:rPr>
                <w:rFonts w:cs="Arial"/>
                <w:sz w:val="20"/>
                <w:szCs w:val="20"/>
              </w:rPr>
              <w:t>0.910</w:t>
            </w:r>
          </w:p>
        </w:tc>
        <w:tc>
          <w:tcPr>
            <w:tcW w:w="1188" w:type="dxa"/>
            <w:gridSpan w:val="4"/>
            <w:tcMar>
              <w:top w:w="11" w:type="dxa"/>
              <w:left w:w="85" w:type="dxa"/>
              <w:bottom w:w="11" w:type="dxa"/>
              <w:right w:w="85" w:type="dxa"/>
            </w:tcMar>
          </w:tcPr>
          <w:p w14:paraId="11931F7B" w14:textId="77777777" w:rsidR="00030FD0" w:rsidRDefault="00030FD0" w:rsidP="003A385F">
            <w:pPr>
              <w:rPr>
                <w:rFonts w:cs="Arial"/>
                <w:sz w:val="20"/>
                <w:szCs w:val="20"/>
              </w:rPr>
            </w:pPr>
            <w:r>
              <w:rPr>
                <w:rFonts w:cs="Arial"/>
                <w:sz w:val="20"/>
                <w:szCs w:val="20"/>
              </w:rPr>
              <w:t>0.074</w:t>
            </w:r>
          </w:p>
        </w:tc>
        <w:tc>
          <w:tcPr>
            <w:tcW w:w="878" w:type="dxa"/>
            <w:gridSpan w:val="2"/>
          </w:tcPr>
          <w:p w14:paraId="542B7A70" w14:textId="77777777" w:rsidR="00030FD0" w:rsidRDefault="00030FD0" w:rsidP="00DB011F">
            <w:pPr>
              <w:rPr>
                <w:rFonts w:cs="Arial"/>
                <w:sz w:val="20"/>
                <w:szCs w:val="20"/>
              </w:rPr>
            </w:pPr>
            <w:r>
              <w:rPr>
                <w:rFonts w:cs="Arial"/>
                <w:sz w:val="20"/>
                <w:szCs w:val="20"/>
              </w:rPr>
              <w:t>0.103</w:t>
            </w:r>
          </w:p>
        </w:tc>
      </w:tr>
      <w:tr w:rsidR="00030FD0" w14:paraId="2BB8E8B7" w14:textId="77777777" w:rsidTr="003E4BA7">
        <w:trPr>
          <w:trHeight w:val="800"/>
        </w:trPr>
        <w:tc>
          <w:tcPr>
            <w:tcW w:w="2081" w:type="dxa"/>
            <w:gridSpan w:val="4"/>
            <w:tcMar>
              <w:top w:w="11" w:type="dxa"/>
              <w:left w:w="85" w:type="dxa"/>
              <w:bottom w:w="11" w:type="dxa"/>
              <w:right w:w="85" w:type="dxa"/>
            </w:tcMar>
          </w:tcPr>
          <w:p w14:paraId="124AB804" w14:textId="77777777" w:rsidR="00030FD0" w:rsidRDefault="00030FD0" w:rsidP="003A385F">
            <w:pPr>
              <w:rPr>
                <w:rFonts w:cs="Arial"/>
                <w:sz w:val="20"/>
                <w:szCs w:val="20"/>
              </w:rPr>
            </w:pPr>
            <w:r>
              <w:rPr>
                <w:rFonts w:cs="Arial"/>
                <w:sz w:val="20"/>
                <w:szCs w:val="20"/>
              </w:rPr>
              <w:t>Factor correlations, means and variances allowed to vary by subgroup</w:t>
            </w:r>
          </w:p>
        </w:tc>
        <w:tc>
          <w:tcPr>
            <w:tcW w:w="1040" w:type="dxa"/>
            <w:gridSpan w:val="3"/>
            <w:tcMar>
              <w:top w:w="11" w:type="dxa"/>
              <w:left w:w="85" w:type="dxa"/>
              <w:bottom w:w="11" w:type="dxa"/>
              <w:right w:w="85" w:type="dxa"/>
            </w:tcMar>
          </w:tcPr>
          <w:p w14:paraId="578236FC" w14:textId="77777777" w:rsidR="00030FD0" w:rsidRDefault="00030FD0" w:rsidP="003A385F">
            <w:pPr>
              <w:rPr>
                <w:rFonts w:cs="Arial"/>
                <w:sz w:val="20"/>
                <w:szCs w:val="20"/>
              </w:rPr>
            </w:pPr>
            <w:r>
              <w:rPr>
                <w:rFonts w:cs="Arial"/>
                <w:sz w:val="20"/>
                <w:szCs w:val="20"/>
              </w:rPr>
              <w:t>185 on 98df</w:t>
            </w:r>
          </w:p>
        </w:tc>
        <w:tc>
          <w:tcPr>
            <w:tcW w:w="1336" w:type="dxa"/>
            <w:gridSpan w:val="6"/>
            <w:tcMar>
              <w:top w:w="11" w:type="dxa"/>
              <w:left w:w="85" w:type="dxa"/>
              <w:bottom w:w="11" w:type="dxa"/>
              <w:right w:w="85" w:type="dxa"/>
            </w:tcMar>
          </w:tcPr>
          <w:p w14:paraId="398450F7" w14:textId="77777777" w:rsidR="00030FD0" w:rsidRDefault="00030FD0" w:rsidP="003A385F">
            <w:pPr>
              <w:rPr>
                <w:rFonts w:cs="Arial"/>
                <w:sz w:val="20"/>
                <w:szCs w:val="20"/>
              </w:rPr>
            </w:pPr>
            <w:r>
              <w:rPr>
                <w:rFonts w:cs="Arial"/>
                <w:sz w:val="20"/>
                <w:szCs w:val="20"/>
              </w:rPr>
              <w:t>15 on 3df *</w:t>
            </w:r>
          </w:p>
        </w:tc>
        <w:tc>
          <w:tcPr>
            <w:tcW w:w="743" w:type="dxa"/>
            <w:gridSpan w:val="4"/>
            <w:tcMar>
              <w:top w:w="11" w:type="dxa"/>
              <w:left w:w="85" w:type="dxa"/>
              <w:bottom w:w="11" w:type="dxa"/>
              <w:right w:w="85" w:type="dxa"/>
            </w:tcMar>
          </w:tcPr>
          <w:p w14:paraId="2422F165" w14:textId="77777777" w:rsidR="00030FD0" w:rsidRDefault="00030FD0" w:rsidP="003A385F">
            <w:pPr>
              <w:rPr>
                <w:rFonts w:cs="Arial"/>
                <w:sz w:val="20"/>
                <w:szCs w:val="20"/>
              </w:rPr>
            </w:pPr>
            <w:r>
              <w:rPr>
                <w:rFonts w:cs="Arial"/>
                <w:sz w:val="20"/>
                <w:szCs w:val="20"/>
              </w:rPr>
              <w:t>0.928</w:t>
            </w:r>
          </w:p>
        </w:tc>
        <w:tc>
          <w:tcPr>
            <w:tcW w:w="892" w:type="dxa"/>
            <w:gridSpan w:val="2"/>
            <w:tcMar>
              <w:top w:w="11" w:type="dxa"/>
              <w:left w:w="85" w:type="dxa"/>
              <w:bottom w:w="11" w:type="dxa"/>
              <w:right w:w="85" w:type="dxa"/>
            </w:tcMar>
          </w:tcPr>
          <w:p w14:paraId="6B93651D" w14:textId="77777777" w:rsidR="00030FD0" w:rsidRDefault="00030FD0" w:rsidP="003A385F">
            <w:pPr>
              <w:rPr>
                <w:rFonts w:cs="Arial"/>
                <w:sz w:val="20"/>
                <w:szCs w:val="20"/>
              </w:rPr>
            </w:pPr>
            <w:r>
              <w:rPr>
                <w:rFonts w:cs="Arial"/>
                <w:sz w:val="20"/>
                <w:szCs w:val="20"/>
              </w:rPr>
              <w:t>0.919</w:t>
            </w:r>
          </w:p>
        </w:tc>
        <w:tc>
          <w:tcPr>
            <w:tcW w:w="1188" w:type="dxa"/>
            <w:gridSpan w:val="4"/>
            <w:tcMar>
              <w:top w:w="11" w:type="dxa"/>
              <w:left w:w="85" w:type="dxa"/>
              <w:bottom w:w="11" w:type="dxa"/>
              <w:right w:w="85" w:type="dxa"/>
            </w:tcMar>
          </w:tcPr>
          <w:p w14:paraId="109AF6EF" w14:textId="77777777" w:rsidR="00030FD0" w:rsidRDefault="00030FD0" w:rsidP="003A385F">
            <w:pPr>
              <w:rPr>
                <w:rFonts w:cs="Arial"/>
                <w:sz w:val="20"/>
                <w:szCs w:val="20"/>
              </w:rPr>
            </w:pPr>
            <w:r>
              <w:rPr>
                <w:rFonts w:cs="Arial"/>
                <w:sz w:val="20"/>
                <w:szCs w:val="20"/>
              </w:rPr>
              <w:t>0.070</w:t>
            </w:r>
          </w:p>
        </w:tc>
        <w:tc>
          <w:tcPr>
            <w:tcW w:w="878" w:type="dxa"/>
            <w:gridSpan w:val="2"/>
          </w:tcPr>
          <w:p w14:paraId="23FFE9CB" w14:textId="77777777" w:rsidR="00030FD0" w:rsidRDefault="00030FD0" w:rsidP="00DB011F">
            <w:pPr>
              <w:rPr>
                <w:rFonts w:cs="Arial"/>
                <w:sz w:val="20"/>
                <w:szCs w:val="20"/>
              </w:rPr>
            </w:pPr>
            <w:r>
              <w:rPr>
                <w:rFonts w:cs="Arial"/>
                <w:sz w:val="20"/>
                <w:szCs w:val="20"/>
              </w:rPr>
              <w:t>0.065</w:t>
            </w:r>
          </w:p>
        </w:tc>
      </w:tr>
      <w:tr w:rsidR="00030FD0" w14:paraId="4A586BD0" w14:textId="77777777" w:rsidTr="003E4BA7">
        <w:trPr>
          <w:trHeight w:val="311"/>
        </w:trPr>
        <w:tc>
          <w:tcPr>
            <w:tcW w:w="2081" w:type="dxa"/>
            <w:gridSpan w:val="4"/>
            <w:tcMar>
              <w:top w:w="11" w:type="dxa"/>
              <w:left w:w="85" w:type="dxa"/>
              <w:bottom w:w="11" w:type="dxa"/>
              <w:right w:w="85" w:type="dxa"/>
            </w:tcMar>
          </w:tcPr>
          <w:p w14:paraId="6FC47165" w14:textId="77777777" w:rsidR="00030FD0" w:rsidRDefault="00030FD0" w:rsidP="003A385F">
            <w:pPr>
              <w:rPr>
                <w:rFonts w:cs="Arial"/>
                <w:sz w:val="20"/>
                <w:szCs w:val="20"/>
              </w:rPr>
            </w:pPr>
            <w:r>
              <w:rPr>
                <w:rFonts w:cs="Arial"/>
                <w:sz w:val="20"/>
                <w:szCs w:val="20"/>
              </w:rPr>
              <w:t>Factor correlations, means, variances and loadings allowed to vary by subgroup (all parameters free)</w:t>
            </w:r>
          </w:p>
        </w:tc>
        <w:tc>
          <w:tcPr>
            <w:tcW w:w="1040" w:type="dxa"/>
            <w:gridSpan w:val="3"/>
            <w:tcMar>
              <w:top w:w="11" w:type="dxa"/>
              <w:left w:w="85" w:type="dxa"/>
              <w:bottom w:w="11" w:type="dxa"/>
              <w:right w:w="85" w:type="dxa"/>
            </w:tcMar>
          </w:tcPr>
          <w:p w14:paraId="5E3F2361" w14:textId="77777777" w:rsidR="00030FD0" w:rsidRDefault="00030FD0" w:rsidP="003A385F">
            <w:pPr>
              <w:rPr>
                <w:rFonts w:cs="Arial"/>
                <w:sz w:val="20"/>
                <w:szCs w:val="20"/>
              </w:rPr>
            </w:pPr>
            <w:r>
              <w:rPr>
                <w:rFonts w:cs="Arial"/>
                <w:sz w:val="20"/>
                <w:szCs w:val="20"/>
              </w:rPr>
              <w:t>170 on 90df</w:t>
            </w:r>
          </w:p>
        </w:tc>
        <w:tc>
          <w:tcPr>
            <w:tcW w:w="1336" w:type="dxa"/>
            <w:gridSpan w:val="6"/>
            <w:tcMar>
              <w:top w:w="11" w:type="dxa"/>
              <w:left w:w="85" w:type="dxa"/>
              <w:bottom w:w="11" w:type="dxa"/>
              <w:right w:w="85" w:type="dxa"/>
            </w:tcMar>
          </w:tcPr>
          <w:p w14:paraId="373D2B76" w14:textId="77777777" w:rsidR="00030FD0" w:rsidRDefault="00030FD0" w:rsidP="003A385F">
            <w:pPr>
              <w:rPr>
                <w:rFonts w:cs="Arial"/>
                <w:sz w:val="20"/>
                <w:szCs w:val="20"/>
              </w:rPr>
            </w:pPr>
            <w:r>
              <w:rPr>
                <w:rFonts w:cs="Arial"/>
                <w:sz w:val="20"/>
                <w:szCs w:val="20"/>
              </w:rPr>
              <w:t>15 on 10df</w:t>
            </w:r>
          </w:p>
        </w:tc>
        <w:tc>
          <w:tcPr>
            <w:tcW w:w="743" w:type="dxa"/>
            <w:gridSpan w:val="4"/>
            <w:tcMar>
              <w:top w:w="11" w:type="dxa"/>
              <w:left w:w="85" w:type="dxa"/>
              <w:bottom w:w="11" w:type="dxa"/>
              <w:right w:w="85" w:type="dxa"/>
            </w:tcMar>
          </w:tcPr>
          <w:p w14:paraId="40B924EF" w14:textId="77777777" w:rsidR="00030FD0" w:rsidRDefault="00030FD0" w:rsidP="003A385F">
            <w:pPr>
              <w:rPr>
                <w:rFonts w:cs="Arial"/>
                <w:sz w:val="20"/>
                <w:szCs w:val="20"/>
              </w:rPr>
            </w:pPr>
            <w:r>
              <w:rPr>
                <w:rFonts w:cs="Arial"/>
                <w:sz w:val="20"/>
                <w:szCs w:val="20"/>
              </w:rPr>
              <w:t>0.934</w:t>
            </w:r>
          </w:p>
        </w:tc>
        <w:tc>
          <w:tcPr>
            <w:tcW w:w="892" w:type="dxa"/>
            <w:gridSpan w:val="2"/>
            <w:tcMar>
              <w:top w:w="11" w:type="dxa"/>
              <w:left w:w="85" w:type="dxa"/>
              <w:bottom w:w="11" w:type="dxa"/>
              <w:right w:w="85" w:type="dxa"/>
            </w:tcMar>
          </w:tcPr>
          <w:p w14:paraId="19CAC137" w14:textId="77777777" w:rsidR="00030FD0" w:rsidRDefault="00030FD0" w:rsidP="003A385F">
            <w:pPr>
              <w:rPr>
                <w:rFonts w:cs="Arial"/>
                <w:sz w:val="20"/>
                <w:szCs w:val="20"/>
              </w:rPr>
            </w:pPr>
            <w:r>
              <w:rPr>
                <w:rFonts w:cs="Arial"/>
                <w:sz w:val="20"/>
                <w:szCs w:val="20"/>
              </w:rPr>
              <w:t>0.919</w:t>
            </w:r>
          </w:p>
        </w:tc>
        <w:tc>
          <w:tcPr>
            <w:tcW w:w="1188" w:type="dxa"/>
            <w:gridSpan w:val="4"/>
            <w:tcMar>
              <w:top w:w="11" w:type="dxa"/>
              <w:left w:w="85" w:type="dxa"/>
              <w:bottom w:w="11" w:type="dxa"/>
              <w:right w:w="85" w:type="dxa"/>
            </w:tcMar>
          </w:tcPr>
          <w:p w14:paraId="12630D09" w14:textId="77777777" w:rsidR="00030FD0" w:rsidRDefault="00030FD0" w:rsidP="003A385F">
            <w:pPr>
              <w:rPr>
                <w:rFonts w:cs="Arial"/>
                <w:sz w:val="20"/>
                <w:szCs w:val="20"/>
              </w:rPr>
            </w:pPr>
            <w:r>
              <w:rPr>
                <w:rFonts w:cs="Arial"/>
                <w:sz w:val="20"/>
                <w:szCs w:val="20"/>
              </w:rPr>
              <w:t>0.070</w:t>
            </w:r>
          </w:p>
        </w:tc>
        <w:tc>
          <w:tcPr>
            <w:tcW w:w="878" w:type="dxa"/>
            <w:gridSpan w:val="2"/>
          </w:tcPr>
          <w:p w14:paraId="7CF7D2A1" w14:textId="77777777" w:rsidR="00030FD0" w:rsidRDefault="00030FD0" w:rsidP="00DB011F">
            <w:pPr>
              <w:rPr>
                <w:rFonts w:cs="Arial"/>
                <w:sz w:val="20"/>
                <w:szCs w:val="20"/>
              </w:rPr>
            </w:pPr>
            <w:r>
              <w:rPr>
                <w:rFonts w:cs="Arial"/>
                <w:sz w:val="20"/>
                <w:szCs w:val="20"/>
              </w:rPr>
              <w:t>0.056</w:t>
            </w:r>
          </w:p>
        </w:tc>
      </w:tr>
      <w:tr w:rsidR="00030FD0" w14:paraId="272A1FE2" w14:textId="77777777" w:rsidTr="003E4BA7">
        <w:trPr>
          <w:trHeight w:val="56"/>
        </w:trPr>
        <w:tc>
          <w:tcPr>
            <w:tcW w:w="8158" w:type="dxa"/>
            <w:gridSpan w:val="25"/>
            <w:tcMar>
              <w:top w:w="11" w:type="dxa"/>
              <w:left w:w="85" w:type="dxa"/>
              <w:bottom w:w="11" w:type="dxa"/>
              <w:right w:w="85" w:type="dxa"/>
            </w:tcMar>
          </w:tcPr>
          <w:p w14:paraId="3D2CF82F" w14:textId="77777777" w:rsidR="0025014E" w:rsidRDefault="0025014E" w:rsidP="003A385F">
            <w:pPr>
              <w:spacing w:before="120" w:after="180"/>
              <w:rPr>
                <w:rFonts w:cs="Arial"/>
                <w:b/>
                <w:sz w:val="20"/>
                <w:szCs w:val="20"/>
              </w:rPr>
            </w:pPr>
          </w:p>
          <w:p w14:paraId="0139F2F4" w14:textId="77777777" w:rsidR="00030FD0" w:rsidRDefault="00030FD0" w:rsidP="003A385F">
            <w:pPr>
              <w:spacing w:before="120" w:after="180"/>
              <w:rPr>
                <w:rFonts w:cs="Arial"/>
                <w:b/>
                <w:sz w:val="20"/>
                <w:szCs w:val="20"/>
              </w:rPr>
            </w:pPr>
            <w:r>
              <w:rPr>
                <w:rFonts w:cs="Arial"/>
                <w:b/>
                <w:sz w:val="20"/>
                <w:szCs w:val="20"/>
              </w:rPr>
              <w:t>(ii) Confirmatory factor analyses run separately on subgroups</w:t>
            </w:r>
          </w:p>
        </w:tc>
      </w:tr>
      <w:tr w:rsidR="00030FD0" w14:paraId="63A9D683" w14:textId="77777777" w:rsidTr="003E4BA7">
        <w:trPr>
          <w:trHeight w:val="56"/>
        </w:trPr>
        <w:tc>
          <w:tcPr>
            <w:tcW w:w="1412" w:type="dxa"/>
            <w:gridSpan w:val="2"/>
            <w:tcMar>
              <w:top w:w="11" w:type="dxa"/>
              <w:left w:w="85" w:type="dxa"/>
              <w:bottom w:w="11" w:type="dxa"/>
              <w:right w:w="85" w:type="dxa"/>
            </w:tcMar>
          </w:tcPr>
          <w:p w14:paraId="1615DF25" w14:textId="77777777" w:rsidR="00030FD0" w:rsidRDefault="00030FD0" w:rsidP="003A385F">
            <w:pPr>
              <w:spacing w:before="60" w:after="60"/>
              <w:rPr>
                <w:rFonts w:cs="Arial"/>
                <w:b/>
                <w:sz w:val="20"/>
                <w:szCs w:val="20"/>
              </w:rPr>
            </w:pPr>
            <w:r>
              <w:rPr>
                <w:rFonts w:cs="Arial"/>
                <w:b/>
                <w:sz w:val="20"/>
                <w:szCs w:val="20"/>
              </w:rPr>
              <w:t>Subgroup</w:t>
            </w:r>
          </w:p>
        </w:tc>
        <w:tc>
          <w:tcPr>
            <w:tcW w:w="1017" w:type="dxa"/>
            <w:gridSpan w:val="4"/>
            <w:tcMar>
              <w:top w:w="11" w:type="dxa"/>
              <w:left w:w="85" w:type="dxa"/>
              <w:bottom w:w="11" w:type="dxa"/>
              <w:right w:w="85" w:type="dxa"/>
            </w:tcMar>
          </w:tcPr>
          <w:p w14:paraId="601E5CB4" w14:textId="77777777" w:rsidR="00030FD0" w:rsidRDefault="00030FD0" w:rsidP="003A385F">
            <w:pPr>
              <w:spacing w:before="60" w:after="60"/>
              <w:rPr>
                <w:rFonts w:cs="Arial"/>
                <w:b/>
                <w:sz w:val="20"/>
                <w:szCs w:val="20"/>
              </w:rPr>
            </w:pPr>
            <w:r>
              <w:rPr>
                <w:rFonts w:cs="Arial"/>
                <w:b/>
                <w:sz w:val="20"/>
                <w:szCs w:val="20"/>
              </w:rPr>
              <w:sym w:font="Symbol" w:char="F063"/>
            </w:r>
            <w:r>
              <w:rPr>
                <w:rFonts w:cs="Arial"/>
                <w:b/>
                <w:sz w:val="20"/>
                <w:szCs w:val="20"/>
                <w:vertAlign w:val="superscript"/>
              </w:rPr>
              <w:t>2</w:t>
            </w:r>
          </w:p>
        </w:tc>
        <w:tc>
          <w:tcPr>
            <w:tcW w:w="1017" w:type="dxa"/>
            <w:gridSpan w:val="4"/>
            <w:tcMar>
              <w:top w:w="11" w:type="dxa"/>
              <w:left w:w="85" w:type="dxa"/>
              <w:bottom w:w="11" w:type="dxa"/>
              <w:right w:w="85" w:type="dxa"/>
            </w:tcMar>
          </w:tcPr>
          <w:p w14:paraId="07D747D0" w14:textId="77777777" w:rsidR="00030FD0" w:rsidRDefault="00030FD0" w:rsidP="003A385F">
            <w:pPr>
              <w:spacing w:before="60" w:after="60"/>
              <w:rPr>
                <w:rFonts w:cs="Arial"/>
                <w:b/>
                <w:sz w:val="20"/>
                <w:szCs w:val="20"/>
              </w:rPr>
            </w:pPr>
            <w:r>
              <w:rPr>
                <w:rFonts w:cs="Arial"/>
                <w:b/>
                <w:sz w:val="20"/>
                <w:szCs w:val="20"/>
              </w:rPr>
              <w:t>CFI</w:t>
            </w:r>
          </w:p>
        </w:tc>
        <w:tc>
          <w:tcPr>
            <w:tcW w:w="1163" w:type="dxa"/>
            <w:gridSpan w:val="4"/>
            <w:tcMar>
              <w:top w:w="11" w:type="dxa"/>
              <w:left w:w="85" w:type="dxa"/>
              <w:bottom w:w="11" w:type="dxa"/>
              <w:right w:w="85" w:type="dxa"/>
            </w:tcMar>
          </w:tcPr>
          <w:p w14:paraId="68EAAD42" w14:textId="77777777" w:rsidR="00030FD0" w:rsidRDefault="00030FD0" w:rsidP="003A385F">
            <w:pPr>
              <w:spacing w:before="60" w:after="60"/>
              <w:rPr>
                <w:rFonts w:cs="Arial"/>
                <w:b/>
                <w:sz w:val="20"/>
                <w:szCs w:val="20"/>
              </w:rPr>
            </w:pPr>
            <w:r>
              <w:rPr>
                <w:rFonts w:cs="Arial"/>
                <w:b/>
                <w:sz w:val="20"/>
                <w:szCs w:val="20"/>
              </w:rPr>
              <w:t>TLI</w:t>
            </w:r>
          </w:p>
        </w:tc>
        <w:tc>
          <w:tcPr>
            <w:tcW w:w="1977" w:type="dxa"/>
            <w:gridSpan w:val="7"/>
            <w:tcMar>
              <w:top w:w="11" w:type="dxa"/>
              <w:left w:w="85" w:type="dxa"/>
              <w:bottom w:w="11" w:type="dxa"/>
              <w:right w:w="85" w:type="dxa"/>
            </w:tcMar>
          </w:tcPr>
          <w:p w14:paraId="0E05ADBF" w14:textId="77777777" w:rsidR="00030FD0" w:rsidRDefault="00030FD0" w:rsidP="003A385F">
            <w:pPr>
              <w:spacing w:before="60" w:after="60"/>
              <w:rPr>
                <w:rFonts w:cs="Arial"/>
                <w:b/>
                <w:sz w:val="20"/>
                <w:szCs w:val="20"/>
              </w:rPr>
            </w:pPr>
            <w:r>
              <w:rPr>
                <w:rFonts w:cs="Arial"/>
                <w:b/>
                <w:sz w:val="20"/>
                <w:szCs w:val="20"/>
              </w:rPr>
              <w:t>RMSEA</w:t>
            </w:r>
          </w:p>
        </w:tc>
        <w:tc>
          <w:tcPr>
            <w:tcW w:w="1572" w:type="dxa"/>
            <w:gridSpan w:val="4"/>
          </w:tcPr>
          <w:p w14:paraId="0AE73A07" w14:textId="77777777" w:rsidR="00030FD0" w:rsidRDefault="00030FD0" w:rsidP="00DB011F">
            <w:pPr>
              <w:spacing w:before="60" w:after="60"/>
              <w:rPr>
                <w:rFonts w:cs="Arial"/>
                <w:b/>
                <w:sz w:val="20"/>
                <w:szCs w:val="20"/>
              </w:rPr>
            </w:pPr>
            <w:r>
              <w:rPr>
                <w:rFonts w:cs="Arial"/>
                <w:b/>
                <w:sz w:val="20"/>
                <w:szCs w:val="20"/>
              </w:rPr>
              <w:t>SRMR</w:t>
            </w:r>
          </w:p>
        </w:tc>
      </w:tr>
      <w:tr w:rsidR="00030FD0" w14:paraId="55DA7A34" w14:textId="77777777" w:rsidTr="003E4BA7">
        <w:trPr>
          <w:trHeight w:val="56"/>
        </w:trPr>
        <w:tc>
          <w:tcPr>
            <w:tcW w:w="1412" w:type="dxa"/>
            <w:gridSpan w:val="2"/>
            <w:tcMar>
              <w:top w:w="11" w:type="dxa"/>
              <w:left w:w="85" w:type="dxa"/>
              <w:bottom w:w="11" w:type="dxa"/>
              <w:right w:w="85" w:type="dxa"/>
            </w:tcMar>
          </w:tcPr>
          <w:p w14:paraId="059753BC" w14:textId="77777777" w:rsidR="00030FD0" w:rsidRDefault="00030FD0" w:rsidP="003A385F">
            <w:pPr>
              <w:rPr>
                <w:rFonts w:cs="Arial"/>
                <w:sz w:val="20"/>
                <w:szCs w:val="20"/>
              </w:rPr>
            </w:pPr>
            <w:r>
              <w:rPr>
                <w:rFonts w:cs="Arial"/>
                <w:sz w:val="20"/>
                <w:szCs w:val="20"/>
              </w:rPr>
              <w:t>Primary care</w:t>
            </w:r>
          </w:p>
        </w:tc>
        <w:tc>
          <w:tcPr>
            <w:tcW w:w="1017" w:type="dxa"/>
            <w:gridSpan w:val="4"/>
            <w:tcMar>
              <w:top w:w="11" w:type="dxa"/>
              <w:left w:w="85" w:type="dxa"/>
              <w:bottom w:w="11" w:type="dxa"/>
              <w:right w:w="85" w:type="dxa"/>
            </w:tcMar>
          </w:tcPr>
          <w:p w14:paraId="1973F53E" w14:textId="77777777" w:rsidR="00030FD0" w:rsidRDefault="00030FD0" w:rsidP="003A385F">
            <w:pPr>
              <w:rPr>
                <w:rFonts w:cs="Arial"/>
                <w:sz w:val="20"/>
                <w:szCs w:val="20"/>
              </w:rPr>
            </w:pPr>
            <w:r>
              <w:rPr>
                <w:rFonts w:cs="Arial"/>
                <w:sz w:val="20"/>
                <w:szCs w:val="20"/>
              </w:rPr>
              <w:t>84 on 41df</w:t>
            </w:r>
          </w:p>
        </w:tc>
        <w:tc>
          <w:tcPr>
            <w:tcW w:w="1017" w:type="dxa"/>
            <w:gridSpan w:val="4"/>
            <w:tcMar>
              <w:top w:w="11" w:type="dxa"/>
              <w:left w:w="85" w:type="dxa"/>
              <w:bottom w:w="11" w:type="dxa"/>
              <w:right w:w="85" w:type="dxa"/>
            </w:tcMar>
          </w:tcPr>
          <w:p w14:paraId="109409DE" w14:textId="77777777" w:rsidR="00030FD0" w:rsidRDefault="00030FD0" w:rsidP="003A385F">
            <w:pPr>
              <w:rPr>
                <w:rFonts w:cs="Arial"/>
                <w:sz w:val="20"/>
                <w:szCs w:val="20"/>
              </w:rPr>
            </w:pPr>
            <w:r>
              <w:rPr>
                <w:rFonts w:cs="Arial"/>
                <w:sz w:val="20"/>
                <w:szCs w:val="20"/>
              </w:rPr>
              <w:t>0.928</w:t>
            </w:r>
          </w:p>
        </w:tc>
        <w:tc>
          <w:tcPr>
            <w:tcW w:w="1163" w:type="dxa"/>
            <w:gridSpan w:val="4"/>
            <w:tcMar>
              <w:top w:w="11" w:type="dxa"/>
              <w:left w:w="85" w:type="dxa"/>
              <w:bottom w:w="11" w:type="dxa"/>
              <w:right w:w="85" w:type="dxa"/>
            </w:tcMar>
          </w:tcPr>
          <w:p w14:paraId="1A4B41EC" w14:textId="77777777" w:rsidR="00030FD0" w:rsidRDefault="00030FD0" w:rsidP="003A385F">
            <w:pPr>
              <w:rPr>
                <w:rFonts w:cs="Arial"/>
                <w:sz w:val="20"/>
                <w:szCs w:val="20"/>
              </w:rPr>
            </w:pPr>
            <w:r>
              <w:rPr>
                <w:rFonts w:cs="Arial"/>
                <w:sz w:val="20"/>
                <w:szCs w:val="20"/>
              </w:rPr>
              <w:t>0.903</w:t>
            </w:r>
          </w:p>
        </w:tc>
        <w:tc>
          <w:tcPr>
            <w:tcW w:w="1977" w:type="dxa"/>
            <w:gridSpan w:val="7"/>
            <w:tcMar>
              <w:top w:w="11" w:type="dxa"/>
              <w:left w:w="85" w:type="dxa"/>
              <w:bottom w:w="11" w:type="dxa"/>
              <w:right w:w="85" w:type="dxa"/>
            </w:tcMar>
          </w:tcPr>
          <w:p w14:paraId="542CBE05" w14:textId="77777777" w:rsidR="00030FD0" w:rsidRDefault="00030FD0" w:rsidP="003A385F">
            <w:pPr>
              <w:rPr>
                <w:rFonts w:cs="Arial"/>
                <w:sz w:val="20"/>
                <w:szCs w:val="20"/>
              </w:rPr>
            </w:pPr>
            <w:r>
              <w:rPr>
                <w:rFonts w:cs="Arial"/>
                <w:sz w:val="20"/>
                <w:szCs w:val="20"/>
              </w:rPr>
              <w:t>0.079</w:t>
            </w:r>
          </w:p>
        </w:tc>
        <w:tc>
          <w:tcPr>
            <w:tcW w:w="1572" w:type="dxa"/>
            <w:gridSpan w:val="4"/>
          </w:tcPr>
          <w:p w14:paraId="5382A400" w14:textId="77777777" w:rsidR="00030FD0" w:rsidRDefault="00030FD0" w:rsidP="00DB011F">
            <w:pPr>
              <w:rPr>
                <w:rFonts w:cs="Arial"/>
                <w:sz w:val="20"/>
                <w:szCs w:val="20"/>
              </w:rPr>
            </w:pPr>
            <w:r>
              <w:rPr>
                <w:rFonts w:cs="Arial"/>
                <w:sz w:val="20"/>
                <w:szCs w:val="20"/>
              </w:rPr>
              <w:t>0.063</w:t>
            </w:r>
          </w:p>
        </w:tc>
      </w:tr>
      <w:tr w:rsidR="00030FD0" w14:paraId="085AFD5C" w14:textId="77777777" w:rsidTr="003E4BA7">
        <w:trPr>
          <w:trHeight w:val="56"/>
        </w:trPr>
        <w:tc>
          <w:tcPr>
            <w:tcW w:w="1412" w:type="dxa"/>
            <w:gridSpan w:val="2"/>
            <w:tcMar>
              <w:top w:w="11" w:type="dxa"/>
              <w:left w:w="85" w:type="dxa"/>
              <w:bottom w:w="11" w:type="dxa"/>
              <w:right w:w="85" w:type="dxa"/>
            </w:tcMar>
          </w:tcPr>
          <w:p w14:paraId="398EED70" w14:textId="77777777" w:rsidR="00030FD0" w:rsidRDefault="00030FD0" w:rsidP="003A385F">
            <w:pPr>
              <w:rPr>
                <w:rFonts w:cs="Arial"/>
                <w:sz w:val="20"/>
                <w:szCs w:val="20"/>
              </w:rPr>
            </w:pPr>
            <w:r>
              <w:rPr>
                <w:rFonts w:cs="Arial"/>
                <w:sz w:val="20"/>
                <w:szCs w:val="20"/>
              </w:rPr>
              <w:t>Hospital</w:t>
            </w:r>
          </w:p>
        </w:tc>
        <w:tc>
          <w:tcPr>
            <w:tcW w:w="1017" w:type="dxa"/>
            <w:gridSpan w:val="4"/>
            <w:tcMar>
              <w:top w:w="11" w:type="dxa"/>
              <w:left w:w="85" w:type="dxa"/>
              <w:bottom w:w="11" w:type="dxa"/>
              <w:right w:w="85" w:type="dxa"/>
            </w:tcMar>
          </w:tcPr>
          <w:p w14:paraId="3B37C5A4" w14:textId="77777777" w:rsidR="00030FD0" w:rsidRDefault="00030FD0" w:rsidP="003A385F">
            <w:pPr>
              <w:rPr>
                <w:rFonts w:cs="Arial"/>
                <w:sz w:val="20"/>
                <w:szCs w:val="20"/>
              </w:rPr>
            </w:pPr>
            <w:r>
              <w:rPr>
                <w:rFonts w:cs="Arial"/>
                <w:sz w:val="20"/>
                <w:szCs w:val="20"/>
              </w:rPr>
              <w:t>64 on 41df</w:t>
            </w:r>
          </w:p>
        </w:tc>
        <w:tc>
          <w:tcPr>
            <w:tcW w:w="1017" w:type="dxa"/>
            <w:gridSpan w:val="4"/>
            <w:tcMar>
              <w:top w:w="11" w:type="dxa"/>
              <w:left w:w="85" w:type="dxa"/>
              <w:bottom w:w="11" w:type="dxa"/>
              <w:right w:w="85" w:type="dxa"/>
            </w:tcMar>
          </w:tcPr>
          <w:p w14:paraId="65A60A41" w14:textId="77777777" w:rsidR="00030FD0" w:rsidRDefault="00030FD0" w:rsidP="003A385F">
            <w:pPr>
              <w:rPr>
                <w:rFonts w:cs="Arial"/>
                <w:sz w:val="20"/>
                <w:szCs w:val="20"/>
              </w:rPr>
            </w:pPr>
            <w:r>
              <w:rPr>
                <w:rFonts w:cs="Arial"/>
                <w:sz w:val="20"/>
                <w:szCs w:val="20"/>
              </w:rPr>
              <w:t>0.964</w:t>
            </w:r>
          </w:p>
        </w:tc>
        <w:tc>
          <w:tcPr>
            <w:tcW w:w="1163" w:type="dxa"/>
            <w:gridSpan w:val="4"/>
            <w:tcMar>
              <w:top w:w="11" w:type="dxa"/>
              <w:left w:w="85" w:type="dxa"/>
              <w:bottom w:w="11" w:type="dxa"/>
              <w:right w:w="85" w:type="dxa"/>
            </w:tcMar>
          </w:tcPr>
          <w:p w14:paraId="2DE44C1C" w14:textId="77777777" w:rsidR="00030FD0" w:rsidRDefault="00030FD0" w:rsidP="003A385F">
            <w:pPr>
              <w:rPr>
                <w:rFonts w:cs="Arial"/>
                <w:sz w:val="20"/>
                <w:szCs w:val="20"/>
              </w:rPr>
            </w:pPr>
            <w:r>
              <w:rPr>
                <w:rFonts w:cs="Arial"/>
                <w:sz w:val="20"/>
                <w:szCs w:val="20"/>
              </w:rPr>
              <w:t>0.951</w:t>
            </w:r>
          </w:p>
        </w:tc>
        <w:tc>
          <w:tcPr>
            <w:tcW w:w="1977" w:type="dxa"/>
            <w:gridSpan w:val="7"/>
            <w:tcMar>
              <w:top w:w="11" w:type="dxa"/>
              <w:left w:w="85" w:type="dxa"/>
              <w:bottom w:w="11" w:type="dxa"/>
              <w:right w:w="85" w:type="dxa"/>
            </w:tcMar>
          </w:tcPr>
          <w:p w14:paraId="2A48A89D" w14:textId="77777777" w:rsidR="00030FD0" w:rsidRDefault="00030FD0" w:rsidP="003A385F">
            <w:pPr>
              <w:rPr>
                <w:rFonts w:cs="Arial"/>
                <w:sz w:val="20"/>
                <w:szCs w:val="20"/>
              </w:rPr>
            </w:pPr>
            <w:r>
              <w:rPr>
                <w:rFonts w:cs="Arial"/>
                <w:sz w:val="20"/>
                <w:szCs w:val="20"/>
              </w:rPr>
              <w:t>0.053</w:t>
            </w:r>
          </w:p>
        </w:tc>
        <w:tc>
          <w:tcPr>
            <w:tcW w:w="1572" w:type="dxa"/>
            <w:gridSpan w:val="4"/>
          </w:tcPr>
          <w:p w14:paraId="40794BBA" w14:textId="77777777" w:rsidR="00030FD0" w:rsidRDefault="00030FD0" w:rsidP="00DB011F">
            <w:pPr>
              <w:rPr>
                <w:rFonts w:cs="Arial"/>
                <w:sz w:val="20"/>
                <w:szCs w:val="20"/>
              </w:rPr>
            </w:pPr>
            <w:r>
              <w:rPr>
                <w:rFonts w:cs="Arial"/>
                <w:sz w:val="20"/>
                <w:szCs w:val="20"/>
              </w:rPr>
              <w:t>0.051</w:t>
            </w:r>
          </w:p>
        </w:tc>
      </w:tr>
    </w:tbl>
    <w:p w14:paraId="25B65D48" w14:textId="77777777" w:rsidR="00F37F0F" w:rsidRDefault="00F37F0F" w:rsidP="00F37F0F">
      <w:pPr>
        <w:ind w:left="-425"/>
        <w:rPr>
          <w:rFonts w:cs="Arial"/>
          <w:sz w:val="17"/>
          <w:szCs w:val="17"/>
        </w:rPr>
      </w:pPr>
    </w:p>
    <w:p w14:paraId="60256919" w14:textId="77777777" w:rsidR="00F37F0F" w:rsidRDefault="00F37F0F" w:rsidP="00F37F0F">
      <w:pPr>
        <w:ind w:left="-425"/>
        <w:rPr>
          <w:rFonts w:cs="Arial"/>
          <w:sz w:val="17"/>
          <w:szCs w:val="17"/>
        </w:rPr>
      </w:pPr>
      <w:r>
        <w:rPr>
          <w:rFonts w:cs="Arial"/>
          <w:sz w:val="17"/>
          <w:szCs w:val="17"/>
        </w:rPr>
        <w:t>* Indicates a statistically significant improvement in model fit at p &lt; 0.05 level</w:t>
      </w:r>
    </w:p>
    <w:p w14:paraId="163DCB09" w14:textId="77777777" w:rsidR="00F37F0F" w:rsidRDefault="00F37F0F"/>
    <w:p w14:paraId="5BA2E1C6" w14:textId="77777777" w:rsidR="0025014E" w:rsidRDefault="0025014E">
      <w:r>
        <w:br w:type="page"/>
      </w:r>
    </w:p>
    <w:p w14:paraId="12BC4A0A" w14:textId="77777777" w:rsidR="003A385F" w:rsidRPr="00A12147" w:rsidRDefault="0025014E">
      <w:pPr>
        <w:rPr>
          <w:b/>
          <w:sz w:val="28"/>
          <w:szCs w:val="28"/>
        </w:rPr>
      </w:pPr>
      <w:r w:rsidRPr="00A12147">
        <w:rPr>
          <w:b/>
          <w:sz w:val="28"/>
          <w:szCs w:val="28"/>
        </w:rPr>
        <w:lastRenderedPageBreak/>
        <w:t>10.</w:t>
      </w:r>
      <w:r w:rsidR="005D320D">
        <w:rPr>
          <w:b/>
          <w:sz w:val="28"/>
          <w:szCs w:val="28"/>
        </w:rPr>
        <w:t>2</w:t>
      </w:r>
      <w:r w:rsidRPr="00A12147">
        <w:rPr>
          <w:b/>
          <w:sz w:val="28"/>
          <w:szCs w:val="28"/>
        </w:rPr>
        <w:t xml:space="preserve"> </w:t>
      </w:r>
      <w:r w:rsidR="003A385F" w:rsidRPr="00A12147">
        <w:rPr>
          <w:b/>
          <w:sz w:val="28"/>
          <w:szCs w:val="28"/>
        </w:rPr>
        <w:t>Publication 2</w:t>
      </w:r>
    </w:p>
    <w:p w14:paraId="5C7124B1" w14:textId="77777777" w:rsidR="003A385F" w:rsidRDefault="003A385F">
      <w:pPr>
        <w:rPr>
          <w:b/>
        </w:rPr>
      </w:pPr>
    </w:p>
    <w:p w14:paraId="7B9989F1" w14:textId="77777777" w:rsidR="003A385F" w:rsidRDefault="003A385F" w:rsidP="00B30320">
      <w:pPr>
        <w:spacing w:line="360" w:lineRule="auto"/>
      </w:pPr>
      <w:r w:rsidRPr="00151445">
        <w:rPr>
          <w:b/>
          <w:bCs/>
        </w:rPr>
        <w:t>Hutchinson A</w:t>
      </w:r>
      <w:r w:rsidRPr="00151445">
        <w:rPr>
          <w:bCs/>
        </w:rPr>
        <w:t xml:space="preserve">, Young TA, Cooper KL, McIntosh A, Karnon JD, Scobie S, Thomson RG. </w:t>
      </w:r>
      <w:r w:rsidRPr="00151445">
        <w:t xml:space="preserve">Trends in healthcare incident reporting and relationship to safety and quality data in acute hospitals: results from the National Reporting and Learning System.  </w:t>
      </w:r>
      <w:r w:rsidRPr="00151445">
        <w:rPr>
          <w:i/>
        </w:rPr>
        <w:t>Quality and Safety in Health Care</w:t>
      </w:r>
      <w:r w:rsidRPr="00151445">
        <w:t xml:space="preserve"> 2009;18:5-10  </w:t>
      </w:r>
    </w:p>
    <w:p w14:paraId="4C4DD51E" w14:textId="77777777" w:rsidR="00F61EB0" w:rsidRPr="00151445" w:rsidRDefault="00F61EB0" w:rsidP="00B30320">
      <w:pPr>
        <w:spacing w:line="360" w:lineRule="auto"/>
        <w:rPr>
          <w:b/>
        </w:rPr>
      </w:pPr>
      <w:r>
        <w:t>Doi:10.1136/qshc2007.022400</w:t>
      </w:r>
    </w:p>
    <w:p w14:paraId="60F5AF65" w14:textId="77777777" w:rsidR="003A385F" w:rsidRDefault="003A385F">
      <w:pPr>
        <w:rPr>
          <w:b/>
        </w:rPr>
      </w:pPr>
    </w:p>
    <w:p w14:paraId="4C56AB2E" w14:textId="77777777" w:rsidR="003A385F" w:rsidRDefault="003A385F">
      <w:pPr>
        <w:rPr>
          <w:b/>
        </w:rPr>
      </w:pPr>
    </w:p>
    <w:p w14:paraId="33F1D65C" w14:textId="77777777" w:rsidR="003A385F" w:rsidRDefault="003A385F">
      <w:pPr>
        <w:rPr>
          <w:b/>
        </w:rPr>
      </w:pPr>
    </w:p>
    <w:p w14:paraId="5FB9484F" w14:textId="77777777" w:rsidR="003A385F" w:rsidRDefault="003A385F">
      <w:pPr>
        <w:rPr>
          <w:b/>
        </w:rPr>
      </w:pPr>
    </w:p>
    <w:p w14:paraId="6217E413" w14:textId="77777777" w:rsidR="003A385F" w:rsidRDefault="003A385F">
      <w:pPr>
        <w:rPr>
          <w:b/>
        </w:rPr>
      </w:pPr>
    </w:p>
    <w:p w14:paraId="4995A3E3" w14:textId="77777777" w:rsidR="003A385F" w:rsidRDefault="003A385F">
      <w:pPr>
        <w:rPr>
          <w:b/>
        </w:rPr>
      </w:pPr>
      <w:r>
        <w:rPr>
          <w:b/>
        </w:rPr>
        <w:br w:type="page"/>
      </w:r>
    </w:p>
    <w:p w14:paraId="0CBD2664" w14:textId="77777777" w:rsidR="003A385F" w:rsidRPr="003079D8" w:rsidRDefault="003A385F" w:rsidP="003A385F">
      <w:pPr>
        <w:spacing w:line="480" w:lineRule="auto"/>
        <w:jc w:val="both"/>
        <w:rPr>
          <w:sz w:val="22"/>
          <w:szCs w:val="22"/>
        </w:rPr>
      </w:pPr>
      <w:r w:rsidRPr="003079D8">
        <w:rPr>
          <w:b/>
          <w:sz w:val="22"/>
          <w:szCs w:val="22"/>
        </w:rPr>
        <w:lastRenderedPageBreak/>
        <w:t>Trends in healthcare incident reporting and relationship to safety and quality data in acute hospitals: results from the National Reporting and Learning System</w:t>
      </w:r>
    </w:p>
    <w:p w14:paraId="4F768585" w14:textId="77777777" w:rsidR="003A385F" w:rsidRPr="003079D8" w:rsidRDefault="003A385F" w:rsidP="003A385F">
      <w:pPr>
        <w:spacing w:line="480" w:lineRule="auto"/>
        <w:jc w:val="both"/>
        <w:rPr>
          <w:bCs/>
          <w:sz w:val="22"/>
          <w:szCs w:val="22"/>
        </w:rPr>
      </w:pPr>
      <w:r w:rsidRPr="003079D8">
        <w:rPr>
          <w:b/>
          <w:bCs/>
          <w:sz w:val="22"/>
          <w:szCs w:val="22"/>
        </w:rPr>
        <w:t>Hutchinson A, Young TA, Cooper KL, McIntosh A, Karnon JD, Scobie S, Thomson RG</w:t>
      </w:r>
    </w:p>
    <w:p w14:paraId="10ED2C31" w14:textId="77777777" w:rsidR="003A385F" w:rsidRPr="003079D8" w:rsidRDefault="003A385F" w:rsidP="003A385F">
      <w:pPr>
        <w:spacing w:line="480" w:lineRule="auto"/>
        <w:jc w:val="both"/>
        <w:rPr>
          <w:sz w:val="22"/>
          <w:szCs w:val="22"/>
          <w:u w:val="single"/>
        </w:rPr>
      </w:pPr>
      <w:r w:rsidRPr="003079D8">
        <w:rPr>
          <w:sz w:val="22"/>
          <w:szCs w:val="22"/>
          <w:u w:val="single"/>
        </w:rPr>
        <w:t>Section of Public Health, ScHARR, University of Sheffield,</w:t>
      </w:r>
    </w:p>
    <w:p w14:paraId="75C5045A" w14:textId="77777777" w:rsidR="003A385F" w:rsidRPr="003079D8" w:rsidRDefault="003A385F" w:rsidP="003A385F">
      <w:pPr>
        <w:spacing w:line="480" w:lineRule="auto"/>
        <w:jc w:val="both"/>
        <w:rPr>
          <w:sz w:val="22"/>
          <w:szCs w:val="22"/>
          <w:u w:val="single"/>
        </w:rPr>
      </w:pPr>
      <w:r w:rsidRPr="003079D8">
        <w:rPr>
          <w:sz w:val="22"/>
          <w:szCs w:val="22"/>
          <w:u w:val="single"/>
        </w:rPr>
        <w:t>Regent Court, 30 Regent Street, Sheffield, S1 4DA, UK</w:t>
      </w:r>
    </w:p>
    <w:p w14:paraId="2244E583" w14:textId="77777777" w:rsidR="003A385F" w:rsidRPr="003079D8" w:rsidRDefault="003A385F" w:rsidP="003A385F">
      <w:pPr>
        <w:spacing w:line="480" w:lineRule="auto"/>
        <w:jc w:val="both"/>
        <w:rPr>
          <w:sz w:val="22"/>
          <w:szCs w:val="22"/>
        </w:rPr>
      </w:pPr>
      <w:r w:rsidRPr="003079D8">
        <w:rPr>
          <w:sz w:val="22"/>
          <w:szCs w:val="22"/>
        </w:rPr>
        <w:t>A Hutchinson, Professor in Public Health</w:t>
      </w:r>
    </w:p>
    <w:p w14:paraId="48258CF5" w14:textId="77777777" w:rsidR="003A385F" w:rsidRPr="003079D8" w:rsidRDefault="003A385F" w:rsidP="003A385F">
      <w:pPr>
        <w:spacing w:line="480" w:lineRule="auto"/>
        <w:jc w:val="both"/>
        <w:rPr>
          <w:sz w:val="22"/>
          <w:szCs w:val="22"/>
        </w:rPr>
      </w:pPr>
      <w:r w:rsidRPr="003079D8">
        <w:rPr>
          <w:sz w:val="22"/>
          <w:szCs w:val="22"/>
        </w:rPr>
        <w:t>T</w:t>
      </w:r>
      <w:r w:rsidRPr="003079D8">
        <w:rPr>
          <w:bCs/>
          <w:sz w:val="22"/>
          <w:szCs w:val="22"/>
        </w:rPr>
        <w:t>A</w:t>
      </w:r>
      <w:r w:rsidRPr="003079D8">
        <w:rPr>
          <w:sz w:val="22"/>
          <w:szCs w:val="22"/>
        </w:rPr>
        <w:t xml:space="preserve"> Young, Lecturer in Medical Statistics</w:t>
      </w:r>
    </w:p>
    <w:p w14:paraId="639D7FF3" w14:textId="77777777" w:rsidR="003A385F" w:rsidRPr="003079D8" w:rsidRDefault="003A385F" w:rsidP="003A385F">
      <w:pPr>
        <w:spacing w:line="480" w:lineRule="auto"/>
        <w:jc w:val="both"/>
        <w:rPr>
          <w:sz w:val="22"/>
          <w:szCs w:val="22"/>
        </w:rPr>
      </w:pPr>
      <w:r w:rsidRPr="003079D8">
        <w:rPr>
          <w:sz w:val="22"/>
          <w:szCs w:val="22"/>
        </w:rPr>
        <w:t>KL Cooper, Research Associate</w:t>
      </w:r>
    </w:p>
    <w:p w14:paraId="2C426B2A" w14:textId="77777777" w:rsidR="003A385F" w:rsidRPr="003079D8" w:rsidRDefault="003A385F" w:rsidP="003A385F">
      <w:pPr>
        <w:spacing w:line="480" w:lineRule="auto"/>
        <w:jc w:val="both"/>
        <w:rPr>
          <w:sz w:val="22"/>
          <w:szCs w:val="22"/>
        </w:rPr>
      </w:pPr>
      <w:r w:rsidRPr="003079D8">
        <w:rPr>
          <w:sz w:val="22"/>
          <w:szCs w:val="22"/>
        </w:rPr>
        <w:t>A McIntosh, Senior Research Fellow</w:t>
      </w:r>
    </w:p>
    <w:p w14:paraId="0B15F497" w14:textId="77777777" w:rsidR="003A385F" w:rsidRPr="003079D8" w:rsidRDefault="003A385F" w:rsidP="003A385F">
      <w:pPr>
        <w:spacing w:line="480" w:lineRule="auto"/>
        <w:jc w:val="both"/>
        <w:rPr>
          <w:sz w:val="22"/>
          <w:szCs w:val="22"/>
        </w:rPr>
      </w:pPr>
      <w:r w:rsidRPr="003079D8">
        <w:rPr>
          <w:sz w:val="22"/>
          <w:szCs w:val="22"/>
        </w:rPr>
        <w:t>JD Karnon, Senior Research Fellow</w:t>
      </w:r>
    </w:p>
    <w:p w14:paraId="6454FF86" w14:textId="77777777" w:rsidR="003A385F" w:rsidRPr="003079D8" w:rsidRDefault="003A385F" w:rsidP="003A385F">
      <w:pPr>
        <w:spacing w:line="480" w:lineRule="auto"/>
        <w:jc w:val="both"/>
        <w:rPr>
          <w:sz w:val="22"/>
          <w:szCs w:val="22"/>
          <w:u w:val="single"/>
        </w:rPr>
      </w:pPr>
      <w:r w:rsidRPr="003079D8">
        <w:rPr>
          <w:sz w:val="22"/>
          <w:szCs w:val="22"/>
          <w:u w:val="single"/>
        </w:rPr>
        <w:t>National Patient Safety Agency, 4-8 Maple Street, London, W1T 5HD, UK</w:t>
      </w:r>
    </w:p>
    <w:p w14:paraId="2BDB9A23" w14:textId="77777777" w:rsidR="003A385F" w:rsidRPr="003079D8" w:rsidRDefault="003A385F" w:rsidP="003A385F">
      <w:pPr>
        <w:spacing w:line="480" w:lineRule="auto"/>
        <w:jc w:val="both"/>
        <w:rPr>
          <w:sz w:val="22"/>
          <w:szCs w:val="22"/>
        </w:rPr>
      </w:pPr>
      <w:r w:rsidRPr="003079D8">
        <w:rPr>
          <w:sz w:val="22"/>
          <w:szCs w:val="22"/>
        </w:rPr>
        <w:t>S Scobie, Head of Patient Safety Observatory, NPSA</w:t>
      </w:r>
    </w:p>
    <w:p w14:paraId="22B4FE1E" w14:textId="77777777" w:rsidR="003A385F" w:rsidRPr="003079D8" w:rsidRDefault="003A385F" w:rsidP="003A385F">
      <w:pPr>
        <w:spacing w:line="480" w:lineRule="auto"/>
        <w:jc w:val="both"/>
        <w:rPr>
          <w:sz w:val="22"/>
          <w:szCs w:val="22"/>
        </w:rPr>
      </w:pPr>
      <w:r w:rsidRPr="003079D8">
        <w:rPr>
          <w:sz w:val="22"/>
          <w:szCs w:val="22"/>
        </w:rPr>
        <w:t>RG Thomson, Director of Epidemiology and Research, NPSA</w:t>
      </w:r>
    </w:p>
    <w:p w14:paraId="148590BB" w14:textId="77777777" w:rsidR="003A385F" w:rsidRPr="003079D8" w:rsidRDefault="003A385F" w:rsidP="003A385F">
      <w:pPr>
        <w:spacing w:line="480" w:lineRule="auto"/>
        <w:jc w:val="both"/>
        <w:rPr>
          <w:b/>
          <w:sz w:val="22"/>
          <w:szCs w:val="22"/>
        </w:rPr>
      </w:pPr>
      <w:r w:rsidRPr="003079D8">
        <w:rPr>
          <w:b/>
          <w:sz w:val="22"/>
          <w:szCs w:val="22"/>
        </w:rPr>
        <w:t>Corresponding Author:</w:t>
      </w:r>
    </w:p>
    <w:p w14:paraId="630E0284" w14:textId="77777777" w:rsidR="003A385F" w:rsidRPr="003079D8" w:rsidRDefault="003A385F" w:rsidP="003A385F">
      <w:pPr>
        <w:spacing w:line="480" w:lineRule="auto"/>
        <w:jc w:val="both"/>
        <w:rPr>
          <w:bCs/>
          <w:sz w:val="22"/>
          <w:szCs w:val="22"/>
        </w:rPr>
      </w:pPr>
      <w:r w:rsidRPr="003079D8">
        <w:rPr>
          <w:bCs/>
          <w:sz w:val="22"/>
          <w:szCs w:val="22"/>
        </w:rPr>
        <w:t>Professor Allen Hutchinson</w:t>
      </w:r>
    </w:p>
    <w:p w14:paraId="2B835EB7" w14:textId="77777777" w:rsidR="003A385F" w:rsidRPr="003079D8" w:rsidRDefault="003A385F" w:rsidP="003A385F">
      <w:pPr>
        <w:spacing w:line="480" w:lineRule="auto"/>
        <w:jc w:val="both"/>
        <w:rPr>
          <w:sz w:val="22"/>
          <w:szCs w:val="22"/>
        </w:rPr>
      </w:pPr>
      <w:r w:rsidRPr="003079D8">
        <w:rPr>
          <w:sz w:val="22"/>
          <w:szCs w:val="22"/>
        </w:rPr>
        <w:t>Section of Public Health, ScHARR, University of Sheffield,</w:t>
      </w:r>
    </w:p>
    <w:p w14:paraId="69D5675F" w14:textId="77777777" w:rsidR="003A385F" w:rsidRPr="003079D8" w:rsidRDefault="003A385F" w:rsidP="003A385F">
      <w:pPr>
        <w:spacing w:line="480" w:lineRule="auto"/>
        <w:jc w:val="both"/>
        <w:rPr>
          <w:sz w:val="22"/>
          <w:szCs w:val="22"/>
        </w:rPr>
      </w:pPr>
      <w:r w:rsidRPr="003079D8">
        <w:rPr>
          <w:sz w:val="22"/>
          <w:szCs w:val="22"/>
        </w:rPr>
        <w:t>Regent Court, 30 Regent Street, Sheffield, S1 4DA, UK</w:t>
      </w:r>
    </w:p>
    <w:p w14:paraId="3AEB9FFF" w14:textId="77777777" w:rsidR="003A385F" w:rsidRPr="003079D8" w:rsidRDefault="003A385F" w:rsidP="001F41C1">
      <w:pPr>
        <w:spacing w:line="360" w:lineRule="auto"/>
        <w:rPr>
          <w:b/>
          <w:sz w:val="22"/>
          <w:szCs w:val="22"/>
        </w:rPr>
      </w:pPr>
      <w:r w:rsidRPr="003079D8">
        <w:rPr>
          <w:sz w:val="22"/>
          <w:szCs w:val="22"/>
        </w:rPr>
        <w:t xml:space="preserve">Email: </w:t>
      </w:r>
      <w:hyperlink r:id="rId17" w:history="1">
        <w:r w:rsidR="002203AF" w:rsidRPr="004D33B5">
          <w:rPr>
            <w:rStyle w:val="Hyperlink"/>
            <w:sz w:val="22"/>
            <w:szCs w:val="22"/>
          </w:rPr>
          <w:t>allen.hutchinson@sheffield.ac.uk</w:t>
        </w:r>
      </w:hyperlink>
      <w:r w:rsidR="002203AF">
        <w:rPr>
          <w:sz w:val="22"/>
          <w:szCs w:val="22"/>
        </w:rPr>
        <w:t xml:space="preserve">  </w:t>
      </w:r>
      <w:r w:rsidR="002203AF" w:rsidRPr="003079D8">
        <w:rPr>
          <w:sz w:val="22"/>
          <w:szCs w:val="22"/>
        </w:rPr>
        <w:t>Tel: 0114 222 0811</w:t>
      </w:r>
      <w:r w:rsidRPr="003079D8">
        <w:rPr>
          <w:b/>
          <w:sz w:val="22"/>
          <w:szCs w:val="22"/>
        </w:rPr>
        <w:br w:type="page"/>
      </w:r>
      <w:r w:rsidRPr="003079D8">
        <w:rPr>
          <w:b/>
          <w:sz w:val="22"/>
          <w:szCs w:val="22"/>
        </w:rPr>
        <w:lastRenderedPageBreak/>
        <w:t>Trends in healthcare incident reporting and relationship to safety and quality data in acute hospitals: results from the National Reporting and Learning System</w:t>
      </w:r>
    </w:p>
    <w:p w14:paraId="7C65D678" w14:textId="77777777" w:rsidR="003A385F" w:rsidRPr="003079D8" w:rsidRDefault="003A385F" w:rsidP="001F41C1">
      <w:pPr>
        <w:spacing w:line="360" w:lineRule="auto"/>
        <w:jc w:val="both"/>
        <w:rPr>
          <w:sz w:val="22"/>
          <w:szCs w:val="22"/>
        </w:rPr>
      </w:pPr>
    </w:p>
    <w:p w14:paraId="69E1BBD1" w14:textId="77777777" w:rsidR="003A385F" w:rsidRPr="003079D8" w:rsidRDefault="003A385F" w:rsidP="001F41C1">
      <w:pPr>
        <w:spacing w:line="360" w:lineRule="auto"/>
        <w:jc w:val="both"/>
        <w:rPr>
          <w:sz w:val="22"/>
          <w:szCs w:val="22"/>
        </w:rPr>
      </w:pPr>
      <w:r w:rsidRPr="003079D8">
        <w:rPr>
          <w:b/>
          <w:sz w:val="22"/>
          <w:szCs w:val="22"/>
        </w:rPr>
        <w:t>Background:</w:t>
      </w:r>
      <w:r w:rsidRPr="003079D8">
        <w:rPr>
          <w:sz w:val="22"/>
          <w:szCs w:val="22"/>
        </w:rPr>
        <w:t xml:space="preserve"> Internationally, there is increasing recognition of the need to collect and analyse data on patient safety incidents, to facilitate learning and develop solutions. The National Patient Safety Agency (NPSA) for England and Wales has been capturing incident data from acute hospitals since November 2003.</w:t>
      </w:r>
    </w:p>
    <w:p w14:paraId="13EF3571" w14:textId="77777777" w:rsidR="003A385F" w:rsidRPr="003079D8" w:rsidRDefault="003A385F" w:rsidP="001F41C1">
      <w:pPr>
        <w:spacing w:line="360" w:lineRule="auto"/>
        <w:jc w:val="both"/>
        <w:rPr>
          <w:sz w:val="22"/>
          <w:szCs w:val="22"/>
        </w:rPr>
      </w:pPr>
      <w:r w:rsidRPr="003079D8">
        <w:rPr>
          <w:b/>
          <w:sz w:val="22"/>
          <w:szCs w:val="22"/>
        </w:rPr>
        <w:t>Objectives:</w:t>
      </w:r>
      <w:r w:rsidRPr="003079D8">
        <w:rPr>
          <w:sz w:val="22"/>
          <w:szCs w:val="22"/>
        </w:rPr>
        <w:t xml:space="preserve"> This study analyses patterns in reporting of patient safety incidents from all acute hospitals in England to the NPSA National Reporting and Learning System, and explores the link between reporting rates, hospital characteristics, and other safety and quality datasets.</w:t>
      </w:r>
    </w:p>
    <w:p w14:paraId="5AE1F4D5" w14:textId="77777777" w:rsidR="003A385F" w:rsidRPr="003079D8" w:rsidRDefault="003A385F" w:rsidP="001F41C1">
      <w:pPr>
        <w:spacing w:line="360" w:lineRule="auto"/>
        <w:jc w:val="both"/>
        <w:rPr>
          <w:sz w:val="22"/>
          <w:szCs w:val="22"/>
        </w:rPr>
      </w:pPr>
      <w:r w:rsidRPr="003079D8">
        <w:rPr>
          <w:b/>
          <w:sz w:val="22"/>
          <w:szCs w:val="22"/>
        </w:rPr>
        <w:t>Methods:</w:t>
      </w:r>
      <w:r w:rsidRPr="003079D8">
        <w:rPr>
          <w:sz w:val="22"/>
          <w:szCs w:val="22"/>
        </w:rPr>
        <w:t xml:space="preserve"> Reporting rates to the NPSA National Reporting and Learning System were analysed as trends over time, from the point at which each hospital became connected to the system. The relationships between reporting rates and other safety and quality datasets were assessed using correlation and regression analyses.</w:t>
      </w:r>
    </w:p>
    <w:p w14:paraId="297A85D8" w14:textId="77777777" w:rsidR="003A385F" w:rsidRPr="003079D8" w:rsidRDefault="003A385F" w:rsidP="001F41C1">
      <w:pPr>
        <w:spacing w:line="360" w:lineRule="auto"/>
        <w:jc w:val="both"/>
        <w:rPr>
          <w:sz w:val="22"/>
          <w:szCs w:val="22"/>
        </w:rPr>
      </w:pPr>
      <w:r w:rsidRPr="003079D8">
        <w:rPr>
          <w:b/>
          <w:sz w:val="22"/>
          <w:szCs w:val="22"/>
        </w:rPr>
        <w:t>Results:</w:t>
      </w:r>
      <w:r w:rsidRPr="003079D8">
        <w:rPr>
          <w:sz w:val="22"/>
          <w:szCs w:val="22"/>
        </w:rPr>
        <w:t xml:space="preserve"> Reporting rates increased steadily over the 18 months analysed. Higher reporting rates correlated with positive data on safety culture and incident reporting from the NHS Staff Survey, and with better risk management ratings from the NHS Litigation Authority. Hospitals with higher overall reporting rates had a lower proportion of their reports in the “slips, trips and falls” category, suggesting that these hospitals were reporting higher numbers of other types of incident. There was no apparent association between reporting rates and the following data: standardised mortality ratios, data from other safety-related reporting systems, hospital size, average patient age or length of stay.</w:t>
      </w:r>
    </w:p>
    <w:p w14:paraId="5C6D699D" w14:textId="77777777" w:rsidR="003A385F" w:rsidRPr="003079D8" w:rsidRDefault="003A385F" w:rsidP="001F41C1">
      <w:pPr>
        <w:spacing w:line="360" w:lineRule="auto"/>
        <w:jc w:val="both"/>
        <w:rPr>
          <w:sz w:val="22"/>
          <w:szCs w:val="22"/>
        </w:rPr>
      </w:pPr>
      <w:r w:rsidRPr="003079D8">
        <w:rPr>
          <w:b/>
          <w:sz w:val="22"/>
          <w:szCs w:val="22"/>
        </w:rPr>
        <w:t>Conclusions:</w:t>
      </w:r>
      <w:r w:rsidRPr="003079D8">
        <w:rPr>
          <w:sz w:val="22"/>
          <w:szCs w:val="22"/>
        </w:rPr>
        <w:t xml:space="preserve"> Incident reporting rates from acute hospitals increase with time from connection to the national reporting system, and are positively correlated with independently defined measures of safety culture, higher reporting rates being associated with a more positive safety culture.</w:t>
      </w:r>
    </w:p>
    <w:p w14:paraId="6C798413" w14:textId="77777777" w:rsidR="003A385F" w:rsidRPr="003079D8" w:rsidRDefault="003A385F" w:rsidP="003A385F">
      <w:pPr>
        <w:spacing w:line="480" w:lineRule="auto"/>
        <w:jc w:val="both"/>
        <w:rPr>
          <w:sz w:val="22"/>
          <w:szCs w:val="22"/>
        </w:rPr>
      </w:pPr>
    </w:p>
    <w:p w14:paraId="0CCCB727" w14:textId="77777777" w:rsidR="003A385F" w:rsidRPr="003079D8" w:rsidRDefault="003A385F" w:rsidP="003A385F">
      <w:pPr>
        <w:spacing w:line="480" w:lineRule="auto"/>
        <w:jc w:val="both"/>
        <w:rPr>
          <w:i/>
          <w:sz w:val="22"/>
          <w:szCs w:val="22"/>
        </w:rPr>
      </w:pPr>
      <w:r w:rsidRPr="003079D8">
        <w:rPr>
          <w:b/>
          <w:i/>
          <w:sz w:val="22"/>
          <w:szCs w:val="22"/>
        </w:rPr>
        <w:t>Keywords:</w:t>
      </w:r>
      <w:r w:rsidRPr="003079D8">
        <w:rPr>
          <w:i/>
          <w:sz w:val="22"/>
          <w:szCs w:val="22"/>
        </w:rPr>
        <w:t xml:space="preserve"> incident reporting, patient safety, safety culture</w:t>
      </w:r>
    </w:p>
    <w:p w14:paraId="249B1C86" w14:textId="77777777" w:rsidR="003A385F" w:rsidRPr="003079D8" w:rsidRDefault="003A385F" w:rsidP="003A385F">
      <w:pPr>
        <w:spacing w:line="480" w:lineRule="auto"/>
        <w:jc w:val="both"/>
        <w:rPr>
          <w:sz w:val="22"/>
          <w:szCs w:val="22"/>
        </w:rPr>
      </w:pPr>
    </w:p>
    <w:p w14:paraId="6DA213D9" w14:textId="77777777" w:rsidR="003A385F" w:rsidRPr="003079D8" w:rsidRDefault="003A385F" w:rsidP="001F41C1">
      <w:pPr>
        <w:spacing w:line="360" w:lineRule="auto"/>
        <w:jc w:val="both"/>
        <w:rPr>
          <w:sz w:val="22"/>
          <w:szCs w:val="22"/>
        </w:rPr>
      </w:pPr>
      <w:r w:rsidRPr="003079D8">
        <w:rPr>
          <w:b/>
          <w:sz w:val="22"/>
          <w:szCs w:val="22"/>
          <w:u w:val="single"/>
        </w:rPr>
        <w:lastRenderedPageBreak/>
        <w:t>What this study adds</w:t>
      </w:r>
      <w:r w:rsidRPr="003079D8">
        <w:rPr>
          <w:sz w:val="22"/>
          <w:szCs w:val="22"/>
        </w:rPr>
        <w:t xml:space="preserve"> </w:t>
      </w:r>
    </w:p>
    <w:p w14:paraId="7DE05D7F" w14:textId="77777777" w:rsidR="003A385F" w:rsidRPr="003079D8" w:rsidRDefault="003A385F" w:rsidP="001F41C1">
      <w:pPr>
        <w:spacing w:line="360" w:lineRule="auto"/>
        <w:jc w:val="both"/>
        <w:rPr>
          <w:sz w:val="22"/>
          <w:szCs w:val="22"/>
        </w:rPr>
      </w:pPr>
      <w:r w:rsidRPr="003079D8">
        <w:rPr>
          <w:sz w:val="22"/>
          <w:szCs w:val="22"/>
        </w:rPr>
        <w:t>Several countries have begun to implement national reporting systems for patient safety incidents in healthcare, in order to facilitate large-scale analysis of incident data. The number of incidents reported by different hospitals varies widely. However, little is known about the relationship between incident reporting rates and other hospital-level data on safety and quality of care.</w:t>
      </w:r>
    </w:p>
    <w:p w14:paraId="236FC01C" w14:textId="77777777" w:rsidR="003A385F" w:rsidRPr="003079D8" w:rsidRDefault="003A385F" w:rsidP="001F41C1">
      <w:pPr>
        <w:spacing w:line="360" w:lineRule="auto"/>
        <w:jc w:val="both"/>
        <w:rPr>
          <w:sz w:val="22"/>
          <w:szCs w:val="22"/>
        </w:rPr>
      </w:pPr>
      <w:r w:rsidRPr="003079D8">
        <w:rPr>
          <w:sz w:val="22"/>
          <w:szCs w:val="22"/>
        </w:rPr>
        <w:t>This study indicates that incident reporting rates from acute hospitals to a national reporting system increase with time from connection to the system, and that rates are positively correlated with measures of safety culture, higher reporting rates being associated with a more positive safety culture.</w:t>
      </w:r>
    </w:p>
    <w:p w14:paraId="1129A61A" w14:textId="77777777" w:rsidR="003A385F" w:rsidRPr="003079D8" w:rsidRDefault="003A385F" w:rsidP="001F41C1">
      <w:pPr>
        <w:spacing w:line="360" w:lineRule="auto"/>
        <w:jc w:val="both"/>
        <w:rPr>
          <w:sz w:val="22"/>
          <w:szCs w:val="22"/>
        </w:rPr>
      </w:pPr>
      <w:r w:rsidRPr="003079D8">
        <w:rPr>
          <w:b/>
          <w:sz w:val="22"/>
          <w:szCs w:val="22"/>
          <w:u w:val="single"/>
        </w:rPr>
        <w:t>Introduction</w:t>
      </w:r>
    </w:p>
    <w:p w14:paraId="05D5E234" w14:textId="77777777" w:rsidR="003A385F" w:rsidRPr="003079D8" w:rsidRDefault="003A385F" w:rsidP="001F41C1">
      <w:pPr>
        <w:pStyle w:val="BodyText2"/>
        <w:spacing w:line="360" w:lineRule="auto"/>
        <w:jc w:val="both"/>
        <w:rPr>
          <w:rFonts w:ascii="Arial" w:hAnsi="Arial" w:cs="Arial"/>
          <w:sz w:val="22"/>
          <w:szCs w:val="22"/>
        </w:rPr>
      </w:pPr>
      <w:r w:rsidRPr="003079D8">
        <w:rPr>
          <w:rFonts w:ascii="Arial" w:hAnsi="Arial" w:cs="Arial"/>
          <w:sz w:val="22"/>
          <w:szCs w:val="22"/>
        </w:rPr>
        <w:t>Since the publication of the US Institute of Medicine report “To err is human”[1] and the UK Department of Health report “An organisation with a memory”,[2] there has been increasing recognition of the need for healthcare organisations to monitor and learn from patient safety incidents. Proposals on how to accomplish this have included the use of reporting systems, and over the last few years several countries have established national or system-wide reporting systems to facilitate large-scale monitoring and analysis of incident data.[3, 4, 5] The National Reporting and Learning System (NRLS) for England and in Wales, established by the National Patient Safety Agency,[6] was rolled out from late 2003 and has now received over one million reports, mainly from acute hospitals.[7]</w:t>
      </w:r>
    </w:p>
    <w:p w14:paraId="7953A58D" w14:textId="77777777" w:rsidR="003A385F" w:rsidRPr="003079D8" w:rsidRDefault="003A385F" w:rsidP="001F41C1">
      <w:pPr>
        <w:pStyle w:val="BodyText2"/>
        <w:spacing w:line="360" w:lineRule="auto"/>
        <w:jc w:val="both"/>
        <w:rPr>
          <w:rFonts w:ascii="Arial" w:hAnsi="Arial" w:cs="Arial"/>
          <w:sz w:val="22"/>
          <w:szCs w:val="22"/>
        </w:rPr>
      </w:pPr>
      <w:r w:rsidRPr="003079D8">
        <w:rPr>
          <w:rFonts w:ascii="Arial" w:hAnsi="Arial" w:cs="Arial"/>
          <w:sz w:val="22"/>
          <w:szCs w:val="22"/>
        </w:rPr>
        <w:t>Although there may be benefits to be gained from the establishment of large reporting systems,[8, 9] there are challenges that accompany their development, both at the individual reporting level and at the data handling and analysis level. Many incidents still go unreported, with doctors being less likely than nurses to report.[10, 11] Barriers to reporting include time constraints, lack of knowledge about how and what to report, fear of blame, lack of feedback, and a perceived lack of value in the reporting process.[11, 12, 13] There are also technical challenges, such as connecting the national system to the many different local systems within health organisations, and developing a consistent framework for categorising incidents.[3, 14, 15] Furthermore, once the information has been captured, large amounts of data must be analysed so that meaningful feedback can be produced.[3] The World Health Organisation Draft Guidelines for Adverse Event Reporting and Learning Systems[8] identify a range of analytical approaches, including correlations and trend and cluster analyses, that might be used to identify patterns and assess risks.</w:t>
      </w:r>
    </w:p>
    <w:p w14:paraId="19030910" w14:textId="77777777" w:rsidR="003A385F" w:rsidRPr="003079D8" w:rsidRDefault="003A385F" w:rsidP="001F41C1">
      <w:pPr>
        <w:pStyle w:val="BodyText2"/>
        <w:spacing w:line="360" w:lineRule="auto"/>
        <w:jc w:val="both"/>
        <w:rPr>
          <w:rFonts w:ascii="Arial" w:hAnsi="Arial" w:cs="Arial"/>
          <w:sz w:val="22"/>
          <w:szCs w:val="22"/>
        </w:rPr>
      </w:pPr>
    </w:p>
    <w:p w14:paraId="247F6196" w14:textId="77777777" w:rsidR="003A385F" w:rsidRPr="003079D8" w:rsidRDefault="003A385F" w:rsidP="001F41C1">
      <w:pPr>
        <w:pStyle w:val="BodyText2"/>
        <w:spacing w:line="360" w:lineRule="auto"/>
        <w:jc w:val="both"/>
        <w:rPr>
          <w:rFonts w:ascii="Arial" w:hAnsi="Arial" w:cs="Arial"/>
          <w:sz w:val="22"/>
          <w:szCs w:val="22"/>
        </w:rPr>
      </w:pPr>
      <w:r w:rsidRPr="003079D8">
        <w:rPr>
          <w:rFonts w:ascii="Arial" w:hAnsi="Arial" w:cs="Arial"/>
          <w:sz w:val="22"/>
          <w:szCs w:val="22"/>
        </w:rPr>
        <w:lastRenderedPageBreak/>
        <w:t>All acute hospitals in England are now beginning to report to the National Reporting and Learning System, having been progressively connected to the system over a period of about two years. However, even taking into account the differential timetables for connection, it is clear that some organisations are reporting higher numbers of incidents than others.[7]</w:t>
      </w:r>
    </w:p>
    <w:p w14:paraId="45CF88DD" w14:textId="77777777" w:rsidR="003A385F" w:rsidRPr="003079D8" w:rsidRDefault="003A385F" w:rsidP="001F41C1">
      <w:pPr>
        <w:pStyle w:val="BodyText2"/>
        <w:spacing w:line="360" w:lineRule="auto"/>
        <w:jc w:val="both"/>
        <w:rPr>
          <w:rFonts w:ascii="Arial" w:hAnsi="Arial" w:cs="Arial"/>
          <w:sz w:val="22"/>
          <w:szCs w:val="22"/>
        </w:rPr>
      </w:pPr>
      <w:r w:rsidRPr="003079D8">
        <w:rPr>
          <w:rFonts w:ascii="Arial" w:hAnsi="Arial" w:cs="Arial"/>
          <w:sz w:val="22"/>
          <w:szCs w:val="22"/>
        </w:rPr>
        <w:t>The National Reporting and Learning System is not the only quality and safety system to which hospitals in England are asked to report.  For example, all are expected to report cases of bacteraemia due to Methicillin Resistant Staphylococcus Aureus to the Department of Health,[16] and to report incidents related to medicines and equipment to the Medicines and Healthcare Products Regulatory Agency.[17]</w:t>
      </w:r>
    </w:p>
    <w:p w14:paraId="45C26A2A" w14:textId="77777777" w:rsidR="003A385F" w:rsidRPr="003079D8" w:rsidRDefault="003A385F" w:rsidP="001F41C1">
      <w:pPr>
        <w:pStyle w:val="BodyText2"/>
        <w:spacing w:line="360" w:lineRule="auto"/>
        <w:jc w:val="both"/>
        <w:rPr>
          <w:rFonts w:ascii="Arial" w:hAnsi="Arial" w:cs="Arial"/>
          <w:sz w:val="22"/>
          <w:szCs w:val="22"/>
        </w:rPr>
      </w:pPr>
      <w:r w:rsidRPr="003079D8">
        <w:rPr>
          <w:rFonts w:ascii="Arial" w:hAnsi="Arial" w:cs="Arial"/>
          <w:sz w:val="22"/>
          <w:szCs w:val="22"/>
        </w:rPr>
        <w:t>In addition, there are other data related to quality and safety that may have a relationship to incident reporting. For example, the annual NHS Staff Survey[18] includes questions about safety culture and incident reporting, and the NHS Litigation Authority[19] conducts a risk management assessment within each hospital and awards a rating on the basis of this.</w:t>
      </w:r>
    </w:p>
    <w:p w14:paraId="4E6FABF7" w14:textId="77777777" w:rsidR="003A385F" w:rsidRPr="003079D8" w:rsidRDefault="003A385F" w:rsidP="001F41C1">
      <w:pPr>
        <w:pStyle w:val="BodyText2"/>
        <w:spacing w:line="360" w:lineRule="auto"/>
        <w:jc w:val="both"/>
        <w:rPr>
          <w:rFonts w:ascii="Arial" w:hAnsi="Arial" w:cs="Arial"/>
          <w:sz w:val="22"/>
          <w:szCs w:val="22"/>
        </w:rPr>
      </w:pPr>
      <w:r w:rsidRPr="003079D8">
        <w:rPr>
          <w:rFonts w:ascii="Arial" w:hAnsi="Arial" w:cs="Arial"/>
          <w:sz w:val="22"/>
          <w:szCs w:val="22"/>
        </w:rPr>
        <w:t>The NHS in England therefore has an increasingly rich dataset relating to safety and quality in healthcare. This study has two main aims. Firstly, it analyses the patterns and trends in reporting by acute hospitals in England to determine whether there are any defining features of those which have higher or lower reporting rates. Secondly, it explores the relationship between reporting rates and other data relating to patient safety and quality of care.</w:t>
      </w:r>
    </w:p>
    <w:p w14:paraId="2D251359" w14:textId="77777777" w:rsidR="003A385F" w:rsidRPr="003079D8" w:rsidRDefault="003A385F" w:rsidP="001F41C1">
      <w:pPr>
        <w:spacing w:line="360" w:lineRule="auto"/>
        <w:jc w:val="both"/>
        <w:rPr>
          <w:b/>
          <w:sz w:val="22"/>
          <w:szCs w:val="22"/>
          <w:u w:val="single"/>
        </w:rPr>
      </w:pPr>
      <w:r w:rsidRPr="003079D8">
        <w:rPr>
          <w:b/>
          <w:sz w:val="22"/>
          <w:szCs w:val="22"/>
          <w:u w:val="single"/>
        </w:rPr>
        <w:t>Methods</w:t>
      </w:r>
    </w:p>
    <w:p w14:paraId="02641766" w14:textId="77777777" w:rsidR="003A385F" w:rsidRPr="003079D8" w:rsidRDefault="003A385F" w:rsidP="001F41C1">
      <w:pPr>
        <w:spacing w:line="360" w:lineRule="auto"/>
        <w:jc w:val="both"/>
        <w:rPr>
          <w:sz w:val="22"/>
          <w:szCs w:val="22"/>
        </w:rPr>
      </w:pPr>
    </w:p>
    <w:p w14:paraId="54E26444" w14:textId="77777777" w:rsidR="003A385F" w:rsidRPr="003079D8" w:rsidRDefault="003A385F" w:rsidP="001F41C1">
      <w:pPr>
        <w:spacing w:line="360" w:lineRule="auto"/>
        <w:jc w:val="both"/>
        <w:rPr>
          <w:sz w:val="22"/>
          <w:szCs w:val="22"/>
          <w:u w:val="single"/>
        </w:rPr>
      </w:pPr>
      <w:r w:rsidRPr="003079D8">
        <w:rPr>
          <w:sz w:val="22"/>
          <w:szCs w:val="22"/>
          <w:u w:val="single"/>
        </w:rPr>
        <w:t>Hospitals included in the analysis</w:t>
      </w:r>
    </w:p>
    <w:p w14:paraId="0C2D7819" w14:textId="77777777" w:rsidR="003A385F" w:rsidRPr="003079D8" w:rsidRDefault="003A385F" w:rsidP="001F41C1">
      <w:pPr>
        <w:spacing w:line="360" w:lineRule="auto"/>
        <w:jc w:val="both"/>
        <w:rPr>
          <w:sz w:val="22"/>
          <w:szCs w:val="22"/>
        </w:rPr>
      </w:pPr>
      <w:r w:rsidRPr="003079D8">
        <w:rPr>
          <w:sz w:val="22"/>
          <w:szCs w:val="22"/>
        </w:rPr>
        <w:t>Anonymised, aggregated data on the number and type of incidents reported by the 173 acute hospitals in England to the National Reporting and Learning System (NRLS) between April 2004 and November 2005 were provided by the National Patient Safety Agency.[6] Of the 173 acute hospitals, 148 were included in the analysis as they had a permanent connection to the NRLS and had reported at least one incident during the period analysed (April 2004 to November 2005).</w:t>
      </w:r>
    </w:p>
    <w:p w14:paraId="47651712" w14:textId="77777777" w:rsidR="003A385F" w:rsidRPr="003079D8" w:rsidRDefault="003A385F" w:rsidP="001F41C1">
      <w:pPr>
        <w:spacing w:line="360" w:lineRule="auto"/>
        <w:jc w:val="both"/>
        <w:rPr>
          <w:sz w:val="22"/>
          <w:szCs w:val="22"/>
          <w:u w:val="single"/>
        </w:rPr>
      </w:pPr>
      <w:r w:rsidRPr="003079D8">
        <w:rPr>
          <w:sz w:val="22"/>
          <w:szCs w:val="22"/>
          <w:u w:val="single"/>
        </w:rPr>
        <w:t>Analyses undertaken and their objectives</w:t>
      </w:r>
    </w:p>
    <w:p w14:paraId="0C32EC07" w14:textId="77777777" w:rsidR="003A385F" w:rsidRDefault="003A385F" w:rsidP="001F41C1">
      <w:pPr>
        <w:spacing w:line="360" w:lineRule="auto"/>
        <w:jc w:val="both"/>
        <w:rPr>
          <w:sz w:val="22"/>
          <w:szCs w:val="22"/>
        </w:rPr>
      </w:pPr>
      <w:r w:rsidRPr="003079D8">
        <w:rPr>
          <w:sz w:val="22"/>
          <w:szCs w:val="22"/>
        </w:rPr>
        <w:t>Initially, an analysis of patterns and trends in reporting was undertaken to explore whether higher reporting rates were associated with particular hospital characteristics or types of incident (Table 1). Secondly, the relationship between reporting rates and other hospital-level safety data was explored (Table 2).</w:t>
      </w:r>
    </w:p>
    <w:p w14:paraId="18957DE5" w14:textId="77777777" w:rsidR="003A385F" w:rsidRPr="00A45863" w:rsidRDefault="003A385F" w:rsidP="003A385F">
      <w:pPr>
        <w:spacing w:after="60"/>
        <w:jc w:val="both"/>
        <w:rPr>
          <w:i/>
          <w:sz w:val="20"/>
          <w:szCs w:val="20"/>
        </w:rPr>
      </w:pPr>
      <w:r w:rsidRPr="006C23E9">
        <w:rPr>
          <w:i/>
          <w:sz w:val="20"/>
          <w:szCs w:val="20"/>
        </w:rPr>
        <w:lastRenderedPageBreak/>
        <w:t xml:space="preserve">Table </w:t>
      </w:r>
      <w:r>
        <w:rPr>
          <w:i/>
          <w:sz w:val="20"/>
          <w:szCs w:val="20"/>
        </w:rPr>
        <w:t>1</w:t>
      </w:r>
      <w:r w:rsidRPr="006C23E9">
        <w:rPr>
          <w:i/>
          <w:sz w:val="20"/>
          <w:szCs w:val="20"/>
        </w:rPr>
        <w:t xml:space="preserve">: </w:t>
      </w:r>
      <w:r>
        <w:rPr>
          <w:i/>
          <w:sz w:val="20"/>
          <w:szCs w:val="20"/>
        </w:rPr>
        <w:t>Analysis of patterns and trends in reporting</w:t>
      </w:r>
    </w:p>
    <w:tbl>
      <w:tblPr>
        <w:tblW w:w="808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9"/>
        <w:gridCol w:w="6311"/>
      </w:tblGrid>
      <w:tr w:rsidR="003A385F" w:rsidRPr="00621FE7" w14:paraId="608F64C4" w14:textId="77777777" w:rsidTr="00D44EEB">
        <w:trPr>
          <w:trHeight w:val="347"/>
        </w:trPr>
        <w:tc>
          <w:tcPr>
            <w:tcW w:w="1769" w:type="dxa"/>
            <w:tcMar>
              <w:top w:w="28" w:type="dxa"/>
              <w:bottom w:w="28" w:type="dxa"/>
            </w:tcMar>
          </w:tcPr>
          <w:p w14:paraId="3A0B7A41" w14:textId="77777777" w:rsidR="003A385F" w:rsidRPr="00621FE7" w:rsidRDefault="003A385F" w:rsidP="003A385F">
            <w:pPr>
              <w:spacing w:after="40"/>
              <w:rPr>
                <w:b/>
                <w:sz w:val="20"/>
                <w:szCs w:val="20"/>
              </w:rPr>
            </w:pPr>
            <w:r w:rsidRPr="00621FE7">
              <w:rPr>
                <w:b/>
                <w:sz w:val="20"/>
                <w:szCs w:val="20"/>
              </w:rPr>
              <w:t>Analyses</w:t>
            </w:r>
          </w:p>
        </w:tc>
        <w:tc>
          <w:tcPr>
            <w:tcW w:w="6311" w:type="dxa"/>
            <w:tcMar>
              <w:top w:w="28" w:type="dxa"/>
              <w:bottom w:w="28" w:type="dxa"/>
            </w:tcMar>
          </w:tcPr>
          <w:p w14:paraId="655DF510" w14:textId="77777777" w:rsidR="003A385F" w:rsidRPr="00621FE7" w:rsidRDefault="003A385F" w:rsidP="003A385F">
            <w:pPr>
              <w:spacing w:after="40"/>
              <w:rPr>
                <w:b/>
                <w:sz w:val="20"/>
                <w:szCs w:val="20"/>
              </w:rPr>
            </w:pPr>
            <w:r w:rsidRPr="00621FE7">
              <w:rPr>
                <w:b/>
                <w:sz w:val="20"/>
                <w:szCs w:val="20"/>
              </w:rPr>
              <w:t>Datasets used</w:t>
            </w:r>
          </w:p>
        </w:tc>
      </w:tr>
      <w:tr w:rsidR="003A385F" w:rsidRPr="00621FE7" w14:paraId="76CFF8AB" w14:textId="77777777" w:rsidTr="00D44EEB">
        <w:trPr>
          <w:trHeight w:val="663"/>
        </w:trPr>
        <w:tc>
          <w:tcPr>
            <w:tcW w:w="1769" w:type="dxa"/>
            <w:tcMar>
              <w:top w:w="28" w:type="dxa"/>
              <w:bottom w:w="28" w:type="dxa"/>
            </w:tcMar>
          </w:tcPr>
          <w:p w14:paraId="78199A00" w14:textId="77777777" w:rsidR="003A385F" w:rsidRPr="00621FE7" w:rsidRDefault="003A385F" w:rsidP="003A385F">
            <w:pPr>
              <w:spacing w:after="40"/>
              <w:rPr>
                <w:sz w:val="20"/>
                <w:szCs w:val="20"/>
              </w:rPr>
            </w:pPr>
            <w:r w:rsidRPr="00621FE7">
              <w:rPr>
                <w:sz w:val="20"/>
                <w:szCs w:val="20"/>
              </w:rPr>
              <w:t>Trend in reporting rates over time</w:t>
            </w:r>
          </w:p>
        </w:tc>
        <w:tc>
          <w:tcPr>
            <w:tcW w:w="6311" w:type="dxa"/>
            <w:tcMar>
              <w:top w:w="28" w:type="dxa"/>
              <w:bottom w:w="28" w:type="dxa"/>
            </w:tcMar>
          </w:tcPr>
          <w:p w14:paraId="0935FA4C" w14:textId="77777777" w:rsidR="003A385F" w:rsidRPr="00621FE7" w:rsidRDefault="003A385F" w:rsidP="003A385F">
            <w:pPr>
              <w:spacing w:after="40"/>
              <w:jc w:val="both"/>
              <w:rPr>
                <w:sz w:val="20"/>
                <w:szCs w:val="20"/>
              </w:rPr>
            </w:pPr>
            <w:r w:rsidRPr="00621FE7">
              <w:rPr>
                <w:sz w:val="20"/>
                <w:szCs w:val="20"/>
              </w:rPr>
              <w:t>Number of reports to NRLS per month per hospital, provided by the NPSA</w:t>
            </w:r>
          </w:p>
        </w:tc>
      </w:tr>
      <w:tr w:rsidR="003A385F" w:rsidRPr="00621FE7" w14:paraId="697EE2F2" w14:textId="77777777" w:rsidTr="00D44EEB">
        <w:trPr>
          <w:trHeight w:val="966"/>
        </w:trPr>
        <w:tc>
          <w:tcPr>
            <w:tcW w:w="1769" w:type="dxa"/>
            <w:tcMar>
              <w:top w:w="28" w:type="dxa"/>
              <w:bottom w:w="28" w:type="dxa"/>
            </w:tcMar>
          </w:tcPr>
          <w:p w14:paraId="2383A7C4" w14:textId="77777777" w:rsidR="003A385F" w:rsidRPr="00621FE7" w:rsidRDefault="003A385F" w:rsidP="003A385F">
            <w:pPr>
              <w:spacing w:after="40"/>
              <w:rPr>
                <w:sz w:val="20"/>
                <w:szCs w:val="20"/>
              </w:rPr>
            </w:pPr>
            <w:r w:rsidRPr="00621FE7">
              <w:rPr>
                <w:sz w:val="20"/>
                <w:szCs w:val="20"/>
              </w:rPr>
              <w:t>Relationship with type/severity of incidents reported</w:t>
            </w:r>
          </w:p>
        </w:tc>
        <w:tc>
          <w:tcPr>
            <w:tcW w:w="6311" w:type="dxa"/>
            <w:tcMar>
              <w:top w:w="28" w:type="dxa"/>
              <w:bottom w:w="28" w:type="dxa"/>
            </w:tcMar>
          </w:tcPr>
          <w:p w14:paraId="0CC7D68F" w14:textId="77777777" w:rsidR="003A385F" w:rsidRPr="00621FE7" w:rsidRDefault="003A385F" w:rsidP="003A385F">
            <w:pPr>
              <w:spacing w:after="40"/>
              <w:jc w:val="both"/>
              <w:rPr>
                <w:sz w:val="20"/>
                <w:szCs w:val="20"/>
              </w:rPr>
            </w:pPr>
            <w:r w:rsidRPr="00621FE7">
              <w:rPr>
                <w:sz w:val="20"/>
                <w:szCs w:val="20"/>
              </w:rPr>
              <w:t>Number of reports to NRLS per month per hospital categorised by incident type and severity, provided by the NPSA</w:t>
            </w:r>
          </w:p>
        </w:tc>
      </w:tr>
      <w:tr w:rsidR="003A385F" w:rsidRPr="00621FE7" w14:paraId="620E7A42" w14:textId="77777777" w:rsidTr="00D44EEB">
        <w:trPr>
          <w:trHeight w:val="1269"/>
        </w:trPr>
        <w:tc>
          <w:tcPr>
            <w:tcW w:w="1769" w:type="dxa"/>
            <w:tcMar>
              <w:top w:w="28" w:type="dxa"/>
              <w:bottom w:w="28" w:type="dxa"/>
            </w:tcMar>
          </w:tcPr>
          <w:p w14:paraId="43D54431" w14:textId="77777777" w:rsidR="003A385F" w:rsidRPr="00621FE7" w:rsidRDefault="003A385F" w:rsidP="003A385F">
            <w:pPr>
              <w:spacing w:after="40"/>
              <w:rPr>
                <w:sz w:val="20"/>
                <w:szCs w:val="20"/>
              </w:rPr>
            </w:pPr>
            <w:r w:rsidRPr="00621FE7">
              <w:rPr>
                <w:sz w:val="20"/>
                <w:szCs w:val="20"/>
              </w:rPr>
              <w:t>Relationship with hospital size and characteristics</w:t>
            </w:r>
          </w:p>
        </w:tc>
        <w:tc>
          <w:tcPr>
            <w:tcW w:w="6311" w:type="dxa"/>
            <w:tcMar>
              <w:top w:w="28" w:type="dxa"/>
              <w:bottom w:w="28" w:type="dxa"/>
            </w:tcMar>
          </w:tcPr>
          <w:p w14:paraId="67A5E351" w14:textId="77777777" w:rsidR="003A385F" w:rsidRPr="00621FE7" w:rsidRDefault="003A385F" w:rsidP="003A385F">
            <w:pPr>
              <w:spacing w:after="40"/>
              <w:jc w:val="both"/>
              <w:rPr>
                <w:sz w:val="20"/>
                <w:szCs w:val="20"/>
              </w:rPr>
            </w:pPr>
            <w:r w:rsidRPr="00621FE7">
              <w:rPr>
                <w:sz w:val="20"/>
                <w:szCs w:val="20"/>
              </w:rPr>
              <w:t>Healthcare Commission definitions of hospital type and size.[20] Data on patient age, gender, length of stay, and proportions of emergency and day-case admissions for 2004-5, obtained from the Hospital Episodes Statistics (HES) website[21]</w:t>
            </w:r>
          </w:p>
        </w:tc>
      </w:tr>
    </w:tbl>
    <w:p w14:paraId="60751C07" w14:textId="77777777" w:rsidR="001F41C1" w:rsidRDefault="001F41C1" w:rsidP="003A385F">
      <w:pPr>
        <w:spacing w:line="480" w:lineRule="auto"/>
        <w:rPr>
          <w:i/>
          <w:sz w:val="20"/>
          <w:szCs w:val="20"/>
        </w:rPr>
      </w:pPr>
    </w:p>
    <w:p w14:paraId="07C12185" w14:textId="77777777" w:rsidR="003A385F" w:rsidRPr="00A45863" w:rsidRDefault="003A385F" w:rsidP="003A385F">
      <w:pPr>
        <w:spacing w:line="480" w:lineRule="auto"/>
        <w:rPr>
          <w:i/>
          <w:sz w:val="20"/>
          <w:szCs w:val="20"/>
        </w:rPr>
      </w:pPr>
      <w:r w:rsidRPr="006C23E9">
        <w:rPr>
          <w:i/>
          <w:sz w:val="20"/>
          <w:szCs w:val="20"/>
        </w:rPr>
        <w:t xml:space="preserve">Table 2: </w:t>
      </w:r>
      <w:r>
        <w:rPr>
          <w:i/>
          <w:sz w:val="20"/>
          <w:szCs w:val="20"/>
        </w:rPr>
        <w:t>Analysis of r</w:t>
      </w:r>
      <w:r w:rsidRPr="006C23E9">
        <w:rPr>
          <w:i/>
          <w:sz w:val="20"/>
          <w:szCs w:val="20"/>
        </w:rPr>
        <w:t>elationship</w:t>
      </w:r>
      <w:r>
        <w:rPr>
          <w:i/>
          <w:sz w:val="20"/>
          <w:szCs w:val="20"/>
        </w:rPr>
        <w:t>s</w:t>
      </w:r>
      <w:r w:rsidRPr="006C23E9">
        <w:rPr>
          <w:i/>
          <w:sz w:val="20"/>
          <w:szCs w:val="20"/>
        </w:rPr>
        <w:t xml:space="preserve"> between reporting rates and other safety data</w:t>
      </w:r>
    </w:p>
    <w:tbl>
      <w:tblPr>
        <w:tblW w:w="808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1"/>
        <w:gridCol w:w="6359"/>
      </w:tblGrid>
      <w:tr w:rsidR="003A385F" w:rsidRPr="00621FE7" w14:paraId="2C4C7079" w14:textId="77777777" w:rsidTr="00D44EEB">
        <w:trPr>
          <w:trHeight w:val="319"/>
        </w:trPr>
        <w:tc>
          <w:tcPr>
            <w:tcW w:w="1721" w:type="dxa"/>
            <w:tcMar>
              <w:top w:w="28" w:type="dxa"/>
              <w:bottom w:w="28" w:type="dxa"/>
            </w:tcMar>
          </w:tcPr>
          <w:p w14:paraId="172FB127" w14:textId="77777777" w:rsidR="003A385F" w:rsidRPr="00621FE7" w:rsidRDefault="003A385F" w:rsidP="003A385F">
            <w:pPr>
              <w:spacing w:after="40"/>
              <w:rPr>
                <w:b/>
                <w:sz w:val="20"/>
                <w:szCs w:val="20"/>
              </w:rPr>
            </w:pPr>
            <w:r w:rsidRPr="00621FE7">
              <w:rPr>
                <w:b/>
                <w:sz w:val="20"/>
                <w:szCs w:val="20"/>
              </w:rPr>
              <w:t>Analyses</w:t>
            </w:r>
          </w:p>
        </w:tc>
        <w:tc>
          <w:tcPr>
            <w:tcW w:w="6359" w:type="dxa"/>
            <w:tcMar>
              <w:top w:w="28" w:type="dxa"/>
              <w:bottom w:w="28" w:type="dxa"/>
            </w:tcMar>
          </w:tcPr>
          <w:p w14:paraId="1BABE3BC" w14:textId="77777777" w:rsidR="003A385F" w:rsidRPr="00621FE7" w:rsidRDefault="003A385F" w:rsidP="003A385F">
            <w:pPr>
              <w:spacing w:after="40"/>
              <w:rPr>
                <w:b/>
                <w:sz w:val="20"/>
                <w:szCs w:val="20"/>
              </w:rPr>
            </w:pPr>
            <w:r w:rsidRPr="00621FE7">
              <w:rPr>
                <w:b/>
                <w:sz w:val="20"/>
                <w:szCs w:val="20"/>
              </w:rPr>
              <w:t>Datasets used</w:t>
            </w:r>
          </w:p>
        </w:tc>
      </w:tr>
      <w:tr w:rsidR="003A385F" w:rsidRPr="00621FE7" w14:paraId="0FE71305" w14:textId="77777777" w:rsidTr="00D44EEB">
        <w:trPr>
          <w:trHeight w:val="1147"/>
        </w:trPr>
        <w:tc>
          <w:tcPr>
            <w:tcW w:w="1721" w:type="dxa"/>
            <w:vMerge w:val="restart"/>
            <w:tcMar>
              <w:top w:w="28" w:type="dxa"/>
              <w:bottom w:w="28" w:type="dxa"/>
            </w:tcMar>
          </w:tcPr>
          <w:p w14:paraId="0B83AF3F" w14:textId="77777777" w:rsidR="003A385F" w:rsidRPr="00621FE7" w:rsidRDefault="003A385F" w:rsidP="003A385F">
            <w:pPr>
              <w:spacing w:after="40"/>
              <w:rPr>
                <w:sz w:val="20"/>
                <w:szCs w:val="20"/>
              </w:rPr>
            </w:pPr>
            <w:r w:rsidRPr="00621FE7">
              <w:rPr>
                <w:sz w:val="20"/>
                <w:szCs w:val="20"/>
              </w:rPr>
              <w:t>Relationship with safety culture data</w:t>
            </w:r>
          </w:p>
        </w:tc>
        <w:tc>
          <w:tcPr>
            <w:tcW w:w="6359" w:type="dxa"/>
            <w:tcMar>
              <w:top w:w="28" w:type="dxa"/>
              <w:bottom w:w="28" w:type="dxa"/>
            </w:tcMar>
          </w:tcPr>
          <w:p w14:paraId="55E6BCD5" w14:textId="77777777" w:rsidR="003A385F" w:rsidRPr="00621FE7" w:rsidRDefault="003A385F" w:rsidP="003A385F">
            <w:pPr>
              <w:spacing w:after="40"/>
              <w:jc w:val="both"/>
              <w:rPr>
                <w:sz w:val="20"/>
                <w:szCs w:val="20"/>
              </w:rPr>
            </w:pPr>
            <w:r w:rsidRPr="00621FE7">
              <w:rPr>
                <w:sz w:val="20"/>
                <w:szCs w:val="20"/>
              </w:rPr>
              <w:t>Proportion of staff at each hospital giving positive responses to the 2004 and 2005 NHS Staff Survey questions on safety culture and incident reporting, obtained from the Healthcare Commission website[18]</w:t>
            </w:r>
          </w:p>
        </w:tc>
      </w:tr>
      <w:tr w:rsidR="003A385F" w:rsidRPr="00621FE7" w14:paraId="4B73D68F" w14:textId="77777777" w:rsidTr="00D44EEB">
        <w:trPr>
          <w:trHeight w:val="147"/>
        </w:trPr>
        <w:tc>
          <w:tcPr>
            <w:tcW w:w="1721" w:type="dxa"/>
            <w:vMerge/>
          </w:tcPr>
          <w:p w14:paraId="2ED15FEA" w14:textId="77777777" w:rsidR="003A385F" w:rsidRPr="00621FE7" w:rsidRDefault="003A385F" w:rsidP="003A385F">
            <w:pPr>
              <w:spacing w:after="40"/>
              <w:rPr>
                <w:sz w:val="20"/>
                <w:szCs w:val="20"/>
              </w:rPr>
            </w:pPr>
          </w:p>
        </w:tc>
        <w:tc>
          <w:tcPr>
            <w:tcW w:w="6359" w:type="dxa"/>
            <w:tcMar>
              <w:top w:w="28" w:type="dxa"/>
              <w:bottom w:w="28" w:type="dxa"/>
            </w:tcMar>
          </w:tcPr>
          <w:p w14:paraId="31595738" w14:textId="77777777" w:rsidR="003A385F" w:rsidRPr="00621FE7" w:rsidRDefault="003A385F" w:rsidP="00D44EEB">
            <w:pPr>
              <w:spacing w:after="40"/>
              <w:jc w:val="both"/>
              <w:rPr>
                <w:sz w:val="20"/>
                <w:szCs w:val="20"/>
              </w:rPr>
            </w:pPr>
            <w:r w:rsidRPr="00621FE7">
              <w:rPr>
                <w:sz w:val="20"/>
                <w:szCs w:val="20"/>
              </w:rPr>
              <w:t>Risk management ratings per hospital awarded by the NHS Litigation Authority, ranging from 0 (lowest standard) to 3 (highest standard); data for December 2005 were obtained from the NHS Litigation Authority website[19]</w:t>
            </w:r>
          </w:p>
        </w:tc>
      </w:tr>
      <w:tr w:rsidR="003A385F" w:rsidRPr="00621FE7" w14:paraId="136B3A6D" w14:textId="77777777" w:rsidTr="00D44EEB">
        <w:trPr>
          <w:trHeight w:val="508"/>
        </w:trPr>
        <w:tc>
          <w:tcPr>
            <w:tcW w:w="1721" w:type="dxa"/>
            <w:vMerge w:val="restart"/>
            <w:tcMar>
              <w:top w:w="28" w:type="dxa"/>
              <w:bottom w:w="28" w:type="dxa"/>
            </w:tcMar>
          </w:tcPr>
          <w:p w14:paraId="35FB1646" w14:textId="77777777" w:rsidR="003A385F" w:rsidRPr="00621FE7" w:rsidRDefault="003A385F" w:rsidP="003A385F">
            <w:pPr>
              <w:spacing w:after="40"/>
              <w:rPr>
                <w:sz w:val="20"/>
                <w:szCs w:val="20"/>
              </w:rPr>
            </w:pPr>
            <w:r w:rsidRPr="00621FE7">
              <w:rPr>
                <w:sz w:val="20"/>
                <w:szCs w:val="20"/>
              </w:rPr>
              <w:t>Relationship with reporting rates to other systems</w:t>
            </w:r>
          </w:p>
        </w:tc>
        <w:tc>
          <w:tcPr>
            <w:tcW w:w="6359" w:type="dxa"/>
            <w:tcMar>
              <w:top w:w="28" w:type="dxa"/>
              <w:bottom w:w="28" w:type="dxa"/>
            </w:tcMar>
          </w:tcPr>
          <w:p w14:paraId="7C924B99" w14:textId="77777777" w:rsidR="003A385F" w:rsidRPr="00621FE7" w:rsidRDefault="003A385F" w:rsidP="003A385F">
            <w:pPr>
              <w:spacing w:after="40"/>
              <w:jc w:val="both"/>
              <w:rPr>
                <w:sz w:val="20"/>
                <w:szCs w:val="20"/>
              </w:rPr>
            </w:pPr>
            <w:r w:rsidRPr="00621FE7">
              <w:rPr>
                <w:sz w:val="20"/>
                <w:szCs w:val="20"/>
              </w:rPr>
              <w:t xml:space="preserve">Number of reports of </w:t>
            </w:r>
            <w:r w:rsidRPr="00621FE7">
              <w:rPr>
                <w:bCs/>
                <w:sz w:val="20"/>
                <w:szCs w:val="20"/>
              </w:rPr>
              <w:t>Methicillin-Resistant Staphylococcus Aureus</w:t>
            </w:r>
            <w:r>
              <w:t xml:space="preserve"> (</w:t>
            </w:r>
            <w:r w:rsidRPr="00621FE7">
              <w:rPr>
                <w:sz w:val="20"/>
                <w:szCs w:val="20"/>
              </w:rPr>
              <w:t>MRSA) bacteraemias during 2004-5, obtained from the Department of Health website[16]</w:t>
            </w:r>
          </w:p>
        </w:tc>
      </w:tr>
      <w:tr w:rsidR="003A385F" w:rsidRPr="00621FE7" w14:paraId="0E749253" w14:textId="77777777" w:rsidTr="00D44EEB">
        <w:trPr>
          <w:trHeight w:val="482"/>
        </w:trPr>
        <w:tc>
          <w:tcPr>
            <w:tcW w:w="1721" w:type="dxa"/>
            <w:vMerge/>
            <w:tcMar>
              <w:top w:w="28" w:type="dxa"/>
              <w:bottom w:w="28" w:type="dxa"/>
            </w:tcMar>
          </w:tcPr>
          <w:p w14:paraId="13AD153B" w14:textId="77777777" w:rsidR="003A385F" w:rsidRPr="00621FE7" w:rsidRDefault="003A385F" w:rsidP="003A385F">
            <w:pPr>
              <w:spacing w:after="40"/>
              <w:rPr>
                <w:sz w:val="20"/>
                <w:szCs w:val="20"/>
              </w:rPr>
            </w:pPr>
          </w:p>
        </w:tc>
        <w:tc>
          <w:tcPr>
            <w:tcW w:w="6359" w:type="dxa"/>
            <w:tcMar>
              <w:top w:w="28" w:type="dxa"/>
              <w:bottom w:w="28" w:type="dxa"/>
            </w:tcMar>
          </w:tcPr>
          <w:p w14:paraId="721443A9" w14:textId="77777777" w:rsidR="003A385F" w:rsidRPr="00621FE7" w:rsidRDefault="003A385F" w:rsidP="003A385F">
            <w:pPr>
              <w:spacing w:after="40"/>
              <w:jc w:val="both"/>
              <w:rPr>
                <w:sz w:val="20"/>
                <w:szCs w:val="20"/>
              </w:rPr>
            </w:pPr>
            <w:r w:rsidRPr="00621FE7">
              <w:rPr>
                <w:sz w:val="20"/>
                <w:szCs w:val="20"/>
              </w:rPr>
              <w:t>Number of reports about medical devices to the Medicines and Healthcare Products Regulatory Agency (MHRA)[17] during 2005, obtained from the MHRA via the NPSA</w:t>
            </w:r>
          </w:p>
        </w:tc>
      </w:tr>
      <w:tr w:rsidR="003A385F" w:rsidRPr="00621FE7" w14:paraId="4D8800C8" w14:textId="77777777" w:rsidTr="00D44EEB">
        <w:trPr>
          <w:trHeight w:val="612"/>
        </w:trPr>
        <w:tc>
          <w:tcPr>
            <w:tcW w:w="1721" w:type="dxa"/>
            <w:vMerge w:val="restart"/>
            <w:tcMar>
              <w:top w:w="28" w:type="dxa"/>
              <w:bottom w:w="28" w:type="dxa"/>
            </w:tcMar>
          </w:tcPr>
          <w:p w14:paraId="291E2B3B" w14:textId="77777777" w:rsidR="003A385F" w:rsidRPr="00621FE7" w:rsidRDefault="003A385F" w:rsidP="003A385F">
            <w:pPr>
              <w:spacing w:after="40"/>
              <w:rPr>
                <w:sz w:val="20"/>
                <w:szCs w:val="20"/>
              </w:rPr>
            </w:pPr>
            <w:r w:rsidRPr="00621FE7">
              <w:rPr>
                <w:sz w:val="20"/>
                <w:szCs w:val="20"/>
              </w:rPr>
              <w:t>Relationship with outcome data</w:t>
            </w:r>
          </w:p>
        </w:tc>
        <w:tc>
          <w:tcPr>
            <w:tcW w:w="6359" w:type="dxa"/>
            <w:tcMar>
              <w:top w:w="28" w:type="dxa"/>
              <w:bottom w:w="28" w:type="dxa"/>
            </w:tcMar>
          </w:tcPr>
          <w:p w14:paraId="056D4F4D" w14:textId="77777777" w:rsidR="003A385F" w:rsidRPr="00621FE7" w:rsidRDefault="003A385F" w:rsidP="003A385F">
            <w:pPr>
              <w:spacing w:after="40"/>
              <w:jc w:val="both"/>
              <w:rPr>
                <w:sz w:val="20"/>
                <w:szCs w:val="20"/>
              </w:rPr>
            </w:pPr>
            <w:r w:rsidRPr="00621FE7">
              <w:rPr>
                <w:sz w:val="20"/>
                <w:szCs w:val="20"/>
              </w:rPr>
              <w:t>Hospital Standardised Mortality Ratios (HSMRs) for each hospital for 2004-5, obtained from the Dr Foster website[22]</w:t>
            </w:r>
          </w:p>
        </w:tc>
      </w:tr>
      <w:tr w:rsidR="003A385F" w:rsidRPr="00621FE7" w14:paraId="6F74121F" w14:textId="77777777" w:rsidTr="00D44EEB">
        <w:trPr>
          <w:trHeight w:val="147"/>
        </w:trPr>
        <w:tc>
          <w:tcPr>
            <w:tcW w:w="1721" w:type="dxa"/>
            <w:vMerge/>
            <w:tcMar>
              <w:top w:w="28" w:type="dxa"/>
              <w:bottom w:w="28" w:type="dxa"/>
            </w:tcMar>
          </w:tcPr>
          <w:p w14:paraId="7592E141" w14:textId="77777777" w:rsidR="003A385F" w:rsidRPr="00621FE7" w:rsidRDefault="003A385F" w:rsidP="003A385F">
            <w:pPr>
              <w:spacing w:after="40"/>
              <w:rPr>
                <w:sz w:val="20"/>
                <w:szCs w:val="20"/>
              </w:rPr>
            </w:pPr>
          </w:p>
        </w:tc>
        <w:tc>
          <w:tcPr>
            <w:tcW w:w="6359" w:type="dxa"/>
            <w:tcMar>
              <w:top w:w="28" w:type="dxa"/>
              <w:bottom w:w="28" w:type="dxa"/>
            </w:tcMar>
          </w:tcPr>
          <w:p w14:paraId="1ED86A55" w14:textId="77777777" w:rsidR="003A385F" w:rsidRPr="00621FE7" w:rsidRDefault="003A385F" w:rsidP="003A385F">
            <w:pPr>
              <w:spacing w:after="40"/>
              <w:jc w:val="both"/>
              <w:rPr>
                <w:sz w:val="20"/>
                <w:szCs w:val="20"/>
              </w:rPr>
            </w:pPr>
            <w:r w:rsidRPr="00621FE7">
              <w:rPr>
                <w:sz w:val="20"/>
                <w:szCs w:val="20"/>
              </w:rPr>
              <w:t xml:space="preserve">Hospital-level data on Patient </w:t>
            </w:r>
            <w:r w:rsidRPr="00621FE7">
              <w:rPr>
                <w:bCs/>
                <w:iCs/>
                <w:sz w:val="20"/>
                <w:szCs w:val="20"/>
              </w:rPr>
              <w:t xml:space="preserve">Safety Indicators, </w:t>
            </w:r>
            <w:r w:rsidRPr="00621FE7">
              <w:rPr>
                <w:sz w:val="20"/>
                <w:szCs w:val="20"/>
              </w:rPr>
              <w:t>measures of safety and quality which can be calculated using HES data. These indicators were</w:t>
            </w:r>
            <w:r w:rsidRPr="00621FE7">
              <w:rPr>
                <w:bCs/>
                <w:iCs/>
                <w:sz w:val="20"/>
                <w:szCs w:val="20"/>
              </w:rPr>
              <w:t xml:space="preserve"> adapted by the </w:t>
            </w:r>
            <w:r w:rsidRPr="00621FE7">
              <w:rPr>
                <w:sz w:val="20"/>
                <w:szCs w:val="20"/>
              </w:rPr>
              <w:t>Healthcare Commission and the NPSA from those developed by the Agency for Healthcare Research and Quality (AHRQ) in the US;[23] data were provided by the NPSA.</w:t>
            </w:r>
          </w:p>
        </w:tc>
      </w:tr>
    </w:tbl>
    <w:p w14:paraId="52E827E5" w14:textId="77777777" w:rsidR="003A385F" w:rsidRPr="003079D8" w:rsidRDefault="003A385F" w:rsidP="003A385F">
      <w:pPr>
        <w:spacing w:line="480" w:lineRule="auto"/>
        <w:jc w:val="both"/>
        <w:rPr>
          <w:sz w:val="22"/>
          <w:szCs w:val="22"/>
        </w:rPr>
      </w:pPr>
    </w:p>
    <w:p w14:paraId="2F4F671E" w14:textId="77777777" w:rsidR="005D320D" w:rsidRDefault="005D320D" w:rsidP="001F41C1">
      <w:pPr>
        <w:spacing w:line="360" w:lineRule="auto"/>
        <w:jc w:val="both"/>
        <w:rPr>
          <w:sz w:val="22"/>
          <w:szCs w:val="22"/>
          <w:u w:val="single"/>
        </w:rPr>
      </w:pPr>
    </w:p>
    <w:p w14:paraId="1433A518" w14:textId="77777777" w:rsidR="005D320D" w:rsidRDefault="005D320D" w:rsidP="001F41C1">
      <w:pPr>
        <w:spacing w:line="360" w:lineRule="auto"/>
        <w:jc w:val="both"/>
        <w:rPr>
          <w:sz w:val="22"/>
          <w:szCs w:val="22"/>
          <w:u w:val="single"/>
        </w:rPr>
      </w:pPr>
    </w:p>
    <w:p w14:paraId="1C51503B" w14:textId="77777777" w:rsidR="003A385F" w:rsidRPr="003079D8" w:rsidRDefault="003A385F" w:rsidP="001F41C1">
      <w:pPr>
        <w:spacing w:line="360" w:lineRule="auto"/>
        <w:jc w:val="both"/>
        <w:rPr>
          <w:sz w:val="22"/>
          <w:szCs w:val="22"/>
          <w:u w:val="single"/>
        </w:rPr>
      </w:pPr>
      <w:r w:rsidRPr="003079D8">
        <w:rPr>
          <w:sz w:val="22"/>
          <w:szCs w:val="22"/>
          <w:u w:val="single"/>
        </w:rPr>
        <w:lastRenderedPageBreak/>
        <w:t>Calculation of reporting rates</w:t>
      </w:r>
    </w:p>
    <w:p w14:paraId="767F97FC" w14:textId="77777777" w:rsidR="003A385F" w:rsidRPr="003079D8" w:rsidRDefault="003A385F" w:rsidP="001F41C1">
      <w:pPr>
        <w:spacing w:line="360" w:lineRule="auto"/>
        <w:jc w:val="both"/>
        <w:rPr>
          <w:sz w:val="22"/>
          <w:szCs w:val="22"/>
        </w:rPr>
      </w:pPr>
      <w:r w:rsidRPr="003079D8">
        <w:rPr>
          <w:sz w:val="22"/>
          <w:szCs w:val="22"/>
        </w:rPr>
        <w:t>To account for hospital size and activity, reporting rates were expressed as the number of reports per 100 bed days per month, or per 100 consultant episodes per month. Data on bed days and consultant episodes were obtained from the Hospital Episode Statistics (HES) website.[21]</w:t>
      </w:r>
    </w:p>
    <w:p w14:paraId="17F6935D" w14:textId="77777777" w:rsidR="003A385F" w:rsidRPr="003079D8" w:rsidRDefault="003A385F" w:rsidP="001F41C1">
      <w:pPr>
        <w:spacing w:line="360" w:lineRule="auto"/>
        <w:jc w:val="both"/>
        <w:rPr>
          <w:sz w:val="22"/>
          <w:szCs w:val="22"/>
          <w:u w:val="single"/>
        </w:rPr>
      </w:pPr>
      <w:r w:rsidRPr="003079D8">
        <w:rPr>
          <w:sz w:val="22"/>
          <w:szCs w:val="22"/>
          <w:u w:val="single"/>
        </w:rPr>
        <w:t>Calculation of trends in reporting rates</w:t>
      </w:r>
    </w:p>
    <w:p w14:paraId="69801127" w14:textId="77777777" w:rsidR="003A385F" w:rsidRPr="003079D8" w:rsidRDefault="003A385F" w:rsidP="001F41C1">
      <w:pPr>
        <w:spacing w:line="360" w:lineRule="auto"/>
        <w:jc w:val="both"/>
        <w:rPr>
          <w:sz w:val="22"/>
          <w:szCs w:val="22"/>
        </w:rPr>
      </w:pPr>
      <w:r w:rsidRPr="003079D8">
        <w:rPr>
          <w:sz w:val="22"/>
          <w:szCs w:val="22"/>
        </w:rPr>
        <w:t>The moving average method was used to calculate the trend in reporting rates,[24] in order to minimise fluctuations caused by data being reported and processed in batches, both within hospitals and within the NRLS. In this method, the first data point is an average of months 1,2,3; the second point is an average of months 2,3,4; and so on. The data points were calculated from each hospital’s connection date onwards.</w:t>
      </w:r>
    </w:p>
    <w:p w14:paraId="711EF21C" w14:textId="77777777" w:rsidR="003A385F" w:rsidRPr="003079D8" w:rsidRDefault="003A385F" w:rsidP="001F41C1">
      <w:pPr>
        <w:spacing w:line="360" w:lineRule="auto"/>
        <w:jc w:val="both"/>
        <w:rPr>
          <w:sz w:val="22"/>
          <w:szCs w:val="22"/>
          <w:u w:val="single"/>
        </w:rPr>
      </w:pPr>
      <w:r w:rsidRPr="003079D8">
        <w:rPr>
          <w:sz w:val="22"/>
          <w:szCs w:val="22"/>
          <w:u w:val="single"/>
        </w:rPr>
        <w:t>Correlation and regression analyses</w:t>
      </w:r>
    </w:p>
    <w:p w14:paraId="4B3B206C" w14:textId="77777777" w:rsidR="003A385F" w:rsidRPr="003079D8" w:rsidRDefault="003A385F" w:rsidP="001F41C1">
      <w:pPr>
        <w:spacing w:line="360" w:lineRule="auto"/>
        <w:jc w:val="both"/>
        <w:rPr>
          <w:sz w:val="22"/>
          <w:szCs w:val="22"/>
          <w:u w:val="single"/>
        </w:rPr>
      </w:pPr>
      <w:r w:rsidRPr="003079D8">
        <w:rPr>
          <w:sz w:val="22"/>
          <w:szCs w:val="22"/>
        </w:rPr>
        <w:t xml:space="preserve">Linear associations between reporting rates to the NRLS and other safety data were explored using Spearman’s correlation coefficient and ordinary least squares linear regression analyses, </w:t>
      </w:r>
      <w:r w:rsidRPr="003079D8">
        <w:rPr>
          <w:bCs/>
          <w:sz w:val="22"/>
          <w:szCs w:val="22"/>
        </w:rPr>
        <w:t xml:space="preserve">using STATA.[25] Statistical tests were two-sided and a significance level of p </w:t>
      </w:r>
      <w:r w:rsidRPr="003079D8">
        <w:rPr>
          <w:rFonts w:ascii="Times New Roman" w:hAnsi="Times New Roman"/>
          <w:bCs/>
          <w:sz w:val="22"/>
          <w:szCs w:val="22"/>
        </w:rPr>
        <w:t>≤</w:t>
      </w:r>
      <w:r w:rsidRPr="003079D8">
        <w:rPr>
          <w:bCs/>
          <w:sz w:val="22"/>
          <w:szCs w:val="22"/>
        </w:rPr>
        <w:t xml:space="preserve"> 0.05 was used for all analyses.</w:t>
      </w:r>
    </w:p>
    <w:p w14:paraId="365799A4" w14:textId="77777777" w:rsidR="003A385F" w:rsidRPr="003079D8" w:rsidRDefault="003A385F" w:rsidP="001F41C1">
      <w:pPr>
        <w:spacing w:line="360" w:lineRule="auto"/>
        <w:jc w:val="both"/>
        <w:rPr>
          <w:sz w:val="22"/>
          <w:szCs w:val="22"/>
          <w:u w:val="single"/>
        </w:rPr>
      </w:pPr>
    </w:p>
    <w:p w14:paraId="59ADEA37" w14:textId="77777777" w:rsidR="003A385F" w:rsidRPr="003079D8" w:rsidRDefault="003A385F" w:rsidP="001F41C1">
      <w:pPr>
        <w:spacing w:line="360" w:lineRule="auto"/>
        <w:jc w:val="both"/>
        <w:rPr>
          <w:bCs/>
          <w:sz w:val="22"/>
          <w:szCs w:val="22"/>
        </w:rPr>
      </w:pPr>
      <w:r w:rsidRPr="003079D8">
        <w:rPr>
          <w:b/>
          <w:sz w:val="22"/>
          <w:szCs w:val="22"/>
          <w:u w:val="single"/>
        </w:rPr>
        <w:t>Results</w:t>
      </w:r>
    </w:p>
    <w:p w14:paraId="7FFF1E50" w14:textId="77777777" w:rsidR="003A385F" w:rsidRPr="003079D8" w:rsidRDefault="003A385F" w:rsidP="001F41C1">
      <w:pPr>
        <w:spacing w:line="360" w:lineRule="auto"/>
        <w:jc w:val="both"/>
        <w:rPr>
          <w:sz w:val="22"/>
          <w:szCs w:val="22"/>
          <w:u w:val="single"/>
        </w:rPr>
      </w:pPr>
      <w:r w:rsidRPr="003079D8">
        <w:rPr>
          <w:sz w:val="22"/>
          <w:szCs w:val="22"/>
          <w:u w:val="single"/>
        </w:rPr>
        <w:t>Trends and patterns in reporting to the National Reporting and Learning System</w:t>
      </w:r>
    </w:p>
    <w:p w14:paraId="793AD733" w14:textId="77777777" w:rsidR="003A385F" w:rsidRPr="003079D8" w:rsidRDefault="003A385F" w:rsidP="001F41C1">
      <w:pPr>
        <w:spacing w:line="360" w:lineRule="auto"/>
        <w:jc w:val="both"/>
        <w:rPr>
          <w:sz w:val="22"/>
          <w:szCs w:val="22"/>
        </w:rPr>
      </w:pPr>
      <w:r w:rsidRPr="003079D8">
        <w:rPr>
          <w:sz w:val="22"/>
          <w:szCs w:val="22"/>
        </w:rPr>
        <w:t>Figure 1 shows the trend in mean reporting rates to the NRLS across 148 hospitals (per 100 bed days per month). To minimise the effect of hospitals becoming connected to the system at different times, the data points are calculated from each hospital’s connection date onwards (i.e. month 1 is an average of the first live month of all hospitals, irrespective of date of connection). Reporting rates were still increasing when hospitals had been connected to the system for 18 months (mean reporting rates showed a linear trend; p &lt; 0.001). Trends in reporting rate were similar whether expressed per 100 bed days or per 100 consultant episodes (not shown); rates per 100 bed days were selected as a proxy for hospital size and activity, since bed days are a more discrete entity and were thought to better reflect the level of hospital activity.</w:t>
      </w:r>
    </w:p>
    <w:p w14:paraId="615EAE58" w14:textId="77777777" w:rsidR="005D320D" w:rsidRDefault="005D320D" w:rsidP="00DB0407">
      <w:pPr>
        <w:jc w:val="both"/>
        <w:rPr>
          <w:b/>
          <w:sz w:val="20"/>
          <w:szCs w:val="20"/>
        </w:rPr>
      </w:pPr>
    </w:p>
    <w:p w14:paraId="085358B0" w14:textId="77777777" w:rsidR="005D320D" w:rsidRDefault="005D320D" w:rsidP="00DB0407">
      <w:pPr>
        <w:jc w:val="both"/>
        <w:rPr>
          <w:b/>
          <w:sz w:val="20"/>
          <w:szCs w:val="20"/>
        </w:rPr>
      </w:pPr>
    </w:p>
    <w:p w14:paraId="007E0EF0" w14:textId="77777777" w:rsidR="005D320D" w:rsidRDefault="005D320D" w:rsidP="00DB0407">
      <w:pPr>
        <w:jc w:val="both"/>
        <w:rPr>
          <w:b/>
          <w:sz w:val="20"/>
          <w:szCs w:val="20"/>
        </w:rPr>
      </w:pPr>
    </w:p>
    <w:p w14:paraId="7F0FCD19" w14:textId="77777777" w:rsidR="00DB0407" w:rsidRPr="00DB011F" w:rsidRDefault="00DB0407" w:rsidP="00DB0407">
      <w:pPr>
        <w:jc w:val="both"/>
        <w:rPr>
          <w:b/>
          <w:sz w:val="20"/>
          <w:szCs w:val="20"/>
        </w:rPr>
      </w:pPr>
      <w:r w:rsidRPr="00DB011F">
        <w:rPr>
          <w:b/>
          <w:sz w:val="20"/>
          <w:szCs w:val="20"/>
        </w:rPr>
        <w:t xml:space="preserve">Figure 1: Trend in mean number of reports per 100 bed days, from date of </w:t>
      </w:r>
      <w:r w:rsidR="00D44EEB">
        <w:rPr>
          <w:b/>
          <w:sz w:val="20"/>
          <w:szCs w:val="20"/>
        </w:rPr>
        <w:t xml:space="preserve">    </w:t>
      </w:r>
      <w:r w:rsidRPr="00DB011F">
        <w:rPr>
          <w:b/>
          <w:sz w:val="20"/>
          <w:szCs w:val="20"/>
        </w:rPr>
        <w:t>connection to NRLS</w:t>
      </w:r>
    </w:p>
    <w:p w14:paraId="1C3C35F7" w14:textId="77777777" w:rsidR="00DB0407" w:rsidRDefault="00B25214" w:rsidP="00DB0407">
      <w:pPr>
        <w:spacing w:line="480" w:lineRule="auto"/>
        <w:jc w:val="both"/>
        <w:rPr>
          <w:sz w:val="22"/>
          <w:szCs w:val="22"/>
        </w:rPr>
      </w:pPr>
      <w:r>
        <w:object w:dxaOrig="5280" w:dyaOrig="4079" w14:anchorId="3B5FCF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2pt;height:264.6pt" o:ole="">
            <v:imagedata r:id="rId18" o:title=""/>
          </v:shape>
          <o:OLEObject Type="Embed" ProgID="SPLUSGraphSheetFileType" ShapeID="_x0000_i1025" DrawAspect="Content" ObjectID="_1764423515" r:id="rId19"/>
        </w:object>
      </w:r>
    </w:p>
    <w:p w14:paraId="4CEF09BD" w14:textId="77777777" w:rsidR="003A385F" w:rsidRPr="003079D8" w:rsidRDefault="003A385F" w:rsidP="001F41C1">
      <w:pPr>
        <w:spacing w:line="360" w:lineRule="auto"/>
        <w:jc w:val="both"/>
        <w:rPr>
          <w:sz w:val="22"/>
          <w:szCs w:val="22"/>
        </w:rPr>
      </w:pPr>
      <w:r w:rsidRPr="003079D8">
        <w:rPr>
          <w:sz w:val="22"/>
          <w:szCs w:val="22"/>
        </w:rPr>
        <w:t>Hospitals with higher overall reporting rates had a lower percentage of reports in the “slips, trips and falls” incident category (correlation -0.21, 95% confidence interval (CI) -0.37 to -0.05, p = 0.015). Figure 2 illustrates that while, for the majority of hospitals, the rate of falls increases in line with other types of incident, a few hospitals appear to be reporting higher rates of non-fall incidents while the rate of falls remains relatively constant. There were no significant correlations with proportions of other incident types. Nor was there a correlation between overall reporting rate and the proportion of reports relating to incidents of differing levels of severity.</w:t>
      </w:r>
    </w:p>
    <w:p w14:paraId="09557CAB" w14:textId="77777777" w:rsidR="003A385F" w:rsidRPr="003079D8" w:rsidRDefault="003A385F" w:rsidP="003A385F">
      <w:pPr>
        <w:spacing w:line="480" w:lineRule="auto"/>
        <w:jc w:val="both"/>
        <w:rPr>
          <w:sz w:val="22"/>
          <w:szCs w:val="22"/>
        </w:rPr>
      </w:pPr>
    </w:p>
    <w:p w14:paraId="2F9C59E7" w14:textId="77777777" w:rsidR="00DB0407" w:rsidRDefault="00DB0407" w:rsidP="00DB0407">
      <w:pPr>
        <w:jc w:val="both"/>
        <w:rPr>
          <w:i/>
          <w:sz w:val="20"/>
          <w:szCs w:val="20"/>
        </w:rPr>
      </w:pPr>
    </w:p>
    <w:p w14:paraId="1C31CC16" w14:textId="77777777" w:rsidR="001F41C1" w:rsidRDefault="001F41C1" w:rsidP="00DB0407">
      <w:pPr>
        <w:jc w:val="both"/>
        <w:rPr>
          <w:i/>
          <w:sz w:val="20"/>
          <w:szCs w:val="20"/>
        </w:rPr>
      </w:pPr>
    </w:p>
    <w:p w14:paraId="3D6F2150" w14:textId="77777777" w:rsidR="001F41C1" w:rsidRDefault="001F41C1" w:rsidP="00DB0407">
      <w:pPr>
        <w:jc w:val="both"/>
        <w:rPr>
          <w:i/>
          <w:sz w:val="20"/>
          <w:szCs w:val="20"/>
        </w:rPr>
      </w:pPr>
    </w:p>
    <w:p w14:paraId="6B5DD22D" w14:textId="77777777" w:rsidR="00B25214" w:rsidRDefault="00B25214" w:rsidP="00DB0407">
      <w:pPr>
        <w:jc w:val="both"/>
        <w:rPr>
          <w:i/>
          <w:sz w:val="20"/>
          <w:szCs w:val="20"/>
        </w:rPr>
      </w:pPr>
    </w:p>
    <w:p w14:paraId="0954F991" w14:textId="77777777" w:rsidR="001F41C1" w:rsidRDefault="001F41C1" w:rsidP="00DB0407">
      <w:pPr>
        <w:jc w:val="both"/>
        <w:rPr>
          <w:i/>
          <w:sz w:val="20"/>
          <w:szCs w:val="20"/>
        </w:rPr>
      </w:pPr>
    </w:p>
    <w:p w14:paraId="1BF6F4D6" w14:textId="77777777" w:rsidR="00DB0407" w:rsidRDefault="00DB0407" w:rsidP="00DB0407">
      <w:pPr>
        <w:jc w:val="both"/>
        <w:rPr>
          <w:i/>
          <w:sz w:val="20"/>
          <w:szCs w:val="20"/>
        </w:rPr>
      </w:pPr>
    </w:p>
    <w:p w14:paraId="6C1B8251" w14:textId="77777777" w:rsidR="00D44EEB" w:rsidRDefault="00D44EEB" w:rsidP="00DB0407">
      <w:pPr>
        <w:jc w:val="both"/>
        <w:rPr>
          <w:b/>
          <w:sz w:val="20"/>
          <w:szCs w:val="20"/>
        </w:rPr>
      </w:pPr>
    </w:p>
    <w:p w14:paraId="76634FB0" w14:textId="77777777" w:rsidR="00DB0407" w:rsidRPr="00DB011F" w:rsidRDefault="00DB0407" w:rsidP="00DB0407">
      <w:pPr>
        <w:jc w:val="both"/>
        <w:rPr>
          <w:b/>
          <w:sz w:val="20"/>
          <w:szCs w:val="20"/>
        </w:rPr>
      </w:pPr>
      <w:r w:rsidRPr="00DB011F">
        <w:rPr>
          <w:b/>
          <w:sz w:val="20"/>
          <w:szCs w:val="20"/>
        </w:rPr>
        <w:lastRenderedPageBreak/>
        <w:t>Figure 2: Relationship between “slips, trips and falls” and other types of incident</w:t>
      </w:r>
      <w:r w:rsidR="00D44EEB">
        <w:rPr>
          <w:b/>
          <w:sz w:val="20"/>
          <w:szCs w:val="20"/>
        </w:rPr>
        <w:t xml:space="preserve">    </w:t>
      </w:r>
      <w:r w:rsidRPr="00DB011F">
        <w:rPr>
          <w:b/>
          <w:sz w:val="20"/>
          <w:szCs w:val="20"/>
        </w:rPr>
        <w:t xml:space="preserve"> (per 1000 bed days)</w:t>
      </w:r>
    </w:p>
    <w:p w14:paraId="5AF5134A" w14:textId="77777777" w:rsidR="003A385F" w:rsidRPr="00DB0407" w:rsidRDefault="00B25214" w:rsidP="00DB0407">
      <w:pPr>
        <w:spacing w:line="480" w:lineRule="auto"/>
        <w:jc w:val="both"/>
        <w:rPr>
          <w:sz w:val="22"/>
          <w:szCs w:val="22"/>
        </w:rPr>
      </w:pPr>
      <w:r>
        <w:object w:dxaOrig="5280" w:dyaOrig="4080" w14:anchorId="6594F63F">
          <v:shape id="_x0000_i1026" type="#_x0000_t75" style="width:349.2pt;height:267.6pt" o:ole="">
            <v:imagedata r:id="rId20" o:title=""/>
          </v:shape>
          <o:OLEObject Type="Embed" ProgID="SPLUSGraphSheetFileType" ShapeID="_x0000_i1026" DrawAspect="Content" ObjectID="_1764423516" r:id="rId21"/>
        </w:object>
      </w:r>
    </w:p>
    <w:p w14:paraId="06F1DD92" w14:textId="77777777" w:rsidR="003A385F" w:rsidRPr="003079D8" w:rsidRDefault="003A385F" w:rsidP="001F41C1">
      <w:pPr>
        <w:spacing w:line="360" w:lineRule="auto"/>
        <w:jc w:val="both"/>
        <w:rPr>
          <w:sz w:val="22"/>
          <w:szCs w:val="22"/>
          <w:u w:val="single"/>
        </w:rPr>
      </w:pPr>
      <w:r w:rsidRPr="003079D8">
        <w:rPr>
          <w:sz w:val="22"/>
          <w:szCs w:val="22"/>
          <w:u w:val="single"/>
        </w:rPr>
        <w:t>Relationship between reporting rates and safety culture data</w:t>
      </w:r>
    </w:p>
    <w:p w14:paraId="07CDDBCC" w14:textId="77777777" w:rsidR="001F41C1" w:rsidRPr="003079D8" w:rsidRDefault="003A385F" w:rsidP="001F41C1">
      <w:pPr>
        <w:spacing w:line="360" w:lineRule="auto"/>
        <w:jc w:val="both"/>
        <w:rPr>
          <w:sz w:val="22"/>
          <w:szCs w:val="22"/>
        </w:rPr>
      </w:pPr>
      <w:r w:rsidRPr="003079D8">
        <w:rPr>
          <w:sz w:val="22"/>
          <w:szCs w:val="22"/>
        </w:rPr>
        <w:t xml:space="preserve">The NHS Staff Survey is completed annually by staff in all NHS organisations in England. We analysed the relationship between reporting rates to the NRLS and the proportion of staff at each hospital giving positive responses to NHS Staff Survey 2004 and 2005 questions on safety culture and incident reporting.[18] Of the six questions on fairness and effectiveness of reporting in the 2004 survey, there were significant linear relationships between higher reporting rates and a higher proportion of positive responses to four of the questions (Table 3). Although the wording and response categories were somewhat dissimilar in the 2005 survey, there were significant correlations on the question on encouragement to report (regression coefficient 0.03, 95% CI 0.01 to 0.06, P = 0.009) and on the question on blaming and punishing for making errors (regression coefficient 0.03, 95% CI 0.01 to 0.06, p = 0.002). </w:t>
      </w:r>
      <w:r w:rsidR="001F41C1" w:rsidRPr="003079D8">
        <w:rPr>
          <w:sz w:val="22"/>
          <w:szCs w:val="22"/>
        </w:rPr>
        <w:t>Of the eight questions on health and safety at work in the 2004 survey, there was a significant linear relationship with one question: whether staff have access to counselling services at work (regression coefficient 0.02, 95% CI 0.004 to 0.036, p = 0.016). This question was not included in the 2005 survey.</w:t>
      </w:r>
    </w:p>
    <w:p w14:paraId="7F75C599" w14:textId="77777777" w:rsidR="003A385F" w:rsidRDefault="003A385F" w:rsidP="003A385F">
      <w:pPr>
        <w:tabs>
          <w:tab w:val="left" w:pos="3000"/>
        </w:tabs>
        <w:spacing w:line="480" w:lineRule="auto"/>
        <w:jc w:val="both"/>
        <w:rPr>
          <w:sz w:val="22"/>
          <w:szCs w:val="22"/>
        </w:rPr>
      </w:pPr>
    </w:p>
    <w:p w14:paraId="642A6A07" w14:textId="77777777" w:rsidR="00D44EEB" w:rsidRPr="003079D8" w:rsidRDefault="00D44EEB" w:rsidP="003A385F">
      <w:pPr>
        <w:tabs>
          <w:tab w:val="left" w:pos="3000"/>
        </w:tabs>
        <w:spacing w:line="480" w:lineRule="auto"/>
        <w:jc w:val="both"/>
        <w:rPr>
          <w:sz w:val="22"/>
          <w:szCs w:val="22"/>
        </w:rPr>
      </w:pPr>
    </w:p>
    <w:p w14:paraId="4A327AAA" w14:textId="77777777" w:rsidR="003A385F" w:rsidRPr="007B460D" w:rsidRDefault="003A385F" w:rsidP="003A385F">
      <w:pPr>
        <w:jc w:val="both"/>
        <w:rPr>
          <w:i/>
        </w:rPr>
      </w:pPr>
      <w:r>
        <w:rPr>
          <w:i/>
          <w:sz w:val="20"/>
          <w:szCs w:val="20"/>
        </w:rPr>
        <w:lastRenderedPageBreak/>
        <w:t>Table</w:t>
      </w:r>
      <w:r w:rsidRPr="009B5E44">
        <w:rPr>
          <w:i/>
          <w:sz w:val="20"/>
          <w:szCs w:val="20"/>
        </w:rPr>
        <w:t xml:space="preserve"> </w:t>
      </w:r>
      <w:r>
        <w:rPr>
          <w:i/>
          <w:sz w:val="20"/>
          <w:szCs w:val="20"/>
        </w:rPr>
        <w:t>3</w:t>
      </w:r>
      <w:r w:rsidRPr="000D6F1A">
        <w:rPr>
          <w:i/>
          <w:sz w:val="20"/>
          <w:szCs w:val="20"/>
        </w:rPr>
        <w:t xml:space="preserve">: </w:t>
      </w:r>
      <w:r>
        <w:rPr>
          <w:i/>
          <w:sz w:val="20"/>
          <w:szCs w:val="20"/>
        </w:rPr>
        <w:t xml:space="preserve">Linear regression coefficients for predicting reporting rates </w:t>
      </w:r>
      <w:r w:rsidRPr="00E73AD3">
        <w:rPr>
          <w:i/>
          <w:sz w:val="20"/>
          <w:szCs w:val="20"/>
        </w:rPr>
        <w:t>from 2004</w:t>
      </w:r>
      <w:r>
        <w:rPr>
          <w:i/>
          <w:sz w:val="20"/>
          <w:szCs w:val="20"/>
        </w:rPr>
        <w:t xml:space="preserve"> Staff Survey responses</w:t>
      </w:r>
    </w:p>
    <w:tbl>
      <w:tblPr>
        <w:tblW w:w="7654"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1701"/>
        <w:gridCol w:w="1276"/>
      </w:tblGrid>
      <w:tr w:rsidR="003A385F" w:rsidRPr="00621FE7" w14:paraId="68C254FA" w14:textId="77777777" w:rsidTr="00D44EEB">
        <w:trPr>
          <w:cantSplit/>
          <w:trHeight w:val="782"/>
        </w:trPr>
        <w:tc>
          <w:tcPr>
            <w:tcW w:w="4677" w:type="dxa"/>
            <w:tcMar>
              <w:top w:w="28" w:type="dxa"/>
              <w:left w:w="57" w:type="dxa"/>
              <w:bottom w:w="17" w:type="dxa"/>
              <w:right w:w="57" w:type="dxa"/>
            </w:tcMar>
            <w:vAlign w:val="bottom"/>
          </w:tcPr>
          <w:p w14:paraId="0D98A9B9" w14:textId="77777777" w:rsidR="003A385F" w:rsidRPr="00621FE7" w:rsidRDefault="003A385F" w:rsidP="003A385F">
            <w:pPr>
              <w:spacing w:after="20"/>
              <w:rPr>
                <w:b/>
                <w:sz w:val="20"/>
                <w:szCs w:val="20"/>
              </w:rPr>
            </w:pPr>
            <w:r w:rsidRPr="00621FE7">
              <w:rPr>
                <w:b/>
                <w:sz w:val="20"/>
                <w:szCs w:val="20"/>
              </w:rPr>
              <w:t>Questions on fairness and effectiveness of reporting</w:t>
            </w:r>
          </w:p>
        </w:tc>
        <w:tc>
          <w:tcPr>
            <w:tcW w:w="1701" w:type="dxa"/>
            <w:tcMar>
              <w:top w:w="28" w:type="dxa"/>
              <w:bottom w:w="17" w:type="dxa"/>
            </w:tcMar>
            <w:vAlign w:val="bottom"/>
          </w:tcPr>
          <w:p w14:paraId="34B3C924" w14:textId="77777777" w:rsidR="003A385F" w:rsidRPr="00621FE7" w:rsidRDefault="003A385F" w:rsidP="003A385F">
            <w:pPr>
              <w:spacing w:after="20"/>
              <w:jc w:val="center"/>
              <w:rPr>
                <w:b/>
                <w:sz w:val="20"/>
                <w:szCs w:val="20"/>
              </w:rPr>
            </w:pPr>
            <w:r w:rsidRPr="00621FE7">
              <w:rPr>
                <w:b/>
                <w:sz w:val="20"/>
                <w:szCs w:val="20"/>
              </w:rPr>
              <w:t>Regression coefficients</w:t>
            </w:r>
          </w:p>
          <w:p w14:paraId="703846FD" w14:textId="77777777" w:rsidR="003A385F" w:rsidRPr="00621FE7" w:rsidRDefault="003A385F" w:rsidP="003A385F">
            <w:pPr>
              <w:spacing w:after="20"/>
              <w:jc w:val="center"/>
              <w:rPr>
                <w:b/>
                <w:sz w:val="20"/>
                <w:szCs w:val="20"/>
              </w:rPr>
            </w:pPr>
            <w:r w:rsidRPr="00621FE7">
              <w:rPr>
                <w:b/>
                <w:sz w:val="20"/>
                <w:szCs w:val="20"/>
              </w:rPr>
              <w:t>(95% CI)</w:t>
            </w:r>
          </w:p>
        </w:tc>
        <w:tc>
          <w:tcPr>
            <w:tcW w:w="1276" w:type="dxa"/>
            <w:vAlign w:val="bottom"/>
          </w:tcPr>
          <w:p w14:paraId="3A083ABE" w14:textId="77777777" w:rsidR="003A385F" w:rsidRPr="00621FE7" w:rsidRDefault="003A385F" w:rsidP="003A385F">
            <w:pPr>
              <w:spacing w:after="20"/>
              <w:jc w:val="center"/>
              <w:rPr>
                <w:b/>
                <w:sz w:val="20"/>
                <w:szCs w:val="20"/>
              </w:rPr>
            </w:pPr>
            <w:r w:rsidRPr="00621FE7">
              <w:rPr>
                <w:b/>
                <w:sz w:val="20"/>
                <w:szCs w:val="20"/>
              </w:rPr>
              <w:t>p-values</w:t>
            </w:r>
          </w:p>
        </w:tc>
      </w:tr>
      <w:tr w:rsidR="003A385F" w:rsidRPr="00621FE7" w14:paraId="228B4EE7" w14:textId="77777777" w:rsidTr="00D44EEB">
        <w:trPr>
          <w:cantSplit/>
          <w:trHeight w:val="322"/>
        </w:trPr>
        <w:tc>
          <w:tcPr>
            <w:tcW w:w="4677" w:type="dxa"/>
            <w:tcBorders>
              <w:top w:val="single" w:sz="4" w:space="0" w:color="auto"/>
              <w:bottom w:val="single" w:sz="4" w:space="0" w:color="C0C0C0"/>
            </w:tcBorders>
            <w:tcMar>
              <w:top w:w="28" w:type="dxa"/>
              <w:left w:w="57" w:type="dxa"/>
              <w:bottom w:w="17" w:type="dxa"/>
              <w:right w:w="57" w:type="dxa"/>
            </w:tcMar>
          </w:tcPr>
          <w:p w14:paraId="0242DF61" w14:textId="77777777" w:rsidR="003A385F" w:rsidRPr="00621FE7" w:rsidRDefault="003A385F" w:rsidP="003A385F">
            <w:pPr>
              <w:spacing w:after="20"/>
              <w:rPr>
                <w:sz w:val="20"/>
                <w:szCs w:val="20"/>
              </w:rPr>
            </w:pPr>
            <w:r w:rsidRPr="00621FE7">
              <w:rPr>
                <w:sz w:val="20"/>
                <w:szCs w:val="20"/>
              </w:rPr>
              <w:t>Knows how to report errors, near misses and incidents</w:t>
            </w:r>
          </w:p>
        </w:tc>
        <w:tc>
          <w:tcPr>
            <w:tcW w:w="1701" w:type="dxa"/>
            <w:tcBorders>
              <w:top w:val="single" w:sz="4" w:space="0" w:color="auto"/>
              <w:bottom w:val="single" w:sz="4" w:space="0" w:color="C0C0C0"/>
            </w:tcBorders>
            <w:tcMar>
              <w:top w:w="28" w:type="dxa"/>
              <w:left w:w="57" w:type="dxa"/>
              <w:bottom w:w="17" w:type="dxa"/>
              <w:right w:w="57" w:type="dxa"/>
            </w:tcMar>
          </w:tcPr>
          <w:p w14:paraId="5A803692" w14:textId="77777777" w:rsidR="003A385F" w:rsidRPr="00621FE7" w:rsidRDefault="003A385F" w:rsidP="003A385F">
            <w:pPr>
              <w:spacing w:after="20"/>
              <w:rPr>
                <w:sz w:val="20"/>
                <w:szCs w:val="20"/>
              </w:rPr>
            </w:pPr>
            <w:r w:rsidRPr="00621FE7">
              <w:rPr>
                <w:sz w:val="20"/>
                <w:szCs w:val="20"/>
              </w:rPr>
              <w:t>0.06 (-0.01 to 0.12)</w:t>
            </w:r>
          </w:p>
        </w:tc>
        <w:tc>
          <w:tcPr>
            <w:tcW w:w="1276" w:type="dxa"/>
            <w:tcBorders>
              <w:top w:val="single" w:sz="4" w:space="0" w:color="auto"/>
              <w:bottom w:val="single" w:sz="4" w:space="0" w:color="C0C0C0"/>
            </w:tcBorders>
          </w:tcPr>
          <w:p w14:paraId="03BA70F0" w14:textId="77777777" w:rsidR="003A385F" w:rsidRPr="00621FE7" w:rsidRDefault="003A385F" w:rsidP="003A385F">
            <w:pPr>
              <w:spacing w:after="20"/>
              <w:jc w:val="center"/>
              <w:rPr>
                <w:sz w:val="20"/>
                <w:szCs w:val="20"/>
              </w:rPr>
            </w:pPr>
            <w:r w:rsidRPr="00621FE7">
              <w:rPr>
                <w:sz w:val="20"/>
                <w:szCs w:val="20"/>
              </w:rPr>
              <w:t>0.080</w:t>
            </w:r>
          </w:p>
        </w:tc>
      </w:tr>
      <w:tr w:rsidR="003A385F" w:rsidRPr="00621FE7" w14:paraId="6F2FA48D" w14:textId="77777777" w:rsidTr="00D44EEB">
        <w:trPr>
          <w:cantSplit/>
          <w:trHeight w:val="629"/>
        </w:trPr>
        <w:tc>
          <w:tcPr>
            <w:tcW w:w="4677" w:type="dxa"/>
            <w:tcBorders>
              <w:top w:val="single" w:sz="4" w:space="0" w:color="C0C0C0"/>
              <w:bottom w:val="single" w:sz="4" w:space="0" w:color="C0C0C0"/>
            </w:tcBorders>
            <w:tcMar>
              <w:top w:w="28" w:type="dxa"/>
              <w:left w:w="57" w:type="dxa"/>
              <w:bottom w:w="17" w:type="dxa"/>
              <w:right w:w="57" w:type="dxa"/>
            </w:tcMar>
          </w:tcPr>
          <w:p w14:paraId="555EB1BC" w14:textId="77777777" w:rsidR="003A385F" w:rsidRPr="00621FE7" w:rsidRDefault="003A385F" w:rsidP="003A385F">
            <w:pPr>
              <w:spacing w:after="20"/>
              <w:rPr>
                <w:sz w:val="20"/>
                <w:szCs w:val="20"/>
              </w:rPr>
            </w:pPr>
            <w:r w:rsidRPr="00621FE7">
              <w:rPr>
                <w:sz w:val="20"/>
                <w:szCs w:val="20"/>
              </w:rPr>
              <w:t>Employer treats fairly staff involved in an error, near miss or incident</w:t>
            </w:r>
          </w:p>
        </w:tc>
        <w:tc>
          <w:tcPr>
            <w:tcW w:w="1701" w:type="dxa"/>
            <w:tcBorders>
              <w:top w:val="single" w:sz="4" w:space="0" w:color="C0C0C0"/>
              <w:bottom w:val="single" w:sz="4" w:space="0" w:color="C0C0C0"/>
            </w:tcBorders>
            <w:shd w:val="clear" w:color="auto" w:fill="auto"/>
            <w:tcMar>
              <w:top w:w="28" w:type="dxa"/>
              <w:left w:w="57" w:type="dxa"/>
              <w:bottom w:w="17" w:type="dxa"/>
              <w:right w:w="57" w:type="dxa"/>
            </w:tcMar>
          </w:tcPr>
          <w:p w14:paraId="2CD54D85" w14:textId="77777777" w:rsidR="003A385F" w:rsidRPr="00621FE7" w:rsidRDefault="003A385F" w:rsidP="003A385F">
            <w:pPr>
              <w:spacing w:after="20"/>
              <w:rPr>
                <w:sz w:val="20"/>
                <w:szCs w:val="20"/>
                <w:vertAlign w:val="superscript"/>
              </w:rPr>
            </w:pPr>
            <w:r w:rsidRPr="00621FE7">
              <w:rPr>
                <w:sz w:val="20"/>
                <w:szCs w:val="20"/>
              </w:rPr>
              <w:t>0.03 (0.005 to 0.06)</w:t>
            </w:r>
          </w:p>
        </w:tc>
        <w:tc>
          <w:tcPr>
            <w:tcW w:w="1276" w:type="dxa"/>
            <w:tcBorders>
              <w:top w:val="single" w:sz="4" w:space="0" w:color="C0C0C0"/>
              <w:bottom w:val="single" w:sz="4" w:space="0" w:color="C0C0C0"/>
            </w:tcBorders>
          </w:tcPr>
          <w:p w14:paraId="0E0BA117" w14:textId="77777777" w:rsidR="003A385F" w:rsidRPr="00621FE7" w:rsidRDefault="003A385F" w:rsidP="003A385F">
            <w:pPr>
              <w:spacing w:after="20"/>
              <w:jc w:val="center"/>
              <w:rPr>
                <w:sz w:val="20"/>
                <w:szCs w:val="20"/>
              </w:rPr>
            </w:pPr>
            <w:r w:rsidRPr="00621FE7">
              <w:rPr>
                <w:sz w:val="20"/>
                <w:szCs w:val="20"/>
              </w:rPr>
              <w:t xml:space="preserve"> 0.021*</w:t>
            </w:r>
          </w:p>
        </w:tc>
      </w:tr>
      <w:tr w:rsidR="003A385F" w:rsidRPr="00621FE7" w14:paraId="5495B4F8" w14:textId="77777777" w:rsidTr="00D44EEB">
        <w:trPr>
          <w:cantSplit/>
          <w:trHeight w:val="616"/>
        </w:trPr>
        <w:tc>
          <w:tcPr>
            <w:tcW w:w="4677" w:type="dxa"/>
            <w:tcBorders>
              <w:top w:val="single" w:sz="4" w:space="0" w:color="C0C0C0"/>
              <w:bottom w:val="single" w:sz="4" w:space="0" w:color="C0C0C0"/>
            </w:tcBorders>
            <w:tcMar>
              <w:top w:w="28" w:type="dxa"/>
              <w:left w:w="57" w:type="dxa"/>
              <w:bottom w:w="17" w:type="dxa"/>
              <w:right w:w="57" w:type="dxa"/>
            </w:tcMar>
          </w:tcPr>
          <w:p w14:paraId="11C8B414" w14:textId="77777777" w:rsidR="003A385F" w:rsidRPr="00621FE7" w:rsidRDefault="003A385F" w:rsidP="003A385F">
            <w:pPr>
              <w:spacing w:after="20"/>
              <w:rPr>
                <w:sz w:val="20"/>
                <w:szCs w:val="20"/>
              </w:rPr>
            </w:pPr>
            <w:r w:rsidRPr="00621FE7">
              <w:rPr>
                <w:sz w:val="20"/>
                <w:szCs w:val="20"/>
              </w:rPr>
              <w:t>Employer encourages staff to report errors, near misses or incidents</w:t>
            </w:r>
          </w:p>
        </w:tc>
        <w:tc>
          <w:tcPr>
            <w:tcW w:w="1701" w:type="dxa"/>
            <w:tcBorders>
              <w:top w:val="single" w:sz="4" w:space="0" w:color="C0C0C0"/>
              <w:bottom w:val="single" w:sz="4" w:space="0" w:color="C0C0C0"/>
            </w:tcBorders>
            <w:shd w:val="clear" w:color="auto" w:fill="auto"/>
            <w:tcMar>
              <w:top w:w="28" w:type="dxa"/>
              <w:left w:w="57" w:type="dxa"/>
              <w:bottom w:w="17" w:type="dxa"/>
              <w:right w:w="57" w:type="dxa"/>
            </w:tcMar>
          </w:tcPr>
          <w:p w14:paraId="5BB12AAC" w14:textId="77777777" w:rsidR="003A385F" w:rsidRPr="00621FE7" w:rsidRDefault="003A385F" w:rsidP="003A385F">
            <w:pPr>
              <w:spacing w:after="20"/>
              <w:rPr>
                <w:sz w:val="20"/>
                <w:szCs w:val="20"/>
              </w:rPr>
            </w:pPr>
            <w:r w:rsidRPr="00621FE7">
              <w:rPr>
                <w:sz w:val="20"/>
                <w:szCs w:val="20"/>
              </w:rPr>
              <w:t>0.05 (0.02 to 0.09)</w:t>
            </w:r>
          </w:p>
        </w:tc>
        <w:tc>
          <w:tcPr>
            <w:tcW w:w="1276" w:type="dxa"/>
            <w:tcBorders>
              <w:top w:val="single" w:sz="4" w:space="0" w:color="C0C0C0"/>
              <w:bottom w:val="single" w:sz="4" w:space="0" w:color="C0C0C0"/>
            </w:tcBorders>
          </w:tcPr>
          <w:p w14:paraId="36BEE64C" w14:textId="77777777" w:rsidR="003A385F" w:rsidRPr="00621FE7" w:rsidRDefault="003A385F" w:rsidP="003A385F">
            <w:pPr>
              <w:spacing w:after="20"/>
              <w:jc w:val="center"/>
              <w:rPr>
                <w:sz w:val="20"/>
                <w:szCs w:val="20"/>
              </w:rPr>
            </w:pPr>
            <w:r w:rsidRPr="00621FE7">
              <w:rPr>
                <w:sz w:val="20"/>
                <w:szCs w:val="20"/>
              </w:rPr>
              <w:t xml:space="preserve"> 0.004*</w:t>
            </w:r>
          </w:p>
        </w:tc>
      </w:tr>
      <w:tr w:rsidR="003A385F" w:rsidRPr="00621FE7" w14:paraId="1EDE49E3" w14:textId="77777777" w:rsidTr="00D44EEB">
        <w:trPr>
          <w:cantSplit/>
          <w:trHeight w:val="616"/>
        </w:trPr>
        <w:tc>
          <w:tcPr>
            <w:tcW w:w="4677" w:type="dxa"/>
            <w:tcBorders>
              <w:top w:val="single" w:sz="4" w:space="0" w:color="C0C0C0"/>
              <w:bottom w:val="single" w:sz="4" w:space="0" w:color="C0C0C0"/>
            </w:tcBorders>
            <w:shd w:val="clear" w:color="auto" w:fill="auto"/>
            <w:tcMar>
              <w:top w:w="28" w:type="dxa"/>
              <w:left w:w="57" w:type="dxa"/>
              <w:bottom w:w="17" w:type="dxa"/>
              <w:right w:w="57" w:type="dxa"/>
            </w:tcMar>
          </w:tcPr>
          <w:p w14:paraId="0E4C7340" w14:textId="77777777" w:rsidR="003A385F" w:rsidRPr="00621FE7" w:rsidRDefault="003A385F" w:rsidP="003A385F">
            <w:pPr>
              <w:spacing w:after="20"/>
              <w:rPr>
                <w:sz w:val="20"/>
                <w:szCs w:val="20"/>
              </w:rPr>
            </w:pPr>
            <w:r w:rsidRPr="00621FE7">
              <w:rPr>
                <w:sz w:val="20"/>
                <w:szCs w:val="20"/>
              </w:rPr>
              <w:t>Employer treat</w:t>
            </w:r>
            <w:r w:rsidR="00F61EB0">
              <w:rPr>
                <w:sz w:val="20"/>
                <w:szCs w:val="20"/>
              </w:rPr>
              <w:t>s</w:t>
            </w:r>
            <w:r w:rsidRPr="00621FE7">
              <w:rPr>
                <w:sz w:val="20"/>
                <w:szCs w:val="20"/>
              </w:rPr>
              <w:t xml:space="preserve"> reports of errors, near misses or incidents confidentially</w:t>
            </w:r>
          </w:p>
        </w:tc>
        <w:tc>
          <w:tcPr>
            <w:tcW w:w="1701" w:type="dxa"/>
            <w:tcBorders>
              <w:top w:val="single" w:sz="4" w:space="0" w:color="C0C0C0"/>
              <w:bottom w:val="single" w:sz="4" w:space="0" w:color="C0C0C0"/>
            </w:tcBorders>
            <w:shd w:val="clear" w:color="auto" w:fill="auto"/>
            <w:tcMar>
              <w:top w:w="28" w:type="dxa"/>
              <w:left w:w="57" w:type="dxa"/>
              <w:bottom w:w="17" w:type="dxa"/>
              <w:right w:w="57" w:type="dxa"/>
            </w:tcMar>
          </w:tcPr>
          <w:p w14:paraId="25EE19F8" w14:textId="77777777" w:rsidR="003A385F" w:rsidRPr="00621FE7" w:rsidRDefault="003A385F" w:rsidP="003A385F">
            <w:pPr>
              <w:spacing w:after="20"/>
              <w:rPr>
                <w:sz w:val="20"/>
                <w:szCs w:val="20"/>
              </w:rPr>
            </w:pPr>
            <w:r w:rsidRPr="00621FE7">
              <w:rPr>
                <w:sz w:val="20"/>
                <w:szCs w:val="20"/>
              </w:rPr>
              <w:t>0.03 (0.01 to 0.06)</w:t>
            </w:r>
          </w:p>
        </w:tc>
        <w:tc>
          <w:tcPr>
            <w:tcW w:w="1276" w:type="dxa"/>
            <w:tcBorders>
              <w:top w:val="single" w:sz="4" w:space="0" w:color="C0C0C0"/>
              <w:bottom w:val="single" w:sz="4" w:space="0" w:color="C0C0C0"/>
            </w:tcBorders>
          </w:tcPr>
          <w:p w14:paraId="3A671004" w14:textId="77777777" w:rsidR="003A385F" w:rsidRPr="00621FE7" w:rsidRDefault="003A385F" w:rsidP="003A385F">
            <w:pPr>
              <w:spacing w:after="20"/>
              <w:jc w:val="center"/>
              <w:rPr>
                <w:sz w:val="20"/>
                <w:szCs w:val="20"/>
              </w:rPr>
            </w:pPr>
            <w:r w:rsidRPr="00621FE7">
              <w:rPr>
                <w:sz w:val="20"/>
                <w:szCs w:val="20"/>
              </w:rPr>
              <w:t xml:space="preserve"> 0.014*</w:t>
            </w:r>
          </w:p>
        </w:tc>
      </w:tr>
      <w:tr w:rsidR="003A385F" w:rsidRPr="00621FE7" w14:paraId="1F067467" w14:textId="77777777" w:rsidTr="00D44EEB">
        <w:trPr>
          <w:cantSplit/>
          <w:trHeight w:val="616"/>
        </w:trPr>
        <w:tc>
          <w:tcPr>
            <w:tcW w:w="4677" w:type="dxa"/>
            <w:tcBorders>
              <w:top w:val="single" w:sz="4" w:space="0" w:color="C0C0C0"/>
              <w:bottom w:val="single" w:sz="4" w:space="0" w:color="C0C0C0"/>
            </w:tcBorders>
            <w:shd w:val="clear" w:color="auto" w:fill="auto"/>
            <w:tcMar>
              <w:top w:w="28" w:type="dxa"/>
              <w:left w:w="57" w:type="dxa"/>
              <w:bottom w:w="17" w:type="dxa"/>
              <w:right w:w="57" w:type="dxa"/>
            </w:tcMar>
          </w:tcPr>
          <w:p w14:paraId="50C55A89" w14:textId="77777777" w:rsidR="003A385F" w:rsidRPr="00621FE7" w:rsidRDefault="003A385F" w:rsidP="003A385F">
            <w:pPr>
              <w:spacing w:after="20"/>
              <w:rPr>
                <w:sz w:val="20"/>
                <w:szCs w:val="20"/>
              </w:rPr>
            </w:pPr>
            <w:r w:rsidRPr="00621FE7">
              <w:rPr>
                <w:sz w:val="20"/>
                <w:szCs w:val="20"/>
              </w:rPr>
              <w:t>Employer does not blame or punish people who make errors</w:t>
            </w:r>
          </w:p>
        </w:tc>
        <w:tc>
          <w:tcPr>
            <w:tcW w:w="1701" w:type="dxa"/>
            <w:tcBorders>
              <w:top w:val="single" w:sz="4" w:space="0" w:color="C0C0C0"/>
              <w:bottom w:val="single" w:sz="4" w:space="0" w:color="C0C0C0"/>
            </w:tcBorders>
            <w:shd w:val="clear" w:color="auto" w:fill="auto"/>
            <w:tcMar>
              <w:top w:w="28" w:type="dxa"/>
              <w:left w:w="57" w:type="dxa"/>
              <w:bottom w:w="17" w:type="dxa"/>
              <w:right w:w="57" w:type="dxa"/>
            </w:tcMar>
          </w:tcPr>
          <w:p w14:paraId="3E2F2824" w14:textId="77777777" w:rsidR="003A385F" w:rsidRPr="00621FE7" w:rsidRDefault="003A385F" w:rsidP="003A385F">
            <w:pPr>
              <w:spacing w:after="20"/>
              <w:rPr>
                <w:sz w:val="20"/>
                <w:szCs w:val="20"/>
              </w:rPr>
            </w:pPr>
            <w:r w:rsidRPr="00621FE7">
              <w:rPr>
                <w:sz w:val="20"/>
                <w:szCs w:val="20"/>
              </w:rPr>
              <w:t>0.03 (0.005 to 0.05)</w:t>
            </w:r>
          </w:p>
        </w:tc>
        <w:tc>
          <w:tcPr>
            <w:tcW w:w="1276" w:type="dxa"/>
            <w:tcBorders>
              <w:top w:val="single" w:sz="4" w:space="0" w:color="C0C0C0"/>
              <w:bottom w:val="single" w:sz="4" w:space="0" w:color="C0C0C0"/>
            </w:tcBorders>
          </w:tcPr>
          <w:p w14:paraId="3223B5E9" w14:textId="77777777" w:rsidR="003A385F" w:rsidRPr="00621FE7" w:rsidRDefault="003A385F" w:rsidP="003A385F">
            <w:pPr>
              <w:spacing w:after="20"/>
              <w:jc w:val="center"/>
              <w:rPr>
                <w:sz w:val="20"/>
                <w:szCs w:val="20"/>
              </w:rPr>
            </w:pPr>
            <w:r w:rsidRPr="00621FE7">
              <w:rPr>
                <w:sz w:val="20"/>
                <w:szCs w:val="20"/>
              </w:rPr>
              <w:t xml:space="preserve"> 0.017*</w:t>
            </w:r>
          </w:p>
        </w:tc>
      </w:tr>
      <w:tr w:rsidR="003A385F" w:rsidRPr="00621FE7" w14:paraId="3A9C5CCD" w14:textId="77777777" w:rsidTr="00D44EEB">
        <w:trPr>
          <w:cantSplit/>
          <w:trHeight w:val="616"/>
        </w:trPr>
        <w:tc>
          <w:tcPr>
            <w:tcW w:w="4677" w:type="dxa"/>
            <w:tcBorders>
              <w:top w:val="single" w:sz="4" w:space="0" w:color="C0C0C0"/>
              <w:bottom w:val="single" w:sz="4" w:space="0" w:color="auto"/>
            </w:tcBorders>
            <w:tcMar>
              <w:top w:w="28" w:type="dxa"/>
              <w:left w:w="57" w:type="dxa"/>
              <w:bottom w:w="17" w:type="dxa"/>
              <w:right w:w="57" w:type="dxa"/>
            </w:tcMar>
          </w:tcPr>
          <w:p w14:paraId="55AC5534" w14:textId="77777777" w:rsidR="003A385F" w:rsidRPr="00621FE7" w:rsidRDefault="003A385F" w:rsidP="003A385F">
            <w:pPr>
              <w:spacing w:after="20"/>
              <w:rPr>
                <w:sz w:val="20"/>
                <w:szCs w:val="20"/>
              </w:rPr>
            </w:pPr>
            <w:r w:rsidRPr="00621FE7">
              <w:rPr>
                <w:sz w:val="20"/>
                <w:szCs w:val="20"/>
              </w:rPr>
              <w:t>When errors are reported, employer takes action to ensure that they do not happen again</w:t>
            </w:r>
          </w:p>
        </w:tc>
        <w:tc>
          <w:tcPr>
            <w:tcW w:w="1701" w:type="dxa"/>
            <w:tcBorders>
              <w:top w:val="single" w:sz="4" w:space="0" w:color="C0C0C0"/>
              <w:bottom w:val="single" w:sz="4" w:space="0" w:color="auto"/>
            </w:tcBorders>
            <w:tcMar>
              <w:top w:w="28" w:type="dxa"/>
              <w:left w:w="57" w:type="dxa"/>
              <w:bottom w:w="17" w:type="dxa"/>
              <w:right w:w="57" w:type="dxa"/>
            </w:tcMar>
          </w:tcPr>
          <w:p w14:paraId="4F4D9829" w14:textId="77777777" w:rsidR="003A385F" w:rsidRPr="00621FE7" w:rsidRDefault="003A385F" w:rsidP="003A385F">
            <w:pPr>
              <w:spacing w:after="20"/>
              <w:rPr>
                <w:sz w:val="20"/>
                <w:szCs w:val="20"/>
              </w:rPr>
            </w:pPr>
            <w:r w:rsidRPr="00621FE7">
              <w:rPr>
                <w:sz w:val="20"/>
                <w:szCs w:val="20"/>
              </w:rPr>
              <w:t>0.02 (-0.01 to 0.04)</w:t>
            </w:r>
          </w:p>
        </w:tc>
        <w:tc>
          <w:tcPr>
            <w:tcW w:w="1276" w:type="dxa"/>
            <w:tcBorders>
              <w:top w:val="single" w:sz="4" w:space="0" w:color="C0C0C0"/>
              <w:bottom w:val="single" w:sz="4" w:space="0" w:color="auto"/>
            </w:tcBorders>
          </w:tcPr>
          <w:p w14:paraId="6ED348CA" w14:textId="77777777" w:rsidR="003A385F" w:rsidRPr="00621FE7" w:rsidRDefault="003A385F" w:rsidP="003A385F">
            <w:pPr>
              <w:spacing w:after="20"/>
              <w:jc w:val="center"/>
              <w:rPr>
                <w:sz w:val="20"/>
                <w:szCs w:val="20"/>
              </w:rPr>
            </w:pPr>
            <w:r w:rsidRPr="00621FE7">
              <w:rPr>
                <w:sz w:val="20"/>
                <w:szCs w:val="20"/>
              </w:rPr>
              <w:t>0.145</w:t>
            </w:r>
          </w:p>
        </w:tc>
      </w:tr>
    </w:tbl>
    <w:p w14:paraId="1BA10236" w14:textId="77777777" w:rsidR="003A385F" w:rsidRPr="0098302F" w:rsidRDefault="003A385F" w:rsidP="003A385F">
      <w:pPr>
        <w:jc w:val="both"/>
        <w:rPr>
          <w:sz w:val="18"/>
          <w:szCs w:val="18"/>
        </w:rPr>
      </w:pPr>
      <w:r w:rsidRPr="0098302F">
        <w:rPr>
          <w:sz w:val="18"/>
          <w:szCs w:val="18"/>
        </w:rPr>
        <w:t>* Significant at p ≤ 0.05 level</w:t>
      </w:r>
    </w:p>
    <w:p w14:paraId="0ADE8E03" w14:textId="77777777" w:rsidR="003A385F" w:rsidRPr="003079D8" w:rsidRDefault="003A385F" w:rsidP="001F41C1">
      <w:pPr>
        <w:spacing w:line="360" w:lineRule="auto"/>
        <w:jc w:val="both"/>
        <w:rPr>
          <w:sz w:val="22"/>
          <w:szCs w:val="22"/>
        </w:rPr>
      </w:pPr>
      <w:r w:rsidRPr="003079D8">
        <w:rPr>
          <w:sz w:val="22"/>
          <w:szCs w:val="22"/>
        </w:rPr>
        <w:t xml:space="preserve">The survey also included questions on the number of errors observed and reported by staff. The correlation between higher reporting rates and the proportion of staff having seen at least one error in the last month was not significant (2004 survey, regression coefficient 0.02, 95% CI -0.001 to 0.05, p = 0.058). However, there was a significant positive correlation between higher reporting rates and a higher proportion of staff having reported the last error/near miss they saw (2004 survey data, regression coefficient 0.04, 95% CI 0.01 to 0.06, p = 0.005, 2005 survey data, regression coefficient 0.04, 95% CI 0.01 to 0.07, p = 0.015). </w:t>
      </w:r>
    </w:p>
    <w:p w14:paraId="16FACC01" w14:textId="77777777" w:rsidR="003A385F" w:rsidRPr="003079D8" w:rsidRDefault="003A385F" w:rsidP="001F41C1">
      <w:pPr>
        <w:tabs>
          <w:tab w:val="left" w:pos="3000"/>
        </w:tabs>
        <w:spacing w:line="360" w:lineRule="auto"/>
        <w:jc w:val="both"/>
        <w:rPr>
          <w:sz w:val="22"/>
          <w:szCs w:val="22"/>
        </w:rPr>
      </w:pPr>
      <w:r w:rsidRPr="003079D8">
        <w:rPr>
          <w:sz w:val="22"/>
          <w:szCs w:val="22"/>
        </w:rPr>
        <w:t xml:space="preserve">There was an additional correlation in the 2005 data in which as the number of staff indicating that they had a moving and handling injury increased there was a decrease in the number of reported overall incidents per 100 bed days per year (correlation coefficient -0.046, 95% CI -0.090 to -0.002, p = 0.041).  A similar non-significant trend was found in the 2004 data. </w:t>
      </w:r>
    </w:p>
    <w:p w14:paraId="2E70FDB5" w14:textId="77777777" w:rsidR="003A385F" w:rsidRPr="003079D8" w:rsidRDefault="003A385F" w:rsidP="001F41C1">
      <w:pPr>
        <w:spacing w:line="360" w:lineRule="auto"/>
        <w:jc w:val="both"/>
        <w:rPr>
          <w:sz w:val="22"/>
          <w:szCs w:val="22"/>
        </w:rPr>
      </w:pPr>
      <w:r w:rsidRPr="003079D8">
        <w:rPr>
          <w:sz w:val="22"/>
          <w:szCs w:val="22"/>
        </w:rPr>
        <w:t>The NHS Litigation Authority (NHSLA)[19] conducts risk management assessments within hospitals. Organisations can choose whether to be assessed for Level 1, 2 or 3, with Level 3 being the highest (Table 4), and receive a financial incentive for achieving a higher Level. We explored the relationship between reporting rates and NHSLA risk management ratings. The 10 hospitals achieving Level 3 had significantly higher reporting rates than hospitals at Level 1 or 2 (Table 4), although there was no significant difference in reporting rates between hospitals at Levels 1 and 2.</w:t>
      </w:r>
    </w:p>
    <w:p w14:paraId="3FC1DD33" w14:textId="77777777" w:rsidR="003A385F" w:rsidRPr="000D6F1A" w:rsidRDefault="00D3676D" w:rsidP="003A385F">
      <w:pPr>
        <w:spacing w:line="480" w:lineRule="auto"/>
        <w:jc w:val="both"/>
        <w:rPr>
          <w:i/>
        </w:rPr>
      </w:pPr>
      <w:r>
        <w:rPr>
          <w:i/>
          <w:sz w:val="20"/>
          <w:szCs w:val="20"/>
        </w:rPr>
        <w:lastRenderedPageBreak/>
        <w:t>T</w:t>
      </w:r>
      <w:r w:rsidR="003A385F">
        <w:rPr>
          <w:i/>
          <w:sz w:val="20"/>
          <w:szCs w:val="20"/>
        </w:rPr>
        <w:t>able</w:t>
      </w:r>
      <w:r w:rsidR="003A385F" w:rsidRPr="009B5E44">
        <w:rPr>
          <w:i/>
          <w:sz w:val="20"/>
          <w:szCs w:val="20"/>
        </w:rPr>
        <w:t xml:space="preserve"> </w:t>
      </w:r>
      <w:r w:rsidR="003A385F">
        <w:rPr>
          <w:i/>
          <w:sz w:val="20"/>
          <w:szCs w:val="20"/>
        </w:rPr>
        <w:t>4</w:t>
      </w:r>
      <w:r w:rsidR="003A385F" w:rsidRPr="000D6F1A">
        <w:rPr>
          <w:i/>
          <w:sz w:val="20"/>
          <w:szCs w:val="20"/>
        </w:rPr>
        <w:t xml:space="preserve">: </w:t>
      </w:r>
      <w:r w:rsidR="003A385F">
        <w:rPr>
          <w:bCs/>
          <w:i/>
          <w:iCs/>
          <w:sz w:val="20"/>
          <w:szCs w:val="20"/>
        </w:rPr>
        <w:t>Relationship between</w:t>
      </w:r>
      <w:r w:rsidR="003A385F" w:rsidRPr="000D6F1A">
        <w:rPr>
          <w:bCs/>
          <w:i/>
          <w:iCs/>
          <w:sz w:val="20"/>
          <w:szCs w:val="20"/>
        </w:rPr>
        <w:t xml:space="preserve"> reporting rates</w:t>
      </w:r>
      <w:r w:rsidR="003A385F">
        <w:rPr>
          <w:bCs/>
          <w:i/>
          <w:iCs/>
          <w:sz w:val="20"/>
          <w:szCs w:val="20"/>
        </w:rPr>
        <w:t xml:space="preserve"> and</w:t>
      </w:r>
      <w:r w:rsidR="003A385F" w:rsidRPr="000D6F1A">
        <w:rPr>
          <w:bCs/>
          <w:i/>
          <w:iCs/>
          <w:sz w:val="20"/>
          <w:szCs w:val="20"/>
        </w:rPr>
        <w:t xml:space="preserve"> </w:t>
      </w:r>
      <w:r w:rsidR="003A385F">
        <w:rPr>
          <w:bCs/>
          <w:i/>
          <w:iCs/>
          <w:sz w:val="20"/>
          <w:szCs w:val="20"/>
        </w:rPr>
        <w:t>NHS Litigation Authority (NHSLA)</w:t>
      </w:r>
      <w:r w:rsidR="003A385F" w:rsidRPr="00443FE5">
        <w:rPr>
          <w:bCs/>
          <w:i/>
          <w:iCs/>
          <w:sz w:val="20"/>
          <w:szCs w:val="20"/>
        </w:rPr>
        <w:t xml:space="preserve"> risk management </w:t>
      </w:r>
      <w:r w:rsidR="003A385F">
        <w:rPr>
          <w:bCs/>
          <w:i/>
          <w:iCs/>
          <w:sz w:val="20"/>
          <w:szCs w:val="20"/>
        </w:rPr>
        <w:t>ratings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2126"/>
        <w:gridCol w:w="1134"/>
        <w:gridCol w:w="1560"/>
        <w:gridCol w:w="1559"/>
      </w:tblGrid>
      <w:tr w:rsidR="003A385F" w:rsidRPr="00621FE7" w14:paraId="28FF9DF8" w14:textId="77777777" w:rsidTr="006C44E9">
        <w:trPr>
          <w:cantSplit/>
          <w:trHeight w:val="596"/>
        </w:trPr>
        <w:tc>
          <w:tcPr>
            <w:tcW w:w="1559" w:type="dxa"/>
          </w:tcPr>
          <w:p w14:paraId="0B4FBC35" w14:textId="77777777" w:rsidR="003A385F" w:rsidRPr="00621FE7" w:rsidRDefault="003A385F" w:rsidP="003A385F">
            <w:pPr>
              <w:spacing w:after="20"/>
              <w:rPr>
                <w:b/>
                <w:bCs/>
                <w:iCs/>
                <w:sz w:val="20"/>
                <w:szCs w:val="20"/>
              </w:rPr>
            </w:pPr>
            <w:r w:rsidRPr="00621FE7">
              <w:rPr>
                <w:b/>
                <w:bCs/>
                <w:iCs/>
                <w:sz w:val="20"/>
                <w:szCs w:val="20"/>
              </w:rPr>
              <w:t>NHSLA risk management rating</w:t>
            </w:r>
          </w:p>
        </w:tc>
        <w:tc>
          <w:tcPr>
            <w:tcW w:w="2126" w:type="dxa"/>
          </w:tcPr>
          <w:p w14:paraId="0CF3E618" w14:textId="77777777" w:rsidR="003A385F" w:rsidRPr="00621FE7" w:rsidRDefault="003A385F" w:rsidP="003A385F">
            <w:pPr>
              <w:spacing w:after="20"/>
              <w:rPr>
                <w:b/>
                <w:sz w:val="20"/>
                <w:szCs w:val="20"/>
              </w:rPr>
            </w:pPr>
            <w:r w:rsidRPr="00621FE7">
              <w:rPr>
                <w:b/>
                <w:sz w:val="20"/>
                <w:szCs w:val="20"/>
              </w:rPr>
              <w:t>Interpretation of ratings</w:t>
            </w:r>
          </w:p>
        </w:tc>
        <w:tc>
          <w:tcPr>
            <w:tcW w:w="1134" w:type="dxa"/>
            <w:tcMar>
              <w:top w:w="28" w:type="dxa"/>
              <w:left w:w="57" w:type="dxa"/>
              <w:bottom w:w="17" w:type="dxa"/>
              <w:right w:w="57" w:type="dxa"/>
            </w:tcMar>
          </w:tcPr>
          <w:p w14:paraId="03CED9F9" w14:textId="77777777" w:rsidR="003A385F" w:rsidRPr="00621FE7" w:rsidRDefault="003A385F" w:rsidP="003A385F">
            <w:pPr>
              <w:spacing w:after="20"/>
              <w:rPr>
                <w:b/>
                <w:sz w:val="20"/>
                <w:szCs w:val="20"/>
              </w:rPr>
            </w:pPr>
            <w:r w:rsidRPr="00621FE7">
              <w:rPr>
                <w:b/>
                <w:sz w:val="20"/>
                <w:szCs w:val="20"/>
              </w:rPr>
              <w:t>Number of hospitals</w:t>
            </w:r>
          </w:p>
        </w:tc>
        <w:tc>
          <w:tcPr>
            <w:tcW w:w="1560" w:type="dxa"/>
            <w:tcMar>
              <w:top w:w="28" w:type="dxa"/>
              <w:bottom w:w="17" w:type="dxa"/>
            </w:tcMar>
          </w:tcPr>
          <w:p w14:paraId="318CE23A" w14:textId="77777777" w:rsidR="003A385F" w:rsidRPr="00621FE7" w:rsidRDefault="003A385F" w:rsidP="003A385F">
            <w:pPr>
              <w:spacing w:after="20"/>
              <w:rPr>
                <w:b/>
                <w:sz w:val="20"/>
                <w:szCs w:val="20"/>
              </w:rPr>
            </w:pPr>
            <w:r w:rsidRPr="00621FE7">
              <w:rPr>
                <w:b/>
                <w:sz w:val="20"/>
                <w:szCs w:val="20"/>
              </w:rPr>
              <w:t>Mean reporting rate per 100 bed days (95% CI)</w:t>
            </w:r>
          </w:p>
        </w:tc>
        <w:tc>
          <w:tcPr>
            <w:tcW w:w="1559" w:type="dxa"/>
            <w:tcMar>
              <w:top w:w="28" w:type="dxa"/>
              <w:bottom w:w="17" w:type="dxa"/>
            </w:tcMar>
          </w:tcPr>
          <w:p w14:paraId="04CF8A77" w14:textId="77777777" w:rsidR="003A385F" w:rsidRPr="00621FE7" w:rsidRDefault="003A385F" w:rsidP="003A385F">
            <w:pPr>
              <w:spacing w:after="20"/>
              <w:rPr>
                <w:b/>
                <w:sz w:val="20"/>
                <w:szCs w:val="20"/>
              </w:rPr>
            </w:pPr>
            <w:r w:rsidRPr="00621FE7">
              <w:rPr>
                <w:b/>
                <w:sz w:val="20"/>
                <w:szCs w:val="20"/>
              </w:rPr>
              <w:t>Significant differences in reporting rates</w:t>
            </w:r>
          </w:p>
        </w:tc>
      </w:tr>
      <w:tr w:rsidR="003A385F" w:rsidRPr="00621FE7" w14:paraId="542158E6" w14:textId="77777777" w:rsidTr="006C44E9">
        <w:trPr>
          <w:cantSplit/>
          <w:trHeight w:val="327"/>
        </w:trPr>
        <w:tc>
          <w:tcPr>
            <w:tcW w:w="1559" w:type="dxa"/>
          </w:tcPr>
          <w:p w14:paraId="715C0969" w14:textId="77777777" w:rsidR="003A385F" w:rsidRPr="00621FE7" w:rsidRDefault="003A385F" w:rsidP="003A385F">
            <w:pPr>
              <w:spacing w:after="20"/>
              <w:rPr>
                <w:sz w:val="20"/>
                <w:szCs w:val="20"/>
              </w:rPr>
            </w:pPr>
            <w:r w:rsidRPr="00621FE7">
              <w:rPr>
                <w:sz w:val="20"/>
                <w:szCs w:val="20"/>
              </w:rPr>
              <w:t>Level 0</w:t>
            </w:r>
          </w:p>
        </w:tc>
        <w:tc>
          <w:tcPr>
            <w:tcW w:w="2126" w:type="dxa"/>
          </w:tcPr>
          <w:p w14:paraId="72E1E492" w14:textId="77777777" w:rsidR="003A385F" w:rsidRPr="00621FE7" w:rsidRDefault="003A385F" w:rsidP="003A385F">
            <w:pPr>
              <w:spacing w:after="20"/>
              <w:rPr>
                <w:sz w:val="20"/>
                <w:szCs w:val="20"/>
              </w:rPr>
            </w:pPr>
            <w:r w:rsidRPr="00621FE7">
              <w:rPr>
                <w:sz w:val="20"/>
                <w:szCs w:val="20"/>
              </w:rPr>
              <w:t>Not achieved Level 1</w:t>
            </w:r>
          </w:p>
        </w:tc>
        <w:tc>
          <w:tcPr>
            <w:tcW w:w="1134" w:type="dxa"/>
            <w:tcMar>
              <w:top w:w="28" w:type="dxa"/>
              <w:left w:w="57" w:type="dxa"/>
              <w:bottom w:w="17" w:type="dxa"/>
              <w:right w:w="57" w:type="dxa"/>
            </w:tcMar>
          </w:tcPr>
          <w:p w14:paraId="5F0AB6BD" w14:textId="77777777" w:rsidR="003A385F" w:rsidRPr="00621FE7" w:rsidRDefault="003A385F" w:rsidP="003A385F">
            <w:pPr>
              <w:spacing w:after="20"/>
              <w:jc w:val="center"/>
              <w:rPr>
                <w:sz w:val="20"/>
                <w:szCs w:val="20"/>
              </w:rPr>
            </w:pPr>
            <w:r w:rsidRPr="00621FE7">
              <w:rPr>
                <w:sz w:val="20"/>
                <w:szCs w:val="20"/>
              </w:rPr>
              <w:t>1</w:t>
            </w:r>
          </w:p>
        </w:tc>
        <w:tc>
          <w:tcPr>
            <w:tcW w:w="1560" w:type="dxa"/>
            <w:tcMar>
              <w:top w:w="28" w:type="dxa"/>
              <w:left w:w="57" w:type="dxa"/>
              <w:bottom w:w="17" w:type="dxa"/>
              <w:right w:w="57" w:type="dxa"/>
            </w:tcMar>
          </w:tcPr>
          <w:p w14:paraId="39115AAF" w14:textId="77777777" w:rsidR="003A385F" w:rsidRPr="00621FE7" w:rsidRDefault="003A385F" w:rsidP="003A385F">
            <w:pPr>
              <w:spacing w:after="20"/>
              <w:rPr>
                <w:sz w:val="20"/>
                <w:szCs w:val="20"/>
              </w:rPr>
            </w:pPr>
            <w:r w:rsidRPr="00621FE7">
              <w:rPr>
                <w:sz w:val="20"/>
                <w:szCs w:val="20"/>
              </w:rPr>
              <w:t xml:space="preserve">        3.89 (n/a)</w:t>
            </w:r>
          </w:p>
        </w:tc>
        <w:tc>
          <w:tcPr>
            <w:tcW w:w="1559" w:type="dxa"/>
            <w:vMerge w:val="restart"/>
            <w:tcMar>
              <w:top w:w="28" w:type="dxa"/>
              <w:bottom w:w="17" w:type="dxa"/>
            </w:tcMar>
          </w:tcPr>
          <w:p w14:paraId="69D0C63C" w14:textId="77777777" w:rsidR="003A385F" w:rsidRPr="00621FE7" w:rsidRDefault="003A385F" w:rsidP="003A385F">
            <w:pPr>
              <w:spacing w:after="20"/>
              <w:rPr>
                <w:sz w:val="20"/>
                <w:szCs w:val="20"/>
              </w:rPr>
            </w:pPr>
          </w:p>
          <w:p w14:paraId="0951E3C3" w14:textId="77777777" w:rsidR="003A385F" w:rsidRPr="00621FE7" w:rsidRDefault="003A385F" w:rsidP="003A385F">
            <w:pPr>
              <w:numPr>
                <w:ilvl w:val="0"/>
                <w:numId w:val="3"/>
              </w:numPr>
              <w:tabs>
                <w:tab w:val="clear" w:pos="288"/>
                <w:tab w:val="num" w:pos="209"/>
              </w:tabs>
              <w:spacing w:after="20" w:line="240" w:lineRule="auto"/>
              <w:ind w:left="209" w:hanging="209"/>
              <w:rPr>
                <w:sz w:val="20"/>
                <w:szCs w:val="20"/>
              </w:rPr>
            </w:pPr>
            <w:r w:rsidRPr="00621FE7">
              <w:rPr>
                <w:sz w:val="20"/>
                <w:szCs w:val="20"/>
              </w:rPr>
              <w:t>Between Levels 1 and 3: p =  0.026</w:t>
            </w:r>
          </w:p>
          <w:p w14:paraId="259B5BE6" w14:textId="77777777" w:rsidR="003A385F" w:rsidRPr="00621FE7" w:rsidRDefault="003A385F" w:rsidP="003A385F">
            <w:pPr>
              <w:numPr>
                <w:ilvl w:val="0"/>
                <w:numId w:val="3"/>
              </w:numPr>
              <w:tabs>
                <w:tab w:val="clear" w:pos="288"/>
                <w:tab w:val="num" w:pos="209"/>
              </w:tabs>
              <w:spacing w:after="20" w:line="240" w:lineRule="auto"/>
              <w:ind w:left="209" w:hanging="209"/>
              <w:rPr>
                <w:sz w:val="20"/>
                <w:szCs w:val="20"/>
              </w:rPr>
            </w:pPr>
            <w:r w:rsidRPr="00621FE7">
              <w:rPr>
                <w:sz w:val="20"/>
                <w:szCs w:val="20"/>
              </w:rPr>
              <w:t>Between Levels 2 and 3: p = 0.037</w:t>
            </w:r>
          </w:p>
        </w:tc>
      </w:tr>
      <w:tr w:rsidR="003A385F" w:rsidRPr="00621FE7" w14:paraId="09131E46" w14:textId="77777777" w:rsidTr="006C44E9">
        <w:trPr>
          <w:cantSplit/>
          <w:trHeight w:val="1236"/>
        </w:trPr>
        <w:tc>
          <w:tcPr>
            <w:tcW w:w="1559" w:type="dxa"/>
          </w:tcPr>
          <w:p w14:paraId="1E5C614C" w14:textId="77777777" w:rsidR="003A385F" w:rsidRPr="00621FE7" w:rsidRDefault="003A385F" w:rsidP="003A385F">
            <w:pPr>
              <w:spacing w:after="20"/>
              <w:rPr>
                <w:sz w:val="20"/>
                <w:szCs w:val="20"/>
              </w:rPr>
            </w:pPr>
            <w:r w:rsidRPr="00621FE7">
              <w:rPr>
                <w:sz w:val="20"/>
                <w:szCs w:val="20"/>
              </w:rPr>
              <w:t>Level 1</w:t>
            </w:r>
          </w:p>
        </w:tc>
        <w:tc>
          <w:tcPr>
            <w:tcW w:w="2126" w:type="dxa"/>
          </w:tcPr>
          <w:p w14:paraId="590D701B" w14:textId="77777777" w:rsidR="003A385F" w:rsidRPr="00621FE7" w:rsidRDefault="003A385F" w:rsidP="003A385F">
            <w:pPr>
              <w:spacing w:after="20"/>
              <w:rPr>
                <w:sz w:val="20"/>
                <w:szCs w:val="20"/>
              </w:rPr>
            </w:pPr>
            <w:r w:rsidRPr="00621FE7">
              <w:rPr>
                <w:sz w:val="20"/>
                <w:szCs w:val="20"/>
              </w:rPr>
              <w:t>Effective risk management systems and processes established</w:t>
            </w:r>
          </w:p>
        </w:tc>
        <w:tc>
          <w:tcPr>
            <w:tcW w:w="1134" w:type="dxa"/>
            <w:tcMar>
              <w:top w:w="28" w:type="dxa"/>
              <w:left w:w="57" w:type="dxa"/>
              <w:bottom w:w="17" w:type="dxa"/>
              <w:right w:w="57" w:type="dxa"/>
            </w:tcMar>
          </w:tcPr>
          <w:p w14:paraId="7392B14B" w14:textId="77777777" w:rsidR="003A385F" w:rsidRPr="00621FE7" w:rsidRDefault="003A385F" w:rsidP="003A385F">
            <w:pPr>
              <w:spacing w:after="20"/>
              <w:jc w:val="center"/>
              <w:rPr>
                <w:sz w:val="20"/>
                <w:szCs w:val="20"/>
              </w:rPr>
            </w:pPr>
            <w:r w:rsidRPr="00621FE7">
              <w:rPr>
                <w:sz w:val="20"/>
                <w:szCs w:val="20"/>
              </w:rPr>
              <w:t>88</w:t>
            </w:r>
          </w:p>
        </w:tc>
        <w:tc>
          <w:tcPr>
            <w:tcW w:w="1560" w:type="dxa"/>
            <w:tcMar>
              <w:top w:w="28" w:type="dxa"/>
              <w:left w:w="57" w:type="dxa"/>
              <w:bottom w:w="17" w:type="dxa"/>
              <w:right w:w="57" w:type="dxa"/>
            </w:tcMar>
          </w:tcPr>
          <w:p w14:paraId="5DA88341" w14:textId="77777777" w:rsidR="003A385F" w:rsidRPr="00621FE7" w:rsidRDefault="003A385F" w:rsidP="003A385F">
            <w:pPr>
              <w:spacing w:after="20"/>
              <w:jc w:val="center"/>
              <w:rPr>
                <w:sz w:val="20"/>
                <w:szCs w:val="20"/>
              </w:rPr>
            </w:pPr>
            <w:r w:rsidRPr="00621FE7">
              <w:rPr>
                <w:sz w:val="20"/>
                <w:szCs w:val="20"/>
              </w:rPr>
              <w:t xml:space="preserve">0.82 </w:t>
            </w:r>
          </w:p>
          <w:p w14:paraId="24C03BF1" w14:textId="77777777" w:rsidR="003A385F" w:rsidRPr="00621FE7" w:rsidRDefault="003A385F" w:rsidP="003A385F">
            <w:pPr>
              <w:spacing w:after="20"/>
              <w:jc w:val="center"/>
              <w:rPr>
                <w:sz w:val="20"/>
                <w:szCs w:val="20"/>
              </w:rPr>
            </w:pPr>
            <w:r w:rsidRPr="00621FE7">
              <w:rPr>
                <w:sz w:val="20"/>
                <w:szCs w:val="20"/>
              </w:rPr>
              <w:t>(0.68 to 0.96)</w:t>
            </w:r>
          </w:p>
        </w:tc>
        <w:tc>
          <w:tcPr>
            <w:tcW w:w="1559" w:type="dxa"/>
            <w:vMerge/>
            <w:tcMar>
              <w:top w:w="28" w:type="dxa"/>
              <w:bottom w:w="17" w:type="dxa"/>
            </w:tcMar>
          </w:tcPr>
          <w:p w14:paraId="7DC85288" w14:textId="77777777" w:rsidR="003A385F" w:rsidRPr="00621FE7" w:rsidRDefault="003A385F" w:rsidP="003A385F">
            <w:pPr>
              <w:spacing w:after="20"/>
              <w:rPr>
                <w:sz w:val="20"/>
                <w:szCs w:val="20"/>
              </w:rPr>
            </w:pPr>
          </w:p>
        </w:tc>
      </w:tr>
      <w:tr w:rsidR="003A385F" w:rsidRPr="00621FE7" w14:paraId="1726690C" w14:textId="77777777" w:rsidTr="006C44E9">
        <w:trPr>
          <w:cantSplit/>
          <w:trHeight w:val="924"/>
        </w:trPr>
        <w:tc>
          <w:tcPr>
            <w:tcW w:w="1559" w:type="dxa"/>
          </w:tcPr>
          <w:p w14:paraId="3D7D2870" w14:textId="77777777" w:rsidR="003A385F" w:rsidRPr="00621FE7" w:rsidRDefault="003A385F" w:rsidP="003A385F">
            <w:pPr>
              <w:spacing w:after="20"/>
              <w:rPr>
                <w:sz w:val="20"/>
                <w:szCs w:val="20"/>
              </w:rPr>
            </w:pPr>
            <w:r w:rsidRPr="00621FE7">
              <w:rPr>
                <w:sz w:val="20"/>
                <w:szCs w:val="20"/>
              </w:rPr>
              <w:t>Level 2</w:t>
            </w:r>
          </w:p>
        </w:tc>
        <w:tc>
          <w:tcPr>
            <w:tcW w:w="2126" w:type="dxa"/>
          </w:tcPr>
          <w:p w14:paraId="058535B2" w14:textId="77777777" w:rsidR="003A385F" w:rsidRPr="00621FE7" w:rsidRDefault="003A385F" w:rsidP="003A385F">
            <w:pPr>
              <w:spacing w:after="20"/>
              <w:rPr>
                <w:sz w:val="20"/>
                <w:szCs w:val="20"/>
              </w:rPr>
            </w:pPr>
            <w:r w:rsidRPr="00621FE7">
              <w:rPr>
                <w:sz w:val="20"/>
                <w:szCs w:val="20"/>
              </w:rPr>
              <w:t>Systems described for Level 1 have been implemented</w:t>
            </w:r>
          </w:p>
        </w:tc>
        <w:tc>
          <w:tcPr>
            <w:tcW w:w="1134" w:type="dxa"/>
            <w:tcMar>
              <w:top w:w="28" w:type="dxa"/>
              <w:left w:w="57" w:type="dxa"/>
              <w:bottom w:w="17" w:type="dxa"/>
              <w:right w:w="57" w:type="dxa"/>
            </w:tcMar>
          </w:tcPr>
          <w:p w14:paraId="62699B72" w14:textId="77777777" w:rsidR="003A385F" w:rsidRPr="00621FE7" w:rsidRDefault="003A385F" w:rsidP="003A385F">
            <w:pPr>
              <w:spacing w:after="20"/>
              <w:jc w:val="center"/>
              <w:rPr>
                <w:sz w:val="20"/>
                <w:szCs w:val="20"/>
              </w:rPr>
            </w:pPr>
            <w:r w:rsidRPr="00621FE7">
              <w:rPr>
                <w:sz w:val="20"/>
                <w:szCs w:val="20"/>
              </w:rPr>
              <w:t>49</w:t>
            </w:r>
          </w:p>
        </w:tc>
        <w:tc>
          <w:tcPr>
            <w:tcW w:w="1560" w:type="dxa"/>
            <w:tcMar>
              <w:top w:w="28" w:type="dxa"/>
              <w:left w:w="57" w:type="dxa"/>
              <w:bottom w:w="17" w:type="dxa"/>
              <w:right w:w="57" w:type="dxa"/>
            </w:tcMar>
          </w:tcPr>
          <w:p w14:paraId="087D3D95" w14:textId="77777777" w:rsidR="003A385F" w:rsidRPr="00621FE7" w:rsidRDefault="003A385F" w:rsidP="003A385F">
            <w:pPr>
              <w:spacing w:after="20"/>
              <w:jc w:val="center"/>
              <w:rPr>
                <w:sz w:val="20"/>
                <w:szCs w:val="20"/>
              </w:rPr>
            </w:pPr>
            <w:r w:rsidRPr="00621FE7">
              <w:rPr>
                <w:sz w:val="20"/>
                <w:szCs w:val="20"/>
              </w:rPr>
              <w:t xml:space="preserve">0.84 </w:t>
            </w:r>
          </w:p>
          <w:p w14:paraId="47B03673" w14:textId="77777777" w:rsidR="003A385F" w:rsidRPr="00621FE7" w:rsidRDefault="003A385F" w:rsidP="003A385F">
            <w:pPr>
              <w:spacing w:after="20"/>
              <w:jc w:val="center"/>
              <w:rPr>
                <w:sz w:val="20"/>
                <w:szCs w:val="20"/>
              </w:rPr>
            </w:pPr>
            <w:r w:rsidRPr="00621FE7">
              <w:rPr>
                <w:sz w:val="20"/>
                <w:szCs w:val="20"/>
              </w:rPr>
              <w:t>(0.61 to 1.06)</w:t>
            </w:r>
          </w:p>
        </w:tc>
        <w:tc>
          <w:tcPr>
            <w:tcW w:w="1559" w:type="dxa"/>
            <w:vMerge/>
            <w:tcMar>
              <w:top w:w="28" w:type="dxa"/>
              <w:bottom w:w="17" w:type="dxa"/>
            </w:tcMar>
          </w:tcPr>
          <w:p w14:paraId="4E25B1E4" w14:textId="77777777" w:rsidR="003A385F" w:rsidRPr="00621FE7" w:rsidRDefault="003A385F" w:rsidP="003A385F">
            <w:pPr>
              <w:spacing w:after="20"/>
              <w:rPr>
                <w:sz w:val="20"/>
                <w:szCs w:val="20"/>
              </w:rPr>
            </w:pPr>
          </w:p>
        </w:tc>
      </w:tr>
      <w:tr w:rsidR="003A385F" w:rsidRPr="00621FE7" w14:paraId="46E36571" w14:textId="77777777" w:rsidTr="006C44E9">
        <w:trPr>
          <w:cantSplit/>
          <w:trHeight w:val="924"/>
        </w:trPr>
        <w:tc>
          <w:tcPr>
            <w:tcW w:w="1559" w:type="dxa"/>
          </w:tcPr>
          <w:p w14:paraId="3798B672" w14:textId="77777777" w:rsidR="003A385F" w:rsidRPr="00621FE7" w:rsidRDefault="003A385F" w:rsidP="003A385F">
            <w:pPr>
              <w:spacing w:after="20"/>
              <w:rPr>
                <w:sz w:val="20"/>
                <w:szCs w:val="20"/>
              </w:rPr>
            </w:pPr>
            <w:r w:rsidRPr="00621FE7">
              <w:rPr>
                <w:sz w:val="20"/>
                <w:szCs w:val="20"/>
              </w:rPr>
              <w:t>Level 3</w:t>
            </w:r>
          </w:p>
        </w:tc>
        <w:tc>
          <w:tcPr>
            <w:tcW w:w="2126" w:type="dxa"/>
          </w:tcPr>
          <w:p w14:paraId="789BF905" w14:textId="77777777" w:rsidR="003A385F" w:rsidRPr="00621FE7" w:rsidRDefault="003A385F" w:rsidP="003A385F">
            <w:pPr>
              <w:spacing w:after="20"/>
              <w:rPr>
                <w:sz w:val="20"/>
                <w:szCs w:val="20"/>
              </w:rPr>
            </w:pPr>
            <w:r w:rsidRPr="00621FE7">
              <w:rPr>
                <w:sz w:val="20"/>
                <w:szCs w:val="20"/>
              </w:rPr>
              <w:t>Organisation is monitoring compliance with systems and acting on findings</w:t>
            </w:r>
          </w:p>
        </w:tc>
        <w:tc>
          <w:tcPr>
            <w:tcW w:w="1134" w:type="dxa"/>
            <w:tcMar>
              <w:top w:w="28" w:type="dxa"/>
              <w:left w:w="57" w:type="dxa"/>
              <w:bottom w:w="17" w:type="dxa"/>
              <w:right w:w="57" w:type="dxa"/>
            </w:tcMar>
          </w:tcPr>
          <w:p w14:paraId="12AD2B35" w14:textId="77777777" w:rsidR="003A385F" w:rsidRPr="00621FE7" w:rsidRDefault="003A385F" w:rsidP="003A385F">
            <w:pPr>
              <w:spacing w:after="20"/>
              <w:jc w:val="center"/>
              <w:rPr>
                <w:sz w:val="20"/>
                <w:szCs w:val="20"/>
              </w:rPr>
            </w:pPr>
            <w:r w:rsidRPr="00621FE7">
              <w:rPr>
                <w:sz w:val="20"/>
                <w:szCs w:val="20"/>
              </w:rPr>
              <w:t>10</w:t>
            </w:r>
          </w:p>
        </w:tc>
        <w:tc>
          <w:tcPr>
            <w:tcW w:w="1560" w:type="dxa"/>
            <w:tcMar>
              <w:top w:w="28" w:type="dxa"/>
              <w:left w:w="57" w:type="dxa"/>
              <w:bottom w:w="17" w:type="dxa"/>
              <w:right w:w="57" w:type="dxa"/>
            </w:tcMar>
          </w:tcPr>
          <w:p w14:paraId="185F436F" w14:textId="77777777" w:rsidR="003A385F" w:rsidRPr="00621FE7" w:rsidRDefault="003A385F" w:rsidP="003A385F">
            <w:pPr>
              <w:spacing w:after="20"/>
              <w:jc w:val="center"/>
              <w:rPr>
                <w:sz w:val="20"/>
                <w:szCs w:val="20"/>
              </w:rPr>
            </w:pPr>
            <w:r w:rsidRPr="00621FE7">
              <w:rPr>
                <w:sz w:val="20"/>
                <w:szCs w:val="20"/>
              </w:rPr>
              <w:t xml:space="preserve">1.36 </w:t>
            </w:r>
          </w:p>
          <w:p w14:paraId="19AAAF20" w14:textId="77777777" w:rsidR="003A385F" w:rsidRPr="00621FE7" w:rsidRDefault="003A385F" w:rsidP="003A385F">
            <w:pPr>
              <w:spacing w:after="20"/>
              <w:jc w:val="center"/>
              <w:rPr>
                <w:sz w:val="20"/>
                <w:szCs w:val="20"/>
              </w:rPr>
            </w:pPr>
            <w:r w:rsidRPr="00621FE7">
              <w:rPr>
                <w:sz w:val="20"/>
                <w:szCs w:val="20"/>
              </w:rPr>
              <w:t>(1.06 to 1.66)</w:t>
            </w:r>
          </w:p>
        </w:tc>
        <w:tc>
          <w:tcPr>
            <w:tcW w:w="1559" w:type="dxa"/>
            <w:vMerge/>
            <w:tcMar>
              <w:top w:w="28" w:type="dxa"/>
              <w:bottom w:w="17" w:type="dxa"/>
            </w:tcMar>
          </w:tcPr>
          <w:p w14:paraId="440D2223" w14:textId="77777777" w:rsidR="003A385F" w:rsidRPr="00621FE7" w:rsidRDefault="003A385F" w:rsidP="003A385F">
            <w:pPr>
              <w:spacing w:after="20"/>
              <w:rPr>
                <w:sz w:val="20"/>
                <w:szCs w:val="20"/>
              </w:rPr>
            </w:pPr>
          </w:p>
        </w:tc>
      </w:tr>
    </w:tbl>
    <w:p w14:paraId="1CB779E4" w14:textId="77777777" w:rsidR="003A385F" w:rsidRPr="0098302F" w:rsidRDefault="006C44E9" w:rsidP="003A385F">
      <w:pPr>
        <w:pStyle w:val="CommentText"/>
        <w:rPr>
          <w:sz w:val="18"/>
          <w:szCs w:val="18"/>
        </w:rPr>
      </w:pPr>
      <w:r>
        <w:rPr>
          <w:sz w:val="18"/>
          <w:szCs w:val="18"/>
        </w:rPr>
        <w:t xml:space="preserve">     </w:t>
      </w:r>
      <w:r w:rsidR="003A385F" w:rsidRPr="0098302F">
        <w:rPr>
          <w:sz w:val="18"/>
          <w:szCs w:val="18"/>
        </w:rPr>
        <w:t>n/a – not applicable</w:t>
      </w:r>
    </w:p>
    <w:p w14:paraId="45CBF180" w14:textId="77777777" w:rsidR="003A385F" w:rsidRPr="003079D8" w:rsidRDefault="003A385F" w:rsidP="003A385F">
      <w:pPr>
        <w:spacing w:line="480" w:lineRule="auto"/>
        <w:jc w:val="both"/>
        <w:rPr>
          <w:sz w:val="22"/>
          <w:szCs w:val="22"/>
        </w:rPr>
      </w:pPr>
    </w:p>
    <w:p w14:paraId="3BFC94E4" w14:textId="77777777" w:rsidR="003A385F" w:rsidRPr="003079D8" w:rsidRDefault="003A385F" w:rsidP="001F41C1">
      <w:pPr>
        <w:spacing w:line="360" w:lineRule="auto"/>
        <w:jc w:val="both"/>
        <w:rPr>
          <w:sz w:val="22"/>
          <w:szCs w:val="22"/>
          <w:u w:val="single"/>
        </w:rPr>
      </w:pPr>
      <w:r w:rsidRPr="003079D8">
        <w:rPr>
          <w:sz w:val="22"/>
          <w:szCs w:val="22"/>
          <w:u w:val="single"/>
        </w:rPr>
        <w:t>Relationship between reporting rates and other safety and quality data</w:t>
      </w:r>
    </w:p>
    <w:p w14:paraId="63E8BD0D" w14:textId="77777777" w:rsidR="003A385F" w:rsidRPr="003079D8" w:rsidRDefault="003A385F" w:rsidP="001F41C1">
      <w:pPr>
        <w:spacing w:line="360" w:lineRule="auto"/>
        <w:jc w:val="both"/>
        <w:rPr>
          <w:sz w:val="22"/>
          <w:szCs w:val="22"/>
        </w:rPr>
      </w:pPr>
      <w:r w:rsidRPr="003079D8">
        <w:rPr>
          <w:sz w:val="22"/>
          <w:szCs w:val="22"/>
        </w:rPr>
        <w:t xml:space="preserve">The numbers of reports to the NRLS were compared to the numbers of reports to other safety-related reporting systems. There were no significant correlations with the number of reports to either the </w:t>
      </w:r>
      <w:r w:rsidRPr="003079D8">
        <w:rPr>
          <w:bCs/>
          <w:sz w:val="22"/>
          <w:szCs w:val="22"/>
        </w:rPr>
        <w:t>Methicillin-Resistant Staphylococcus Aureus (MRSA)</w:t>
      </w:r>
      <w:r w:rsidRPr="003079D8">
        <w:rPr>
          <w:sz w:val="22"/>
          <w:szCs w:val="22"/>
        </w:rPr>
        <w:t xml:space="preserve"> bacteraemia surveillance system[16] (correlation -0.05, 95% CI -0.22 to 0.11, p = 0.511) or the Medicines and Healthcare Products Regulatory Agency medical device reporting system[17] (correlation 0.08, 95% CI -0.09 to 0.25, p = 0.355). However, it should be noted that the numbers of reports to these systems were low, with an average of 42 reports to the MRSA surveillance system per hospital per year (95% CI: 36 to 47) and 15 reports to the MHRA medical device reporting system (95% CI: 13 to 18).</w:t>
      </w:r>
    </w:p>
    <w:p w14:paraId="72A98DD6" w14:textId="77777777" w:rsidR="003A385F" w:rsidRPr="003079D8" w:rsidRDefault="003A385F" w:rsidP="001F41C1">
      <w:pPr>
        <w:spacing w:line="360" w:lineRule="auto"/>
        <w:jc w:val="both"/>
        <w:rPr>
          <w:sz w:val="22"/>
          <w:szCs w:val="22"/>
        </w:rPr>
      </w:pPr>
      <w:r w:rsidRPr="003079D8">
        <w:rPr>
          <w:sz w:val="22"/>
          <w:szCs w:val="22"/>
        </w:rPr>
        <w:t>The relationships between reporting rates to the NRLS and selected patient outcome measures were also assessed. No significant correlations were observed, either with Hospital Standardised Mortality Ratios [22] (correlation 0.02, 95% CI -0.16 to 0.19, p = 0.865), or with three Patient Safety Indicators (see Methods) relating to a) number of deaths in low-mortality Healthcare Resource Groups, b) number of decubitus ulcers, and c) number of post-operative sepsis cases.</w:t>
      </w:r>
    </w:p>
    <w:p w14:paraId="6DB33D15" w14:textId="77777777" w:rsidR="003A385F" w:rsidRPr="003079D8" w:rsidRDefault="003A385F" w:rsidP="001F41C1">
      <w:pPr>
        <w:spacing w:line="360" w:lineRule="auto"/>
        <w:jc w:val="both"/>
        <w:rPr>
          <w:sz w:val="22"/>
          <w:szCs w:val="22"/>
        </w:rPr>
      </w:pPr>
      <w:r w:rsidRPr="003079D8">
        <w:rPr>
          <w:sz w:val="22"/>
          <w:szCs w:val="22"/>
        </w:rPr>
        <w:lastRenderedPageBreak/>
        <w:t>In addition, we explored the relationship between reporting rates and hospital characteristics. There was no significant difference overall between the mean reporting rates from different sizes and types of acute hospital as defined by the Healthcare Commission,[20] e.g. large, medium, small, teaching or specialist. Neither were there any significant correlations between reporting rate and data on patient age, gender, length of stay, waiting list time, or proportions of emergency or day-case admissions.[21]</w:t>
      </w:r>
    </w:p>
    <w:p w14:paraId="103B2FAA" w14:textId="77777777" w:rsidR="003A385F" w:rsidRPr="003079D8" w:rsidRDefault="003A385F" w:rsidP="001F41C1">
      <w:pPr>
        <w:spacing w:line="360" w:lineRule="auto"/>
        <w:rPr>
          <w:sz w:val="22"/>
          <w:szCs w:val="22"/>
        </w:rPr>
      </w:pPr>
      <w:r w:rsidRPr="003079D8">
        <w:rPr>
          <w:b/>
          <w:sz w:val="22"/>
          <w:szCs w:val="22"/>
          <w:u w:val="single"/>
        </w:rPr>
        <w:t>Discussion</w:t>
      </w:r>
    </w:p>
    <w:p w14:paraId="49A048ED" w14:textId="77777777" w:rsidR="003A385F" w:rsidRPr="003079D8" w:rsidRDefault="003A385F" w:rsidP="001F41C1">
      <w:pPr>
        <w:spacing w:line="360" w:lineRule="auto"/>
        <w:jc w:val="both"/>
        <w:rPr>
          <w:sz w:val="22"/>
          <w:szCs w:val="22"/>
          <w:u w:val="single"/>
        </w:rPr>
      </w:pPr>
      <w:r w:rsidRPr="003079D8">
        <w:rPr>
          <w:sz w:val="22"/>
          <w:szCs w:val="22"/>
          <w:u w:val="single"/>
        </w:rPr>
        <w:t>Patterns of reporting</w:t>
      </w:r>
    </w:p>
    <w:p w14:paraId="251A8078" w14:textId="77777777" w:rsidR="003A385F" w:rsidRPr="003079D8" w:rsidRDefault="003A385F" w:rsidP="001F41C1">
      <w:pPr>
        <w:spacing w:line="360" w:lineRule="auto"/>
        <w:jc w:val="both"/>
        <w:rPr>
          <w:sz w:val="22"/>
          <w:szCs w:val="22"/>
        </w:rPr>
      </w:pPr>
      <w:r w:rsidRPr="003079D8">
        <w:rPr>
          <w:sz w:val="22"/>
          <w:szCs w:val="22"/>
        </w:rPr>
        <w:t>Acute hospitals are reporting increasing numbers of incidents to the National Reporting and Learning System even after 18 months’ connection to the system. It will be interesting to monitor whether rates continue to increase, particularly following the provision of more structured feedback to hospitals which began in May 2006. The use of bed days as a denominator for reporting rates seems to be an appropriate way of accounting for hospital size and activity, and we found that using consultant episodes gave very similar results (not shown). It is also interesting to note that, while slips, trips and falls still account for around 40% of incidents being reported,[26] some hospitals appear to be reporting higher numbers of other incident types. Falls are traditionally reported by nursing staff, but our results suggest an improvement in willingness or ability of NHS staff to report other types of incident in addition.</w:t>
      </w:r>
    </w:p>
    <w:p w14:paraId="04BF434E" w14:textId="77777777" w:rsidR="003A385F" w:rsidRPr="003079D8" w:rsidRDefault="003A385F" w:rsidP="001F41C1">
      <w:pPr>
        <w:spacing w:line="360" w:lineRule="auto"/>
        <w:jc w:val="both"/>
        <w:rPr>
          <w:sz w:val="22"/>
          <w:szCs w:val="22"/>
          <w:u w:val="single"/>
        </w:rPr>
      </w:pPr>
      <w:r w:rsidRPr="003079D8">
        <w:rPr>
          <w:sz w:val="22"/>
          <w:szCs w:val="22"/>
          <w:u w:val="single"/>
        </w:rPr>
        <w:t>Limitations of this research</w:t>
      </w:r>
    </w:p>
    <w:p w14:paraId="3885B44B" w14:textId="77777777" w:rsidR="003A385F" w:rsidRPr="003079D8" w:rsidRDefault="003A385F" w:rsidP="001F41C1">
      <w:pPr>
        <w:spacing w:line="360" w:lineRule="auto"/>
        <w:jc w:val="both"/>
        <w:rPr>
          <w:sz w:val="22"/>
          <w:szCs w:val="22"/>
        </w:rPr>
      </w:pPr>
      <w:r w:rsidRPr="003079D8">
        <w:rPr>
          <w:sz w:val="22"/>
          <w:szCs w:val="22"/>
        </w:rPr>
        <w:t>This analysis was undertaken at an early stage in the lifetime of the NRLS, and it is worth noting that reporting rates may be affected by factors such as the technicalities of transferring data from local systems to the national system.  The method used to calculate reporting rates took account of variations in when hospitals started to report to the NRLS, but may not adjust for this fully.</w:t>
      </w:r>
    </w:p>
    <w:p w14:paraId="7C627A7B" w14:textId="77777777" w:rsidR="003A385F" w:rsidRPr="003079D8" w:rsidRDefault="003A385F" w:rsidP="001F41C1">
      <w:pPr>
        <w:spacing w:line="360" w:lineRule="auto"/>
        <w:jc w:val="both"/>
        <w:rPr>
          <w:sz w:val="22"/>
          <w:szCs w:val="22"/>
          <w:u w:val="single"/>
        </w:rPr>
      </w:pPr>
      <w:r w:rsidRPr="003079D8">
        <w:rPr>
          <w:sz w:val="22"/>
          <w:szCs w:val="22"/>
          <w:u w:val="single"/>
        </w:rPr>
        <w:t>The relationship between reporting rate and safety culture</w:t>
      </w:r>
    </w:p>
    <w:p w14:paraId="6901CDB2" w14:textId="77777777" w:rsidR="003A385F" w:rsidRPr="003079D8" w:rsidRDefault="003A385F" w:rsidP="001F41C1">
      <w:pPr>
        <w:spacing w:line="360" w:lineRule="auto"/>
        <w:jc w:val="both"/>
        <w:rPr>
          <w:sz w:val="22"/>
          <w:szCs w:val="22"/>
        </w:rPr>
      </w:pPr>
      <w:r w:rsidRPr="003079D8">
        <w:rPr>
          <w:sz w:val="22"/>
          <w:szCs w:val="22"/>
        </w:rPr>
        <w:t xml:space="preserve">Since incident reports to a national system are a relatively new data source, contextual analysis alongside other data is critical for interpretation. The significant correlations between reporting rates and Staff Survey responses over the years 2004 and 2005 suggest that staff perceptions of the culture of safety and reporting within their hospital influence the actual number of reports being made. There was also a correlation between high reporting rates and the hospitals scoring highest in the NHS Litigation Authority risk management assessment. The positive association of actual reporting rates with independent data on </w:t>
      </w:r>
      <w:r w:rsidRPr="003079D8">
        <w:rPr>
          <w:sz w:val="22"/>
          <w:szCs w:val="22"/>
        </w:rPr>
        <w:lastRenderedPageBreak/>
        <w:t>safety culture is an important finding, and supports the view that, currently, higher reporting rates indicate safer organisations.</w:t>
      </w:r>
    </w:p>
    <w:p w14:paraId="053D202D" w14:textId="77777777" w:rsidR="003A385F" w:rsidRPr="003079D8" w:rsidRDefault="003A385F" w:rsidP="001F41C1">
      <w:pPr>
        <w:spacing w:line="360" w:lineRule="auto"/>
        <w:jc w:val="both"/>
        <w:rPr>
          <w:sz w:val="22"/>
          <w:szCs w:val="22"/>
        </w:rPr>
      </w:pPr>
      <w:r w:rsidRPr="003079D8">
        <w:rPr>
          <w:sz w:val="22"/>
          <w:szCs w:val="22"/>
        </w:rPr>
        <w:t>The apparent lack of a relationship with Hospital Standardised Mortality Ratios and Patient Safety Indicators may reflect the difficulty in demonstrating the link between safe, good quality care and patient outcomes.[27] The lack of correlation with reporting rates to other reporting systems (such as the MHRA medical device reporting system and the MRSA bacteraemia reporting system) is likely to be due to the relatively low numbers of reports to these systems, or to other factors such as the type of hospital and severity of casemix. It should also be borne in mind that while measures of safety are often collected at hospital level, both the reporting rate and the safety culture have been shown to vary widely between different departments within a single hospital, and also between different sectors of staff.[10, 11, 28]</w:t>
      </w:r>
    </w:p>
    <w:p w14:paraId="15081127" w14:textId="77777777" w:rsidR="003A385F" w:rsidRPr="003079D8" w:rsidRDefault="003A385F" w:rsidP="001F41C1">
      <w:pPr>
        <w:spacing w:line="360" w:lineRule="auto"/>
        <w:jc w:val="both"/>
        <w:rPr>
          <w:sz w:val="22"/>
          <w:szCs w:val="22"/>
          <w:u w:val="single"/>
        </w:rPr>
      </w:pPr>
      <w:r w:rsidRPr="003079D8">
        <w:rPr>
          <w:sz w:val="22"/>
          <w:szCs w:val="22"/>
          <w:u w:val="single"/>
        </w:rPr>
        <w:t>Implications</w:t>
      </w:r>
    </w:p>
    <w:p w14:paraId="7186BE7C" w14:textId="77777777" w:rsidR="003A385F" w:rsidRPr="003079D8" w:rsidRDefault="003A385F" w:rsidP="001F41C1">
      <w:pPr>
        <w:spacing w:line="360" w:lineRule="auto"/>
        <w:jc w:val="both"/>
        <w:rPr>
          <w:sz w:val="22"/>
          <w:szCs w:val="22"/>
        </w:rPr>
      </w:pPr>
      <w:r w:rsidRPr="003079D8">
        <w:rPr>
          <w:sz w:val="22"/>
          <w:szCs w:val="22"/>
        </w:rPr>
        <w:t>Our findings suggest that higher reporting rates may be related to a more supportive culture of safety and reporting, as indicated by the relationship between reporting rates and data from the NHS Staff Survey and the NHS Litigation Authority. Reporting rates also appear to be improving over time across acute hospitals in England. The NPSA is now providing hospitals with regular feedback reports to allow hospitals to benchmark data in comparison with other similar hospitals, as part of a strategy to improve the quantity and quality of data reported. This analysis has been undertaken using nationally available data sources at hospital level. However, individual hospitals are likely to have access to additional data sources, which will aid the interpretation and analysis of NRLS reporting rates. Hospital reporting rates are not published more widely, or used directly as measures of compliance with health care standards. On the basis of our analysis, and in the context of making data available to support choice of care providers, we suggest that high reporting rates may be indicators of a positive safety culture, rather than markers of less safe care.</w:t>
      </w:r>
    </w:p>
    <w:p w14:paraId="59469986" w14:textId="77777777" w:rsidR="003A385F" w:rsidRPr="003079D8" w:rsidRDefault="003A385F" w:rsidP="001F41C1">
      <w:pPr>
        <w:spacing w:line="360" w:lineRule="auto"/>
        <w:jc w:val="both"/>
        <w:rPr>
          <w:sz w:val="22"/>
          <w:szCs w:val="22"/>
        </w:rPr>
      </w:pPr>
    </w:p>
    <w:p w14:paraId="047C9AE6" w14:textId="77777777" w:rsidR="003A385F" w:rsidRPr="003079D8" w:rsidRDefault="003A385F" w:rsidP="001F41C1">
      <w:pPr>
        <w:spacing w:line="360" w:lineRule="auto"/>
        <w:jc w:val="both"/>
        <w:rPr>
          <w:sz w:val="22"/>
          <w:szCs w:val="22"/>
        </w:rPr>
      </w:pPr>
      <w:r w:rsidRPr="003079D8">
        <w:rPr>
          <w:b/>
          <w:sz w:val="22"/>
          <w:szCs w:val="22"/>
        </w:rPr>
        <w:t xml:space="preserve">Acknowledgements: </w:t>
      </w:r>
      <w:r w:rsidRPr="003079D8">
        <w:rPr>
          <w:sz w:val="22"/>
          <w:szCs w:val="22"/>
        </w:rPr>
        <w:t>We wish to thank Patricia Bain and the other NPSA Patient Safety Managers who assisted with the study, and the MHRA for providing data.</w:t>
      </w:r>
    </w:p>
    <w:p w14:paraId="3B4F2EA4" w14:textId="77777777" w:rsidR="003A385F" w:rsidRPr="003079D8" w:rsidRDefault="003A385F" w:rsidP="001F41C1">
      <w:pPr>
        <w:spacing w:line="360" w:lineRule="auto"/>
        <w:jc w:val="both"/>
        <w:rPr>
          <w:sz w:val="22"/>
          <w:szCs w:val="22"/>
        </w:rPr>
      </w:pPr>
    </w:p>
    <w:p w14:paraId="67BD0F2F" w14:textId="77777777" w:rsidR="003A385F" w:rsidRPr="003079D8" w:rsidRDefault="003A385F" w:rsidP="001F41C1">
      <w:pPr>
        <w:spacing w:line="360" w:lineRule="auto"/>
        <w:jc w:val="both"/>
        <w:rPr>
          <w:sz w:val="22"/>
          <w:szCs w:val="22"/>
        </w:rPr>
      </w:pPr>
      <w:r w:rsidRPr="003079D8">
        <w:rPr>
          <w:b/>
          <w:sz w:val="22"/>
          <w:szCs w:val="22"/>
        </w:rPr>
        <w:t>Contributorship:</w:t>
      </w:r>
      <w:r w:rsidRPr="003079D8">
        <w:rPr>
          <w:sz w:val="22"/>
          <w:szCs w:val="22"/>
        </w:rPr>
        <w:t xml:space="preserve"> AH wrote the research proposal, directed the study and contributed to analysis and writing, TY undertook much of the analysis and contributed to the writing, KC managed the research process, undertook some analysis and contributed to the writing, </w:t>
      </w:r>
      <w:r w:rsidRPr="003079D8">
        <w:rPr>
          <w:sz w:val="22"/>
          <w:szCs w:val="22"/>
        </w:rPr>
        <w:lastRenderedPageBreak/>
        <w:t>AMc undertook the qualitative evaluation and contributed to the findings, JK contributed to the design and analysis, SS and RT proposed the project and contributed to design, writing and interpretation.</w:t>
      </w:r>
    </w:p>
    <w:p w14:paraId="5AFC7476" w14:textId="77777777" w:rsidR="003A385F" w:rsidRPr="003079D8" w:rsidRDefault="003A385F" w:rsidP="001F41C1">
      <w:pPr>
        <w:spacing w:line="360" w:lineRule="auto"/>
        <w:jc w:val="both"/>
        <w:rPr>
          <w:sz w:val="22"/>
          <w:szCs w:val="22"/>
        </w:rPr>
      </w:pPr>
      <w:r w:rsidRPr="003079D8">
        <w:rPr>
          <w:b/>
          <w:bCs/>
          <w:sz w:val="22"/>
          <w:szCs w:val="22"/>
        </w:rPr>
        <w:t>Competing interests</w:t>
      </w:r>
      <w:r w:rsidRPr="003079D8">
        <w:rPr>
          <w:b/>
          <w:sz w:val="22"/>
          <w:szCs w:val="22"/>
        </w:rPr>
        <w:t>:</w:t>
      </w:r>
      <w:r w:rsidRPr="003079D8">
        <w:rPr>
          <w:sz w:val="22"/>
          <w:szCs w:val="22"/>
        </w:rPr>
        <w:t xml:space="preserve"> Sarah Scobie and Richard Thomson were responsible for commissioning this work on behalf of the National Patient Safety Agency.</w:t>
      </w:r>
    </w:p>
    <w:p w14:paraId="220CAC69" w14:textId="77777777" w:rsidR="003A385F" w:rsidRPr="003079D8" w:rsidRDefault="003A385F" w:rsidP="001F41C1">
      <w:pPr>
        <w:spacing w:line="360" w:lineRule="auto"/>
        <w:jc w:val="both"/>
        <w:rPr>
          <w:sz w:val="22"/>
          <w:szCs w:val="22"/>
        </w:rPr>
      </w:pPr>
      <w:r w:rsidRPr="003079D8">
        <w:rPr>
          <w:b/>
          <w:bCs/>
          <w:sz w:val="22"/>
          <w:szCs w:val="22"/>
        </w:rPr>
        <w:t>Funding sources</w:t>
      </w:r>
      <w:r w:rsidRPr="003079D8">
        <w:rPr>
          <w:b/>
          <w:sz w:val="22"/>
          <w:szCs w:val="22"/>
        </w:rPr>
        <w:t>:</w:t>
      </w:r>
      <w:r w:rsidRPr="003079D8">
        <w:rPr>
          <w:sz w:val="22"/>
          <w:szCs w:val="22"/>
        </w:rPr>
        <w:t xml:space="preserve"> Funding for the study was provided by the National Patient Safety Agency to the University of Sheffield.</w:t>
      </w:r>
    </w:p>
    <w:p w14:paraId="5B3EEDF1" w14:textId="77777777" w:rsidR="003A385F" w:rsidRPr="003079D8" w:rsidRDefault="003A385F" w:rsidP="001F41C1">
      <w:pPr>
        <w:spacing w:line="360" w:lineRule="auto"/>
        <w:jc w:val="both"/>
        <w:rPr>
          <w:sz w:val="22"/>
          <w:szCs w:val="22"/>
        </w:rPr>
      </w:pPr>
      <w:r w:rsidRPr="003079D8">
        <w:rPr>
          <w:b/>
          <w:sz w:val="22"/>
          <w:szCs w:val="22"/>
        </w:rPr>
        <w:t>Copyright statement:</w:t>
      </w:r>
      <w:r w:rsidRPr="003079D8">
        <w:rPr>
          <w:sz w:val="22"/>
          <w:szCs w:val="22"/>
        </w:rPr>
        <w:t xml:space="preserve"> The Corresponding Author has the right to grant on behalf of all authors and does grant on behalf of all authors, an exclusive licence (or non exclusive for government employees) on a worldwide basis to the BMJ Publishing Group Ltd, and its Licensees to permit this article (if accepted) to be published in BMJ editions and any other BMJPGL products and to exploit all subsidiary rights, as set out in our licence (bmj.com/advice/copyright.shtml).</w:t>
      </w:r>
    </w:p>
    <w:p w14:paraId="183B206D" w14:textId="77777777" w:rsidR="001F41C1" w:rsidRDefault="001F41C1" w:rsidP="003A385F">
      <w:pPr>
        <w:spacing w:line="240" w:lineRule="auto"/>
        <w:jc w:val="both"/>
        <w:rPr>
          <w:b/>
          <w:sz w:val="22"/>
          <w:szCs w:val="22"/>
          <w:u w:val="single"/>
        </w:rPr>
      </w:pPr>
    </w:p>
    <w:p w14:paraId="2F57C253" w14:textId="77777777" w:rsidR="003A385F" w:rsidRPr="003079D8" w:rsidRDefault="003A385F" w:rsidP="003A385F">
      <w:pPr>
        <w:spacing w:line="240" w:lineRule="auto"/>
        <w:jc w:val="both"/>
        <w:rPr>
          <w:b/>
          <w:sz w:val="22"/>
          <w:szCs w:val="22"/>
          <w:u w:val="single"/>
        </w:rPr>
      </w:pPr>
      <w:r w:rsidRPr="003079D8">
        <w:rPr>
          <w:b/>
          <w:sz w:val="22"/>
          <w:szCs w:val="22"/>
          <w:u w:val="single"/>
        </w:rPr>
        <w:t>References</w:t>
      </w:r>
    </w:p>
    <w:p w14:paraId="54C6C3FE" w14:textId="77777777" w:rsidR="003A385F" w:rsidRDefault="003A385F" w:rsidP="003A385F">
      <w:pPr>
        <w:numPr>
          <w:ilvl w:val="0"/>
          <w:numId w:val="2"/>
        </w:numPr>
        <w:spacing w:after="0" w:line="240" w:lineRule="auto"/>
        <w:jc w:val="both"/>
        <w:rPr>
          <w:sz w:val="22"/>
          <w:szCs w:val="22"/>
        </w:rPr>
      </w:pPr>
      <w:r w:rsidRPr="003079D8">
        <w:rPr>
          <w:bCs/>
          <w:sz w:val="22"/>
          <w:szCs w:val="22"/>
        </w:rPr>
        <w:t>Kohn LT</w:t>
      </w:r>
      <w:r w:rsidRPr="003079D8">
        <w:rPr>
          <w:sz w:val="22"/>
          <w:szCs w:val="22"/>
        </w:rPr>
        <w:t xml:space="preserve">, Corrigan JM, Donaldson MS (Institute of Medicine). </w:t>
      </w:r>
      <w:r w:rsidRPr="003079D8">
        <w:rPr>
          <w:iCs/>
          <w:sz w:val="22"/>
          <w:szCs w:val="22"/>
        </w:rPr>
        <w:t>To err is human: building a safer health system</w:t>
      </w:r>
      <w:r w:rsidRPr="003079D8">
        <w:rPr>
          <w:sz w:val="22"/>
          <w:szCs w:val="22"/>
        </w:rPr>
        <w:t xml:space="preserve">. </w:t>
      </w:r>
      <w:r w:rsidRPr="003079D8">
        <w:rPr>
          <w:i/>
          <w:sz w:val="22"/>
          <w:szCs w:val="22"/>
        </w:rPr>
        <w:t>Washington, DC: National Academy Press</w:t>
      </w:r>
      <w:r w:rsidRPr="003079D8">
        <w:rPr>
          <w:sz w:val="22"/>
          <w:szCs w:val="22"/>
        </w:rPr>
        <w:t>, 2000.</w:t>
      </w:r>
    </w:p>
    <w:p w14:paraId="6859B8F1" w14:textId="77777777" w:rsidR="001F41C1" w:rsidRPr="003079D8" w:rsidRDefault="001F41C1" w:rsidP="001F41C1">
      <w:pPr>
        <w:spacing w:after="0" w:line="240" w:lineRule="auto"/>
        <w:ind w:left="720"/>
        <w:jc w:val="both"/>
        <w:rPr>
          <w:sz w:val="22"/>
          <w:szCs w:val="22"/>
        </w:rPr>
      </w:pPr>
    </w:p>
    <w:p w14:paraId="5518F54D" w14:textId="77777777" w:rsidR="003A385F" w:rsidRDefault="003A385F" w:rsidP="003A385F">
      <w:pPr>
        <w:numPr>
          <w:ilvl w:val="0"/>
          <w:numId w:val="2"/>
        </w:numPr>
        <w:spacing w:after="0" w:line="240" w:lineRule="auto"/>
        <w:jc w:val="both"/>
        <w:rPr>
          <w:sz w:val="22"/>
          <w:szCs w:val="22"/>
        </w:rPr>
      </w:pPr>
      <w:r w:rsidRPr="003079D8">
        <w:rPr>
          <w:sz w:val="22"/>
          <w:szCs w:val="22"/>
        </w:rPr>
        <w:t xml:space="preserve">Department of Health. An organisation with a memory, 2000. </w:t>
      </w:r>
      <w:hyperlink r:id="rId22" w:history="1">
        <w:r w:rsidRPr="003079D8">
          <w:rPr>
            <w:rStyle w:val="Hyperlink"/>
            <w:sz w:val="22"/>
            <w:szCs w:val="22"/>
          </w:rPr>
          <w:t>www.dh.gov.uk/assetRoot/04/08/89/48/04088948.pdf</w:t>
        </w:r>
      </w:hyperlink>
      <w:r w:rsidRPr="003079D8">
        <w:rPr>
          <w:sz w:val="22"/>
          <w:szCs w:val="22"/>
        </w:rPr>
        <w:t xml:space="preserve"> (accessed 20 November 2006).</w:t>
      </w:r>
    </w:p>
    <w:p w14:paraId="39877F90" w14:textId="77777777" w:rsidR="001F41C1" w:rsidRPr="003079D8" w:rsidRDefault="001F41C1" w:rsidP="001F41C1">
      <w:pPr>
        <w:spacing w:after="0" w:line="240" w:lineRule="auto"/>
        <w:ind w:left="720"/>
        <w:jc w:val="both"/>
        <w:rPr>
          <w:sz w:val="22"/>
          <w:szCs w:val="22"/>
        </w:rPr>
      </w:pPr>
    </w:p>
    <w:p w14:paraId="1E358311" w14:textId="77777777" w:rsidR="003A385F" w:rsidRDefault="003A385F" w:rsidP="003A385F">
      <w:pPr>
        <w:numPr>
          <w:ilvl w:val="0"/>
          <w:numId w:val="2"/>
        </w:numPr>
        <w:spacing w:after="0" w:line="240" w:lineRule="auto"/>
        <w:jc w:val="both"/>
        <w:rPr>
          <w:sz w:val="22"/>
          <w:szCs w:val="22"/>
        </w:rPr>
      </w:pPr>
      <w:r w:rsidRPr="003079D8">
        <w:rPr>
          <w:sz w:val="22"/>
          <w:szCs w:val="22"/>
        </w:rPr>
        <w:t xml:space="preserve">Williams SK, Osborn SS. The development of the National Reporting and Learning System in England and Wales, 2001-2005. </w:t>
      </w:r>
      <w:r w:rsidRPr="003079D8">
        <w:rPr>
          <w:i/>
          <w:sz w:val="22"/>
          <w:szCs w:val="22"/>
        </w:rPr>
        <w:t>Med J Aust</w:t>
      </w:r>
      <w:r w:rsidRPr="003079D8">
        <w:rPr>
          <w:sz w:val="22"/>
          <w:szCs w:val="22"/>
        </w:rPr>
        <w:t xml:space="preserve"> 2006;</w:t>
      </w:r>
      <w:r w:rsidRPr="003079D8">
        <w:rPr>
          <w:b/>
          <w:sz w:val="22"/>
          <w:szCs w:val="22"/>
        </w:rPr>
        <w:t>184</w:t>
      </w:r>
      <w:r w:rsidRPr="003079D8">
        <w:rPr>
          <w:sz w:val="22"/>
          <w:szCs w:val="22"/>
        </w:rPr>
        <w:t>:S65-S68.</w:t>
      </w:r>
    </w:p>
    <w:p w14:paraId="05F1EF28" w14:textId="77777777" w:rsidR="001F41C1" w:rsidRPr="003079D8" w:rsidRDefault="001F41C1" w:rsidP="001F41C1">
      <w:pPr>
        <w:spacing w:after="0" w:line="240" w:lineRule="auto"/>
        <w:ind w:left="720"/>
        <w:jc w:val="both"/>
        <w:rPr>
          <w:sz w:val="22"/>
          <w:szCs w:val="22"/>
        </w:rPr>
      </w:pPr>
    </w:p>
    <w:p w14:paraId="2D708C0D" w14:textId="77777777" w:rsidR="003A385F" w:rsidRDefault="003A385F" w:rsidP="003A385F">
      <w:pPr>
        <w:numPr>
          <w:ilvl w:val="0"/>
          <w:numId w:val="2"/>
        </w:numPr>
        <w:spacing w:after="0" w:line="240" w:lineRule="auto"/>
        <w:jc w:val="both"/>
        <w:rPr>
          <w:sz w:val="22"/>
          <w:szCs w:val="22"/>
        </w:rPr>
      </w:pPr>
      <w:r w:rsidRPr="003079D8">
        <w:rPr>
          <w:sz w:val="22"/>
          <w:szCs w:val="22"/>
        </w:rPr>
        <w:t xml:space="preserve">Spigelman AD, Swan J. Review of the Australian incident monitoring system. </w:t>
      </w:r>
      <w:r w:rsidRPr="003079D8">
        <w:rPr>
          <w:i/>
          <w:sz w:val="22"/>
          <w:szCs w:val="22"/>
        </w:rPr>
        <w:t>ANZ J Surg</w:t>
      </w:r>
      <w:r w:rsidRPr="003079D8">
        <w:rPr>
          <w:sz w:val="22"/>
          <w:szCs w:val="22"/>
        </w:rPr>
        <w:t xml:space="preserve"> 2005;</w:t>
      </w:r>
      <w:r w:rsidRPr="003079D8">
        <w:rPr>
          <w:b/>
          <w:sz w:val="22"/>
          <w:szCs w:val="22"/>
        </w:rPr>
        <w:t>75</w:t>
      </w:r>
      <w:r w:rsidRPr="003079D8">
        <w:rPr>
          <w:sz w:val="22"/>
          <w:szCs w:val="22"/>
        </w:rPr>
        <w:t>:657-61.</w:t>
      </w:r>
    </w:p>
    <w:p w14:paraId="51B9A33E" w14:textId="77777777" w:rsidR="001F41C1" w:rsidRPr="003079D8" w:rsidRDefault="001F41C1" w:rsidP="001F41C1">
      <w:pPr>
        <w:spacing w:after="0" w:line="240" w:lineRule="auto"/>
        <w:ind w:left="720"/>
        <w:jc w:val="both"/>
        <w:rPr>
          <w:sz w:val="22"/>
          <w:szCs w:val="22"/>
        </w:rPr>
      </w:pPr>
    </w:p>
    <w:p w14:paraId="59B8572A" w14:textId="77777777" w:rsidR="003A385F" w:rsidRPr="003079D8" w:rsidRDefault="003A385F" w:rsidP="003A385F">
      <w:pPr>
        <w:numPr>
          <w:ilvl w:val="0"/>
          <w:numId w:val="2"/>
        </w:numPr>
        <w:spacing w:after="0" w:line="240" w:lineRule="auto"/>
        <w:jc w:val="both"/>
        <w:rPr>
          <w:sz w:val="22"/>
          <w:szCs w:val="22"/>
        </w:rPr>
      </w:pPr>
      <w:r w:rsidRPr="003079D8">
        <w:rPr>
          <w:sz w:val="22"/>
          <w:szCs w:val="22"/>
        </w:rPr>
        <w:t xml:space="preserve">Agency for Healthcare Research and Quality. Patient Safety Reporting Systems Factsheet, 2001. </w:t>
      </w:r>
      <w:hyperlink r:id="rId23" w:history="1">
        <w:r w:rsidRPr="003079D8">
          <w:rPr>
            <w:rStyle w:val="Hyperlink"/>
            <w:sz w:val="22"/>
            <w:szCs w:val="22"/>
          </w:rPr>
          <w:t>www.ahrq.gov/qual/taskforce/hhsrepor.htm</w:t>
        </w:r>
      </w:hyperlink>
      <w:r w:rsidRPr="003079D8">
        <w:rPr>
          <w:sz w:val="22"/>
          <w:szCs w:val="22"/>
        </w:rPr>
        <w:t xml:space="preserve"> (accessed 20 November 2006).</w:t>
      </w:r>
    </w:p>
    <w:p w14:paraId="0FF4D7B4" w14:textId="77777777" w:rsidR="003A385F" w:rsidRPr="003079D8" w:rsidRDefault="003A385F" w:rsidP="003A385F">
      <w:pPr>
        <w:spacing w:line="240" w:lineRule="auto"/>
        <w:jc w:val="both"/>
        <w:rPr>
          <w:sz w:val="22"/>
          <w:szCs w:val="22"/>
        </w:rPr>
      </w:pPr>
    </w:p>
    <w:p w14:paraId="3F03C804" w14:textId="77777777" w:rsidR="003A385F" w:rsidRDefault="003A385F" w:rsidP="003A385F">
      <w:pPr>
        <w:numPr>
          <w:ilvl w:val="0"/>
          <w:numId w:val="2"/>
        </w:numPr>
        <w:spacing w:after="0" w:line="240" w:lineRule="auto"/>
        <w:jc w:val="both"/>
        <w:rPr>
          <w:sz w:val="22"/>
          <w:szCs w:val="22"/>
        </w:rPr>
      </w:pPr>
      <w:r w:rsidRPr="003079D8">
        <w:rPr>
          <w:sz w:val="22"/>
          <w:szCs w:val="22"/>
        </w:rPr>
        <w:t xml:space="preserve">National Patient Safety Agency: National Reporting and Learning System. </w:t>
      </w:r>
      <w:hyperlink r:id="rId24" w:history="1">
        <w:r w:rsidRPr="003079D8">
          <w:rPr>
            <w:rStyle w:val="Hyperlink"/>
            <w:sz w:val="22"/>
            <w:szCs w:val="22"/>
          </w:rPr>
          <w:t>www.npsa.nhs.uk/health/reporting/background</w:t>
        </w:r>
      </w:hyperlink>
      <w:r w:rsidRPr="003079D8">
        <w:rPr>
          <w:sz w:val="22"/>
          <w:szCs w:val="22"/>
        </w:rPr>
        <w:t xml:space="preserve"> (accessed 20 November 2006).</w:t>
      </w:r>
    </w:p>
    <w:p w14:paraId="0F1D2111" w14:textId="77777777" w:rsidR="001F41C1" w:rsidRPr="003079D8" w:rsidRDefault="001F41C1" w:rsidP="001F41C1">
      <w:pPr>
        <w:spacing w:after="0" w:line="240" w:lineRule="auto"/>
        <w:ind w:left="720"/>
        <w:jc w:val="both"/>
        <w:rPr>
          <w:sz w:val="22"/>
          <w:szCs w:val="22"/>
        </w:rPr>
      </w:pPr>
    </w:p>
    <w:p w14:paraId="6B8A33F5" w14:textId="77777777" w:rsidR="003A385F" w:rsidRPr="003079D8" w:rsidRDefault="003A385F" w:rsidP="003A385F">
      <w:pPr>
        <w:numPr>
          <w:ilvl w:val="0"/>
          <w:numId w:val="2"/>
        </w:numPr>
        <w:spacing w:after="0" w:line="240" w:lineRule="auto"/>
        <w:jc w:val="both"/>
        <w:rPr>
          <w:sz w:val="22"/>
          <w:szCs w:val="22"/>
        </w:rPr>
      </w:pPr>
      <w:r w:rsidRPr="003079D8">
        <w:rPr>
          <w:sz w:val="22"/>
          <w:szCs w:val="22"/>
        </w:rPr>
        <w:t>National Patient Safety Agency. Quarterly National Reporting and Learning System Data Summary, Autumn 2006.</w:t>
      </w:r>
    </w:p>
    <w:p w14:paraId="2FF83358" w14:textId="77777777" w:rsidR="003A385F" w:rsidRPr="003079D8" w:rsidRDefault="002770D3" w:rsidP="003A385F">
      <w:pPr>
        <w:spacing w:line="240" w:lineRule="auto"/>
        <w:ind w:left="720"/>
        <w:jc w:val="both"/>
        <w:rPr>
          <w:sz w:val="22"/>
          <w:szCs w:val="22"/>
        </w:rPr>
      </w:pPr>
      <w:hyperlink r:id="rId25" w:history="1">
        <w:r w:rsidR="003A385F" w:rsidRPr="003079D8">
          <w:rPr>
            <w:rStyle w:val="Hyperlink"/>
            <w:sz w:val="22"/>
            <w:szCs w:val="22"/>
          </w:rPr>
          <w:t>www.npsa.nhs.uk/site/media/documents/1953_NRLS_Data.pdf</w:t>
        </w:r>
      </w:hyperlink>
      <w:r w:rsidR="003A385F" w:rsidRPr="003079D8">
        <w:rPr>
          <w:sz w:val="22"/>
          <w:szCs w:val="22"/>
        </w:rPr>
        <w:t xml:space="preserve"> (</w:t>
      </w:r>
      <w:r w:rsidR="003A385F" w:rsidRPr="003079D8">
        <w:rPr>
          <w:iCs/>
          <w:sz w:val="22"/>
          <w:szCs w:val="22"/>
        </w:rPr>
        <w:t xml:space="preserve">accessed </w:t>
      </w:r>
      <w:r w:rsidR="003A385F" w:rsidRPr="003079D8">
        <w:rPr>
          <w:sz w:val="22"/>
          <w:szCs w:val="22"/>
        </w:rPr>
        <w:t xml:space="preserve">20 November </w:t>
      </w:r>
      <w:r w:rsidR="003A385F" w:rsidRPr="003079D8">
        <w:rPr>
          <w:iCs/>
          <w:sz w:val="22"/>
          <w:szCs w:val="22"/>
        </w:rPr>
        <w:t>2006).</w:t>
      </w:r>
    </w:p>
    <w:p w14:paraId="5FD67BD4" w14:textId="77777777" w:rsidR="003A385F" w:rsidRPr="003079D8" w:rsidRDefault="003A385F" w:rsidP="003A385F">
      <w:pPr>
        <w:numPr>
          <w:ilvl w:val="0"/>
          <w:numId w:val="2"/>
        </w:numPr>
        <w:spacing w:after="0" w:line="240" w:lineRule="auto"/>
        <w:jc w:val="both"/>
        <w:rPr>
          <w:sz w:val="22"/>
          <w:szCs w:val="22"/>
        </w:rPr>
      </w:pPr>
      <w:r w:rsidRPr="003079D8">
        <w:rPr>
          <w:sz w:val="22"/>
          <w:szCs w:val="22"/>
        </w:rPr>
        <w:t>World Health Organization. World Alliance for Patient Safety: WHO draft guidelines for adverse event reporting and learning systems, 2005.</w:t>
      </w:r>
    </w:p>
    <w:p w14:paraId="42594B15" w14:textId="77777777" w:rsidR="003A385F" w:rsidRPr="003079D8" w:rsidRDefault="002770D3" w:rsidP="003A385F">
      <w:pPr>
        <w:spacing w:line="240" w:lineRule="auto"/>
        <w:ind w:left="720"/>
        <w:jc w:val="both"/>
        <w:rPr>
          <w:sz w:val="22"/>
          <w:szCs w:val="22"/>
        </w:rPr>
      </w:pPr>
      <w:hyperlink r:id="rId26" w:history="1">
        <w:r w:rsidR="003A385F" w:rsidRPr="003079D8">
          <w:rPr>
            <w:rStyle w:val="Hyperlink"/>
            <w:sz w:val="22"/>
            <w:szCs w:val="22"/>
          </w:rPr>
          <w:t>www.who.int/patientsafety/events/05/Reporting_Guidelines.pdf</w:t>
        </w:r>
      </w:hyperlink>
      <w:r w:rsidR="003A385F" w:rsidRPr="003079D8">
        <w:rPr>
          <w:sz w:val="22"/>
          <w:szCs w:val="22"/>
        </w:rPr>
        <w:t xml:space="preserve"> (</w:t>
      </w:r>
      <w:r w:rsidR="003A385F" w:rsidRPr="003079D8">
        <w:rPr>
          <w:iCs/>
          <w:sz w:val="22"/>
          <w:szCs w:val="22"/>
        </w:rPr>
        <w:t>accessed 20 November 2006).</w:t>
      </w:r>
    </w:p>
    <w:p w14:paraId="76A24103" w14:textId="77777777" w:rsidR="003A385F" w:rsidRDefault="003A385F" w:rsidP="003A385F">
      <w:pPr>
        <w:numPr>
          <w:ilvl w:val="0"/>
          <w:numId w:val="2"/>
        </w:numPr>
        <w:spacing w:after="0" w:line="240" w:lineRule="auto"/>
        <w:jc w:val="both"/>
        <w:rPr>
          <w:sz w:val="22"/>
          <w:szCs w:val="22"/>
        </w:rPr>
      </w:pPr>
      <w:r w:rsidRPr="003079D8">
        <w:rPr>
          <w:sz w:val="22"/>
          <w:szCs w:val="22"/>
        </w:rPr>
        <w:lastRenderedPageBreak/>
        <w:t xml:space="preserve">Giles S, Fletcher M, Baker M, Thomson R. Incident reporting and analysis. In: Walshe K, Boaden R, eds. </w:t>
      </w:r>
      <w:r w:rsidRPr="003079D8">
        <w:rPr>
          <w:i/>
          <w:sz w:val="22"/>
          <w:szCs w:val="22"/>
        </w:rPr>
        <w:t>Patient Safety: Research into Practice. Open University Press</w:t>
      </w:r>
      <w:r w:rsidRPr="003079D8">
        <w:rPr>
          <w:sz w:val="22"/>
          <w:szCs w:val="22"/>
        </w:rPr>
        <w:t>, 2005.</w:t>
      </w:r>
    </w:p>
    <w:p w14:paraId="49A50EDE" w14:textId="77777777" w:rsidR="001F41C1" w:rsidRPr="003079D8" w:rsidRDefault="001F41C1" w:rsidP="001F41C1">
      <w:pPr>
        <w:spacing w:after="0" w:line="240" w:lineRule="auto"/>
        <w:ind w:left="720"/>
        <w:jc w:val="both"/>
        <w:rPr>
          <w:sz w:val="22"/>
          <w:szCs w:val="22"/>
        </w:rPr>
      </w:pPr>
    </w:p>
    <w:p w14:paraId="5C384160" w14:textId="77777777" w:rsidR="003A385F" w:rsidRDefault="003A385F" w:rsidP="003A385F">
      <w:pPr>
        <w:numPr>
          <w:ilvl w:val="0"/>
          <w:numId w:val="2"/>
        </w:numPr>
        <w:spacing w:after="0" w:line="240" w:lineRule="auto"/>
        <w:jc w:val="both"/>
        <w:rPr>
          <w:sz w:val="22"/>
          <w:szCs w:val="22"/>
        </w:rPr>
      </w:pPr>
      <w:r w:rsidRPr="003079D8">
        <w:rPr>
          <w:sz w:val="22"/>
          <w:szCs w:val="22"/>
        </w:rPr>
        <w:t xml:space="preserve">Evans SM, Berry JG, Smith BJ, Esterman A, Selim P, O’Shaughnessy J, et al. Attitudes and barriers to incident reporting: a collaborative hospital study. </w:t>
      </w:r>
      <w:r w:rsidRPr="003079D8">
        <w:rPr>
          <w:i/>
          <w:sz w:val="22"/>
          <w:szCs w:val="22"/>
        </w:rPr>
        <w:t>Qual Saf Health Care</w:t>
      </w:r>
      <w:r w:rsidRPr="003079D8">
        <w:rPr>
          <w:sz w:val="22"/>
          <w:szCs w:val="22"/>
        </w:rPr>
        <w:t xml:space="preserve"> 2006;</w:t>
      </w:r>
      <w:r w:rsidRPr="003079D8">
        <w:rPr>
          <w:b/>
          <w:sz w:val="22"/>
          <w:szCs w:val="22"/>
        </w:rPr>
        <w:t>15</w:t>
      </w:r>
      <w:r w:rsidRPr="003079D8">
        <w:rPr>
          <w:sz w:val="22"/>
          <w:szCs w:val="22"/>
        </w:rPr>
        <w:t>:39-43.</w:t>
      </w:r>
    </w:p>
    <w:p w14:paraId="7530DAD6" w14:textId="77777777" w:rsidR="001F41C1" w:rsidRPr="003079D8" w:rsidRDefault="001F41C1" w:rsidP="001F41C1">
      <w:pPr>
        <w:spacing w:after="0" w:line="240" w:lineRule="auto"/>
        <w:ind w:left="720"/>
        <w:jc w:val="both"/>
        <w:rPr>
          <w:sz w:val="22"/>
          <w:szCs w:val="22"/>
        </w:rPr>
      </w:pPr>
    </w:p>
    <w:p w14:paraId="6E483136" w14:textId="77777777" w:rsidR="003A385F" w:rsidRDefault="003A385F" w:rsidP="003A385F">
      <w:pPr>
        <w:numPr>
          <w:ilvl w:val="0"/>
          <w:numId w:val="2"/>
        </w:numPr>
        <w:spacing w:after="0" w:line="240" w:lineRule="auto"/>
        <w:jc w:val="both"/>
        <w:rPr>
          <w:sz w:val="22"/>
          <w:szCs w:val="22"/>
        </w:rPr>
      </w:pPr>
      <w:r w:rsidRPr="003079D8">
        <w:rPr>
          <w:sz w:val="22"/>
          <w:szCs w:val="22"/>
        </w:rPr>
        <w:t xml:space="preserve">Kingston MJ, Evans SM, Smith BJ, Berry JG. Attitudes of doctors and nurses towards incident reporting: a qualitative analysis. </w:t>
      </w:r>
      <w:r w:rsidRPr="003079D8">
        <w:rPr>
          <w:i/>
          <w:sz w:val="22"/>
          <w:szCs w:val="22"/>
        </w:rPr>
        <w:t>Med J Aust</w:t>
      </w:r>
      <w:r w:rsidRPr="003079D8">
        <w:rPr>
          <w:sz w:val="22"/>
          <w:szCs w:val="22"/>
        </w:rPr>
        <w:t xml:space="preserve"> 2004;</w:t>
      </w:r>
      <w:r w:rsidRPr="003079D8">
        <w:rPr>
          <w:b/>
          <w:sz w:val="22"/>
          <w:szCs w:val="22"/>
        </w:rPr>
        <w:t>181</w:t>
      </w:r>
      <w:r w:rsidRPr="003079D8">
        <w:rPr>
          <w:sz w:val="22"/>
          <w:szCs w:val="22"/>
        </w:rPr>
        <w:t>:36-39.</w:t>
      </w:r>
    </w:p>
    <w:p w14:paraId="6294CCFE" w14:textId="77777777" w:rsidR="001F41C1" w:rsidRPr="003079D8" w:rsidRDefault="001F41C1" w:rsidP="001F41C1">
      <w:pPr>
        <w:spacing w:after="0" w:line="240" w:lineRule="auto"/>
        <w:ind w:left="720"/>
        <w:jc w:val="both"/>
        <w:rPr>
          <w:sz w:val="22"/>
          <w:szCs w:val="22"/>
        </w:rPr>
      </w:pPr>
    </w:p>
    <w:p w14:paraId="0189072A" w14:textId="77777777" w:rsidR="003A385F" w:rsidRDefault="003A385F" w:rsidP="003A385F">
      <w:pPr>
        <w:numPr>
          <w:ilvl w:val="0"/>
          <w:numId w:val="2"/>
        </w:numPr>
        <w:spacing w:after="0" w:line="240" w:lineRule="auto"/>
        <w:jc w:val="both"/>
        <w:rPr>
          <w:sz w:val="22"/>
          <w:szCs w:val="22"/>
        </w:rPr>
      </w:pPr>
      <w:r w:rsidRPr="003079D8">
        <w:rPr>
          <w:sz w:val="22"/>
          <w:szCs w:val="22"/>
        </w:rPr>
        <w:t xml:space="preserve">Schectman JM, Plews-Ogan ML. Physician perception of hospital safety and barriers to incident reporting. </w:t>
      </w:r>
      <w:r w:rsidRPr="003079D8">
        <w:rPr>
          <w:i/>
          <w:sz w:val="22"/>
          <w:szCs w:val="22"/>
        </w:rPr>
        <w:t>Jt Comm J Qual Patient Saf</w:t>
      </w:r>
      <w:r w:rsidRPr="003079D8">
        <w:rPr>
          <w:sz w:val="22"/>
          <w:szCs w:val="22"/>
        </w:rPr>
        <w:t xml:space="preserve"> 2006;</w:t>
      </w:r>
      <w:r w:rsidRPr="003079D8">
        <w:rPr>
          <w:b/>
          <w:sz w:val="22"/>
          <w:szCs w:val="22"/>
        </w:rPr>
        <w:t>32</w:t>
      </w:r>
      <w:r w:rsidRPr="003079D8">
        <w:rPr>
          <w:sz w:val="22"/>
          <w:szCs w:val="22"/>
        </w:rPr>
        <w:t>:337-43.</w:t>
      </w:r>
    </w:p>
    <w:p w14:paraId="00E49667" w14:textId="77777777" w:rsidR="001F41C1" w:rsidRPr="003079D8" w:rsidRDefault="001F41C1" w:rsidP="001F41C1">
      <w:pPr>
        <w:spacing w:after="0" w:line="240" w:lineRule="auto"/>
        <w:ind w:left="720"/>
        <w:jc w:val="both"/>
        <w:rPr>
          <w:sz w:val="22"/>
          <w:szCs w:val="22"/>
        </w:rPr>
      </w:pPr>
    </w:p>
    <w:p w14:paraId="5C6A8D1D" w14:textId="77777777" w:rsidR="003A385F" w:rsidRDefault="003A385F" w:rsidP="003A385F">
      <w:pPr>
        <w:numPr>
          <w:ilvl w:val="0"/>
          <w:numId w:val="2"/>
        </w:numPr>
        <w:spacing w:after="0" w:line="240" w:lineRule="auto"/>
        <w:jc w:val="both"/>
        <w:rPr>
          <w:sz w:val="22"/>
          <w:szCs w:val="22"/>
        </w:rPr>
      </w:pPr>
      <w:r w:rsidRPr="003079D8">
        <w:rPr>
          <w:sz w:val="22"/>
          <w:szCs w:val="22"/>
        </w:rPr>
        <w:t xml:space="preserve">Waring JJ. Beyond blame: cultural barriers to medical incident reporting. </w:t>
      </w:r>
      <w:r w:rsidRPr="003079D8">
        <w:rPr>
          <w:i/>
          <w:sz w:val="22"/>
          <w:szCs w:val="22"/>
        </w:rPr>
        <w:t>Soc Sci Med</w:t>
      </w:r>
      <w:r w:rsidRPr="003079D8">
        <w:rPr>
          <w:sz w:val="22"/>
          <w:szCs w:val="22"/>
        </w:rPr>
        <w:t xml:space="preserve"> 2005;</w:t>
      </w:r>
      <w:r w:rsidRPr="003079D8">
        <w:rPr>
          <w:b/>
          <w:sz w:val="22"/>
          <w:szCs w:val="22"/>
        </w:rPr>
        <w:t>60</w:t>
      </w:r>
      <w:r w:rsidRPr="003079D8">
        <w:rPr>
          <w:sz w:val="22"/>
          <w:szCs w:val="22"/>
        </w:rPr>
        <w:t>:1927-35.</w:t>
      </w:r>
    </w:p>
    <w:p w14:paraId="7EB47080" w14:textId="77777777" w:rsidR="001F41C1" w:rsidRPr="003079D8" w:rsidRDefault="001F41C1" w:rsidP="001F41C1">
      <w:pPr>
        <w:spacing w:after="0" w:line="240" w:lineRule="auto"/>
        <w:ind w:left="720"/>
        <w:jc w:val="both"/>
        <w:rPr>
          <w:sz w:val="22"/>
          <w:szCs w:val="22"/>
        </w:rPr>
      </w:pPr>
    </w:p>
    <w:p w14:paraId="6B4CE3B8" w14:textId="77777777" w:rsidR="003A385F" w:rsidRDefault="003A385F" w:rsidP="003A385F">
      <w:pPr>
        <w:numPr>
          <w:ilvl w:val="0"/>
          <w:numId w:val="2"/>
        </w:numPr>
        <w:spacing w:after="0" w:line="240" w:lineRule="auto"/>
        <w:jc w:val="both"/>
        <w:rPr>
          <w:sz w:val="22"/>
          <w:szCs w:val="22"/>
        </w:rPr>
      </w:pPr>
      <w:r w:rsidRPr="003079D8">
        <w:rPr>
          <w:sz w:val="22"/>
          <w:szCs w:val="22"/>
        </w:rPr>
        <w:t xml:space="preserve">Johnson CW. How will we get the data and what will we do with it then? Issues in the reporting of adverse healthcare events. </w:t>
      </w:r>
      <w:r w:rsidRPr="003079D8">
        <w:rPr>
          <w:i/>
          <w:sz w:val="22"/>
          <w:szCs w:val="22"/>
        </w:rPr>
        <w:t>Qual Saf Health Care</w:t>
      </w:r>
      <w:r w:rsidRPr="003079D8">
        <w:rPr>
          <w:sz w:val="22"/>
          <w:szCs w:val="22"/>
        </w:rPr>
        <w:t xml:space="preserve"> 2003;</w:t>
      </w:r>
      <w:r w:rsidRPr="003079D8">
        <w:rPr>
          <w:b/>
          <w:sz w:val="22"/>
          <w:szCs w:val="22"/>
        </w:rPr>
        <w:t>12 Suppl 2</w:t>
      </w:r>
      <w:r w:rsidRPr="003079D8">
        <w:rPr>
          <w:sz w:val="22"/>
          <w:szCs w:val="22"/>
        </w:rPr>
        <w:t>:ii64-7.</w:t>
      </w:r>
    </w:p>
    <w:p w14:paraId="7FC9088B" w14:textId="77777777" w:rsidR="001F41C1" w:rsidRPr="003079D8" w:rsidRDefault="001F41C1" w:rsidP="001F41C1">
      <w:pPr>
        <w:spacing w:after="0" w:line="240" w:lineRule="auto"/>
        <w:ind w:left="720"/>
        <w:jc w:val="both"/>
        <w:rPr>
          <w:sz w:val="22"/>
          <w:szCs w:val="22"/>
        </w:rPr>
      </w:pPr>
    </w:p>
    <w:p w14:paraId="5E59C2B1" w14:textId="77777777" w:rsidR="003A385F" w:rsidRPr="001F41C1" w:rsidRDefault="003A385F" w:rsidP="001F41C1">
      <w:pPr>
        <w:numPr>
          <w:ilvl w:val="0"/>
          <w:numId w:val="2"/>
        </w:numPr>
        <w:spacing w:after="0" w:line="240" w:lineRule="auto"/>
        <w:jc w:val="both"/>
        <w:rPr>
          <w:sz w:val="22"/>
          <w:szCs w:val="22"/>
        </w:rPr>
      </w:pPr>
      <w:r w:rsidRPr="003079D8">
        <w:rPr>
          <w:sz w:val="22"/>
          <w:szCs w:val="22"/>
        </w:rPr>
        <w:t>World Health Organization. World Alliance for Patient Safety:</w:t>
      </w:r>
      <w:r w:rsidRPr="003079D8">
        <w:rPr>
          <w:iCs/>
          <w:sz w:val="22"/>
          <w:szCs w:val="22"/>
        </w:rPr>
        <w:t xml:space="preserve"> Project to Develop an International Patient Safety Event Classification. </w:t>
      </w:r>
      <w:hyperlink r:id="rId27" w:history="1">
        <w:r w:rsidRPr="003079D8">
          <w:rPr>
            <w:rStyle w:val="Hyperlink"/>
            <w:iCs/>
            <w:sz w:val="22"/>
            <w:szCs w:val="22"/>
          </w:rPr>
          <w:t>www.who-ipsec.org</w:t>
        </w:r>
      </w:hyperlink>
      <w:r w:rsidRPr="003079D8">
        <w:rPr>
          <w:sz w:val="22"/>
          <w:szCs w:val="22"/>
        </w:rPr>
        <w:t xml:space="preserve"> </w:t>
      </w:r>
      <w:r w:rsidRPr="003079D8">
        <w:rPr>
          <w:iCs/>
          <w:sz w:val="22"/>
          <w:szCs w:val="22"/>
        </w:rPr>
        <w:t xml:space="preserve">(accessed </w:t>
      </w:r>
      <w:r w:rsidRPr="003079D8">
        <w:rPr>
          <w:sz w:val="22"/>
          <w:szCs w:val="22"/>
        </w:rPr>
        <w:t xml:space="preserve">20 November </w:t>
      </w:r>
      <w:r w:rsidRPr="003079D8">
        <w:rPr>
          <w:iCs/>
          <w:sz w:val="22"/>
          <w:szCs w:val="22"/>
        </w:rPr>
        <w:t>2006).</w:t>
      </w:r>
    </w:p>
    <w:p w14:paraId="348EE66E" w14:textId="77777777" w:rsidR="001F41C1" w:rsidRPr="003079D8" w:rsidRDefault="001F41C1" w:rsidP="001F41C1">
      <w:pPr>
        <w:spacing w:after="0" w:line="240" w:lineRule="auto"/>
        <w:ind w:left="720"/>
        <w:jc w:val="both"/>
        <w:rPr>
          <w:sz w:val="22"/>
          <w:szCs w:val="22"/>
        </w:rPr>
      </w:pPr>
    </w:p>
    <w:p w14:paraId="692AD38A" w14:textId="77777777" w:rsidR="003A385F" w:rsidRDefault="003A385F" w:rsidP="001F41C1">
      <w:pPr>
        <w:numPr>
          <w:ilvl w:val="0"/>
          <w:numId w:val="2"/>
        </w:numPr>
        <w:spacing w:after="0" w:line="240" w:lineRule="auto"/>
        <w:jc w:val="both"/>
        <w:rPr>
          <w:sz w:val="22"/>
          <w:szCs w:val="22"/>
        </w:rPr>
      </w:pPr>
      <w:r w:rsidRPr="003079D8">
        <w:rPr>
          <w:sz w:val="22"/>
          <w:szCs w:val="22"/>
        </w:rPr>
        <w:t xml:space="preserve">Department of Health and Health Protection Agency. MRSA surveillance system. </w:t>
      </w:r>
      <w:hyperlink r:id="rId28" w:history="1">
        <w:r w:rsidRPr="003079D8">
          <w:rPr>
            <w:rStyle w:val="Hyperlink"/>
            <w:sz w:val="22"/>
            <w:szCs w:val="22"/>
          </w:rPr>
          <w:t>www.hpa.org.uk/infections/topics_az/hai/mandatory_report_2006.htm</w:t>
        </w:r>
      </w:hyperlink>
      <w:r w:rsidRPr="003079D8">
        <w:rPr>
          <w:sz w:val="22"/>
          <w:szCs w:val="22"/>
        </w:rPr>
        <w:t xml:space="preserve"> (accessed 20 November 2006).</w:t>
      </w:r>
    </w:p>
    <w:p w14:paraId="2B023D36" w14:textId="77777777" w:rsidR="001F41C1" w:rsidRPr="003079D8" w:rsidRDefault="001F41C1" w:rsidP="001F41C1">
      <w:pPr>
        <w:spacing w:after="0" w:line="240" w:lineRule="auto"/>
        <w:ind w:left="720"/>
        <w:jc w:val="both"/>
        <w:rPr>
          <w:sz w:val="22"/>
          <w:szCs w:val="22"/>
        </w:rPr>
      </w:pPr>
    </w:p>
    <w:p w14:paraId="0FF2FF8F" w14:textId="77777777" w:rsidR="003A385F" w:rsidRDefault="003A385F" w:rsidP="001F41C1">
      <w:pPr>
        <w:numPr>
          <w:ilvl w:val="0"/>
          <w:numId w:val="2"/>
        </w:numPr>
        <w:spacing w:after="0" w:line="240" w:lineRule="auto"/>
        <w:rPr>
          <w:sz w:val="22"/>
          <w:szCs w:val="22"/>
        </w:rPr>
      </w:pPr>
      <w:r w:rsidRPr="003079D8">
        <w:rPr>
          <w:sz w:val="22"/>
          <w:szCs w:val="22"/>
        </w:rPr>
        <w:t xml:space="preserve">Medicines and Healthcare Products Regulatory Agency: Medical device reporting system. </w:t>
      </w:r>
      <w:hyperlink r:id="rId29" w:history="1">
        <w:r w:rsidRPr="003079D8">
          <w:rPr>
            <w:rStyle w:val="Hyperlink"/>
            <w:sz w:val="22"/>
            <w:szCs w:val="22"/>
          </w:rPr>
          <w:t>www.mhra.gov.uk/home/idcplg?IdcService=SS_GET_PAGE&amp;nodeId=355</w:t>
        </w:r>
      </w:hyperlink>
      <w:r w:rsidRPr="003079D8">
        <w:rPr>
          <w:sz w:val="22"/>
          <w:szCs w:val="22"/>
        </w:rPr>
        <w:t xml:space="preserve"> (accessed 20 November 2006).</w:t>
      </w:r>
    </w:p>
    <w:p w14:paraId="7842DA9A" w14:textId="77777777" w:rsidR="001F41C1" w:rsidRPr="003079D8" w:rsidRDefault="001F41C1" w:rsidP="001F41C1">
      <w:pPr>
        <w:spacing w:after="0" w:line="240" w:lineRule="auto"/>
        <w:ind w:left="720"/>
        <w:rPr>
          <w:sz w:val="22"/>
          <w:szCs w:val="22"/>
        </w:rPr>
      </w:pPr>
    </w:p>
    <w:p w14:paraId="37C934FD" w14:textId="77777777" w:rsidR="003A385F" w:rsidRPr="003079D8" w:rsidRDefault="003A385F" w:rsidP="003A385F">
      <w:pPr>
        <w:numPr>
          <w:ilvl w:val="0"/>
          <w:numId w:val="2"/>
        </w:numPr>
        <w:spacing w:after="0" w:line="240" w:lineRule="auto"/>
        <w:jc w:val="both"/>
        <w:rPr>
          <w:sz w:val="22"/>
          <w:szCs w:val="22"/>
        </w:rPr>
      </w:pPr>
      <w:r w:rsidRPr="003079D8">
        <w:rPr>
          <w:sz w:val="22"/>
          <w:szCs w:val="22"/>
        </w:rPr>
        <w:t>Healthcare Commission NHS Staff Survey.</w:t>
      </w:r>
    </w:p>
    <w:p w14:paraId="3D02AF3E" w14:textId="77777777" w:rsidR="003A385F" w:rsidRPr="003079D8" w:rsidRDefault="002770D3" w:rsidP="001F41C1">
      <w:pPr>
        <w:spacing w:line="240" w:lineRule="auto"/>
        <w:ind w:left="720"/>
        <w:rPr>
          <w:sz w:val="22"/>
          <w:szCs w:val="22"/>
        </w:rPr>
      </w:pPr>
      <w:hyperlink r:id="rId30" w:history="1">
        <w:r w:rsidR="003A385F" w:rsidRPr="003079D8">
          <w:rPr>
            <w:rStyle w:val="Hyperlink"/>
            <w:sz w:val="22"/>
            <w:szCs w:val="22"/>
          </w:rPr>
          <w:t>www.healthcarecommission.org.uk/nationalfindings/surveys.cfm</w:t>
        </w:r>
      </w:hyperlink>
      <w:r w:rsidR="003A385F" w:rsidRPr="003079D8">
        <w:rPr>
          <w:sz w:val="22"/>
          <w:szCs w:val="22"/>
        </w:rPr>
        <w:t xml:space="preserve"> (accessed 20 November 2006).</w:t>
      </w:r>
    </w:p>
    <w:p w14:paraId="2B09B57E" w14:textId="77777777" w:rsidR="003A385F" w:rsidRPr="003079D8" w:rsidRDefault="003A385F" w:rsidP="003A385F">
      <w:pPr>
        <w:numPr>
          <w:ilvl w:val="0"/>
          <w:numId w:val="2"/>
        </w:numPr>
        <w:spacing w:after="0" w:line="240" w:lineRule="auto"/>
        <w:jc w:val="both"/>
        <w:rPr>
          <w:sz w:val="22"/>
          <w:szCs w:val="22"/>
        </w:rPr>
      </w:pPr>
      <w:r w:rsidRPr="003079D8">
        <w:rPr>
          <w:sz w:val="22"/>
          <w:szCs w:val="22"/>
        </w:rPr>
        <w:t>NHS Litigation Authority Risk Management Standards.</w:t>
      </w:r>
    </w:p>
    <w:p w14:paraId="2E845FB1" w14:textId="77777777" w:rsidR="003A385F" w:rsidRPr="003079D8" w:rsidRDefault="002770D3" w:rsidP="003A385F">
      <w:pPr>
        <w:spacing w:line="240" w:lineRule="auto"/>
        <w:ind w:firstLine="720"/>
        <w:jc w:val="both"/>
        <w:rPr>
          <w:sz w:val="22"/>
          <w:szCs w:val="22"/>
        </w:rPr>
      </w:pPr>
      <w:hyperlink r:id="rId31" w:history="1">
        <w:r w:rsidR="003A385F" w:rsidRPr="003079D8">
          <w:rPr>
            <w:rStyle w:val="Hyperlink"/>
            <w:sz w:val="22"/>
            <w:szCs w:val="22"/>
          </w:rPr>
          <w:t>www.nhsla.com/RiskManagement</w:t>
        </w:r>
      </w:hyperlink>
      <w:r w:rsidR="003A385F" w:rsidRPr="003079D8">
        <w:rPr>
          <w:sz w:val="22"/>
          <w:szCs w:val="22"/>
        </w:rPr>
        <w:t xml:space="preserve"> (accessed 20 November 2006).</w:t>
      </w:r>
    </w:p>
    <w:p w14:paraId="2757D6A1" w14:textId="77777777" w:rsidR="003A385F" w:rsidRPr="003079D8" w:rsidRDefault="003A385F" w:rsidP="003A385F">
      <w:pPr>
        <w:numPr>
          <w:ilvl w:val="0"/>
          <w:numId w:val="2"/>
        </w:numPr>
        <w:spacing w:after="0" w:line="240" w:lineRule="auto"/>
        <w:jc w:val="both"/>
        <w:rPr>
          <w:sz w:val="22"/>
          <w:szCs w:val="22"/>
        </w:rPr>
      </w:pPr>
      <w:r w:rsidRPr="003079D8">
        <w:rPr>
          <w:sz w:val="22"/>
          <w:szCs w:val="22"/>
        </w:rPr>
        <w:t>Healthcare Commission Hospital Clusters.</w:t>
      </w:r>
    </w:p>
    <w:p w14:paraId="6FD1A358" w14:textId="77777777" w:rsidR="003A385F" w:rsidRPr="003079D8" w:rsidRDefault="002770D3" w:rsidP="001F41C1">
      <w:pPr>
        <w:spacing w:line="240" w:lineRule="auto"/>
        <w:ind w:left="720"/>
        <w:rPr>
          <w:sz w:val="22"/>
          <w:szCs w:val="22"/>
        </w:rPr>
      </w:pPr>
      <w:hyperlink r:id="rId32" w:history="1">
        <w:r w:rsidR="003A385F" w:rsidRPr="003079D8">
          <w:rPr>
            <w:rStyle w:val="Hyperlink"/>
            <w:sz w:val="22"/>
            <w:szCs w:val="22"/>
          </w:rPr>
          <w:t>http://ratings2004.healthcarecommission.org.uk/cluster.asp</w:t>
        </w:r>
      </w:hyperlink>
      <w:r w:rsidR="003A385F" w:rsidRPr="003079D8">
        <w:rPr>
          <w:sz w:val="22"/>
          <w:szCs w:val="22"/>
        </w:rPr>
        <w:t xml:space="preserve"> (accessed 20 November 2006).</w:t>
      </w:r>
    </w:p>
    <w:p w14:paraId="58746466" w14:textId="77777777" w:rsidR="003A385F" w:rsidRPr="003079D8" w:rsidRDefault="003A385F" w:rsidP="003A385F">
      <w:pPr>
        <w:numPr>
          <w:ilvl w:val="0"/>
          <w:numId w:val="2"/>
        </w:numPr>
        <w:spacing w:after="0" w:line="240" w:lineRule="auto"/>
        <w:jc w:val="both"/>
        <w:rPr>
          <w:sz w:val="22"/>
          <w:szCs w:val="22"/>
        </w:rPr>
      </w:pPr>
      <w:r w:rsidRPr="003079D8">
        <w:rPr>
          <w:sz w:val="22"/>
          <w:szCs w:val="22"/>
        </w:rPr>
        <w:t>Hospital Episode Statistics Online: Data on hospital providers.</w:t>
      </w:r>
    </w:p>
    <w:p w14:paraId="043C7998" w14:textId="77777777" w:rsidR="003A385F" w:rsidRPr="003079D8" w:rsidRDefault="002770D3" w:rsidP="003A385F">
      <w:pPr>
        <w:spacing w:line="240" w:lineRule="auto"/>
        <w:ind w:left="720"/>
        <w:jc w:val="both"/>
        <w:rPr>
          <w:sz w:val="22"/>
          <w:szCs w:val="22"/>
        </w:rPr>
      </w:pPr>
      <w:hyperlink r:id="rId33" w:history="1">
        <w:r w:rsidR="003A385F" w:rsidRPr="003079D8">
          <w:rPr>
            <w:rStyle w:val="Hyperlink"/>
            <w:sz w:val="22"/>
            <w:szCs w:val="22"/>
          </w:rPr>
          <w:t>www.hesonline.nhs.uk/Ease/servlet/ContentServer?siteID=1937&amp;categoryID=212</w:t>
        </w:r>
      </w:hyperlink>
      <w:r w:rsidR="003A385F" w:rsidRPr="003079D8">
        <w:rPr>
          <w:sz w:val="22"/>
          <w:szCs w:val="22"/>
        </w:rPr>
        <w:t xml:space="preserve"> (accessed 20 November 2006).</w:t>
      </w:r>
    </w:p>
    <w:p w14:paraId="1F117C36" w14:textId="77777777" w:rsidR="003A385F" w:rsidRDefault="003A385F" w:rsidP="003A385F">
      <w:pPr>
        <w:numPr>
          <w:ilvl w:val="0"/>
          <w:numId w:val="2"/>
        </w:numPr>
        <w:spacing w:after="0" w:line="240" w:lineRule="auto"/>
        <w:jc w:val="both"/>
        <w:rPr>
          <w:sz w:val="22"/>
          <w:szCs w:val="22"/>
        </w:rPr>
      </w:pPr>
      <w:r w:rsidRPr="003079D8">
        <w:rPr>
          <w:sz w:val="22"/>
          <w:szCs w:val="22"/>
        </w:rPr>
        <w:t xml:space="preserve">Dr Foster. The Hospital Guide: How Good is My Hospital, 2005. </w:t>
      </w:r>
      <w:hyperlink r:id="rId34" w:history="1">
        <w:r w:rsidRPr="003079D8">
          <w:rPr>
            <w:rStyle w:val="Hyperlink"/>
            <w:sz w:val="22"/>
            <w:szCs w:val="22"/>
          </w:rPr>
          <w:t>www.drfoster.co.uk/hospitalreport/pdfs/howGood.pdf</w:t>
        </w:r>
      </w:hyperlink>
      <w:r w:rsidRPr="003079D8">
        <w:rPr>
          <w:sz w:val="22"/>
          <w:szCs w:val="22"/>
        </w:rPr>
        <w:t xml:space="preserve"> (accessed 20 November 2006).</w:t>
      </w:r>
    </w:p>
    <w:p w14:paraId="7CD6DBBC" w14:textId="77777777" w:rsidR="001F41C1" w:rsidRPr="003079D8" w:rsidRDefault="001F41C1" w:rsidP="001F41C1">
      <w:pPr>
        <w:spacing w:after="0" w:line="240" w:lineRule="auto"/>
        <w:ind w:left="720"/>
        <w:jc w:val="both"/>
        <w:rPr>
          <w:sz w:val="22"/>
          <w:szCs w:val="22"/>
        </w:rPr>
      </w:pPr>
    </w:p>
    <w:p w14:paraId="59B8BD5F" w14:textId="77777777" w:rsidR="003A385F" w:rsidRDefault="003A385F" w:rsidP="003A385F">
      <w:pPr>
        <w:numPr>
          <w:ilvl w:val="0"/>
          <w:numId w:val="2"/>
        </w:numPr>
        <w:spacing w:after="0" w:line="240" w:lineRule="auto"/>
        <w:jc w:val="both"/>
        <w:rPr>
          <w:sz w:val="22"/>
          <w:szCs w:val="22"/>
        </w:rPr>
      </w:pPr>
      <w:r w:rsidRPr="003079D8">
        <w:rPr>
          <w:sz w:val="22"/>
          <w:szCs w:val="22"/>
        </w:rPr>
        <w:t xml:space="preserve">Agency for Healthcare Research and Quality: Quality Indicators. </w:t>
      </w:r>
      <w:hyperlink r:id="rId35" w:history="1">
        <w:r w:rsidRPr="003079D8">
          <w:rPr>
            <w:rStyle w:val="Hyperlink"/>
            <w:sz w:val="22"/>
            <w:szCs w:val="22"/>
          </w:rPr>
          <w:t>www.qualityindicators.ahrq.gov/psi_overview.htm</w:t>
        </w:r>
      </w:hyperlink>
      <w:r w:rsidRPr="003079D8">
        <w:rPr>
          <w:sz w:val="22"/>
          <w:szCs w:val="22"/>
        </w:rPr>
        <w:t xml:space="preserve"> (accessed 20 November 2006).</w:t>
      </w:r>
    </w:p>
    <w:p w14:paraId="1F45CBF1" w14:textId="77777777" w:rsidR="001F41C1" w:rsidRPr="003079D8" w:rsidRDefault="001F41C1" w:rsidP="001F41C1">
      <w:pPr>
        <w:spacing w:after="0" w:line="240" w:lineRule="auto"/>
        <w:ind w:left="720"/>
        <w:jc w:val="both"/>
        <w:rPr>
          <w:sz w:val="22"/>
          <w:szCs w:val="22"/>
        </w:rPr>
      </w:pPr>
    </w:p>
    <w:p w14:paraId="53AD9BA4" w14:textId="77777777" w:rsidR="003A385F" w:rsidRDefault="003A385F" w:rsidP="003A385F">
      <w:pPr>
        <w:numPr>
          <w:ilvl w:val="0"/>
          <w:numId w:val="2"/>
        </w:numPr>
        <w:spacing w:after="0" w:line="240" w:lineRule="auto"/>
        <w:jc w:val="both"/>
        <w:rPr>
          <w:sz w:val="22"/>
          <w:szCs w:val="22"/>
        </w:rPr>
      </w:pPr>
      <w:r w:rsidRPr="003079D8">
        <w:rPr>
          <w:sz w:val="22"/>
          <w:szCs w:val="22"/>
        </w:rPr>
        <w:t xml:space="preserve">Chatfield C. The analysis of time series: An introduction. </w:t>
      </w:r>
      <w:r w:rsidRPr="003079D8">
        <w:rPr>
          <w:i/>
          <w:sz w:val="22"/>
          <w:szCs w:val="22"/>
        </w:rPr>
        <w:t>London: Chapman and Hall/CRC</w:t>
      </w:r>
      <w:r w:rsidRPr="003079D8">
        <w:rPr>
          <w:sz w:val="22"/>
          <w:szCs w:val="22"/>
        </w:rPr>
        <w:t>, 2003.</w:t>
      </w:r>
    </w:p>
    <w:p w14:paraId="4638BA2B" w14:textId="77777777" w:rsidR="001F41C1" w:rsidRPr="003079D8" w:rsidRDefault="001F41C1" w:rsidP="001F41C1">
      <w:pPr>
        <w:spacing w:after="0" w:line="240" w:lineRule="auto"/>
        <w:ind w:left="720"/>
        <w:jc w:val="both"/>
        <w:rPr>
          <w:sz w:val="22"/>
          <w:szCs w:val="22"/>
        </w:rPr>
      </w:pPr>
    </w:p>
    <w:p w14:paraId="094AEA6D" w14:textId="77777777" w:rsidR="003A385F" w:rsidRDefault="003A385F" w:rsidP="003A385F">
      <w:pPr>
        <w:numPr>
          <w:ilvl w:val="0"/>
          <w:numId w:val="2"/>
        </w:numPr>
        <w:spacing w:after="0" w:line="240" w:lineRule="auto"/>
        <w:jc w:val="both"/>
        <w:rPr>
          <w:sz w:val="22"/>
          <w:szCs w:val="22"/>
        </w:rPr>
      </w:pPr>
      <w:r w:rsidRPr="003079D8">
        <w:rPr>
          <w:sz w:val="22"/>
          <w:szCs w:val="22"/>
        </w:rPr>
        <w:t xml:space="preserve">StataCorp. </w:t>
      </w:r>
      <w:r w:rsidRPr="003079D8">
        <w:rPr>
          <w:iCs/>
          <w:sz w:val="22"/>
          <w:szCs w:val="22"/>
        </w:rPr>
        <w:t>Stata Statistical Software</w:t>
      </w:r>
      <w:r w:rsidRPr="003079D8">
        <w:rPr>
          <w:sz w:val="22"/>
          <w:szCs w:val="22"/>
        </w:rPr>
        <w:t xml:space="preserve">: </w:t>
      </w:r>
      <w:r w:rsidRPr="003079D8">
        <w:rPr>
          <w:iCs/>
          <w:sz w:val="22"/>
          <w:szCs w:val="22"/>
        </w:rPr>
        <w:t>Release 9.0</w:t>
      </w:r>
      <w:r w:rsidRPr="003079D8">
        <w:rPr>
          <w:sz w:val="22"/>
          <w:szCs w:val="22"/>
        </w:rPr>
        <w:t>.</w:t>
      </w:r>
      <w:r w:rsidRPr="003079D8">
        <w:rPr>
          <w:iCs/>
          <w:sz w:val="22"/>
          <w:szCs w:val="22"/>
        </w:rPr>
        <w:t xml:space="preserve"> </w:t>
      </w:r>
      <w:r w:rsidRPr="003079D8">
        <w:rPr>
          <w:sz w:val="22"/>
          <w:szCs w:val="22"/>
        </w:rPr>
        <w:t>College Station, Texas: Stata Corporation</w:t>
      </w:r>
      <w:r w:rsidRPr="003079D8">
        <w:rPr>
          <w:i/>
          <w:iCs/>
          <w:sz w:val="22"/>
          <w:szCs w:val="22"/>
        </w:rPr>
        <w:t xml:space="preserve"> </w:t>
      </w:r>
      <w:r w:rsidRPr="003079D8">
        <w:rPr>
          <w:sz w:val="22"/>
          <w:szCs w:val="22"/>
        </w:rPr>
        <w:t>2006.</w:t>
      </w:r>
    </w:p>
    <w:p w14:paraId="1A10132B" w14:textId="77777777" w:rsidR="001F41C1" w:rsidRPr="003079D8" w:rsidRDefault="001F41C1" w:rsidP="001F41C1">
      <w:pPr>
        <w:spacing w:after="0" w:line="240" w:lineRule="auto"/>
        <w:ind w:left="720"/>
        <w:jc w:val="both"/>
        <w:rPr>
          <w:sz w:val="22"/>
          <w:szCs w:val="22"/>
        </w:rPr>
      </w:pPr>
    </w:p>
    <w:p w14:paraId="75BC1B9B" w14:textId="77777777" w:rsidR="003A385F" w:rsidRDefault="003A385F" w:rsidP="003A385F">
      <w:pPr>
        <w:numPr>
          <w:ilvl w:val="0"/>
          <w:numId w:val="2"/>
        </w:numPr>
        <w:spacing w:after="0" w:line="240" w:lineRule="auto"/>
        <w:jc w:val="both"/>
        <w:rPr>
          <w:sz w:val="22"/>
          <w:szCs w:val="22"/>
        </w:rPr>
      </w:pPr>
      <w:r w:rsidRPr="003079D8">
        <w:rPr>
          <w:sz w:val="22"/>
          <w:szCs w:val="22"/>
        </w:rPr>
        <w:t xml:space="preserve">National Patient Safety Agency. Building a memory: preventing harm, reducing risks and improving patient safety: The first report of the National Reporting and Learning System and the Patient Safety Observatory, 2005. </w:t>
      </w:r>
      <w:hyperlink r:id="rId36" w:history="1">
        <w:r w:rsidRPr="003079D8">
          <w:rPr>
            <w:rStyle w:val="Hyperlink"/>
            <w:sz w:val="22"/>
            <w:szCs w:val="22"/>
          </w:rPr>
          <w:t>www.npsa.nhs.uk/site/media/documents/1246_PSO_Report_FINAL.pdf</w:t>
        </w:r>
      </w:hyperlink>
      <w:r w:rsidRPr="003079D8">
        <w:rPr>
          <w:sz w:val="22"/>
          <w:szCs w:val="22"/>
        </w:rPr>
        <w:t xml:space="preserve"> (accessed 20 November 2006).</w:t>
      </w:r>
    </w:p>
    <w:p w14:paraId="4C7BF1FC" w14:textId="77777777" w:rsidR="001F41C1" w:rsidRPr="003079D8" w:rsidRDefault="001F41C1" w:rsidP="001F41C1">
      <w:pPr>
        <w:spacing w:after="0" w:line="240" w:lineRule="auto"/>
        <w:ind w:left="720"/>
        <w:jc w:val="both"/>
        <w:rPr>
          <w:sz w:val="22"/>
          <w:szCs w:val="22"/>
        </w:rPr>
      </w:pPr>
    </w:p>
    <w:p w14:paraId="49FF20F2" w14:textId="77777777" w:rsidR="003A385F" w:rsidRDefault="003A385F" w:rsidP="003A385F">
      <w:pPr>
        <w:numPr>
          <w:ilvl w:val="0"/>
          <w:numId w:val="2"/>
        </w:numPr>
        <w:spacing w:after="0" w:line="240" w:lineRule="auto"/>
        <w:jc w:val="both"/>
        <w:rPr>
          <w:sz w:val="22"/>
          <w:szCs w:val="22"/>
        </w:rPr>
      </w:pPr>
      <w:r w:rsidRPr="003079D8">
        <w:rPr>
          <w:sz w:val="22"/>
          <w:szCs w:val="22"/>
        </w:rPr>
        <w:t xml:space="preserve">Lilford R, Mohammed MA, Spiegelhalter D, Thomson R. Use and misuse of process and outcome data in managing performance of acute medical care: avoiding institutional stigma. </w:t>
      </w:r>
      <w:r w:rsidRPr="003079D8">
        <w:rPr>
          <w:i/>
          <w:sz w:val="22"/>
          <w:szCs w:val="22"/>
        </w:rPr>
        <w:t>Lancet</w:t>
      </w:r>
      <w:r w:rsidRPr="003079D8">
        <w:rPr>
          <w:sz w:val="22"/>
          <w:szCs w:val="22"/>
        </w:rPr>
        <w:t xml:space="preserve"> 2004;</w:t>
      </w:r>
      <w:r w:rsidRPr="003079D8">
        <w:rPr>
          <w:b/>
          <w:sz w:val="22"/>
          <w:szCs w:val="22"/>
        </w:rPr>
        <w:t>363</w:t>
      </w:r>
      <w:r w:rsidRPr="003079D8">
        <w:rPr>
          <w:sz w:val="22"/>
          <w:szCs w:val="22"/>
        </w:rPr>
        <w:t>:1147-54.</w:t>
      </w:r>
    </w:p>
    <w:p w14:paraId="5B9FB9EE" w14:textId="77777777" w:rsidR="001F41C1" w:rsidRPr="003079D8" w:rsidRDefault="001F41C1" w:rsidP="001F41C1">
      <w:pPr>
        <w:spacing w:after="0" w:line="240" w:lineRule="auto"/>
        <w:ind w:left="720"/>
        <w:jc w:val="both"/>
        <w:rPr>
          <w:sz w:val="22"/>
          <w:szCs w:val="22"/>
        </w:rPr>
      </w:pPr>
    </w:p>
    <w:p w14:paraId="19ACCD62" w14:textId="77777777" w:rsidR="003A385F" w:rsidRPr="003079D8" w:rsidRDefault="003A385F" w:rsidP="003A385F">
      <w:pPr>
        <w:numPr>
          <w:ilvl w:val="0"/>
          <w:numId w:val="2"/>
        </w:numPr>
        <w:spacing w:after="0" w:line="240" w:lineRule="auto"/>
        <w:jc w:val="both"/>
        <w:rPr>
          <w:sz w:val="22"/>
          <w:szCs w:val="22"/>
        </w:rPr>
      </w:pPr>
      <w:r w:rsidRPr="003079D8">
        <w:rPr>
          <w:sz w:val="22"/>
          <w:szCs w:val="22"/>
        </w:rPr>
        <w:t xml:space="preserve">Sexton JB, Helmreich RL, Neilands TB, Rowan K, Vella K, Boyden J, et al. The Safety Attitudes Questionnaire: psychometric properties, benchmarking data, and emerging research. </w:t>
      </w:r>
      <w:r w:rsidRPr="003079D8">
        <w:rPr>
          <w:i/>
          <w:sz w:val="22"/>
          <w:szCs w:val="22"/>
        </w:rPr>
        <w:t>BMC Health Serv Res</w:t>
      </w:r>
      <w:r w:rsidRPr="003079D8">
        <w:rPr>
          <w:sz w:val="22"/>
          <w:szCs w:val="22"/>
        </w:rPr>
        <w:t xml:space="preserve"> 2006;</w:t>
      </w:r>
      <w:r w:rsidRPr="003079D8">
        <w:rPr>
          <w:b/>
          <w:sz w:val="22"/>
          <w:szCs w:val="22"/>
        </w:rPr>
        <w:t>6</w:t>
      </w:r>
      <w:r w:rsidRPr="003079D8">
        <w:rPr>
          <w:sz w:val="22"/>
          <w:szCs w:val="22"/>
        </w:rPr>
        <w:t>:44.</w:t>
      </w:r>
    </w:p>
    <w:p w14:paraId="154FEDFD" w14:textId="77777777" w:rsidR="003A385F" w:rsidRPr="003079D8" w:rsidRDefault="003A385F" w:rsidP="003A385F">
      <w:pPr>
        <w:spacing w:line="240" w:lineRule="auto"/>
        <w:jc w:val="both"/>
        <w:rPr>
          <w:sz w:val="22"/>
          <w:szCs w:val="22"/>
        </w:rPr>
      </w:pPr>
    </w:p>
    <w:p w14:paraId="3669BE08" w14:textId="77777777" w:rsidR="003A385F" w:rsidRDefault="003A385F" w:rsidP="003A385F"/>
    <w:p w14:paraId="11ABF873" w14:textId="77777777" w:rsidR="003A385F" w:rsidRDefault="003A385F" w:rsidP="003A385F"/>
    <w:p w14:paraId="0D670875" w14:textId="77777777" w:rsidR="003A385F" w:rsidRDefault="003A385F" w:rsidP="003A385F"/>
    <w:p w14:paraId="44BC1837" w14:textId="77777777" w:rsidR="009F601A" w:rsidRDefault="009F601A"/>
    <w:p w14:paraId="7EF9DA28" w14:textId="77777777" w:rsidR="003079D8" w:rsidRDefault="003079D8">
      <w:r>
        <w:br w:type="page"/>
      </w:r>
    </w:p>
    <w:p w14:paraId="52332B1D" w14:textId="77777777" w:rsidR="00D46885" w:rsidRPr="00151445" w:rsidRDefault="00B25214" w:rsidP="001F18D0">
      <w:pPr>
        <w:spacing w:line="360" w:lineRule="auto"/>
        <w:rPr>
          <w:b/>
          <w:sz w:val="28"/>
          <w:szCs w:val="28"/>
        </w:rPr>
      </w:pPr>
      <w:r w:rsidRPr="00151445">
        <w:rPr>
          <w:b/>
          <w:sz w:val="28"/>
          <w:szCs w:val="28"/>
        </w:rPr>
        <w:lastRenderedPageBreak/>
        <w:t>10.</w:t>
      </w:r>
      <w:r w:rsidR="005D320D">
        <w:rPr>
          <w:b/>
          <w:sz w:val="28"/>
          <w:szCs w:val="28"/>
        </w:rPr>
        <w:t>3</w:t>
      </w:r>
      <w:r w:rsidRPr="00151445">
        <w:rPr>
          <w:b/>
          <w:sz w:val="28"/>
          <w:szCs w:val="28"/>
        </w:rPr>
        <w:t xml:space="preserve"> </w:t>
      </w:r>
      <w:r w:rsidR="00B90C6C" w:rsidRPr="00151445">
        <w:rPr>
          <w:b/>
          <w:sz w:val="28"/>
          <w:szCs w:val="28"/>
        </w:rPr>
        <w:t xml:space="preserve">Publication </w:t>
      </w:r>
      <w:r w:rsidR="003A385F" w:rsidRPr="00151445">
        <w:rPr>
          <w:b/>
          <w:sz w:val="28"/>
          <w:szCs w:val="28"/>
        </w:rPr>
        <w:t>3</w:t>
      </w:r>
    </w:p>
    <w:p w14:paraId="1009D7AC" w14:textId="77777777" w:rsidR="00B90C6C" w:rsidRPr="001F18D0" w:rsidRDefault="00B90C6C" w:rsidP="001F18D0">
      <w:pPr>
        <w:spacing w:line="360" w:lineRule="auto"/>
        <w:rPr>
          <w:sz w:val="22"/>
          <w:szCs w:val="22"/>
        </w:rPr>
      </w:pPr>
    </w:p>
    <w:p w14:paraId="64A396AE" w14:textId="77777777" w:rsidR="00F37F0F" w:rsidRDefault="00564F8C" w:rsidP="001F18D0">
      <w:pPr>
        <w:spacing w:line="360" w:lineRule="auto"/>
        <w:rPr>
          <w:bCs/>
          <w:kern w:val="32"/>
        </w:rPr>
      </w:pPr>
      <w:r w:rsidRPr="00151445">
        <w:t xml:space="preserve">Dean JE, </w:t>
      </w:r>
      <w:r w:rsidRPr="00151445">
        <w:rPr>
          <w:b/>
        </w:rPr>
        <w:t>Hutchinson A</w:t>
      </w:r>
      <w:r w:rsidRPr="00151445">
        <w:t xml:space="preserve">, Hamilton Escoto K, Lawson R. </w:t>
      </w:r>
      <w:r w:rsidRPr="00151445">
        <w:rPr>
          <w:bCs/>
          <w:kern w:val="32"/>
        </w:rPr>
        <w:t xml:space="preserve">Using a multi-method, user centred, prospective hazard analysis to assess care quality and patient safety in a care pathway. </w:t>
      </w:r>
      <w:r w:rsidRPr="00151445">
        <w:rPr>
          <w:bCs/>
          <w:i/>
          <w:kern w:val="32"/>
        </w:rPr>
        <w:t>BMC Health Services Research</w:t>
      </w:r>
      <w:r w:rsidRPr="00151445">
        <w:rPr>
          <w:bCs/>
          <w:kern w:val="32"/>
        </w:rPr>
        <w:t xml:space="preserve"> 2007;7:89</w:t>
      </w:r>
    </w:p>
    <w:p w14:paraId="72D89010" w14:textId="77777777" w:rsidR="00F61EB0" w:rsidRDefault="003E5C7B" w:rsidP="001F18D0">
      <w:pPr>
        <w:spacing w:line="360" w:lineRule="auto"/>
        <w:rPr>
          <w:bCs/>
          <w:kern w:val="32"/>
        </w:rPr>
      </w:pPr>
      <w:r>
        <w:rPr>
          <w:bCs/>
          <w:kern w:val="32"/>
        </w:rPr>
        <w:t>D</w:t>
      </w:r>
      <w:r w:rsidR="00F61EB0">
        <w:rPr>
          <w:bCs/>
          <w:kern w:val="32"/>
        </w:rPr>
        <w:t>oi</w:t>
      </w:r>
      <w:r>
        <w:rPr>
          <w:bCs/>
          <w:kern w:val="32"/>
        </w:rPr>
        <w:t>:10.1186/1472-6963-7-89</w:t>
      </w:r>
    </w:p>
    <w:p w14:paraId="791BA381" w14:textId="77777777" w:rsidR="003E5C7B" w:rsidRPr="00151445" w:rsidRDefault="003E5C7B" w:rsidP="001F18D0">
      <w:pPr>
        <w:spacing w:line="360" w:lineRule="auto"/>
        <w:rPr>
          <w:rFonts w:cs="Arial"/>
          <w:b/>
          <w:bCs/>
          <w:kern w:val="32"/>
        </w:rPr>
      </w:pPr>
      <w:r>
        <w:rPr>
          <w:bCs/>
          <w:kern w:val="32"/>
        </w:rPr>
        <w:t xml:space="preserve">This article is available from </w:t>
      </w:r>
      <w:hyperlink r:id="rId37" w:history="1">
        <w:r w:rsidRPr="00194C09">
          <w:rPr>
            <w:rStyle w:val="Hyperlink"/>
            <w:bCs/>
            <w:kern w:val="32"/>
          </w:rPr>
          <w:t>www.biomedcentral.com/1472-6963/7/89</w:t>
        </w:r>
      </w:hyperlink>
      <w:r>
        <w:rPr>
          <w:bCs/>
          <w:kern w:val="32"/>
        </w:rPr>
        <w:t xml:space="preserve"> </w:t>
      </w:r>
    </w:p>
    <w:p w14:paraId="345C8912" w14:textId="77777777" w:rsidR="00F37F0F" w:rsidRDefault="00F37F0F" w:rsidP="00A43C02">
      <w:pPr>
        <w:rPr>
          <w:rFonts w:cs="Arial"/>
          <w:b/>
          <w:bCs/>
          <w:kern w:val="32"/>
        </w:rPr>
      </w:pPr>
    </w:p>
    <w:p w14:paraId="5D033F18" w14:textId="77777777" w:rsidR="00F37F0F" w:rsidRDefault="00F37F0F" w:rsidP="00A43C02">
      <w:pPr>
        <w:rPr>
          <w:rFonts w:cs="Arial"/>
          <w:b/>
          <w:bCs/>
          <w:kern w:val="32"/>
        </w:rPr>
      </w:pPr>
    </w:p>
    <w:p w14:paraId="60986777" w14:textId="77777777" w:rsidR="00F37F0F" w:rsidRDefault="00F37F0F" w:rsidP="00A43C02">
      <w:pPr>
        <w:rPr>
          <w:rFonts w:cs="Arial"/>
          <w:b/>
          <w:bCs/>
          <w:kern w:val="32"/>
        </w:rPr>
      </w:pPr>
    </w:p>
    <w:p w14:paraId="51C621B6" w14:textId="77777777" w:rsidR="00F37F0F" w:rsidRDefault="00F37F0F" w:rsidP="00A43C02">
      <w:pPr>
        <w:rPr>
          <w:rFonts w:cs="Arial"/>
          <w:b/>
          <w:bCs/>
          <w:kern w:val="32"/>
        </w:rPr>
      </w:pPr>
    </w:p>
    <w:p w14:paraId="39082905" w14:textId="77777777" w:rsidR="00F37F0F" w:rsidRPr="00A43C02" w:rsidRDefault="00F37F0F" w:rsidP="00A43C02">
      <w:pPr>
        <w:rPr>
          <w:rFonts w:cs="Arial"/>
          <w:b/>
          <w:bCs/>
          <w:kern w:val="32"/>
        </w:rPr>
      </w:pPr>
    </w:p>
    <w:p w14:paraId="091A7FDC" w14:textId="77777777" w:rsidR="00B90C6C" w:rsidRDefault="00B90C6C"/>
    <w:p w14:paraId="58A7C2A2" w14:textId="77777777" w:rsidR="00B90C6C" w:rsidRDefault="00B90C6C"/>
    <w:p w14:paraId="36E2A508" w14:textId="77777777" w:rsidR="00B90C6C" w:rsidRDefault="00B90C6C"/>
    <w:p w14:paraId="2FE1F821" w14:textId="77777777" w:rsidR="00B90C6C" w:rsidRDefault="00B90C6C"/>
    <w:p w14:paraId="0AF8C3C3" w14:textId="77777777" w:rsidR="00B90C6C" w:rsidRDefault="00B90C6C"/>
    <w:p w14:paraId="047AC50B" w14:textId="77777777" w:rsidR="00B90C6C" w:rsidRDefault="00B90C6C"/>
    <w:p w14:paraId="74E5E91F" w14:textId="77777777" w:rsidR="00B90C6C" w:rsidRDefault="00B90C6C"/>
    <w:p w14:paraId="332D37F5" w14:textId="77777777" w:rsidR="00B90C6C" w:rsidRDefault="00B90C6C"/>
    <w:p w14:paraId="68C888D8" w14:textId="77777777" w:rsidR="00B90C6C" w:rsidRDefault="00B90C6C"/>
    <w:p w14:paraId="7036B450" w14:textId="77777777" w:rsidR="00B90C6C" w:rsidRDefault="00B90C6C"/>
    <w:p w14:paraId="7DB045D6" w14:textId="77777777" w:rsidR="00B90C6C" w:rsidRDefault="00B90C6C"/>
    <w:p w14:paraId="6E742EC8" w14:textId="77777777" w:rsidR="00B90C6C" w:rsidRDefault="00B90C6C"/>
    <w:p w14:paraId="7A339B39" w14:textId="77777777" w:rsidR="00B90C6C" w:rsidRDefault="00B90C6C"/>
    <w:p w14:paraId="28D6E18E" w14:textId="77777777" w:rsidR="00B90C6C" w:rsidRDefault="00B90C6C"/>
    <w:p w14:paraId="5697C433" w14:textId="77777777" w:rsidR="00B90C6C" w:rsidRPr="00564F8C" w:rsidRDefault="00564F8C" w:rsidP="00B90C6C">
      <w:pPr>
        <w:rPr>
          <w:rFonts w:cs="Arial"/>
          <w:b/>
          <w:bCs/>
          <w:kern w:val="32"/>
          <w:sz w:val="22"/>
          <w:szCs w:val="22"/>
        </w:rPr>
      </w:pPr>
      <w:r w:rsidRPr="00564F8C">
        <w:rPr>
          <w:rFonts w:cs="Arial"/>
          <w:b/>
          <w:bCs/>
          <w:kern w:val="32"/>
          <w:sz w:val="22"/>
          <w:szCs w:val="22"/>
        </w:rPr>
        <w:lastRenderedPageBreak/>
        <w:t>U</w:t>
      </w:r>
      <w:r w:rsidR="00B90C6C" w:rsidRPr="00564F8C">
        <w:rPr>
          <w:rFonts w:cs="Arial"/>
          <w:b/>
          <w:bCs/>
          <w:kern w:val="32"/>
          <w:sz w:val="22"/>
          <w:szCs w:val="22"/>
        </w:rPr>
        <w:t xml:space="preserve">sing a multi-method, user centred, prospective hazard analysis to assess care quality and patient safety in a care pathway </w:t>
      </w:r>
    </w:p>
    <w:p w14:paraId="174EBA89" w14:textId="77777777" w:rsidR="00B90C6C" w:rsidRPr="00564F8C" w:rsidRDefault="00B90C6C" w:rsidP="00B90C6C">
      <w:pPr>
        <w:rPr>
          <w:sz w:val="22"/>
          <w:szCs w:val="22"/>
        </w:rPr>
      </w:pPr>
    </w:p>
    <w:p w14:paraId="4256E3B9" w14:textId="77777777" w:rsidR="00B90C6C" w:rsidRPr="00564F8C" w:rsidRDefault="00B90C6C" w:rsidP="00B90C6C">
      <w:pPr>
        <w:rPr>
          <w:sz w:val="22"/>
          <w:szCs w:val="22"/>
        </w:rPr>
      </w:pPr>
      <w:r w:rsidRPr="00564F8C">
        <w:rPr>
          <w:sz w:val="22"/>
          <w:szCs w:val="22"/>
        </w:rPr>
        <w:t>Joanne E Dean</w:t>
      </w:r>
      <w:r w:rsidRPr="00564F8C">
        <w:rPr>
          <w:sz w:val="22"/>
          <w:szCs w:val="22"/>
          <w:vertAlign w:val="superscript"/>
        </w:rPr>
        <w:t>1</w:t>
      </w:r>
      <w:r w:rsidRPr="00564F8C">
        <w:rPr>
          <w:sz w:val="22"/>
          <w:szCs w:val="22"/>
        </w:rPr>
        <w:t>*</w:t>
      </w:r>
      <w:r w:rsidRPr="00564F8C">
        <w:rPr>
          <w:sz w:val="22"/>
          <w:szCs w:val="22"/>
          <w:vertAlign w:val="superscript"/>
        </w:rPr>
        <w:t>§</w:t>
      </w:r>
      <w:r w:rsidRPr="00564F8C">
        <w:rPr>
          <w:sz w:val="22"/>
          <w:szCs w:val="22"/>
        </w:rPr>
        <w:t>, Allen Hutchinson</w:t>
      </w:r>
      <w:r w:rsidRPr="00564F8C">
        <w:rPr>
          <w:sz w:val="22"/>
          <w:szCs w:val="22"/>
          <w:vertAlign w:val="superscript"/>
        </w:rPr>
        <w:t>1</w:t>
      </w:r>
      <w:r w:rsidRPr="00564F8C">
        <w:rPr>
          <w:sz w:val="22"/>
          <w:szCs w:val="22"/>
        </w:rPr>
        <w:t>*, K Hamilton Escoto</w:t>
      </w:r>
      <w:r w:rsidRPr="00564F8C">
        <w:rPr>
          <w:sz w:val="22"/>
          <w:szCs w:val="22"/>
          <w:vertAlign w:val="superscript"/>
        </w:rPr>
        <w:t>2</w:t>
      </w:r>
      <w:r w:rsidRPr="00564F8C">
        <w:rPr>
          <w:sz w:val="22"/>
          <w:szCs w:val="22"/>
        </w:rPr>
        <w:t>, R Lawson</w:t>
      </w:r>
      <w:r w:rsidRPr="00564F8C">
        <w:rPr>
          <w:sz w:val="22"/>
          <w:szCs w:val="22"/>
          <w:vertAlign w:val="superscript"/>
        </w:rPr>
        <w:t>3</w:t>
      </w:r>
    </w:p>
    <w:p w14:paraId="1A6B14C3" w14:textId="77777777" w:rsidR="00B90C6C" w:rsidRPr="00564F8C" w:rsidRDefault="00B90C6C" w:rsidP="00B90C6C">
      <w:pPr>
        <w:rPr>
          <w:sz w:val="22"/>
          <w:szCs w:val="22"/>
          <w:vertAlign w:val="superscript"/>
        </w:rPr>
      </w:pPr>
    </w:p>
    <w:p w14:paraId="19084D8A" w14:textId="77777777" w:rsidR="00B90C6C" w:rsidRPr="00564F8C" w:rsidRDefault="00B90C6C" w:rsidP="00B90C6C">
      <w:pPr>
        <w:rPr>
          <w:sz w:val="22"/>
          <w:szCs w:val="22"/>
        </w:rPr>
      </w:pPr>
    </w:p>
    <w:p w14:paraId="6E9372A8" w14:textId="77777777" w:rsidR="00B90C6C" w:rsidRPr="00564F8C" w:rsidRDefault="00B90C6C" w:rsidP="00B90C6C">
      <w:pPr>
        <w:rPr>
          <w:sz w:val="22"/>
          <w:szCs w:val="22"/>
        </w:rPr>
      </w:pPr>
      <w:r w:rsidRPr="00564F8C">
        <w:rPr>
          <w:sz w:val="22"/>
          <w:szCs w:val="22"/>
          <w:vertAlign w:val="superscript"/>
        </w:rPr>
        <w:t>1</w:t>
      </w:r>
      <w:r w:rsidRPr="00564F8C">
        <w:rPr>
          <w:sz w:val="22"/>
          <w:szCs w:val="22"/>
        </w:rPr>
        <w:t>Section of Public Health, ScHARR, University of Sheffield, Regent Court, 30 Regent Street, Sheffield, UK, S1 4DA</w:t>
      </w:r>
    </w:p>
    <w:p w14:paraId="29A29AD5" w14:textId="77777777" w:rsidR="00B90C6C" w:rsidRPr="00564F8C" w:rsidRDefault="00B90C6C" w:rsidP="00B90C6C">
      <w:pPr>
        <w:rPr>
          <w:sz w:val="22"/>
          <w:szCs w:val="22"/>
          <w:vertAlign w:val="superscript"/>
        </w:rPr>
      </w:pPr>
      <w:r w:rsidRPr="00564F8C">
        <w:rPr>
          <w:sz w:val="22"/>
          <w:szCs w:val="22"/>
          <w:vertAlign w:val="superscript"/>
        </w:rPr>
        <w:t>2</w:t>
      </w:r>
      <w:r w:rsidRPr="00564F8C">
        <w:rPr>
          <w:sz w:val="22"/>
          <w:szCs w:val="22"/>
          <w:lang w:eastAsia="en-GB"/>
        </w:rPr>
        <w:t xml:space="preserve"> </w:t>
      </w:r>
      <w:r w:rsidRPr="00564F8C">
        <w:rPr>
          <w:sz w:val="22"/>
          <w:szCs w:val="22"/>
        </w:rPr>
        <w:t>Department of Industrial Engineering, University of Wisconsin-Madison, Madison, Wisconsin, USA</w:t>
      </w:r>
    </w:p>
    <w:p w14:paraId="5E1AA456" w14:textId="77777777" w:rsidR="00B90C6C" w:rsidRPr="00564F8C" w:rsidRDefault="00B90C6C" w:rsidP="00B90C6C">
      <w:pPr>
        <w:spacing w:line="480" w:lineRule="auto"/>
        <w:rPr>
          <w:sz w:val="22"/>
          <w:szCs w:val="22"/>
        </w:rPr>
      </w:pPr>
      <w:r w:rsidRPr="00564F8C">
        <w:rPr>
          <w:sz w:val="22"/>
          <w:szCs w:val="22"/>
          <w:vertAlign w:val="superscript"/>
        </w:rPr>
        <w:t>3</w:t>
      </w:r>
      <w:r w:rsidRPr="00564F8C">
        <w:rPr>
          <w:sz w:val="22"/>
          <w:szCs w:val="22"/>
        </w:rPr>
        <w:t xml:space="preserve"> Department of Respiratory Medicine, University of Sheffield, Sheffield, UK</w:t>
      </w:r>
    </w:p>
    <w:p w14:paraId="3F1F519B" w14:textId="77777777" w:rsidR="00B90C6C" w:rsidRPr="00564F8C" w:rsidRDefault="00B90C6C" w:rsidP="00B90C6C">
      <w:pPr>
        <w:rPr>
          <w:sz w:val="22"/>
          <w:szCs w:val="22"/>
        </w:rPr>
      </w:pPr>
      <w:r w:rsidRPr="00564F8C">
        <w:rPr>
          <w:sz w:val="22"/>
          <w:szCs w:val="22"/>
        </w:rPr>
        <w:t>*These authors contributed equally to this work</w:t>
      </w:r>
    </w:p>
    <w:p w14:paraId="2F8A8366" w14:textId="77777777" w:rsidR="00B90C6C" w:rsidRPr="00564F8C" w:rsidRDefault="00B90C6C" w:rsidP="00B90C6C">
      <w:pPr>
        <w:rPr>
          <w:sz w:val="22"/>
          <w:szCs w:val="22"/>
        </w:rPr>
      </w:pPr>
      <w:r w:rsidRPr="00564F8C">
        <w:rPr>
          <w:sz w:val="22"/>
          <w:szCs w:val="22"/>
          <w:vertAlign w:val="superscript"/>
        </w:rPr>
        <w:t>§</w:t>
      </w:r>
      <w:r w:rsidRPr="00564F8C">
        <w:rPr>
          <w:sz w:val="22"/>
          <w:szCs w:val="22"/>
        </w:rPr>
        <w:t>Corresponding author</w:t>
      </w:r>
    </w:p>
    <w:p w14:paraId="6FDF9C98" w14:textId="77777777" w:rsidR="00B90C6C" w:rsidRPr="00564F8C" w:rsidRDefault="00B90C6C" w:rsidP="00B90C6C">
      <w:pPr>
        <w:rPr>
          <w:sz w:val="22"/>
          <w:szCs w:val="22"/>
        </w:rPr>
      </w:pPr>
    </w:p>
    <w:p w14:paraId="70876A6D" w14:textId="77777777" w:rsidR="00B90C6C" w:rsidRPr="00564F8C" w:rsidRDefault="00B90C6C" w:rsidP="00B90C6C">
      <w:pPr>
        <w:rPr>
          <w:sz w:val="22"/>
          <w:szCs w:val="22"/>
        </w:rPr>
      </w:pPr>
      <w:r w:rsidRPr="00564F8C">
        <w:rPr>
          <w:sz w:val="22"/>
          <w:szCs w:val="22"/>
        </w:rPr>
        <w:t>Email addresses:</w:t>
      </w:r>
    </w:p>
    <w:p w14:paraId="160AD781" w14:textId="77777777" w:rsidR="00B90C6C" w:rsidRPr="00564F8C" w:rsidRDefault="00B90C6C" w:rsidP="00B90C6C">
      <w:pPr>
        <w:ind w:left="720"/>
        <w:rPr>
          <w:sz w:val="22"/>
          <w:szCs w:val="22"/>
        </w:rPr>
      </w:pPr>
      <w:r w:rsidRPr="00564F8C">
        <w:rPr>
          <w:sz w:val="22"/>
          <w:szCs w:val="22"/>
        </w:rPr>
        <w:t xml:space="preserve">JED: </w:t>
      </w:r>
      <w:hyperlink r:id="rId38" w:history="1">
        <w:r w:rsidRPr="00564F8C">
          <w:rPr>
            <w:rStyle w:val="Hyperlink"/>
            <w:sz w:val="22"/>
            <w:szCs w:val="22"/>
          </w:rPr>
          <w:t>j.e.dean@sheffield.ac.uk</w:t>
        </w:r>
      </w:hyperlink>
    </w:p>
    <w:p w14:paraId="38FA25BD" w14:textId="77777777" w:rsidR="00B90C6C" w:rsidRPr="00564F8C" w:rsidRDefault="00B90C6C" w:rsidP="00B90C6C">
      <w:pPr>
        <w:ind w:left="720"/>
        <w:rPr>
          <w:sz w:val="22"/>
          <w:szCs w:val="22"/>
        </w:rPr>
      </w:pPr>
      <w:r w:rsidRPr="00564F8C">
        <w:rPr>
          <w:sz w:val="22"/>
          <w:szCs w:val="22"/>
        </w:rPr>
        <w:t xml:space="preserve">AH: </w:t>
      </w:r>
      <w:hyperlink r:id="rId39" w:history="1">
        <w:r w:rsidRPr="00564F8C">
          <w:rPr>
            <w:rStyle w:val="Hyperlink"/>
            <w:sz w:val="22"/>
            <w:szCs w:val="22"/>
          </w:rPr>
          <w:t>Allen.Hutchinson@sheffield.ac.uk</w:t>
        </w:r>
      </w:hyperlink>
    </w:p>
    <w:p w14:paraId="6F868E23" w14:textId="77777777" w:rsidR="00B90C6C" w:rsidRPr="00564F8C" w:rsidRDefault="00B90C6C" w:rsidP="00B90C6C">
      <w:pPr>
        <w:ind w:left="720"/>
        <w:rPr>
          <w:sz w:val="22"/>
          <w:szCs w:val="22"/>
        </w:rPr>
      </w:pPr>
      <w:r w:rsidRPr="00564F8C">
        <w:rPr>
          <w:sz w:val="22"/>
          <w:szCs w:val="22"/>
        </w:rPr>
        <w:t>KHE:</w:t>
      </w:r>
      <w:r w:rsidRPr="00564F8C">
        <w:rPr>
          <w:color w:val="000080"/>
          <w:sz w:val="22"/>
          <w:szCs w:val="22"/>
        </w:rPr>
        <w:t xml:space="preserve"> </w:t>
      </w:r>
      <w:hyperlink r:id="rId40" w:history="1">
        <w:r w:rsidRPr="00564F8C">
          <w:rPr>
            <w:rStyle w:val="Hyperlink"/>
            <w:sz w:val="22"/>
            <w:szCs w:val="22"/>
          </w:rPr>
          <w:t>kjhamilton@wisc.edu</w:t>
        </w:r>
      </w:hyperlink>
      <w:r w:rsidRPr="00564F8C">
        <w:rPr>
          <w:color w:val="000080"/>
          <w:sz w:val="22"/>
          <w:szCs w:val="22"/>
        </w:rPr>
        <w:t xml:space="preserve"> </w:t>
      </w:r>
    </w:p>
    <w:p w14:paraId="1807C3B0" w14:textId="77777777" w:rsidR="00B90C6C" w:rsidRPr="00564F8C" w:rsidRDefault="00B90C6C" w:rsidP="00B90C6C">
      <w:pPr>
        <w:ind w:left="720"/>
        <w:rPr>
          <w:sz w:val="22"/>
          <w:szCs w:val="22"/>
        </w:rPr>
      </w:pPr>
      <w:r w:rsidRPr="00564F8C">
        <w:rPr>
          <w:sz w:val="22"/>
          <w:szCs w:val="22"/>
        </w:rPr>
        <w:t>RL:</w:t>
      </w:r>
      <w:r w:rsidRPr="00564F8C">
        <w:rPr>
          <w:color w:val="000080"/>
          <w:sz w:val="22"/>
          <w:szCs w:val="22"/>
        </w:rPr>
        <w:t xml:space="preserve"> </w:t>
      </w:r>
      <w:hyperlink r:id="rId41" w:history="1">
        <w:r w:rsidRPr="00564F8C">
          <w:rPr>
            <w:rStyle w:val="Hyperlink"/>
            <w:sz w:val="22"/>
            <w:szCs w:val="22"/>
          </w:rPr>
          <w:t>Rod.Lawson@sth.nhs.uk</w:t>
        </w:r>
      </w:hyperlink>
      <w:r w:rsidRPr="00564F8C">
        <w:rPr>
          <w:color w:val="000080"/>
          <w:sz w:val="22"/>
          <w:szCs w:val="22"/>
        </w:rPr>
        <w:t xml:space="preserve"> </w:t>
      </w:r>
    </w:p>
    <w:p w14:paraId="7CEAEADC" w14:textId="77777777" w:rsidR="00B90C6C" w:rsidRPr="006C44E9" w:rsidRDefault="00B90C6C" w:rsidP="00ED5C25">
      <w:pPr>
        <w:pStyle w:val="BodyText"/>
        <w:spacing w:line="360" w:lineRule="auto"/>
        <w:rPr>
          <w:b/>
        </w:rPr>
      </w:pPr>
      <w:r w:rsidRPr="00564F8C">
        <w:br w:type="page"/>
      </w:r>
      <w:r w:rsidRPr="006C44E9">
        <w:rPr>
          <w:b/>
        </w:rPr>
        <w:lastRenderedPageBreak/>
        <w:t xml:space="preserve">Abstract </w:t>
      </w:r>
    </w:p>
    <w:p w14:paraId="5B40F567" w14:textId="77777777" w:rsidR="00B90C6C" w:rsidRPr="00DB011F" w:rsidRDefault="00B90C6C" w:rsidP="00ED5C25">
      <w:pPr>
        <w:pStyle w:val="BodyText"/>
        <w:spacing w:line="360" w:lineRule="auto"/>
        <w:rPr>
          <w:b/>
        </w:rPr>
      </w:pPr>
      <w:r w:rsidRPr="00DB011F">
        <w:rPr>
          <w:b/>
        </w:rPr>
        <w:t>Background</w:t>
      </w:r>
    </w:p>
    <w:p w14:paraId="66135771" w14:textId="77777777" w:rsidR="00B90C6C" w:rsidRPr="00564F8C" w:rsidRDefault="00B90C6C" w:rsidP="00ED5C25">
      <w:pPr>
        <w:widowControl w:val="0"/>
        <w:autoSpaceDE w:val="0"/>
        <w:autoSpaceDN w:val="0"/>
        <w:adjustRightInd w:val="0"/>
        <w:spacing w:before="100" w:after="100" w:line="360" w:lineRule="auto"/>
        <w:jc w:val="both"/>
        <w:rPr>
          <w:rFonts w:cs="Arial"/>
          <w:sz w:val="22"/>
          <w:szCs w:val="22"/>
        </w:rPr>
      </w:pPr>
      <w:r w:rsidRPr="00564F8C">
        <w:rPr>
          <w:rFonts w:cs="Arial"/>
          <w:sz w:val="22"/>
          <w:szCs w:val="22"/>
        </w:rPr>
        <w:t xml:space="preserve">Care pathways can be complex, often involving multiple care providers and as such are </w:t>
      </w:r>
      <w:r w:rsidRPr="00564F8C">
        <w:rPr>
          <w:sz w:val="22"/>
          <w:szCs w:val="22"/>
        </w:rPr>
        <w:t xml:space="preserve">recognised as containing multiple opportunities for error. Prospective hazard analysis methods may be useful for evaluating care provided across primary and secondary care pathway boundaries. These methods take into account the views of users (staff and patients) when determining where potential hazards may lie. </w:t>
      </w:r>
      <w:r w:rsidRPr="00564F8C">
        <w:rPr>
          <w:rFonts w:cs="Arial"/>
          <w:sz w:val="22"/>
          <w:szCs w:val="22"/>
        </w:rPr>
        <w:t>The aim of this study is to evaluate the feasibility of prospective hazard analysis methods when assessing quality and safety in care pathways that lie across primary and secondary care boundaries.</w:t>
      </w:r>
    </w:p>
    <w:p w14:paraId="0F0E80E4" w14:textId="77777777" w:rsidR="00B90C6C" w:rsidRPr="00564F8C" w:rsidRDefault="00B90C6C" w:rsidP="00ED5C25">
      <w:pPr>
        <w:widowControl w:val="0"/>
        <w:autoSpaceDE w:val="0"/>
        <w:autoSpaceDN w:val="0"/>
        <w:adjustRightInd w:val="0"/>
        <w:spacing w:before="100" w:after="100" w:line="360" w:lineRule="auto"/>
        <w:jc w:val="both"/>
        <w:rPr>
          <w:rFonts w:cs="Arial"/>
          <w:b/>
          <w:sz w:val="22"/>
          <w:szCs w:val="22"/>
        </w:rPr>
      </w:pPr>
      <w:r w:rsidRPr="00564F8C">
        <w:rPr>
          <w:rFonts w:cs="Arial"/>
          <w:b/>
          <w:sz w:val="22"/>
          <w:szCs w:val="22"/>
        </w:rPr>
        <w:t>Methods</w:t>
      </w:r>
    </w:p>
    <w:p w14:paraId="3A736174" w14:textId="77777777" w:rsidR="00B90C6C" w:rsidRPr="00564F8C" w:rsidRDefault="00B90C6C" w:rsidP="00ED5C25">
      <w:pPr>
        <w:widowControl w:val="0"/>
        <w:autoSpaceDE w:val="0"/>
        <w:autoSpaceDN w:val="0"/>
        <w:adjustRightInd w:val="0"/>
        <w:spacing w:before="100" w:after="100" w:line="360" w:lineRule="auto"/>
        <w:jc w:val="both"/>
        <w:rPr>
          <w:rFonts w:cs="Arial"/>
          <w:b/>
          <w:sz w:val="22"/>
          <w:szCs w:val="22"/>
        </w:rPr>
      </w:pPr>
      <w:r w:rsidRPr="00564F8C">
        <w:rPr>
          <w:rFonts w:cs="Arial"/>
          <w:sz w:val="22"/>
          <w:szCs w:val="22"/>
        </w:rPr>
        <w:t xml:space="preserve">Development of a process map of the care pathway for patients entering into a Chronic Obstructive Pulmonary Disease (COPD) supported discharge programme. Triangulation of information from: care process mapping, </w:t>
      </w:r>
      <w:r w:rsidRPr="00564F8C">
        <w:rPr>
          <w:rFonts w:cs="Arial"/>
          <w:bCs/>
          <w:sz w:val="22"/>
          <w:szCs w:val="22"/>
        </w:rPr>
        <w:t>semi-structured interviews with COPD patients, semi-structured interviews with COPD staff, two round modified Delphi study and review of prioritised quality and safety challenges by health care staff.</w:t>
      </w:r>
    </w:p>
    <w:p w14:paraId="776E6293" w14:textId="77777777" w:rsidR="00B90C6C" w:rsidRPr="00564F8C" w:rsidRDefault="00B90C6C" w:rsidP="00ED5C25">
      <w:pPr>
        <w:pStyle w:val="Heading2"/>
        <w:spacing w:line="360" w:lineRule="auto"/>
        <w:rPr>
          <w:b/>
          <w:sz w:val="22"/>
          <w:szCs w:val="22"/>
        </w:rPr>
      </w:pPr>
      <w:r w:rsidRPr="00564F8C">
        <w:rPr>
          <w:b/>
          <w:sz w:val="22"/>
          <w:szCs w:val="22"/>
        </w:rPr>
        <w:t>Results</w:t>
      </w:r>
    </w:p>
    <w:p w14:paraId="60C88D86" w14:textId="77777777" w:rsidR="00B90C6C" w:rsidRPr="00564F8C" w:rsidRDefault="00B90C6C" w:rsidP="00ED5C25">
      <w:pPr>
        <w:widowControl w:val="0"/>
        <w:autoSpaceDE w:val="0"/>
        <w:autoSpaceDN w:val="0"/>
        <w:adjustRightInd w:val="0"/>
        <w:spacing w:before="100" w:after="100" w:line="360" w:lineRule="auto"/>
        <w:jc w:val="both"/>
        <w:rPr>
          <w:rFonts w:cs="Arial"/>
          <w:sz w:val="22"/>
          <w:szCs w:val="22"/>
        </w:rPr>
      </w:pPr>
      <w:r w:rsidRPr="00564F8C">
        <w:rPr>
          <w:rFonts w:cs="Arial"/>
          <w:sz w:val="22"/>
          <w:szCs w:val="22"/>
        </w:rPr>
        <w:t xml:space="preserve">Interview themes emerged under the headings of quality of care and patient safety. Quality and safety concerns were mostly raised in relation to communication, for example, communication with other hospital teams. The three highest ranked safety concerns from the modified Delphi review were: difficulties in accessing hospital records, information transfer to primary care and failure to communicate medication changes to primary care.   </w:t>
      </w:r>
    </w:p>
    <w:p w14:paraId="08EA2BB8" w14:textId="77777777" w:rsidR="00B90C6C" w:rsidRPr="00564F8C" w:rsidRDefault="00B90C6C" w:rsidP="00ED5C25">
      <w:pPr>
        <w:widowControl w:val="0"/>
        <w:autoSpaceDE w:val="0"/>
        <w:autoSpaceDN w:val="0"/>
        <w:adjustRightInd w:val="0"/>
        <w:spacing w:before="100" w:after="100" w:line="360" w:lineRule="auto"/>
        <w:jc w:val="both"/>
        <w:rPr>
          <w:rFonts w:cs="Arial"/>
          <w:b/>
          <w:sz w:val="22"/>
          <w:szCs w:val="22"/>
        </w:rPr>
      </w:pPr>
      <w:r w:rsidRPr="00564F8C">
        <w:rPr>
          <w:rFonts w:cs="Arial"/>
          <w:b/>
          <w:sz w:val="22"/>
          <w:szCs w:val="22"/>
        </w:rPr>
        <w:t>Conclusions</w:t>
      </w:r>
    </w:p>
    <w:p w14:paraId="1A9BE3C0" w14:textId="77777777" w:rsidR="00DB011F" w:rsidRDefault="00B90C6C" w:rsidP="006C44E9">
      <w:pPr>
        <w:widowControl w:val="0"/>
        <w:autoSpaceDE w:val="0"/>
        <w:autoSpaceDN w:val="0"/>
        <w:adjustRightInd w:val="0"/>
        <w:spacing w:before="100" w:after="100" w:line="360" w:lineRule="auto"/>
        <w:jc w:val="both"/>
        <w:rPr>
          <w:rFonts w:cs="Arial"/>
          <w:sz w:val="22"/>
          <w:szCs w:val="22"/>
        </w:rPr>
      </w:pPr>
      <w:r w:rsidRPr="00564F8C">
        <w:rPr>
          <w:rFonts w:cs="Arial"/>
          <w:sz w:val="22"/>
          <w:szCs w:val="22"/>
        </w:rPr>
        <w:t xml:space="preserve">This study has demonstrated the feasibility of using mixed methods to review the quality and safety of care in a care pathway. By using multiple research methods it was possible to get a clear picture of service quality variations and also to demonstrate which points in the care pathway had real potential for patient safety incidents or system failures to occur.  By using these methods to analyse one condition specific care pathway it was possible to uncover a number of hospital level problems. A number of safety challenges were systems related; these were therefore difficult to improve at care team level.  Study results were used by National Health Service (NHS) stakeholders to implement solutions to problems identified in the review. </w:t>
      </w:r>
      <w:r w:rsidR="00DB011F">
        <w:rPr>
          <w:rFonts w:cs="Arial"/>
          <w:sz w:val="22"/>
          <w:szCs w:val="22"/>
        </w:rPr>
        <w:br w:type="page"/>
      </w:r>
    </w:p>
    <w:p w14:paraId="697CEF2D" w14:textId="77777777" w:rsidR="00B90C6C" w:rsidRPr="00B25214" w:rsidRDefault="00B90C6C" w:rsidP="00B25214">
      <w:pPr>
        <w:rPr>
          <w:b/>
        </w:rPr>
      </w:pPr>
      <w:r w:rsidRPr="00B25214">
        <w:rPr>
          <w:b/>
        </w:rPr>
        <w:lastRenderedPageBreak/>
        <w:t xml:space="preserve">Background </w:t>
      </w:r>
    </w:p>
    <w:p w14:paraId="78F0748D" w14:textId="77777777" w:rsidR="00DB011F" w:rsidRPr="00DB011F" w:rsidRDefault="00DB011F" w:rsidP="00ED5C25">
      <w:pPr>
        <w:spacing w:line="360" w:lineRule="auto"/>
      </w:pPr>
    </w:p>
    <w:p w14:paraId="3BB431F2" w14:textId="77777777" w:rsidR="00B90C6C" w:rsidRPr="00564F8C" w:rsidRDefault="00B90C6C" w:rsidP="00ED5C25">
      <w:pPr>
        <w:spacing w:line="360" w:lineRule="auto"/>
        <w:jc w:val="both"/>
        <w:rPr>
          <w:sz w:val="22"/>
          <w:szCs w:val="22"/>
        </w:rPr>
      </w:pPr>
      <w:r w:rsidRPr="00564F8C">
        <w:rPr>
          <w:sz w:val="22"/>
          <w:szCs w:val="22"/>
        </w:rPr>
        <w:t xml:space="preserve">There is a substantial literature from engineering and safety critical industries on the use and methods of prospective hazard analysis. [1]  A more limited literature relates to health care [2] where adapted methods such as Health Care Failure Modes and Effects Analysis [3] have been used to assess risks in high risk systems such as blood transfusion. [4]  Other methods, such as socio-technical probabilistic risk analysis [5], are being used in aspects of medication safety or have been used in the study of complex environments such as anaesthesia. [6] </w:t>
      </w:r>
    </w:p>
    <w:p w14:paraId="0AECD9F9" w14:textId="77777777" w:rsidR="00B90C6C" w:rsidRPr="00564F8C" w:rsidRDefault="00B90C6C" w:rsidP="00ED5C25">
      <w:pPr>
        <w:pStyle w:val="BodyText2"/>
        <w:spacing w:line="360" w:lineRule="auto"/>
        <w:jc w:val="both"/>
        <w:rPr>
          <w:rFonts w:ascii="Arial" w:hAnsi="Arial"/>
          <w:sz w:val="22"/>
          <w:szCs w:val="22"/>
        </w:rPr>
      </w:pPr>
      <w:r w:rsidRPr="00564F8C">
        <w:rPr>
          <w:rFonts w:ascii="Arial" w:hAnsi="Arial"/>
          <w:sz w:val="22"/>
          <w:szCs w:val="22"/>
        </w:rPr>
        <w:t xml:space="preserve">Where they have been used in health care, most of these risk analyses have taken place in hospital-based settings, focussing on well-defined care processes.  Although retrospective methods such as Root Cause Analysis are frequently used in healthcare, it is less usual to find accounts of the use of prospective hazard analysis methods across boundaries between primary and secondary care or that take account of the views of patients in determining where hazards may lie.  Yet care pathways that cross the boundary between community and hospital care are recognised to contain opportunities for error, both latent and active. [7] </w:t>
      </w:r>
    </w:p>
    <w:p w14:paraId="3B72DCC1" w14:textId="77777777" w:rsidR="00B90C6C" w:rsidRPr="00564F8C" w:rsidRDefault="00B90C6C" w:rsidP="00ED5C25">
      <w:pPr>
        <w:spacing w:line="360" w:lineRule="auto"/>
        <w:jc w:val="both"/>
        <w:rPr>
          <w:sz w:val="22"/>
          <w:szCs w:val="22"/>
        </w:rPr>
      </w:pPr>
      <w:r w:rsidRPr="00564F8C">
        <w:rPr>
          <w:sz w:val="22"/>
          <w:szCs w:val="22"/>
        </w:rPr>
        <w:t xml:space="preserve">Hence the primary purpose of this study was to investigate the feasibility and value of using mixed research methods to inform a prospective hazard analysis of risks in a care pathway that crosses primary and secondary care boundaries.  </w:t>
      </w:r>
    </w:p>
    <w:p w14:paraId="408BB3E7" w14:textId="77777777" w:rsidR="00B90C6C" w:rsidRPr="00564F8C" w:rsidRDefault="00B90C6C" w:rsidP="00ED5C25">
      <w:pPr>
        <w:spacing w:line="360" w:lineRule="auto"/>
        <w:jc w:val="both"/>
        <w:rPr>
          <w:sz w:val="22"/>
          <w:szCs w:val="22"/>
        </w:rPr>
      </w:pPr>
      <w:r w:rsidRPr="00564F8C">
        <w:rPr>
          <w:sz w:val="22"/>
          <w:szCs w:val="22"/>
        </w:rPr>
        <w:t xml:space="preserve">The Sheffield supported discharge programme for people with COPD was used as the study setting. The programme’s aim was to reduce hospital length of stay by providing specialist, hospital-based, nursing care at home until the acute episode resolved. </w:t>
      </w:r>
    </w:p>
    <w:p w14:paraId="4A816BF3" w14:textId="77777777" w:rsidR="00B90C6C" w:rsidRPr="00564F8C" w:rsidRDefault="00B90C6C" w:rsidP="00ED5C25">
      <w:pPr>
        <w:spacing w:line="360" w:lineRule="auto"/>
        <w:jc w:val="both"/>
        <w:rPr>
          <w:sz w:val="22"/>
          <w:szCs w:val="22"/>
        </w:rPr>
      </w:pPr>
      <w:r w:rsidRPr="00564F8C">
        <w:rPr>
          <w:sz w:val="22"/>
          <w:szCs w:val="22"/>
        </w:rPr>
        <w:t>Evidence suggests that early supported discharge may be a safe (using outcomes of readmission rates and mortality) and perhaps cost effective means of improving care for some people with acute exacerbations of chronic obstructive pulmonary disease. [8]</w:t>
      </w:r>
      <w:r w:rsidRPr="00564F8C">
        <w:rPr>
          <w:color w:val="000000"/>
          <w:sz w:val="22"/>
          <w:szCs w:val="22"/>
        </w:rPr>
        <w:t>[9]</w:t>
      </w:r>
      <w:r w:rsidRPr="00564F8C">
        <w:rPr>
          <w:sz w:val="22"/>
          <w:szCs w:val="22"/>
        </w:rPr>
        <w:t>[10][11]   Moreover, patients and their carers seem to prefer the option of early homecare where possible, [12] and its use is recommended in the UK National Institute for Clinical Excellence guidelines on chronic obstructive pulmonary disease management. [13]</w:t>
      </w:r>
    </w:p>
    <w:p w14:paraId="62172A9C" w14:textId="77777777" w:rsidR="00B90C6C" w:rsidRPr="00564F8C" w:rsidRDefault="00B90C6C" w:rsidP="00ED5C25">
      <w:pPr>
        <w:spacing w:line="360" w:lineRule="auto"/>
        <w:jc w:val="both"/>
        <w:rPr>
          <w:sz w:val="22"/>
          <w:szCs w:val="22"/>
        </w:rPr>
      </w:pPr>
      <w:r w:rsidRPr="00564F8C">
        <w:rPr>
          <w:sz w:val="22"/>
          <w:szCs w:val="22"/>
        </w:rPr>
        <w:t xml:space="preserve">Safety hazards in care pathways are likely to be quantified by a set of measures broader and more responsive than readmission and mortality rates. [11]   For example, Reason [7] has demonstrated how safety is a dynamic process where risks change over time and where some risks are ‘latent’ (and difficult to foresee) while others are active and may be everyday occurrences. Dekker [14] graphically explores how departures from the routine practice </w:t>
      </w:r>
      <w:r w:rsidRPr="00564F8C">
        <w:rPr>
          <w:sz w:val="22"/>
          <w:szCs w:val="22"/>
        </w:rPr>
        <w:lastRenderedPageBreak/>
        <w:t>envisaged in a pathway eventually become the routine.   Cook [15] characterises the risks of everyday clinical practice as working within a ‘safety envelope’, where production pressures (such as the need to reduce length of stay to release bed space) can push clinical practice through the margin of safety into the unpredictable territory where accidents happen.</w:t>
      </w:r>
    </w:p>
    <w:p w14:paraId="2DCA7AA4" w14:textId="77777777" w:rsidR="00B90C6C" w:rsidRPr="00564F8C" w:rsidRDefault="00B90C6C" w:rsidP="00ED5C25">
      <w:pPr>
        <w:spacing w:line="360" w:lineRule="auto"/>
        <w:jc w:val="both"/>
        <w:rPr>
          <w:sz w:val="22"/>
          <w:szCs w:val="22"/>
        </w:rPr>
      </w:pPr>
      <w:r w:rsidRPr="00564F8C">
        <w:rPr>
          <w:sz w:val="22"/>
          <w:szCs w:val="22"/>
        </w:rPr>
        <w:t xml:space="preserve">Recent reviews of quality evaluation methods [16][17][18] have identified a range of possible approaches for assessing quality and safety in care pathways, including methods for seeking users views and the use of Delphi methods that might be used to gain professional views on risks and potential solutions [19].   Woods and Cook [20] have drawn on the application of safety </w:t>
      </w:r>
    </w:p>
    <w:p w14:paraId="4BCFA27F" w14:textId="77777777" w:rsidR="00B90C6C" w:rsidRPr="00564F8C" w:rsidRDefault="00B90C6C" w:rsidP="00ED5C25">
      <w:pPr>
        <w:spacing w:line="360" w:lineRule="auto"/>
        <w:jc w:val="both"/>
        <w:rPr>
          <w:sz w:val="22"/>
          <w:szCs w:val="22"/>
        </w:rPr>
      </w:pPr>
      <w:r w:rsidRPr="00564F8C">
        <w:rPr>
          <w:sz w:val="22"/>
          <w:szCs w:val="22"/>
        </w:rPr>
        <w:t>science in anaesthesia to develop a proactive check list that can be used to seek out points were safety is more vulnerable (Figure 1).</w:t>
      </w:r>
    </w:p>
    <w:p w14:paraId="7799AF76" w14:textId="77777777" w:rsidR="00B90C6C" w:rsidRPr="00564F8C" w:rsidRDefault="00B90C6C" w:rsidP="00ED5C25">
      <w:pPr>
        <w:spacing w:line="360" w:lineRule="auto"/>
        <w:jc w:val="both"/>
        <w:rPr>
          <w:sz w:val="22"/>
          <w:szCs w:val="22"/>
        </w:rPr>
      </w:pPr>
      <w:r w:rsidRPr="00564F8C">
        <w:rPr>
          <w:sz w:val="22"/>
          <w:szCs w:val="22"/>
        </w:rPr>
        <w:t xml:space="preserve">Pursuit of second stories [20] is a pre-requisite of understanding how the care pathway is actually structured, since the initial plan for any care pathway is rarely followed in every detail when put into practice.   Clarity about the focus of a hazard analysis can also be gained by using standardised work process methods to establish a process map of the care pathway. [21][22] </w:t>
      </w:r>
    </w:p>
    <w:p w14:paraId="5DED2D17" w14:textId="77777777" w:rsidR="00B90C6C" w:rsidRPr="00564F8C" w:rsidRDefault="00B90C6C" w:rsidP="00ED5C25">
      <w:pPr>
        <w:spacing w:line="360" w:lineRule="auto"/>
        <w:jc w:val="both"/>
        <w:rPr>
          <w:sz w:val="22"/>
          <w:szCs w:val="22"/>
        </w:rPr>
      </w:pPr>
      <w:r w:rsidRPr="00564F8C">
        <w:rPr>
          <w:sz w:val="22"/>
          <w:szCs w:val="22"/>
        </w:rPr>
        <w:t>This paper reports the results of a prospective hazard analysis of care quality and patient safety in a COPD supported discharge care pathway.</w:t>
      </w:r>
    </w:p>
    <w:p w14:paraId="6EE7A27F" w14:textId="77777777" w:rsidR="00B25214" w:rsidRDefault="00B25214" w:rsidP="00B25214">
      <w:pPr>
        <w:rPr>
          <w:b/>
        </w:rPr>
      </w:pPr>
    </w:p>
    <w:p w14:paraId="4751C57E" w14:textId="77777777" w:rsidR="00B90C6C" w:rsidRPr="00B25214" w:rsidRDefault="00B90C6C" w:rsidP="00B25214">
      <w:pPr>
        <w:rPr>
          <w:b/>
        </w:rPr>
      </w:pPr>
      <w:r w:rsidRPr="00B25214">
        <w:rPr>
          <w:b/>
        </w:rPr>
        <w:t>Methods</w:t>
      </w:r>
    </w:p>
    <w:p w14:paraId="27124738" w14:textId="77777777" w:rsidR="00B90C6C" w:rsidRPr="00564F8C" w:rsidRDefault="00B90C6C" w:rsidP="00ED5C25">
      <w:pPr>
        <w:pStyle w:val="Heading4"/>
        <w:spacing w:line="360" w:lineRule="auto"/>
        <w:rPr>
          <w:sz w:val="22"/>
          <w:szCs w:val="22"/>
        </w:rPr>
      </w:pPr>
      <w:r w:rsidRPr="00564F8C">
        <w:rPr>
          <w:sz w:val="22"/>
          <w:szCs w:val="22"/>
        </w:rPr>
        <w:t>Mapping the care process</w:t>
      </w:r>
    </w:p>
    <w:p w14:paraId="0342FE06" w14:textId="77777777" w:rsidR="00B90C6C" w:rsidRPr="00564F8C" w:rsidRDefault="00B90C6C" w:rsidP="00ED5C25">
      <w:pPr>
        <w:spacing w:line="360" w:lineRule="auto"/>
        <w:jc w:val="both"/>
        <w:rPr>
          <w:i/>
          <w:sz w:val="22"/>
          <w:szCs w:val="22"/>
        </w:rPr>
      </w:pPr>
      <w:r w:rsidRPr="00564F8C">
        <w:rPr>
          <w:sz w:val="22"/>
          <w:szCs w:val="22"/>
        </w:rPr>
        <w:t>Mapping of the care pathway, from admission to hospital to the point of discharge from the supported discharge programme, was undertaken iteratively through 8 one-to-one interviews and three meetings with hospital and community (Primary Care Trust) staff who were involved in designing, implementing and providing the Sheffield COPD supported discharge programme. A single observer accompanied hospital-based nursing staff during three domiciliary visits to seek further information about the supported discharge process.  Finally, a joint meeting was held with hospital staff to agree the contents of the care pathway map.  A standardised format [21][22] was used to create the process map.  The key care decision points and processes identified from the map were subsequently the focus for the interviews with patients and staff about the process, outcome and safety of care.</w:t>
      </w:r>
    </w:p>
    <w:p w14:paraId="3C17D504" w14:textId="77777777" w:rsidR="00B90C6C" w:rsidRPr="00564F8C" w:rsidRDefault="00B90C6C" w:rsidP="00ED5C25">
      <w:pPr>
        <w:pStyle w:val="BodyText2"/>
        <w:spacing w:line="360" w:lineRule="auto"/>
        <w:jc w:val="both"/>
        <w:rPr>
          <w:rFonts w:ascii="Arial" w:hAnsi="Arial"/>
          <w:sz w:val="22"/>
          <w:szCs w:val="22"/>
        </w:rPr>
      </w:pPr>
      <w:r w:rsidRPr="00564F8C">
        <w:rPr>
          <w:rFonts w:ascii="Arial" w:hAnsi="Arial"/>
          <w:sz w:val="22"/>
          <w:szCs w:val="22"/>
        </w:rPr>
        <w:lastRenderedPageBreak/>
        <w:t>Additionally, the supported discharge programme record keeping process was reviewed to determine how the information from the supported discharge scheme was retained in the hospital paper based records system.</w:t>
      </w:r>
    </w:p>
    <w:p w14:paraId="7953D411" w14:textId="77777777" w:rsidR="00B90C6C" w:rsidRPr="00564F8C" w:rsidRDefault="00B90C6C" w:rsidP="00ED5C25">
      <w:pPr>
        <w:spacing w:line="360" w:lineRule="auto"/>
        <w:jc w:val="center"/>
        <w:rPr>
          <w:sz w:val="22"/>
          <w:szCs w:val="22"/>
        </w:rPr>
      </w:pPr>
    </w:p>
    <w:p w14:paraId="1FFB8A50" w14:textId="77777777" w:rsidR="00B90C6C" w:rsidRPr="00564F8C" w:rsidRDefault="00B90C6C" w:rsidP="00ED5C25">
      <w:pPr>
        <w:pStyle w:val="Heading4"/>
        <w:spacing w:line="360" w:lineRule="auto"/>
        <w:rPr>
          <w:sz w:val="22"/>
          <w:szCs w:val="22"/>
        </w:rPr>
      </w:pPr>
      <w:r w:rsidRPr="00564F8C">
        <w:rPr>
          <w:sz w:val="22"/>
          <w:szCs w:val="22"/>
        </w:rPr>
        <w:t>Review of quality and safety of care</w:t>
      </w:r>
    </w:p>
    <w:p w14:paraId="0FF5D58A" w14:textId="77777777" w:rsidR="00B90C6C" w:rsidRPr="00564F8C" w:rsidRDefault="00B90C6C" w:rsidP="00ED5C25">
      <w:pPr>
        <w:spacing w:line="360" w:lineRule="auto"/>
        <w:rPr>
          <w:sz w:val="22"/>
          <w:szCs w:val="22"/>
        </w:rPr>
      </w:pPr>
      <w:r w:rsidRPr="00564F8C">
        <w:rPr>
          <w:sz w:val="22"/>
          <w:szCs w:val="22"/>
        </w:rPr>
        <w:t>Interviews</w:t>
      </w:r>
    </w:p>
    <w:p w14:paraId="650DC4A1" w14:textId="77777777" w:rsidR="00B90C6C" w:rsidRPr="00564F8C" w:rsidRDefault="00B90C6C" w:rsidP="00ED5C25">
      <w:pPr>
        <w:spacing w:line="360" w:lineRule="auto"/>
        <w:jc w:val="both"/>
        <w:rPr>
          <w:sz w:val="22"/>
          <w:szCs w:val="22"/>
        </w:rPr>
      </w:pPr>
      <w:r w:rsidRPr="00564F8C">
        <w:rPr>
          <w:sz w:val="22"/>
          <w:szCs w:val="22"/>
        </w:rPr>
        <w:t>The interview schedules were based on a standardised work systems framework drawn from process engineering [23] and comprised six main themes: process understanding, work system understanding, communication, documentation, problems and suggestions for improvements and quality of care received (patient’s only).</w:t>
      </w:r>
    </w:p>
    <w:p w14:paraId="5C3D48DA" w14:textId="77777777" w:rsidR="00B90C6C" w:rsidRPr="00564F8C" w:rsidRDefault="00B90C6C" w:rsidP="00ED5C25">
      <w:pPr>
        <w:pStyle w:val="BodyText3"/>
        <w:spacing w:line="360" w:lineRule="auto"/>
        <w:jc w:val="both"/>
        <w:rPr>
          <w:rFonts w:ascii="Arial" w:hAnsi="Arial"/>
          <w:iCs/>
          <w:sz w:val="22"/>
          <w:szCs w:val="22"/>
        </w:rPr>
      </w:pPr>
      <w:r w:rsidRPr="00564F8C">
        <w:rPr>
          <w:rFonts w:ascii="Arial" w:hAnsi="Arial"/>
          <w:iCs/>
          <w:sz w:val="22"/>
          <w:szCs w:val="22"/>
        </w:rPr>
        <w:t>Semi-structured interviews were undertaken with five hospital nursing staff and two medical hospital staff involved with providing the supported discharge service.</w:t>
      </w:r>
    </w:p>
    <w:p w14:paraId="3620B068" w14:textId="77777777" w:rsidR="00B90C6C" w:rsidRDefault="00B90C6C" w:rsidP="00ED5C25">
      <w:pPr>
        <w:pStyle w:val="BodyText2"/>
        <w:spacing w:line="360" w:lineRule="auto"/>
        <w:jc w:val="both"/>
        <w:rPr>
          <w:rFonts w:ascii="Arial" w:hAnsi="Arial"/>
          <w:sz w:val="22"/>
          <w:szCs w:val="22"/>
        </w:rPr>
      </w:pPr>
      <w:r w:rsidRPr="00564F8C">
        <w:rPr>
          <w:rFonts w:ascii="Arial" w:hAnsi="Arial"/>
          <w:sz w:val="22"/>
          <w:szCs w:val="22"/>
        </w:rPr>
        <w:t xml:space="preserve">Sixteen patients were selected for interview by nursing staff, through purposive sampling.  All patients had recently been admitted to hospital with an exacerbation of symptoms of chronic obstructive pulmonary disease, had been in the 14 day supported discharge programme and had subsequently been discharged to primary care.  Semi structured interviews were undertaken with all 16 patients. </w:t>
      </w:r>
    </w:p>
    <w:p w14:paraId="1F1C5E20" w14:textId="77777777" w:rsidR="00B25214" w:rsidRDefault="00B25214" w:rsidP="00ED5C25">
      <w:pPr>
        <w:pStyle w:val="BodyText2"/>
        <w:spacing w:line="360" w:lineRule="auto"/>
        <w:jc w:val="both"/>
        <w:rPr>
          <w:rFonts w:ascii="Arial" w:hAnsi="Arial"/>
          <w:sz w:val="22"/>
          <w:szCs w:val="22"/>
        </w:rPr>
      </w:pPr>
    </w:p>
    <w:p w14:paraId="1E53AB06" w14:textId="77777777" w:rsidR="00B90C6C" w:rsidRPr="00B25214" w:rsidRDefault="00B90C6C" w:rsidP="00B25214">
      <w:pPr>
        <w:rPr>
          <w:b/>
          <w:sz w:val="22"/>
          <w:szCs w:val="22"/>
        </w:rPr>
      </w:pPr>
      <w:r w:rsidRPr="00B25214">
        <w:rPr>
          <w:b/>
          <w:sz w:val="22"/>
          <w:szCs w:val="22"/>
        </w:rPr>
        <w:t xml:space="preserve">Analysis of the interview data </w:t>
      </w:r>
    </w:p>
    <w:p w14:paraId="0AD4BDE7" w14:textId="77777777" w:rsidR="00B90C6C" w:rsidRPr="00564F8C" w:rsidRDefault="00B90C6C" w:rsidP="00ED5C25">
      <w:pPr>
        <w:spacing w:line="360" w:lineRule="auto"/>
        <w:rPr>
          <w:sz w:val="22"/>
          <w:szCs w:val="22"/>
        </w:rPr>
      </w:pPr>
      <w:r w:rsidRPr="00564F8C">
        <w:rPr>
          <w:sz w:val="22"/>
          <w:szCs w:val="22"/>
        </w:rPr>
        <w:t>The analysis of the interview data was undertaken in 3 stages.</w:t>
      </w:r>
    </w:p>
    <w:p w14:paraId="1E860DA7" w14:textId="77777777" w:rsidR="00B90C6C" w:rsidRPr="00564F8C" w:rsidRDefault="00B90C6C" w:rsidP="00ED5C25">
      <w:pPr>
        <w:spacing w:line="360" w:lineRule="auto"/>
        <w:jc w:val="both"/>
        <w:rPr>
          <w:i/>
          <w:sz w:val="22"/>
          <w:szCs w:val="22"/>
        </w:rPr>
      </w:pPr>
      <w:r w:rsidRPr="00564F8C">
        <w:rPr>
          <w:i/>
          <w:sz w:val="22"/>
          <w:szCs w:val="22"/>
        </w:rPr>
        <w:t>Stage 1</w:t>
      </w:r>
    </w:p>
    <w:p w14:paraId="17C68521" w14:textId="77777777" w:rsidR="00B90C6C" w:rsidRPr="00564F8C" w:rsidRDefault="00B90C6C" w:rsidP="00ED5C25">
      <w:pPr>
        <w:spacing w:line="360" w:lineRule="auto"/>
        <w:jc w:val="both"/>
        <w:rPr>
          <w:sz w:val="22"/>
          <w:szCs w:val="22"/>
        </w:rPr>
      </w:pPr>
      <w:r w:rsidRPr="00564F8C">
        <w:rPr>
          <w:sz w:val="22"/>
          <w:szCs w:val="22"/>
        </w:rPr>
        <w:t xml:space="preserve">Interview data from staff and patients were analysed using FRAMEWORK, [24] an explicit, structured method of qualitative data analysis employing 5 distinct but interconnected stages in a systematic process.  These stages are familiarisation; identifying a thematic framework; indexing; charting; mapping and interpretation. </w:t>
      </w:r>
    </w:p>
    <w:p w14:paraId="35EE0513" w14:textId="77777777" w:rsidR="00B90C6C" w:rsidRPr="00564F8C" w:rsidRDefault="00B90C6C" w:rsidP="00ED5C25">
      <w:pPr>
        <w:spacing w:line="360" w:lineRule="auto"/>
        <w:jc w:val="both"/>
        <w:rPr>
          <w:sz w:val="22"/>
          <w:szCs w:val="22"/>
        </w:rPr>
      </w:pPr>
      <w:r w:rsidRPr="00564F8C">
        <w:rPr>
          <w:sz w:val="22"/>
          <w:szCs w:val="22"/>
        </w:rPr>
        <w:t xml:space="preserve">For each stage in the analysis, one analyst (JD) developed a first draft of the results.  The process was reviewed by a second analyst (AH) and the findings either confirmed or modified through joint discussion.  </w:t>
      </w:r>
    </w:p>
    <w:p w14:paraId="07458BB0" w14:textId="77777777" w:rsidR="00B90C6C" w:rsidRPr="00564F8C" w:rsidRDefault="00B90C6C" w:rsidP="00ED5C25">
      <w:pPr>
        <w:spacing w:line="360" w:lineRule="auto"/>
        <w:jc w:val="both"/>
        <w:rPr>
          <w:i/>
          <w:sz w:val="22"/>
          <w:szCs w:val="22"/>
        </w:rPr>
      </w:pPr>
      <w:r w:rsidRPr="00564F8C">
        <w:rPr>
          <w:i/>
          <w:sz w:val="22"/>
          <w:szCs w:val="22"/>
        </w:rPr>
        <w:t>Stage 2</w:t>
      </w:r>
    </w:p>
    <w:p w14:paraId="120C93FD" w14:textId="77777777" w:rsidR="00B90C6C" w:rsidRPr="00564F8C" w:rsidRDefault="00B90C6C" w:rsidP="00ED5C25">
      <w:pPr>
        <w:spacing w:line="360" w:lineRule="auto"/>
        <w:jc w:val="both"/>
        <w:rPr>
          <w:sz w:val="22"/>
          <w:szCs w:val="22"/>
        </w:rPr>
      </w:pPr>
      <w:r w:rsidRPr="00564F8C">
        <w:rPr>
          <w:sz w:val="22"/>
          <w:szCs w:val="22"/>
        </w:rPr>
        <w:t xml:space="preserve">Information from the thematic FRAMEWORK analysis was plotted on to the process of care map, together with information from the documentary review of record keeping, to identify </w:t>
      </w:r>
      <w:r w:rsidRPr="00564F8C">
        <w:rPr>
          <w:sz w:val="22"/>
          <w:szCs w:val="22"/>
        </w:rPr>
        <w:lastRenderedPageBreak/>
        <w:t>points in the care process where quality and safety might be variable.  The findings were reviewed by a second analyst (AH) and these were then agreed or modified in joint discussion.</w:t>
      </w:r>
    </w:p>
    <w:p w14:paraId="07961B78" w14:textId="77777777" w:rsidR="00B90C6C" w:rsidRPr="00564F8C" w:rsidRDefault="00B90C6C" w:rsidP="00ED5C25">
      <w:pPr>
        <w:spacing w:line="360" w:lineRule="auto"/>
        <w:jc w:val="both"/>
        <w:rPr>
          <w:i/>
          <w:sz w:val="22"/>
          <w:szCs w:val="22"/>
        </w:rPr>
      </w:pPr>
      <w:r w:rsidRPr="00564F8C">
        <w:rPr>
          <w:i/>
          <w:sz w:val="22"/>
          <w:szCs w:val="22"/>
        </w:rPr>
        <w:t>Stage 3</w:t>
      </w:r>
    </w:p>
    <w:p w14:paraId="24A873CE" w14:textId="77777777" w:rsidR="00B90C6C" w:rsidRPr="00564F8C" w:rsidRDefault="00B90C6C" w:rsidP="00ED5C25">
      <w:pPr>
        <w:spacing w:line="360" w:lineRule="auto"/>
        <w:jc w:val="both"/>
        <w:rPr>
          <w:sz w:val="22"/>
          <w:szCs w:val="22"/>
        </w:rPr>
      </w:pPr>
      <w:r w:rsidRPr="00564F8C">
        <w:rPr>
          <w:sz w:val="22"/>
          <w:szCs w:val="22"/>
        </w:rPr>
        <w:t xml:space="preserve">The 23 sub-themes arising from the first two analysis phases were brought together to look for similarities and differences.  A final set of six main themes were developed, together with a number of specific safety vulnerabilities. </w:t>
      </w:r>
    </w:p>
    <w:p w14:paraId="6D6F7BED" w14:textId="77777777" w:rsidR="00B90C6C" w:rsidRPr="00564F8C" w:rsidRDefault="00B90C6C" w:rsidP="00ED5C25">
      <w:pPr>
        <w:spacing w:line="360" w:lineRule="auto"/>
        <w:jc w:val="both"/>
        <w:rPr>
          <w:b/>
          <w:sz w:val="22"/>
          <w:szCs w:val="22"/>
        </w:rPr>
      </w:pPr>
      <w:r w:rsidRPr="00564F8C">
        <w:rPr>
          <w:b/>
          <w:sz w:val="22"/>
          <w:szCs w:val="22"/>
        </w:rPr>
        <w:t xml:space="preserve">Assessing relative safety risk  </w:t>
      </w:r>
    </w:p>
    <w:p w14:paraId="68F227FC" w14:textId="77777777" w:rsidR="00B90C6C" w:rsidRPr="00564F8C" w:rsidRDefault="00B90C6C" w:rsidP="00ED5C25">
      <w:pPr>
        <w:spacing w:line="360" w:lineRule="auto"/>
        <w:jc w:val="both"/>
        <w:rPr>
          <w:sz w:val="22"/>
          <w:szCs w:val="22"/>
        </w:rPr>
      </w:pPr>
      <w:r w:rsidRPr="00564F8C">
        <w:rPr>
          <w:sz w:val="22"/>
          <w:szCs w:val="22"/>
        </w:rPr>
        <w:t>Analysis of the interview data from patients and staff highlighted specific areas or care pathway points where it was felt that care quality and or patient safety could potentially be compromised. A modified, two–stage, questionnaire based Delphi approach was used to obtain staff views about what worked well and what worked less well in eight of the identified pathway areas. These were:</w:t>
      </w:r>
    </w:p>
    <w:p w14:paraId="2CF4D62D" w14:textId="77777777" w:rsidR="00B90C6C" w:rsidRPr="00564F8C" w:rsidRDefault="00B90C6C" w:rsidP="00ED5C25">
      <w:pPr>
        <w:spacing w:line="360" w:lineRule="auto"/>
        <w:jc w:val="both"/>
        <w:rPr>
          <w:sz w:val="22"/>
          <w:szCs w:val="22"/>
        </w:rPr>
      </w:pPr>
      <w:r w:rsidRPr="00564F8C">
        <w:rPr>
          <w:sz w:val="22"/>
          <w:szCs w:val="22"/>
        </w:rPr>
        <w:t xml:space="preserve">Re-admission management; clinical organisation; communication within the chronic obstructive pulmonary disease team; patient knowledge about the supported discharge programme; communication with the hospital bed bureau; information priorities; communication with primary care. </w:t>
      </w:r>
    </w:p>
    <w:p w14:paraId="47C937D7" w14:textId="77777777" w:rsidR="00B90C6C" w:rsidRPr="00564F8C" w:rsidRDefault="00B90C6C" w:rsidP="00ED5C25">
      <w:pPr>
        <w:spacing w:line="360" w:lineRule="auto"/>
        <w:jc w:val="both"/>
        <w:rPr>
          <w:sz w:val="22"/>
          <w:szCs w:val="22"/>
        </w:rPr>
      </w:pPr>
      <w:r w:rsidRPr="00564F8C">
        <w:rPr>
          <w:sz w:val="22"/>
          <w:szCs w:val="22"/>
        </w:rPr>
        <w:t xml:space="preserve">In the first round, 7 supported discharge programme staff and 9 primary care staff who were members of the local Joint Care Planning Group (including: 2 General Practitioners, 2 Primary Care Chronic Disease Nurses, 1 Respiratory Nurse Specialist and COPD Primary Care Manager, 1 PCT Service Development Manager, 1 PCT Health Improvement Manager for Chronic Disease, 1 PCT Director of Public Health, 1 Occupational Therapist Service Manager) and the Manager of the Medical Directorate of the local Health Care Trust were contacted. </w:t>
      </w:r>
    </w:p>
    <w:p w14:paraId="0D70157D" w14:textId="77777777" w:rsidR="00B90C6C" w:rsidRPr="00564F8C" w:rsidRDefault="00B90C6C" w:rsidP="00ED5C25">
      <w:pPr>
        <w:spacing w:line="360" w:lineRule="auto"/>
        <w:jc w:val="both"/>
        <w:rPr>
          <w:sz w:val="22"/>
          <w:szCs w:val="22"/>
        </w:rPr>
      </w:pPr>
      <w:r w:rsidRPr="00564F8C">
        <w:rPr>
          <w:sz w:val="22"/>
          <w:szCs w:val="22"/>
        </w:rPr>
        <w:t>In a second round, all of the data sets were used to identify specific potential safety vulnerabilities within the supported discharge programme.  Respondents were asked to rank each of these safety vulnerabilities in terms of risk to patients, using a visual analogue scale (0 = not a safety problem, 10 = significant safety challenge).  Additionally, respondents were asked for their ideas on how each of the safety risks could be resolved or their impact reduced.</w:t>
      </w:r>
    </w:p>
    <w:p w14:paraId="1FF522D8" w14:textId="77777777" w:rsidR="00B90C6C" w:rsidRPr="00564F8C" w:rsidRDefault="00B90C6C" w:rsidP="00ED5C25">
      <w:pPr>
        <w:spacing w:line="360" w:lineRule="auto"/>
        <w:jc w:val="both"/>
        <w:rPr>
          <w:sz w:val="22"/>
          <w:szCs w:val="22"/>
        </w:rPr>
      </w:pPr>
      <w:r w:rsidRPr="00564F8C">
        <w:rPr>
          <w:sz w:val="22"/>
          <w:szCs w:val="22"/>
        </w:rPr>
        <w:t xml:space="preserve">Finally, members from the chronic obstructive pulmonary disease team and the local Joint Care Planning Group (responsible for commissioning the chronic obstructive pulmonary </w:t>
      </w:r>
      <w:r w:rsidRPr="00564F8C">
        <w:rPr>
          <w:sz w:val="22"/>
          <w:szCs w:val="22"/>
        </w:rPr>
        <w:lastRenderedPageBreak/>
        <w:t xml:space="preserve">disease programme from the hospital) used a Failure Mode Effect Analysis [3] approach to discuss possible solutions for three of the most highly ranked safety problems, </w:t>
      </w:r>
    </w:p>
    <w:p w14:paraId="1A46886B" w14:textId="77777777" w:rsidR="00B90C6C" w:rsidRPr="00564F8C" w:rsidRDefault="00B90C6C" w:rsidP="00ED5C25">
      <w:pPr>
        <w:spacing w:line="360" w:lineRule="auto"/>
        <w:jc w:val="both"/>
        <w:rPr>
          <w:b/>
          <w:sz w:val="22"/>
          <w:szCs w:val="22"/>
        </w:rPr>
      </w:pPr>
      <w:r w:rsidRPr="00564F8C">
        <w:rPr>
          <w:b/>
          <w:sz w:val="22"/>
          <w:szCs w:val="22"/>
        </w:rPr>
        <w:t>Research governance</w:t>
      </w:r>
    </w:p>
    <w:p w14:paraId="1EEC4372" w14:textId="77777777" w:rsidR="00B90C6C" w:rsidRPr="00564F8C" w:rsidRDefault="00B90C6C" w:rsidP="00ED5C25">
      <w:pPr>
        <w:spacing w:line="360" w:lineRule="auto"/>
        <w:jc w:val="both"/>
        <w:rPr>
          <w:sz w:val="22"/>
          <w:szCs w:val="22"/>
        </w:rPr>
      </w:pPr>
      <w:r w:rsidRPr="00564F8C">
        <w:rPr>
          <w:sz w:val="22"/>
          <w:szCs w:val="22"/>
        </w:rPr>
        <w:t>The study was reviewed for research governance purposes by the Sheffield Health and Social Care Research Consortium and Sheffield Teaching Hospitals Trust.  Ethics review was undertaken by the North Sheffield Local Research Ethics Committee.</w:t>
      </w:r>
    </w:p>
    <w:p w14:paraId="68E42655" w14:textId="77777777" w:rsidR="00B90C6C" w:rsidRPr="00DB011F" w:rsidRDefault="00B90C6C" w:rsidP="00ED5C25">
      <w:pPr>
        <w:pStyle w:val="BodyText"/>
        <w:spacing w:line="360" w:lineRule="auto"/>
        <w:rPr>
          <w:b/>
        </w:rPr>
      </w:pPr>
      <w:r w:rsidRPr="00DB011F">
        <w:rPr>
          <w:b/>
        </w:rPr>
        <w:t xml:space="preserve">Results </w:t>
      </w:r>
    </w:p>
    <w:p w14:paraId="139F7462" w14:textId="77777777" w:rsidR="00B90C6C" w:rsidRPr="00564F8C" w:rsidRDefault="00B90C6C" w:rsidP="00ED5C25">
      <w:pPr>
        <w:spacing w:line="360" w:lineRule="auto"/>
        <w:jc w:val="both"/>
        <w:rPr>
          <w:sz w:val="22"/>
          <w:szCs w:val="22"/>
        </w:rPr>
      </w:pPr>
    </w:p>
    <w:p w14:paraId="67407D7C" w14:textId="77777777" w:rsidR="00B90C6C" w:rsidRPr="00564F8C" w:rsidRDefault="00B90C6C" w:rsidP="00ED5C25">
      <w:pPr>
        <w:pStyle w:val="Heading4"/>
        <w:spacing w:line="360" w:lineRule="auto"/>
        <w:rPr>
          <w:sz w:val="22"/>
          <w:szCs w:val="22"/>
        </w:rPr>
      </w:pPr>
      <w:r w:rsidRPr="00564F8C">
        <w:rPr>
          <w:sz w:val="22"/>
          <w:szCs w:val="22"/>
        </w:rPr>
        <w:t xml:space="preserve">Mapping the care process </w:t>
      </w:r>
    </w:p>
    <w:p w14:paraId="301AEC7E" w14:textId="77777777" w:rsidR="00B90C6C" w:rsidRPr="00564F8C" w:rsidRDefault="00B90C6C" w:rsidP="00ED5C25">
      <w:pPr>
        <w:spacing w:line="360" w:lineRule="auto"/>
        <w:jc w:val="both"/>
        <w:rPr>
          <w:sz w:val="22"/>
          <w:szCs w:val="22"/>
        </w:rPr>
      </w:pPr>
      <w:r w:rsidRPr="00564F8C">
        <w:rPr>
          <w:sz w:val="22"/>
          <w:szCs w:val="22"/>
        </w:rPr>
        <w:t xml:space="preserve">The final version of the pathway reflected a complex care process that was different between the two hospital sites within the health care Trust.  Although the quality and safety of care results focus mainly on the detail of the structured discharge process, this could only be understood in the context of the whole care pathway, including admission routes and transfers between units within the hospital sites (see Figure 2).  </w:t>
      </w:r>
    </w:p>
    <w:p w14:paraId="13EF6D93" w14:textId="77777777" w:rsidR="00B90C6C" w:rsidRPr="00564F8C" w:rsidRDefault="00B90C6C" w:rsidP="00ED5C25">
      <w:pPr>
        <w:spacing w:line="360" w:lineRule="auto"/>
        <w:rPr>
          <w:rFonts w:cs="Arial"/>
          <w:b/>
          <w:sz w:val="22"/>
          <w:szCs w:val="22"/>
        </w:rPr>
      </w:pPr>
      <w:r w:rsidRPr="00564F8C">
        <w:rPr>
          <w:rFonts w:cs="Arial"/>
          <w:b/>
          <w:sz w:val="22"/>
          <w:szCs w:val="22"/>
        </w:rPr>
        <w:t>Results from qualitative analysis of interview data</w:t>
      </w:r>
    </w:p>
    <w:p w14:paraId="634B6509" w14:textId="77777777" w:rsidR="00B90C6C" w:rsidRPr="00564F8C" w:rsidRDefault="00B90C6C" w:rsidP="00ED5C25">
      <w:pPr>
        <w:pStyle w:val="Footer"/>
        <w:tabs>
          <w:tab w:val="clear" w:pos="4153"/>
          <w:tab w:val="clear" w:pos="8306"/>
        </w:tabs>
        <w:spacing w:line="360" w:lineRule="auto"/>
        <w:jc w:val="both"/>
        <w:rPr>
          <w:rFonts w:ascii="Arial" w:hAnsi="Arial" w:cs="Arial"/>
          <w:b/>
          <w:sz w:val="22"/>
          <w:szCs w:val="22"/>
        </w:rPr>
      </w:pPr>
      <w:r w:rsidRPr="00564F8C">
        <w:rPr>
          <w:rFonts w:ascii="Arial" w:hAnsi="Arial" w:cs="Arial"/>
          <w:b/>
          <w:sz w:val="22"/>
          <w:szCs w:val="22"/>
        </w:rPr>
        <w:t xml:space="preserve">Quality of care: </w:t>
      </w:r>
      <w:r w:rsidRPr="00564F8C">
        <w:rPr>
          <w:rFonts w:ascii="Arial" w:hAnsi="Arial" w:cs="Arial"/>
          <w:sz w:val="22"/>
          <w:szCs w:val="22"/>
        </w:rPr>
        <w:t>Variation in organisation and clinical practice across hospital sites</w:t>
      </w:r>
    </w:p>
    <w:p w14:paraId="5E6FF2CB" w14:textId="77777777" w:rsidR="00B90C6C" w:rsidRPr="00564F8C" w:rsidRDefault="00B90C6C" w:rsidP="00ED5C25">
      <w:pPr>
        <w:pStyle w:val="BodyTextIndent2"/>
        <w:spacing w:line="360" w:lineRule="auto"/>
        <w:ind w:left="0"/>
        <w:jc w:val="both"/>
        <w:rPr>
          <w:rFonts w:ascii="Arial" w:hAnsi="Arial"/>
          <w:sz w:val="22"/>
          <w:szCs w:val="22"/>
        </w:rPr>
      </w:pPr>
      <w:r w:rsidRPr="00564F8C">
        <w:rPr>
          <w:rFonts w:ascii="Arial" w:hAnsi="Arial"/>
          <w:sz w:val="22"/>
          <w:szCs w:val="22"/>
        </w:rPr>
        <w:t xml:space="preserve">There was provision of a differential service between the two hospital sites that provided the supported discharge service.  Some COPD supported discharge services provided by one site were not provided by the other.  For example, one site had a service agreement with social services to provide a home care review within 48 hours of a request.  The other did not.  This variation resulted delayed admission to the supported discharge programme for one site. </w:t>
      </w:r>
    </w:p>
    <w:p w14:paraId="07C23E80" w14:textId="77777777" w:rsidR="00B90C6C" w:rsidRPr="00564F8C" w:rsidRDefault="00B90C6C" w:rsidP="00ED5C25">
      <w:pPr>
        <w:pStyle w:val="Footer"/>
        <w:tabs>
          <w:tab w:val="clear" w:pos="4153"/>
          <w:tab w:val="clear" w:pos="8306"/>
        </w:tabs>
        <w:spacing w:line="360" w:lineRule="auto"/>
        <w:rPr>
          <w:rFonts w:ascii="Arial" w:hAnsi="Arial" w:cs="Arial"/>
          <w:b/>
          <w:sz w:val="22"/>
          <w:szCs w:val="22"/>
        </w:rPr>
      </w:pPr>
      <w:r w:rsidRPr="00564F8C">
        <w:rPr>
          <w:rFonts w:ascii="Arial" w:hAnsi="Arial" w:cs="Arial"/>
          <w:b/>
          <w:sz w:val="22"/>
          <w:szCs w:val="22"/>
        </w:rPr>
        <w:t xml:space="preserve">Quality of care: </w:t>
      </w:r>
      <w:r w:rsidRPr="00564F8C">
        <w:rPr>
          <w:rFonts w:ascii="Arial" w:hAnsi="Arial" w:cs="Arial"/>
          <w:sz w:val="22"/>
          <w:szCs w:val="22"/>
        </w:rPr>
        <w:t>Patient satisfaction</w:t>
      </w:r>
    </w:p>
    <w:p w14:paraId="41E4656E" w14:textId="77777777" w:rsidR="00B90C6C" w:rsidRPr="00564F8C" w:rsidRDefault="00B90C6C" w:rsidP="00ED5C25">
      <w:pPr>
        <w:spacing w:line="360" w:lineRule="auto"/>
        <w:jc w:val="both"/>
        <w:rPr>
          <w:sz w:val="22"/>
          <w:szCs w:val="22"/>
        </w:rPr>
      </w:pPr>
      <w:r w:rsidRPr="00564F8C">
        <w:rPr>
          <w:sz w:val="22"/>
          <w:szCs w:val="22"/>
        </w:rPr>
        <w:t xml:space="preserve">Patients preferred to be cared for at home rather than at hospital (14/16) and they felt more confident in returning home with the knowledge that a nurse would visit them on a daily basis.  Communication between staff and patients was rated highly by most patients (14/16). One patient and family was upset over the way they perceived the supported care process had been handled in a recent short-term admission to hospital.   </w:t>
      </w:r>
    </w:p>
    <w:p w14:paraId="7213F7E3" w14:textId="77777777" w:rsidR="00B90C6C" w:rsidRPr="00564F8C" w:rsidRDefault="00B90C6C" w:rsidP="00ED5C25">
      <w:pPr>
        <w:spacing w:line="360" w:lineRule="auto"/>
        <w:jc w:val="both"/>
        <w:rPr>
          <w:b/>
          <w:sz w:val="22"/>
          <w:szCs w:val="22"/>
        </w:rPr>
      </w:pPr>
      <w:r w:rsidRPr="00564F8C">
        <w:rPr>
          <w:b/>
          <w:sz w:val="22"/>
          <w:szCs w:val="22"/>
        </w:rPr>
        <w:t xml:space="preserve">Patient safety: </w:t>
      </w:r>
      <w:r w:rsidRPr="00564F8C">
        <w:rPr>
          <w:i/>
          <w:sz w:val="22"/>
          <w:szCs w:val="22"/>
        </w:rPr>
        <w:t>Communication with other hospital teams</w:t>
      </w:r>
    </w:p>
    <w:p w14:paraId="0319B1E2" w14:textId="77777777" w:rsidR="00B90C6C" w:rsidRPr="00564F8C" w:rsidRDefault="00B90C6C" w:rsidP="00ED5C25">
      <w:pPr>
        <w:pStyle w:val="BodyText2"/>
        <w:spacing w:line="360" w:lineRule="auto"/>
        <w:jc w:val="both"/>
        <w:rPr>
          <w:rFonts w:ascii="Arial" w:hAnsi="Arial"/>
          <w:sz w:val="22"/>
          <w:szCs w:val="22"/>
        </w:rPr>
      </w:pPr>
      <w:r w:rsidRPr="00564F8C">
        <w:rPr>
          <w:rFonts w:ascii="Arial" w:hAnsi="Arial"/>
          <w:sz w:val="22"/>
          <w:szCs w:val="22"/>
        </w:rPr>
        <w:t xml:space="preserve">Under the supported discharge scheme, re-admission to hospital could be initiated by the respiratory nurse specialists or by the patient by telephoning the hospital bed bureau. The purpose of the bed bureau was to manage the flow of hospital admissions, ensuring that </w:t>
      </w:r>
      <w:r w:rsidRPr="00564F8C">
        <w:rPr>
          <w:rFonts w:ascii="Arial" w:hAnsi="Arial"/>
          <w:sz w:val="22"/>
          <w:szCs w:val="22"/>
        </w:rPr>
        <w:lastRenderedPageBreak/>
        <w:t xml:space="preserve">patients are admitted to the relevant hospital site. This method of re-admission was in addition to traditional re-admission routes via telephoning the emergency ambulance service or the patient’s General Practitioner. There was confusion about this re-admission process on various levels, particularly on the part of hospital staff who were not part of the supported discharge programme, for example in the acute admissions department, which sometimes resulted in delays in admission. On other occasions, failure by hospital teams to inform the COPD staff that a re-admission had taken place resulted in patients not being seen as quickly as intended and, in turn, extended the patient’s time in a hospital bed.  Patients had experience of failing to be re-admitted, having exercised their right to ask for re-admission via the hospital bed bureau.  Because bed bureau telephone lines were often engaged, nursing staff sometimes had difficulty in communicating with the bureau when attempting to arrange emergency admission from the community.  </w:t>
      </w:r>
    </w:p>
    <w:p w14:paraId="0BC9ECAB" w14:textId="77777777" w:rsidR="00B90C6C" w:rsidRPr="00564F8C" w:rsidRDefault="00B90C6C" w:rsidP="00ED5C25">
      <w:pPr>
        <w:spacing w:line="360" w:lineRule="auto"/>
        <w:jc w:val="both"/>
        <w:rPr>
          <w:i/>
          <w:sz w:val="22"/>
          <w:szCs w:val="22"/>
        </w:rPr>
      </w:pPr>
      <w:r w:rsidRPr="00564F8C">
        <w:rPr>
          <w:i/>
          <w:sz w:val="22"/>
          <w:szCs w:val="22"/>
        </w:rPr>
        <w:t xml:space="preserve">Patient safety: Communication between the </w:t>
      </w:r>
      <w:r w:rsidRPr="00564F8C">
        <w:rPr>
          <w:i/>
          <w:iCs/>
          <w:sz w:val="22"/>
          <w:szCs w:val="22"/>
        </w:rPr>
        <w:t xml:space="preserve">chronic obstructive pulmonary disease </w:t>
      </w:r>
      <w:r w:rsidRPr="00564F8C">
        <w:rPr>
          <w:i/>
          <w:sz w:val="22"/>
          <w:szCs w:val="22"/>
        </w:rPr>
        <w:t>team and primary care</w:t>
      </w:r>
    </w:p>
    <w:p w14:paraId="5C890D20" w14:textId="77777777" w:rsidR="00B90C6C" w:rsidRPr="00564F8C" w:rsidRDefault="00B90C6C" w:rsidP="00ED5C25">
      <w:pPr>
        <w:spacing w:line="360" w:lineRule="auto"/>
        <w:jc w:val="both"/>
        <w:rPr>
          <w:sz w:val="22"/>
          <w:szCs w:val="22"/>
        </w:rPr>
      </w:pPr>
      <w:r w:rsidRPr="00564F8C">
        <w:rPr>
          <w:sz w:val="22"/>
          <w:szCs w:val="22"/>
        </w:rPr>
        <w:t xml:space="preserve">For a variety of reasons, up to date information about discharged patients sometimes seemed not to reach relevant primary care staff.  Nursing staff rarely managed to speak to primary care staff. The COPD staff had to make contact via the practice receptionist using the same telephone line as patients. This telephone line was often busy and on most occasions the COPD staff could only leave a message as the health professional they wished to speak to was busy. Instead, the COPD staff regularly faxed and posted documentation to the practice. However, this did not always reach the relevant staff member. Some difficulties were structural. For instance, faxed copies of discharge summaries failed to reach primary care because, in some city general practices, fax machines were switched off on afternoons when the practices are closed. </w:t>
      </w:r>
    </w:p>
    <w:p w14:paraId="10C96D85" w14:textId="77777777" w:rsidR="00B90C6C" w:rsidRPr="00564F8C" w:rsidRDefault="00B90C6C" w:rsidP="00ED5C25">
      <w:pPr>
        <w:spacing w:line="360" w:lineRule="auto"/>
        <w:jc w:val="both"/>
        <w:rPr>
          <w:i/>
          <w:sz w:val="22"/>
          <w:szCs w:val="22"/>
        </w:rPr>
      </w:pPr>
      <w:r w:rsidRPr="00564F8C">
        <w:rPr>
          <w:i/>
          <w:sz w:val="22"/>
          <w:szCs w:val="22"/>
        </w:rPr>
        <w:t>Patient safety: Telephone communications</w:t>
      </w:r>
    </w:p>
    <w:p w14:paraId="1A7B36E6" w14:textId="77777777" w:rsidR="00B90C6C" w:rsidRPr="00564F8C" w:rsidRDefault="00B90C6C" w:rsidP="00ED5C25">
      <w:pPr>
        <w:spacing w:line="360" w:lineRule="auto"/>
        <w:jc w:val="both"/>
        <w:rPr>
          <w:sz w:val="22"/>
          <w:szCs w:val="22"/>
        </w:rPr>
      </w:pPr>
      <w:r w:rsidRPr="00564F8C">
        <w:rPr>
          <w:sz w:val="22"/>
          <w:szCs w:val="22"/>
        </w:rPr>
        <w:t xml:space="preserve">Technical difficulties in telephone communications occurred regularly between staff and between staff and patients.  The supported discharge programme staff spent over half of their time in the community and patients contact staff via mobile phone.   But hospital rules require that mobile phones are switched off when staff are on hospital premises so the usual route for patient to staff contact was not always available. </w:t>
      </w:r>
    </w:p>
    <w:p w14:paraId="03F5D626" w14:textId="77777777" w:rsidR="00B90C6C" w:rsidRPr="00564F8C" w:rsidRDefault="00B90C6C" w:rsidP="00ED5C25">
      <w:pPr>
        <w:spacing w:line="360" w:lineRule="auto"/>
        <w:jc w:val="both"/>
        <w:rPr>
          <w:sz w:val="22"/>
          <w:szCs w:val="22"/>
        </w:rPr>
      </w:pPr>
      <w:r w:rsidRPr="00564F8C">
        <w:rPr>
          <w:sz w:val="22"/>
          <w:szCs w:val="22"/>
        </w:rPr>
        <w:t xml:space="preserve">One of the criteria for selection of patients for the supported discharge programme was that there should be an outgoing call landline in the patient’s house so that a patient could call for assistance if their condition deteriorated.  But in practice the community staff came across a </w:t>
      </w:r>
      <w:r w:rsidRPr="00564F8C">
        <w:rPr>
          <w:sz w:val="22"/>
          <w:szCs w:val="22"/>
        </w:rPr>
        <w:lastRenderedPageBreak/>
        <w:t xml:space="preserve">variety of telephone difficulties, including land lines with no outgoing call facility,  no landline and mobile phones which were uncharged or without credit. </w:t>
      </w:r>
    </w:p>
    <w:p w14:paraId="092512F3" w14:textId="77777777" w:rsidR="00B90C6C" w:rsidRPr="00564F8C" w:rsidRDefault="00B90C6C" w:rsidP="00ED5C25">
      <w:pPr>
        <w:spacing w:line="360" w:lineRule="auto"/>
        <w:jc w:val="both"/>
        <w:rPr>
          <w:i/>
          <w:sz w:val="22"/>
          <w:szCs w:val="22"/>
        </w:rPr>
      </w:pPr>
      <w:r w:rsidRPr="00564F8C">
        <w:rPr>
          <w:i/>
          <w:sz w:val="22"/>
          <w:szCs w:val="22"/>
        </w:rPr>
        <w:t>Patient safety: Access to medical records</w:t>
      </w:r>
    </w:p>
    <w:p w14:paraId="6E54AF05" w14:textId="77777777" w:rsidR="00B90C6C" w:rsidRPr="00564F8C" w:rsidRDefault="00B90C6C" w:rsidP="00ED5C25">
      <w:pPr>
        <w:spacing w:line="360" w:lineRule="auto"/>
        <w:jc w:val="both"/>
        <w:rPr>
          <w:sz w:val="22"/>
          <w:szCs w:val="22"/>
        </w:rPr>
      </w:pPr>
      <w:r w:rsidRPr="00564F8C">
        <w:rPr>
          <w:sz w:val="22"/>
          <w:szCs w:val="22"/>
        </w:rPr>
        <w:t>A complex flow process for the paper-based patient records in the post-discharge period resulted in limited access to patient records when patients attend consultant/physician led hospital outpatient clinics. This was particularly a problem for one of the sites because the hospital records were stored on the other hospital site and administrative staff found it difficult to source the records for the clinic.  This led to records routinely not being sourced for the clinic because of the pressures it placed on staff time. Therefore it was not unusual for outpatient appointments to be held without patient records of the prior admission.</w:t>
      </w:r>
    </w:p>
    <w:p w14:paraId="41CB3C3E" w14:textId="77777777" w:rsidR="00B90C6C" w:rsidRPr="00564F8C" w:rsidRDefault="00B90C6C" w:rsidP="00ED5C25">
      <w:pPr>
        <w:spacing w:line="360" w:lineRule="auto"/>
        <w:jc w:val="both"/>
        <w:rPr>
          <w:b/>
          <w:sz w:val="22"/>
          <w:szCs w:val="22"/>
        </w:rPr>
      </w:pPr>
      <w:r w:rsidRPr="00564F8C">
        <w:rPr>
          <w:b/>
          <w:sz w:val="22"/>
          <w:szCs w:val="22"/>
        </w:rPr>
        <w:t>Results from the Delphi study</w:t>
      </w:r>
    </w:p>
    <w:p w14:paraId="2CD2DFE1" w14:textId="77777777" w:rsidR="00B90C6C" w:rsidRPr="00564F8C" w:rsidRDefault="00B90C6C" w:rsidP="00ED5C25">
      <w:pPr>
        <w:spacing w:line="360" w:lineRule="auto"/>
        <w:jc w:val="both"/>
        <w:rPr>
          <w:color w:val="000000"/>
          <w:sz w:val="22"/>
          <w:szCs w:val="22"/>
        </w:rPr>
      </w:pPr>
      <w:r w:rsidRPr="00564F8C">
        <w:rPr>
          <w:sz w:val="22"/>
          <w:szCs w:val="22"/>
        </w:rPr>
        <w:t xml:space="preserve">Twelve potential safety challenges were identified from the interviews and confirmed in the first round, with no additions.  In the second round these were ranked by eight NHS staff.  Descriptors and their relative rankings are displayed in Table 1.  </w:t>
      </w:r>
      <w:r w:rsidRPr="00564F8C">
        <w:rPr>
          <w:color w:val="000000"/>
          <w:sz w:val="22"/>
          <w:szCs w:val="22"/>
        </w:rPr>
        <w:t xml:space="preserve">Respondents offered their ideas on solutions for each of the 12 safety challenges. </w:t>
      </w:r>
    </w:p>
    <w:p w14:paraId="30E38DE9" w14:textId="77777777" w:rsidR="00B90C6C" w:rsidRPr="00564F8C" w:rsidRDefault="00B90C6C" w:rsidP="00ED5C25">
      <w:pPr>
        <w:pStyle w:val="Footer"/>
        <w:tabs>
          <w:tab w:val="clear" w:pos="4153"/>
          <w:tab w:val="clear" w:pos="8306"/>
        </w:tabs>
        <w:spacing w:line="360" w:lineRule="auto"/>
        <w:rPr>
          <w:rFonts w:ascii="Arial" w:hAnsi="Arial"/>
          <w:b/>
          <w:bCs/>
          <w:sz w:val="22"/>
          <w:szCs w:val="22"/>
        </w:rPr>
      </w:pPr>
      <w:r w:rsidRPr="00564F8C">
        <w:rPr>
          <w:rFonts w:ascii="Arial" w:hAnsi="Arial"/>
          <w:b/>
          <w:bCs/>
          <w:sz w:val="22"/>
          <w:szCs w:val="22"/>
        </w:rPr>
        <w:t>Failure Mode and Effect Analysis</w:t>
      </w:r>
    </w:p>
    <w:p w14:paraId="24C7EEF3" w14:textId="77777777" w:rsidR="00B90C6C" w:rsidRPr="00564F8C" w:rsidRDefault="00B90C6C" w:rsidP="00ED5C25">
      <w:pPr>
        <w:spacing w:line="360" w:lineRule="auto"/>
        <w:jc w:val="both"/>
        <w:rPr>
          <w:sz w:val="22"/>
          <w:szCs w:val="22"/>
        </w:rPr>
      </w:pPr>
      <w:r w:rsidRPr="00564F8C">
        <w:rPr>
          <w:sz w:val="22"/>
          <w:szCs w:val="22"/>
        </w:rPr>
        <w:t xml:space="preserve">Five senior NHS staff attended the final </w:t>
      </w:r>
      <w:r w:rsidRPr="00564F8C">
        <w:rPr>
          <w:bCs/>
          <w:sz w:val="22"/>
          <w:szCs w:val="22"/>
        </w:rPr>
        <w:t>Failure Mode and Effect Analysis</w:t>
      </w:r>
      <w:r w:rsidRPr="00564F8C">
        <w:rPr>
          <w:sz w:val="22"/>
          <w:szCs w:val="22"/>
        </w:rPr>
        <w:t xml:space="preserve"> meeting to discuss the results, choosing to seek solutions to safety problems 1, 2 and 3 combined (because they both related to primary care teams) and 5 (Table 1).  Participants did not review service problems during periods of sickness absence (problem 4) since this difficulty was thought to have been resolved.   </w:t>
      </w:r>
    </w:p>
    <w:p w14:paraId="2526A8CF" w14:textId="77777777" w:rsidR="00B90C6C" w:rsidRPr="00564F8C" w:rsidRDefault="00B90C6C" w:rsidP="00ED5C25">
      <w:pPr>
        <w:spacing w:line="360" w:lineRule="auto"/>
        <w:jc w:val="both"/>
        <w:rPr>
          <w:sz w:val="22"/>
          <w:szCs w:val="22"/>
        </w:rPr>
      </w:pPr>
      <w:r w:rsidRPr="00564F8C">
        <w:rPr>
          <w:sz w:val="22"/>
          <w:szCs w:val="22"/>
        </w:rPr>
        <w:t xml:space="preserve">However, pressure of time commitments on the NHS staff meant that they were not able to commit to the effort required for a formal </w:t>
      </w:r>
      <w:r w:rsidRPr="00564F8C">
        <w:rPr>
          <w:bCs/>
          <w:sz w:val="22"/>
          <w:szCs w:val="22"/>
        </w:rPr>
        <w:t>Failure Mode and Effect Analysis</w:t>
      </w:r>
      <w:r w:rsidRPr="00564F8C">
        <w:rPr>
          <w:sz w:val="22"/>
          <w:szCs w:val="22"/>
        </w:rPr>
        <w:t xml:space="preserve"> and all that could be achieved was a structured discussion of the safety challenges and recording of proposed solutions.</w:t>
      </w:r>
    </w:p>
    <w:p w14:paraId="5726E072" w14:textId="77777777" w:rsidR="006C44E9" w:rsidRDefault="006C44E9" w:rsidP="00ED5C25">
      <w:pPr>
        <w:pStyle w:val="BodyText"/>
        <w:spacing w:line="360" w:lineRule="auto"/>
        <w:rPr>
          <w:b/>
        </w:rPr>
      </w:pPr>
    </w:p>
    <w:p w14:paraId="097D47B0" w14:textId="77777777" w:rsidR="00B90C6C" w:rsidRPr="00DB011F" w:rsidRDefault="00B90C6C" w:rsidP="00ED5C25">
      <w:pPr>
        <w:pStyle w:val="BodyText"/>
        <w:spacing w:line="360" w:lineRule="auto"/>
        <w:rPr>
          <w:b/>
        </w:rPr>
      </w:pPr>
      <w:r w:rsidRPr="00DB011F">
        <w:rPr>
          <w:b/>
        </w:rPr>
        <w:t xml:space="preserve">Discussion </w:t>
      </w:r>
    </w:p>
    <w:p w14:paraId="2633EF59" w14:textId="77777777" w:rsidR="00B90C6C" w:rsidRPr="00564F8C" w:rsidRDefault="00B90C6C" w:rsidP="00ED5C25">
      <w:pPr>
        <w:spacing w:line="360" w:lineRule="auto"/>
        <w:rPr>
          <w:sz w:val="22"/>
          <w:szCs w:val="22"/>
        </w:rPr>
      </w:pPr>
    </w:p>
    <w:p w14:paraId="3171FCF4" w14:textId="77777777" w:rsidR="00B90C6C" w:rsidRPr="00564F8C" w:rsidRDefault="00B90C6C" w:rsidP="00ED5C25">
      <w:pPr>
        <w:pStyle w:val="BodyText2"/>
        <w:spacing w:line="360" w:lineRule="auto"/>
        <w:jc w:val="both"/>
        <w:rPr>
          <w:rFonts w:ascii="Arial" w:hAnsi="Arial"/>
          <w:sz w:val="22"/>
          <w:szCs w:val="22"/>
        </w:rPr>
      </w:pPr>
      <w:r w:rsidRPr="00564F8C">
        <w:rPr>
          <w:rFonts w:ascii="Arial" w:hAnsi="Arial"/>
          <w:sz w:val="22"/>
          <w:szCs w:val="22"/>
        </w:rPr>
        <w:t xml:space="preserve">The study has demonstrated the feasibility of using mixed methods to review the quality and safety of care provided through a care pathway.  For much of the time the reviewed care pathway worked reasonably well and safely and on the whole the 16 interviewed patients were satisfied with the supported discharge process and the care they received. </w:t>
      </w:r>
    </w:p>
    <w:p w14:paraId="7D01EB63" w14:textId="77777777" w:rsidR="00B90C6C" w:rsidRPr="00564F8C" w:rsidRDefault="00B90C6C" w:rsidP="00ED5C25">
      <w:pPr>
        <w:spacing w:line="360" w:lineRule="auto"/>
        <w:jc w:val="both"/>
        <w:rPr>
          <w:sz w:val="22"/>
          <w:szCs w:val="22"/>
        </w:rPr>
      </w:pPr>
      <w:r w:rsidRPr="00564F8C">
        <w:rPr>
          <w:sz w:val="22"/>
          <w:szCs w:val="22"/>
        </w:rPr>
        <w:lastRenderedPageBreak/>
        <w:t>Nevertheless the results also highlighted aspects of health care organisation where patients were potentially vulnerable to poor quality or unsafe care.  Most health care systems contain latent safety risks, in which embedded organisational factors and local workplace factors can conspire to breach the defences of the system. [7] [25].  Since it is still uncommon for care pathways to be re-designed with specific attention to patient safety, including carrying out some form of prospective hazard analysis, it is not surprising that a number of safety vulnerabilities were found.</w:t>
      </w:r>
    </w:p>
    <w:p w14:paraId="4DB0317F" w14:textId="77777777" w:rsidR="00B90C6C" w:rsidRPr="00564F8C" w:rsidRDefault="00B90C6C" w:rsidP="00ED5C25">
      <w:pPr>
        <w:spacing w:line="360" w:lineRule="auto"/>
        <w:jc w:val="both"/>
        <w:rPr>
          <w:sz w:val="22"/>
          <w:szCs w:val="22"/>
        </w:rPr>
      </w:pPr>
      <w:r w:rsidRPr="00564F8C">
        <w:rPr>
          <w:sz w:val="22"/>
          <w:szCs w:val="22"/>
        </w:rPr>
        <w:t>Some vulnerabilities were organisational and were exacerbated by the changing dynamics of the health care system, such as the recent merger of two hospitals.  But such system weaknesses require a range of organisational developments to improve the service, many of which were outside the direct area of influence of the COPD team.   These included achieving agreement with admission teams and the bed bureau over how the structured programme facilities for emergency admission might work.  A particular problem seemed to be a failure to keep informed those who were still in medical staff in training positions (and who had short term appointments) about the admission processes of the supported discharge programme.</w:t>
      </w:r>
    </w:p>
    <w:p w14:paraId="7B67AAC7" w14:textId="77777777" w:rsidR="00B90C6C" w:rsidRPr="00564F8C" w:rsidRDefault="00B90C6C" w:rsidP="00ED5C25">
      <w:pPr>
        <w:spacing w:line="360" w:lineRule="auto"/>
        <w:jc w:val="both"/>
        <w:rPr>
          <w:sz w:val="22"/>
          <w:szCs w:val="22"/>
        </w:rPr>
      </w:pPr>
      <w:r w:rsidRPr="00564F8C">
        <w:rPr>
          <w:sz w:val="22"/>
          <w:szCs w:val="22"/>
        </w:rPr>
        <w:t>The challenge of accessing paper based medical records for some of the follow-up clinics, and the eventual resigned acceptance of the status quo after failed attempts to rectify the problem, is an example of what Dekker [14] refers to as ‘deviations from the routine becoming the routine’.  Electronic records may be the solution here but, in the short term, local workplace initiatives are required to improve the safety of care provided.  These changes did not seem to be within the influence of the chronic obstructive pulmonary disease team – this is a hospital level problem.</w:t>
      </w:r>
    </w:p>
    <w:p w14:paraId="530F85BC" w14:textId="77777777" w:rsidR="00B90C6C" w:rsidRPr="00564F8C" w:rsidRDefault="00B90C6C" w:rsidP="00ED5C25">
      <w:pPr>
        <w:pStyle w:val="BodyText2"/>
        <w:spacing w:line="360" w:lineRule="auto"/>
        <w:jc w:val="both"/>
        <w:rPr>
          <w:rFonts w:ascii="Arial" w:hAnsi="Arial"/>
          <w:sz w:val="22"/>
          <w:szCs w:val="22"/>
        </w:rPr>
      </w:pPr>
      <w:r w:rsidRPr="00564F8C">
        <w:rPr>
          <w:rFonts w:ascii="Arial" w:hAnsi="Arial"/>
          <w:sz w:val="22"/>
          <w:szCs w:val="22"/>
        </w:rPr>
        <w:t xml:space="preserve">Even telephone communications between staff and patients and patients and the hospital had unforeseen problems that were difficult to deal with.  Having an outgoing call landline was a criterion for selection for the supported discharge programme – some patients evidently slip through this selection criterion.  Despite the fact that the communication problems were well known to the nursing staff, nothing had been done to tighten the patient selection criteria for the supported discharge programme.  </w:t>
      </w:r>
    </w:p>
    <w:p w14:paraId="158A5770" w14:textId="77777777" w:rsidR="00B90C6C" w:rsidRPr="00564F8C" w:rsidRDefault="00B90C6C" w:rsidP="00ED5C25">
      <w:pPr>
        <w:spacing w:line="360" w:lineRule="auto"/>
        <w:jc w:val="both"/>
        <w:rPr>
          <w:sz w:val="22"/>
          <w:szCs w:val="22"/>
        </w:rPr>
      </w:pPr>
      <w:r w:rsidRPr="00564F8C">
        <w:rPr>
          <w:sz w:val="22"/>
          <w:szCs w:val="22"/>
        </w:rPr>
        <w:t xml:space="preserve">There are methodological limitations to this study.  It was undertaken in two sites (within one hospital Trust) so the findings may not be generalisable. However, the feasibility of methods may well be, even though it was sometimes difficult to keep all parties engaged in the research throughout the study period. It had been intended to undertake a prospective Health Care Failure Mode and Effect Analysis [3] as the final stage but this was not possible </w:t>
      </w:r>
      <w:r w:rsidRPr="00564F8C">
        <w:rPr>
          <w:sz w:val="22"/>
          <w:szCs w:val="22"/>
        </w:rPr>
        <w:lastRenderedPageBreak/>
        <w:t xml:space="preserve">as a number of staff were unable to attend the meeting.  The nature of health care meant that some contributors had to cancel on the day of the meeting.  </w:t>
      </w:r>
    </w:p>
    <w:p w14:paraId="77492ADE" w14:textId="77777777" w:rsidR="00DB011F" w:rsidRDefault="00DB011F" w:rsidP="00ED5C25">
      <w:pPr>
        <w:pStyle w:val="BodyText"/>
        <w:spacing w:line="360" w:lineRule="auto"/>
        <w:rPr>
          <w:b/>
        </w:rPr>
      </w:pPr>
    </w:p>
    <w:p w14:paraId="4CFE75EB" w14:textId="77777777" w:rsidR="00B90C6C" w:rsidRPr="00DB011F" w:rsidRDefault="00B90C6C" w:rsidP="00ED5C25">
      <w:pPr>
        <w:pStyle w:val="BodyText"/>
        <w:spacing w:line="360" w:lineRule="auto"/>
        <w:rPr>
          <w:b/>
        </w:rPr>
      </w:pPr>
      <w:r w:rsidRPr="00DB011F">
        <w:rPr>
          <w:b/>
        </w:rPr>
        <w:t xml:space="preserve">Conclusions </w:t>
      </w:r>
    </w:p>
    <w:p w14:paraId="58FE882B" w14:textId="77777777" w:rsidR="00B90C6C" w:rsidRPr="00564F8C" w:rsidRDefault="00B90C6C" w:rsidP="00ED5C25">
      <w:pPr>
        <w:pStyle w:val="Footer"/>
        <w:tabs>
          <w:tab w:val="clear" w:pos="4153"/>
          <w:tab w:val="clear" w:pos="8306"/>
        </w:tabs>
        <w:spacing w:line="360" w:lineRule="auto"/>
        <w:jc w:val="both"/>
        <w:rPr>
          <w:rFonts w:ascii="Arial" w:hAnsi="Arial"/>
          <w:sz w:val="22"/>
          <w:szCs w:val="22"/>
        </w:rPr>
      </w:pPr>
    </w:p>
    <w:p w14:paraId="37BAC49F" w14:textId="77777777" w:rsidR="00B90C6C" w:rsidRPr="00564F8C" w:rsidRDefault="00B90C6C" w:rsidP="00ED5C25">
      <w:pPr>
        <w:pStyle w:val="Footer"/>
        <w:tabs>
          <w:tab w:val="clear" w:pos="4153"/>
          <w:tab w:val="clear" w:pos="8306"/>
        </w:tabs>
        <w:spacing w:line="360" w:lineRule="auto"/>
        <w:jc w:val="both"/>
        <w:rPr>
          <w:rFonts w:ascii="Arial" w:hAnsi="Arial"/>
          <w:sz w:val="22"/>
          <w:szCs w:val="22"/>
        </w:rPr>
      </w:pPr>
      <w:r w:rsidRPr="00564F8C">
        <w:rPr>
          <w:rFonts w:ascii="Arial" w:hAnsi="Arial"/>
          <w:sz w:val="22"/>
          <w:szCs w:val="22"/>
        </w:rPr>
        <w:t>By triangulating</w:t>
      </w:r>
      <w:r w:rsidRPr="00564F8C">
        <w:rPr>
          <w:rFonts w:ascii="Arial" w:hAnsi="Arial"/>
          <w:b/>
          <w:sz w:val="22"/>
          <w:szCs w:val="22"/>
        </w:rPr>
        <w:t xml:space="preserve"> </w:t>
      </w:r>
      <w:r w:rsidRPr="00564F8C">
        <w:rPr>
          <w:rFonts w:ascii="Arial" w:hAnsi="Arial"/>
          <w:sz w:val="22"/>
          <w:szCs w:val="22"/>
        </w:rPr>
        <w:t xml:space="preserve">information from a detailed mapping of the care pathway, from views and from concerns of users, and by ranking problems by potential severity of impact on care quality and patient safety, </w:t>
      </w:r>
      <w:r w:rsidRPr="00564F8C">
        <w:rPr>
          <w:rFonts w:ascii="Arial" w:hAnsi="Arial" w:cs="Arial"/>
          <w:sz w:val="22"/>
          <w:szCs w:val="22"/>
        </w:rPr>
        <w:t xml:space="preserve">it was possible to get a clear picture of service quality variations in the </w:t>
      </w:r>
      <w:r w:rsidRPr="00564F8C">
        <w:rPr>
          <w:rFonts w:ascii="Arial" w:hAnsi="Arial"/>
          <w:sz w:val="22"/>
          <w:szCs w:val="22"/>
        </w:rPr>
        <w:t>supported discharge programme</w:t>
      </w:r>
      <w:r w:rsidRPr="00564F8C">
        <w:rPr>
          <w:rFonts w:ascii="Arial" w:hAnsi="Arial" w:cs="Arial"/>
          <w:sz w:val="22"/>
          <w:szCs w:val="22"/>
        </w:rPr>
        <w:t>. It was also possible to demonstrate which points in the care pathway had real potential for patient safety incidents or system failures to occur</w:t>
      </w:r>
      <w:r w:rsidRPr="00564F8C">
        <w:rPr>
          <w:rFonts w:ascii="Arial" w:hAnsi="Arial"/>
          <w:sz w:val="22"/>
          <w:szCs w:val="22"/>
        </w:rPr>
        <w:t xml:space="preserve">.  Most of the variations in quality of care and care organisation resulted from system deficits and some required coordinated effort to achieve improvements. </w:t>
      </w:r>
    </w:p>
    <w:p w14:paraId="1315C9ED" w14:textId="77777777" w:rsidR="00B90C6C" w:rsidRPr="00564F8C" w:rsidRDefault="00B90C6C" w:rsidP="00ED5C25">
      <w:pPr>
        <w:pStyle w:val="Footer"/>
        <w:tabs>
          <w:tab w:val="clear" w:pos="4153"/>
          <w:tab w:val="clear" w:pos="8306"/>
        </w:tabs>
        <w:spacing w:line="360" w:lineRule="auto"/>
        <w:jc w:val="both"/>
        <w:rPr>
          <w:rFonts w:ascii="Arial" w:hAnsi="Arial"/>
          <w:sz w:val="22"/>
          <w:szCs w:val="22"/>
        </w:rPr>
      </w:pPr>
    </w:p>
    <w:p w14:paraId="45F04B7C" w14:textId="77777777" w:rsidR="00B90C6C" w:rsidRPr="00564F8C" w:rsidRDefault="00B90C6C" w:rsidP="00ED5C25">
      <w:pPr>
        <w:pStyle w:val="Footer"/>
        <w:tabs>
          <w:tab w:val="clear" w:pos="4153"/>
          <w:tab w:val="clear" w:pos="8306"/>
        </w:tabs>
        <w:spacing w:line="360" w:lineRule="auto"/>
        <w:jc w:val="both"/>
        <w:rPr>
          <w:rFonts w:ascii="Arial" w:hAnsi="Arial"/>
          <w:sz w:val="22"/>
          <w:szCs w:val="22"/>
        </w:rPr>
      </w:pPr>
      <w:r w:rsidRPr="00564F8C">
        <w:rPr>
          <w:rFonts w:ascii="Arial" w:hAnsi="Arial"/>
          <w:sz w:val="22"/>
          <w:szCs w:val="22"/>
        </w:rPr>
        <w:t>Safety can be defined in more ways than mortality and admission rates and this study demonstrates how much of the potential for safety incidents at the individual level is embedded in the design and the actuality of the care pathway and its processes.   Taking into account the reality of finding time in the lives of busy healthcare professionals, whose first response is to immediate healthcare pressures, the use of other methods of gathering information about prospective hazards, such as interviews of patients and staff and the use of Delphi methods to capture additional data, may be a more successful alternative to a full-scale, formal prospective hazard analysis.</w:t>
      </w:r>
    </w:p>
    <w:p w14:paraId="2E8CAB57" w14:textId="77777777" w:rsidR="00B90C6C" w:rsidRPr="00564F8C" w:rsidRDefault="00B90C6C" w:rsidP="00ED5C25">
      <w:pPr>
        <w:spacing w:line="360" w:lineRule="auto"/>
        <w:rPr>
          <w:sz w:val="22"/>
          <w:szCs w:val="22"/>
        </w:rPr>
      </w:pPr>
    </w:p>
    <w:p w14:paraId="6595F388" w14:textId="77777777" w:rsidR="00B90C6C" w:rsidRPr="00B25214" w:rsidRDefault="00B90C6C" w:rsidP="00B25214">
      <w:pPr>
        <w:rPr>
          <w:b/>
        </w:rPr>
      </w:pPr>
      <w:r w:rsidRPr="00B25214">
        <w:rPr>
          <w:b/>
        </w:rPr>
        <w:t>Competing interests</w:t>
      </w:r>
    </w:p>
    <w:p w14:paraId="44AC9AD2" w14:textId="77777777" w:rsidR="00B90C6C" w:rsidRPr="00564F8C" w:rsidRDefault="00B90C6C" w:rsidP="00ED5C25">
      <w:pPr>
        <w:spacing w:line="360" w:lineRule="auto"/>
        <w:jc w:val="both"/>
        <w:rPr>
          <w:sz w:val="22"/>
          <w:szCs w:val="22"/>
        </w:rPr>
      </w:pPr>
      <w:r w:rsidRPr="00564F8C">
        <w:rPr>
          <w:sz w:val="22"/>
          <w:szCs w:val="22"/>
        </w:rPr>
        <w:t>RL is one of the clinicians providing the supported discharge service.</w:t>
      </w:r>
    </w:p>
    <w:p w14:paraId="2CBC5224" w14:textId="77777777" w:rsidR="00B90C6C" w:rsidRPr="00B25214" w:rsidRDefault="00B90C6C" w:rsidP="00B25214">
      <w:pPr>
        <w:rPr>
          <w:b/>
        </w:rPr>
      </w:pPr>
      <w:r w:rsidRPr="00B25214">
        <w:rPr>
          <w:b/>
        </w:rPr>
        <w:t>Authors' contributions</w:t>
      </w:r>
    </w:p>
    <w:p w14:paraId="4FA7FF7A" w14:textId="77777777" w:rsidR="00B90C6C" w:rsidRPr="00564F8C" w:rsidRDefault="00B90C6C" w:rsidP="00ED5C25">
      <w:pPr>
        <w:spacing w:line="360" w:lineRule="auto"/>
        <w:jc w:val="both"/>
        <w:rPr>
          <w:rFonts w:cs="Arial"/>
          <w:sz w:val="22"/>
          <w:szCs w:val="22"/>
        </w:rPr>
      </w:pPr>
    </w:p>
    <w:p w14:paraId="7B00C156" w14:textId="77777777" w:rsidR="00B90C6C" w:rsidRPr="00564F8C" w:rsidRDefault="00B90C6C" w:rsidP="00ED5C25">
      <w:pPr>
        <w:spacing w:line="360" w:lineRule="auto"/>
        <w:jc w:val="both"/>
        <w:rPr>
          <w:rFonts w:cs="Arial"/>
          <w:sz w:val="22"/>
          <w:szCs w:val="22"/>
        </w:rPr>
      </w:pPr>
      <w:r w:rsidRPr="00564F8C">
        <w:rPr>
          <w:rFonts w:cs="Arial"/>
          <w:sz w:val="22"/>
          <w:szCs w:val="22"/>
        </w:rPr>
        <w:t xml:space="preserve">AH conceived of the study, </w:t>
      </w:r>
      <w:r w:rsidRPr="00564F8C">
        <w:rPr>
          <w:sz w:val="22"/>
          <w:szCs w:val="22"/>
        </w:rPr>
        <w:t xml:space="preserve">obtained funding, oversaw the running of the study, analysed data </w:t>
      </w:r>
      <w:r w:rsidRPr="00564F8C">
        <w:rPr>
          <w:rFonts w:cs="Arial"/>
          <w:sz w:val="22"/>
          <w:szCs w:val="22"/>
        </w:rPr>
        <w:t xml:space="preserve">and contributed to the development of the care pathway and the writing of the manuscript. JED obtained ethics approval, developed data collection materials conducted fieldwork, analysed data and contributed to the development of the care pathway and the writing of the manuscript. KHE contributed to the literature searches, development of the care pathway, development of interview schedules and the writing of the manuscript. RL was </w:t>
      </w:r>
      <w:r w:rsidRPr="00564F8C">
        <w:rPr>
          <w:rFonts w:cs="Arial"/>
          <w:sz w:val="22"/>
          <w:szCs w:val="22"/>
        </w:rPr>
        <w:lastRenderedPageBreak/>
        <w:t>involved in the conception of the project, project meetings, data collection and contributed to the development of the care pathway and the writing of the manuscript.</w:t>
      </w:r>
    </w:p>
    <w:p w14:paraId="6705EE29" w14:textId="77777777" w:rsidR="00B90C6C" w:rsidRPr="00B25214" w:rsidRDefault="00B90C6C" w:rsidP="00B25214">
      <w:pPr>
        <w:rPr>
          <w:b/>
        </w:rPr>
      </w:pPr>
      <w:r w:rsidRPr="00B25214">
        <w:rPr>
          <w:b/>
        </w:rPr>
        <w:t xml:space="preserve">Acknowledgements </w:t>
      </w:r>
    </w:p>
    <w:p w14:paraId="698E86B7" w14:textId="77777777" w:rsidR="00B90C6C" w:rsidRPr="00564F8C" w:rsidRDefault="00B90C6C" w:rsidP="00ED5C25">
      <w:pPr>
        <w:spacing w:line="360" w:lineRule="auto"/>
        <w:rPr>
          <w:sz w:val="22"/>
          <w:szCs w:val="22"/>
        </w:rPr>
      </w:pPr>
    </w:p>
    <w:p w14:paraId="1BD302EF" w14:textId="77777777" w:rsidR="00B90C6C" w:rsidRPr="00564F8C" w:rsidRDefault="00B90C6C" w:rsidP="00ED5C25">
      <w:pPr>
        <w:spacing w:line="360" w:lineRule="auto"/>
        <w:rPr>
          <w:rFonts w:cs="Arial"/>
          <w:sz w:val="22"/>
          <w:szCs w:val="22"/>
        </w:rPr>
      </w:pPr>
      <w:r w:rsidRPr="00564F8C">
        <w:rPr>
          <w:rFonts w:cs="Arial"/>
          <w:sz w:val="22"/>
          <w:szCs w:val="22"/>
        </w:rPr>
        <w:t xml:space="preserve">We would like to acknowledge all staff involved in the delivery and organisation of care for patients in the Sheffield COPD supported discharge programme. </w:t>
      </w:r>
    </w:p>
    <w:p w14:paraId="0924463F" w14:textId="77777777" w:rsidR="00B90C6C" w:rsidRPr="00564F8C" w:rsidRDefault="00B90C6C" w:rsidP="00ED5C25">
      <w:pPr>
        <w:spacing w:line="360" w:lineRule="auto"/>
        <w:rPr>
          <w:rFonts w:cs="Arial"/>
          <w:sz w:val="22"/>
          <w:szCs w:val="22"/>
        </w:rPr>
      </w:pPr>
      <w:r w:rsidRPr="00564F8C">
        <w:rPr>
          <w:rFonts w:cs="Arial"/>
          <w:sz w:val="22"/>
          <w:szCs w:val="22"/>
        </w:rPr>
        <w:t>Partial funding was provided by Sheffield Health and Social Care Research Consortium</w:t>
      </w:r>
    </w:p>
    <w:p w14:paraId="4FA793EF" w14:textId="77777777" w:rsidR="00564F8C" w:rsidRDefault="00564F8C" w:rsidP="00B90C6C">
      <w:pPr>
        <w:pStyle w:val="Heading1"/>
        <w:rPr>
          <w:b/>
          <w:sz w:val="22"/>
          <w:szCs w:val="22"/>
        </w:rPr>
      </w:pPr>
    </w:p>
    <w:p w14:paraId="6AE328BD" w14:textId="77777777" w:rsidR="00B90C6C" w:rsidRPr="00B25214" w:rsidRDefault="00B90C6C" w:rsidP="00B25214">
      <w:pPr>
        <w:rPr>
          <w:b/>
        </w:rPr>
      </w:pPr>
      <w:r w:rsidRPr="00B25214">
        <w:rPr>
          <w:b/>
        </w:rPr>
        <w:t>References</w:t>
      </w:r>
    </w:p>
    <w:p w14:paraId="279ED099" w14:textId="77777777" w:rsidR="00564F8C" w:rsidRPr="00564F8C" w:rsidRDefault="00564F8C" w:rsidP="00564F8C"/>
    <w:p w14:paraId="12B553D4" w14:textId="77777777" w:rsidR="00B90C6C" w:rsidRPr="00564F8C" w:rsidRDefault="00B90C6C" w:rsidP="00ED5C25">
      <w:pPr>
        <w:spacing w:line="360" w:lineRule="auto"/>
        <w:jc w:val="both"/>
        <w:rPr>
          <w:color w:val="000000"/>
          <w:sz w:val="22"/>
          <w:szCs w:val="22"/>
        </w:rPr>
      </w:pPr>
      <w:r w:rsidRPr="00564F8C">
        <w:rPr>
          <w:color w:val="000000"/>
          <w:sz w:val="22"/>
          <w:szCs w:val="22"/>
        </w:rPr>
        <w:t xml:space="preserve">1. Kirwan B. </w:t>
      </w:r>
      <w:r w:rsidRPr="00564F8C">
        <w:rPr>
          <w:b/>
          <w:color w:val="000000"/>
          <w:sz w:val="22"/>
          <w:szCs w:val="22"/>
        </w:rPr>
        <w:t xml:space="preserve"> </w:t>
      </w:r>
      <w:r w:rsidRPr="00564F8C">
        <w:rPr>
          <w:color w:val="000000"/>
          <w:sz w:val="22"/>
          <w:szCs w:val="22"/>
        </w:rPr>
        <w:t>Human error identification in human reliability assessment.  Part 2: Detailed comparison of techniques.  Applied ergonomics 1992;</w:t>
      </w:r>
      <w:r w:rsidRPr="00564F8C">
        <w:rPr>
          <w:bCs/>
          <w:color w:val="000000"/>
          <w:sz w:val="22"/>
          <w:szCs w:val="22"/>
        </w:rPr>
        <w:t>23</w:t>
      </w:r>
      <w:r w:rsidRPr="00564F8C">
        <w:rPr>
          <w:color w:val="000000"/>
          <w:sz w:val="22"/>
          <w:szCs w:val="22"/>
        </w:rPr>
        <w:t>; 371-381</w:t>
      </w:r>
    </w:p>
    <w:p w14:paraId="515DA21D" w14:textId="77777777" w:rsidR="00B90C6C" w:rsidRPr="00564F8C" w:rsidRDefault="00B90C6C" w:rsidP="00ED5C25">
      <w:pPr>
        <w:spacing w:line="360" w:lineRule="auto"/>
        <w:jc w:val="both"/>
        <w:rPr>
          <w:color w:val="000000"/>
          <w:sz w:val="22"/>
          <w:szCs w:val="22"/>
        </w:rPr>
      </w:pPr>
      <w:r w:rsidRPr="00564F8C">
        <w:rPr>
          <w:sz w:val="22"/>
          <w:szCs w:val="22"/>
        </w:rPr>
        <w:t xml:space="preserve">2. McDonagh JE, Solomon R, Petosa L.  Qualitative improvement and prospective hazard analysis models: deciphering a new Tower of Babel </w:t>
      </w:r>
      <w:r w:rsidRPr="00564F8C">
        <w:rPr>
          <w:sz w:val="22"/>
          <w:szCs w:val="22"/>
          <w:u w:val="single"/>
        </w:rPr>
        <w:t>in</w:t>
      </w:r>
      <w:r w:rsidRPr="00564F8C">
        <w:rPr>
          <w:sz w:val="22"/>
          <w:szCs w:val="22"/>
        </w:rPr>
        <w:t xml:space="preserve"> </w:t>
      </w:r>
      <w:r w:rsidRPr="00564F8C">
        <w:rPr>
          <w:i/>
          <w:sz w:val="22"/>
          <w:szCs w:val="22"/>
        </w:rPr>
        <w:t>Patient Safety,</w:t>
      </w:r>
      <w:r w:rsidRPr="00564F8C">
        <w:rPr>
          <w:sz w:val="22"/>
          <w:szCs w:val="22"/>
        </w:rPr>
        <w:t xml:space="preserve"> The National Academies Press, 2004 </w:t>
      </w:r>
    </w:p>
    <w:p w14:paraId="102111EC" w14:textId="77777777" w:rsidR="00B90C6C" w:rsidRPr="00564F8C" w:rsidRDefault="00B90C6C" w:rsidP="00ED5C25">
      <w:pPr>
        <w:spacing w:line="360" w:lineRule="auto"/>
        <w:jc w:val="both"/>
        <w:rPr>
          <w:color w:val="000000"/>
          <w:sz w:val="22"/>
          <w:szCs w:val="22"/>
        </w:rPr>
      </w:pPr>
      <w:r w:rsidRPr="00564F8C">
        <w:rPr>
          <w:color w:val="000000"/>
          <w:sz w:val="22"/>
          <w:szCs w:val="22"/>
        </w:rPr>
        <w:t xml:space="preserve">3. DeRosier J, Stalhandske E, Bagian J, Nudell T. </w:t>
      </w:r>
      <w:r w:rsidRPr="00564F8C">
        <w:rPr>
          <w:b/>
          <w:color w:val="000000"/>
          <w:sz w:val="22"/>
          <w:szCs w:val="22"/>
        </w:rPr>
        <w:t xml:space="preserve"> </w:t>
      </w:r>
      <w:r w:rsidRPr="00564F8C">
        <w:rPr>
          <w:color w:val="000000"/>
          <w:sz w:val="22"/>
          <w:szCs w:val="22"/>
        </w:rPr>
        <w:t xml:space="preserve">Using health care failure mode effect analysis.  </w:t>
      </w:r>
      <w:r w:rsidRPr="00564F8C">
        <w:rPr>
          <w:i/>
          <w:color w:val="000000"/>
          <w:sz w:val="22"/>
          <w:szCs w:val="22"/>
        </w:rPr>
        <w:t>J Qual Improvement</w:t>
      </w:r>
      <w:r w:rsidRPr="00564F8C">
        <w:rPr>
          <w:color w:val="000000"/>
          <w:sz w:val="22"/>
          <w:szCs w:val="22"/>
        </w:rPr>
        <w:t xml:space="preserve"> 2002 ;</w:t>
      </w:r>
      <w:r w:rsidRPr="00564F8C">
        <w:rPr>
          <w:bCs/>
          <w:color w:val="000000"/>
          <w:sz w:val="22"/>
          <w:szCs w:val="22"/>
        </w:rPr>
        <w:t>28</w:t>
      </w:r>
      <w:r w:rsidRPr="00564F8C">
        <w:rPr>
          <w:color w:val="000000"/>
          <w:sz w:val="22"/>
          <w:szCs w:val="22"/>
        </w:rPr>
        <w:t>: 248-267</w:t>
      </w:r>
    </w:p>
    <w:p w14:paraId="5FB946FA" w14:textId="77777777" w:rsidR="00B90C6C" w:rsidRPr="00564F8C" w:rsidRDefault="00B90C6C" w:rsidP="00ED5C25">
      <w:pPr>
        <w:spacing w:line="360" w:lineRule="auto"/>
        <w:jc w:val="both"/>
        <w:rPr>
          <w:sz w:val="22"/>
          <w:szCs w:val="22"/>
        </w:rPr>
      </w:pPr>
      <w:r w:rsidRPr="00564F8C">
        <w:rPr>
          <w:sz w:val="22"/>
          <w:szCs w:val="22"/>
        </w:rPr>
        <w:t xml:space="preserve">4. Burgmeier J. Failure mode and effect analysis: an application in reducing risk in blood transfusion. Joint Commission Journal on Quality Improvement. </w:t>
      </w:r>
      <w:r w:rsidRPr="00564F8C">
        <w:rPr>
          <w:bCs/>
          <w:sz w:val="22"/>
          <w:szCs w:val="22"/>
        </w:rPr>
        <w:t>28</w:t>
      </w:r>
      <w:r w:rsidRPr="00564F8C">
        <w:rPr>
          <w:sz w:val="22"/>
          <w:szCs w:val="22"/>
        </w:rPr>
        <w:t>(6): 331-9, 2002</w:t>
      </w:r>
    </w:p>
    <w:p w14:paraId="61E4C028" w14:textId="77777777" w:rsidR="00B90C6C" w:rsidRPr="00564F8C" w:rsidRDefault="00B90C6C" w:rsidP="00ED5C25">
      <w:pPr>
        <w:spacing w:line="360" w:lineRule="auto"/>
        <w:jc w:val="both"/>
        <w:rPr>
          <w:sz w:val="22"/>
          <w:szCs w:val="22"/>
        </w:rPr>
      </w:pPr>
      <w:r w:rsidRPr="00564F8C">
        <w:rPr>
          <w:sz w:val="22"/>
          <w:szCs w:val="22"/>
        </w:rPr>
        <w:t xml:space="preserve">5. Marx DA. Slonim AD. Assessing patient safety risk before the injury occurs: an introduction to sociotechnical probabilistic risk modelling in health care. Qual Saf Health Care. </w:t>
      </w:r>
      <w:r w:rsidRPr="00564F8C">
        <w:rPr>
          <w:bCs/>
          <w:sz w:val="22"/>
          <w:szCs w:val="22"/>
        </w:rPr>
        <w:t>12</w:t>
      </w:r>
      <w:r w:rsidRPr="00564F8C">
        <w:rPr>
          <w:sz w:val="22"/>
          <w:szCs w:val="22"/>
        </w:rPr>
        <w:t xml:space="preserve"> Suppl 2: ii33-8, 2003</w:t>
      </w:r>
    </w:p>
    <w:p w14:paraId="1FACA87B" w14:textId="77777777" w:rsidR="00B90C6C" w:rsidRPr="00564F8C" w:rsidRDefault="00B90C6C" w:rsidP="00ED5C25">
      <w:pPr>
        <w:spacing w:line="360" w:lineRule="auto"/>
        <w:jc w:val="both"/>
        <w:rPr>
          <w:sz w:val="22"/>
          <w:szCs w:val="22"/>
        </w:rPr>
      </w:pPr>
      <w:r w:rsidRPr="00564F8C">
        <w:rPr>
          <w:sz w:val="22"/>
          <w:szCs w:val="22"/>
        </w:rPr>
        <w:t>6. Pate-Cornell E, Murphy D, Lakats L, Gaba D.  Patient risk in anaesthesia: probabilistic risk analysis and management improvements.</w:t>
      </w:r>
      <w:r w:rsidRPr="00564F8C">
        <w:rPr>
          <w:b/>
          <w:sz w:val="22"/>
          <w:szCs w:val="22"/>
        </w:rPr>
        <w:t xml:space="preserve"> </w:t>
      </w:r>
      <w:r w:rsidRPr="00564F8C">
        <w:rPr>
          <w:sz w:val="22"/>
          <w:szCs w:val="22"/>
        </w:rPr>
        <w:t xml:space="preserve"> Ann Operations Research 1996;67; 211-233</w:t>
      </w:r>
    </w:p>
    <w:p w14:paraId="3DC84A61" w14:textId="77777777" w:rsidR="00B90C6C" w:rsidRPr="00564F8C" w:rsidRDefault="00B90C6C" w:rsidP="00ED5C25">
      <w:pPr>
        <w:spacing w:line="360" w:lineRule="auto"/>
        <w:jc w:val="both"/>
        <w:rPr>
          <w:sz w:val="22"/>
          <w:szCs w:val="22"/>
        </w:rPr>
      </w:pPr>
      <w:r w:rsidRPr="00564F8C">
        <w:rPr>
          <w:sz w:val="22"/>
          <w:szCs w:val="22"/>
        </w:rPr>
        <w:t xml:space="preserve">7. Reason J.  </w:t>
      </w:r>
      <w:r w:rsidRPr="00564F8C">
        <w:rPr>
          <w:i/>
          <w:sz w:val="22"/>
          <w:szCs w:val="22"/>
        </w:rPr>
        <w:t>Managing the risks of organisational accidents</w:t>
      </w:r>
      <w:r w:rsidRPr="00564F8C">
        <w:rPr>
          <w:sz w:val="22"/>
          <w:szCs w:val="22"/>
        </w:rPr>
        <w:t>.  Aldershot: Ashgate 1997</w:t>
      </w:r>
    </w:p>
    <w:p w14:paraId="47DA40F5" w14:textId="77777777" w:rsidR="00B90C6C" w:rsidRPr="00564F8C" w:rsidRDefault="00B90C6C" w:rsidP="00ED5C25">
      <w:pPr>
        <w:spacing w:line="360" w:lineRule="auto"/>
        <w:jc w:val="both"/>
        <w:rPr>
          <w:color w:val="000000"/>
          <w:sz w:val="22"/>
          <w:szCs w:val="22"/>
        </w:rPr>
      </w:pPr>
      <w:r w:rsidRPr="00564F8C">
        <w:rPr>
          <w:sz w:val="22"/>
          <w:szCs w:val="22"/>
        </w:rPr>
        <w:t xml:space="preserve">8.  </w:t>
      </w:r>
      <w:r w:rsidRPr="00564F8C">
        <w:rPr>
          <w:color w:val="000000"/>
          <w:sz w:val="22"/>
          <w:szCs w:val="22"/>
        </w:rPr>
        <w:t xml:space="preserve">Davies L, Wilkinson M, Bonner S </w:t>
      </w:r>
      <w:r w:rsidRPr="00564F8C">
        <w:rPr>
          <w:i/>
          <w:color w:val="000000"/>
          <w:sz w:val="22"/>
          <w:szCs w:val="22"/>
        </w:rPr>
        <w:t>et al</w:t>
      </w:r>
      <w:r w:rsidRPr="00564F8C">
        <w:rPr>
          <w:color w:val="000000"/>
          <w:sz w:val="22"/>
          <w:szCs w:val="22"/>
        </w:rPr>
        <w:t xml:space="preserve">. ‘Hospital at home’ versus hospital care in patients with exacerbations of chronic obstructive pulmonary disease: prospective randomised controlled trial. </w:t>
      </w:r>
      <w:r w:rsidRPr="00564F8C">
        <w:rPr>
          <w:i/>
          <w:color w:val="000000"/>
          <w:sz w:val="22"/>
          <w:szCs w:val="22"/>
        </w:rPr>
        <w:t>BMJ</w:t>
      </w:r>
      <w:r w:rsidRPr="00564F8C">
        <w:rPr>
          <w:color w:val="000000"/>
          <w:sz w:val="22"/>
          <w:szCs w:val="22"/>
        </w:rPr>
        <w:t xml:space="preserve"> 2000;321: 1265-1268</w:t>
      </w:r>
    </w:p>
    <w:p w14:paraId="1AFAC90E" w14:textId="77777777" w:rsidR="00B90C6C" w:rsidRPr="00564F8C" w:rsidRDefault="00B90C6C" w:rsidP="00ED5C25">
      <w:pPr>
        <w:spacing w:line="360" w:lineRule="auto"/>
        <w:jc w:val="both"/>
        <w:rPr>
          <w:rFonts w:cs="Arial"/>
          <w:sz w:val="22"/>
          <w:szCs w:val="22"/>
        </w:rPr>
      </w:pPr>
      <w:r w:rsidRPr="00564F8C">
        <w:rPr>
          <w:rFonts w:cs="Arial"/>
          <w:color w:val="000000"/>
          <w:sz w:val="22"/>
          <w:szCs w:val="22"/>
        </w:rPr>
        <w:lastRenderedPageBreak/>
        <w:t xml:space="preserve">9. </w:t>
      </w:r>
      <w:r w:rsidRPr="00564F8C">
        <w:rPr>
          <w:rFonts w:cs="Arial"/>
          <w:sz w:val="22"/>
          <w:szCs w:val="22"/>
        </w:rPr>
        <w:t xml:space="preserve">Skwarska E, Cohen G, Skwarski KM </w:t>
      </w:r>
      <w:r w:rsidRPr="00564F8C">
        <w:rPr>
          <w:rFonts w:cs="Arial"/>
          <w:i/>
          <w:sz w:val="22"/>
          <w:szCs w:val="22"/>
        </w:rPr>
        <w:t>et al</w:t>
      </w:r>
      <w:r w:rsidRPr="00564F8C">
        <w:rPr>
          <w:rFonts w:cs="Arial"/>
          <w:sz w:val="22"/>
          <w:szCs w:val="22"/>
        </w:rPr>
        <w:t xml:space="preserve">.  Randomised controlled trial of supported discharge in patients with exacerbations of chronic obstructive pulmonary disease. </w:t>
      </w:r>
      <w:r w:rsidRPr="00564F8C">
        <w:rPr>
          <w:rFonts w:cs="Arial"/>
          <w:i/>
          <w:sz w:val="22"/>
          <w:szCs w:val="22"/>
        </w:rPr>
        <w:t>Thorax</w:t>
      </w:r>
      <w:r w:rsidRPr="00564F8C">
        <w:rPr>
          <w:rFonts w:cs="Arial"/>
          <w:sz w:val="22"/>
          <w:szCs w:val="22"/>
        </w:rPr>
        <w:t xml:space="preserve"> 2000;55: 907-12. </w:t>
      </w:r>
    </w:p>
    <w:p w14:paraId="21FFCD98" w14:textId="77777777" w:rsidR="00B90C6C" w:rsidRPr="00564F8C" w:rsidRDefault="00B90C6C" w:rsidP="00ED5C25">
      <w:pPr>
        <w:spacing w:line="360" w:lineRule="auto"/>
        <w:jc w:val="both"/>
        <w:rPr>
          <w:sz w:val="22"/>
          <w:szCs w:val="22"/>
        </w:rPr>
      </w:pPr>
      <w:r w:rsidRPr="00564F8C">
        <w:rPr>
          <w:sz w:val="22"/>
          <w:szCs w:val="22"/>
        </w:rPr>
        <w:t xml:space="preserve">10. Cotton MM, Bucknall CE, Dagg KD </w:t>
      </w:r>
      <w:r w:rsidRPr="00564F8C">
        <w:rPr>
          <w:i/>
          <w:sz w:val="22"/>
          <w:szCs w:val="22"/>
        </w:rPr>
        <w:t>et al</w:t>
      </w:r>
      <w:r w:rsidRPr="00564F8C">
        <w:rPr>
          <w:sz w:val="22"/>
          <w:szCs w:val="22"/>
        </w:rPr>
        <w:t xml:space="preserve">. Early discharge for patients with exacerbations of chronic obstructive pulmonary disease: a randomised controlled trial. </w:t>
      </w:r>
      <w:r w:rsidRPr="00564F8C">
        <w:rPr>
          <w:i/>
          <w:sz w:val="22"/>
          <w:szCs w:val="22"/>
        </w:rPr>
        <w:t>Thorax</w:t>
      </w:r>
      <w:r w:rsidRPr="00564F8C">
        <w:rPr>
          <w:sz w:val="22"/>
          <w:szCs w:val="22"/>
        </w:rPr>
        <w:t xml:space="preserve"> 2000;55: 902-6</w:t>
      </w:r>
    </w:p>
    <w:p w14:paraId="6D7EF9D6" w14:textId="77777777" w:rsidR="00B90C6C" w:rsidRPr="00564F8C" w:rsidRDefault="00B90C6C" w:rsidP="00ED5C25">
      <w:pPr>
        <w:spacing w:line="360" w:lineRule="auto"/>
        <w:jc w:val="both"/>
        <w:rPr>
          <w:sz w:val="22"/>
          <w:szCs w:val="22"/>
        </w:rPr>
      </w:pPr>
      <w:r w:rsidRPr="00564F8C">
        <w:rPr>
          <w:sz w:val="22"/>
          <w:szCs w:val="22"/>
        </w:rPr>
        <w:t xml:space="preserve">11. Ram FRS, Wedzicha J, Wright J  </w:t>
      </w:r>
      <w:r w:rsidRPr="00564F8C">
        <w:rPr>
          <w:i/>
          <w:sz w:val="22"/>
          <w:szCs w:val="22"/>
        </w:rPr>
        <w:t>et al</w:t>
      </w:r>
      <w:r w:rsidRPr="00564F8C">
        <w:rPr>
          <w:sz w:val="22"/>
          <w:szCs w:val="22"/>
        </w:rPr>
        <w:t xml:space="preserve">. </w:t>
      </w:r>
      <w:r w:rsidRPr="00564F8C">
        <w:rPr>
          <w:b/>
          <w:sz w:val="22"/>
          <w:szCs w:val="22"/>
        </w:rPr>
        <w:t xml:space="preserve"> </w:t>
      </w:r>
      <w:r w:rsidRPr="00564F8C">
        <w:rPr>
          <w:sz w:val="22"/>
          <w:szCs w:val="22"/>
        </w:rPr>
        <w:t xml:space="preserve">Hospital at home for patients with chronic obstructive pulmonary disease: a systematic review.  </w:t>
      </w:r>
      <w:r w:rsidRPr="00564F8C">
        <w:rPr>
          <w:i/>
          <w:sz w:val="22"/>
          <w:szCs w:val="22"/>
        </w:rPr>
        <w:t>BMJ</w:t>
      </w:r>
      <w:r w:rsidRPr="00564F8C">
        <w:rPr>
          <w:sz w:val="22"/>
          <w:szCs w:val="22"/>
        </w:rPr>
        <w:t xml:space="preserve"> 2004; 329:315-8</w:t>
      </w:r>
    </w:p>
    <w:p w14:paraId="3B437ABB" w14:textId="77777777" w:rsidR="00B90C6C" w:rsidRPr="00564F8C" w:rsidRDefault="00B90C6C" w:rsidP="00ED5C25">
      <w:pPr>
        <w:spacing w:line="360" w:lineRule="auto"/>
        <w:jc w:val="both"/>
        <w:rPr>
          <w:sz w:val="22"/>
          <w:szCs w:val="22"/>
        </w:rPr>
      </w:pPr>
      <w:r w:rsidRPr="00564F8C">
        <w:rPr>
          <w:sz w:val="22"/>
          <w:szCs w:val="22"/>
        </w:rPr>
        <w:t xml:space="preserve">12. Ojoo JC, Moon T, McGlone S </w:t>
      </w:r>
      <w:r w:rsidRPr="00564F8C">
        <w:rPr>
          <w:i/>
          <w:sz w:val="22"/>
          <w:szCs w:val="22"/>
        </w:rPr>
        <w:t>et al</w:t>
      </w:r>
      <w:r w:rsidRPr="00564F8C">
        <w:rPr>
          <w:sz w:val="22"/>
          <w:szCs w:val="22"/>
        </w:rPr>
        <w:t xml:space="preserve">. Randomised controlled trial of home based care of patients with chronic obstructive pulmonary disease. </w:t>
      </w:r>
      <w:r w:rsidRPr="00564F8C">
        <w:rPr>
          <w:i/>
          <w:sz w:val="22"/>
          <w:szCs w:val="22"/>
        </w:rPr>
        <w:t>Thorax</w:t>
      </w:r>
      <w:r w:rsidRPr="00564F8C">
        <w:rPr>
          <w:sz w:val="22"/>
          <w:szCs w:val="22"/>
        </w:rPr>
        <w:t xml:space="preserve"> 2002;57: 167-9</w:t>
      </w:r>
    </w:p>
    <w:p w14:paraId="26C838AB" w14:textId="77777777" w:rsidR="00B90C6C" w:rsidRPr="00564F8C" w:rsidRDefault="00B90C6C" w:rsidP="00ED5C25">
      <w:pPr>
        <w:spacing w:line="360" w:lineRule="auto"/>
        <w:jc w:val="both"/>
        <w:rPr>
          <w:sz w:val="22"/>
          <w:szCs w:val="22"/>
        </w:rPr>
      </w:pPr>
      <w:r w:rsidRPr="00564F8C">
        <w:rPr>
          <w:sz w:val="22"/>
          <w:szCs w:val="22"/>
        </w:rPr>
        <w:t xml:space="preserve">13. </w:t>
      </w:r>
      <w:r w:rsidRPr="00564F8C">
        <w:rPr>
          <w:i/>
          <w:sz w:val="22"/>
          <w:szCs w:val="22"/>
        </w:rPr>
        <w:t xml:space="preserve">Thorax </w:t>
      </w:r>
      <w:r w:rsidRPr="00564F8C">
        <w:rPr>
          <w:sz w:val="22"/>
          <w:szCs w:val="22"/>
        </w:rPr>
        <w:t>2004;59(Suppl 1):i131-i156</w:t>
      </w:r>
    </w:p>
    <w:p w14:paraId="6A32BEB4" w14:textId="77777777" w:rsidR="00B90C6C" w:rsidRPr="00564F8C" w:rsidRDefault="00B90C6C" w:rsidP="00ED5C25">
      <w:pPr>
        <w:spacing w:line="360" w:lineRule="auto"/>
        <w:jc w:val="both"/>
        <w:rPr>
          <w:sz w:val="22"/>
          <w:szCs w:val="22"/>
        </w:rPr>
      </w:pPr>
      <w:r w:rsidRPr="00564F8C">
        <w:rPr>
          <w:sz w:val="22"/>
          <w:szCs w:val="22"/>
        </w:rPr>
        <w:t xml:space="preserve">14. Dekker S.  </w:t>
      </w:r>
      <w:r w:rsidRPr="00564F8C">
        <w:rPr>
          <w:i/>
          <w:sz w:val="22"/>
          <w:szCs w:val="22"/>
        </w:rPr>
        <w:t>The field guide to human error investigations</w:t>
      </w:r>
      <w:r w:rsidRPr="00564F8C">
        <w:rPr>
          <w:sz w:val="22"/>
          <w:szCs w:val="22"/>
        </w:rPr>
        <w:t>.  Aldershot: Ashgate 2002</w:t>
      </w:r>
    </w:p>
    <w:p w14:paraId="37CADD47" w14:textId="77777777" w:rsidR="00B90C6C" w:rsidRPr="00564F8C" w:rsidRDefault="00B90C6C" w:rsidP="00ED5C25">
      <w:pPr>
        <w:spacing w:line="360" w:lineRule="auto"/>
        <w:jc w:val="both"/>
        <w:rPr>
          <w:sz w:val="22"/>
          <w:szCs w:val="22"/>
        </w:rPr>
      </w:pPr>
      <w:r w:rsidRPr="00564F8C">
        <w:rPr>
          <w:sz w:val="22"/>
          <w:szCs w:val="22"/>
        </w:rPr>
        <w:t>15. Cook RI.  A brief look at gaps in the continuity of care and how practitioners compensate for them.</w:t>
      </w:r>
    </w:p>
    <w:p w14:paraId="7C97B71E" w14:textId="77777777" w:rsidR="00B90C6C" w:rsidRPr="00564F8C" w:rsidRDefault="002770D3" w:rsidP="00ED5C25">
      <w:pPr>
        <w:spacing w:line="360" w:lineRule="auto"/>
        <w:jc w:val="both"/>
        <w:rPr>
          <w:sz w:val="22"/>
          <w:szCs w:val="22"/>
        </w:rPr>
      </w:pPr>
      <w:hyperlink r:id="rId42" w:history="1">
        <w:r w:rsidR="00B90C6C" w:rsidRPr="00564F8C">
          <w:rPr>
            <w:rStyle w:val="Hyperlink"/>
            <w:sz w:val="22"/>
            <w:szCs w:val="22"/>
          </w:rPr>
          <w:t>http://www.ctlab.org/pdf%20files/brieflookatgapsBackpageRevf.pdf</w:t>
        </w:r>
      </w:hyperlink>
    </w:p>
    <w:p w14:paraId="6359014B" w14:textId="77777777" w:rsidR="00B90C6C" w:rsidRPr="00564F8C" w:rsidRDefault="00B90C6C" w:rsidP="00ED5C25">
      <w:pPr>
        <w:spacing w:line="360" w:lineRule="auto"/>
        <w:jc w:val="both"/>
        <w:rPr>
          <w:sz w:val="22"/>
          <w:szCs w:val="22"/>
        </w:rPr>
      </w:pPr>
      <w:r w:rsidRPr="00564F8C">
        <w:rPr>
          <w:sz w:val="22"/>
          <w:szCs w:val="22"/>
        </w:rPr>
        <w:t>Accessed 5/5/05</w:t>
      </w:r>
    </w:p>
    <w:p w14:paraId="68937CC6" w14:textId="77777777" w:rsidR="00B90C6C" w:rsidRPr="00564F8C" w:rsidRDefault="00B90C6C" w:rsidP="00ED5C25">
      <w:pPr>
        <w:spacing w:line="360" w:lineRule="auto"/>
        <w:jc w:val="both"/>
        <w:rPr>
          <w:sz w:val="22"/>
          <w:szCs w:val="22"/>
        </w:rPr>
      </w:pPr>
      <w:r w:rsidRPr="00564F8C">
        <w:rPr>
          <w:sz w:val="22"/>
          <w:szCs w:val="22"/>
        </w:rPr>
        <w:t xml:space="preserve">16. Ovretveit J, Gustafson D.  Using research to inform quality programmes.  </w:t>
      </w:r>
      <w:r w:rsidRPr="00564F8C">
        <w:rPr>
          <w:i/>
          <w:sz w:val="22"/>
          <w:szCs w:val="22"/>
        </w:rPr>
        <w:t>BMJ</w:t>
      </w:r>
      <w:r w:rsidRPr="00564F8C">
        <w:rPr>
          <w:sz w:val="22"/>
          <w:szCs w:val="22"/>
        </w:rPr>
        <w:t xml:space="preserve"> 2003;</w:t>
      </w:r>
      <w:r w:rsidRPr="00564F8C">
        <w:rPr>
          <w:b/>
          <w:sz w:val="22"/>
          <w:szCs w:val="22"/>
        </w:rPr>
        <w:t>326</w:t>
      </w:r>
      <w:r w:rsidRPr="00564F8C">
        <w:rPr>
          <w:sz w:val="22"/>
          <w:szCs w:val="22"/>
        </w:rPr>
        <w:t>: 759-761</w:t>
      </w:r>
    </w:p>
    <w:p w14:paraId="7D26B2A9" w14:textId="77777777" w:rsidR="00B90C6C" w:rsidRPr="00564F8C" w:rsidRDefault="00B90C6C" w:rsidP="00ED5C25">
      <w:pPr>
        <w:spacing w:line="360" w:lineRule="auto"/>
        <w:jc w:val="both"/>
        <w:rPr>
          <w:rFonts w:cs="Arial"/>
          <w:sz w:val="22"/>
          <w:szCs w:val="22"/>
        </w:rPr>
      </w:pPr>
      <w:r w:rsidRPr="00564F8C">
        <w:rPr>
          <w:rFonts w:cs="Arial"/>
          <w:sz w:val="22"/>
          <w:szCs w:val="22"/>
        </w:rPr>
        <w:t xml:space="preserve">17. Campbell SM, Brasspenning J, Hutchinson A </w:t>
      </w:r>
      <w:r w:rsidRPr="00564F8C">
        <w:rPr>
          <w:rFonts w:cs="Arial"/>
          <w:i/>
          <w:sz w:val="22"/>
          <w:szCs w:val="22"/>
        </w:rPr>
        <w:t>et al</w:t>
      </w:r>
      <w:r w:rsidRPr="00564F8C">
        <w:rPr>
          <w:rFonts w:cs="Arial"/>
          <w:sz w:val="22"/>
          <w:szCs w:val="22"/>
        </w:rPr>
        <w:t xml:space="preserve">.  Research methods used in developing and applying quality indicators in primary care.  </w:t>
      </w:r>
      <w:r w:rsidRPr="00564F8C">
        <w:rPr>
          <w:rFonts w:cs="Arial"/>
          <w:i/>
          <w:sz w:val="22"/>
          <w:szCs w:val="22"/>
        </w:rPr>
        <w:t>BMJ</w:t>
      </w:r>
      <w:r w:rsidRPr="00564F8C">
        <w:rPr>
          <w:rFonts w:cs="Arial"/>
          <w:sz w:val="22"/>
          <w:szCs w:val="22"/>
        </w:rPr>
        <w:t xml:space="preserve"> 2003;326: 816-819</w:t>
      </w:r>
    </w:p>
    <w:p w14:paraId="50A0EB77" w14:textId="77777777" w:rsidR="00B90C6C" w:rsidRPr="00564F8C" w:rsidRDefault="00B90C6C" w:rsidP="00ED5C25">
      <w:pPr>
        <w:spacing w:line="360" w:lineRule="auto"/>
        <w:jc w:val="both"/>
        <w:rPr>
          <w:rFonts w:cs="Arial"/>
          <w:sz w:val="22"/>
          <w:szCs w:val="22"/>
        </w:rPr>
      </w:pPr>
      <w:r w:rsidRPr="00564F8C">
        <w:rPr>
          <w:rFonts w:cs="Arial"/>
          <w:sz w:val="22"/>
          <w:szCs w:val="22"/>
        </w:rPr>
        <w:t xml:space="preserve">18. Wensing M, Elwyn G.  Methods for incorporating patients’ views in health care.  </w:t>
      </w:r>
      <w:r w:rsidRPr="00564F8C">
        <w:rPr>
          <w:rFonts w:cs="Arial"/>
          <w:i/>
          <w:sz w:val="22"/>
          <w:szCs w:val="22"/>
        </w:rPr>
        <w:t>BMJ</w:t>
      </w:r>
      <w:r w:rsidRPr="00564F8C">
        <w:rPr>
          <w:rFonts w:cs="Arial"/>
          <w:sz w:val="22"/>
          <w:szCs w:val="22"/>
        </w:rPr>
        <w:t xml:space="preserve"> 2003;326: 877-879</w:t>
      </w:r>
    </w:p>
    <w:p w14:paraId="487607A0" w14:textId="77777777" w:rsidR="00B90C6C" w:rsidRPr="00564F8C" w:rsidRDefault="00B90C6C" w:rsidP="00ED5C25">
      <w:pPr>
        <w:spacing w:line="360" w:lineRule="auto"/>
        <w:jc w:val="both"/>
        <w:rPr>
          <w:sz w:val="22"/>
          <w:szCs w:val="22"/>
        </w:rPr>
      </w:pPr>
      <w:r w:rsidRPr="00564F8C">
        <w:rPr>
          <w:sz w:val="22"/>
          <w:szCs w:val="22"/>
        </w:rPr>
        <w:t>19. Hasson F, Keeney S, McKenna H.  Research guidelines for the Delphi survey technique.</w:t>
      </w:r>
      <w:r w:rsidRPr="00564F8C">
        <w:rPr>
          <w:b/>
          <w:sz w:val="22"/>
          <w:szCs w:val="22"/>
        </w:rPr>
        <w:t xml:space="preserve"> </w:t>
      </w:r>
      <w:r w:rsidRPr="00564F8C">
        <w:rPr>
          <w:sz w:val="22"/>
          <w:szCs w:val="22"/>
        </w:rPr>
        <w:t xml:space="preserve"> </w:t>
      </w:r>
      <w:r w:rsidRPr="00564F8C">
        <w:rPr>
          <w:i/>
          <w:sz w:val="22"/>
          <w:szCs w:val="22"/>
        </w:rPr>
        <w:t>J Adv Nurs</w:t>
      </w:r>
      <w:r w:rsidRPr="00564F8C">
        <w:rPr>
          <w:sz w:val="22"/>
          <w:szCs w:val="22"/>
        </w:rPr>
        <w:t xml:space="preserve"> 2000;32: 1008-1015</w:t>
      </w:r>
    </w:p>
    <w:p w14:paraId="730F6555" w14:textId="77777777" w:rsidR="00B90C6C" w:rsidRPr="00564F8C" w:rsidRDefault="00B90C6C" w:rsidP="00ED5C25">
      <w:pPr>
        <w:spacing w:line="360" w:lineRule="auto"/>
        <w:jc w:val="both"/>
        <w:rPr>
          <w:sz w:val="22"/>
          <w:szCs w:val="22"/>
        </w:rPr>
      </w:pPr>
      <w:r w:rsidRPr="00564F8C">
        <w:rPr>
          <w:sz w:val="22"/>
          <w:szCs w:val="22"/>
        </w:rPr>
        <w:t>20. Woods DD, Cook RI.  Nine steps to move forward from error.</w:t>
      </w:r>
      <w:r w:rsidRPr="00564F8C">
        <w:rPr>
          <w:b/>
          <w:sz w:val="22"/>
          <w:szCs w:val="22"/>
        </w:rPr>
        <w:t xml:space="preserve"> </w:t>
      </w:r>
      <w:r w:rsidRPr="00564F8C">
        <w:rPr>
          <w:sz w:val="22"/>
          <w:szCs w:val="22"/>
        </w:rPr>
        <w:t xml:space="preserve"> </w:t>
      </w:r>
      <w:r w:rsidRPr="00564F8C">
        <w:rPr>
          <w:i/>
          <w:sz w:val="22"/>
          <w:szCs w:val="22"/>
        </w:rPr>
        <w:t>Cognition Technology &amp;Work</w:t>
      </w:r>
      <w:r w:rsidRPr="00564F8C">
        <w:rPr>
          <w:sz w:val="22"/>
          <w:szCs w:val="22"/>
        </w:rPr>
        <w:t xml:space="preserve"> 2002;4:137-144</w:t>
      </w:r>
    </w:p>
    <w:p w14:paraId="30AF5069" w14:textId="77777777" w:rsidR="00B90C6C" w:rsidRPr="00564F8C" w:rsidRDefault="00B90C6C" w:rsidP="00ED5C25">
      <w:pPr>
        <w:spacing w:line="360" w:lineRule="auto"/>
        <w:jc w:val="both"/>
        <w:rPr>
          <w:sz w:val="22"/>
          <w:szCs w:val="22"/>
        </w:rPr>
      </w:pPr>
      <w:r w:rsidRPr="00564F8C">
        <w:rPr>
          <w:sz w:val="22"/>
          <w:szCs w:val="22"/>
        </w:rPr>
        <w:t xml:space="preserve">21. Lighter DE and Fair DC.  </w:t>
      </w:r>
      <w:r w:rsidRPr="00564F8C">
        <w:rPr>
          <w:i/>
          <w:sz w:val="22"/>
          <w:szCs w:val="22"/>
        </w:rPr>
        <w:t>Principles and methods of quality management in health care</w:t>
      </w:r>
      <w:r w:rsidRPr="00564F8C">
        <w:rPr>
          <w:sz w:val="22"/>
          <w:szCs w:val="22"/>
        </w:rPr>
        <w:t xml:space="preserve">.  Gaithersburg: Aspen 2000 </w:t>
      </w:r>
    </w:p>
    <w:p w14:paraId="50ACA097" w14:textId="77777777" w:rsidR="00B90C6C" w:rsidRPr="00564F8C" w:rsidRDefault="00B90C6C" w:rsidP="00ED5C25">
      <w:pPr>
        <w:spacing w:line="360" w:lineRule="auto"/>
        <w:rPr>
          <w:rFonts w:cs="Arial"/>
          <w:sz w:val="22"/>
          <w:szCs w:val="22"/>
        </w:rPr>
      </w:pPr>
      <w:r w:rsidRPr="00564F8C">
        <w:rPr>
          <w:sz w:val="22"/>
          <w:szCs w:val="22"/>
        </w:rPr>
        <w:lastRenderedPageBreak/>
        <w:t xml:space="preserve">22. NHS Modernisation Agency.  Improvement Leaders guide to process mapping, analysis and design.  </w:t>
      </w:r>
      <w:hyperlink r:id="rId43" w:history="1">
        <w:r w:rsidRPr="00564F8C">
          <w:rPr>
            <w:rStyle w:val="Hyperlink"/>
            <w:rFonts w:cs="Arial"/>
            <w:sz w:val="22"/>
            <w:szCs w:val="22"/>
          </w:rPr>
          <w:t>http://www.modern.nhs.uk/improvementguides/process/</w:t>
        </w:r>
      </w:hyperlink>
      <w:r w:rsidRPr="00564F8C">
        <w:rPr>
          <w:rFonts w:cs="Arial"/>
          <w:sz w:val="22"/>
          <w:szCs w:val="22"/>
        </w:rPr>
        <w:t xml:space="preserve">  accessed 6/12/04</w:t>
      </w:r>
    </w:p>
    <w:p w14:paraId="09998F89" w14:textId="77777777" w:rsidR="00B90C6C" w:rsidRDefault="00B90C6C" w:rsidP="00ED5C25">
      <w:pPr>
        <w:pStyle w:val="Footer"/>
        <w:tabs>
          <w:tab w:val="clear" w:pos="4153"/>
          <w:tab w:val="clear" w:pos="8306"/>
        </w:tabs>
        <w:spacing w:line="360" w:lineRule="auto"/>
        <w:jc w:val="both"/>
        <w:rPr>
          <w:rFonts w:ascii="Arial" w:hAnsi="Arial" w:cs="Arial"/>
          <w:sz w:val="22"/>
          <w:szCs w:val="22"/>
        </w:rPr>
      </w:pPr>
      <w:r w:rsidRPr="00564F8C">
        <w:rPr>
          <w:rFonts w:ascii="Arial" w:hAnsi="Arial" w:cs="Arial"/>
          <w:sz w:val="22"/>
          <w:szCs w:val="22"/>
        </w:rPr>
        <w:t xml:space="preserve">23. Smith MJ, Sainfort PC. </w:t>
      </w:r>
      <w:r w:rsidRPr="00564F8C">
        <w:rPr>
          <w:rFonts w:ascii="Arial" w:hAnsi="Arial" w:cs="Arial"/>
          <w:b/>
          <w:sz w:val="22"/>
          <w:szCs w:val="22"/>
        </w:rPr>
        <w:t xml:space="preserve"> </w:t>
      </w:r>
      <w:r w:rsidRPr="00564F8C">
        <w:rPr>
          <w:rFonts w:ascii="Arial" w:hAnsi="Arial" w:cs="Arial"/>
          <w:sz w:val="22"/>
          <w:szCs w:val="22"/>
        </w:rPr>
        <w:t xml:space="preserve">Balance theory of job design for stress reduction. </w:t>
      </w:r>
      <w:r w:rsidRPr="00564F8C">
        <w:rPr>
          <w:rFonts w:ascii="Arial" w:hAnsi="Arial" w:cs="Arial"/>
          <w:i/>
          <w:sz w:val="22"/>
          <w:szCs w:val="22"/>
        </w:rPr>
        <w:t>Int J Ind Ergon</w:t>
      </w:r>
      <w:r w:rsidRPr="00564F8C">
        <w:rPr>
          <w:rFonts w:ascii="Arial" w:hAnsi="Arial" w:cs="Arial"/>
          <w:sz w:val="22"/>
          <w:szCs w:val="22"/>
        </w:rPr>
        <w:t xml:space="preserve"> 1989;4: 67-79</w:t>
      </w:r>
    </w:p>
    <w:p w14:paraId="6324239B" w14:textId="77777777" w:rsidR="00ED5C25" w:rsidRPr="00564F8C" w:rsidRDefault="00ED5C25" w:rsidP="00ED5C25">
      <w:pPr>
        <w:pStyle w:val="Footer"/>
        <w:tabs>
          <w:tab w:val="clear" w:pos="4153"/>
          <w:tab w:val="clear" w:pos="8306"/>
        </w:tabs>
        <w:spacing w:line="360" w:lineRule="auto"/>
        <w:jc w:val="both"/>
        <w:rPr>
          <w:rFonts w:ascii="Arial" w:hAnsi="Arial" w:cs="Arial"/>
          <w:sz w:val="22"/>
          <w:szCs w:val="22"/>
        </w:rPr>
      </w:pPr>
    </w:p>
    <w:p w14:paraId="7C76CAEB" w14:textId="77777777" w:rsidR="00B90C6C" w:rsidRPr="00564F8C" w:rsidRDefault="00B90C6C" w:rsidP="00ED5C25">
      <w:pPr>
        <w:shd w:val="clear" w:color="auto" w:fill="FFFFFF"/>
        <w:spacing w:line="360" w:lineRule="auto"/>
        <w:jc w:val="both"/>
        <w:rPr>
          <w:sz w:val="22"/>
          <w:szCs w:val="22"/>
        </w:rPr>
      </w:pPr>
      <w:r w:rsidRPr="00564F8C">
        <w:rPr>
          <w:sz w:val="22"/>
          <w:szCs w:val="22"/>
        </w:rPr>
        <w:t xml:space="preserve">24. Ritche J, Spencer L. </w:t>
      </w:r>
      <w:r w:rsidRPr="00564F8C">
        <w:rPr>
          <w:i/>
          <w:sz w:val="22"/>
          <w:szCs w:val="22"/>
        </w:rPr>
        <w:t xml:space="preserve">Qualitative data analysis for applied policy research </w:t>
      </w:r>
      <w:r w:rsidRPr="00564F8C">
        <w:rPr>
          <w:sz w:val="22"/>
          <w:szCs w:val="22"/>
          <w:u w:val="single"/>
        </w:rPr>
        <w:t>in</w:t>
      </w:r>
      <w:r w:rsidRPr="00564F8C">
        <w:rPr>
          <w:sz w:val="22"/>
          <w:szCs w:val="22"/>
        </w:rPr>
        <w:t xml:space="preserve"> Bryman A, Burgess RG (eds) </w:t>
      </w:r>
      <w:r w:rsidRPr="00564F8C">
        <w:rPr>
          <w:i/>
          <w:sz w:val="22"/>
          <w:szCs w:val="22"/>
        </w:rPr>
        <w:t xml:space="preserve">Analysing Qualitative Data, </w:t>
      </w:r>
      <w:r w:rsidRPr="00564F8C">
        <w:rPr>
          <w:sz w:val="22"/>
          <w:szCs w:val="22"/>
        </w:rPr>
        <w:t>London: Routledge, 1994 Pp173-194.</w:t>
      </w:r>
    </w:p>
    <w:p w14:paraId="7453A2DD" w14:textId="77777777" w:rsidR="00B90C6C" w:rsidRPr="00564F8C" w:rsidRDefault="00B90C6C" w:rsidP="00ED5C25">
      <w:pPr>
        <w:spacing w:line="360" w:lineRule="auto"/>
        <w:jc w:val="both"/>
        <w:rPr>
          <w:sz w:val="22"/>
          <w:szCs w:val="22"/>
        </w:rPr>
      </w:pPr>
      <w:r w:rsidRPr="00564F8C">
        <w:rPr>
          <w:sz w:val="22"/>
          <w:szCs w:val="22"/>
        </w:rPr>
        <w:t xml:space="preserve">25. Rasmussen J. Human errors: a taxonomy for describing human malfunction in industrial installations. </w:t>
      </w:r>
      <w:r w:rsidRPr="00564F8C">
        <w:rPr>
          <w:i/>
          <w:sz w:val="22"/>
          <w:szCs w:val="22"/>
        </w:rPr>
        <w:t>J Occupational Accidents</w:t>
      </w:r>
      <w:r w:rsidRPr="00564F8C">
        <w:rPr>
          <w:sz w:val="22"/>
          <w:szCs w:val="22"/>
        </w:rPr>
        <w:t xml:space="preserve"> 1982;4: 311-333</w:t>
      </w:r>
    </w:p>
    <w:p w14:paraId="479BDE1D" w14:textId="77777777" w:rsidR="00B25214" w:rsidRDefault="00B25214">
      <w:pPr>
        <w:rPr>
          <w:b/>
          <w:smallCaps/>
          <w:spacing w:val="5"/>
          <w:sz w:val="28"/>
          <w:szCs w:val="28"/>
        </w:rPr>
      </w:pPr>
      <w:r>
        <w:rPr>
          <w:b/>
          <w:sz w:val="28"/>
          <w:szCs w:val="28"/>
        </w:rPr>
        <w:br w:type="page"/>
      </w:r>
    </w:p>
    <w:p w14:paraId="41A4D2AE" w14:textId="77777777" w:rsidR="00B25214" w:rsidRDefault="00B25214" w:rsidP="00B25214">
      <w:pPr>
        <w:pStyle w:val="Heading1"/>
        <w:rPr>
          <w:b/>
          <w:sz w:val="24"/>
          <w:szCs w:val="24"/>
        </w:rPr>
      </w:pPr>
      <w:r>
        <w:rPr>
          <w:b/>
          <w:sz w:val="24"/>
          <w:szCs w:val="24"/>
        </w:rPr>
        <w:lastRenderedPageBreak/>
        <w:t>T</w:t>
      </w:r>
      <w:r w:rsidRPr="00DB011F">
        <w:rPr>
          <w:b/>
          <w:sz w:val="24"/>
          <w:szCs w:val="24"/>
        </w:rPr>
        <w:t>ables</w:t>
      </w:r>
    </w:p>
    <w:p w14:paraId="6B333660" w14:textId="77777777" w:rsidR="00B25214" w:rsidRPr="00DB011F" w:rsidRDefault="00B25214" w:rsidP="00B25214"/>
    <w:p w14:paraId="26B9E08F" w14:textId="77777777" w:rsidR="00B25214" w:rsidRPr="00677EBD" w:rsidRDefault="00B25214" w:rsidP="00B25214">
      <w:pPr>
        <w:spacing w:line="480" w:lineRule="auto"/>
        <w:jc w:val="both"/>
        <w:rPr>
          <w:b/>
          <w:bCs/>
          <w:sz w:val="22"/>
          <w:szCs w:val="22"/>
        </w:rPr>
      </w:pPr>
      <w:r>
        <w:rPr>
          <w:b/>
          <w:bCs/>
          <w:sz w:val="22"/>
          <w:szCs w:val="22"/>
        </w:rPr>
        <w:t xml:space="preserve">Table 1- </w:t>
      </w:r>
      <w:r w:rsidRPr="00677EBD">
        <w:rPr>
          <w:b/>
          <w:bCs/>
          <w:sz w:val="22"/>
          <w:szCs w:val="22"/>
        </w:rPr>
        <w:t>Type of safety problem ranked by mean score on a visual analogue scale</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6300"/>
        <w:gridCol w:w="1080"/>
      </w:tblGrid>
      <w:tr w:rsidR="00B25214" w:rsidRPr="00817C27" w14:paraId="67BD6E15" w14:textId="77777777" w:rsidTr="008B33DA">
        <w:tc>
          <w:tcPr>
            <w:tcW w:w="900" w:type="dxa"/>
          </w:tcPr>
          <w:p w14:paraId="43E8A624" w14:textId="77777777" w:rsidR="00B25214" w:rsidRPr="00817C27" w:rsidRDefault="00B25214" w:rsidP="008B33DA">
            <w:pPr>
              <w:jc w:val="both"/>
              <w:rPr>
                <w:b/>
                <w:sz w:val="22"/>
                <w:szCs w:val="22"/>
              </w:rPr>
            </w:pPr>
            <w:r w:rsidRPr="00817C27">
              <w:rPr>
                <w:b/>
                <w:sz w:val="22"/>
                <w:szCs w:val="22"/>
              </w:rPr>
              <w:t>N</w:t>
            </w:r>
          </w:p>
        </w:tc>
        <w:tc>
          <w:tcPr>
            <w:tcW w:w="6300" w:type="dxa"/>
          </w:tcPr>
          <w:p w14:paraId="4F3A84E6" w14:textId="77777777" w:rsidR="00B25214" w:rsidRPr="00817C27" w:rsidRDefault="00B25214" w:rsidP="008B33DA">
            <w:pPr>
              <w:jc w:val="both"/>
              <w:rPr>
                <w:b/>
                <w:sz w:val="22"/>
                <w:szCs w:val="22"/>
              </w:rPr>
            </w:pPr>
            <w:r w:rsidRPr="00817C27">
              <w:rPr>
                <w:b/>
                <w:sz w:val="22"/>
                <w:szCs w:val="22"/>
              </w:rPr>
              <w:t>Safety problem descriptor</w:t>
            </w:r>
          </w:p>
        </w:tc>
        <w:tc>
          <w:tcPr>
            <w:tcW w:w="1080" w:type="dxa"/>
          </w:tcPr>
          <w:p w14:paraId="130952E2" w14:textId="77777777" w:rsidR="00B25214" w:rsidRPr="00817C27" w:rsidRDefault="00B25214" w:rsidP="008B33DA">
            <w:pPr>
              <w:jc w:val="both"/>
              <w:rPr>
                <w:b/>
                <w:sz w:val="22"/>
                <w:szCs w:val="22"/>
              </w:rPr>
            </w:pPr>
            <w:r w:rsidRPr="00817C27">
              <w:rPr>
                <w:b/>
                <w:sz w:val="22"/>
                <w:szCs w:val="22"/>
              </w:rPr>
              <w:t>Mean score/ 10</w:t>
            </w:r>
          </w:p>
        </w:tc>
      </w:tr>
      <w:tr w:rsidR="00B25214" w:rsidRPr="00817C27" w14:paraId="03746AAC" w14:textId="77777777" w:rsidTr="008B33DA">
        <w:tc>
          <w:tcPr>
            <w:tcW w:w="900" w:type="dxa"/>
          </w:tcPr>
          <w:p w14:paraId="69350E7E" w14:textId="77777777" w:rsidR="00B25214" w:rsidRPr="00817C27" w:rsidRDefault="00B25214" w:rsidP="008B33DA">
            <w:pPr>
              <w:jc w:val="both"/>
              <w:rPr>
                <w:color w:val="000000"/>
                <w:sz w:val="22"/>
                <w:szCs w:val="22"/>
              </w:rPr>
            </w:pPr>
            <w:r w:rsidRPr="00817C27">
              <w:rPr>
                <w:color w:val="000000"/>
                <w:sz w:val="22"/>
                <w:szCs w:val="22"/>
              </w:rPr>
              <w:t>1</w:t>
            </w:r>
          </w:p>
        </w:tc>
        <w:tc>
          <w:tcPr>
            <w:tcW w:w="6300" w:type="dxa"/>
          </w:tcPr>
          <w:p w14:paraId="3379E312" w14:textId="77777777" w:rsidR="00B25214" w:rsidRPr="00817C27" w:rsidRDefault="00B25214" w:rsidP="008B33DA">
            <w:pPr>
              <w:jc w:val="both"/>
              <w:rPr>
                <w:sz w:val="22"/>
                <w:szCs w:val="22"/>
              </w:rPr>
            </w:pPr>
            <w:r w:rsidRPr="00817C27">
              <w:rPr>
                <w:color w:val="000000"/>
                <w:sz w:val="22"/>
                <w:szCs w:val="22"/>
              </w:rPr>
              <w:t xml:space="preserve">Routine difficulties with access to medical records in post discharge clinics leads to decisions being made without adequate background information   </w:t>
            </w:r>
          </w:p>
        </w:tc>
        <w:tc>
          <w:tcPr>
            <w:tcW w:w="1080" w:type="dxa"/>
          </w:tcPr>
          <w:p w14:paraId="66090792" w14:textId="77777777" w:rsidR="00B25214" w:rsidRPr="00817C27" w:rsidRDefault="00B25214" w:rsidP="008B33DA">
            <w:pPr>
              <w:jc w:val="both"/>
              <w:rPr>
                <w:sz w:val="22"/>
                <w:szCs w:val="22"/>
              </w:rPr>
            </w:pPr>
            <w:r w:rsidRPr="00817C27">
              <w:rPr>
                <w:sz w:val="22"/>
                <w:szCs w:val="22"/>
              </w:rPr>
              <w:t>6.9</w:t>
            </w:r>
          </w:p>
        </w:tc>
      </w:tr>
      <w:tr w:rsidR="00B25214" w:rsidRPr="00817C27" w14:paraId="357BF4A4" w14:textId="77777777" w:rsidTr="008B33DA">
        <w:tc>
          <w:tcPr>
            <w:tcW w:w="900" w:type="dxa"/>
          </w:tcPr>
          <w:p w14:paraId="242CFAEA" w14:textId="77777777" w:rsidR="00B25214" w:rsidRPr="00817C27" w:rsidRDefault="00B25214" w:rsidP="008B33DA">
            <w:pPr>
              <w:jc w:val="both"/>
              <w:rPr>
                <w:color w:val="000000"/>
                <w:sz w:val="22"/>
                <w:szCs w:val="22"/>
              </w:rPr>
            </w:pPr>
            <w:r w:rsidRPr="00817C27">
              <w:rPr>
                <w:color w:val="000000"/>
                <w:sz w:val="22"/>
                <w:szCs w:val="22"/>
              </w:rPr>
              <w:t>2</w:t>
            </w:r>
          </w:p>
        </w:tc>
        <w:tc>
          <w:tcPr>
            <w:tcW w:w="6300" w:type="dxa"/>
          </w:tcPr>
          <w:p w14:paraId="6CA29FD9" w14:textId="77777777" w:rsidR="00B25214" w:rsidRPr="00817C27" w:rsidRDefault="00B25214" w:rsidP="008B33DA">
            <w:pPr>
              <w:jc w:val="both"/>
              <w:rPr>
                <w:sz w:val="22"/>
                <w:szCs w:val="22"/>
              </w:rPr>
            </w:pPr>
            <w:r w:rsidRPr="00817C27">
              <w:rPr>
                <w:color w:val="000000"/>
                <w:sz w:val="22"/>
                <w:szCs w:val="22"/>
              </w:rPr>
              <w:t>For a variety of reasons, information about discharged patients sometimes does not reach relevant primary care staff</w:t>
            </w:r>
          </w:p>
        </w:tc>
        <w:tc>
          <w:tcPr>
            <w:tcW w:w="1080" w:type="dxa"/>
          </w:tcPr>
          <w:p w14:paraId="35DB348E" w14:textId="77777777" w:rsidR="00B25214" w:rsidRPr="00817C27" w:rsidRDefault="00B25214" w:rsidP="008B33DA">
            <w:pPr>
              <w:jc w:val="both"/>
              <w:rPr>
                <w:sz w:val="22"/>
                <w:szCs w:val="22"/>
              </w:rPr>
            </w:pPr>
            <w:r w:rsidRPr="00817C27">
              <w:rPr>
                <w:sz w:val="22"/>
                <w:szCs w:val="22"/>
              </w:rPr>
              <w:t>6.8</w:t>
            </w:r>
          </w:p>
        </w:tc>
      </w:tr>
      <w:tr w:rsidR="00B25214" w:rsidRPr="00817C27" w14:paraId="002A04E8" w14:textId="77777777" w:rsidTr="008B33DA">
        <w:tc>
          <w:tcPr>
            <w:tcW w:w="900" w:type="dxa"/>
          </w:tcPr>
          <w:p w14:paraId="6F65153C" w14:textId="77777777" w:rsidR="00B25214" w:rsidRPr="00817C27" w:rsidRDefault="00B25214" w:rsidP="008B33DA">
            <w:pPr>
              <w:jc w:val="both"/>
              <w:rPr>
                <w:color w:val="000000"/>
                <w:sz w:val="22"/>
                <w:szCs w:val="22"/>
              </w:rPr>
            </w:pPr>
            <w:r w:rsidRPr="00817C27">
              <w:rPr>
                <w:color w:val="000000"/>
                <w:sz w:val="22"/>
                <w:szCs w:val="22"/>
              </w:rPr>
              <w:t>3</w:t>
            </w:r>
          </w:p>
        </w:tc>
        <w:tc>
          <w:tcPr>
            <w:tcW w:w="6300" w:type="dxa"/>
          </w:tcPr>
          <w:p w14:paraId="13ECA0F3" w14:textId="77777777" w:rsidR="00B25214" w:rsidRPr="00817C27" w:rsidRDefault="00B25214" w:rsidP="008B33DA">
            <w:pPr>
              <w:jc w:val="both"/>
              <w:rPr>
                <w:sz w:val="22"/>
                <w:szCs w:val="22"/>
              </w:rPr>
            </w:pPr>
            <w:r w:rsidRPr="00817C27">
              <w:rPr>
                <w:color w:val="000000"/>
                <w:sz w:val="22"/>
                <w:szCs w:val="22"/>
              </w:rPr>
              <w:t xml:space="preserve">Patients are at risk when medication changes during admission are not communicated to primary care </w:t>
            </w:r>
          </w:p>
        </w:tc>
        <w:tc>
          <w:tcPr>
            <w:tcW w:w="1080" w:type="dxa"/>
          </w:tcPr>
          <w:p w14:paraId="77E75162" w14:textId="77777777" w:rsidR="00B25214" w:rsidRPr="00817C27" w:rsidRDefault="00B25214" w:rsidP="008B33DA">
            <w:pPr>
              <w:jc w:val="both"/>
              <w:rPr>
                <w:sz w:val="22"/>
                <w:szCs w:val="22"/>
              </w:rPr>
            </w:pPr>
            <w:r w:rsidRPr="00817C27">
              <w:rPr>
                <w:sz w:val="22"/>
                <w:szCs w:val="22"/>
              </w:rPr>
              <w:t>6.0</w:t>
            </w:r>
          </w:p>
        </w:tc>
      </w:tr>
      <w:tr w:rsidR="00B25214" w:rsidRPr="00817C27" w14:paraId="44C83D56" w14:textId="77777777" w:rsidTr="008B33DA">
        <w:tc>
          <w:tcPr>
            <w:tcW w:w="900" w:type="dxa"/>
          </w:tcPr>
          <w:p w14:paraId="670AE5C3" w14:textId="77777777" w:rsidR="00B25214" w:rsidRPr="00817C27" w:rsidRDefault="00B25214" w:rsidP="008B33DA">
            <w:pPr>
              <w:jc w:val="both"/>
              <w:rPr>
                <w:color w:val="000000"/>
                <w:sz w:val="22"/>
                <w:szCs w:val="22"/>
              </w:rPr>
            </w:pPr>
            <w:r w:rsidRPr="00817C27">
              <w:rPr>
                <w:color w:val="000000"/>
                <w:sz w:val="22"/>
                <w:szCs w:val="22"/>
              </w:rPr>
              <w:t>4</w:t>
            </w:r>
          </w:p>
        </w:tc>
        <w:tc>
          <w:tcPr>
            <w:tcW w:w="6300" w:type="dxa"/>
          </w:tcPr>
          <w:p w14:paraId="281D4D7F" w14:textId="77777777" w:rsidR="00B25214" w:rsidRPr="00817C27" w:rsidRDefault="00B25214" w:rsidP="008B33DA">
            <w:pPr>
              <w:jc w:val="both"/>
              <w:rPr>
                <w:sz w:val="22"/>
                <w:szCs w:val="22"/>
              </w:rPr>
            </w:pPr>
            <w:r w:rsidRPr="00817C27">
              <w:rPr>
                <w:color w:val="000000"/>
                <w:sz w:val="22"/>
                <w:szCs w:val="22"/>
              </w:rPr>
              <w:t xml:space="preserve">The service is vulnerable during periods of staff sickness, which may also affect staff morale  </w:t>
            </w:r>
          </w:p>
        </w:tc>
        <w:tc>
          <w:tcPr>
            <w:tcW w:w="1080" w:type="dxa"/>
          </w:tcPr>
          <w:p w14:paraId="0732D955" w14:textId="77777777" w:rsidR="00B25214" w:rsidRPr="00817C27" w:rsidRDefault="00B25214" w:rsidP="008B33DA">
            <w:pPr>
              <w:jc w:val="both"/>
              <w:rPr>
                <w:sz w:val="22"/>
                <w:szCs w:val="22"/>
              </w:rPr>
            </w:pPr>
            <w:r w:rsidRPr="00817C27">
              <w:rPr>
                <w:sz w:val="22"/>
                <w:szCs w:val="22"/>
              </w:rPr>
              <w:t>5.5</w:t>
            </w:r>
          </w:p>
        </w:tc>
      </w:tr>
      <w:tr w:rsidR="00B25214" w:rsidRPr="00817C27" w14:paraId="77628681" w14:textId="77777777" w:rsidTr="008B33DA">
        <w:tc>
          <w:tcPr>
            <w:tcW w:w="900" w:type="dxa"/>
          </w:tcPr>
          <w:p w14:paraId="50E5F391" w14:textId="77777777" w:rsidR="00B25214" w:rsidRPr="00817C27" w:rsidRDefault="00B25214" w:rsidP="008B33DA">
            <w:pPr>
              <w:jc w:val="both"/>
              <w:rPr>
                <w:sz w:val="22"/>
                <w:szCs w:val="22"/>
              </w:rPr>
            </w:pPr>
            <w:r w:rsidRPr="00817C27">
              <w:rPr>
                <w:sz w:val="22"/>
                <w:szCs w:val="22"/>
              </w:rPr>
              <w:t>5</w:t>
            </w:r>
          </w:p>
        </w:tc>
        <w:tc>
          <w:tcPr>
            <w:tcW w:w="6300" w:type="dxa"/>
          </w:tcPr>
          <w:p w14:paraId="20BDEE06" w14:textId="77777777" w:rsidR="00B25214" w:rsidRPr="00817C27" w:rsidRDefault="00B25214" w:rsidP="008B33DA">
            <w:pPr>
              <w:jc w:val="both"/>
              <w:rPr>
                <w:sz w:val="22"/>
                <w:szCs w:val="22"/>
              </w:rPr>
            </w:pPr>
            <w:r w:rsidRPr="00817C27">
              <w:rPr>
                <w:sz w:val="22"/>
                <w:szCs w:val="22"/>
              </w:rPr>
              <w:t xml:space="preserve">Difficulty in communicating with the bed bureau can put patients at risk </w:t>
            </w:r>
          </w:p>
        </w:tc>
        <w:tc>
          <w:tcPr>
            <w:tcW w:w="1080" w:type="dxa"/>
          </w:tcPr>
          <w:p w14:paraId="316128AF" w14:textId="77777777" w:rsidR="00B25214" w:rsidRPr="00817C27" w:rsidRDefault="00B25214" w:rsidP="008B33DA">
            <w:pPr>
              <w:jc w:val="both"/>
              <w:rPr>
                <w:sz w:val="22"/>
                <w:szCs w:val="22"/>
              </w:rPr>
            </w:pPr>
            <w:r w:rsidRPr="00817C27">
              <w:rPr>
                <w:sz w:val="22"/>
                <w:szCs w:val="22"/>
              </w:rPr>
              <w:t>5.4</w:t>
            </w:r>
          </w:p>
        </w:tc>
      </w:tr>
      <w:tr w:rsidR="00B25214" w:rsidRPr="00817C27" w14:paraId="0B98882E" w14:textId="77777777" w:rsidTr="008B33DA">
        <w:tc>
          <w:tcPr>
            <w:tcW w:w="900" w:type="dxa"/>
          </w:tcPr>
          <w:p w14:paraId="19CF0744" w14:textId="77777777" w:rsidR="00B25214" w:rsidRPr="00817C27" w:rsidRDefault="00B25214" w:rsidP="008B33DA">
            <w:pPr>
              <w:jc w:val="both"/>
              <w:rPr>
                <w:noProof/>
                <w:color w:val="000000"/>
                <w:sz w:val="22"/>
                <w:szCs w:val="22"/>
              </w:rPr>
            </w:pPr>
            <w:r w:rsidRPr="00817C27">
              <w:rPr>
                <w:noProof/>
                <w:color w:val="000000"/>
                <w:sz w:val="22"/>
                <w:szCs w:val="22"/>
              </w:rPr>
              <w:t>6</w:t>
            </w:r>
          </w:p>
        </w:tc>
        <w:tc>
          <w:tcPr>
            <w:tcW w:w="6300" w:type="dxa"/>
          </w:tcPr>
          <w:p w14:paraId="36566DAE" w14:textId="77777777" w:rsidR="00B25214" w:rsidRPr="00817C27" w:rsidRDefault="00B25214" w:rsidP="008B33DA">
            <w:pPr>
              <w:jc w:val="both"/>
              <w:rPr>
                <w:sz w:val="22"/>
                <w:szCs w:val="22"/>
              </w:rPr>
            </w:pPr>
            <w:r w:rsidRPr="00817C27">
              <w:rPr>
                <w:noProof/>
                <w:color w:val="000000"/>
                <w:sz w:val="22"/>
                <w:szCs w:val="22"/>
              </w:rPr>
              <w:t xml:space="preserve">The provision of a differential service across the two hospitals may lead to a variation in the quality of the care provided  </w:t>
            </w:r>
          </w:p>
        </w:tc>
        <w:tc>
          <w:tcPr>
            <w:tcW w:w="1080" w:type="dxa"/>
          </w:tcPr>
          <w:p w14:paraId="2CBA8BF9" w14:textId="77777777" w:rsidR="00B25214" w:rsidRPr="00817C27" w:rsidRDefault="00B25214" w:rsidP="008B33DA">
            <w:pPr>
              <w:jc w:val="both"/>
              <w:rPr>
                <w:sz w:val="22"/>
                <w:szCs w:val="22"/>
              </w:rPr>
            </w:pPr>
            <w:r w:rsidRPr="00817C27">
              <w:rPr>
                <w:sz w:val="22"/>
                <w:szCs w:val="22"/>
              </w:rPr>
              <w:t>5.2</w:t>
            </w:r>
          </w:p>
        </w:tc>
      </w:tr>
      <w:tr w:rsidR="00B25214" w:rsidRPr="00817C27" w14:paraId="01E32086" w14:textId="77777777" w:rsidTr="008B33DA">
        <w:tc>
          <w:tcPr>
            <w:tcW w:w="900" w:type="dxa"/>
          </w:tcPr>
          <w:p w14:paraId="75AD1371" w14:textId="77777777" w:rsidR="00B25214" w:rsidRPr="00817C27" w:rsidRDefault="00B25214" w:rsidP="008B33DA">
            <w:pPr>
              <w:jc w:val="both"/>
              <w:rPr>
                <w:color w:val="000000"/>
                <w:sz w:val="22"/>
                <w:szCs w:val="22"/>
              </w:rPr>
            </w:pPr>
            <w:r w:rsidRPr="00817C27">
              <w:rPr>
                <w:color w:val="000000"/>
                <w:sz w:val="22"/>
                <w:szCs w:val="22"/>
              </w:rPr>
              <w:t>7</w:t>
            </w:r>
          </w:p>
        </w:tc>
        <w:tc>
          <w:tcPr>
            <w:tcW w:w="6300" w:type="dxa"/>
          </w:tcPr>
          <w:p w14:paraId="0BCFC1E0" w14:textId="77777777" w:rsidR="00B25214" w:rsidRPr="00817C27" w:rsidRDefault="00B25214" w:rsidP="008B33DA">
            <w:pPr>
              <w:jc w:val="both"/>
              <w:rPr>
                <w:sz w:val="22"/>
                <w:szCs w:val="22"/>
              </w:rPr>
            </w:pPr>
            <w:r w:rsidRPr="00817C27">
              <w:rPr>
                <w:color w:val="000000"/>
                <w:sz w:val="22"/>
                <w:szCs w:val="22"/>
              </w:rPr>
              <w:t xml:space="preserve">Some primary care staff appear to be unsure of the aim of the supported discharge programme, and of the care provided </w:t>
            </w:r>
          </w:p>
        </w:tc>
        <w:tc>
          <w:tcPr>
            <w:tcW w:w="1080" w:type="dxa"/>
          </w:tcPr>
          <w:p w14:paraId="3C4D708A" w14:textId="77777777" w:rsidR="00B25214" w:rsidRPr="00817C27" w:rsidRDefault="00B25214" w:rsidP="008B33DA">
            <w:pPr>
              <w:jc w:val="both"/>
              <w:rPr>
                <w:sz w:val="22"/>
                <w:szCs w:val="22"/>
              </w:rPr>
            </w:pPr>
            <w:r w:rsidRPr="00817C27">
              <w:rPr>
                <w:sz w:val="22"/>
                <w:szCs w:val="22"/>
              </w:rPr>
              <w:t>5.0</w:t>
            </w:r>
          </w:p>
        </w:tc>
      </w:tr>
      <w:tr w:rsidR="00B25214" w:rsidRPr="00817C27" w14:paraId="52C51C50" w14:textId="77777777" w:rsidTr="008B33DA">
        <w:tc>
          <w:tcPr>
            <w:tcW w:w="900" w:type="dxa"/>
          </w:tcPr>
          <w:p w14:paraId="0163659D" w14:textId="77777777" w:rsidR="00B25214" w:rsidRPr="00817C27" w:rsidRDefault="00B25214" w:rsidP="008B33DA">
            <w:pPr>
              <w:jc w:val="both"/>
              <w:rPr>
                <w:sz w:val="22"/>
                <w:szCs w:val="22"/>
              </w:rPr>
            </w:pPr>
            <w:r w:rsidRPr="00817C27">
              <w:rPr>
                <w:sz w:val="22"/>
                <w:szCs w:val="22"/>
              </w:rPr>
              <w:t>8</w:t>
            </w:r>
          </w:p>
        </w:tc>
        <w:tc>
          <w:tcPr>
            <w:tcW w:w="6300" w:type="dxa"/>
          </w:tcPr>
          <w:p w14:paraId="5D3DDC9A" w14:textId="77777777" w:rsidR="00B25214" w:rsidRPr="00817C27" w:rsidRDefault="00B25214" w:rsidP="008B33DA">
            <w:pPr>
              <w:jc w:val="both"/>
              <w:rPr>
                <w:sz w:val="22"/>
                <w:szCs w:val="22"/>
              </w:rPr>
            </w:pPr>
            <w:r w:rsidRPr="00817C27">
              <w:rPr>
                <w:sz w:val="22"/>
                <w:szCs w:val="22"/>
              </w:rPr>
              <w:t xml:space="preserve">Patients are at risk when patients do not bring their home care treatment/record with them on re-admission  </w:t>
            </w:r>
          </w:p>
        </w:tc>
        <w:tc>
          <w:tcPr>
            <w:tcW w:w="1080" w:type="dxa"/>
          </w:tcPr>
          <w:p w14:paraId="2944E2FF" w14:textId="77777777" w:rsidR="00B25214" w:rsidRPr="00817C27" w:rsidRDefault="00B25214" w:rsidP="008B33DA">
            <w:pPr>
              <w:jc w:val="both"/>
              <w:rPr>
                <w:sz w:val="22"/>
                <w:szCs w:val="22"/>
              </w:rPr>
            </w:pPr>
            <w:r w:rsidRPr="00817C27">
              <w:rPr>
                <w:sz w:val="22"/>
                <w:szCs w:val="22"/>
              </w:rPr>
              <w:t>5.0</w:t>
            </w:r>
          </w:p>
        </w:tc>
      </w:tr>
      <w:tr w:rsidR="00B25214" w:rsidRPr="00817C27" w14:paraId="1EE41190" w14:textId="77777777" w:rsidTr="008B33DA">
        <w:tc>
          <w:tcPr>
            <w:tcW w:w="900" w:type="dxa"/>
          </w:tcPr>
          <w:p w14:paraId="6EDC146F" w14:textId="77777777" w:rsidR="00B25214" w:rsidRPr="00817C27" w:rsidRDefault="00B25214" w:rsidP="008B33DA">
            <w:pPr>
              <w:jc w:val="both"/>
              <w:rPr>
                <w:color w:val="000000"/>
                <w:sz w:val="22"/>
                <w:szCs w:val="22"/>
              </w:rPr>
            </w:pPr>
            <w:r w:rsidRPr="00817C27">
              <w:rPr>
                <w:color w:val="000000"/>
                <w:sz w:val="22"/>
                <w:szCs w:val="22"/>
              </w:rPr>
              <w:t>9</w:t>
            </w:r>
          </w:p>
        </w:tc>
        <w:tc>
          <w:tcPr>
            <w:tcW w:w="6300" w:type="dxa"/>
          </w:tcPr>
          <w:p w14:paraId="0C08CB55" w14:textId="77777777" w:rsidR="00B25214" w:rsidRPr="00817C27" w:rsidRDefault="00B25214" w:rsidP="008B33DA">
            <w:pPr>
              <w:jc w:val="both"/>
              <w:rPr>
                <w:sz w:val="22"/>
                <w:szCs w:val="22"/>
              </w:rPr>
            </w:pPr>
            <w:r w:rsidRPr="00817C27">
              <w:rPr>
                <w:color w:val="000000"/>
                <w:sz w:val="22"/>
                <w:szCs w:val="22"/>
              </w:rPr>
              <w:t xml:space="preserve">Making and keeping hospital appointments can be a problem </w:t>
            </w:r>
          </w:p>
        </w:tc>
        <w:tc>
          <w:tcPr>
            <w:tcW w:w="1080" w:type="dxa"/>
          </w:tcPr>
          <w:p w14:paraId="486D29A9" w14:textId="77777777" w:rsidR="00B25214" w:rsidRPr="00817C27" w:rsidRDefault="00B25214" w:rsidP="008B33DA">
            <w:pPr>
              <w:jc w:val="both"/>
              <w:rPr>
                <w:sz w:val="22"/>
                <w:szCs w:val="22"/>
              </w:rPr>
            </w:pPr>
            <w:r w:rsidRPr="00817C27">
              <w:rPr>
                <w:sz w:val="22"/>
                <w:szCs w:val="22"/>
              </w:rPr>
              <w:t>4.9</w:t>
            </w:r>
          </w:p>
        </w:tc>
      </w:tr>
      <w:tr w:rsidR="00B25214" w:rsidRPr="00817C27" w14:paraId="65B5C35C" w14:textId="77777777" w:rsidTr="008B33DA">
        <w:tc>
          <w:tcPr>
            <w:tcW w:w="900" w:type="dxa"/>
          </w:tcPr>
          <w:p w14:paraId="2E827AA2" w14:textId="77777777" w:rsidR="00B25214" w:rsidRPr="00817C27" w:rsidRDefault="00B25214" w:rsidP="008B33DA">
            <w:pPr>
              <w:jc w:val="both"/>
              <w:rPr>
                <w:sz w:val="22"/>
                <w:szCs w:val="22"/>
              </w:rPr>
            </w:pPr>
            <w:r w:rsidRPr="00817C27">
              <w:rPr>
                <w:sz w:val="22"/>
                <w:szCs w:val="22"/>
              </w:rPr>
              <w:t>10</w:t>
            </w:r>
          </w:p>
        </w:tc>
        <w:tc>
          <w:tcPr>
            <w:tcW w:w="6300" w:type="dxa"/>
          </w:tcPr>
          <w:p w14:paraId="5EA770F7" w14:textId="77777777" w:rsidR="00B25214" w:rsidRPr="00817C27" w:rsidRDefault="00B25214" w:rsidP="008B33DA">
            <w:pPr>
              <w:jc w:val="both"/>
              <w:rPr>
                <w:sz w:val="22"/>
                <w:szCs w:val="22"/>
              </w:rPr>
            </w:pPr>
            <w:r w:rsidRPr="00817C27">
              <w:rPr>
                <w:sz w:val="22"/>
                <w:szCs w:val="22"/>
              </w:rPr>
              <w:t xml:space="preserve">Lack of clarity on the part of non-COPD Hospital Staff about the re-admission process leads to quality variation and admission delays, misdirection of patients and inefficiencies </w:t>
            </w:r>
          </w:p>
        </w:tc>
        <w:tc>
          <w:tcPr>
            <w:tcW w:w="1080" w:type="dxa"/>
          </w:tcPr>
          <w:p w14:paraId="58A5A4F2" w14:textId="77777777" w:rsidR="00B25214" w:rsidRPr="00817C27" w:rsidRDefault="00B25214" w:rsidP="008B33DA">
            <w:pPr>
              <w:jc w:val="both"/>
              <w:rPr>
                <w:sz w:val="22"/>
                <w:szCs w:val="22"/>
              </w:rPr>
            </w:pPr>
            <w:r w:rsidRPr="00817C27">
              <w:rPr>
                <w:sz w:val="22"/>
                <w:szCs w:val="22"/>
              </w:rPr>
              <w:t>4.6</w:t>
            </w:r>
          </w:p>
        </w:tc>
      </w:tr>
      <w:tr w:rsidR="00B25214" w:rsidRPr="00817C27" w14:paraId="0A74C80F" w14:textId="77777777" w:rsidTr="008B33DA">
        <w:tc>
          <w:tcPr>
            <w:tcW w:w="900" w:type="dxa"/>
          </w:tcPr>
          <w:p w14:paraId="09148C66" w14:textId="77777777" w:rsidR="00B25214" w:rsidRPr="00817C27" w:rsidRDefault="00B25214" w:rsidP="008B33DA">
            <w:pPr>
              <w:jc w:val="both"/>
              <w:rPr>
                <w:color w:val="000000"/>
                <w:sz w:val="22"/>
                <w:szCs w:val="22"/>
              </w:rPr>
            </w:pPr>
            <w:r w:rsidRPr="00817C27">
              <w:rPr>
                <w:color w:val="000000"/>
                <w:sz w:val="22"/>
                <w:szCs w:val="22"/>
              </w:rPr>
              <w:t>11</w:t>
            </w:r>
          </w:p>
        </w:tc>
        <w:tc>
          <w:tcPr>
            <w:tcW w:w="6300" w:type="dxa"/>
          </w:tcPr>
          <w:p w14:paraId="745ACEB6" w14:textId="77777777" w:rsidR="00B25214" w:rsidRPr="00817C27" w:rsidRDefault="00B25214" w:rsidP="008B33DA">
            <w:pPr>
              <w:jc w:val="both"/>
              <w:rPr>
                <w:sz w:val="22"/>
                <w:szCs w:val="22"/>
              </w:rPr>
            </w:pPr>
            <w:r w:rsidRPr="00817C27">
              <w:rPr>
                <w:color w:val="000000"/>
                <w:sz w:val="22"/>
                <w:szCs w:val="22"/>
              </w:rPr>
              <w:t xml:space="preserve">Technical difficulties with telephone communications between staff and between staff and patients is a possible safety risk </w:t>
            </w:r>
          </w:p>
        </w:tc>
        <w:tc>
          <w:tcPr>
            <w:tcW w:w="1080" w:type="dxa"/>
          </w:tcPr>
          <w:p w14:paraId="5AB91C05" w14:textId="77777777" w:rsidR="00B25214" w:rsidRPr="00817C27" w:rsidRDefault="00B25214" w:rsidP="008B33DA">
            <w:pPr>
              <w:jc w:val="both"/>
              <w:rPr>
                <w:sz w:val="22"/>
                <w:szCs w:val="22"/>
              </w:rPr>
            </w:pPr>
            <w:r w:rsidRPr="00817C27">
              <w:rPr>
                <w:sz w:val="22"/>
                <w:szCs w:val="22"/>
              </w:rPr>
              <w:t>4.5</w:t>
            </w:r>
          </w:p>
        </w:tc>
      </w:tr>
      <w:tr w:rsidR="00B25214" w:rsidRPr="00817C27" w14:paraId="424B30AA" w14:textId="77777777" w:rsidTr="008B33DA">
        <w:tc>
          <w:tcPr>
            <w:tcW w:w="900" w:type="dxa"/>
          </w:tcPr>
          <w:p w14:paraId="3D2B8B91" w14:textId="77777777" w:rsidR="00B25214" w:rsidRPr="00817C27" w:rsidRDefault="00B25214" w:rsidP="008B33DA">
            <w:pPr>
              <w:jc w:val="both"/>
              <w:rPr>
                <w:sz w:val="22"/>
                <w:szCs w:val="22"/>
              </w:rPr>
            </w:pPr>
            <w:r w:rsidRPr="00817C27">
              <w:rPr>
                <w:sz w:val="22"/>
                <w:szCs w:val="22"/>
              </w:rPr>
              <w:t>12</w:t>
            </w:r>
          </w:p>
        </w:tc>
        <w:tc>
          <w:tcPr>
            <w:tcW w:w="6300" w:type="dxa"/>
          </w:tcPr>
          <w:p w14:paraId="4A960248" w14:textId="77777777" w:rsidR="00B25214" w:rsidRPr="00817C27" w:rsidRDefault="00B25214" w:rsidP="008B33DA">
            <w:pPr>
              <w:jc w:val="both"/>
              <w:rPr>
                <w:sz w:val="22"/>
                <w:szCs w:val="22"/>
              </w:rPr>
            </w:pPr>
            <w:r w:rsidRPr="00817C27">
              <w:rPr>
                <w:sz w:val="22"/>
                <w:szCs w:val="22"/>
              </w:rPr>
              <w:t xml:space="preserve">Quality variation and inefficiencies occur because the COPD Supported Discharge Programme does not have a high priority, compared with other hospital services  </w:t>
            </w:r>
          </w:p>
        </w:tc>
        <w:tc>
          <w:tcPr>
            <w:tcW w:w="1080" w:type="dxa"/>
          </w:tcPr>
          <w:p w14:paraId="77E25E5E" w14:textId="77777777" w:rsidR="00B25214" w:rsidRPr="00817C27" w:rsidRDefault="00B25214" w:rsidP="008B33DA">
            <w:pPr>
              <w:jc w:val="both"/>
              <w:rPr>
                <w:sz w:val="22"/>
                <w:szCs w:val="22"/>
              </w:rPr>
            </w:pPr>
            <w:r w:rsidRPr="00817C27">
              <w:rPr>
                <w:sz w:val="22"/>
                <w:szCs w:val="22"/>
              </w:rPr>
              <w:t>3.8</w:t>
            </w:r>
          </w:p>
        </w:tc>
      </w:tr>
    </w:tbl>
    <w:p w14:paraId="5996AE9E" w14:textId="77777777" w:rsidR="00B25214" w:rsidRDefault="00B25214" w:rsidP="00B25214">
      <w:pPr>
        <w:rPr>
          <w:b/>
        </w:rPr>
      </w:pPr>
      <w:r>
        <w:rPr>
          <w:b/>
        </w:rPr>
        <w:br w:type="page"/>
      </w:r>
    </w:p>
    <w:p w14:paraId="04B5BA78" w14:textId="77777777" w:rsidR="00564F8C" w:rsidRDefault="00564F8C" w:rsidP="00B90C6C">
      <w:pPr>
        <w:pStyle w:val="Heading1"/>
        <w:rPr>
          <w:b/>
          <w:sz w:val="28"/>
          <w:szCs w:val="28"/>
        </w:rPr>
      </w:pPr>
    </w:p>
    <w:p w14:paraId="4ABF439E" w14:textId="77777777" w:rsidR="00564F8C" w:rsidRDefault="00564F8C" w:rsidP="00B90C6C">
      <w:pPr>
        <w:pStyle w:val="Heading1"/>
        <w:rPr>
          <w:b/>
          <w:sz w:val="24"/>
          <w:szCs w:val="24"/>
        </w:rPr>
      </w:pPr>
    </w:p>
    <w:p w14:paraId="2691DCD1" w14:textId="77777777" w:rsidR="00B90C6C" w:rsidRPr="00DB011F" w:rsidRDefault="00B90C6C" w:rsidP="00DB011F">
      <w:pPr>
        <w:pStyle w:val="BodyText"/>
        <w:rPr>
          <w:b/>
        </w:rPr>
      </w:pPr>
      <w:r w:rsidRPr="00DB011F">
        <w:rPr>
          <w:b/>
        </w:rPr>
        <w:t>Figures</w:t>
      </w:r>
    </w:p>
    <w:p w14:paraId="44D0FE4A" w14:textId="77777777" w:rsidR="00B90C6C" w:rsidRPr="00564F8C" w:rsidRDefault="00B90C6C" w:rsidP="00B90C6C">
      <w:pPr>
        <w:pStyle w:val="Heading2"/>
        <w:rPr>
          <w:sz w:val="22"/>
          <w:szCs w:val="22"/>
        </w:rPr>
      </w:pPr>
      <w:r w:rsidRPr="00564F8C">
        <w:rPr>
          <w:sz w:val="22"/>
          <w:szCs w:val="22"/>
        </w:rPr>
        <w:t>Figure 1  - Adapted from Woods DD and Cook RI, Nine steps to move forward from error [20]</w:t>
      </w:r>
    </w:p>
    <w:p w14:paraId="20B837D9" w14:textId="77777777" w:rsidR="00B90C6C" w:rsidRPr="00564F8C" w:rsidRDefault="00B90C6C" w:rsidP="00B90C6C">
      <w:pPr>
        <w:pStyle w:val="Heading2"/>
        <w:rPr>
          <w:sz w:val="22"/>
          <w:szCs w:val="22"/>
        </w:rPr>
      </w:pPr>
      <w:r w:rsidRPr="00564F8C">
        <w:rPr>
          <w:sz w:val="22"/>
          <w:szCs w:val="22"/>
        </w:rPr>
        <w:t xml:space="preserve"> </w:t>
      </w:r>
    </w:p>
    <w:p w14:paraId="564346F0" w14:textId="77777777" w:rsidR="00B90C6C" w:rsidRPr="00564F8C" w:rsidRDefault="00B90C6C" w:rsidP="00151445">
      <w:pPr>
        <w:numPr>
          <w:ilvl w:val="0"/>
          <w:numId w:val="1"/>
        </w:numPr>
        <w:pBdr>
          <w:top w:val="single" w:sz="4" w:space="1" w:color="auto"/>
          <w:left w:val="single" w:sz="4" w:space="0" w:color="auto"/>
          <w:bottom w:val="single" w:sz="4" w:space="1" w:color="auto"/>
          <w:right w:val="single" w:sz="4" w:space="4" w:color="auto"/>
        </w:pBdr>
        <w:tabs>
          <w:tab w:val="num" w:pos="360"/>
        </w:tabs>
        <w:spacing w:after="0" w:line="480" w:lineRule="auto"/>
        <w:rPr>
          <w:sz w:val="22"/>
          <w:szCs w:val="22"/>
        </w:rPr>
      </w:pPr>
      <w:r w:rsidRPr="00564F8C">
        <w:rPr>
          <w:sz w:val="22"/>
          <w:szCs w:val="22"/>
        </w:rPr>
        <w:t>Pursue second stories beneath the surface to discover multiple contributors to a safety hazard</w:t>
      </w:r>
    </w:p>
    <w:p w14:paraId="6E054D7C" w14:textId="77777777" w:rsidR="00B90C6C" w:rsidRPr="00564F8C" w:rsidRDefault="00B90C6C" w:rsidP="00151445">
      <w:pPr>
        <w:numPr>
          <w:ilvl w:val="0"/>
          <w:numId w:val="1"/>
        </w:numPr>
        <w:pBdr>
          <w:top w:val="single" w:sz="4" w:space="1" w:color="auto"/>
          <w:left w:val="single" w:sz="4" w:space="0" w:color="auto"/>
          <w:bottom w:val="single" w:sz="4" w:space="1" w:color="auto"/>
          <w:right w:val="single" w:sz="4" w:space="4" w:color="auto"/>
        </w:pBdr>
        <w:spacing w:after="0" w:line="480" w:lineRule="auto"/>
        <w:jc w:val="both"/>
        <w:rPr>
          <w:sz w:val="22"/>
          <w:szCs w:val="22"/>
        </w:rPr>
      </w:pPr>
      <w:r w:rsidRPr="00564F8C">
        <w:rPr>
          <w:sz w:val="22"/>
          <w:szCs w:val="22"/>
        </w:rPr>
        <w:t>Understand work as performed at the sharp end of the system (and not depend on being told how it is intended to be)</w:t>
      </w:r>
    </w:p>
    <w:p w14:paraId="5C7A8841" w14:textId="77777777" w:rsidR="00B90C6C" w:rsidRPr="00564F8C" w:rsidRDefault="00B90C6C" w:rsidP="00151445">
      <w:pPr>
        <w:numPr>
          <w:ilvl w:val="0"/>
          <w:numId w:val="1"/>
        </w:numPr>
        <w:pBdr>
          <w:top w:val="single" w:sz="4" w:space="1" w:color="auto"/>
          <w:left w:val="single" w:sz="4" w:space="0" w:color="auto"/>
          <w:bottom w:val="single" w:sz="4" w:space="1" w:color="auto"/>
          <w:right w:val="single" w:sz="4" w:space="4" w:color="auto"/>
        </w:pBdr>
        <w:spacing w:after="0" w:line="480" w:lineRule="auto"/>
        <w:jc w:val="both"/>
        <w:rPr>
          <w:sz w:val="22"/>
          <w:szCs w:val="22"/>
        </w:rPr>
      </w:pPr>
      <w:r w:rsidRPr="00564F8C">
        <w:rPr>
          <w:sz w:val="22"/>
          <w:szCs w:val="22"/>
        </w:rPr>
        <w:t>Search for systemic safety vulnerabilities</w:t>
      </w:r>
    </w:p>
    <w:p w14:paraId="63CA0957" w14:textId="77777777" w:rsidR="00B90C6C" w:rsidRPr="00564F8C" w:rsidRDefault="00B90C6C" w:rsidP="00151445">
      <w:pPr>
        <w:numPr>
          <w:ilvl w:val="0"/>
          <w:numId w:val="1"/>
        </w:numPr>
        <w:pBdr>
          <w:top w:val="single" w:sz="4" w:space="1" w:color="auto"/>
          <w:left w:val="single" w:sz="4" w:space="0" w:color="auto"/>
          <w:bottom w:val="single" w:sz="4" w:space="1" w:color="auto"/>
          <w:right w:val="single" w:sz="4" w:space="4" w:color="auto"/>
        </w:pBdr>
        <w:spacing w:after="0" w:line="480" w:lineRule="auto"/>
        <w:jc w:val="both"/>
        <w:rPr>
          <w:sz w:val="22"/>
          <w:szCs w:val="22"/>
        </w:rPr>
      </w:pPr>
      <w:r w:rsidRPr="00564F8C">
        <w:rPr>
          <w:sz w:val="22"/>
          <w:szCs w:val="22"/>
        </w:rPr>
        <w:t>Study how practice creates safety</w:t>
      </w:r>
    </w:p>
    <w:p w14:paraId="58D545BE" w14:textId="77777777" w:rsidR="00B90C6C" w:rsidRPr="00E05BF7" w:rsidRDefault="00151445" w:rsidP="00151445">
      <w:pPr>
        <w:pBdr>
          <w:top w:val="single" w:sz="4" w:space="1" w:color="auto"/>
          <w:left w:val="single" w:sz="4" w:space="0" w:color="auto"/>
          <w:bottom w:val="single" w:sz="4" w:space="1" w:color="auto"/>
          <w:right w:val="single" w:sz="4" w:space="4" w:color="auto"/>
        </w:pBdr>
        <w:spacing w:after="0" w:line="480" w:lineRule="auto"/>
        <w:ind w:left="284"/>
        <w:rPr>
          <w:color w:val="FFFFFF"/>
        </w:rPr>
        <w:sectPr w:rsidR="00B90C6C" w:rsidRPr="00E05BF7" w:rsidSect="00E94813">
          <w:footerReference w:type="default" r:id="rId44"/>
          <w:pgSz w:w="11906" w:h="16838"/>
          <w:pgMar w:top="1440" w:right="1440" w:bottom="1440" w:left="1440" w:header="709" w:footer="709" w:gutter="0"/>
          <w:cols w:space="708"/>
          <w:titlePg/>
          <w:docGrid w:linePitch="360"/>
        </w:sectPr>
      </w:pPr>
      <w:r>
        <w:rPr>
          <w:sz w:val="22"/>
          <w:szCs w:val="22"/>
        </w:rPr>
        <w:t xml:space="preserve">5.  </w:t>
      </w:r>
      <w:r w:rsidR="00B90C6C" w:rsidRPr="00564F8C">
        <w:rPr>
          <w:sz w:val="22"/>
          <w:szCs w:val="22"/>
        </w:rPr>
        <w:t>Examine how change to the care pathway will produce new vulnerabilities and</w:t>
      </w:r>
      <w:r>
        <w:rPr>
          <w:sz w:val="22"/>
          <w:szCs w:val="22"/>
        </w:rPr>
        <w:t xml:space="preserve">                                                                            </w:t>
      </w:r>
      <w:r w:rsidR="00B90C6C" w:rsidRPr="00564F8C">
        <w:rPr>
          <w:sz w:val="22"/>
          <w:szCs w:val="22"/>
        </w:rPr>
        <w:t>paths to failure</w:t>
      </w:r>
      <w:r w:rsidR="006C44E9">
        <w:rPr>
          <w:sz w:val="22"/>
          <w:szCs w:val="22"/>
        </w:rPr>
        <w:t>.</w:t>
      </w:r>
      <w:r w:rsidR="00B90C6C" w:rsidRPr="00564F8C">
        <w:rPr>
          <w:color w:val="FFFFFF"/>
          <w:sz w:val="22"/>
          <w:szCs w:val="22"/>
        </w:rPr>
        <w:t xml:space="preserve"> leg</w:t>
      </w:r>
      <w:r w:rsidR="00B90C6C" w:rsidRPr="00E05BF7">
        <w:rPr>
          <w:color w:val="FFFFFF"/>
        </w:rPr>
        <w:t>end text</w:t>
      </w:r>
    </w:p>
    <w:p w14:paraId="08E15C86" w14:textId="77777777" w:rsidR="00B90C6C" w:rsidRDefault="002770D3" w:rsidP="00B90C6C">
      <w:r>
        <w:rPr>
          <w:noProof/>
          <w:lang w:val="en-US"/>
        </w:rPr>
        <w:lastRenderedPageBreak/>
        <w:object w:dxaOrig="1440" w:dyaOrig="1440" w14:anchorId="1EB7BCBC">
          <v:shape id="_x0000_s1026" type="#_x0000_t75" style="position:absolute;margin-left:35.15pt;margin-top:18.15pt;width:639.95pt;height:422.8pt;z-index:251660288">
            <v:imagedata r:id="rId45" o:title=""/>
            <w10:wrap type="topAndBottom"/>
          </v:shape>
          <o:OLEObject Type="Embed" ProgID="Visio.Drawing.6" ShapeID="_x0000_s1026" DrawAspect="Content" ObjectID="_1764423519" r:id="rId46"/>
        </w:object>
      </w:r>
      <w:r w:rsidR="00B90C6C">
        <w:t xml:space="preserve">. </w:t>
      </w:r>
    </w:p>
    <w:p w14:paraId="48A733A1" w14:textId="77777777" w:rsidR="00B90C6C" w:rsidRDefault="00FB3E6A" w:rsidP="00B90C6C">
      <w:pPr>
        <w:pStyle w:val="Heading1"/>
      </w:pPr>
      <w:r>
        <w:object w:dxaOrig="15875" w:dyaOrig="9764" w14:anchorId="09D036B7">
          <v:shape id="_x0000_i1028" type="#_x0000_t75" style="width:676.2pt;height:436.2pt" o:ole="" fillcolor="window">
            <v:imagedata r:id="rId47" o:title=""/>
          </v:shape>
          <o:OLEObject Type="Embed" ProgID="Visio.Drawing.6" ShapeID="_x0000_i1028" DrawAspect="Content" ObjectID="_1764423517" r:id="rId48"/>
        </w:object>
      </w:r>
    </w:p>
    <w:p w14:paraId="5174951C" w14:textId="77777777" w:rsidR="00B90C6C" w:rsidRDefault="00B90C6C" w:rsidP="00B90C6C">
      <w:pPr>
        <w:pStyle w:val="Heading1"/>
        <w:sectPr w:rsidR="00B90C6C" w:rsidSect="003A385F">
          <w:pgSz w:w="16838" w:h="11906" w:orient="landscape"/>
          <w:pgMar w:top="1797" w:right="1440" w:bottom="1797" w:left="1440" w:header="709" w:footer="709" w:gutter="0"/>
          <w:cols w:space="708"/>
          <w:docGrid w:linePitch="360"/>
        </w:sectPr>
      </w:pPr>
    </w:p>
    <w:p w14:paraId="0089230D" w14:textId="77777777" w:rsidR="00AE66F9" w:rsidRPr="00151422" w:rsidRDefault="00B25214" w:rsidP="00AE66F9">
      <w:pPr>
        <w:rPr>
          <w:b/>
          <w:sz w:val="28"/>
          <w:szCs w:val="28"/>
        </w:rPr>
      </w:pPr>
      <w:r w:rsidRPr="00151422">
        <w:rPr>
          <w:b/>
          <w:sz w:val="28"/>
          <w:szCs w:val="28"/>
        </w:rPr>
        <w:lastRenderedPageBreak/>
        <w:t>10.</w:t>
      </w:r>
      <w:r w:rsidR="005D320D">
        <w:rPr>
          <w:b/>
          <w:sz w:val="28"/>
          <w:szCs w:val="28"/>
        </w:rPr>
        <w:t>4</w:t>
      </w:r>
      <w:r w:rsidRPr="00151422">
        <w:rPr>
          <w:b/>
          <w:sz w:val="28"/>
          <w:szCs w:val="28"/>
        </w:rPr>
        <w:t xml:space="preserve"> </w:t>
      </w:r>
      <w:r w:rsidR="00AE66F9" w:rsidRPr="00151422">
        <w:rPr>
          <w:b/>
          <w:sz w:val="28"/>
          <w:szCs w:val="28"/>
        </w:rPr>
        <w:t>Publication 4</w:t>
      </w:r>
    </w:p>
    <w:p w14:paraId="28124EF7" w14:textId="77777777" w:rsidR="00B90C6C" w:rsidRDefault="00B90C6C"/>
    <w:p w14:paraId="616C17C5" w14:textId="77777777" w:rsidR="003E5C7B" w:rsidRDefault="009537BC" w:rsidP="00ED5C25">
      <w:pPr>
        <w:spacing w:line="360" w:lineRule="auto"/>
        <w:jc w:val="both"/>
      </w:pPr>
      <w:r w:rsidRPr="004D4AEE">
        <w:rPr>
          <w:b/>
        </w:rPr>
        <w:t>Hutchinson A</w:t>
      </w:r>
      <w:r w:rsidRPr="004D4AEE">
        <w:t xml:space="preserve">, Coster JE, Cooper KL, McIntosh A, Walters SJ, Bath PA, Pearson M, Rantell K, Campbell MJ, Nicholl J, Irwin P. Assessing quality of care from hospital case notes: comparison of reliability of two methods. Quality and Safety in Health Care 2010;19:e2.  </w:t>
      </w:r>
    </w:p>
    <w:p w14:paraId="0AD8D532" w14:textId="77777777" w:rsidR="00F37F0F" w:rsidRDefault="003E5C7B" w:rsidP="00ED5C25">
      <w:pPr>
        <w:spacing w:line="360" w:lineRule="auto"/>
        <w:jc w:val="both"/>
        <w:rPr>
          <w:b/>
        </w:rPr>
      </w:pPr>
      <w:r>
        <w:t>doi:10.1136/qshc.2007.</w:t>
      </w:r>
      <w:r w:rsidR="009537BC" w:rsidRPr="004D4AEE">
        <w:t>023911</w:t>
      </w:r>
    </w:p>
    <w:p w14:paraId="3B779B42" w14:textId="77777777" w:rsidR="00F37F0F" w:rsidRPr="004545F2" w:rsidRDefault="004545F2" w:rsidP="00F37F0F">
      <w:pPr>
        <w:spacing w:line="480" w:lineRule="auto"/>
        <w:jc w:val="both"/>
      </w:pPr>
      <w:r>
        <w:rPr>
          <w:b/>
        </w:rPr>
        <w:t xml:space="preserve">Please note: </w:t>
      </w:r>
      <w:r>
        <w:t xml:space="preserve">Because it has not been possible to contact one of the authors of this study in order to seek their permission to publish, this publication can only be accessed through </w:t>
      </w:r>
      <w:r w:rsidR="005D320D">
        <w:t xml:space="preserve">electronic </w:t>
      </w:r>
      <w:r>
        <w:t xml:space="preserve">search systems. The doi address may help in this regard. </w:t>
      </w:r>
    </w:p>
    <w:p w14:paraId="768C0060" w14:textId="77777777" w:rsidR="00F37F0F" w:rsidRDefault="00F37F0F" w:rsidP="00F37F0F">
      <w:pPr>
        <w:spacing w:line="480" w:lineRule="auto"/>
        <w:jc w:val="both"/>
        <w:rPr>
          <w:b/>
        </w:rPr>
      </w:pPr>
    </w:p>
    <w:p w14:paraId="73F75510" w14:textId="77777777" w:rsidR="00F37F0F" w:rsidRDefault="00F37F0F" w:rsidP="00F37F0F">
      <w:pPr>
        <w:spacing w:line="480" w:lineRule="auto"/>
        <w:jc w:val="both"/>
        <w:rPr>
          <w:b/>
        </w:rPr>
      </w:pPr>
    </w:p>
    <w:p w14:paraId="7287401E" w14:textId="77777777" w:rsidR="00F37F0F" w:rsidRDefault="00F37F0F" w:rsidP="00F37F0F">
      <w:pPr>
        <w:spacing w:line="480" w:lineRule="auto"/>
        <w:jc w:val="both"/>
        <w:rPr>
          <w:b/>
        </w:rPr>
      </w:pPr>
    </w:p>
    <w:p w14:paraId="49B3C219" w14:textId="77777777" w:rsidR="00F37F0F" w:rsidRDefault="00F37F0F" w:rsidP="00F37F0F">
      <w:pPr>
        <w:spacing w:line="480" w:lineRule="auto"/>
        <w:jc w:val="both"/>
        <w:rPr>
          <w:b/>
        </w:rPr>
      </w:pPr>
    </w:p>
    <w:p w14:paraId="102A1506" w14:textId="77777777" w:rsidR="00F37F0F" w:rsidRDefault="00F37F0F" w:rsidP="00F37F0F">
      <w:pPr>
        <w:spacing w:line="480" w:lineRule="auto"/>
        <w:jc w:val="both"/>
        <w:rPr>
          <w:b/>
        </w:rPr>
      </w:pPr>
    </w:p>
    <w:p w14:paraId="397535C9" w14:textId="77777777" w:rsidR="00F37F0F" w:rsidRDefault="00F37F0F" w:rsidP="00F37F0F">
      <w:pPr>
        <w:spacing w:line="480" w:lineRule="auto"/>
        <w:jc w:val="both"/>
        <w:rPr>
          <w:b/>
        </w:rPr>
      </w:pPr>
    </w:p>
    <w:p w14:paraId="609D391C" w14:textId="77777777" w:rsidR="00F37F0F" w:rsidRDefault="00F37F0F" w:rsidP="00F37F0F">
      <w:pPr>
        <w:spacing w:line="480" w:lineRule="auto"/>
        <w:jc w:val="both"/>
        <w:rPr>
          <w:b/>
        </w:rPr>
      </w:pPr>
    </w:p>
    <w:p w14:paraId="0AA4BFE4" w14:textId="77777777" w:rsidR="00F37F0F" w:rsidRDefault="00F37F0F" w:rsidP="00F37F0F">
      <w:pPr>
        <w:spacing w:line="480" w:lineRule="auto"/>
        <w:jc w:val="both"/>
        <w:rPr>
          <w:b/>
        </w:rPr>
      </w:pPr>
    </w:p>
    <w:p w14:paraId="6D6243B3" w14:textId="77777777" w:rsidR="00F37F0F" w:rsidRDefault="00F37F0F" w:rsidP="00F37F0F">
      <w:pPr>
        <w:spacing w:line="480" w:lineRule="auto"/>
        <w:jc w:val="both"/>
        <w:rPr>
          <w:b/>
        </w:rPr>
      </w:pPr>
    </w:p>
    <w:p w14:paraId="6DCC1ADE" w14:textId="77777777" w:rsidR="00F37F0F" w:rsidRDefault="00F37F0F" w:rsidP="00F37F0F">
      <w:pPr>
        <w:spacing w:line="480" w:lineRule="auto"/>
        <w:jc w:val="both"/>
        <w:rPr>
          <w:b/>
        </w:rPr>
      </w:pPr>
    </w:p>
    <w:p w14:paraId="4A2FA5C4" w14:textId="77777777" w:rsidR="00DB011F" w:rsidRDefault="00DB011F" w:rsidP="00F37F0F">
      <w:pPr>
        <w:spacing w:line="480" w:lineRule="auto"/>
        <w:jc w:val="both"/>
        <w:rPr>
          <w:b/>
        </w:rPr>
      </w:pPr>
    </w:p>
    <w:p w14:paraId="20F7386E" w14:textId="77777777" w:rsidR="00A43C02" w:rsidRPr="00151422" w:rsidRDefault="004F01FC">
      <w:pPr>
        <w:rPr>
          <w:b/>
          <w:sz w:val="28"/>
          <w:szCs w:val="28"/>
        </w:rPr>
      </w:pPr>
      <w:r w:rsidRPr="00151422">
        <w:rPr>
          <w:b/>
          <w:sz w:val="28"/>
          <w:szCs w:val="28"/>
        </w:rPr>
        <w:lastRenderedPageBreak/>
        <w:t>10.</w:t>
      </w:r>
      <w:r w:rsidR="00EC00B2">
        <w:rPr>
          <w:b/>
          <w:sz w:val="28"/>
          <w:szCs w:val="28"/>
        </w:rPr>
        <w:t>5</w:t>
      </w:r>
      <w:r w:rsidRPr="00151422">
        <w:rPr>
          <w:b/>
          <w:sz w:val="28"/>
          <w:szCs w:val="28"/>
        </w:rPr>
        <w:t xml:space="preserve"> </w:t>
      </w:r>
      <w:r w:rsidR="009F601A" w:rsidRPr="00151422">
        <w:rPr>
          <w:b/>
          <w:sz w:val="28"/>
          <w:szCs w:val="28"/>
        </w:rPr>
        <w:t>Publication 5</w:t>
      </w:r>
    </w:p>
    <w:p w14:paraId="473CA0D6" w14:textId="77777777" w:rsidR="00BC55B2" w:rsidRDefault="00BC55B2">
      <w:pPr>
        <w:rPr>
          <w:b/>
        </w:rPr>
      </w:pPr>
    </w:p>
    <w:p w14:paraId="7BF31984" w14:textId="77777777" w:rsidR="00BC55B2" w:rsidRDefault="00BC55B2" w:rsidP="00BC55B2">
      <w:pPr>
        <w:spacing w:line="360" w:lineRule="auto"/>
      </w:pPr>
      <w:r w:rsidRPr="004D4AEE">
        <w:rPr>
          <w:b/>
        </w:rPr>
        <w:t>Hutchinson A</w:t>
      </w:r>
      <w:r w:rsidRPr="004D4AEE">
        <w:t xml:space="preserve">, Coster JE, Cooper KL, McIntosh A, Walters SJ, Bath PA, Pearson M, Young TA, Rantell K, Campbell MJ, Ratcliffe J. Comparison of case note review methods for evaluating quality and safety in </w:t>
      </w:r>
      <w:r w:rsidR="003E5C7B">
        <w:t xml:space="preserve">health care. Health Technology </w:t>
      </w:r>
      <w:r w:rsidRPr="004D4AEE">
        <w:t>Assessment  2010;14(10):1-170</w:t>
      </w:r>
    </w:p>
    <w:p w14:paraId="3826CCBF" w14:textId="77777777" w:rsidR="003E5C7B" w:rsidRPr="004D4AEE" w:rsidRDefault="003E5C7B" w:rsidP="00BC55B2">
      <w:pPr>
        <w:spacing w:line="360" w:lineRule="auto"/>
      </w:pPr>
      <w:r>
        <w:t>doi:10.3310/hta14100</w:t>
      </w:r>
    </w:p>
    <w:p w14:paraId="43899587" w14:textId="77777777" w:rsidR="00BC55B2" w:rsidRDefault="004C668F">
      <w:r>
        <w:t xml:space="preserve">also at: </w:t>
      </w:r>
      <w:hyperlink r:id="rId49" w:history="1">
        <w:r w:rsidRPr="00194C09">
          <w:rPr>
            <w:rStyle w:val="Hyperlink"/>
          </w:rPr>
          <w:t>http://eprints.whiterose.ac.uk/10704/</w:t>
        </w:r>
      </w:hyperlink>
      <w:r>
        <w:t xml:space="preserve"> </w:t>
      </w:r>
    </w:p>
    <w:p w14:paraId="103A233A" w14:textId="77777777" w:rsidR="004C668F" w:rsidRDefault="004C668F"/>
    <w:p w14:paraId="216630FA" w14:textId="77777777" w:rsidR="00BC55B2" w:rsidRDefault="00BC55B2">
      <w:r>
        <w:br w:type="page"/>
      </w:r>
    </w:p>
    <w:p w14:paraId="6871B68B" w14:textId="77777777" w:rsidR="000923BB" w:rsidRPr="00282EAD" w:rsidRDefault="000923BB" w:rsidP="000F7050">
      <w:pPr>
        <w:pStyle w:val="BodyText2"/>
        <w:spacing w:line="360" w:lineRule="auto"/>
        <w:jc w:val="both"/>
        <w:rPr>
          <w:rFonts w:ascii="Arial" w:hAnsi="Arial" w:cs="Arial"/>
          <w:b/>
          <w:bCs/>
          <w:sz w:val="22"/>
          <w:szCs w:val="22"/>
        </w:rPr>
      </w:pPr>
      <w:r w:rsidRPr="00282EAD">
        <w:rPr>
          <w:rFonts w:ascii="Arial" w:hAnsi="Arial" w:cs="Arial"/>
          <w:b/>
          <w:sz w:val="22"/>
          <w:szCs w:val="22"/>
        </w:rPr>
        <w:lastRenderedPageBreak/>
        <w:t>Comparison of case note review methods for evaluating quality and safety in health care</w:t>
      </w:r>
    </w:p>
    <w:p w14:paraId="6D74D686" w14:textId="77777777" w:rsidR="000923BB" w:rsidRPr="000F7050" w:rsidRDefault="000923BB" w:rsidP="00BC55B2">
      <w:pPr>
        <w:spacing w:line="360" w:lineRule="auto"/>
        <w:jc w:val="both"/>
        <w:rPr>
          <w:rFonts w:cs="Arial"/>
          <w:sz w:val="22"/>
          <w:szCs w:val="22"/>
        </w:rPr>
      </w:pPr>
      <w:r w:rsidRPr="000F7050">
        <w:rPr>
          <w:rFonts w:cs="Arial"/>
          <w:b/>
          <w:bCs/>
          <w:sz w:val="22"/>
          <w:szCs w:val="22"/>
        </w:rPr>
        <w:t xml:space="preserve">Authors: </w:t>
      </w:r>
      <w:r w:rsidRPr="000F7050">
        <w:rPr>
          <w:rFonts w:cs="Arial"/>
          <w:sz w:val="22"/>
          <w:szCs w:val="22"/>
        </w:rPr>
        <w:t xml:space="preserve"> Allen Hutchinson, Joanne Coster, Katy Cooper, Aileen McIntosh, Stephen Walters, Peter Bath, Michael Pearson, Tracey Youn</w:t>
      </w:r>
      <w:r w:rsidR="003E5C7B">
        <w:rPr>
          <w:rFonts w:cs="Arial"/>
          <w:sz w:val="22"/>
          <w:szCs w:val="22"/>
        </w:rPr>
        <w:t>g, Khadija Rantell,</w:t>
      </w:r>
      <w:r w:rsidRPr="000F7050">
        <w:rPr>
          <w:rFonts w:cs="Arial"/>
          <w:sz w:val="22"/>
          <w:szCs w:val="22"/>
        </w:rPr>
        <w:t xml:space="preserve"> Michael Campbell, Julie Ratcliffe</w:t>
      </w:r>
    </w:p>
    <w:p w14:paraId="3656BF54" w14:textId="77777777" w:rsidR="000923BB" w:rsidRPr="000F7050" w:rsidRDefault="000923BB" w:rsidP="000F7050">
      <w:pPr>
        <w:pStyle w:val="BodyText"/>
        <w:rPr>
          <w:b/>
          <w:sz w:val="22"/>
          <w:szCs w:val="22"/>
        </w:rPr>
      </w:pPr>
      <w:r w:rsidRPr="000F7050">
        <w:rPr>
          <w:b/>
          <w:sz w:val="22"/>
          <w:szCs w:val="22"/>
        </w:rPr>
        <w:t>Section of Public Health, ScHARR, University of Sheffield</w:t>
      </w:r>
    </w:p>
    <w:p w14:paraId="38F6BBAE" w14:textId="77777777" w:rsidR="000F7050" w:rsidRPr="000F7050" w:rsidRDefault="000923BB" w:rsidP="000F7050">
      <w:pPr>
        <w:spacing w:line="360" w:lineRule="auto"/>
        <w:jc w:val="both"/>
        <w:rPr>
          <w:rFonts w:cs="Arial"/>
          <w:sz w:val="22"/>
          <w:szCs w:val="22"/>
        </w:rPr>
      </w:pPr>
      <w:r w:rsidRPr="000F7050">
        <w:rPr>
          <w:rFonts w:cs="Arial"/>
          <w:sz w:val="22"/>
          <w:szCs w:val="22"/>
        </w:rPr>
        <w:t>A Hutchinson, J E Coster*, K L Cooper, A McIntosh</w:t>
      </w:r>
      <w:r w:rsidR="000F7050">
        <w:rPr>
          <w:rFonts w:cs="Arial"/>
          <w:sz w:val="22"/>
          <w:szCs w:val="22"/>
        </w:rPr>
        <w:t xml:space="preserve">   (</w:t>
      </w:r>
      <w:r w:rsidR="000F7050" w:rsidRPr="000F7050">
        <w:rPr>
          <w:rFonts w:cs="Arial"/>
          <w:sz w:val="22"/>
          <w:szCs w:val="22"/>
        </w:rPr>
        <w:t>* Formerly known as Dean</w:t>
      </w:r>
      <w:r w:rsidR="000F7050">
        <w:rPr>
          <w:rFonts w:cs="Arial"/>
          <w:sz w:val="22"/>
          <w:szCs w:val="22"/>
        </w:rPr>
        <w:t>)</w:t>
      </w:r>
    </w:p>
    <w:p w14:paraId="6C8AC498" w14:textId="77777777" w:rsidR="000923BB" w:rsidRPr="000F7050" w:rsidRDefault="000923BB" w:rsidP="00BC55B2">
      <w:pPr>
        <w:spacing w:line="360" w:lineRule="auto"/>
        <w:jc w:val="both"/>
        <w:rPr>
          <w:rFonts w:cs="Arial"/>
          <w:b/>
          <w:bCs/>
          <w:sz w:val="22"/>
          <w:szCs w:val="22"/>
        </w:rPr>
      </w:pPr>
      <w:r w:rsidRPr="000F7050">
        <w:rPr>
          <w:rFonts w:cs="Arial"/>
          <w:b/>
          <w:bCs/>
          <w:sz w:val="22"/>
          <w:szCs w:val="22"/>
        </w:rPr>
        <w:t>Section of Health Services Research, ScHARR, University of Sheffield</w:t>
      </w:r>
    </w:p>
    <w:p w14:paraId="22A4F8E0" w14:textId="77777777" w:rsidR="000923BB" w:rsidRPr="000F7050" w:rsidRDefault="000923BB" w:rsidP="00BC55B2">
      <w:pPr>
        <w:spacing w:line="360" w:lineRule="auto"/>
        <w:jc w:val="both"/>
        <w:rPr>
          <w:rFonts w:cs="Arial"/>
          <w:sz w:val="22"/>
          <w:szCs w:val="22"/>
        </w:rPr>
      </w:pPr>
      <w:r w:rsidRPr="000F7050">
        <w:rPr>
          <w:rFonts w:cs="Arial"/>
          <w:sz w:val="22"/>
          <w:szCs w:val="22"/>
        </w:rPr>
        <w:t xml:space="preserve">S J Walters, K Rantell, M J Campbell, </w:t>
      </w:r>
    </w:p>
    <w:p w14:paraId="2DEC7461" w14:textId="77777777" w:rsidR="000923BB" w:rsidRPr="000F7050" w:rsidRDefault="000923BB" w:rsidP="00BC55B2">
      <w:pPr>
        <w:spacing w:line="360" w:lineRule="auto"/>
        <w:jc w:val="both"/>
        <w:rPr>
          <w:rFonts w:cs="Arial"/>
          <w:b/>
          <w:bCs/>
          <w:sz w:val="22"/>
          <w:szCs w:val="22"/>
        </w:rPr>
      </w:pPr>
      <w:r w:rsidRPr="000F7050">
        <w:rPr>
          <w:rFonts w:cs="Arial"/>
          <w:b/>
          <w:bCs/>
          <w:sz w:val="22"/>
          <w:szCs w:val="22"/>
        </w:rPr>
        <w:t>Section of Health Economics and Decision Sciences, ScHARR, University of Sheffield</w:t>
      </w:r>
    </w:p>
    <w:p w14:paraId="63398042" w14:textId="77777777" w:rsidR="000923BB" w:rsidRPr="000F7050" w:rsidRDefault="000923BB" w:rsidP="00BC55B2">
      <w:pPr>
        <w:spacing w:line="360" w:lineRule="auto"/>
        <w:jc w:val="both"/>
        <w:rPr>
          <w:rFonts w:cs="Arial"/>
          <w:sz w:val="22"/>
          <w:szCs w:val="22"/>
        </w:rPr>
      </w:pPr>
      <w:r w:rsidRPr="000F7050">
        <w:rPr>
          <w:rFonts w:cs="Arial"/>
          <w:sz w:val="22"/>
          <w:szCs w:val="22"/>
        </w:rPr>
        <w:t>T A Young, J Ratcliffe</w:t>
      </w:r>
    </w:p>
    <w:p w14:paraId="2FFA47B5" w14:textId="77777777" w:rsidR="000923BB" w:rsidRPr="000F7050" w:rsidRDefault="000923BB" w:rsidP="00BC55B2">
      <w:pPr>
        <w:spacing w:line="360" w:lineRule="auto"/>
        <w:jc w:val="both"/>
        <w:rPr>
          <w:rFonts w:cs="Arial"/>
          <w:b/>
          <w:bCs/>
          <w:sz w:val="22"/>
          <w:szCs w:val="22"/>
        </w:rPr>
      </w:pPr>
      <w:r w:rsidRPr="000F7050">
        <w:rPr>
          <w:rFonts w:cs="Arial"/>
          <w:b/>
          <w:bCs/>
          <w:sz w:val="22"/>
          <w:szCs w:val="22"/>
        </w:rPr>
        <w:t>Department of Information Studies, University of Sheffield</w:t>
      </w:r>
    </w:p>
    <w:p w14:paraId="2F9DBB87" w14:textId="77777777" w:rsidR="000923BB" w:rsidRPr="000F7050" w:rsidRDefault="000923BB" w:rsidP="00BC55B2">
      <w:pPr>
        <w:spacing w:line="360" w:lineRule="auto"/>
        <w:jc w:val="both"/>
        <w:rPr>
          <w:rFonts w:cs="Arial"/>
          <w:sz w:val="22"/>
          <w:szCs w:val="22"/>
        </w:rPr>
      </w:pPr>
      <w:r w:rsidRPr="000F7050">
        <w:rPr>
          <w:rFonts w:cs="Arial"/>
          <w:sz w:val="22"/>
          <w:szCs w:val="22"/>
        </w:rPr>
        <w:t>P A Bath</w:t>
      </w:r>
    </w:p>
    <w:p w14:paraId="512FFC8A" w14:textId="77777777" w:rsidR="000923BB" w:rsidRPr="000F7050" w:rsidRDefault="000923BB" w:rsidP="00BC55B2">
      <w:pPr>
        <w:spacing w:line="360" w:lineRule="auto"/>
        <w:jc w:val="both"/>
        <w:rPr>
          <w:rFonts w:cs="Arial"/>
          <w:b/>
          <w:bCs/>
          <w:sz w:val="22"/>
          <w:szCs w:val="22"/>
        </w:rPr>
      </w:pPr>
      <w:r w:rsidRPr="000F7050">
        <w:rPr>
          <w:rFonts w:cs="Arial"/>
          <w:b/>
          <w:bCs/>
          <w:sz w:val="22"/>
          <w:szCs w:val="22"/>
        </w:rPr>
        <w:t>Clinical Effectiveness and Evaluation Unit, Royal College of Physicians</w:t>
      </w:r>
    </w:p>
    <w:p w14:paraId="38F81373" w14:textId="77777777" w:rsidR="000923BB" w:rsidRPr="003E5C7B" w:rsidRDefault="000923BB" w:rsidP="003E5C7B">
      <w:pPr>
        <w:spacing w:line="360" w:lineRule="auto"/>
        <w:jc w:val="both"/>
        <w:rPr>
          <w:rFonts w:cs="Arial"/>
          <w:b/>
          <w:bCs/>
          <w:sz w:val="22"/>
          <w:szCs w:val="22"/>
        </w:rPr>
      </w:pPr>
      <w:r w:rsidRPr="000F7050">
        <w:rPr>
          <w:rFonts w:cs="Arial"/>
          <w:sz w:val="22"/>
          <w:szCs w:val="22"/>
        </w:rPr>
        <w:t xml:space="preserve">M Pearson (now </w:t>
      </w:r>
      <w:r w:rsidRPr="000F7050">
        <w:rPr>
          <w:rFonts w:cs="Arial"/>
          <w:b/>
          <w:bCs/>
          <w:sz w:val="22"/>
          <w:szCs w:val="22"/>
        </w:rPr>
        <w:t>Department of Medicine, University of Liverpool</w:t>
      </w:r>
      <w:r w:rsidRPr="000F7050">
        <w:rPr>
          <w:rFonts w:cs="Arial"/>
          <w:sz w:val="22"/>
          <w:szCs w:val="22"/>
        </w:rPr>
        <w:t>)</w:t>
      </w:r>
      <w:r w:rsidRPr="000F7050">
        <w:rPr>
          <w:rFonts w:cs="Arial"/>
          <w:b/>
          <w:bCs/>
          <w:sz w:val="22"/>
          <w:szCs w:val="22"/>
        </w:rPr>
        <w:t xml:space="preserve">  </w:t>
      </w:r>
    </w:p>
    <w:p w14:paraId="200EEA09" w14:textId="77777777" w:rsidR="000923BB" w:rsidRPr="000F7050" w:rsidRDefault="000923BB" w:rsidP="00BC55B2">
      <w:pPr>
        <w:spacing w:line="360" w:lineRule="auto"/>
        <w:jc w:val="both"/>
        <w:rPr>
          <w:rFonts w:cs="Arial"/>
          <w:sz w:val="22"/>
          <w:szCs w:val="22"/>
          <w:u w:val="single"/>
        </w:rPr>
      </w:pPr>
      <w:r w:rsidRPr="000F7050">
        <w:rPr>
          <w:rFonts w:cs="Arial"/>
          <w:sz w:val="22"/>
          <w:szCs w:val="22"/>
          <w:u w:val="single"/>
        </w:rPr>
        <w:t>Corresponding Author</w:t>
      </w:r>
    </w:p>
    <w:p w14:paraId="77352B24" w14:textId="77777777" w:rsidR="000923BB" w:rsidRPr="000F7050" w:rsidRDefault="000923BB" w:rsidP="00BC55B2">
      <w:pPr>
        <w:spacing w:line="360" w:lineRule="auto"/>
        <w:jc w:val="both"/>
        <w:rPr>
          <w:rFonts w:cs="Arial"/>
          <w:sz w:val="22"/>
          <w:szCs w:val="22"/>
        </w:rPr>
      </w:pPr>
      <w:r w:rsidRPr="000F7050">
        <w:rPr>
          <w:rFonts w:cs="Arial"/>
          <w:sz w:val="22"/>
          <w:szCs w:val="22"/>
        </w:rPr>
        <w:t>Professor Allen Hutchinson</w:t>
      </w:r>
    </w:p>
    <w:p w14:paraId="4DC4F60B" w14:textId="77777777" w:rsidR="000923BB" w:rsidRPr="000F7050" w:rsidRDefault="000923BB" w:rsidP="00BC55B2">
      <w:pPr>
        <w:spacing w:line="360" w:lineRule="auto"/>
        <w:jc w:val="both"/>
        <w:rPr>
          <w:rFonts w:cs="Arial"/>
          <w:sz w:val="22"/>
          <w:szCs w:val="22"/>
        </w:rPr>
      </w:pPr>
      <w:r w:rsidRPr="000F7050">
        <w:rPr>
          <w:rFonts w:cs="Arial"/>
          <w:sz w:val="22"/>
          <w:szCs w:val="22"/>
        </w:rPr>
        <w:t>Section of Public Health</w:t>
      </w:r>
    </w:p>
    <w:p w14:paraId="181FE87A" w14:textId="77777777" w:rsidR="000923BB" w:rsidRPr="000F7050" w:rsidRDefault="000923BB" w:rsidP="00BC55B2">
      <w:pPr>
        <w:spacing w:line="360" w:lineRule="auto"/>
        <w:jc w:val="both"/>
        <w:rPr>
          <w:rFonts w:cs="Arial"/>
          <w:sz w:val="22"/>
          <w:szCs w:val="22"/>
        </w:rPr>
      </w:pPr>
      <w:r w:rsidRPr="000F7050">
        <w:rPr>
          <w:rFonts w:cs="Arial"/>
          <w:sz w:val="22"/>
          <w:szCs w:val="22"/>
        </w:rPr>
        <w:t>ScHARR</w:t>
      </w:r>
      <w:r w:rsidR="003E5C7B">
        <w:rPr>
          <w:rFonts w:cs="Arial"/>
          <w:sz w:val="22"/>
          <w:szCs w:val="22"/>
        </w:rPr>
        <w:t xml:space="preserve">, </w:t>
      </w:r>
      <w:r w:rsidRPr="000F7050">
        <w:rPr>
          <w:rFonts w:cs="Arial"/>
          <w:sz w:val="22"/>
          <w:szCs w:val="22"/>
        </w:rPr>
        <w:t>University of Sheffield</w:t>
      </w:r>
    </w:p>
    <w:p w14:paraId="1B265A0D" w14:textId="77777777" w:rsidR="000923BB" w:rsidRPr="000F7050" w:rsidRDefault="000923BB" w:rsidP="00BC55B2">
      <w:pPr>
        <w:spacing w:line="360" w:lineRule="auto"/>
        <w:jc w:val="both"/>
        <w:rPr>
          <w:rFonts w:cs="Arial"/>
          <w:sz w:val="22"/>
          <w:szCs w:val="22"/>
        </w:rPr>
      </w:pPr>
      <w:r w:rsidRPr="000F7050">
        <w:rPr>
          <w:rFonts w:cs="Arial"/>
          <w:sz w:val="22"/>
          <w:szCs w:val="22"/>
        </w:rPr>
        <w:t>Regent Court, 30, Regent St</w:t>
      </w:r>
    </w:p>
    <w:p w14:paraId="29597460" w14:textId="77777777" w:rsidR="000923BB" w:rsidRPr="000F7050" w:rsidRDefault="000923BB" w:rsidP="00BC55B2">
      <w:pPr>
        <w:spacing w:line="360" w:lineRule="auto"/>
        <w:jc w:val="both"/>
        <w:rPr>
          <w:rFonts w:cs="Arial"/>
          <w:sz w:val="22"/>
          <w:szCs w:val="22"/>
        </w:rPr>
      </w:pPr>
      <w:r w:rsidRPr="000F7050">
        <w:rPr>
          <w:rFonts w:cs="Arial"/>
          <w:sz w:val="22"/>
          <w:szCs w:val="22"/>
        </w:rPr>
        <w:t>Sheffield</w:t>
      </w:r>
      <w:r w:rsidR="000F7050">
        <w:rPr>
          <w:rFonts w:cs="Arial"/>
          <w:sz w:val="22"/>
          <w:szCs w:val="22"/>
        </w:rPr>
        <w:t xml:space="preserve">, </w:t>
      </w:r>
      <w:r w:rsidRPr="000F7050">
        <w:rPr>
          <w:rFonts w:cs="Arial"/>
          <w:sz w:val="22"/>
          <w:szCs w:val="22"/>
        </w:rPr>
        <w:t>S1 4DA</w:t>
      </w:r>
    </w:p>
    <w:p w14:paraId="67D23D92" w14:textId="77777777" w:rsidR="000923BB" w:rsidRPr="000F7050" w:rsidRDefault="000923BB" w:rsidP="00BC55B2">
      <w:pPr>
        <w:spacing w:line="360" w:lineRule="auto"/>
        <w:jc w:val="both"/>
        <w:rPr>
          <w:rFonts w:cs="Arial"/>
          <w:sz w:val="22"/>
          <w:szCs w:val="22"/>
        </w:rPr>
      </w:pPr>
      <w:r w:rsidRPr="000F7050">
        <w:rPr>
          <w:rFonts w:cs="Arial"/>
          <w:sz w:val="22"/>
          <w:szCs w:val="22"/>
        </w:rPr>
        <w:t xml:space="preserve">Email:  </w:t>
      </w:r>
      <w:hyperlink r:id="rId50" w:history="1">
        <w:r w:rsidRPr="000F7050">
          <w:rPr>
            <w:rStyle w:val="Hyperlink"/>
            <w:rFonts w:cs="Arial"/>
            <w:sz w:val="22"/>
            <w:szCs w:val="22"/>
          </w:rPr>
          <w:t>Allen.Hutchinson@sheffield.ac.uk</w:t>
        </w:r>
      </w:hyperlink>
    </w:p>
    <w:p w14:paraId="0790FACF" w14:textId="77777777" w:rsidR="000923BB" w:rsidRPr="009C1FA1" w:rsidRDefault="000923BB" w:rsidP="00BC55B2">
      <w:pPr>
        <w:spacing w:line="360" w:lineRule="auto"/>
        <w:rPr>
          <w:rFonts w:cs="Arial"/>
          <w:b/>
          <w:bCs/>
          <w:sz w:val="28"/>
          <w:szCs w:val="28"/>
        </w:rPr>
      </w:pPr>
      <w:r w:rsidRPr="000F7050">
        <w:rPr>
          <w:rFonts w:cs="Arial"/>
          <w:sz w:val="22"/>
          <w:szCs w:val="22"/>
        </w:rPr>
        <w:t>Tel; +44 (0)1142220811</w:t>
      </w:r>
      <w:r>
        <w:rPr>
          <w:rFonts w:cs="Arial"/>
          <w:sz w:val="22"/>
          <w:szCs w:val="22"/>
        </w:rPr>
        <w:br w:type="page"/>
      </w:r>
      <w:r w:rsidRPr="00797080">
        <w:rPr>
          <w:rFonts w:cs="Arial"/>
          <w:b/>
          <w:bCs/>
        </w:rPr>
        <w:lastRenderedPageBreak/>
        <w:t xml:space="preserve"> </w:t>
      </w:r>
      <w:r w:rsidRPr="009C1FA1">
        <w:rPr>
          <w:rFonts w:cs="Arial"/>
          <w:b/>
          <w:bCs/>
          <w:sz w:val="28"/>
          <w:szCs w:val="28"/>
        </w:rPr>
        <w:t>Contents</w:t>
      </w:r>
      <w:r>
        <w:rPr>
          <w:rFonts w:cs="Arial"/>
          <w:b/>
          <w:bCs/>
          <w:sz w:val="28"/>
          <w:szCs w:val="28"/>
        </w:rPr>
        <w:t xml:space="preserve"> </w:t>
      </w:r>
    </w:p>
    <w:p w14:paraId="5FF298D6" w14:textId="77777777" w:rsidR="000923BB" w:rsidRDefault="000923BB" w:rsidP="000923BB">
      <w:pPr>
        <w:jc w:val="both"/>
        <w:rPr>
          <w:rFonts w:cs="Arial"/>
          <w:bCs/>
          <w:sz w:val="22"/>
          <w:szCs w:val="22"/>
        </w:rPr>
      </w:pPr>
    </w:p>
    <w:p w14:paraId="78DE2813" w14:textId="77777777" w:rsidR="000923BB" w:rsidRPr="007B369C" w:rsidRDefault="000923BB" w:rsidP="000923BB">
      <w:pPr>
        <w:jc w:val="both"/>
        <w:rPr>
          <w:rFonts w:cs="Arial"/>
          <w:bCs/>
          <w:sz w:val="22"/>
          <w:szCs w:val="22"/>
        </w:rPr>
      </w:pPr>
      <w:r w:rsidRPr="007B369C">
        <w:rPr>
          <w:rFonts w:cs="Arial"/>
          <w:bCs/>
          <w:sz w:val="22"/>
          <w:szCs w:val="22"/>
        </w:rPr>
        <w:t>Preface: aims, general approach to the study and structure of the report</w:t>
      </w:r>
      <w:r w:rsidR="00741895">
        <w:rPr>
          <w:rFonts w:cs="Arial"/>
          <w:bCs/>
          <w:sz w:val="22"/>
          <w:szCs w:val="22"/>
        </w:rPr>
        <w:t>………….</w:t>
      </w:r>
      <w:r>
        <w:rPr>
          <w:rFonts w:cs="Arial"/>
          <w:bCs/>
          <w:sz w:val="22"/>
          <w:szCs w:val="22"/>
        </w:rPr>
        <w:t xml:space="preserve"> 4</w:t>
      </w:r>
    </w:p>
    <w:p w14:paraId="7DB4550A" w14:textId="77777777" w:rsidR="000923BB" w:rsidRDefault="000923BB" w:rsidP="000923BB">
      <w:pPr>
        <w:jc w:val="both"/>
        <w:rPr>
          <w:rFonts w:cs="Arial"/>
          <w:bCs/>
          <w:sz w:val="22"/>
          <w:szCs w:val="22"/>
        </w:rPr>
      </w:pPr>
      <w:r>
        <w:rPr>
          <w:rFonts w:cs="Arial"/>
          <w:bCs/>
          <w:sz w:val="22"/>
          <w:szCs w:val="22"/>
        </w:rPr>
        <w:t>Acknowledgements ………………………………………………………………………</w:t>
      </w:r>
      <w:r w:rsidR="00741895">
        <w:rPr>
          <w:rFonts w:cs="Arial"/>
          <w:bCs/>
          <w:sz w:val="22"/>
          <w:szCs w:val="22"/>
        </w:rPr>
        <w:t>.</w:t>
      </w:r>
      <w:r>
        <w:rPr>
          <w:rFonts w:cs="Arial"/>
          <w:bCs/>
          <w:sz w:val="22"/>
          <w:szCs w:val="22"/>
        </w:rPr>
        <w:t>…6</w:t>
      </w:r>
    </w:p>
    <w:p w14:paraId="0A2F4F75" w14:textId="77777777" w:rsidR="000923BB" w:rsidRDefault="000923BB" w:rsidP="000923BB">
      <w:pPr>
        <w:jc w:val="both"/>
        <w:rPr>
          <w:rFonts w:cs="Arial"/>
          <w:bCs/>
          <w:sz w:val="22"/>
          <w:szCs w:val="22"/>
        </w:rPr>
      </w:pPr>
      <w:r w:rsidRPr="000E0809">
        <w:rPr>
          <w:rFonts w:cs="Arial"/>
          <w:b/>
          <w:bCs/>
          <w:sz w:val="22"/>
          <w:szCs w:val="22"/>
        </w:rPr>
        <w:t>Summary</w:t>
      </w:r>
      <w:r>
        <w:rPr>
          <w:rFonts w:cs="Arial"/>
          <w:bCs/>
          <w:sz w:val="22"/>
          <w:szCs w:val="22"/>
        </w:rPr>
        <w:t>……………………………………………………………………………………..7</w:t>
      </w:r>
    </w:p>
    <w:p w14:paraId="5407E17E" w14:textId="77777777" w:rsidR="000923BB" w:rsidRDefault="000923BB" w:rsidP="000923BB">
      <w:pPr>
        <w:jc w:val="both"/>
        <w:rPr>
          <w:rFonts w:cs="Arial"/>
          <w:bCs/>
          <w:sz w:val="22"/>
          <w:szCs w:val="22"/>
        </w:rPr>
      </w:pPr>
    </w:p>
    <w:p w14:paraId="4D627C22" w14:textId="77777777" w:rsidR="000923BB" w:rsidRPr="007B369C" w:rsidRDefault="000923BB" w:rsidP="000923BB">
      <w:pPr>
        <w:jc w:val="both"/>
        <w:rPr>
          <w:rFonts w:cs="Arial"/>
          <w:bCs/>
          <w:sz w:val="22"/>
          <w:szCs w:val="22"/>
        </w:rPr>
      </w:pPr>
      <w:r w:rsidRPr="009C1FA1">
        <w:rPr>
          <w:rFonts w:cs="Arial"/>
          <w:b/>
          <w:bCs/>
        </w:rPr>
        <w:t>Assessing quality of care from hospital case notes: comparison of reliability and utility of holistic (implicit) and criterion based (explicit) methods</w:t>
      </w:r>
      <w:r w:rsidRPr="009C1FA1">
        <w:rPr>
          <w:rFonts w:cs="Arial"/>
          <w:b/>
          <w:bCs/>
          <w:sz w:val="22"/>
          <w:szCs w:val="22"/>
        </w:rPr>
        <w:t xml:space="preserve"> </w:t>
      </w:r>
    </w:p>
    <w:p w14:paraId="56410AA1" w14:textId="77777777" w:rsidR="000923BB" w:rsidRPr="007B369C" w:rsidRDefault="000923BB" w:rsidP="000923BB">
      <w:pPr>
        <w:rPr>
          <w:rFonts w:cs="Arial"/>
          <w:sz w:val="22"/>
          <w:szCs w:val="22"/>
        </w:rPr>
      </w:pPr>
    </w:p>
    <w:p w14:paraId="18419A02" w14:textId="77777777" w:rsidR="000923BB" w:rsidRDefault="000923BB" w:rsidP="000923BB">
      <w:pPr>
        <w:rPr>
          <w:rFonts w:cs="Arial"/>
          <w:bCs/>
          <w:sz w:val="22"/>
          <w:szCs w:val="22"/>
        </w:rPr>
      </w:pPr>
      <w:r w:rsidRPr="007B369C">
        <w:rPr>
          <w:rFonts w:cs="Arial"/>
          <w:bCs/>
          <w:sz w:val="22"/>
          <w:szCs w:val="22"/>
        </w:rPr>
        <w:t>Background</w:t>
      </w:r>
      <w:r>
        <w:rPr>
          <w:rFonts w:cs="Arial"/>
          <w:bCs/>
          <w:sz w:val="22"/>
          <w:szCs w:val="22"/>
        </w:rPr>
        <w:t>…………………………………………………………………………………</w:t>
      </w:r>
      <w:r w:rsidR="00741895">
        <w:rPr>
          <w:rFonts w:cs="Arial"/>
          <w:bCs/>
          <w:sz w:val="22"/>
          <w:szCs w:val="22"/>
        </w:rPr>
        <w:t>.</w:t>
      </w:r>
      <w:r>
        <w:rPr>
          <w:rFonts w:cs="Arial"/>
          <w:bCs/>
          <w:sz w:val="22"/>
          <w:szCs w:val="22"/>
        </w:rPr>
        <w:t>10</w:t>
      </w:r>
    </w:p>
    <w:p w14:paraId="27BDF833" w14:textId="77777777" w:rsidR="000923BB" w:rsidRPr="009C1FA1" w:rsidRDefault="000923BB" w:rsidP="000923BB">
      <w:pPr>
        <w:ind w:left="720"/>
        <w:jc w:val="both"/>
        <w:rPr>
          <w:rFonts w:cs="Arial"/>
          <w:bCs/>
          <w:sz w:val="22"/>
          <w:szCs w:val="22"/>
        </w:rPr>
      </w:pPr>
      <w:r w:rsidRPr="009C1FA1">
        <w:rPr>
          <w:rFonts w:cs="Arial"/>
          <w:bCs/>
          <w:sz w:val="22"/>
          <w:szCs w:val="22"/>
        </w:rPr>
        <w:t>Study aim and research questions</w:t>
      </w:r>
      <w:r>
        <w:rPr>
          <w:rFonts w:cs="Arial"/>
          <w:bCs/>
          <w:sz w:val="22"/>
          <w:szCs w:val="22"/>
        </w:rPr>
        <w:t xml:space="preserve"> ……………………………………………...13</w:t>
      </w:r>
    </w:p>
    <w:p w14:paraId="3DE77C38" w14:textId="77777777" w:rsidR="000923BB" w:rsidRPr="007B369C" w:rsidRDefault="000923BB" w:rsidP="000923BB">
      <w:pPr>
        <w:jc w:val="both"/>
        <w:rPr>
          <w:rFonts w:cs="Arial"/>
          <w:sz w:val="22"/>
          <w:szCs w:val="22"/>
        </w:rPr>
      </w:pPr>
      <w:r w:rsidRPr="007B369C">
        <w:rPr>
          <w:rFonts w:cs="Arial"/>
          <w:bCs/>
          <w:sz w:val="22"/>
          <w:szCs w:val="22"/>
        </w:rPr>
        <w:t xml:space="preserve">Methods </w:t>
      </w:r>
      <w:r>
        <w:rPr>
          <w:rFonts w:cs="Arial"/>
          <w:bCs/>
          <w:sz w:val="22"/>
          <w:szCs w:val="22"/>
        </w:rPr>
        <w:t>…………………………………………………………………………………….</w:t>
      </w:r>
      <w:r w:rsidR="00741895">
        <w:rPr>
          <w:rFonts w:cs="Arial"/>
          <w:bCs/>
          <w:sz w:val="22"/>
          <w:szCs w:val="22"/>
        </w:rPr>
        <w:t>.</w:t>
      </w:r>
      <w:r w:rsidRPr="007B369C">
        <w:rPr>
          <w:rFonts w:cs="Arial"/>
          <w:bCs/>
          <w:sz w:val="22"/>
          <w:szCs w:val="22"/>
        </w:rPr>
        <w:t>1</w:t>
      </w:r>
      <w:r>
        <w:rPr>
          <w:rFonts w:cs="Arial"/>
          <w:bCs/>
          <w:sz w:val="22"/>
          <w:szCs w:val="22"/>
        </w:rPr>
        <w:t>4</w:t>
      </w:r>
    </w:p>
    <w:p w14:paraId="749532F4" w14:textId="77777777" w:rsidR="000923BB" w:rsidRPr="007B369C" w:rsidRDefault="000923BB" w:rsidP="000923BB">
      <w:pPr>
        <w:tabs>
          <w:tab w:val="left" w:pos="3828"/>
        </w:tabs>
        <w:ind w:left="720"/>
        <w:jc w:val="both"/>
        <w:rPr>
          <w:rFonts w:cs="Arial"/>
          <w:sz w:val="22"/>
          <w:szCs w:val="22"/>
        </w:rPr>
      </w:pPr>
      <w:r w:rsidRPr="007B369C">
        <w:rPr>
          <w:rFonts w:cs="Arial"/>
          <w:sz w:val="22"/>
          <w:szCs w:val="22"/>
        </w:rPr>
        <w:t xml:space="preserve">Choice of conditions, review methods, settings and staff </w:t>
      </w:r>
      <w:r>
        <w:rPr>
          <w:rFonts w:cs="Arial"/>
          <w:sz w:val="22"/>
          <w:szCs w:val="22"/>
        </w:rPr>
        <w:t>…………………….</w:t>
      </w:r>
      <w:r w:rsidRPr="007B369C">
        <w:rPr>
          <w:rFonts w:cs="Arial"/>
          <w:sz w:val="22"/>
          <w:szCs w:val="22"/>
        </w:rPr>
        <w:t>1</w:t>
      </w:r>
      <w:r>
        <w:rPr>
          <w:rFonts w:cs="Arial"/>
          <w:sz w:val="22"/>
          <w:szCs w:val="22"/>
        </w:rPr>
        <w:t>4</w:t>
      </w:r>
    </w:p>
    <w:p w14:paraId="1AD0A6D7" w14:textId="77777777" w:rsidR="000923BB" w:rsidRDefault="000923BB" w:rsidP="000923BB">
      <w:pPr>
        <w:pStyle w:val="Heading4"/>
        <w:spacing w:line="240" w:lineRule="auto"/>
        <w:ind w:left="720"/>
        <w:rPr>
          <w:b w:val="0"/>
          <w:sz w:val="22"/>
          <w:szCs w:val="22"/>
        </w:rPr>
      </w:pPr>
      <w:r w:rsidRPr="00741895">
        <w:rPr>
          <w:b w:val="0"/>
          <w:sz w:val="22"/>
          <w:szCs w:val="22"/>
        </w:rPr>
        <w:t>Data captur</w:t>
      </w:r>
      <w:r w:rsidR="00741895" w:rsidRPr="00741895">
        <w:rPr>
          <w:b w:val="0"/>
          <w:sz w:val="22"/>
          <w:szCs w:val="22"/>
        </w:rPr>
        <w:t>e methods…………………</w:t>
      </w:r>
      <w:r w:rsidR="00741895">
        <w:rPr>
          <w:b w:val="0"/>
          <w:sz w:val="22"/>
          <w:szCs w:val="22"/>
        </w:rPr>
        <w:t>.........</w:t>
      </w:r>
      <w:r w:rsidR="00741895" w:rsidRPr="00741895">
        <w:rPr>
          <w:b w:val="0"/>
          <w:sz w:val="22"/>
          <w:szCs w:val="22"/>
        </w:rPr>
        <w:t>………………………………..</w:t>
      </w:r>
      <w:r w:rsidRPr="00741895">
        <w:rPr>
          <w:b w:val="0"/>
          <w:sz w:val="22"/>
          <w:szCs w:val="22"/>
        </w:rPr>
        <w:t>.19</w:t>
      </w:r>
    </w:p>
    <w:p w14:paraId="519D44AB" w14:textId="77777777" w:rsidR="000923BB" w:rsidRPr="007B369C" w:rsidRDefault="000923BB" w:rsidP="000923BB">
      <w:pPr>
        <w:ind w:left="720"/>
        <w:jc w:val="both"/>
        <w:rPr>
          <w:rFonts w:cs="Arial"/>
          <w:bCs/>
          <w:iCs/>
          <w:sz w:val="22"/>
          <w:szCs w:val="22"/>
        </w:rPr>
      </w:pPr>
      <w:r w:rsidRPr="007B369C">
        <w:rPr>
          <w:rFonts w:cs="Arial"/>
          <w:bCs/>
          <w:iCs/>
          <w:sz w:val="22"/>
          <w:szCs w:val="22"/>
        </w:rPr>
        <w:t xml:space="preserve">Analysis methods </w:t>
      </w:r>
      <w:r>
        <w:rPr>
          <w:rFonts w:cs="Arial"/>
          <w:bCs/>
          <w:iCs/>
          <w:sz w:val="22"/>
          <w:szCs w:val="22"/>
        </w:rPr>
        <w:t>…………………………………………………………………</w:t>
      </w:r>
      <w:r w:rsidRPr="007B369C">
        <w:rPr>
          <w:rFonts w:cs="Arial"/>
          <w:bCs/>
          <w:iCs/>
          <w:sz w:val="22"/>
          <w:szCs w:val="22"/>
        </w:rPr>
        <w:t>2</w:t>
      </w:r>
      <w:r>
        <w:rPr>
          <w:rFonts w:cs="Arial"/>
          <w:bCs/>
          <w:iCs/>
          <w:sz w:val="22"/>
          <w:szCs w:val="22"/>
        </w:rPr>
        <w:t>4</w:t>
      </w:r>
    </w:p>
    <w:p w14:paraId="196047AA" w14:textId="77777777" w:rsidR="000923BB" w:rsidRPr="007B369C" w:rsidRDefault="000923BB" w:rsidP="000923BB">
      <w:pPr>
        <w:ind w:left="720"/>
        <w:jc w:val="both"/>
        <w:rPr>
          <w:rFonts w:cs="Arial"/>
          <w:bCs/>
          <w:iCs/>
          <w:sz w:val="22"/>
          <w:szCs w:val="22"/>
        </w:rPr>
      </w:pPr>
      <w:r w:rsidRPr="007B369C">
        <w:rPr>
          <w:rFonts w:cs="Arial"/>
          <w:bCs/>
          <w:iCs/>
          <w:sz w:val="22"/>
          <w:szCs w:val="22"/>
        </w:rPr>
        <w:t>Research ethics review</w:t>
      </w:r>
      <w:r>
        <w:rPr>
          <w:rFonts w:cs="Arial"/>
          <w:bCs/>
          <w:iCs/>
          <w:sz w:val="22"/>
          <w:szCs w:val="22"/>
        </w:rPr>
        <w:t xml:space="preserve"> and governance………………………….……………30</w:t>
      </w:r>
    </w:p>
    <w:p w14:paraId="1DA9FBAF" w14:textId="77777777" w:rsidR="000923BB" w:rsidRPr="009C1FA1" w:rsidRDefault="000923BB" w:rsidP="000923BB">
      <w:pPr>
        <w:jc w:val="both"/>
        <w:rPr>
          <w:rFonts w:cs="Arial"/>
          <w:bCs/>
          <w:sz w:val="22"/>
          <w:szCs w:val="22"/>
        </w:rPr>
      </w:pPr>
      <w:r w:rsidRPr="009C1FA1">
        <w:rPr>
          <w:rFonts w:cs="Arial"/>
          <w:bCs/>
          <w:sz w:val="22"/>
          <w:szCs w:val="22"/>
        </w:rPr>
        <w:t xml:space="preserve">Results </w:t>
      </w:r>
      <w:r>
        <w:rPr>
          <w:rFonts w:cs="Arial"/>
          <w:bCs/>
          <w:sz w:val="22"/>
          <w:szCs w:val="22"/>
        </w:rPr>
        <w:t>……………………………………………………………………………………...31</w:t>
      </w:r>
    </w:p>
    <w:p w14:paraId="1D292186" w14:textId="77777777" w:rsidR="000923BB" w:rsidRPr="009C1FA1" w:rsidRDefault="000923BB" w:rsidP="000923BB">
      <w:pPr>
        <w:ind w:left="720"/>
        <w:jc w:val="both"/>
        <w:rPr>
          <w:rFonts w:cs="Arial"/>
          <w:sz w:val="22"/>
          <w:szCs w:val="22"/>
        </w:rPr>
      </w:pPr>
      <w:r w:rsidRPr="009C1FA1">
        <w:rPr>
          <w:rFonts w:cs="Arial"/>
          <w:sz w:val="22"/>
          <w:szCs w:val="22"/>
        </w:rPr>
        <w:t xml:space="preserve">Analysis of holistic review scale scores </w:t>
      </w:r>
      <w:r>
        <w:rPr>
          <w:rFonts w:cs="Arial"/>
          <w:sz w:val="22"/>
          <w:szCs w:val="22"/>
        </w:rPr>
        <w:t>………………………………………...</w:t>
      </w:r>
      <w:r w:rsidRPr="009C1FA1">
        <w:rPr>
          <w:rFonts w:cs="Arial"/>
          <w:sz w:val="22"/>
          <w:szCs w:val="22"/>
        </w:rPr>
        <w:t>3</w:t>
      </w:r>
      <w:r>
        <w:rPr>
          <w:rFonts w:cs="Arial"/>
          <w:sz w:val="22"/>
          <w:szCs w:val="22"/>
        </w:rPr>
        <w:t>2</w:t>
      </w:r>
    </w:p>
    <w:p w14:paraId="4DF7C6F4" w14:textId="77777777" w:rsidR="000923BB" w:rsidRPr="009C1FA1" w:rsidRDefault="000923BB" w:rsidP="000923BB">
      <w:pPr>
        <w:ind w:left="720"/>
        <w:jc w:val="both"/>
        <w:rPr>
          <w:rFonts w:cs="Arial"/>
          <w:sz w:val="22"/>
          <w:szCs w:val="22"/>
        </w:rPr>
      </w:pPr>
      <w:r w:rsidRPr="009C1FA1">
        <w:rPr>
          <w:rFonts w:cs="Arial"/>
          <w:sz w:val="22"/>
          <w:szCs w:val="22"/>
        </w:rPr>
        <w:t xml:space="preserve">Analysis of review criterion based scores </w:t>
      </w:r>
      <w:r>
        <w:rPr>
          <w:rFonts w:cs="Arial"/>
          <w:sz w:val="22"/>
          <w:szCs w:val="22"/>
        </w:rPr>
        <w:t>……………………………………...36</w:t>
      </w:r>
    </w:p>
    <w:p w14:paraId="35985E1A" w14:textId="77777777" w:rsidR="000923BB" w:rsidRPr="009C1FA1" w:rsidRDefault="000923BB" w:rsidP="000923BB">
      <w:pPr>
        <w:ind w:left="720"/>
        <w:rPr>
          <w:rFonts w:cs="Arial"/>
          <w:bCs/>
          <w:iCs/>
          <w:color w:val="000000"/>
          <w:sz w:val="22"/>
          <w:szCs w:val="22"/>
        </w:rPr>
      </w:pPr>
      <w:r w:rsidRPr="009C1FA1">
        <w:rPr>
          <w:rFonts w:cs="Arial"/>
          <w:bCs/>
          <w:iCs/>
          <w:color w:val="000000"/>
          <w:sz w:val="22"/>
          <w:szCs w:val="22"/>
        </w:rPr>
        <w:t xml:space="preserve">Comparison of holistic and criterion based methods </w:t>
      </w:r>
      <w:r>
        <w:rPr>
          <w:rFonts w:cs="Arial"/>
          <w:bCs/>
          <w:iCs/>
          <w:color w:val="000000"/>
          <w:sz w:val="22"/>
          <w:szCs w:val="22"/>
        </w:rPr>
        <w:t xml:space="preserve">   ………………............37</w:t>
      </w:r>
    </w:p>
    <w:p w14:paraId="315ECEA8" w14:textId="77777777" w:rsidR="000923BB" w:rsidRPr="009C1FA1" w:rsidRDefault="000923BB" w:rsidP="000923BB">
      <w:pPr>
        <w:ind w:left="720"/>
        <w:rPr>
          <w:rFonts w:cs="Arial"/>
          <w:bCs/>
          <w:iCs/>
          <w:sz w:val="22"/>
          <w:szCs w:val="22"/>
        </w:rPr>
      </w:pPr>
      <w:r w:rsidRPr="009C1FA1">
        <w:rPr>
          <w:rFonts w:cs="Arial"/>
          <w:bCs/>
          <w:iCs/>
          <w:sz w:val="22"/>
          <w:szCs w:val="22"/>
        </w:rPr>
        <w:t xml:space="preserve">Thematic analysis of holistic textual data </w:t>
      </w:r>
      <w:r>
        <w:rPr>
          <w:rFonts w:cs="Arial"/>
          <w:bCs/>
          <w:iCs/>
          <w:sz w:val="22"/>
          <w:szCs w:val="22"/>
        </w:rPr>
        <w:t>………………………………………41</w:t>
      </w:r>
    </w:p>
    <w:p w14:paraId="1D2ADA40" w14:textId="77777777" w:rsidR="000923BB" w:rsidRPr="00C3429F" w:rsidRDefault="000923BB" w:rsidP="000923BB">
      <w:pPr>
        <w:ind w:left="720"/>
        <w:rPr>
          <w:rFonts w:cs="Arial"/>
          <w:sz w:val="22"/>
          <w:szCs w:val="22"/>
        </w:rPr>
      </w:pPr>
      <w:r w:rsidRPr="00C3429F">
        <w:rPr>
          <w:rFonts w:cs="Arial"/>
          <w:sz w:val="22"/>
          <w:szCs w:val="22"/>
        </w:rPr>
        <w:t>Resource implications</w:t>
      </w:r>
      <w:r>
        <w:rPr>
          <w:rFonts w:cs="Arial"/>
          <w:sz w:val="22"/>
          <w:szCs w:val="22"/>
        </w:rPr>
        <w:t>….…………………………………………………………</w:t>
      </w:r>
      <w:r w:rsidRPr="00C3429F">
        <w:rPr>
          <w:rFonts w:cs="Arial"/>
          <w:sz w:val="22"/>
          <w:szCs w:val="22"/>
        </w:rPr>
        <w:t>4</w:t>
      </w:r>
      <w:r>
        <w:rPr>
          <w:rFonts w:cs="Arial"/>
          <w:sz w:val="22"/>
          <w:szCs w:val="22"/>
        </w:rPr>
        <w:t>9</w:t>
      </w:r>
    </w:p>
    <w:p w14:paraId="10038D37" w14:textId="77777777" w:rsidR="000923BB" w:rsidRPr="00C3429F" w:rsidRDefault="000923BB" w:rsidP="000923BB">
      <w:pPr>
        <w:ind w:left="720"/>
        <w:rPr>
          <w:rFonts w:cs="Arial"/>
          <w:sz w:val="22"/>
          <w:szCs w:val="22"/>
        </w:rPr>
      </w:pPr>
      <w:r w:rsidRPr="00C3429F">
        <w:rPr>
          <w:rFonts w:cs="Arial"/>
          <w:sz w:val="22"/>
          <w:szCs w:val="22"/>
        </w:rPr>
        <w:t xml:space="preserve">Quality of care – hospital mortality group relationship </w:t>
      </w:r>
      <w:r>
        <w:rPr>
          <w:rFonts w:cs="Arial"/>
          <w:sz w:val="22"/>
          <w:szCs w:val="22"/>
        </w:rPr>
        <w:t>………………………..50</w:t>
      </w:r>
    </w:p>
    <w:p w14:paraId="734D20CA" w14:textId="77777777" w:rsidR="000923BB" w:rsidRPr="009C1FA1" w:rsidRDefault="000923BB" w:rsidP="000923BB">
      <w:pPr>
        <w:ind w:left="720"/>
        <w:jc w:val="both"/>
        <w:rPr>
          <w:rFonts w:cs="Arial"/>
          <w:sz w:val="22"/>
          <w:szCs w:val="22"/>
        </w:rPr>
      </w:pPr>
      <w:r w:rsidRPr="009C1FA1">
        <w:rPr>
          <w:rFonts w:cs="Arial"/>
          <w:sz w:val="22"/>
          <w:szCs w:val="22"/>
        </w:rPr>
        <w:t xml:space="preserve">Feedback to study hospitals and teams </w:t>
      </w:r>
      <w:r>
        <w:rPr>
          <w:rFonts w:cs="Arial"/>
          <w:sz w:val="22"/>
          <w:szCs w:val="22"/>
        </w:rPr>
        <w:t>………………………………………..</w:t>
      </w:r>
      <w:r w:rsidRPr="009C1FA1">
        <w:rPr>
          <w:rFonts w:cs="Arial"/>
          <w:sz w:val="22"/>
          <w:szCs w:val="22"/>
        </w:rPr>
        <w:t>5</w:t>
      </w:r>
      <w:r>
        <w:rPr>
          <w:rFonts w:cs="Arial"/>
          <w:sz w:val="22"/>
          <w:szCs w:val="22"/>
        </w:rPr>
        <w:t>7</w:t>
      </w:r>
    </w:p>
    <w:p w14:paraId="70EFCCDB" w14:textId="77777777" w:rsidR="000923BB" w:rsidRPr="007B369C" w:rsidRDefault="000923BB" w:rsidP="000923BB">
      <w:pPr>
        <w:jc w:val="both"/>
        <w:rPr>
          <w:rFonts w:cs="Arial"/>
          <w:bCs/>
          <w:sz w:val="22"/>
          <w:szCs w:val="22"/>
        </w:rPr>
      </w:pPr>
      <w:r>
        <w:rPr>
          <w:rFonts w:cs="Arial"/>
          <w:bCs/>
          <w:sz w:val="22"/>
          <w:szCs w:val="22"/>
        </w:rPr>
        <w:t>Conclusions .………………………………………………………………………………..</w:t>
      </w:r>
      <w:r w:rsidRPr="007B369C">
        <w:rPr>
          <w:rFonts w:cs="Arial"/>
          <w:bCs/>
          <w:sz w:val="22"/>
          <w:szCs w:val="22"/>
        </w:rPr>
        <w:t>5</w:t>
      </w:r>
      <w:r>
        <w:rPr>
          <w:rFonts w:cs="Arial"/>
          <w:bCs/>
          <w:sz w:val="22"/>
          <w:szCs w:val="22"/>
        </w:rPr>
        <w:t>8</w:t>
      </w:r>
    </w:p>
    <w:p w14:paraId="3A92E7EB" w14:textId="77777777" w:rsidR="000923BB" w:rsidRPr="007B369C" w:rsidRDefault="000923BB" w:rsidP="000923BB">
      <w:pPr>
        <w:ind w:left="720"/>
        <w:rPr>
          <w:rFonts w:cs="Arial"/>
          <w:sz w:val="22"/>
          <w:szCs w:val="22"/>
        </w:rPr>
      </w:pPr>
      <w:r w:rsidRPr="007B369C">
        <w:rPr>
          <w:rFonts w:cs="Arial"/>
          <w:sz w:val="22"/>
          <w:szCs w:val="22"/>
        </w:rPr>
        <w:t xml:space="preserve">Implications for reviewing quality of care </w:t>
      </w:r>
      <w:r>
        <w:rPr>
          <w:rFonts w:cs="Arial"/>
          <w:sz w:val="22"/>
          <w:szCs w:val="22"/>
        </w:rPr>
        <w:t>...…………………………………….</w:t>
      </w:r>
      <w:r w:rsidRPr="007B369C">
        <w:rPr>
          <w:rFonts w:cs="Arial"/>
          <w:sz w:val="22"/>
          <w:szCs w:val="22"/>
        </w:rPr>
        <w:t>6</w:t>
      </w:r>
      <w:r>
        <w:rPr>
          <w:rFonts w:cs="Arial"/>
          <w:sz w:val="22"/>
          <w:szCs w:val="22"/>
        </w:rPr>
        <w:t>3</w:t>
      </w:r>
    </w:p>
    <w:p w14:paraId="30D7EDAD" w14:textId="77777777" w:rsidR="000923BB" w:rsidRPr="007B369C" w:rsidRDefault="000923BB" w:rsidP="000923BB">
      <w:pPr>
        <w:rPr>
          <w:rFonts w:cs="Arial"/>
          <w:sz w:val="22"/>
          <w:szCs w:val="22"/>
        </w:rPr>
      </w:pPr>
    </w:p>
    <w:p w14:paraId="66C5CE60" w14:textId="77777777" w:rsidR="000923BB" w:rsidRPr="007B369C" w:rsidRDefault="000923BB" w:rsidP="000923BB">
      <w:pPr>
        <w:jc w:val="both"/>
        <w:rPr>
          <w:rFonts w:cs="Arial"/>
          <w:sz w:val="22"/>
          <w:szCs w:val="22"/>
        </w:rPr>
      </w:pPr>
      <w:r w:rsidRPr="00C3429F">
        <w:rPr>
          <w:rFonts w:cs="Arial"/>
          <w:b/>
        </w:rPr>
        <w:lastRenderedPageBreak/>
        <w:t>What is the relationship between information on quality of care from case notes and hospital level outcomes of care?</w:t>
      </w:r>
      <w:r w:rsidRPr="00C3429F">
        <w:rPr>
          <w:rFonts w:cs="Arial"/>
        </w:rPr>
        <w:t xml:space="preserve"> </w:t>
      </w:r>
    </w:p>
    <w:p w14:paraId="4D8B327C" w14:textId="77777777" w:rsidR="000923BB" w:rsidRPr="007B369C" w:rsidRDefault="000923BB" w:rsidP="000923BB">
      <w:pPr>
        <w:jc w:val="both"/>
        <w:rPr>
          <w:rFonts w:cs="Arial"/>
          <w:sz w:val="22"/>
          <w:szCs w:val="22"/>
        </w:rPr>
      </w:pPr>
    </w:p>
    <w:p w14:paraId="701C9151" w14:textId="77777777" w:rsidR="000923BB" w:rsidRPr="007B369C" w:rsidRDefault="000923BB" w:rsidP="000923BB">
      <w:pPr>
        <w:jc w:val="both"/>
        <w:rPr>
          <w:rFonts w:cs="Arial"/>
          <w:bCs/>
          <w:sz w:val="22"/>
          <w:szCs w:val="22"/>
        </w:rPr>
      </w:pPr>
      <w:r w:rsidRPr="007B369C">
        <w:rPr>
          <w:rFonts w:cs="Arial"/>
          <w:bCs/>
          <w:sz w:val="22"/>
          <w:szCs w:val="22"/>
        </w:rPr>
        <w:t xml:space="preserve">Background </w:t>
      </w:r>
      <w:r>
        <w:rPr>
          <w:rFonts w:cs="Arial"/>
          <w:bCs/>
          <w:sz w:val="22"/>
          <w:szCs w:val="22"/>
        </w:rPr>
        <w:t>………………………………………………………………………………...65</w:t>
      </w:r>
    </w:p>
    <w:p w14:paraId="12FFBB34" w14:textId="77777777" w:rsidR="000923BB" w:rsidRPr="007B369C" w:rsidRDefault="000923BB" w:rsidP="000923BB">
      <w:pPr>
        <w:rPr>
          <w:rFonts w:cs="Arial"/>
          <w:sz w:val="22"/>
          <w:szCs w:val="22"/>
        </w:rPr>
      </w:pPr>
      <w:r w:rsidRPr="007B369C">
        <w:rPr>
          <w:rFonts w:cs="Arial"/>
          <w:sz w:val="22"/>
          <w:szCs w:val="22"/>
        </w:rPr>
        <w:t xml:space="preserve">Methods </w:t>
      </w:r>
      <w:r>
        <w:rPr>
          <w:rFonts w:cs="Arial"/>
          <w:sz w:val="22"/>
          <w:szCs w:val="22"/>
        </w:rPr>
        <w:t>…………………………………………………………………………………….67</w:t>
      </w:r>
    </w:p>
    <w:p w14:paraId="77BD6738" w14:textId="77777777" w:rsidR="000923BB" w:rsidRPr="00C3429F" w:rsidRDefault="000923BB" w:rsidP="000923BB">
      <w:pPr>
        <w:tabs>
          <w:tab w:val="left" w:pos="3828"/>
        </w:tabs>
        <w:ind w:left="720"/>
        <w:rPr>
          <w:rFonts w:cs="Arial"/>
          <w:sz w:val="22"/>
          <w:szCs w:val="22"/>
        </w:rPr>
      </w:pPr>
      <w:r w:rsidRPr="00C3429F">
        <w:rPr>
          <w:rFonts w:cs="Arial"/>
          <w:sz w:val="22"/>
          <w:szCs w:val="22"/>
        </w:rPr>
        <w:t xml:space="preserve">Choice of settings, review methods and staff </w:t>
      </w:r>
      <w:r>
        <w:rPr>
          <w:rFonts w:cs="Arial"/>
          <w:sz w:val="22"/>
          <w:szCs w:val="22"/>
        </w:rPr>
        <w:t>…………………………............67</w:t>
      </w:r>
    </w:p>
    <w:p w14:paraId="382DCB6D" w14:textId="77777777" w:rsidR="000923BB" w:rsidRPr="00DF7B4D" w:rsidRDefault="000923BB" w:rsidP="000923BB">
      <w:pPr>
        <w:pStyle w:val="BodyText"/>
        <w:ind w:left="720"/>
        <w:rPr>
          <w:rFonts w:cs="Arial"/>
          <w:sz w:val="22"/>
          <w:szCs w:val="22"/>
        </w:rPr>
      </w:pPr>
      <w:r w:rsidRPr="00DF7B4D">
        <w:rPr>
          <w:rFonts w:cs="Arial"/>
          <w:sz w:val="22"/>
          <w:szCs w:val="22"/>
        </w:rPr>
        <w:t xml:space="preserve">Selection of outcome data </w:t>
      </w:r>
      <w:r>
        <w:rPr>
          <w:rFonts w:cs="Arial"/>
          <w:sz w:val="22"/>
          <w:szCs w:val="22"/>
        </w:rPr>
        <w:t>...</w:t>
      </w:r>
      <w:r w:rsidRPr="00DF7B4D">
        <w:rPr>
          <w:rFonts w:cs="Arial"/>
          <w:sz w:val="22"/>
          <w:szCs w:val="22"/>
        </w:rPr>
        <w:t>………………………………………………</w:t>
      </w:r>
      <w:r>
        <w:rPr>
          <w:rFonts w:cs="Arial"/>
          <w:sz w:val="22"/>
          <w:szCs w:val="22"/>
        </w:rPr>
        <w:t>……..</w:t>
      </w:r>
      <w:r w:rsidRPr="00DF7B4D">
        <w:rPr>
          <w:rFonts w:cs="Arial"/>
          <w:sz w:val="22"/>
          <w:szCs w:val="22"/>
        </w:rPr>
        <w:t>7</w:t>
      </w:r>
      <w:r>
        <w:rPr>
          <w:rFonts w:cs="Arial"/>
          <w:sz w:val="22"/>
          <w:szCs w:val="22"/>
        </w:rPr>
        <w:t>2</w:t>
      </w:r>
    </w:p>
    <w:p w14:paraId="4FE1E6A5" w14:textId="77777777" w:rsidR="000923BB" w:rsidRPr="00DF7B4D" w:rsidRDefault="000923BB" w:rsidP="000923BB">
      <w:pPr>
        <w:pStyle w:val="BodyText"/>
        <w:ind w:left="720"/>
        <w:rPr>
          <w:rFonts w:cs="Arial"/>
          <w:sz w:val="22"/>
          <w:szCs w:val="22"/>
        </w:rPr>
      </w:pPr>
      <w:r w:rsidRPr="00DF7B4D">
        <w:rPr>
          <w:rFonts w:cs="Arial"/>
          <w:sz w:val="22"/>
          <w:szCs w:val="22"/>
        </w:rPr>
        <w:t>Analytic approach …………………………………………………………</w:t>
      </w:r>
      <w:r>
        <w:rPr>
          <w:rFonts w:cs="Arial"/>
          <w:sz w:val="22"/>
          <w:szCs w:val="22"/>
        </w:rPr>
        <w:t>………</w:t>
      </w:r>
      <w:r w:rsidRPr="00DF7B4D">
        <w:rPr>
          <w:rFonts w:cs="Arial"/>
          <w:sz w:val="22"/>
          <w:szCs w:val="22"/>
        </w:rPr>
        <w:t>7</w:t>
      </w:r>
      <w:r>
        <w:rPr>
          <w:rFonts w:cs="Arial"/>
          <w:sz w:val="22"/>
          <w:szCs w:val="22"/>
        </w:rPr>
        <w:t>3</w:t>
      </w:r>
    </w:p>
    <w:p w14:paraId="285A1DD0" w14:textId="77777777" w:rsidR="000923BB" w:rsidRPr="00DF7B4D" w:rsidRDefault="000923BB" w:rsidP="000923BB">
      <w:pPr>
        <w:pStyle w:val="BodyText"/>
        <w:rPr>
          <w:rFonts w:cs="Arial"/>
          <w:sz w:val="22"/>
          <w:szCs w:val="22"/>
        </w:rPr>
      </w:pPr>
      <w:r w:rsidRPr="00DF7B4D">
        <w:rPr>
          <w:rFonts w:cs="Arial"/>
          <w:sz w:val="22"/>
          <w:szCs w:val="22"/>
        </w:rPr>
        <w:t xml:space="preserve">Results </w:t>
      </w:r>
      <w:r>
        <w:rPr>
          <w:rFonts w:cs="Arial"/>
          <w:sz w:val="22"/>
          <w:szCs w:val="22"/>
        </w:rPr>
        <w:t>…………….………………………………………………………………………..</w:t>
      </w:r>
      <w:r w:rsidRPr="00DF7B4D">
        <w:rPr>
          <w:rFonts w:cs="Arial"/>
          <w:sz w:val="22"/>
          <w:szCs w:val="22"/>
        </w:rPr>
        <w:t>7</w:t>
      </w:r>
      <w:r>
        <w:rPr>
          <w:rFonts w:cs="Arial"/>
          <w:sz w:val="22"/>
          <w:szCs w:val="22"/>
        </w:rPr>
        <w:t>4</w:t>
      </w:r>
    </w:p>
    <w:p w14:paraId="24366E2F" w14:textId="77777777" w:rsidR="000923BB" w:rsidRPr="007B369C" w:rsidRDefault="000923BB" w:rsidP="000923BB">
      <w:pPr>
        <w:autoSpaceDE w:val="0"/>
        <w:autoSpaceDN w:val="0"/>
        <w:adjustRightInd w:val="0"/>
        <w:ind w:left="720"/>
        <w:rPr>
          <w:rFonts w:cs="Arial"/>
          <w:sz w:val="22"/>
          <w:szCs w:val="22"/>
        </w:rPr>
      </w:pPr>
      <w:r w:rsidRPr="007B369C">
        <w:rPr>
          <w:rFonts w:cs="Arial"/>
          <w:sz w:val="22"/>
          <w:szCs w:val="22"/>
        </w:rPr>
        <w:t>Relationship between outcome variables and higher mortality and lower mortality groups of hospitals</w:t>
      </w:r>
      <w:r>
        <w:rPr>
          <w:rFonts w:cs="Arial"/>
          <w:sz w:val="22"/>
          <w:szCs w:val="22"/>
        </w:rPr>
        <w:t>……………………………………………………...74</w:t>
      </w:r>
    </w:p>
    <w:p w14:paraId="572DCEB3" w14:textId="77777777" w:rsidR="000923BB" w:rsidRPr="007B369C" w:rsidRDefault="000923BB" w:rsidP="000923BB">
      <w:pPr>
        <w:ind w:left="720"/>
        <w:rPr>
          <w:rFonts w:cs="Arial"/>
          <w:sz w:val="22"/>
          <w:szCs w:val="22"/>
        </w:rPr>
      </w:pPr>
      <w:r w:rsidRPr="007B369C">
        <w:rPr>
          <w:rFonts w:cs="Arial"/>
          <w:sz w:val="22"/>
          <w:szCs w:val="22"/>
        </w:rPr>
        <w:t xml:space="preserve">Correlations between holistic scale scores and hospital level outcome variables </w:t>
      </w:r>
      <w:r>
        <w:rPr>
          <w:rFonts w:cs="Arial"/>
          <w:sz w:val="22"/>
          <w:szCs w:val="22"/>
        </w:rPr>
        <w:t>……………………………………………………………………………7</w:t>
      </w:r>
      <w:r w:rsidRPr="007B369C">
        <w:rPr>
          <w:rFonts w:cs="Arial"/>
          <w:sz w:val="22"/>
          <w:szCs w:val="22"/>
        </w:rPr>
        <w:t>8</w:t>
      </w:r>
    </w:p>
    <w:p w14:paraId="135F89C3" w14:textId="77777777" w:rsidR="000923BB" w:rsidRPr="007B369C" w:rsidRDefault="000923BB" w:rsidP="000923BB">
      <w:pPr>
        <w:ind w:left="720"/>
        <w:rPr>
          <w:rFonts w:cs="Arial"/>
          <w:sz w:val="22"/>
          <w:szCs w:val="22"/>
        </w:rPr>
      </w:pPr>
      <w:r w:rsidRPr="007B369C">
        <w:rPr>
          <w:rFonts w:cs="Arial"/>
          <w:sz w:val="22"/>
          <w:szCs w:val="22"/>
        </w:rPr>
        <w:t>Correlations between criterion based scores and hospital level outcome variables</w:t>
      </w:r>
      <w:r>
        <w:rPr>
          <w:rFonts w:cs="Arial"/>
          <w:sz w:val="22"/>
          <w:szCs w:val="22"/>
        </w:rPr>
        <w:t>..………………………………………………………………………......85</w:t>
      </w:r>
    </w:p>
    <w:p w14:paraId="5334C46C" w14:textId="77777777" w:rsidR="000923BB" w:rsidRPr="007B369C" w:rsidRDefault="000923BB" w:rsidP="000923BB">
      <w:pPr>
        <w:ind w:left="720"/>
        <w:rPr>
          <w:rFonts w:cs="Arial"/>
          <w:sz w:val="22"/>
          <w:szCs w:val="22"/>
        </w:rPr>
      </w:pPr>
      <w:r w:rsidRPr="007B369C">
        <w:rPr>
          <w:rFonts w:cs="Arial"/>
          <w:sz w:val="22"/>
          <w:szCs w:val="22"/>
        </w:rPr>
        <w:t xml:space="preserve">Outliers in the analysis </w:t>
      </w:r>
      <w:r>
        <w:rPr>
          <w:rFonts w:cs="Arial"/>
          <w:sz w:val="22"/>
          <w:szCs w:val="22"/>
        </w:rPr>
        <w:t>…………………………………………………………...87</w:t>
      </w:r>
    </w:p>
    <w:p w14:paraId="2A60411F" w14:textId="77777777" w:rsidR="000923BB" w:rsidRPr="007B369C" w:rsidRDefault="000923BB" w:rsidP="000923BB">
      <w:pPr>
        <w:rPr>
          <w:rFonts w:cs="Arial"/>
          <w:sz w:val="22"/>
          <w:szCs w:val="22"/>
        </w:rPr>
      </w:pPr>
      <w:r>
        <w:rPr>
          <w:rFonts w:cs="Arial"/>
          <w:sz w:val="22"/>
          <w:szCs w:val="22"/>
        </w:rPr>
        <w:t>Conclusions .………………………………………………………………………………..</w:t>
      </w:r>
      <w:r w:rsidRPr="007B369C">
        <w:rPr>
          <w:rFonts w:cs="Arial"/>
          <w:sz w:val="22"/>
          <w:szCs w:val="22"/>
        </w:rPr>
        <w:t>9</w:t>
      </w:r>
      <w:r>
        <w:rPr>
          <w:rFonts w:cs="Arial"/>
          <w:sz w:val="22"/>
          <w:szCs w:val="22"/>
        </w:rPr>
        <w:t>0</w:t>
      </w:r>
    </w:p>
    <w:p w14:paraId="49AF0C97" w14:textId="77777777" w:rsidR="000923BB" w:rsidRDefault="000923BB" w:rsidP="000923BB">
      <w:pPr>
        <w:ind w:left="720"/>
        <w:rPr>
          <w:rFonts w:cs="Arial"/>
          <w:sz w:val="22"/>
          <w:szCs w:val="22"/>
        </w:rPr>
      </w:pPr>
      <w:r w:rsidRPr="007B369C">
        <w:rPr>
          <w:rFonts w:cs="Arial"/>
          <w:sz w:val="22"/>
          <w:szCs w:val="22"/>
        </w:rPr>
        <w:t xml:space="preserve">Overview of findings </w:t>
      </w:r>
      <w:r>
        <w:rPr>
          <w:rFonts w:cs="Arial"/>
          <w:sz w:val="22"/>
          <w:szCs w:val="22"/>
        </w:rPr>
        <w:t>...……………………………………………………………</w:t>
      </w:r>
      <w:r w:rsidRPr="007B369C">
        <w:rPr>
          <w:rFonts w:cs="Arial"/>
          <w:sz w:val="22"/>
          <w:szCs w:val="22"/>
        </w:rPr>
        <w:t>9</w:t>
      </w:r>
      <w:r>
        <w:rPr>
          <w:rFonts w:cs="Arial"/>
          <w:sz w:val="22"/>
          <w:szCs w:val="22"/>
        </w:rPr>
        <w:t xml:space="preserve">3  </w:t>
      </w:r>
    </w:p>
    <w:p w14:paraId="5B82DDE3" w14:textId="77777777" w:rsidR="000923BB" w:rsidRPr="007B369C" w:rsidRDefault="000923BB" w:rsidP="000923BB">
      <w:pPr>
        <w:rPr>
          <w:rFonts w:cs="Arial"/>
          <w:sz w:val="22"/>
          <w:szCs w:val="22"/>
        </w:rPr>
      </w:pPr>
      <w:r w:rsidRPr="007A6212">
        <w:rPr>
          <w:rFonts w:cs="Arial"/>
          <w:b/>
          <w:sz w:val="22"/>
          <w:szCs w:val="22"/>
        </w:rPr>
        <w:t xml:space="preserve">Future research </w:t>
      </w:r>
      <w:r>
        <w:rPr>
          <w:rFonts w:cs="Arial"/>
          <w:b/>
          <w:sz w:val="22"/>
          <w:szCs w:val="22"/>
        </w:rPr>
        <w:t>a</w:t>
      </w:r>
      <w:r w:rsidRPr="007A6212">
        <w:rPr>
          <w:rFonts w:cs="Arial"/>
          <w:b/>
          <w:sz w:val="22"/>
          <w:szCs w:val="22"/>
        </w:rPr>
        <w:t>genda</w:t>
      </w:r>
      <w:r>
        <w:rPr>
          <w:rFonts w:cs="Arial"/>
          <w:sz w:val="22"/>
          <w:szCs w:val="22"/>
        </w:rPr>
        <w:t>………………………………………………………….......................................95</w:t>
      </w:r>
    </w:p>
    <w:p w14:paraId="46872FEC" w14:textId="77777777" w:rsidR="000923BB" w:rsidRDefault="000923BB" w:rsidP="000923BB">
      <w:pPr>
        <w:rPr>
          <w:rFonts w:cs="Arial"/>
          <w:bCs/>
          <w:sz w:val="22"/>
          <w:szCs w:val="22"/>
        </w:rPr>
      </w:pPr>
      <w:r w:rsidRPr="007A6212">
        <w:rPr>
          <w:rFonts w:cs="Arial"/>
          <w:b/>
          <w:bCs/>
          <w:sz w:val="22"/>
          <w:szCs w:val="22"/>
        </w:rPr>
        <w:t>References</w:t>
      </w:r>
      <w:r w:rsidRPr="007B369C">
        <w:rPr>
          <w:rFonts w:cs="Arial"/>
          <w:bCs/>
          <w:sz w:val="22"/>
          <w:szCs w:val="22"/>
        </w:rPr>
        <w:t xml:space="preserve"> </w:t>
      </w:r>
      <w:r>
        <w:rPr>
          <w:rFonts w:cs="Arial"/>
          <w:bCs/>
          <w:sz w:val="22"/>
          <w:szCs w:val="22"/>
        </w:rPr>
        <w:t>..……………………………………………………………………………….96</w:t>
      </w:r>
    </w:p>
    <w:p w14:paraId="4B463E23" w14:textId="77777777" w:rsidR="00741895" w:rsidRDefault="00741895" w:rsidP="000923BB">
      <w:pPr>
        <w:jc w:val="both"/>
        <w:rPr>
          <w:rFonts w:cs="Arial"/>
          <w:b/>
          <w:bCs/>
        </w:rPr>
      </w:pPr>
    </w:p>
    <w:p w14:paraId="60CA908A" w14:textId="77777777" w:rsidR="000923BB" w:rsidRPr="00C3429F" w:rsidRDefault="000923BB" w:rsidP="000923BB">
      <w:pPr>
        <w:jc w:val="both"/>
        <w:rPr>
          <w:rFonts w:cs="Arial"/>
          <w:b/>
          <w:bCs/>
        </w:rPr>
      </w:pPr>
      <w:r w:rsidRPr="00C3429F">
        <w:rPr>
          <w:rFonts w:cs="Arial"/>
          <w:b/>
          <w:bCs/>
        </w:rPr>
        <w:t>Appendices</w:t>
      </w:r>
    </w:p>
    <w:p w14:paraId="5617F771" w14:textId="77777777" w:rsidR="000923BB" w:rsidRDefault="000923BB" w:rsidP="000923BB">
      <w:pPr>
        <w:jc w:val="both"/>
        <w:rPr>
          <w:rFonts w:cs="Arial"/>
          <w:bCs/>
          <w:sz w:val="22"/>
          <w:szCs w:val="22"/>
        </w:rPr>
      </w:pPr>
    </w:p>
    <w:p w14:paraId="707C86CF" w14:textId="77777777" w:rsidR="000923BB" w:rsidRPr="007B369C" w:rsidRDefault="000923BB" w:rsidP="000923BB">
      <w:pPr>
        <w:jc w:val="both"/>
        <w:rPr>
          <w:rFonts w:cs="Arial"/>
          <w:bCs/>
          <w:sz w:val="22"/>
          <w:szCs w:val="22"/>
        </w:rPr>
      </w:pPr>
      <w:r w:rsidRPr="007B369C">
        <w:rPr>
          <w:rFonts w:cs="Arial"/>
          <w:bCs/>
          <w:sz w:val="22"/>
          <w:szCs w:val="22"/>
        </w:rPr>
        <w:t>Appendix 1</w:t>
      </w:r>
      <w:r>
        <w:rPr>
          <w:rFonts w:cs="Arial"/>
          <w:bCs/>
          <w:sz w:val="22"/>
          <w:szCs w:val="22"/>
        </w:rPr>
        <w:t>:</w:t>
      </w:r>
      <w:r w:rsidRPr="007B369C">
        <w:rPr>
          <w:rFonts w:cs="Arial"/>
          <w:bCs/>
          <w:sz w:val="22"/>
          <w:szCs w:val="22"/>
        </w:rPr>
        <w:t xml:space="preserve"> COPD review criteria </w:t>
      </w:r>
      <w:r>
        <w:rPr>
          <w:rFonts w:cs="Arial"/>
          <w:bCs/>
          <w:sz w:val="22"/>
          <w:szCs w:val="22"/>
        </w:rPr>
        <w:t>……………………………………………………...</w:t>
      </w:r>
      <w:r w:rsidRPr="007B369C">
        <w:rPr>
          <w:rFonts w:cs="Arial"/>
          <w:bCs/>
          <w:sz w:val="22"/>
          <w:szCs w:val="22"/>
        </w:rPr>
        <w:t>10</w:t>
      </w:r>
      <w:r>
        <w:rPr>
          <w:rFonts w:cs="Arial"/>
          <w:bCs/>
          <w:sz w:val="22"/>
          <w:szCs w:val="22"/>
        </w:rPr>
        <w:t>1</w:t>
      </w:r>
    </w:p>
    <w:p w14:paraId="744CAE74" w14:textId="77777777" w:rsidR="000923BB" w:rsidRPr="007B369C" w:rsidRDefault="000923BB" w:rsidP="000923BB">
      <w:pPr>
        <w:jc w:val="both"/>
        <w:rPr>
          <w:rFonts w:cs="Arial"/>
          <w:bCs/>
          <w:sz w:val="22"/>
          <w:szCs w:val="22"/>
        </w:rPr>
      </w:pPr>
    </w:p>
    <w:p w14:paraId="3CCD90B3" w14:textId="77777777" w:rsidR="000923BB" w:rsidRPr="007B369C" w:rsidRDefault="000923BB" w:rsidP="000923BB">
      <w:pPr>
        <w:jc w:val="both"/>
        <w:rPr>
          <w:rFonts w:cs="Arial"/>
          <w:bCs/>
          <w:sz w:val="22"/>
          <w:szCs w:val="22"/>
        </w:rPr>
      </w:pPr>
      <w:r w:rsidRPr="007B369C">
        <w:rPr>
          <w:rFonts w:cs="Arial"/>
          <w:bCs/>
          <w:sz w:val="22"/>
          <w:szCs w:val="22"/>
        </w:rPr>
        <w:t>Appendix 2</w:t>
      </w:r>
      <w:r>
        <w:rPr>
          <w:rFonts w:cs="Arial"/>
          <w:bCs/>
          <w:sz w:val="22"/>
          <w:szCs w:val="22"/>
        </w:rPr>
        <w:t>:</w:t>
      </w:r>
      <w:r w:rsidRPr="007B369C">
        <w:rPr>
          <w:rFonts w:cs="Arial"/>
          <w:bCs/>
          <w:sz w:val="22"/>
          <w:szCs w:val="22"/>
        </w:rPr>
        <w:t xml:space="preserve"> Heart failure review criteria </w:t>
      </w:r>
      <w:r>
        <w:rPr>
          <w:rFonts w:cs="Arial"/>
          <w:bCs/>
          <w:sz w:val="22"/>
          <w:szCs w:val="22"/>
        </w:rPr>
        <w:t>……………………………………………….</w:t>
      </w:r>
      <w:r w:rsidRPr="007B369C">
        <w:rPr>
          <w:rFonts w:cs="Arial"/>
          <w:bCs/>
          <w:sz w:val="22"/>
          <w:szCs w:val="22"/>
        </w:rPr>
        <w:t>11</w:t>
      </w:r>
      <w:r>
        <w:rPr>
          <w:rFonts w:cs="Arial"/>
          <w:bCs/>
          <w:sz w:val="22"/>
          <w:szCs w:val="22"/>
        </w:rPr>
        <w:t>1</w:t>
      </w:r>
    </w:p>
    <w:p w14:paraId="353506E8" w14:textId="77777777" w:rsidR="000923BB" w:rsidRPr="007B369C" w:rsidRDefault="000923BB" w:rsidP="000923BB">
      <w:pPr>
        <w:jc w:val="both"/>
        <w:rPr>
          <w:rFonts w:cs="Arial"/>
          <w:bCs/>
          <w:sz w:val="22"/>
          <w:szCs w:val="22"/>
        </w:rPr>
      </w:pPr>
    </w:p>
    <w:p w14:paraId="4E56D0FD" w14:textId="77777777" w:rsidR="000923BB" w:rsidRPr="007B369C" w:rsidRDefault="000923BB" w:rsidP="000923BB">
      <w:pPr>
        <w:jc w:val="both"/>
        <w:rPr>
          <w:rFonts w:cs="Arial"/>
          <w:bCs/>
          <w:sz w:val="22"/>
          <w:szCs w:val="22"/>
        </w:rPr>
      </w:pPr>
      <w:r w:rsidRPr="007B369C">
        <w:rPr>
          <w:rFonts w:cs="Arial"/>
          <w:bCs/>
          <w:sz w:val="22"/>
          <w:szCs w:val="22"/>
        </w:rPr>
        <w:t>Appendix 3</w:t>
      </w:r>
      <w:r>
        <w:rPr>
          <w:rFonts w:cs="Arial"/>
          <w:bCs/>
          <w:sz w:val="22"/>
          <w:szCs w:val="22"/>
        </w:rPr>
        <w:t>:</w:t>
      </w:r>
      <w:r w:rsidRPr="007B369C">
        <w:rPr>
          <w:rFonts w:cs="Arial"/>
          <w:bCs/>
          <w:sz w:val="22"/>
          <w:szCs w:val="22"/>
        </w:rPr>
        <w:t xml:space="preserve"> Validity of review criterion questionnaire (COPD) </w:t>
      </w:r>
      <w:r>
        <w:rPr>
          <w:rFonts w:cs="Arial"/>
          <w:bCs/>
          <w:sz w:val="22"/>
          <w:szCs w:val="22"/>
        </w:rPr>
        <w:t>……………………..119</w:t>
      </w:r>
    </w:p>
    <w:p w14:paraId="739C6A86" w14:textId="77777777" w:rsidR="000923BB" w:rsidRPr="007B369C" w:rsidRDefault="000923BB" w:rsidP="000923BB">
      <w:pPr>
        <w:jc w:val="both"/>
        <w:rPr>
          <w:rFonts w:cs="Arial"/>
          <w:bCs/>
          <w:sz w:val="22"/>
          <w:szCs w:val="22"/>
        </w:rPr>
      </w:pPr>
    </w:p>
    <w:p w14:paraId="52AF971B" w14:textId="77777777" w:rsidR="000923BB" w:rsidRPr="007B369C" w:rsidRDefault="000923BB" w:rsidP="000923BB">
      <w:pPr>
        <w:rPr>
          <w:rFonts w:cs="Arial"/>
          <w:bCs/>
          <w:sz w:val="22"/>
          <w:szCs w:val="22"/>
        </w:rPr>
      </w:pPr>
      <w:r w:rsidRPr="007B369C">
        <w:rPr>
          <w:rFonts w:cs="Arial"/>
          <w:bCs/>
          <w:sz w:val="22"/>
          <w:szCs w:val="22"/>
        </w:rPr>
        <w:t>A</w:t>
      </w:r>
      <w:r>
        <w:rPr>
          <w:rFonts w:cs="Arial"/>
          <w:bCs/>
          <w:sz w:val="22"/>
          <w:szCs w:val="22"/>
        </w:rPr>
        <w:t>ppendix</w:t>
      </w:r>
      <w:r w:rsidRPr="007B369C">
        <w:rPr>
          <w:rFonts w:cs="Arial"/>
          <w:bCs/>
          <w:sz w:val="22"/>
          <w:szCs w:val="22"/>
        </w:rPr>
        <w:t xml:space="preserve"> 4</w:t>
      </w:r>
      <w:r>
        <w:rPr>
          <w:rFonts w:cs="Arial"/>
          <w:bCs/>
          <w:sz w:val="22"/>
          <w:szCs w:val="22"/>
        </w:rPr>
        <w:t>:</w:t>
      </w:r>
      <w:r w:rsidRPr="007B369C">
        <w:rPr>
          <w:rFonts w:cs="Arial"/>
          <w:bCs/>
          <w:sz w:val="22"/>
          <w:szCs w:val="22"/>
        </w:rPr>
        <w:t xml:space="preserve"> Screen shot of a holistic review data collection page </w:t>
      </w:r>
      <w:r>
        <w:rPr>
          <w:rFonts w:cs="Arial"/>
          <w:bCs/>
          <w:sz w:val="22"/>
          <w:szCs w:val="22"/>
        </w:rPr>
        <w:t>…………………</w:t>
      </w:r>
      <w:r w:rsidRPr="007B369C">
        <w:rPr>
          <w:rFonts w:cs="Arial"/>
          <w:bCs/>
          <w:sz w:val="22"/>
          <w:szCs w:val="22"/>
        </w:rPr>
        <w:t>1</w:t>
      </w:r>
      <w:r>
        <w:rPr>
          <w:rFonts w:cs="Arial"/>
          <w:bCs/>
          <w:sz w:val="22"/>
          <w:szCs w:val="22"/>
        </w:rPr>
        <w:t>26</w:t>
      </w:r>
    </w:p>
    <w:p w14:paraId="3544CD89" w14:textId="77777777" w:rsidR="000923BB" w:rsidRPr="007B369C" w:rsidRDefault="000923BB" w:rsidP="000923BB">
      <w:pPr>
        <w:jc w:val="both"/>
        <w:rPr>
          <w:rFonts w:cs="Arial"/>
          <w:bCs/>
          <w:sz w:val="22"/>
          <w:szCs w:val="22"/>
        </w:rPr>
      </w:pPr>
    </w:p>
    <w:p w14:paraId="2B8DDBBC" w14:textId="77777777" w:rsidR="000923BB" w:rsidRPr="007B369C" w:rsidRDefault="000923BB" w:rsidP="000923BB">
      <w:pPr>
        <w:jc w:val="both"/>
        <w:rPr>
          <w:rFonts w:cs="Arial"/>
          <w:bCs/>
          <w:sz w:val="22"/>
          <w:szCs w:val="22"/>
        </w:rPr>
      </w:pPr>
      <w:r w:rsidRPr="007B369C">
        <w:rPr>
          <w:rFonts w:cs="Arial"/>
          <w:bCs/>
          <w:sz w:val="22"/>
          <w:szCs w:val="22"/>
        </w:rPr>
        <w:t>Appendix 5</w:t>
      </w:r>
      <w:r>
        <w:rPr>
          <w:rFonts w:cs="Arial"/>
          <w:bCs/>
          <w:sz w:val="22"/>
          <w:szCs w:val="22"/>
        </w:rPr>
        <w:t xml:space="preserve">: </w:t>
      </w:r>
      <w:r w:rsidRPr="007B369C">
        <w:rPr>
          <w:rFonts w:cs="Arial"/>
          <w:bCs/>
          <w:sz w:val="22"/>
          <w:szCs w:val="22"/>
        </w:rPr>
        <w:t xml:space="preserve">Reviewer training scenarios to assist in recognising variation in care quality using holistic review </w:t>
      </w:r>
      <w:r>
        <w:rPr>
          <w:rFonts w:cs="Arial"/>
          <w:bCs/>
          <w:sz w:val="22"/>
          <w:szCs w:val="22"/>
        </w:rPr>
        <w:t>……………………………………………………………..127</w:t>
      </w:r>
    </w:p>
    <w:p w14:paraId="7C338267" w14:textId="77777777" w:rsidR="000923BB" w:rsidRPr="007B369C" w:rsidRDefault="000923BB" w:rsidP="000923BB">
      <w:pPr>
        <w:jc w:val="both"/>
        <w:rPr>
          <w:rFonts w:cs="Arial"/>
          <w:bCs/>
          <w:sz w:val="22"/>
          <w:szCs w:val="22"/>
        </w:rPr>
      </w:pPr>
    </w:p>
    <w:p w14:paraId="5F1E91B7" w14:textId="77777777" w:rsidR="000923BB" w:rsidRPr="007B369C" w:rsidRDefault="000923BB" w:rsidP="000923BB">
      <w:pPr>
        <w:rPr>
          <w:rFonts w:cs="Arial"/>
          <w:bCs/>
          <w:sz w:val="22"/>
          <w:szCs w:val="22"/>
        </w:rPr>
      </w:pPr>
      <w:r w:rsidRPr="007B369C">
        <w:rPr>
          <w:rFonts w:cs="Arial"/>
          <w:bCs/>
          <w:sz w:val="22"/>
          <w:szCs w:val="22"/>
        </w:rPr>
        <w:t>Appendix 6</w:t>
      </w:r>
      <w:r>
        <w:rPr>
          <w:rFonts w:cs="Arial"/>
          <w:bCs/>
          <w:sz w:val="22"/>
          <w:szCs w:val="22"/>
        </w:rPr>
        <w:t>:</w:t>
      </w:r>
      <w:r w:rsidRPr="007B369C">
        <w:rPr>
          <w:rFonts w:cs="Arial"/>
          <w:bCs/>
          <w:sz w:val="22"/>
          <w:szCs w:val="22"/>
        </w:rPr>
        <w:t xml:space="preserve"> Example of </w:t>
      </w:r>
      <w:r>
        <w:rPr>
          <w:rFonts w:cs="Arial"/>
          <w:bCs/>
          <w:sz w:val="22"/>
          <w:szCs w:val="22"/>
        </w:rPr>
        <w:t xml:space="preserve">a </w:t>
      </w:r>
      <w:r w:rsidRPr="007B369C">
        <w:rPr>
          <w:rFonts w:cs="Arial"/>
          <w:bCs/>
          <w:sz w:val="22"/>
          <w:szCs w:val="22"/>
        </w:rPr>
        <w:t xml:space="preserve">reviewer feedback report  </w:t>
      </w:r>
      <w:r>
        <w:rPr>
          <w:rFonts w:cs="Arial"/>
          <w:bCs/>
          <w:sz w:val="22"/>
          <w:szCs w:val="22"/>
        </w:rPr>
        <w:t>……………………………......</w:t>
      </w:r>
      <w:r w:rsidRPr="007B369C">
        <w:rPr>
          <w:rFonts w:cs="Arial"/>
          <w:bCs/>
          <w:sz w:val="22"/>
          <w:szCs w:val="22"/>
        </w:rPr>
        <w:t>13</w:t>
      </w:r>
      <w:r>
        <w:rPr>
          <w:rFonts w:cs="Arial"/>
          <w:bCs/>
          <w:sz w:val="22"/>
          <w:szCs w:val="22"/>
        </w:rPr>
        <w:t>0</w:t>
      </w:r>
    </w:p>
    <w:p w14:paraId="32C913B1" w14:textId="77777777" w:rsidR="000923BB" w:rsidRPr="007B369C" w:rsidRDefault="000923BB" w:rsidP="000923BB">
      <w:pPr>
        <w:jc w:val="both"/>
        <w:rPr>
          <w:rFonts w:cs="Arial"/>
          <w:bCs/>
          <w:sz w:val="22"/>
          <w:szCs w:val="22"/>
        </w:rPr>
      </w:pPr>
    </w:p>
    <w:p w14:paraId="67052A97" w14:textId="77777777" w:rsidR="000923BB" w:rsidRPr="007B369C" w:rsidRDefault="000923BB" w:rsidP="000923BB">
      <w:pPr>
        <w:jc w:val="both"/>
        <w:rPr>
          <w:rFonts w:cs="Arial"/>
          <w:bCs/>
          <w:sz w:val="22"/>
          <w:szCs w:val="22"/>
        </w:rPr>
      </w:pPr>
      <w:r w:rsidRPr="007B369C">
        <w:rPr>
          <w:rFonts w:cs="Arial"/>
          <w:bCs/>
          <w:sz w:val="22"/>
          <w:szCs w:val="22"/>
        </w:rPr>
        <w:t>Appendix 7</w:t>
      </w:r>
      <w:r>
        <w:rPr>
          <w:rFonts w:cs="Arial"/>
          <w:bCs/>
          <w:sz w:val="22"/>
          <w:szCs w:val="22"/>
        </w:rPr>
        <w:t>:</w:t>
      </w:r>
      <w:r w:rsidRPr="007B369C">
        <w:rPr>
          <w:rFonts w:cs="Arial"/>
          <w:bCs/>
          <w:sz w:val="22"/>
          <w:szCs w:val="22"/>
        </w:rPr>
        <w:t xml:space="preserve">  COPD – correlations between holistic mean overall scale scores and outcome variables  </w:t>
      </w:r>
      <w:r>
        <w:rPr>
          <w:rFonts w:cs="Arial"/>
          <w:bCs/>
          <w:sz w:val="22"/>
          <w:szCs w:val="22"/>
        </w:rPr>
        <w:t>……………………………………………………………………….</w:t>
      </w:r>
      <w:r w:rsidRPr="007B369C">
        <w:rPr>
          <w:rFonts w:cs="Arial"/>
          <w:bCs/>
          <w:sz w:val="22"/>
          <w:szCs w:val="22"/>
        </w:rPr>
        <w:t>1</w:t>
      </w:r>
      <w:r>
        <w:rPr>
          <w:rFonts w:cs="Arial"/>
          <w:bCs/>
          <w:sz w:val="22"/>
          <w:szCs w:val="22"/>
        </w:rPr>
        <w:t>53</w:t>
      </w:r>
    </w:p>
    <w:p w14:paraId="4C3FD306" w14:textId="77777777" w:rsidR="000923BB" w:rsidRPr="007B369C" w:rsidRDefault="000923BB" w:rsidP="000923BB">
      <w:pPr>
        <w:jc w:val="both"/>
        <w:rPr>
          <w:rFonts w:cs="Arial"/>
          <w:bCs/>
          <w:sz w:val="22"/>
          <w:szCs w:val="22"/>
        </w:rPr>
      </w:pPr>
    </w:p>
    <w:p w14:paraId="478F63CC" w14:textId="77777777" w:rsidR="000923BB" w:rsidRPr="007B369C" w:rsidRDefault="000923BB" w:rsidP="000923BB">
      <w:pPr>
        <w:jc w:val="both"/>
        <w:rPr>
          <w:rFonts w:cs="Arial"/>
          <w:bCs/>
          <w:sz w:val="22"/>
          <w:szCs w:val="22"/>
        </w:rPr>
      </w:pPr>
      <w:r w:rsidRPr="007B369C">
        <w:rPr>
          <w:rFonts w:cs="Arial"/>
          <w:bCs/>
          <w:sz w:val="22"/>
          <w:szCs w:val="22"/>
        </w:rPr>
        <w:t>Appendix 8</w:t>
      </w:r>
      <w:r>
        <w:rPr>
          <w:rFonts w:cs="Arial"/>
          <w:bCs/>
          <w:sz w:val="22"/>
          <w:szCs w:val="22"/>
        </w:rPr>
        <w:t>:</w:t>
      </w:r>
      <w:r w:rsidRPr="007B369C">
        <w:rPr>
          <w:rFonts w:cs="Arial"/>
          <w:bCs/>
          <w:sz w:val="22"/>
          <w:szCs w:val="22"/>
        </w:rPr>
        <w:t xml:space="preserve"> Heart Failure – correlations between holistic mean overall scale scores and outcome variables </w:t>
      </w:r>
      <w:r>
        <w:rPr>
          <w:rFonts w:cs="Arial"/>
          <w:bCs/>
          <w:sz w:val="22"/>
          <w:szCs w:val="22"/>
        </w:rPr>
        <w:t>…………………………………………………………………..154</w:t>
      </w:r>
    </w:p>
    <w:p w14:paraId="62F4620C" w14:textId="77777777" w:rsidR="000923BB" w:rsidRPr="007B369C" w:rsidRDefault="000923BB" w:rsidP="000923BB">
      <w:pPr>
        <w:jc w:val="both"/>
        <w:rPr>
          <w:rFonts w:cs="Arial"/>
          <w:bCs/>
          <w:sz w:val="22"/>
          <w:szCs w:val="22"/>
        </w:rPr>
      </w:pPr>
    </w:p>
    <w:p w14:paraId="54625780" w14:textId="77777777" w:rsidR="000923BB" w:rsidRPr="007B369C" w:rsidRDefault="000923BB" w:rsidP="000923BB">
      <w:pPr>
        <w:jc w:val="both"/>
        <w:rPr>
          <w:rFonts w:cs="Arial"/>
          <w:bCs/>
          <w:sz w:val="22"/>
          <w:szCs w:val="22"/>
        </w:rPr>
      </w:pPr>
      <w:r w:rsidRPr="007B369C">
        <w:rPr>
          <w:rFonts w:cs="Arial"/>
          <w:bCs/>
          <w:sz w:val="22"/>
          <w:szCs w:val="22"/>
        </w:rPr>
        <w:t>Appendix 9</w:t>
      </w:r>
      <w:r>
        <w:rPr>
          <w:rFonts w:cs="Arial"/>
          <w:bCs/>
          <w:sz w:val="22"/>
          <w:szCs w:val="22"/>
        </w:rPr>
        <w:t>:</w:t>
      </w:r>
      <w:r w:rsidRPr="007B369C">
        <w:rPr>
          <w:rFonts w:cs="Arial"/>
          <w:bCs/>
          <w:sz w:val="22"/>
          <w:szCs w:val="22"/>
        </w:rPr>
        <w:t xml:space="preserve">  COPD – correlations between holistic mean phase scale scores and outcome variables </w:t>
      </w:r>
      <w:r>
        <w:rPr>
          <w:rFonts w:cs="Arial"/>
          <w:bCs/>
          <w:sz w:val="22"/>
          <w:szCs w:val="22"/>
        </w:rPr>
        <w:t>………………………………………………………………………..155</w:t>
      </w:r>
    </w:p>
    <w:p w14:paraId="5BC3ADFA" w14:textId="77777777" w:rsidR="000923BB" w:rsidRPr="007B369C" w:rsidRDefault="000923BB" w:rsidP="000923BB">
      <w:pPr>
        <w:jc w:val="both"/>
        <w:rPr>
          <w:rFonts w:cs="Arial"/>
          <w:bCs/>
          <w:sz w:val="22"/>
          <w:szCs w:val="22"/>
        </w:rPr>
      </w:pPr>
    </w:p>
    <w:p w14:paraId="7CF63FE9" w14:textId="77777777" w:rsidR="000923BB" w:rsidRPr="007B369C" w:rsidRDefault="000923BB" w:rsidP="000923BB">
      <w:pPr>
        <w:jc w:val="both"/>
        <w:rPr>
          <w:rFonts w:cs="Arial"/>
          <w:bCs/>
          <w:sz w:val="22"/>
          <w:szCs w:val="22"/>
        </w:rPr>
      </w:pPr>
      <w:r w:rsidRPr="007B369C">
        <w:rPr>
          <w:rFonts w:cs="Arial"/>
          <w:bCs/>
          <w:sz w:val="22"/>
          <w:szCs w:val="22"/>
        </w:rPr>
        <w:t>Appendix 10</w:t>
      </w:r>
      <w:r>
        <w:rPr>
          <w:rFonts w:cs="Arial"/>
          <w:bCs/>
          <w:sz w:val="22"/>
          <w:szCs w:val="22"/>
        </w:rPr>
        <w:t>:</w:t>
      </w:r>
      <w:r w:rsidRPr="007B369C">
        <w:rPr>
          <w:rFonts w:cs="Arial"/>
          <w:bCs/>
          <w:sz w:val="22"/>
          <w:szCs w:val="22"/>
        </w:rPr>
        <w:t xml:space="preserve">  Heart Failure – correlations between holistic mean overall scale scores and outcome variables </w:t>
      </w:r>
      <w:r>
        <w:rPr>
          <w:rFonts w:cs="Arial"/>
          <w:bCs/>
          <w:sz w:val="22"/>
          <w:szCs w:val="22"/>
        </w:rPr>
        <w:t>…………………………………………………………………..156</w:t>
      </w:r>
    </w:p>
    <w:p w14:paraId="0DFEC3A9" w14:textId="77777777" w:rsidR="000923BB" w:rsidRDefault="000923BB" w:rsidP="000923BB">
      <w:pPr>
        <w:jc w:val="both"/>
        <w:rPr>
          <w:rFonts w:cs="Arial"/>
          <w:bCs/>
          <w:sz w:val="22"/>
          <w:szCs w:val="22"/>
        </w:rPr>
      </w:pPr>
    </w:p>
    <w:p w14:paraId="01A4E12C" w14:textId="77777777" w:rsidR="000923BB" w:rsidRPr="007B369C" w:rsidRDefault="000923BB" w:rsidP="000923BB">
      <w:pPr>
        <w:jc w:val="both"/>
        <w:rPr>
          <w:rFonts w:cs="Arial"/>
          <w:bCs/>
          <w:sz w:val="22"/>
          <w:szCs w:val="22"/>
        </w:rPr>
      </w:pPr>
      <w:r w:rsidRPr="007B369C">
        <w:rPr>
          <w:rFonts w:cs="Arial"/>
          <w:bCs/>
          <w:sz w:val="22"/>
          <w:szCs w:val="22"/>
        </w:rPr>
        <w:t>Appendix 11</w:t>
      </w:r>
      <w:r>
        <w:rPr>
          <w:rFonts w:cs="Arial"/>
          <w:bCs/>
          <w:sz w:val="22"/>
          <w:szCs w:val="22"/>
        </w:rPr>
        <w:t>:</w:t>
      </w:r>
      <w:r w:rsidRPr="007B369C">
        <w:rPr>
          <w:rFonts w:cs="Arial"/>
          <w:bCs/>
          <w:sz w:val="22"/>
          <w:szCs w:val="22"/>
        </w:rPr>
        <w:t xml:space="preserve"> COPD – correlations between holistic mean criterion scores and outcome variables </w:t>
      </w:r>
      <w:r>
        <w:rPr>
          <w:rFonts w:cs="Arial"/>
          <w:bCs/>
          <w:sz w:val="22"/>
          <w:szCs w:val="22"/>
        </w:rPr>
        <w:t>………………………………………………………………………..157</w:t>
      </w:r>
    </w:p>
    <w:p w14:paraId="2D5EFFFF" w14:textId="77777777" w:rsidR="000923BB" w:rsidRDefault="000923BB" w:rsidP="000923BB">
      <w:pPr>
        <w:jc w:val="both"/>
        <w:rPr>
          <w:rFonts w:cs="Arial"/>
          <w:bCs/>
          <w:sz w:val="22"/>
          <w:szCs w:val="22"/>
        </w:rPr>
      </w:pPr>
    </w:p>
    <w:p w14:paraId="308F9728" w14:textId="77777777" w:rsidR="000923BB" w:rsidRDefault="000923BB" w:rsidP="000923BB">
      <w:pPr>
        <w:jc w:val="both"/>
        <w:rPr>
          <w:rFonts w:cs="Arial"/>
          <w:bCs/>
          <w:sz w:val="22"/>
          <w:szCs w:val="22"/>
        </w:rPr>
      </w:pPr>
      <w:r w:rsidRPr="007B369C">
        <w:rPr>
          <w:rFonts w:cs="Arial"/>
          <w:bCs/>
          <w:sz w:val="22"/>
          <w:szCs w:val="22"/>
        </w:rPr>
        <w:t>Appendix 12</w:t>
      </w:r>
      <w:r>
        <w:rPr>
          <w:rFonts w:cs="Arial"/>
          <w:bCs/>
          <w:sz w:val="22"/>
          <w:szCs w:val="22"/>
        </w:rPr>
        <w:t>:</w:t>
      </w:r>
      <w:r w:rsidRPr="007B369C">
        <w:rPr>
          <w:rFonts w:cs="Arial"/>
          <w:bCs/>
          <w:sz w:val="22"/>
          <w:szCs w:val="22"/>
        </w:rPr>
        <w:t xml:space="preserve"> Heart Failure – correlations between mean criterion scores and outcome variables </w:t>
      </w:r>
      <w:r>
        <w:rPr>
          <w:rFonts w:cs="Arial"/>
          <w:bCs/>
          <w:sz w:val="22"/>
          <w:szCs w:val="22"/>
        </w:rPr>
        <w:t>………………………………………………………………………..158</w:t>
      </w:r>
    </w:p>
    <w:p w14:paraId="0FA69D62" w14:textId="77777777" w:rsidR="000923BB" w:rsidRDefault="000923BB" w:rsidP="000923BB">
      <w:pPr>
        <w:jc w:val="both"/>
        <w:rPr>
          <w:rFonts w:cs="Arial"/>
          <w:bCs/>
          <w:sz w:val="22"/>
          <w:szCs w:val="22"/>
        </w:rPr>
      </w:pPr>
    </w:p>
    <w:p w14:paraId="05F06B25" w14:textId="77777777" w:rsidR="000923BB" w:rsidRPr="001351BD" w:rsidRDefault="000923BB" w:rsidP="000923BB">
      <w:pPr>
        <w:jc w:val="both"/>
        <w:rPr>
          <w:rFonts w:cs="Arial"/>
          <w:b/>
          <w:bCs/>
          <w:sz w:val="22"/>
          <w:szCs w:val="22"/>
        </w:rPr>
      </w:pPr>
      <w:r>
        <w:rPr>
          <w:rFonts w:cs="Arial"/>
          <w:bCs/>
          <w:sz w:val="22"/>
          <w:szCs w:val="22"/>
        </w:rPr>
        <w:t xml:space="preserve">Appendix  13: </w:t>
      </w:r>
      <w:r w:rsidRPr="001351BD">
        <w:rPr>
          <w:rFonts w:cs="Arial"/>
          <w:bCs/>
          <w:sz w:val="22"/>
          <w:szCs w:val="22"/>
        </w:rPr>
        <w:t>Comparison of holistic and criterion based review methods using structured clinical records in stroke care</w:t>
      </w:r>
      <w:r>
        <w:rPr>
          <w:rFonts w:cs="Arial"/>
          <w:bCs/>
          <w:sz w:val="22"/>
          <w:szCs w:val="22"/>
        </w:rPr>
        <w:t>……………………………………………….159</w:t>
      </w:r>
    </w:p>
    <w:p w14:paraId="734B1E8D" w14:textId="77777777" w:rsidR="000923BB" w:rsidRDefault="000923BB" w:rsidP="000923BB">
      <w:pPr>
        <w:jc w:val="both"/>
        <w:rPr>
          <w:rFonts w:cs="Arial"/>
          <w:bCs/>
          <w:sz w:val="22"/>
          <w:szCs w:val="22"/>
        </w:rPr>
      </w:pPr>
    </w:p>
    <w:p w14:paraId="23E000F2" w14:textId="77777777" w:rsidR="000923BB" w:rsidRPr="007B369C" w:rsidRDefault="000923BB" w:rsidP="000923BB">
      <w:pPr>
        <w:jc w:val="both"/>
        <w:rPr>
          <w:rFonts w:cs="Arial"/>
          <w:sz w:val="22"/>
          <w:szCs w:val="22"/>
        </w:rPr>
      </w:pPr>
      <w:r>
        <w:rPr>
          <w:rFonts w:cs="Arial"/>
          <w:bCs/>
          <w:sz w:val="22"/>
          <w:szCs w:val="22"/>
        </w:rPr>
        <w:t>Appendix 14:  The place of trigger tool methodology in case note review for quality and safety………………………………………………………………………………….173</w:t>
      </w:r>
    </w:p>
    <w:p w14:paraId="63910D91" w14:textId="77777777" w:rsidR="000923BB" w:rsidRPr="007B369C" w:rsidRDefault="000923BB" w:rsidP="000923BB">
      <w:pPr>
        <w:rPr>
          <w:rFonts w:cs="Arial"/>
          <w:sz w:val="22"/>
          <w:szCs w:val="22"/>
        </w:rPr>
      </w:pPr>
    </w:p>
    <w:p w14:paraId="4EC262B8" w14:textId="77777777" w:rsidR="000923BB" w:rsidRPr="007B369C" w:rsidRDefault="000923BB" w:rsidP="000923BB">
      <w:pPr>
        <w:jc w:val="both"/>
        <w:rPr>
          <w:rFonts w:cs="Arial"/>
          <w:sz w:val="22"/>
          <w:szCs w:val="22"/>
        </w:rPr>
      </w:pPr>
    </w:p>
    <w:p w14:paraId="12520E07" w14:textId="77777777" w:rsidR="00741895" w:rsidRDefault="00741895" w:rsidP="000923BB">
      <w:pPr>
        <w:spacing w:line="360" w:lineRule="auto"/>
        <w:jc w:val="both"/>
        <w:rPr>
          <w:rFonts w:cs="Arial"/>
          <w:b/>
          <w:bCs/>
        </w:rPr>
      </w:pPr>
    </w:p>
    <w:p w14:paraId="70F0EC92" w14:textId="77777777" w:rsidR="000923BB" w:rsidRDefault="000923BB" w:rsidP="000923BB">
      <w:pPr>
        <w:spacing w:line="360" w:lineRule="auto"/>
        <w:jc w:val="both"/>
        <w:rPr>
          <w:rFonts w:cs="Arial"/>
          <w:b/>
          <w:bCs/>
        </w:rPr>
      </w:pPr>
      <w:r>
        <w:rPr>
          <w:rFonts w:cs="Arial"/>
          <w:b/>
          <w:bCs/>
        </w:rPr>
        <w:lastRenderedPageBreak/>
        <w:t>Preface: aims, general approach to the study and structure of the report</w:t>
      </w:r>
    </w:p>
    <w:p w14:paraId="65B0888F" w14:textId="77777777" w:rsidR="000923BB" w:rsidRDefault="000923BB" w:rsidP="000923BB">
      <w:pPr>
        <w:jc w:val="both"/>
        <w:rPr>
          <w:rFonts w:cs="Arial"/>
          <w:sz w:val="22"/>
          <w:szCs w:val="22"/>
        </w:rPr>
      </w:pPr>
    </w:p>
    <w:p w14:paraId="4073C8F7" w14:textId="77777777" w:rsidR="000923BB" w:rsidRDefault="000923BB" w:rsidP="000923BB">
      <w:pPr>
        <w:jc w:val="both"/>
        <w:rPr>
          <w:rFonts w:cs="Arial"/>
          <w:sz w:val="22"/>
          <w:szCs w:val="22"/>
        </w:rPr>
      </w:pPr>
      <w:r>
        <w:rPr>
          <w:rFonts w:cs="Arial"/>
          <w:sz w:val="22"/>
          <w:szCs w:val="22"/>
        </w:rPr>
        <w:t>The study had two main aims which were agreed in response to a call for proposals from the Department of Health Methodology Research Programme.  These aims were:</w:t>
      </w:r>
    </w:p>
    <w:p w14:paraId="34F17E9A" w14:textId="77777777" w:rsidR="000923BB" w:rsidRDefault="000923BB" w:rsidP="000923BB">
      <w:pPr>
        <w:jc w:val="both"/>
        <w:rPr>
          <w:rFonts w:cs="Arial"/>
          <w:sz w:val="22"/>
          <w:szCs w:val="22"/>
        </w:rPr>
      </w:pPr>
    </w:p>
    <w:p w14:paraId="2F92AFBD" w14:textId="77777777" w:rsidR="000923BB" w:rsidRDefault="000923BB" w:rsidP="000923BB">
      <w:pPr>
        <w:jc w:val="both"/>
        <w:rPr>
          <w:rFonts w:cs="Arial"/>
          <w:sz w:val="22"/>
          <w:szCs w:val="22"/>
        </w:rPr>
      </w:pPr>
      <w:r>
        <w:rPr>
          <w:rFonts w:cs="Arial"/>
          <w:sz w:val="22"/>
          <w:szCs w:val="22"/>
        </w:rPr>
        <w:t>1. To compare the validity and reliability of two methods of case note review of quality and safety of care.  That is, to explore which of two methods of case note review, holistic (implicit) review or</w:t>
      </w:r>
      <w:r w:rsidRPr="003C6915">
        <w:rPr>
          <w:rFonts w:cs="Arial"/>
          <w:sz w:val="22"/>
          <w:szCs w:val="22"/>
        </w:rPr>
        <w:t xml:space="preserve"> </w:t>
      </w:r>
      <w:r>
        <w:rPr>
          <w:rFonts w:cs="Arial"/>
          <w:sz w:val="22"/>
          <w:szCs w:val="22"/>
        </w:rPr>
        <w:t>criterion based (explicit) review, is the most effective method of reviewing quality of care, and under what circumstances and by which type of staff.  Methodological questions include a</w:t>
      </w:r>
      <w:r w:rsidRPr="00D46562">
        <w:rPr>
          <w:rFonts w:cs="Arial"/>
          <w:sz w:val="22"/>
          <w:szCs w:val="22"/>
        </w:rPr>
        <w:t xml:space="preserve"> </w:t>
      </w:r>
      <w:r>
        <w:rPr>
          <w:rFonts w:cs="Arial"/>
          <w:sz w:val="22"/>
          <w:szCs w:val="22"/>
        </w:rPr>
        <w:t>comparison of reliability of holistic (implicit) and criterion based (explicit) methods.</w:t>
      </w:r>
    </w:p>
    <w:p w14:paraId="296CBEAD" w14:textId="77777777" w:rsidR="000923BB" w:rsidRDefault="000923BB" w:rsidP="000923BB">
      <w:pPr>
        <w:jc w:val="both"/>
        <w:rPr>
          <w:rFonts w:cs="Arial"/>
          <w:sz w:val="22"/>
          <w:szCs w:val="22"/>
        </w:rPr>
      </w:pPr>
    </w:p>
    <w:p w14:paraId="4BDBC498" w14:textId="77777777" w:rsidR="000923BB" w:rsidRDefault="000923BB" w:rsidP="000923BB">
      <w:pPr>
        <w:jc w:val="both"/>
        <w:rPr>
          <w:rFonts w:cs="Arial"/>
          <w:sz w:val="22"/>
          <w:szCs w:val="22"/>
        </w:rPr>
      </w:pPr>
      <w:r>
        <w:rPr>
          <w:rFonts w:cs="Arial"/>
          <w:sz w:val="22"/>
          <w:szCs w:val="22"/>
        </w:rPr>
        <w:t>2.  To investigate whether there appears to be a link between the quality of medical care, as recorded in case notes, and the outcome of hospital care, for two chronic medical conditions.  Methodological questions include an exploration of how implicit and explicit case note review might be used to explore the relationship between process of care and risk adjusted outcomes.</w:t>
      </w:r>
    </w:p>
    <w:p w14:paraId="4911DB94" w14:textId="77777777" w:rsidR="000923BB" w:rsidRDefault="000923BB" w:rsidP="000923BB">
      <w:pPr>
        <w:jc w:val="both"/>
        <w:rPr>
          <w:rFonts w:cs="Arial"/>
          <w:sz w:val="22"/>
          <w:szCs w:val="22"/>
        </w:rPr>
      </w:pPr>
    </w:p>
    <w:p w14:paraId="4D2186DF" w14:textId="77777777" w:rsidR="000923BB" w:rsidRDefault="000923BB" w:rsidP="000923BB">
      <w:pPr>
        <w:jc w:val="both"/>
        <w:rPr>
          <w:rFonts w:cs="Arial"/>
          <w:sz w:val="22"/>
          <w:szCs w:val="22"/>
        </w:rPr>
      </w:pPr>
      <w:r>
        <w:rPr>
          <w:rFonts w:cs="Arial"/>
          <w:sz w:val="22"/>
          <w:szCs w:val="22"/>
        </w:rPr>
        <w:t>Since the aims are linked but address two different aspects of case note review, the methodology of case note review and process/outcome relationship, this report is presented in two parts, while the overall summary is presented as a whole.  Figure 1 shows where the linkages lie between the two studies, particularly through the choice of review methods, type of reviewers and methods of selection of hospitals.</w:t>
      </w:r>
    </w:p>
    <w:p w14:paraId="1A3FE524" w14:textId="77777777" w:rsidR="000923BB" w:rsidRDefault="000923BB" w:rsidP="000923BB">
      <w:pPr>
        <w:jc w:val="both"/>
        <w:rPr>
          <w:rFonts w:cs="Arial"/>
          <w:sz w:val="22"/>
          <w:szCs w:val="22"/>
        </w:rPr>
      </w:pPr>
    </w:p>
    <w:p w14:paraId="20465E89" w14:textId="77777777" w:rsidR="000923BB" w:rsidRDefault="000923BB" w:rsidP="000923BB">
      <w:pPr>
        <w:jc w:val="both"/>
        <w:rPr>
          <w:rFonts w:cs="Arial"/>
          <w:sz w:val="22"/>
          <w:szCs w:val="22"/>
        </w:rPr>
      </w:pPr>
      <w:r>
        <w:rPr>
          <w:rFonts w:cs="Arial"/>
          <w:sz w:val="22"/>
          <w:szCs w:val="22"/>
        </w:rPr>
        <w:t xml:space="preserve">Additionally, two small studies were also commissioned as part of the programme of work.  One uses the case note review methods to explore their value in the context of structured record keeping, using stroke care as an example.  The second study explores the literature relating to the use of trigger tools when reviewing paper-based case notes for quality and safety.  These studies are presented in Appendices 13 and 14 respectively. </w:t>
      </w:r>
    </w:p>
    <w:p w14:paraId="46A57A0C" w14:textId="77777777" w:rsidR="000923BB" w:rsidRDefault="000923BB" w:rsidP="000923BB">
      <w:pPr>
        <w:rPr>
          <w:rFonts w:cs="Arial"/>
          <w:sz w:val="22"/>
          <w:szCs w:val="22"/>
        </w:rPr>
        <w:sectPr w:rsidR="000923BB" w:rsidSect="006C44E9">
          <w:footerReference w:type="even" r:id="rId51"/>
          <w:footerReference w:type="default" r:id="rId52"/>
          <w:pgSz w:w="11906" w:h="16838"/>
          <w:pgMar w:top="1440" w:right="1247" w:bottom="1440" w:left="2325" w:header="709" w:footer="709" w:gutter="0"/>
          <w:cols w:space="708"/>
          <w:titlePg/>
          <w:docGrid w:linePitch="360"/>
        </w:sectPr>
      </w:pPr>
    </w:p>
    <w:p w14:paraId="5547F4C0" w14:textId="77777777" w:rsidR="000923BB" w:rsidRDefault="000923BB" w:rsidP="000923BB">
      <w:r>
        <w:rPr>
          <w:rFonts w:cs="Arial"/>
          <w:sz w:val="22"/>
          <w:szCs w:val="22"/>
        </w:rPr>
        <w:lastRenderedPageBreak/>
        <w:t xml:space="preserve"> </w:t>
      </w:r>
      <w:r>
        <w:object w:dxaOrig="9164" w:dyaOrig="8345" w14:anchorId="13CFC9B9">
          <v:shape id="_x0000_i1029" type="#_x0000_t75" style="width:415.2pt;height:378.6pt" o:ole="">
            <v:imagedata r:id="rId53" o:title=""/>
          </v:shape>
          <o:OLEObject Type="Embed" ProgID="Visio.Drawing.6" ShapeID="_x0000_i1029" DrawAspect="Content" ObjectID="_1764423518" r:id="rId54"/>
        </w:object>
      </w:r>
    </w:p>
    <w:p w14:paraId="44855426" w14:textId="77777777" w:rsidR="000923BB" w:rsidRPr="000C5285" w:rsidRDefault="000923BB" w:rsidP="000923BB">
      <w:pPr>
        <w:rPr>
          <w:rFonts w:cs="Arial"/>
          <w:sz w:val="22"/>
          <w:szCs w:val="22"/>
        </w:rPr>
      </w:pPr>
      <w:r>
        <w:rPr>
          <w:rFonts w:cs="Arial"/>
          <w:sz w:val="22"/>
          <w:szCs w:val="22"/>
        </w:rPr>
        <w:br w:type="page"/>
      </w:r>
      <w:r w:rsidRPr="00AA18C8">
        <w:rPr>
          <w:rFonts w:cs="Arial"/>
          <w:b/>
          <w:sz w:val="22"/>
          <w:szCs w:val="22"/>
        </w:rPr>
        <w:lastRenderedPageBreak/>
        <w:t>Acknowledgements</w:t>
      </w:r>
    </w:p>
    <w:p w14:paraId="49FA0CF2" w14:textId="77777777" w:rsidR="000923BB" w:rsidRDefault="000923BB" w:rsidP="000923BB">
      <w:pPr>
        <w:jc w:val="both"/>
        <w:rPr>
          <w:rFonts w:cs="Arial"/>
          <w:sz w:val="22"/>
          <w:szCs w:val="22"/>
        </w:rPr>
      </w:pPr>
    </w:p>
    <w:p w14:paraId="18CF8346" w14:textId="77777777" w:rsidR="000923BB" w:rsidRDefault="000923BB" w:rsidP="000923BB">
      <w:pPr>
        <w:jc w:val="both"/>
        <w:rPr>
          <w:rFonts w:cs="Arial"/>
          <w:sz w:val="22"/>
          <w:szCs w:val="22"/>
        </w:rPr>
      </w:pPr>
      <w:r>
        <w:rPr>
          <w:rFonts w:cs="Arial"/>
          <w:sz w:val="22"/>
          <w:szCs w:val="22"/>
        </w:rPr>
        <w:t xml:space="preserve">This study was undertaken by two partner organisations, the </w:t>
      </w:r>
      <w:smartTag w:uri="urn:schemas-microsoft-com:office:smarttags" w:element="place">
        <w:smartTag w:uri="urn:schemas-microsoft-com:office:smarttags" w:element="PlaceType">
          <w:r>
            <w:rPr>
              <w:rFonts w:cs="Arial"/>
              <w:sz w:val="22"/>
              <w:szCs w:val="22"/>
            </w:rPr>
            <w:t>University</w:t>
          </w:r>
        </w:smartTag>
        <w:r>
          <w:rPr>
            <w:rFonts w:cs="Arial"/>
            <w:sz w:val="22"/>
            <w:szCs w:val="22"/>
          </w:rPr>
          <w:t xml:space="preserve"> of </w:t>
        </w:r>
        <w:smartTag w:uri="urn:schemas-microsoft-com:office:smarttags" w:element="PlaceName">
          <w:r>
            <w:rPr>
              <w:rFonts w:cs="Arial"/>
              <w:sz w:val="22"/>
              <w:szCs w:val="22"/>
            </w:rPr>
            <w:t>Sheffield</w:t>
          </w:r>
        </w:smartTag>
      </w:smartTag>
      <w:r>
        <w:rPr>
          <w:rFonts w:cs="Arial"/>
          <w:sz w:val="22"/>
          <w:szCs w:val="22"/>
        </w:rPr>
        <w:t xml:space="preserve"> - the </w:t>
      </w:r>
      <w:smartTag w:uri="urn:schemas-microsoft-com:office:smarttags" w:element="place">
        <w:smartTag w:uri="urn:schemas-microsoft-com:office:smarttags" w:element="PlaceType">
          <w:r>
            <w:rPr>
              <w:rFonts w:cs="Arial"/>
              <w:sz w:val="22"/>
              <w:szCs w:val="22"/>
            </w:rPr>
            <w:t>School</w:t>
          </w:r>
        </w:smartTag>
        <w:r>
          <w:rPr>
            <w:rFonts w:cs="Arial"/>
            <w:sz w:val="22"/>
            <w:szCs w:val="22"/>
          </w:rPr>
          <w:t xml:space="preserve"> of </w:t>
        </w:r>
        <w:smartTag w:uri="urn:schemas-microsoft-com:office:smarttags" w:element="PlaceName">
          <w:r>
            <w:rPr>
              <w:rFonts w:cs="Arial"/>
              <w:sz w:val="22"/>
              <w:szCs w:val="22"/>
            </w:rPr>
            <w:t>Health</w:t>
          </w:r>
        </w:smartTag>
      </w:smartTag>
      <w:r>
        <w:rPr>
          <w:rFonts w:cs="Arial"/>
          <w:sz w:val="22"/>
          <w:szCs w:val="22"/>
        </w:rPr>
        <w:t xml:space="preserve"> and Related Research (ScHARR) and the Department of Information Studies - and the Royal College of Physicians Clinical Evaluation and Effectiveness Unit (CEEu).  An important feature of the study was the contact made with clinical teams in over 30 hospitals in </w:t>
      </w:r>
      <w:smartTag w:uri="urn:schemas-microsoft-com:office:smarttags" w:element="place">
        <w:smartTag w:uri="urn:schemas-microsoft-com:office:smarttags" w:element="country-region">
          <w:r>
            <w:rPr>
              <w:rFonts w:cs="Arial"/>
              <w:sz w:val="22"/>
              <w:szCs w:val="22"/>
            </w:rPr>
            <w:t>England</w:t>
          </w:r>
        </w:smartTag>
      </w:smartTag>
      <w:r>
        <w:rPr>
          <w:rFonts w:cs="Arial"/>
          <w:sz w:val="22"/>
          <w:szCs w:val="22"/>
        </w:rPr>
        <w:t xml:space="preserve">, many of whom went on to contribute to the study.  CEEu staff took a major part in enabling the Sheffield team to contact the hospitals and their specialist teams, as well as providing expertise in case note review and quality of care methodology. </w:t>
      </w:r>
    </w:p>
    <w:p w14:paraId="6BEBC25C" w14:textId="77777777" w:rsidR="000923BB" w:rsidRDefault="000923BB" w:rsidP="000923BB">
      <w:pPr>
        <w:jc w:val="both"/>
        <w:rPr>
          <w:rFonts w:cs="Arial"/>
          <w:sz w:val="22"/>
          <w:szCs w:val="22"/>
        </w:rPr>
      </w:pPr>
    </w:p>
    <w:p w14:paraId="4E8C2A86" w14:textId="77777777" w:rsidR="000923BB" w:rsidRDefault="000923BB" w:rsidP="000923BB">
      <w:pPr>
        <w:jc w:val="both"/>
        <w:rPr>
          <w:rFonts w:cs="Arial"/>
          <w:sz w:val="22"/>
          <w:szCs w:val="22"/>
        </w:rPr>
      </w:pPr>
      <w:r>
        <w:rPr>
          <w:rFonts w:cs="Arial"/>
          <w:sz w:val="22"/>
          <w:szCs w:val="22"/>
        </w:rPr>
        <w:t xml:space="preserve">Karen Beck provided administrative support at the </w:t>
      </w:r>
      <w:smartTag w:uri="urn:schemas-microsoft-com:office:smarttags" w:element="place">
        <w:smartTag w:uri="urn:schemas-microsoft-com:office:smarttags" w:element="PlaceType">
          <w:r>
            <w:rPr>
              <w:rFonts w:cs="Arial"/>
              <w:sz w:val="22"/>
              <w:szCs w:val="22"/>
            </w:rPr>
            <w:t>University</w:t>
          </w:r>
        </w:smartTag>
        <w:r>
          <w:rPr>
            <w:rFonts w:cs="Arial"/>
            <w:sz w:val="22"/>
            <w:szCs w:val="22"/>
          </w:rPr>
          <w:t xml:space="preserve"> of </w:t>
        </w:r>
        <w:smartTag w:uri="urn:schemas-microsoft-com:office:smarttags" w:element="PlaceName">
          <w:r>
            <w:rPr>
              <w:rFonts w:cs="Arial"/>
              <w:sz w:val="22"/>
              <w:szCs w:val="22"/>
            </w:rPr>
            <w:t>Sheffield</w:t>
          </w:r>
        </w:smartTag>
      </w:smartTag>
      <w:r>
        <w:rPr>
          <w:rFonts w:cs="Arial"/>
          <w:sz w:val="22"/>
          <w:szCs w:val="22"/>
        </w:rPr>
        <w:t xml:space="preserve"> throughout the project and her contribution was exceptionally helpful.  In particular her substantial contribution to the development of data collection software was invaluable.</w:t>
      </w:r>
    </w:p>
    <w:p w14:paraId="72482E1E" w14:textId="77777777" w:rsidR="000923BB" w:rsidRDefault="000923BB" w:rsidP="000923BB">
      <w:pPr>
        <w:jc w:val="both"/>
        <w:rPr>
          <w:rFonts w:cs="Arial"/>
          <w:sz w:val="22"/>
          <w:szCs w:val="22"/>
        </w:rPr>
      </w:pPr>
    </w:p>
    <w:p w14:paraId="561E3420" w14:textId="77777777" w:rsidR="000923BB" w:rsidRDefault="000923BB" w:rsidP="000923BB">
      <w:pPr>
        <w:jc w:val="both"/>
        <w:rPr>
          <w:rFonts w:cs="Arial"/>
          <w:sz w:val="22"/>
          <w:szCs w:val="22"/>
        </w:rPr>
      </w:pPr>
      <w:r>
        <w:rPr>
          <w:rFonts w:cs="Arial"/>
          <w:sz w:val="22"/>
          <w:szCs w:val="22"/>
        </w:rPr>
        <w:t>Jon Nicholl provided valuable methodological advice in the early part of the study.</w:t>
      </w:r>
    </w:p>
    <w:p w14:paraId="5FC299F2" w14:textId="77777777" w:rsidR="000923BB" w:rsidRDefault="000923BB" w:rsidP="000923BB">
      <w:pPr>
        <w:jc w:val="both"/>
        <w:rPr>
          <w:rFonts w:cs="Arial"/>
          <w:sz w:val="22"/>
          <w:szCs w:val="22"/>
        </w:rPr>
      </w:pPr>
    </w:p>
    <w:p w14:paraId="4798CF73" w14:textId="77777777" w:rsidR="000923BB" w:rsidRDefault="000923BB" w:rsidP="000923BB">
      <w:pPr>
        <w:jc w:val="both"/>
        <w:rPr>
          <w:rFonts w:cs="Arial"/>
          <w:sz w:val="22"/>
          <w:szCs w:val="22"/>
        </w:rPr>
      </w:pPr>
      <w:r>
        <w:rPr>
          <w:rFonts w:cs="Arial"/>
          <w:sz w:val="22"/>
          <w:szCs w:val="22"/>
        </w:rPr>
        <w:t>We especially wish to acknowledge the enthusiasm and assistance of reviewers and all their colleagues in the study hospitals, without whom this study could not have taken place.</w:t>
      </w:r>
    </w:p>
    <w:p w14:paraId="4C5B5641" w14:textId="77777777" w:rsidR="000923BB" w:rsidRPr="00323D58" w:rsidRDefault="000923BB" w:rsidP="000923BB">
      <w:pPr>
        <w:jc w:val="both"/>
        <w:rPr>
          <w:rFonts w:cs="Arial"/>
          <w:b/>
          <w:sz w:val="28"/>
          <w:szCs w:val="28"/>
        </w:rPr>
      </w:pPr>
      <w:r>
        <w:rPr>
          <w:rFonts w:cs="Arial"/>
          <w:sz w:val="22"/>
          <w:szCs w:val="22"/>
        </w:rPr>
        <w:t xml:space="preserve"> </w:t>
      </w:r>
      <w:r>
        <w:rPr>
          <w:rFonts w:cs="Arial"/>
          <w:sz w:val="22"/>
          <w:szCs w:val="22"/>
        </w:rPr>
        <w:br w:type="page"/>
      </w:r>
      <w:r w:rsidRPr="00323D58">
        <w:rPr>
          <w:rFonts w:cs="Arial"/>
          <w:b/>
          <w:sz w:val="28"/>
          <w:szCs w:val="28"/>
        </w:rPr>
        <w:lastRenderedPageBreak/>
        <w:t>Comparison of case note review methods for evaluating quality and safety in health care</w:t>
      </w:r>
    </w:p>
    <w:p w14:paraId="6708CF88" w14:textId="77777777" w:rsidR="000923BB" w:rsidRDefault="000923BB" w:rsidP="000923BB">
      <w:pPr>
        <w:jc w:val="both"/>
        <w:rPr>
          <w:rFonts w:cs="Arial"/>
          <w:sz w:val="22"/>
          <w:szCs w:val="22"/>
        </w:rPr>
      </w:pPr>
    </w:p>
    <w:p w14:paraId="580E7F07" w14:textId="77777777" w:rsidR="000923BB" w:rsidRPr="00883888" w:rsidRDefault="000923BB" w:rsidP="000923BB">
      <w:pPr>
        <w:jc w:val="both"/>
        <w:rPr>
          <w:rFonts w:cs="Arial"/>
          <w:b/>
          <w:bCs/>
        </w:rPr>
      </w:pPr>
      <w:r w:rsidRPr="00883888">
        <w:rPr>
          <w:rFonts w:cs="Arial"/>
          <w:b/>
          <w:bCs/>
        </w:rPr>
        <w:t xml:space="preserve">Summary </w:t>
      </w:r>
    </w:p>
    <w:p w14:paraId="3F2C1B97" w14:textId="77777777" w:rsidR="000923BB" w:rsidRDefault="000923BB" w:rsidP="000923BB">
      <w:pPr>
        <w:jc w:val="both"/>
        <w:rPr>
          <w:rFonts w:cs="Arial"/>
          <w:sz w:val="22"/>
          <w:szCs w:val="22"/>
        </w:rPr>
      </w:pPr>
    </w:p>
    <w:p w14:paraId="1A2B46DA" w14:textId="77777777" w:rsidR="000923BB" w:rsidRDefault="000923BB" w:rsidP="000923BB">
      <w:pPr>
        <w:jc w:val="both"/>
        <w:rPr>
          <w:rFonts w:cs="Arial"/>
          <w:b/>
          <w:bCs/>
          <w:sz w:val="22"/>
          <w:szCs w:val="22"/>
        </w:rPr>
      </w:pPr>
      <w:r>
        <w:rPr>
          <w:rFonts w:cs="Arial"/>
          <w:b/>
          <w:bCs/>
          <w:sz w:val="22"/>
          <w:szCs w:val="22"/>
        </w:rPr>
        <w:t>Purpose</w:t>
      </w:r>
    </w:p>
    <w:p w14:paraId="0949C841" w14:textId="77777777" w:rsidR="000923BB" w:rsidRDefault="000923BB" w:rsidP="000923BB">
      <w:pPr>
        <w:jc w:val="both"/>
        <w:rPr>
          <w:rFonts w:cs="Arial"/>
          <w:sz w:val="22"/>
          <w:szCs w:val="22"/>
        </w:rPr>
      </w:pPr>
      <w:r>
        <w:rPr>
          <w:rFonts w:cs="Arial"/>
          <w:sz w:val="22"/>
          <w:szCs w:val="22"/>
        </w:rPr>
        <w:t xml:space="preserve">The purpose of the first part of the study was two-fold.  First, to determine which of two methods of case note review provide the most useful and reliable information for reviewing quality and safety of care, and for what purpose.  Second, to determine the level of agreement within, and between, groups of healthcare professionals (doctors, nurses and other clinically trained staff, and non-clinical audit staff) when they use the two methods to review the same record.  </w:t>
      </w:r>
    </w:p>
    <w:p w14:paraId="6E941BC9" w14:textId="77777777" w:rsidR="000923BB" w:rsidRDefault="000923BB" w:rsidP="000923BB">
      <w:pPr>
        <w:jc w:val="both"/>
        <w:rPr>
          <w:rFonts w:cs="Arial"/>
          <w:sz w:val="22"/>
          <w:szCs w:val="22"/>
        </w:rPr>
      </w:pPr>
    </w:p>
    <w:p w14:paraId="42FAD45F" w14:textId="77777777" w:rsidR="000923BB" w:rsidRDefault="000923BB" w:rsidP="000923BB">
      <w:pPr>
        <w:jc w:val="both"/>
        <w:rPr>
          <w:rFonts w:cs="Arial"/>
          <w:sz w:val="22"/>
          <w:szCs w:val="22"/>
        </w:rPr>
      </w:pPr>
      <w:r>
        <w:rPr>
          <w:rFonts w:cs="Arial"/>
          <w:sz w:val="22"/>
          <w:szCs w:val="22"/>
        </w:rPr>
        <w:t xml:space="preserve">The results were also expected to influence the methods of data capture for the second part of the study, which explored the </w:t>
      </w:r>
      <w:r w:rsidRPr="00F13E56">
        <w:rPr>
          <w:rFonts w:cs="Arial"/>
          <w:sz w:val="22"/>
          <w:szCs w:val="22"/>
        </w:rPr>
        <w:t xml:space="preserve">process-outcome relationship </w:t>
      </w:r>
      <w:r>
        <w:rPr>
          <w:rFonts w:cs="Arial"/>
          <w:sz w:val="22"/>
          <w:szCs w:val="22"/>
        </w:rPr>
        <w:t xml:space="preserve">between </w:t>
      </w:r>
      <w:r w:rsidRPr="00F13E56">
        <w:rPr>
          <w:rFonts w:cs="Arial"/>
          <w:sz w:val="22"/>
          <w:szCs w:val="22"/>
        </w:rPr>
        <w:t xml:space="preserve">holistic </w:t>
      </w:r>
      <w:r>
        <w:rPr>
          <w:rFonts w:cs="Arial"/>
          <w:sz w:val="22"/>
          <w:szCs w:val="22"/>
        </w:rPr>
        <w:t xml:space="preserve">and </w:t>
      </w:r>
      <w:r w:rsidRPr="00F13E56">
        <w:rPr>
          <w:rFonts w:cs="Arial"/>
          <w:sz w:val="22"/>
          <w:szCs w:val="22"/>
        </w:rPr>
        <w:t xml:space="preserve">criterion based </w:t>
      </w:r>
      <w:r>
        <w:rPr>
          <w:rFonts w:cs="Arial"/>
          <w:sz w:val="22"/>
          <w:szCs w:val="22"/>
        </w:rPr>
        <w:t>quality of care measures (process measures) and</w:t>
      </w:r>
      <w:r w:rsidRPr="00F13E56">
        <w:rPr>
          <w:rFonts w:cs="Arial"/>
          <w:sz w:val="22"/>
          <w:szCs w:val="22"/>
        </w:rPr>
        <w:t xml:space="preserve"> hospital level outcome indicators</w:t>
      </w:r>
      <w:r>
        <w:rPr>
          <w:rFonts w:cs="Arial"/>
          <w:sz w:val="22"/>
          <w:szCs w:val="22"/>
        </w:rPr>
        <w:t>, grouped by mortality level.</w:t>
      </w:r>
    </w:p>
    <w:p w14:paraId="2BB21F26" w14:textId="77777777" w:rsidR="000923BB" w:rsidRDefault="000923BB" w:rsidP="000923BB">
      <w:pPr>
        <w:jc w:val="both"/>
        <w:rPr>
          <w:rFonts w:cs="Arial"/>
          <w:sz w:val="22"/>
          <w:szCs w:val="22"/>
        </w:rPr>
      </w:pPr>
    </w:p>
    <w:p w14:paraId="6B61B817" w14:textId="77777777" w:rsidR="000923BB" w:rsidRPr="000F7050" w:rsidRDefault="000923BB" w:rsidP="000F7050">
      <w:pPr>
        <w:pStyle w:val="BodyText"/>
        <w:rPr>
          <w:b/>
        </w:rPr>
      </w:pPr>
      <w:r w:rsidRPr="000F7050">
        <w:rPr>
          <w:b/>
        </w:rPr>
        <w:t>Methods</w:t>
      </w:r>
    </w:p>
    <w:p w14:paraId="1EE0288B" w14:textId="77777777" w:rsidR="000923BB" w:rsidRPr="00315DA5" w:rsidRDefault="000923BB" w:rsidP="000923BB">
      <w:pPr>
        <w:jc w:val="both"/>
        <w:rPr>
          <w:rFonts w:cs="Arial"/>
          <w:sz w:val="22"/>
          <w:szCs w:val="22"/>
        </w:rPr>
      </w:pPr>
      <w:r w:rsidRPr="00315DA5">
        <w:rPr>
          <w:rFonts w:cs="Arial"/>
          <w:sz w:val="22"/>
          <w:szCs w:val="22"/>
        </w:rPr>
        <w:t xml:space="preserve">In the first part of the study, retrospective multiple reviews of 684 case notes were undertaken using both holistic (implicit) and criterion based (explicit) review methods.  Quality of care measures included evidence based review criteria and a quality of care rating scale.  Textual commentary on the quality of care was provided as a component of holistic review. Data collection was conducted in nine randomly selected acute hospitals in England by hospital staff trained in case note review.  These local review teams comprised combinations of three staff types: doctors (n=16), specialist nurses (n=10) and clinically trained audit staff (n=3) (n=13 in total), and non-clinical audit staff (n=9). </w:t>
      </w:r>
    </w:p>
    <w:p w14:paraId="18801C6A" w14:textId="77777777" w:rsidR="000923BB" w:rsidRPr="00315DA5" w:rsidRDefault="000923BB" w:rsidP="000923BB">
      <w:pPr>
        <w:jc w:val="both"/>
        <w:rPr>
          <w:rFonts w:cs="Arial"/>
          <w:sz w:val="22"/>
          <w:szCs w:val="22"/>
        </w:rPr>
      </w:pPr>
    </w:p>
    <w:p w14:paraId="05CEBFAA" w14:textId="77777777" w:rsidR="000923BB" w:rsidRPr="00315DA5" w:rsidRDefault="000923BB" w:rsidP="000923BB">
      <w:pPr>
        <w:jc w:val="both"/>
        <w:rPr>
          <w:rFonts w:cs="Arial"/>
          <w:sz w:val="22"/>
          <w:szCs w:val="22"/>
        </w:rPr>
      </w:pPr>
      <w:r w:rsidRPr="00315DA5">
        <w:rPr>
          <w:rFonts w:cs="Arial"/>
          <w:sz w:val="22"/>
          <w:szCs w:val="22"/>
        </w:rPr>
        <w:t xml:space="preserve">During the second part of the study, process (quality and safety) of care data were collected from the case notes of 1565 people with either chronic obstructive pulmonary disease (COPD) or heart failure in 20 randomly selected hospitals in England.  Doctors collected criterion based data from case notes and used implicit review methods to  derive textual comments on the quality of care provided and score the care overall.  </w:t>
      </w:r>
    </w:p>
    <w:p w14:paraId="679B963A" w14:textId="77777777" w:rsidR="000923BB" w:rsidRPr="00315DA5" w:rsidRDefault="000923BB" w:rsidP="000923BB">
      <w:pPr>
        <w:jc w:val="both"/>
        <w:rPr>
          <w:rFonts w:cs="Arial"/>
          <w:b/>
          <w:bCs/>
          <w:sz w:val="22"/>
          <w:szCs w:val="22"/>
        </w:rPr>
      </w:pPr>
    </w:p>
    <w:p w14:paraId="56DF151F" w14:textId="77777777" w:rsidR="005259A3" w:rsidRDefault="005259A3" w:rsidP="000923BB">
      <w:pPr>
        <w:jc w:val="both"/>
        <w:rPr>
          <w:rFonts w:cs="Arial"/>
          <w:b/>
          <w:bCs/>
          <w:sz w:val="22"/>
          <w:szCs w:val="22"/>
        </w:rPr>
      </w:pPr>
    </w:p>
    <w:p w14:paraId="473A2F3C" w14:textId="77777777" w:rsidR="000923BB" w:rsidRPr="00315DA5" w:rsidRDefault="000923BB" w:rsidP="00D30FF9">
      <w:pPr>
        <w:jc w:val="both"/>
        <w:rPr>
          <w:rFonts w:cs="Arial"/>
          <w:b/>
          <w:bCs/>
          <w:sz w:val="22"/>
          <w:szCs w:val="22"/>
        </w:rPr>
      </w:pPr>
      <w:r w:rsidRPr="00315DA5">
        <w:rPr>
          <w:rFonts w:cs="Arial"/>
          <w:b/>
          <w:bCs/>
          <w:sz w:val="22"/>
          <w:szCs w:val="22"/>
        </w:rPr>
        <w:lastRenderedPageBreak/>
        <w:t>Analysis methods</w:t>
      </w:r>
    </w:p>
    <w:p w14:paraId="1E32FCFF" w14:textId="77777777" w:rsidR="000923BB" w:rsidRPr="00D30FF9" w:rsidRDefault="000923BB" w:rsidP="00D30FF9">
      <w:pPr>
        <w:jc w:val="both"/>
        <w:rPr>
          <w:sz w:val="22"/>
          <w:szCs w:val="22"/>
        </w:rPr>
      </w:pPr>
      <w:r w:rsidRPr="00D30FF9">
        <w:rPr>
          <w:sz w:val="22"/>
          <w:szCs w:val="22"/>
        </w:rPr>
        <w:t>Intra-rater consistency, inter-rater reliability between pairs of staff using Intra-class Correlation Coefficients, completeness of criterion data capture, within and between-staff group comparison and between review method comparison.  To explore the process/outcome relationship, a range of publicly available health care indicator data was used as proxy outcomes in a multi-level analysis.</w:t>
      </w:r>
    </w:p>
    <w:p w14:paraId="25208134" w14:textId="77777777" w:rsidR="000923BB" w:rsidRPr="00315DA5" w:rsidRDefault="000923BB" w:rsidP="00D30FF9">
      <w:pPr>
        <w:pStyle w:val="BodyTextIndent"/>
        <w:spacing w:line="240" w:lineRule="auto"/>
        <w:jc w:val="both"/>
        <w:rPr>
          <w:sz w:val="22"/>
          <w:szCs w:val="22"/>
        </w:rPr>
      </w:pPr>
    </w:p>
    <w:p w14:paraId="6B097511" w14:textId="77777777" w:rsidR="000923BB" w:rsidRPr="00315DA5" w:rsidRDefault="000923BB" w:rsidP="00D30FF9">
      <w:pPr>
        <w:pStyle w:val="BodyText"/>
        <w:jc w:val="both"/>
        <w:rPr>
          <w:b/>
          <w:sz w:val="22"/>
          <w:szCs w:val="22"/>
        </w:rPr>
      </w:pPr>
      <w:r w:rsidRPr="00315DA5">
        <w:rPr>
          <w:b/>
          <w:sz w:val="22"/>
          <w:szCs w:val="22"/>
        </w:rPr>
        <w:t xml:space="preserve">Results </w:t>
      </w:r>
    </w:p>
    <w:p w14:paraId="64DCEA76" w14:textId="77777777" w:rsidR="000923BB" w:rsidRPr="00315DA5" w:rsidRDefault="000923BB" w:rsidP="00D30FF9">
      <w:pPr>
        <w:jc w:val="both"/>
        <w:rPr>
          <w:sz w:val="22"/>
          <w:szCs w:val="22"/>
          <w:lang w:val="en-US"/>
        </w:rPr>
      </w:pPr>
    </w:p>
    <w:p w14:paraId="0A1B9041" w14:textId="77777777" w:rsidR="000923BB" w:rsidRPr="00315DA5" w:rsidRDefault="000923BB" w:rsidP="00D30FF9">
      <w:pPr>
        <w:jc w:val="both"/>
        <w:rPr>
          <w:rFonts w:cs="Arial"/>
          <w:sz w:val="22"/>
          <w:szCs w:val="22"/>
        </w:rPr>
      </w:pPr>
      <w:r w:rsidRPr="00315DA5">
        <w:rPr>
          <w:rFonts w:cs="Arial"/>
          <w:sz w:val="22"/>
          <w:szCs w:val="22"/>
        </w:rPr>
        <w:t>A total of 1473 holistic reviews and 1389 criterion based reviews were undertaken in the first part of the study.</w:t>
      </w:r>
    </w:p>
    <w:p w14:paraId="5E79C9DB" w14:textId="77777777" w:rsidR="000923BB" w:rsidRPr="00315DA5" w:rsidRDefault="000923BB" w:rsidP="00D30FF9">
      <w:pPr>
        <w:pStyle w:val="BodyTextIndent"/>
        <w:spacing w:line="240" w:lineRule="auto"/>
        <w:jc w:val="both"/>
        <w:rPr>
          <w:sz w:val="22"/>
          <w:szCs w:val="22"/>
        </w:rPr>
      </w:pPr>
    </w:p>
    <w:p w14:paraId="0141B1E6" w14:textId="77777777" w:rsidR="000923BB" w:rsidRPr="005259A3" w:rsidRDefault="000923BB" w:rsidP="00D30FF9">
      <w:pPr>
        <w:jc w:val="both"/>
        <w:rPr>
          <w:sz w:val="22"/>
          <w:szCs w:val="22"/>
        </w:rPr>
      </w:pPr>
      <w:r w:rsidRPr="005259A3">
        <w:rPr>
          <w:sz w:val="22"/>
          <w:szCs w:val="22"/>
        </w:rPr>
        <w:t xml:space="preserve">When same staff type reviewer pairs/groups reviewed the same record, holistic scale score inter-rater reliability was moderate within each of the three staff groups (Intra-Class Correlation Coefficient [ICC] 0.46 – 0.52) and inter-rater reliability for criterion based scores was moderate to good (ICC 0.61 – 0.88). When different staff type pairs/groups reviewed the same record, agreement between the reviewer pairs/groups was weak to moderate for overall care (ICC 0.24 to 0.43). </w:t>
      </w:r>
    </w:p>
    <w:p w14:paraId="50528824" w14:textId="77777777" w:rsidR="000923BB" w:rsidRPr="005259A3" w:rsidRDefault="000923BB" w:rsidP="00D30FF9">
      <w:pPr>
        <w:jc w:val="both"/>
        <w:rPr>
          <w:rFonts w:ascii="Times New Roman" w:hAnsi="Times New Roman"/>
          <w:b/>
          <w:bCs/>
          <w:sz w:val="22"/>
          <w:szCs w:val="22"/>
        </w:rPr>
      </w:pPr>
    </w:p>
    <w:p w14:paraId="093DA0C7" w14:textId="77777777" w:rsidR="000923BB" w:rsidRPr="005259A3" w:rsidRDefault="000923BB" w:rsidP="00D30FF9">
      <w:pPr>
        <w:jc w:val="both"/>
        <w:rPr>
          <w:rFonts w:cs="Arial"/>
          <w:sz w:val="22"/>
          <w:szCs w:val="22"/>
        </w:rPr>
      </w:pPr>
      <w:r w:rsidRPr="005259A3">
        <w:rPr>
          <w:rFonts w:cs="Arial"/>
          <w:sz w:val="22"/>
          <w:szCs w:val="22"/>
        </w:rPr>
        <w:t xml:space="preserve">Comparison of holistic review score and criterion based score of case notes reviewed by doctors and by non-clinical audit staff showed a reasonable level of agreement between the two methods (p-value for difference 0.406 and 0.223 respectively), although results from all three staff types showed no overall level of agreement (p-value for difference 0.057). </w:t>
      </w:r>
    </w:p>
    <w:p w14:paraId="1C4DAD1D" w14:textId="77777777" w:rsidR="000923BB" w:rsidRPr="005259A3" w:rsidRDefault="000923BB" w:rsidP="00D30FF9">
      <w:pPr>
        <w:jc w:val="both"/>
        <w:rPr>
          <w:sz w:val="22"/>
          <w:szCs w:val="22"/>
        </w:rPr>
      </w:pPr>
    </w:p>
    <w:p w14:paraId="6AF6FB90" w14:textId="77777777" w:rsidR="000923BB" w:rsidRPr="005259A3" w:rsidRDefault="000923BB" w:rsidP="00D30FF9">
      <w:pPr>
        <w:jc w:val="both"/>
        <w:rPr>
          <w:sz w:val="22"/>
          <w:szCs w:val="22"/>
        </w:rPr>
      </w:pPr>
      <w:r w:rsidRPr="005259A3">
        <w:rPr>
          <w:sz w:val="22"/>
          <w:szCs w:val="22"/>
        </w:rPr>
        <w:t xml:space="preserve">Detailed qualitative analysis of the textual data provided by reviewers indicated that the three staff types tended to provide different forms of commentary on quality of care, although there was some overlap between non-clinical audit staff and the nursing group and between the nursing group and the doctors.  Thus the non-clinical audit staff mainly reported facts from the case notes. Nurses and clinical audit staff provided commentaries that were mainly about process of care, together with some implicit judgements about the quality of care provided.  Information from the doctors tended to be more focussed on technical aspects of care, making rather more explicit judgements on quality of care.  </w:t>
      </w:r>
    </w:p>
    <w:p w14:paraId="201DAED6" w14:textId="77777777" w:rsidR="000923BB" w:rsidRPr="00315DA5" w:rsidRDefault="000923BB" w:rsidP="000923BB">
      <w:pPr>
        <w:pStyle w:val="BodyTextIndent"/>
        <w:spacing w:line="240" w:lineRule="auto"/>
        <w:rPr>
          <w:sz w:val="22"/>
          <w:szCs w:val="22"/>
        </w:rPr>
      </w:pPr>
    </w:p>
    <w:p w14:paraId="2DC91465" w14:textId="77777777" w:rsidR="000923BB" w:rsidRPr="00315DA5" w:rsidRDefault="000923BB" w:rsidP="000923BB">
      <w:pPr>
        <w:jc w:val="both"/>
        <w:rPr>
          <w:rFonts w:cs="Arial"/>
          <w:sz w:val="22"/>
          <w:szCs w:val="22"/>
        </w:rPr>
      </w:pPr>
      <w:r w:rsidRPr="00315DA5">
        <w:rPr>
          <w:rFonts w:cs="Arial"/>
          <w:sz w:val="22"/>
          <w:szCs w:val="22"/>
        </w:rPr>
        <w:t xml:space="preserve">In the process/outcome study there generally were high criterion based scores for all of the hospitals while there was rather more inter-hospital variation between the holistic review overall scale scores. Rich textual commentary on the quality of care verified the holistic scale scores. While there were trends towards hospitals that had lower mortality also having higher quality of care scores, none of these differences </w:t>
      </w:r>
      <w:r w:rsidRPr="00315DA5">
        <w:rPr>
          <w:rFonts w:cs="Arial"/>
          <w:sz w:val="22"/>
          <w:szCs w:val="22"/>
        </w:rPr>
        <w:lastRenderedPageBreak/>
        <w:t xml:space="preserve">were statistically significant.  There was only limited correlation between the outcome indicators and the criterion based or holistic scale scores for either condition across the 20 hospitals.  </w:t>
      </w:r>
    </w:p>
    <w:p w14:paraId="16203991" w14:textId="77777777" w:rsidR="000F7050" w:rsidRDefault="000F7050" w:rsidP="000923BB">
      <w:pPr>
        <w:pStyle w:val="BodyTextIndent"/>
        <w:spacing w:line="240" w:lineRule="auto"/>
      </w:pPr>
    </w:p>
    <w:p w14:paraId="6D4D1F1A" w14:textId="77777777" w:rsidR="000923BB" w:rsidRPr="000F7050" w:rsidRDefault="000923BB" w:rsidP="000F7050">
      <w:pPr>
        <w:pStyle w:val="BodyText"/>
        <w:rPr>
          <w:b/>
        </w:rPr>
      </w:pPr>
      <w:r w:rsidRPr="000F7050">
        <w:rPr>
          <w:b/>
        </w:rPr>
        <w:t xml:space="preserve">Conclusions </w:t>
      </w:r>
    </w:p>
    <w:p w14:paraId="42AF27D3" w14:textId="77777777" w:rsidR="000923BB" w:rsidRDefault="000923BB" w:rsidP="00741895">
      <w:pPr>
        <w:jc w:val="both"/>
        <w:rPr>
          <w:rFonts w:cs="Arial"/>
          <w:sz w:val="22"/>
          <w:szCs w:val="22"/>
        </w:rPr>
      </w:pPr>
      <w:r>
        <w:rPr>
          <w:rFonts w:cs="Arial"/>
          <w:sz w:val="22"/>
          <w:szCs w:val="22"/>
        </w:rPr>
        <w:t xml:space="preserve">Using a holistic approach to review case notes, groups of the same staff type can achieve reasonable repeatability within their professional groups when asked to rate quality of care on a scale. But there is little agreement between the three staff types when using holistic review methods to rate quality of care for the same clinical record, possibly because the different staff types are exploring different aspects of quality of care, as the qualitative analysis suggests.  </w:t>
      </w:r>
    </w:p>
    <w:p w14:paraId="54979B66" w14:textId="77777777" w:rsidR="000923BB" w:rsidRDefault="000923BB" w:rsidP="00741895">
      <w:pPr>
        <w:jc w:val="both"/>
        <w:rPr>
          <w:rFonts w:cs="Arial"/>
          <w:sz w:val="22"/>
          <w:szCs w:val="22"/>
        </w:rPr>
      </w:pPr>
      <w:r>
        <w:rPr>
          <w:rFonts w:cs="Arial"/>
          <w:sz w:val="22"/>
          <w:szCs w:val="22"/>
        </w:rPr>
        <w:t xml:space="preserve">All three staff groups have reasonable to high levels of consistency when using criterion based review and, because there tend to be low levels of missing values in the data collected by all three staff types, there is little to chose between the staff groups in terms of reviewer effectiveness. </w:t>
      </w:r>
    </w:p>
    <w:p w14:paraId="57317869" w14:textId="77777777" w:rsidR="000923BB" w:rsidRDefault="000923BB" w:rsidP="00741895">
      <w:pPr>
        <w:jc w:val="both"/>
        <w:rPr>
          <w:rFonts w:cs="Arial"/>
          <w:sz w:val="22"/>
          <w:szCs w:val="22"/>
        </w:rPr>
      </w:pPr>
      <w:r>
        <w:rPr>
          <w:rFonts w:cs="Arial"/>
          <w:sz w:val="22"/>
          <w:szCs w:val="22"/>
        </w:rPr>
        <w:t xml:space="preserve">When the same clinical record was reviewed by the doctors, and by the non-clinical audit staff, using first holistic and then criterion based methods, there is no significant difference between the assessments of quality of care generated by the two methods.  This suggests that although the two methods are exploring quality of care differently, they can allow similar levels of quality ratings to be made.  When measuring quality of care from case notes, therefore, consideration needs to be given to three important factors:- the method of review, the type of staff to undertake the review and the methods of analysis available to the review team.  </w:t>
      </w:r>
    </w:p>
    <w:p w14:paraId="1FE5449D" w14:textId="77777777" w:rsidR="000923BB" w:rsidRDefault="000923BB" w:rsidP="00741895">
      <w:pPr>
        <w:jc w:val="both"/>
        <w:rPr>
          <w:rFonts w:cs="Arial"/>
          <w:sz w:val="22"/>
          <w:szCs w:val="22"/>
        </w:rPr>
      </w:pPr>
      <w:r>
        <w:rPr>
          <w:rFonts w:cs="Arial"/>
          <w:sz w:val="22"/>
          <w:szCs w:val="22"/>
        </w:rPr>
        <w:t xml:space="preserve">It is likely that review of quality of care can be enhanced by using a combination of both criterion based (explicit) methods and structured holistic (implicit) methods, which will identify both evidence based elements of care and the nuances of care that are almost always a component of care in long term conditions.  Free textual commentary on the quality of care provided is a valuable asset in judging care, but it is complex to analyse and is likely to remain as a research tool in this field of health care evaluation. </w:t>
      </w:r>
    </w:p>
    <w:p w14:paraId="3986072A" w14:textId="77777777" w:rsidR="000923BB" w:rsidRDefault="000923BB" w:rsidP="000923BB">
      <w:pPr>
        <w:jc w:val="both"/>
        <w:rPr>
          <w:rFonts w:cs="Arial"/>
          <w:sz w:val="22"/>
          <w:szCs w:val="22"/>
        </w:rPr>
      </w:pPr>
      <w:r>
        <w:rPr>
          <w:rFonts w:cs="Arial"/>
          <w:sz w:val="22"/>
          <w:szCs w:val="22"/>
        </w:rPr>
        <w:t>Experience with the review methods shows that v</w:t>
      </w:r>
      <w:r w:rsidRPr="00F13E56">
        <w:rPr>
          <w:rFonts w:cs="Arial"/>
          <w:sz w:val="22"/>
          <w:szCs w:val="22"/>
        </w:rPr>
        <w:t>ariation in quality of care can be identified from a combination of holistic scale scores and textual data review</w:t>
      </w:r>
      <w:r>
        <w:rPr>
          <w:rFonts w:cs="Arial"/>
          <w:sz w:val="22"/>
          <w:szCs w:val="22"/>
        </w:rPr>
        <w:t xml:space="preserve"> – this combination </w:t>
      </w:r>
      <w:r w:rsidRPr="00F13E56">
        <w:rPr>
          <w:rFonts w:cs="Arial"/>
          <w:sz w:val="22"/>
          <w:szCs w:val="22"/>
        </w:rPr>
        <w:t>provid</w:t>
      </w:r>
      <w:r>
        <w:rPr>
          <w:rFonts w:cs="Arial"/>
          <w:sz w:val="22"/>
          <w:szCs w:val="22"/>
        </w:rPr>
        <w:t xml:space="preserve">ing </w:t>
      </w:r>
      <w:r w:rsidRPr="00F13E56">
        <w:rPr>
          <w:rFonts w:cs="Arial"/>
          <w:sz w:val="22"/>
          <w:szCs w:val="22"/>
        </w:rPr>
        <w:t xml:space="preserve">a rich means of understanding the outcome of care on an individual </w:t>
      </w:r>
      <w:r>
        <w:rPr>
          <w:rFonts w:cs="Arial"/>
          <w:sz w:val="22"/>
          <w:szCs w:val="22"/>
        </w:rPr>
        <w:t xml:space="preserve">patient </w:t>
      </w:r>
      <w:r w:rsidRPr="00F13E56">
        <w:rPr>
          <w:rFonts w:cs="Arial"/>
          <w:sz w:val="22"/>
          <w:szCs w:val="22"/>
        </w:rPr>
        <w:t>basis.</w:t>
      </w:r>
    </w:p>
    <w:p w14:paraId="65CD9EB6" w14:textId="77777777" w:rsidR="000923BB" w:rsidRPr="000F7050" w:rsidRDefault="000923BB" w:rsidP="00D30FF9">
      <w:pPr>
        <w:pStyle w:val="BodyText2"/>
        <w:spacing w:line="360" w:lineRule="auto"/>
        <w:jc w:val="both"/>
        <w:rPr>
          <w:rFonts w:ascii="Arial" w:hAnsi="Arial" w:cs="Arial"/>
          <w:b/>
          <w:sz w:val="22"/>
          <w:szCs w:val="22"/>
        </w:rPr>
      </w:pPr>
      <w:r w:rsidRPr="00D30FF9">
        <w:rPr>
          <w:rFonts w:ascii="Arial" w:hAnsi="Arial" w:cs="Arial"/>
          <w:sz w:val="22"/>
          <w:szCs w:val="22"/>
        </w:rPr>
        <w:t xml:space="preserve">Although there are some correlations between quality of care scores and hospital level outcome data, there is no clear relationship between the process of care and hospital level outcomes for the two indicator conditions in this study. This probably reflects the complexity of the process/outcome relationship at the group level.  Available hospital level outcome indicator data are probably insufficiently sensitive to reflect the quality of care recorded in patient case notes.  Furthermore, high quality care may be given even when the patient’s outcome is poor, and vice versa.  These </w:t>
      </w:r>
      <w:r w:rsidRPr="00D30FF9">
        <w:rPr>
          <w:rFonts w:ascii="Arial" w:hAnsi="Arial" w:cs="Arial"/>
          <w:sz w:val="22"/>
          <w:szCs w:val="22"/>
        </w:rPr>
        <w:lastRenderedPageBreak/>
        <w:t xml:space="preserve">findings may be pointing to process measures as being more useful than outcome measures when reviewing the care of people who have chronic disease or multiple conditions. </w:t>
      </w:r>
      <w:r>
        <w:rPr>
          <w:b/>
          <w:sz w:val="22"/>
          <w:szCs w:val="22"/>
        </w:rPr>
        <w:br w:type="page"/>
      </w:r>
      <w:r w:rsidRPr="000F7050">
        <w:rPr>
          <w:rFonts w:ascii="Arial" w:hAnsi="Arial" w:cs="Arial"/>
          <w:b/>
          <w:bCs/>
        </w:rPr>
        <w:lastRenderedPageBreak/>
        <w:t>Assessing quality of care from hospital case notes: comparison of reliability and utility of holistic (implicit) and criterion based (explicit) methods</w:t>
      </w:r>
    </w:p>
    <w:p w14:paraId="1C4E9EC3" w14:textId="77777777" w:rsidR="000923BB" w:rsidRDefault="000923BB" w:rsidP="000923BB">
      <w:pPr>
        <w:jc w:val="both"/>
        <w:rPr>
          <w:rFonts w:cs="Arial"/>
          <w:sz w:val="22"/>
          <w:szCs w:val="22"/>
        </w:rPr>
      </w:pPr>
    </w:p>
    <w:p w14:paraId="0F2D4EDF" w14:textId="77777777" w:rsidR="000923BB" w:rsidRDefault="000923BB" w:rsidP="000923BB">
      <w:pPr>
        <w:jc w:val="both"/>
        <w:rPr>
          <w:rFonts w:cs="Arial"/>
          <w:b/>
          <w:bCs/>
        </w:rPr>
      </w:pPr>
      <w:r>
        <w:rPr>
          <w:rFonts w:cs="Arial"/>
          <w:b/>
          <w:bCs/>
        </w:rPr>
        <w:t xml:space="preserve">Background </w:t>
      </w:r>
    </w:p>
    <w:p w14:paraId="5837850C" w14:textId="77777777" w:rsidR="000923BB" w:rsidRDefault="000923BB" w:rsidP="000923BB">
      <w:pPr>
        <w:jc w:val="both"/>
        <w:rPr>
          <w:rFonts w:cs="Arial"/>
          <w:sz w:val="22"/>
          <w:szCs w:val="22"/>
        </w:rPr>
      </w:pPr>
    </w:p>
    <w:p w14:paraId="64F7F480" w14:textId="77777777" w:rsidR="000923BB" w:rsidRDefault="000923BB" w:rsidP="000923BB">
      <w:pPr>
        <w:jc w:val="both"/>
        <w:rPr>
          <w:rFonts w:cs="Arial"/>
          <w:sz w:val="22"/>
          <w:szCs w:val="22"/>
        </w:rPr>
      </w:pPr>
      <w:r>
        <w:rPr>
          <w:rFonts w:cs="Arial"/>
          <w:sz w:val="22"/>
          <w:szCs w:val="22"/>
        </w:rPr>
        <w:t xml:space="preserve">Review of the quality of care as described in written case notes has become a standard means of assessing variation from quality standards and for identifying adverse incidents, either concerning individuals or groups of patients. </w:t>
      </w:r>
    </w:p>
    <w:p w14:paraId="176BB5DC" w14:textId="77777777" w:rsidR="000923BB" w:rsidRDefault="000923BB" w:rsidP="000923BB">
      <w:pPr>
        <w:jc w:val="both"/>
        <w:rPr>
          <w:rFonts w:cs="Arial"/>
          <w:sz w:val="22"/>
          <w:szCs w:val="22"/>
        </w:rPr>
      </w:pPr>
    </w:p>
    <w:p w14:paraId="1A2C66DB" w14:textId="77777777" w:rsidR="000923BB" w:rsidRDefault="000923BB" w:rsidP="000923BB">
      <w:pPr>
        <w:pStyle w:val="BodyText"/>
        <w:jc w:val="both"/>
        <w:rPr>
          <w:rFonts w:cs="Arial"/>
          <w:sz w:val="22"/>
          <w:szCs w:val="22"/>
        </w:rPr>
      </w:pPr>
      <w:r>
        <w:rPr>
          <w:rFonts w:cs="Arial"/>
          <w:sz w:val="22"/>
          <w:szCs w:val="22"/>
        </w:rPr>
        <w:t>Quality of care is currently assessed from clinical records by collecting data using two principal approaches: holistic review (sometimes called implicit review) and criterion based (explicit) review. Both of these approaches have recognised strengths and weaknesses, whether they are being used for performance monitoring and assessment, or in a research setting.</w:t>
      </w:r>
    </w:p>
    <w:p w14:paraId="3472A04C" w14:textId="77777777" w:rsidR="000923BB" w:rsidRDefault="000923BB" w:rsidP="000923BB">
      <w:pPr>
        <w:jc w:val="both"/>
        <w:rPr>
          <w:rFonts w:cs="Arial"/>
          <w:sz w:val="22"/>
          <w:szCs w:val="22"/>
        </w:rPr>
      </w:pPr>
    </w:p>
    <w:p w14:paraId="2C7C5B0D" w14:textId="77777777" w:rsidR="000923BB" w:rsidRDefault="000923BB" w:rsidP="000923BB">
      <w:pPr>
        <w:jc w:val="both"/>
        <w:rPr>
          <w:rFonts w:cs="Arial"/>
          <w:sz w:val="22"/>
          <w:szCs w:val="22"/>
        </w:rPr>
      </w:pPr>
      <w:r>
        <w:rPr>
          <w:rFonts w:cs="Arial"/>
          <w:sz w:val="22"/>
          <w:szCs w:val="22"/>
        </w:rPr>
        <w:t xml:space="preserve">Although attempts to systematise the review of quality of care began nearly a century ago with the work of Codman in 1912,[1]  much of the development of case note review methodology began in North America in the 1970s with the work of the Peer Review Organisations, which used implicit review methods (sometimes called ‘holistic methods’) to determine variations in the standards of care provided by hospitals.[2]  Subsequently, variants of these holistic (implicit) methods to review the quality of care of hospital patients were used as the basis for determining adverse event and medical error rates in three large epidemiological studies in New York State,[3] Australia[4] and in Colorado and Utah.[5]  Holistic review was subsequently widely used in clinical audit in the </w:t>
      </w:r>
      <w:smartTag w:uri="urn:schemas-microsoft-com:office:smarttags" w:element="place">
        <w:smartTag w:uri="urn:schemas-microsoft-com:office:smarttags" w:element="country-region">
          <w:r>
            <w:rPr>
              <w:rFonts w:cs="Arial"/>
              <w:sz w:val="22"/>
              <w:szCs w:val="22"/>
            </w:rPr>
            <w:t>UK</w:t>
          </w:r>
        </w:smartTag>
      </w:smartTag>
      <w:r>
        <w:rPr>
          <w:rFonts w:cs="Arial"/>
          <w:sz w:val="22"/>
          <w:szCs w:val="22"/>
        </w:rPr>
        <w:t xml:space="preserve">.  </w:t>
      </w:r>
    </w:p>
    <w:p w14:paraId="39BDDA97" w14:textId="77777777" w:rsidR="000923BB" w:rsidRDefault="000923BB" w:rsidP="000923BB">
      <w:pPr>
        <w:pStyle w:val="BodyText"/>
        <w:jc w:val="both"/>
        <w:rPr>
          <w:rFonts w:cs="Arial"/>
          <w:sz w:val="22"/>
          <w:szCs w:val="22"/>
        </w:rPr>
      </w:pPr>
    </w:p>
    <w:p w14:paraId="437796AA" w14:textId="77777777" w:rsidR="000923BB" w:rsidRDefault="000923BB" w:rsidP="000923BB">
      <w:pPr>
        <w:pStyle w:val="BodyText"/>
        <w:jc w:val="both"/>
        <w:rPr>
          <w:rFonts w:cs="Arial"/>
          <w:sz w:val="22"/>
          <w:szCs w:val="22"/>
        </w:rPr>
      </w:pPr>
      <w:r w:rsidRPr="00150671">
        <w:rPr>
          <w:rFonts w:cs="Arial"/>
          <w:sz w:val="22"/>
          <w:szCs w:val="22"/>
        </w:rPr>
        <w:t>Clinical staff in the UK are accustomed to looking through a set of patient records in order to form an opinion on the quality of care delivered.  This holistic approach uses professional judgement and has the advantage that it requires no prior assumptions about the individual case, can be applied to any condition, can extend to examining any aspect of care, and, at least in experienced hands, may be relatively quick to perform.  However the standards against which quality is judged holistically are implicit, being to a considerable extent dependent on the reviewer’s personal knowledge and perspective, and thus are subjective.  As a result the use of implicit professional judgements as the basis for reviewing quality and identifying variations from good practice has been increasingly criti</w:t>
      </w:r>
      <w:r>
        <w:rPr>
          <w:rFonts w:cs="Arial"/>
          <w:sz w:val="22"/>
          <w:szCs w:val="22"/>
        </w:rPr>
        <w:t>cised</w:t>
      </w:r>
      <w:r w:rsidRPr="00150671">
        <w:rPr>
          <w:rFonts w:cs="Arial"/>
          <w:sz w:val="22"/>
          <w:szCs w:val="22"/>
        </w:rPr>
        <w:t xml:space="preserve">. </w:t>
      </w:r>
    </w:p>
    <w:p w14:paraId="5DDBE05B" w14:textId="77777777" w:rsidR="000923BB" w:rsidRDefault="000923BB" w:rsidP="000923BB">
      <w:pPr>
        <w:pStyle w:val="BodyText"/>
        <w:jc w:val="both"/>
        <w:rPr>
          <w:rFonts w:cs="Arial"/>
          <w:sz w:val="22"/>
          <w:szCs w:val="22"/>
        </w:rPr>
      </w:pPr>
    </w:p>
    <w:p w14:paraId="573AF2C7" w14:textId="77777777" w:rsidR="000923BB" w:rsidRPr="00150671" w:rsidRDefault="000923BB" w:rsidP="000923BB">
      <w:pPr>
        <w:pStyle w:val="BodyText"/>
        <w:jc w:val="both"/>
        <w:rPr>
          <w:rFonts w:cs="Arial"/>
          <w:sz w:val="22"/>
          <w:szCs w:val="22"/>
        </w:rPr>
      </w:pPr>
      <w:r w:rsidRPr="00150671">
        <w:rPr>
          <w:rFonts w:cs="Arial"/>
          <w:sz w:val="22"/>
          <w:szCs w:val="22"/>
        </w:rPr>
        <w:lastRenderedPageBreak/>
        <w:t xml:space="preserve">Research has identified a range of assumptions about what is being measured by holistic (implicit) review and problems have been identified with the reliability and the validity of the </w:t>
      </w:r>
      <w:r>
        <w:rPr>
          <w:rFonts w:cs="Arial"/>
          <w:sz w:val="22"/>
          <w:szCs w:val="22"/>
        </w:rPr>
        <w:t>approach</w:t>
      </w:r>
      <w:r w:rsidRPr="00150671">
        <w:rPr>
          <w:rFonts w:cs="Arial"/>
          <w:sz w:val="22"/>
          <w:szCs w:val="22"/>
        </w:rPr>
        <w:t xml:space="preserve">.  Weingart et al[6] conducted retrospective record review of 1025 case notes to compare explicit and implicit review methods when examining quality of care. Their study found that implicit reviews </w:t>
      </w:r>
      <w:r>
        <w:rPr>
          <w:rFonts w:cs="Arial"/>
          <w:sz w:val="22"/>
          <w:szCs w:val="22"/>
        </w:rPr>
        <w:t>by physicians tend to take a global approach, including an assessment of the severity of the case, but are less likely than nurses</w:t>
      </w:r>
      <w:r w:rsidRPr="00150671">
        <w:rPr>
          <w:rFonts w:cs="Arial"/>
          <w:sz w:val="22"/>
          <w:szCs w:val="22"/>
        </w:rPr>
        <w:t xml:space="preserve"> to take into account any process issues that may lead to reduced quality of hospital care. This finding was supported by the results of a study by Gibbs and colleagues</w:t>
      </w:r>
      <w:r>
        <w:rPr>
          <w:rFonts w:cs="Arial"/>
          <w:sz w:val="22"/>
          <w:szCs w:val="22"/>
        </w:rPr>
        <w:t>,</w:t>
      </w:r>
      <w:r w:rsidRPr="00150671">
        <w:rPr>
          <w:rFonts w:cs="Arial"/>
          <w:sz w:val="22"/>
          <w:szCs w:val="22"/>
        </w:rPr>
        <w:t>[7] who compared quality of care for patients selected using higher and lower than expected mortality rates.  The</w:t>
      </w:r>
      <w:r>
        <w:rPr>
          <w:rFonts w:cs="Arial"/>
          <w:sz w:val="22"/>
          <w:szCs w:val="22"/>
        </w:rPr>
        <w:t xml:space="preserve"> authors</w:t>
      </w:r>
      <w:r w:rsidRPr="00150671">
        <w:rPr>
          <w:rFonts w:cs="Arial"/>
          <w:sz w:val="22"/>
          <w:szCs w:val="22"/>
        </w:rPr>
        <w:t xml:space="preserve"> highlighted the insensitivity of implicit methods when used for detecting hospital level differences and report</w:t>
      </w:r>
      <w:r>
        <w:rPr>
          <w:rFonts w:cs="Arial"/>
          <w:sz w:val="22"/>
          <w:szCs w:val="22"/>
        </w:rPr>
        <w:t>ed</w:t>
      </w:r>
      <w:r w:rsidRPr="00150671">
        <w:rPr>
          <w:rFonts w:cs="Arial"/>
          <w:sz w:val="22"/>
          <w:szCs w:val="22"/>
        </w:rPr>
        <w:t xml:space="preserve"> that implicit chart reviews are not successful at discovering differences in quality of care.</w:t>
      </w:r>
    </w:p>
    <w:p w14:paraId="0B808F78" w14:textId="77777777" w:rsidR="000923BB" w:rsidRDefault="000923BB" w:rsidP="000923BB">
      <w:pPr>
        <w:jc w:val="both"/>
        <w:rPr>
          <w:rFonts w:cs="Arial"/>
          <w:sz w:val="22"/>
          <w:szCs w:val="22"/>
        </w:rPr>
      </w:pPr>
    </w:p>
    <w:p w14:paraId="5E0C9388" w14:textId="77777777" w:rsidR="000923BB" w:rsidRPr="009538C8" w:rsidRDefault="000923BB" w:rsidP="000923BB">
      <w:pPr>
        <w:jc w:val="both"/>
        <w:rPr>
          <w:rFonts w:cs="Arial"/>
          <w:sz w:val="22"/>
          <w:szCs w:val="22"/>
        </w:rPr>
      </w:pPr>
      <w:r w:rsidRPr="009538C8">
        <w:rPr>
          <w:rFonts w:cs="Arial"/>
          <w:sz w:val="22"/>
          <w:szCs w:val="22"/>
        </w:rPr>
        <w:t xml:space="preserve">Ashton et al[8] found that not only </w:t>
      </w:r>
      <w:r>
        <w:rPr>
          <w:rFonts w:cs="Arial"/>
          <w:sz w:val="22"/>
          <w:szCs w:val="22"/>
        </w:rPr>
        <w:t>can</w:t>
      </w:r>
      <w:r w:rsidRPr="009538C8">
        <w:rPr>
          <w:rFonts w:cs="Arial"/>
          <w:sz w:val="22"/>
          <w:szCs w:val="22"/>
        </w:rPr>
        <w:t xml:space="preserve"> implicit review </w:t>
      </w:r>
      <w:r>
        <w:rPr>
          <w:rFonts w:cs="Arial"/>
          <w:sz w:val="22"/>
          <w:szCs w:val="22"/>
        </w:rPr>
        <w:t xml:space="preserve">be </w:t>
      </w:r>
      <w:r w:rsidRPr="009538C8">
        <w:rPr>
          <w:rFonts w:cs="Arial"/>
          <w:sz w:val="22"/>
          <w:szCs w:val="22"/>
        </w:rPr>
        <w:t xml:space="preserve">highly idiosyncratic and reviewer dependent, but it </w:t>
      </w:r>
      <w:r>
        <w:rPr>
          <w:rFonts w:cs="Arial"/>
          <w:sz w:val="22"/>
          <w:szCs w:val="22"/>
        </w:rPr>
        <w:t xml:space="preserve">that it can result in </w:t>
      </w:r>
      <w:r w:rsidRPr="009538C8">
        <w:rPr>
          <w:rFonts w:cs="Arial"/>
          <w:sz w:val="22"/>
          <w:szCs w:val="22"/>
        </w:rPr>
        <w:t xml:space="preserve">lower levels of inter-rater reliability than explicit methods at patient level.  Moreover, re-analysis of data from the </w:t>
      </w:r>
      <w:smartTag w:uri="urn:schemas-microsoft-com:office:smarttags" w:element="place">
        <w:smartTag w:uri="urn:schemas-microsoft-com:office:smarttags" w:element="State">
          <w:r w:rsidRPr="009538C8">
            <w:rPr>
              <w:rFonts w:cs="Arial"/>
              <w:sz w:val="22"/>
              <w:szCs w:val="22"/>
            </w:rPr>
            <w:t>Utah</w:t>
          </w:r>
        </w:smartTag>
      </w:smartTag>
      <w:r w:rsidRPr="009538C8">
        <w:rPr>
          <w:rFonts w:cs="Arial"/>
          <w:sz w:val="22"/>
          <w:szCs w:val="22"/>
        </w:rPr>
        <w:t xml:space="preserve"> and Colorado Medical Practice Study has contributed to concerns that holistic record review may have low reliability, with the finding that different implicit review strategies produced different estimates of the total number of adverse events and negligent adverse events</w:t>
      </w:r>
      <w:r>
        <w:rPr>
          <w:rFonts w:cs="Arial"/>
          <w:sz w:val="22"/>
          <w:szCs w:val="22"/>
        </w:rPr>
        <w:t>.</w:t>
      </w:r>
      <w:r w:rsidRPr="009538C8">
        <w:rPr>
          <w:rFonts w:cs="Arial"/>
          <w:sz w:val="22"/>
          <w:szCs w:val="22"/>
        </w:rPr>
        <w:t>[9]  Despite attempts to reduce levels of subjectivity in holistic review (for example by such means as providing extensive training for physician reviewers),</w:t>
      </w:r>
      <w:r>
        <w:rPr>
          <w:rFonts w:cs="Arial"/>
          <w:sz w:val="22"/>
          <w:szCs w:val="22"/>
        </w:rPr>
        <w:t xml:space="preserve"> a</w:t>
      </w:r>
      <w:r w:rsidRPr="009538C8">
        <w:rPr>
          <w:rFonts w:cs="Arial"/>
          <w:sz w:val="22"/>
          <w:szCs w:val="22"/>
        </w:rPr>
        <w:t xml:space="preserve"> number of other concerns remain about the value of review methods that are based principally on professional judgement.  </w:t>
      </w:r>
      <w:r>
        <w:rPr>
          <w:rFonts w:cs="Arial"/>
          <w:sz w:val="22"/>
          <w:szCs w:val="22"/>
        </w:rPr>
        <w:t>Inter-rater reliability between reviewers has been identified as being particularly problematic, with Hofer and colleagues finding  levels of between 0.25 (low) and 0.45 (modest) in a study of a range of diseases and service settings.</w:t>
      </w:r>
      <w:r w:rsidRPr="009538C8">
        <w:rPr>
          <w:rFonts w:cs="Arial"/>
          <w:sz w:val="22"/>
          <w:szCs w:val="22"/>
        </w:rPr>
        <w:t xml:space="preserve">[10] </w:t>
      </w:r>
      <w:r>
        <w:rPr>
          <w:rFonts w:cs="Arial"/>
          <w:sz w:val="22"/>
          <w:szCs w:val="22"/>
        </w:rPr>
        <w:t xml:space="preserve"> It may also be that the </w:t>
      </w:r>
      <w:r w:rsidRPr="009538C8">
        <w:rPr>
          <w:rFonts w:cs="Arial"/>
          <w:sz w:val="22"/>
          <w:szCs w:val="22"/>
        </w:rPr>
        <w:t xml:space="preserve">choice of methods of assessing reliability </w:t>
      </w:r>
      <w:r>
        <w:rPr>
          <w:rFonts w:cs="Arial"/>
          <w:sz w:val="22"/>
          <w:szCs w:val="22"/>
        </w:rPr>
        <w:t>may have some effect on the results of studies, since the kappa statistic is influenced by the prevalence of events.</w:t>
      </w:r>
      <w:r w:rsidRPr="009538C8">
        <w:rPr>
          <w:rFonts w:cs="Arial"/>
          <w:sz w:val="22"/>
          <w:szCs w:val="22"/>
        </w:rPr>
        <w:t>[11]</w:t>
      </w:r>
      <w:r>
        <w:rPr>
          <w:rFonts w:cs="Arial"/>
          <w:sz w:val="22"/>
          <w:szCs w:val="22"/>
        </w:rPr>
        <w:t>[12]</w:t>
      </w:r>
      <w:r w:rsidRPr="009538C8">
        <w:rPr>
          <w:rFonts w:cs="Arial"/>
          <w:sz w:val="22"/>
          <w:szCs w:val="22"/>
        </w:rPr>
        <w:t xml:space="preserve"> </w:t>
      </w:r>
      <w:r>
        <w:rPr>
          <w:rFonts w:cs="Arial"/>
          <w:sz w:val="22"/>
          <w:szCs w:val="22"/>
        </w:rPr>
        <w:t xml:space="preserve"> Additionally, the individual </w:t>
      </w:r>
      <w:r w:rsidRPr="009538C8">
        <w:rPr>
          <w:rFonts w:cs="Arial"/>
          <w:sz w:val="22"/>
          <w:szCs w:val="22"/>
        </w:rPr>
        <w:t>consistency</w:t>
      </w:r>
      <w:r>
        <w:rPr>
          <w:rFonts w:cs="Arial"/>
          <w:sz w:val="22"/>
          <w:szCs w:val="22"/>
        </w:rPr>
        <w:t xml:space="preserve"> of reviewers has been questioned</w:t>
      </w:r>
      <w:r w:rsidRPr="009538C8">
        <w:rPr>
          <w:rFonts w:cs="Arial"/>
          <w:sz w:val="22"/>
          <w:szCs w:val="22"/>
        </w:rPr>
        <w:t>[</w:t>
      </w:r>
      <w:r>
        <w:rPr>
          <w:rFonts w:cs="Arial"/>
          <w:sz w:val="22"/>
          <w:szCs w:val="22"/>
        </w:rPr>
        <w:t>13</w:t>
      </w:r>
      <w:r w:rsidRPr="009538C8">
        <w:rPr>
          <w:rFonts w:cs="Arial"/>
          <w:sz w:val="22"/>
          <w:szCs w:val="22"/>
        </w:rPr>
        <w:t xml:space="preserve">] </w:t>
      </w:r>
      <w:r>
        <w:rPr>
          <w:rFonts w:cs="Arial"/>
          <w:sz w:val="22"/>
          <w:szCs w:val="22"/>
        </w:rPr>
        <w:t xml:space="preserve">and the individual reviewer’s </w:t>
      </w:r>
      <w:r w:rsidRPr="009538C8">
        <w:rPr>
          <w:rFonts w:cs="Arial"/>
          <w:sz w:val="22"/>
          <w:szCs w:val="22"/>
        </w:rPr>
        <w:t>bias towards harshness or leniency</w:t>
      </w:r>
      <w:r>
        <w:rPr>
          <w:rFonts w:cs="Arial"/>
          <w:sz w:val="22"/>
          <w:szCs w:val="22"/>
        </w:rPr>
        <w:t xml:space="preserve"> has been considered as problematic in comparing results between reviewers.</w:t>
      </w:r>
      <w:r w:rsidRPr="009538C8">
        <w:rPr>
          <w:rFonts w:cs="Arial"/>
          <w:sz w:val="22"/>
          <w:szCs w:val="22"/>
        </w:rPr>
        <w:t>[</w:t>
      </w:r>
      <w:r>
        <w:rPr>
          <w:rFonts w:cs="Arial"/>
          <w:sz w:val="22"/>
          <w:szCs w:val="22"/>
        </w:rPr>
        <w:t>14</w:t>
      </w:r>
      <w:r w:rsidRPr="009538C8">
        <w:rPr>
          <w:rFonts w:cs="Arial"/>
          <w:sz w:val="22"/>
          <w:szCs w:val="22"/>
        </w:rPr>
        <w:t xml:space="preserve">] </w:t>
      </w:r>
      <w:r>
        <w:rPr>
          <w:rFonts w:cs="Arial"/>
          <w:sz w:val="22"/>
          <w:szCs w:val="22"/>
        </w:rPr>
        <w:t xml:space="preserve"> F</w:t>
      </w:r>
      <w:r w:rsidRPr="009538C8">
        <w:rPr>
          <w:rFonts w:cs="Arial"/>
          <w:sz w:val="22"/>
          <w:szCs w:val="22"/>
        </w:rPr>
        <w:t>ischoff</w:t>
      </w:r>
      <w:r>
        <w:rPr>
          <w:rFonts w:cs="Arial"/>
          <w:sz w:val="22"/>
          <w:szCs w:val="22"/>
        </w:rPr>
        <w:t>’s</w:t>
      </w:r>
      <w:r w:rsidRPr="009538C8">
        <w:rPr>
          <w:rFonts w:cs="Arial"/>
          <w:sz w:val="22"/>
          <w:szCs w:val="22"/>
        </w:rPr>
        <w:t xml:space="preserve"> </w:t>
      </w:r>
      <w:r>
        <w:rPr>
          <w:rFonts w:cs="Arial"/>
          <w:sz w:val="22"/>
          <w:szCs w:val="22"/>
        </w:rPr>
        <w:t>initial work on hindsight bias[15] has recently been reiterated as a confounding factor in implicit review.[16</w:t>
      </w:r>
      <w:r w:rsidRPr="009538C8">
        <w:rPr>
          <w:rFonts w:cs="Arial"/>
          <w:sz w:val="22"/>
          <w:szCs w:val="22"/>
        </w:rPr>
        <w:t xml:space="preserve">]  </w:t>
      </w:r>
      <w:r>
        <w:rPr>
          <w:rFonts w:cs="Arial"/>
          <w:sz w:val="22"/>
          <w:szCs w:val="22"/>
        </w:rPr>
        <w:t>F</w:t>
      </w:r>
      <w:r w:rsidRPr="009538C8">
        <w:rPr>
          <w:rFonts w:cs="Arial"/>
          <w:sz w:val="22"/>
          <w:szCs w:val="22"/>
        </w:rPr>
        <w:t>or th</w:t>
      </w:r>
      <w:r>
        <w:rPr>
          <w:rFonts w:cs="Arial"/>
          <w:sz w:val="22"/>
          <w:szCs w:val="22"/>
        </w:rPr>
        <w:t>ese</w:t>
      </w:r>
      <w:r w:rsidRPr="009538C8">
        <w:rPr>
          <w:rFonts w:cs="Arial"/>
          <w:sz w:val="22"/>
          <w:szCs w:val="22"/>
        </w:rPr>
        <w:t xml:space="preserve"> reason</w:t>
      </w:r>
      <w:r>
        <w:rPr>
          <w:rFonts w:cs="Arial"/>
          <w:sz w:val="22"/>
          <w:szCs w:val="22"/>
        </w:rPr>
        <w:t>s, criterion based review, using pre-defined criteria, has</w:t>
      </w:r>
      <w:r w:rsidRPr="009538C8">
        <w:rPr>
          <w:rFonts w:cs="Arial"/>
          <w:sz w:val="22"/>
          <w:szCs w:val="22"/>
        </w:rPr>
        <w:t xml:space="preserve"> been proposed as a more </w:t>
      </w:r>
      <w:r>
        <w:rPr>
          <w:rFonts w:cs="Arial"/>
          <w:sz w:val="22"/>
          <w:szCs w:val="22"/>
        </w:rPr>
        <w:t>reliable</w:t>
      </w:r>
      <w:r w:rsidRPr="009538C8">
        <w:rPr>
          <w:rFonts w:cs="Arial"/>
          <w:sz w:val="22"/>
          <w:szCs w:val="22"/>
        </w:rPr>
        <w:t xml:space="preserve"> means of assessing quality from clinical records.[1</w:t>
      </w:r>
      <w:r>
        <w:rPr>
          <w:rFonts w:cs="Arial"/>
          <w:sz w:val="22"/>
          <w:szCs w:val="22"/>
        </w:rPr>
        <w:t>7</w:t>
      </w:r>
      <w:r w:rsidRPr="009538C8">
        <w:rPr>
          <w:rFonts w:cs="Arial"/>
          <w:sz w:val="22"/>
          <w:szCs w:val="22"/>
        </w:rPr>
        <w:t>][1</w:t>
      </w:r>
      <w:r>
        <w:rPr>
          <w:rFonts w:cs="Arial"/>
          <w:sz w:val="22"/>
          <w:szCs w:val="22"/>
        </w:rPr>
        <w:t>8]</w:t>
      </w:r>
    </w:p>
    <w:p w14:paraId="2384B74D" w14:textId="77777777" w:rsidR="000923BB" w:rsidRDefault="000923BB" w:rsidP="000923BB">
      <w:pPr>
        <w:jc w:val="both"/>
        <w:rPr>
          <w:rFonts w:cs="Arial"/>
          <w:sz w:val="22"/>
          <w:szCs w:val="22"/>
        </w:rPr>
      </w:pPr>
    </w:p>
    <w:p w14:paraId="3578D838" w14:textId="77777777" w:rsidR="000923BB" w:rsidRPr="009538C8" w:rsidRDefault="000923BB" w:rsidP="000923BB">
      <w:pPr>
        <w:jc w:val="both"/>
        <w:rPr>
          <w:rFonts w:cs="Arial"/>
          <w:sz w:val="22"/>
          <w:szCs w:val="22"/>
        </w:rPr>
      </w:pPr>
      <w:r>
        <w:rPr>
          <w:rFonts w:cs="Arial"/>
          <w:sz w:val="22"/>
          <w:szCs w:val="22"/>
        </w:rPr>
        <w:t>C</w:t>
      </w:r>
      <w:r w:rsidRPr="009538C8">
        <w:rPr>
          <w:rFonts w:cs="Arial"/>
          <w:sz w:val="22"/>
          <w:szCs w:val="22"/>
        </w:rPr>
        <w:t>riterion</w:t>
      </w:r>
      <w:r>
        <w:rPr>
          <w:rFonts w:cs="Arial"/>
          <w:sz w:val="22"/>
          <w:szCs w:val="22"/>
        </w:rPr>
        <w:t>-</w:t>
      </w:r>
      <w:r w:rsidRPr="009538C8">
        <w:rPr>
          <w:rFonts w:cs="Arial"/>
          <w:sz w:val="22"/>
          <w:szCs w:val="22"/>
        </w:rPr>
        <w:t>based</w:t>
      </w:r>
      <w:r w:rsidRPr="009538C8" w:rsidDel="006C4D8B">
        <w:rPr>
          <w:rFonts w:cs="Arial"/>
          <w:sz w:val="22"/>
          <w:szCs w:val="22"/>
        </w:rPr>
        <w:t xml:space="preserve"> </w:t>
      </w:r>
      <w:r>
        <w:rPr>
          <w:rFonts w:cs="Arial"/>
          <w:sz w:val="22"/>
          <w:szCs w:val="22"/>
        </w:rPr>
        <w:t>(</w:t>
      </w:r>
      <w:r w:rsidRPr="009538C8">
        <w:rPr>
          <w:rFonts w:cs="Arial"/>
          <w:sz w:val="22"/>
          <w:szCs w:val="22"/>
        </w:rPr>
        <w:t xml:space="preserve">explicit) methods of review are an acknowledged alternative method to holistic review and have been widely used in the </w:t>
      </w:r>
      <w:smartTag w:uri="urn:schemas-microsoft-com:office:smarttags" w:element="place">
        <w:smartTag w:uri="urn:schemas-microsoft-com:office:smarttags" w:element="country-region">
          <w:r w:rsidRPr="009538C8">
            <w:rPr>
              <w:rFonts w:cs="Arial"/>
              <w:sz w:val="22"/>
              <w:szCs w:val="22"/>
            </w:rPr>
            <w:t>UK</w:t>
          </w:r>
        </w:smartTag>
      </w:smartTag>
      <w:r w:rsidRPr="009538C8">
        <w:rPr>
          <w:rFonts w:cs="Arial"/>
          <w:sz w:val="22"/>
          <w:szCs w:val="22"/>
        </w:rPr>
        <w:t xml:space="preserve"> and in the </w:t>
      </w:r>
      <w:smartTag w:uri="urn:schemas-microsoft-com:office:smarttags" w:element="place">
        <w:smartTag w:uri="urn:schemas-microsoft-com:office:smarttags" w:element="country-region">
          <w:r w:rsidRPr="009538C8">
            <w:rPr>
              <w:rFonts w:cs="Arial"/>
              <w:sz w:val="22"/>
              <w:szCs w:val="22"/>
            </w:rPr>
            <w:t>USA</w:t>
          </w:r>
        </w:smartTag>
      </w:smartTag>
      <w:r w:rsidRPr="009538C8">
        <w:rPr>
          <w:rFonts w:cs="Arial"/>
          <w:sz w:val="22"/>
          <w:szCs w:val="22"/>
        </w:rPr>
        <w:t>. Standardised methods for developing explicit evidence based review criteria were proposed by an Agency for Health Care Policy and Research working party in 1995[1</w:t>
      </w:r>
      <w:r>
        <w:rPr>
          <w:rFonts w:cs="Arial"/>
          <w:sz w:val="22"/>
          <w:szCs w:val="22"/>
        </w:rPr>
        <w:t>8</w:t>
      </w:r>
      <w:r w:rsidRPr="009538C8">
        <w:rPr>
          <w:rFonts w:cs="Arial"/>
          <w:sz w:val="22"/>
          <w:szCs w:val="22"/>
        </w:rPr>
        <w:t>] and were further developed by Hadorn and colleagues</w:t>
      </w:r>
      <w:r>
        <w:rPr>
          <w:rFonts w:cs="Arial"/>
          <w:sz w:val="22"/>
          <w:szCs w:val="22"/>
        </w:rPr>
        <w:t>.</w:t>
      </w:r>
      <w:r w:rsidRPr="009538C8">
        <w:rPr>
          <w:rFonts w:cs="Arial"/>
          <w:sz w:val="22"/>
          <w:szCs w:val="22"/>
        </w:rPr>
        <w:t>[</w:t>
      </w:r>
      <w:r>
        <w:rPr>
          <w:rFonts w:cs="Arial"/>
          <w:sz w:val="22"/>
          <w:szCs w:val="22"/>
        </w:rPr>
        <w:t>19</w:t>
      </w:r>
      <w:r w:rsidRPr="009538C8">
        <w:rPr>
          <w:rFonts w:cs="Arial"/>
          <w:sz w:val="22"/>
          <w:szCs w:val="22"/>
        </w:rPr>
        <w:t xml:space="preserve">]  Criterion based review allows comparison of care against explicit standards (such as those derived from national clinical guidelines).  It requires the definition of unambiguous questions to construct variables that can be retrieved from the case records and, although only pre-defined questions can be addressed, the variables have good reproducibility.  </w:t>
      </w:r>
    </w:p>
    <w:p w14:paraId="780BAE9D" w14:textId="77777777" w:rsidR="000923BB" w:rsidRDefault="000923BB" w:rsidP="000923BB">
      <w:pPr>
        <w:jc w:val="both"/>
        <w:rPr>
          <w:rFonts w:cs="Arial"/>
          <w:sz w:val="22"/>
          <w:szCs w:val="22"/>
        </w:rPr>
      </w:pPr>
    </w:p>
    <w:p w14:paraId="7336A7CE" w14:textId="77777777" w:rsidR="000923BB" w:rsidRDefault="000923BB" w:rsidP="000923BB">
      <w:pPr>
        <w:jc w:val="both"/>
        <w:rPr>
          <w:rFonts w:cs="Arial"/>
          <w:sz w:val="22"/>
          <w:szCs w:val="22"/>
        </w:rPr>
      </w:pPr>
      <w:r>
        <w:rPr>
          <w:rFonts w:cs="Arial"/>
          <w:sz w:val="22"/>
          <w:szCs w:val="22"/>
        </w:rPr>
        <w:t xml:space="preserve">Derivations of these methods, using locally based standards of care as a template for identifying variations from care standards, were used in a large UK study of general practice during the 1980s.[20]  Subsequently a number of structured methods for developing review criteria for explicit quality review of case notes have been developed in the UK, including methods for developing criteria directly from evidence based clinical guidelines.[21]  These methods all seek to determine the rate of conformance with the criteria within a single patient’s care and are aggregated across a group of patients, recorded as a percentage.  Patient preferences and clinical choices based on the severity and the anticipated outcome of the case are allowed for in estimating conformance and are not considered to be ‘violations’ of a standard of care.  Criteria can thus be developed for any condition where there are externally agreed explicit standards of care. </w:t>
      </w:r>
    </w:p>
    <w:p w14:paraId="12D083E6" w14:textId="77777777" w:rsidR="000923BB" w:rsidRDefault="000923BB" w:rsidP="000923BB">
      <w:pPr>
        <w:jc w:val="both"/>
        <w:rPr>
          <w:rFonts w:cs="Arial"/>
          <w:sz w:val="22"/>
          <w:szCs w:val="22"/>
        </w:rPr>
      </w:pPr>
    </w:p>
    <w:p w14:paraId="6460BDFB" w14:textId="77777777" w:rsidR="000923BB" w:rsidRDefault="000923BB" w:rsidP="000923BB">
      <w:pPr>
        <w:jc w:val="both"/>
        <w:rPr>
          <w:rFonts w:cs="Arial"/>
          <w:sz w:val="22"/>
          <w:szCs w:val="22"/>
        </w:rPr>
      </w:pPr>
      <w:r>
        <w:rPr>
          <w:rFonts w:cs="Arial"/>
          <w:sz w:val="22"/>
          <w:szCs w:val="22"/>
        </w:rPr>
        <w:t xml:space="preserve">This approach is becoming part of </w:t>
      </w:r>
      <w:smartTag w:uri="urn:schemas-microsoft-com:office:smarttags" w:element="country-region">
        <w:smartTag w:uri="urn:schemas-microsoft-com:office:smarttags" w:element="place">
          <w:r>
            <w:rPr>
              <w:rFonts w:cs="Arial"/>
              <w:sz w:val="22"/>
              <w:szCs w:val="22"/>
            </w:rPr>
            <w:t>UK</w:t>
          </w:r>
        </w:smartTag>
      </w:smartTag>
      <w:r>
        <w:rPr>
          <w:rFonts w:cs="Arial"/>
          <w:sz w:val="22"/>
          <w:szCs w:val="22"/>
        </w:rPr>
        <w:t xml:space="preserve"> health policy. Clinical practice guidelines now being published by the National Institute for Health and Clinical Excellence are now being accompanied by evidence based review criteria to support review of clinical quality (see, for example, criteria published with the NICE guideline on the management of Chronic Heart Failure[22]).  </w:t>
      </w:r>
    </w:p>
    <w:p w14:paraId="6E65458F" w14:textId="77777777" w:rsidR="000923BB" w:rsidRDefault="000923BB" w:rsidP="000923BB">
      <w:pPr>
        <w:jc w:val="both"/>
        <w:rPr>
          <w:rFonts w:cs="Arial"/>
          <w:sz w:val="22"/>
          <w:szCs w:val="22"/>
        </w:rPr>
      </w:pPr>
    </w:p>
    <w:p w14:paraId="3E2A770F" w14:textId="77777777" w:rsidR="000923BB" w:rsidRDefault="000923BB" w:rsidP="000923BB">
      <w:pPr>
        <w:pStyle w:val="BodyText"/>
        <w:jc w:val="both"/>
        <w:rPr>
          <w:rFonts w:cs="Arial"/>
          <w:sz w:val="22"/>
          <w:szCs w:val="22"/>
        </w:rPr>
      </w:pPr>
      <w:r>
        <w:rPr>
          <w:rFonts w:cs="Arial"/>
          <w:sz w:val="22"/>
          <w:szCs w:val="22"/>
        </w:rPr>
        <w:t xml:space="preserve">Clinical audit in UK hospitals has adopted these objective, criterion based, approaches,[23][24][25] using explicit standards which are not profession dependent and have shown, for example, substantial variations in organisation and clinical care between hospitals.[23]  </w:t>
      </w:r>
    </w:p>
    <w:p w14:paraId="7E265AE1" w14:textId="77777777" w:rsidR="000923BB" w:rsidRDefault="000923BB" w:rsidP="000923BB">
      <w:pPr>
        <w:pStyle w:val="BodyText"/>
        <w:jc w:val="both"/>
        <w:rPr>
          <w:rFonts w:cs="Arial"/>
          <w:sz w:val="22"/>
          <w:szCs w:val="22"/>
        </w:rPr>
      </w:pPr>
    </w:p>
    <w:p w14:paraId="2079612D" w14:textId="77777777" w:rsidR="000923BB" w:rsidRDefault="000923BB" w:rsidP="000923BB">
      <w:pPr>
        <w:pStyle w:val="BodyText"/>
        <w:jc w:val="both"/>
        <w:rPr>
          <w:rFonts w:cs="Arial"/>
          <w:sz w:val="22"/>
          <w:szCs w:val="22"/>
        </w:rPr>
      </w:pPr>
      <w:r>
        <w:rPr>
          <w:rFonts w:cs="Arial"/>
          <w:sz w:val="22"/>
          <w:szCs w:val="22"/>
        </w:rPr>
        <w:t xml:space="preserve">Nevertheless, criterion based review has been criticised as an insensitive method  that may not identify unexpected factors that might influence outcomes of care[26][27], so that implicit review may have still retain some advantages.  In some North American studies mixed methods have been adopted,[6][9] where nurses used criterion based review to identify a sub-set of problematic cases for subsequent holistic review by doctors, although this two stage approach carries a risk of hindsight bias such that those cases identified as problematic by nurses might be reviewed more harshly by the physicians.[14][17]  Rubenstein and colleagues[28] proposed a structured form of implicit review in which a series of clear questions were asked of the reviewers, as distinct from seeking specific data items as in explicit review, and Pearson et al[29] used this method to review the quality of nursing care.  </w:t>
      </w:r>
    </w:p>
    <w:p w14:paraId="6B91C380" w14:textId="77777777" w:rsidR="000923BB" w:rsidRDefault="000923BB" w:rsidP="000923BB">
      <w:pPr>
        <w:pStyle w:val="BodyText"/>
        <w:jc w:val="both"/>
        <w:rPr>
          <w:rFonts w:cs="Arial"/>
          <w:sz w:val="22"/>
          <w:szCs w:val="22"/>
        </w:rPr>
      </w:pPr>
    </w:p>
    <w:p w14:paraId="520602A1" w14:textId="77777777" w:rsidR="000923BB" w:rsidRDefault="000923BB" w:rsidP="000923BB">
      <w:pPr>
        <w:jc w:val="both"/>
        <w:rPr>
          <w:rFonts w:cs="Arial"/>
          <w:sz w:val="22"/>
          <w:szCs w:val="22"/>
        </w:rPr>
      </w:pPr>
      <w:r>
        <w:rPr>
          <w:rFonts w:cs="Arial"/>
          <w:sz w:val="22"/>
          <w:szCs w:val="22"/>
        </w:rPr>
        <w:t xml:space="preserve">Thus the decision on methods is not necessarily settled by the adoption of the criterion based approach which may fail to identify the nuances of health care variation.  Mohammed et al [27] reviewed the quality of care of 50 stroke patients from each of four hospitals reported as having the ‘best’ mortality outcomes for stroke in the West Midlands area of the UK and four reported as having the ‘worst’ mortality outcomes.  After adjusting for case-mix using W-scores the researchers identified a </w:t>
      </w:r>
      <w:r>
        <w:rPr>
          <w:rFonts w:cs="Arial"/>
          <w:sz w:val="22"/>
          <w:szCs w:val="22"/>
        </w:rPr>
        <w:lastRenderedPageBreak/>
        <w:t>number of issues that affected outcome.  Some influences were predictable, such as the organisation of care.  Some were unexpected, such as the influence on outcomes of ‘do not resuscitate’ orders.  The authors suggested that these unexpected influences would only have been identified by expert reviewing using holistic methods.</w:t>
      </w:r>
    </w:p>
    <w:p w14:paraId="4B9FC184" w14:textId="77777777" w:rsidR="000923BB" w:rsidRDefault="000923BB" w:rsidP="000923BB">
      <w:pPr>
        <w:pStyle w:val="BodyText"/>
        <w:jc w:val="both"/>
        <w:rPr>
          <w:rFonts w:cs="Arial"/>
          <w:sz w:val="22"/>
          <w:szCs w:val="22"/>
        </w:rPr>
      </w:pPr>
    </w:p>
    <w:p w14:paraId="4ACFB56D" w14:textId="77777777" w:rsidR="000923BB" w:rsidRDefault="000923BB" w:rsidP="000923BB">
      <w:pPr>
        <w:pStyle w:val="BodyText"/>
        <w:jc w:val="both"/>
      </w:pPr>
      <w:r>
        <w:rPr>
          <w:rFonts w:cs="Arial"/>
          <w:sz w:val="22"/>
          <w:szCs w:val="22"/>
        </w:rPr>
        <w:t>Decisions on which of the two review methods to use, and under which circumstances, are also clouded by the results from studies that have used mixed methods.  Thus Weingart and colleagues[6] have suggested that nurses and doctors may use different types of information on which to make judgements of care quality (and thus may come to different judgements about an individual case).</w:t>
      </w:r>
      <w:r>
        <w:t xml:space="preserve"> </w:t>
      </w:r>
      <w:r w:rsidRPr="007A5EF4">
        <w:rPr>
          <w:rFonts w:cs="Arial"/>
          <w:sz w:val="22"/>
          <w:szCs w:val="22"/>
        </w:rPr>
        <w:t>On the other hand</w:t>
      </w:r>
      <w:r>
        <w:rPr>
          <w:rFonts w:cs="Arial"/>
          <w:sz w:val="22"/>
          <w:szCs w:val="22"/>
        </w:rPr>
        <w:t xml:space="preserve">, </w:t>
      </w:r>
      <w:r w:rsidRPr="007A5EF4">
        <w:rPr>
          <w:rFonts w:cs="Arial"/>
          <w:sz w:val="22"/>
          <w:szCs w:val="22"/>
        </w:rPr>
        <w:t>Keeler</w:t>
      </w:r>
      <w:r>
        <w:rPr>
          <w:rFonts w:cs="Arial"/>
          <w:sz w:val="22"/>
          <w:szCs w:val="22"/>
        </w:rPr>
        <w:t xml:space="preserve"> et al[30] used explicit and implicit methods and sickness (risk) adjusted outcomes to review quality in different types of hospitals. They reported similar quality of care ratings for the specific hospitals when using the two methods. Any differences in quality were thought to be the result of differences in the characteristics of the hospitals rather than the result of using different methods of record review.</w:t>
      </w:r>
    </w:p>
    <w:p w14:paraId="1D6FF396" w14:textId="77777777" w:rsidR="000923BB" w:rsidRDefault="000923BB" w:rsidP="000923BB">
      <w:pPr>
        <w:jc w:val="both"/>
        <w:rPr>
          <w:rFonts w:cs="Arial"/>
          <w:sz w:val="22"/>
          <w:szCs w:val="22"/>
        </w:rPr>
      </w:pPr>
    </w:p>
    <w:p w14:paraId="6AE084ED" w14:textId="77777777" w:rsidR="000923BB" w:rsidRPr="00817E33" w:rsidRDefault="000923BB" w:rsidP="000923BB">
      <w:pPr>
        <w:jc w:val="both"/>
        <w:rPr>
          <w:rFonts w:cs="Arial"/>
          <w:sz w:val="22"/>
          <w:szCs w:val="22"/>
        </w:rPr>
      </w:pPr>
      <w:r>
        <w:rPr>
          <w:rFonts w:cs="Arial"/>
          <w:sz w:val="22"/>
          <w:szCs w:val="22"/>
        </w:rPr>
        <w:t xml:space="preserve">Overall, then, there is real lack of clarity about choice of method for case note review – which method, in whose hands and for what purpose.  Building on the international evidence, this study was designed to explore these issues further. </w:t>
      </w:r>
    </w:p>
    <w:p w14:paraId="42586438" w14:textId="77777777" w:rsidR="000923BB" w:rsidRDefault="000923BB" w:rsidP="000923BB">
      <w:pPr>
        <w:jc w:val="both"/>
        <w:rPr>
          <w:rFonts w:cs="Arial"/>
          <w:sz w:val="22"/>
          <w:szCs w:val="22"/>
        </w:rPr>
      </w:pPr>
    </w:p>
    <w:p w14:paraId="54099661" w14:textId="77777777" w:rsidR="000923BB" w:rsidRPr="002857A3" w:rsidRDefault="000923BB" w:rsidP="000923BB">
      <w:pPr>
        <w:jc w:val="both"/>
        <w:rPr>
          <w:rFonts w:cs="Arial"/>
          <w:b/>
          <w:bCs/>
          <w:sz w:val="22"/>
          <w:szCs w:val="22"/>
        </w:rPr>
      </w:pPr>
      <w:r w:rsidRPr="002857A3">
        <w:rPr>
          <w:rFonts w:cs="Arial"/>
          <w:b/>
          <w:bCs/>
          <w:sz w:val="22"/>
          <w:szCs w:val="22"/>
        </w:rPr>
        <w:t>Study aim and research questions</w:t>
      </w:r>
    </w:p>
    <w:p w14:paraId="0EDADF82" w14:textId="77777777" w:rsidR="000923BB" w:rsidRDefault="000923BB" w:rsidP="000923BB">
      <w:pPr>
        <w:jc w:val="both"/>
        <w:rPr>
          <w:rFonts w:cs="Arial"/>
          <w:sz w:val="22"/>
          <w:szCs w:val="22"/>
        </w:rPr>
      </w:pPr>
    </w:p>
    <w:p w14:paraId="7DBD30A6" w14:textId="77777777" w:rsidR="000923BB" w:rsidRDefault="000923BB" w:rsidP="000923BB">
      <w:pPr>
        <w:jc w:val="both"/>
        <w:rPr>
          <w:rFonts w:cs="Arial"/>
          <w:sz w:val="22"/>
          <w:szCs w:val="22"/>
        </w:rPr>
      </w:pPr>
      <w:r>
        <w:rPr>
          <w:rFonts w:cs="Arial"/>
          <w:sz w:val="22"/>
          <w:szCs w:val="22"/>
        </w:rPr>
        <w:t xml:space="preserve">The first study aim agreed with the research commissioners was:- </w:t>
      </w:r>
    </w:p>
    <w:p w14:paraId="5E0059DF" w14:textId="77777777" w:rsidR="000923BB" w:rsidRDefault="000923BB" w:rsidP="000923BB">
      <w:pPr>
        <w:jc w:val="both"/>
        <w:rPr>
          <w:rFonts w:cs="Arial"/>
          <w:sz w:val="22"/>
          <w:szCs w:val="22"/>
        </w:rPr>
      </w:pPr>
      <w:r>
        <w:rPr>
          <w:rFonts w:cs="Arial"/>
          <w:sz w:val="22"/>
          <w:szCs w:val="22"/>
        </w:rPr>
        <w:t>To compare the validity and reliability of two methods of case note review of quality and safety of care.</w:t>
      </w:r>
    </w:p>
    <w:p w14:paraId="4E84ACBB" w14:textId="77777777" w:rsidR="000923BB" w:rsidRDefault="000923BB" w:rsidP="000923BB">
      <w:pPr>
        <w:jc w:val="both"/>
        <w:rPr>
          <w:rFonts w:cs="Arial"/>
          <w:sz w:val="22"/>
          <w:szCs w:val="22"/>
        </w:rPr>
      </w:pPr>
    </w:p>
    <w:p w14:paraId="52E37147" w14:textId="77777777" w:rsidR="000923BB" w:rsidRDefault="000923BB" w:rsidP="000923BB">
      <w:pPr>
        <w:jc w:val="both"/>
        <w:rPr>
          <w:rFonts w:cs="Arial"/>
          <w:sz w:val="22"/>
          <w:szCs w:val="22"/>
        </w:rPr>
      </w:pPr>
      <w:r>
        <w:rPr>
          <w:rFonts w:cs="Arial"/>
          <w:sz w:val="22"/>
          <w:szCs w:val="22"/>
        </w:rPr>
        <w:t>Research questions were:</w:t>
      </w:r>
    </w:p>
    <w:p w14:paraId="7A7D877B" w14:textId="77777777" w:rsidR="000923BB" w:rsidRDefault="000923BB" w:rsidP="000923BB">
      <w:pPr>
        <w:jc w:val="both"/>
        <w:rPr>
          <w:rFonts w:cs="Arial"/>
          <w:sz w:val="22"/>
          <w:szCs w:val="22"/>
        </w:rPr>
      </w:pPr>
    </w:p>
    <w:p w14:paraId="3CC37FF5" w14:textId="77777777" w:rsidR="000923BB" w:rsidRDefault="000923BB" w:rsidP="008A6C6D">
      <w:pPr>
        <w:numPr>
          <w:ilvl w:val="0"/>
          <w:numId w:val="9"/>
        </w:numPr>
        <w:spacing w:after="0" w:line="240" w:lineRule="auto"/>
        <w:jc w:val="both"/>
        <w:rPr>
          <w:rFonts w:cs="Arial"/>
          <w:sz w:val="22"/>
          <w:szCs w:val="22"/>
        </w:rPr>
      </w:pPr>
      <w:r>
        <w:rPr>
          <w:rFonts w:cs="Arial"/>
          <w:sz w:val="22"/>
          <w:szCs w:val="22"/>
        </w:rPr>
        <w:t>Do holistic (implicit) and criterion based (explicit) methods of case note review identify the same variations in quality within the same record?</w:t>
      </w:r>
    </w:p>
    <w:p w14:paraId="3310A0AA" w14:textId="77777777" w:rsidR="000923BB" w:rsidRDefault="000923BB" w:rsidP="000923BB">
      <w:pPr>
        <w:jc w:val="both"/>
        <w:rPr>
          <w:rFonts w:cs="Arial"/>
          <w:sz w:val="22"/>
          <w:szCs w:val="22"/>
        </w:rPr>
      </w:pPr>
    </w:p>
    <w:p w14:paraId="1FF05840" w14:textId="77777777" w:rsidR="000923BB" w:rsidRDefault="000923BB" w:rsidP="008A6C6D">
      <w:pPr>
        <w:numPr>
          <w:ilvl w:val="0"/>
          <w:numId w:val="9"/>
        </w:numPr>
        <w:spacing w:after="0" w:line="240" w:lineRule="auto"/>
        <w:jc w:val="both"/>
        <w:rPr>
          <w:rFonts w:cs="Arial"/>
          <w:sz w:val="22"/>
          <w:szCs w:val="22"/>
        </w:rPr>
      </w:pPr>
      <w:r>
        <w:rPr>
          <w:rFonts w:cs="Arial"/>
          <w:sz w:val="22"/>
          <w:szCs w:val="22"/>
        </w:rPr>
        <w:t>Do holistic (implicit) and criterion based (explicit) methods of case note review identify the same variations in quality across groups of records for the same clinical condition?</w:t>
      </w:r>
    </w:p>
    <w:p w14:paraId="62765575" w14:textId="77777777" w:rsidR="000923BB" w:rsidRDefault="000923BB" w:rsidP="000923BB">
      <w:pPr>
        <w:jc w:val="both"/>
        <w:rPr>
          <w:rFonts w:cs="Arial"/>
          <w:sz w:val="22"/>
          <w:szCs w:val="22"/>
        </w:rPr>
      </w:pPr>
    </w:p>
    <w:p w14:paraId="70B94AE8" w14:textId="77777777" w:rsidR="000923BB" w:rsidRDefault="000923BB" w:rsidP="008A6C6D">
      <w:pPr>
        <w:numPr>
          <w:ilvl w:val="0"/>
          <w:numId w:val="9"/>
        </w:numPr>
        <w:spacing w:after="0" w:line="240" w:lineRule="auto"/>
        <w:jc w:val="both"/>
        <w:rPr>
          <w:rFonts w:cs="Arial"/>
          <w:sz w:val="22"/>
          <w:szCs w:val="22"/>
        </w:rPr>
      </w:pPr>
      <w:r>
        <w:rPr>
          <w:rFonts w:cs="Arial"/>
          <w:sz w:val="22"/>
          <w:szCs w:val="22"/>
        </w:rPr>
        <w:t>To what extent do holistic and criterion based methods of case note review provide similar results when used by reviewers from similar professional groups?</w:t>
      </w:r>
    </w:p>
    <w:p w14:paraId="0F7BAB95" w14:textId="77777777" w:rsidR="000923BB" w:rsidRDefault="000923BB" w:rsidP="000923BB">
      <w:pPr>
        <w:jc w:val="both"/>
        <w:rPr>
          <w:rFonts w:cs="Arial"/>
          <w:sz w:val="22"/>
          <w:szCs w:val="22"/>
        </w:rPr>
      </w:pPr>
    </w:p>
    <w:p w14:paraId="16722C01" w14:textId="77777777" w:rsidR="000923BB" w:rsidRDefault="000923BB" w:rsidP="008A6C6D">
      <w:pPr>
        <w:numPr>
          <w:ilvl w:val="0"/>
          <w:numId w:val="9"/>
        </w:numPr>
        <w:spacing w:after="0" w:line="240" w:lineRule="auto"/>
        <w:jc w:val="both"/>
        <w:rPr>
          <w:rFonts w:cs="Arial"/>
          <w:sz w:val="22"/>
          <w:szCs w:val="22"/>
        </w:rPr>
      </w:pPr>
      <w:r>
        <w:rPr>
          <w:rFonts w:cs="Arial"/>
          <w:sz w:val="22"/>
          <w:szCs w:val="22"/>
        </w:rPr>
        <w:lastRenderedPageBreak/>
        <w:t>To what extent do holistic and criterion based methods of case note review provide similar results when used by reviewers from different professional groups?</w:t>
      </w:r>
    </w:p>
    <w:p w14:paraId="350ED0AC" w14:textId="77777777" w:rsidR="000923BB" w:rsidRDefault="000923BB" w:rsidP="000923BB">
      <w:pPr>
        <w:jc w:val="both"/>
        <w:rPr>
          <w:rFonts w:cs="Arial"/>
          <w:sz w:val="22"/>
          <w:szCs w:val="22"/>
        </w:rPr>
      </w:pPr>
    </w:p>
    <w:p w14:paraId="146813B4" w14:textId="77777777" w:rsidR="000923BB" w:rsidRDefault="000923BB" w:rsidP="008A6C6D">
      <w:pPr>
        <w:numPr>
          <w:ilvl w:val="0"/>
          <w:numId w:val="9"/>
        </w:numPr>
        <w:spacing w:after="0" w:line="240" w:lineRule="auto"/>
        <w:jc w:val="both"/>
        <w:rPr>
          <w:rFonts w:cs="Arial"/>
          <w:sz w:val="22"/>
          <w:szCs w:val="22"/>
        </w:rPr>
      </w:pPr>
      <w:r>
        <w:rPr>
          <w:rFonts w:cs="Arial"/>
          <w:sz w:val="22"/>
          <w:szCs w:val="22"/>
        </w:rPr>
        <w:t>Which method of case note review and which staff type would be most appropriate for phase two of the study (on the relationship between recorded process of care and outcomes of care)?</w:t>
      </w:r>
    </w:p>
    <w:p w14:paraId="77C8A339" w14:textId="77777777" w:rsidR="000923BB" w:rsidRDefault="000923BB" w:rsidP="000923BB">
      <w:pPr>
        <w:jc w:val="both"/>
        <w:rPr>
          <w:rFonts w:cs="Arial"/>
          <w:sz w:val="22"/>
          <w:szCs w:val="22"/>
        </w:rPr>
      </w:pPr>
      <w:r>
        <w:rPr>
          <w:rFonts w:cs="Arial"/>
          <w:sz w:val="22"/>
          <w:szCs w:val="22"/>
        </w:rPr>
        <w:br w:type="page"/>
      </w:r>
      <w:r>
        <w:rPr>
          <w:rFonts w:cs="Arial"/>
          <w:b/>
          <w:bCs/>
        </w:rPr>
        <w:lastRenderedPageBreak/>
        <w:t>Methods</w:t>
      </w:r>
    </w:p>
    <w:p w14:paraId="672AC2CE" w14:textId="77777777" w:rsidR="000923BB" w:rsidRDefault="000923BB" w:rsidP="000923BB">
      <w:pPr>
        <w:tabs>
          <w:tab w:val="left" w:pos="3828"/>
        </w:tabs>
        <w:jc w:val="both"/>
        <w:rPr>
          <w:rFonts w:cs="Arial"/>
          <w:sz w:val="22"/>
          <w:szCs w:val="22"/>
        </w:rPr>
      </w:pPr>
    </w:p>
    <w:p w14:paraId="6E8057D6" w14:textId="77777777" w:rsidR="000923BB" w:rsidRDefault="000923BB" w:rsidP="000923BB">
      <w:pPr>
        <w:tabs>
          <w:tab w:val="left" w:pos="3828"/>
        </w:tabs>
        <w:jc w:val="both"/>
        <w:rPr>
          <w:rFonts w:cs="Arial"/>
          <w:b/>
          <w:sz w:val="22"/>
          <w:szCs w:val="22"/>
        </w:rPr>
      </w:pPr>
      <w:r>
        <w:rPr>
          <w:rFonts w:cs="Arial"/>
          <w:b/>
          <w:sz w:val="22"/>
          <w:szCs w:val="22"/>
        </w:rPr>
        <w:t>Choice of conditions, review methods, settings and staff</w:t>
      </w:r>
    </w:p>
    <w:p w14:paraId="4CB6A860" w14:textId="77777777" w:rsidR="000F7050" w:rsidRDefault="000F7050" w:rsidP="000923BB">
      <w:pPr>
        <w:tabs>
          <w:tab w:val="left" w:pos="3828"/>
        </w:tabs>
        <w:jc w:val="both"/>
        <w:rPr>
          <w:rFonts w:cs="Arial"/>
          <w:sz w:val="22"/>
          <w:szCs w:val="22"/>
        </w:rPr>
      </w:pPr>
    </w:p>
    <w:p w14:paraId="166639A1" w14:textId="77777777" w:rsidR="000923BB" w:rsidRDefault="000923BB" w:rsidP="000923BB">
      <w:pPr>
        <w:tabs>
          <w:tab w:val="left" w:pos="3828"/>
        </w:tabs>
        <w:jc w:val="both"/>
        <w:rPr>
          <w:rFonts w:cs="Arial"/>
          <w:sz w:val="22"/>
          <w:szCs w:val="22"/>
        </w:rPr>
      </w:pPr>
      <w:r>
        <w:rPr>
          <w:rFonts w:cs="Arial"/>
          <w:sz w:val="22"/>
          <w:szCs w:val="22"/>
        </w:rPr>
        <w:t>The overall research approach was to investigate holistic and criterion based case note review methods across hospitals, with a range of risk adjusted levels of 28 day mortality, using two chronic illnesses as tracer conditions. Quality of care was assessed using each of the two review methods by reviewers from three professional groups.  Each case note was reviewed using both methods and by between one and four reviewers.</w:t>
      </w:r>
    </w:p>
    <w:p w14:paraId="6ABD854A" w14:textId="77777777" w:rsidR="000923BB" w:rsidRDefault="000923BB" w:rsidP="000923BB">
      <w:pPr>
        <w:tabs>
          <w:tab w:val="left" w:pos="3828"/>
        </w:tabs>
        <w:jc w:val="both"/>
        <w:rPr>
          <w:rFonts w:cs="Arial"/>
          <w:sz w:val="22"/>
          <w:szCs w:val="22"/>
        </w:rPr>
      </w:pPr>
    </w:p>
    <w:p w14:paraId="03AF63BE" w14:textId="77777777" w:rsidR="000923BB" w:rsidRDefault="000923BB" w:rsidP="000923BB">
      <w:pPr>
        <w:tabs>
          <w:tab w:val="left" w:pos="3828"/>
        </w:tabs>
        <w:jc w:val="both"/>
        <w:rPr>
          <w:rFonts w:cs="Arial"/>
          <w:b/>
          <w:bCs/>
          <w:i/>
          <w:iCs/>
          <w:sz w:val="22"/>
          <w:szCs w:val="22"/>
        </w:rPr>
      </w:pPr>
      <w:r>
        <w:rPr>
          <w:rFonts w:cs="Arial"/>
          <w:b/>
          <w:bCs/>
          <w:i/>
          <w:iCs/>
          <w:sz w:val="22"/>
          <w:szCs w:val="22"/>
        </w:rPr>
        <w:t>Choice of clinical condition for review</w:t>
      </w:r>
    </w:p>
    <w:p w14:paraId="7A922D29" w14:textId="77777777" w:rsidR="000923BB" w:rsidRDefault="000923BB" w:rsidP="000923BB">
      <w:pPr>
        <w:tabs>
          <w:tab w:val="left" w:pos="3828"/>
        </w:tabs>
        <w:jc w:val="both"/>
        <w:rPr>
          <w:rFonts w:cs="Arial"/>
          <w:sz w:val="22"/>
          <w:szCs w:val="22"/>
        </w:rPr>
      </w:pPr>
    </w:p>
    <w:p w14:paraId="54DB867D" w14:textId="77777777" w:rsidR="000923BB" w:rsidRDefault="000923BB" w:rsidP="000923BB">
      <w:pPr>
        <w:tabs>
          <w:tab w:val="left" w:pos="3828"/>
        </w:tabs>
        <w:jc w:val="both"/>
      </w:pPr>
      <w:r>
        <w:rPr>
          <w:rFonts w:cs="Arial"/>
          <w:sz w:val="22"/>
          <w:szCs w:val="22"/>
        </w:rPr>
        <w:t>The initial research brief for this study encouraged research teams to consider using a limited range of tracer conditions, mainly concerned with the care for people with chronic conditions. Three conditions were initially proposed for the study – care for people with Chronic Obstructive Pulmonary Disease (COPD), Heart Failure and Stroke.  Following discussions with the research commissioners, COPD and</w:t>
      </w:r>
      <w:r w:rsidRPr="00A939C5">
        <w:rPr>
          <w:rFonts w:cs="Arial"/>
          <w:sz w:val="22"/>
          <w:szCs w:val="22"/>
        </w:rPr>
        <w:t xml:space="preserve"> </w:t>
      </w:r>
      <w:r>
        <w:rPr>
          <w:rFonts w:cs="Arial"/>
          <w:sz w:val="22"/>
          <w:szCs w:val="22"/>
        </w:rPr>
        <w:t>Heart Failure were the two conditions chosen for the study.</w:t>
      </w:r>
    </w:p>
    <w:p w14:paraId="04C34859" w14:textId="77777777" w:rsidR="000923BB" w:rsidRDefault="000923BB" w:rsidP="000923BB">
      <w:pPr>
        <w:jc w:val="both"/>
        <w:rPr>
          <w:rFonts w:cs="Arial"/>
          <w:sz w:val="22"/>
          <w:szCs w:val="22"/>
        </w:rPr>
      </w:pPr>
    </w:p>
    <w:p w14:paraId="52BB3720" w14:textId="77777777" w:rsidR="000923BB" w:rsidRPr="000F7050" w:rsidRDefault="000923BB" w:rsidP="000F7050">
      <w:pPr>
        <w:pStyle w:val="BodyTextIndent"/>
        <w:spacing w:line="240" w:lineRule="auto"/>
        <w:ind w:left="0"/>
        <w:rPr>
          <w:i/>
          <w:sz w:val="22"/>
          <w:szCs w:val="22"/>
        </w:rPr>
      </w:pPr>
      <w:r w:rsidRPr="000F7050">
        <w:rPr>
          <w:i/>
          <w:sz w:val="22"/>
          <w:szCs w:val="22"/>
        </w:rPr>
        <w:t>Chronic Obstructive Airways Disease (COPD)</w:t>
      </w:r>
    </w:p>
    <w:p w14:paraId="733EBAB0" w14:textId="77777777" w:rsidR="000923BB" w:rsidRDefault="000923BB" w:rsidP="000923BB">
      <w:pPr>
        <w:jc w:val="both"/>
        <w:rPr>
          <w:rFonts w:cs="Arial"/>
          <w:sz w:val="22"/>
          <w:szCs w:val="22"/>
        </w:rPr>
      </w:pPr>
      <w:r>
        <w:rPr>
          <w:rFonts w:cs="Arial"/>
          <w:sz w:val="22"/>
          <w:szCs w:val="22"/>
        </w:rPr>
        <w:t>About 10% of admissions through hospital UK Emergency Medicine Departments are for people with COPD, which has a high mortality rate 3 months after index admission.  A NICE guideline with review criteria was produced at the commencement of the study.[31]  An extensive set of review criteria were available from the national Royal College of Physicians (RCP) COPD audit, including a limited number that were considered predictive of survival.</w:t>
      </w:r>
    </w:p>
    <w:p w14:paraId="488CD9A3" w14:textId="77777777" w:rsidR="000923BB" w:rsidRDefault="000923BB" w:rsidP="000923BB">
      <w:pPr>
        <w:jc w:val="both"/>
        <w:rPr>
          <w:rFonts w:cs="Arial"/>
          <w:sz w:val="22"/>
          <w:szCs w:val="22"/>
        </w:rPr>
      </w:pPr>
    </w:p>
    <w:p w14:paraId="5E862B0A" w14:textId="77777777" w:rsidR="000923BB" w:rsidRPr="000F7050" w:rsidRDefault="000923BB" w:rsidP="000F7050">
      <w:pPr>
        <w:pStyle w:val="BodyText"/>
        <w:rPr>
          <w:i/>
        </w:rPr>
      </w:pPr>
      <w:r w:rsidRPr="000F7050">
        <w:rPr>
          <w:i/>
        </w:rPr>
        <w:t>Chronic Heart Failure</w:t>
      </w:r>
    </w:p>
    <w:p w14:paraId="5C2DFCE4" w14:textId="77777777" w:rsidR="000923BB" w:rsidRDefault="000923BB" w:rsidP="000923BB">
      <w:pPr>
        <w:jc w:val="both"/>
        <w:rPr>
          <w:rFonts w:cs="Arial"/>
          <w:sz w:val="22"/>
          <w:szCs w:val="22"/>
        </w:rPr>
      </w:pPr>
      <w:r>
        <w:rPr>
          <w:rFonts w:cs="Arial"/>
          <w:sz w:val="22"/>
          <w:szCs w:val="22"/>
        </w:rPr>
        <w:t>People with heart failure often have repeated episodes of hospital re-admission.  To support our choice of heart failure as one of the two study conditions, we took into account the availability of an evidence based guideline,[23], together with a limited set of audit review criteria, that had recently become available from the National Institute of Clinical Excellence (NICE) and was produced by the Royal College of Physicians Clinical Effectiveness and Evaluation Unit.  The guideline and review criteria also provided a basis for developing, within the study, an externally referenced set of review criteria for safety and quality assessment for heart failure management.  There were no national audit data available.</w:t>
      </w:r>
    </w:p>
    <w:p w14:paraId="6B4BA3FF" w14:textId="77777777" w:rsidR="000923BB" w:rsidRDefault="000923BB" w:rsidP="000923BB">
      <w:pPr>
        <w:jc w:val="both"/>
        <w:rPr>
          <w:rFonts w:cs="Arial"/>
          <w:sz w:val="22"/>
          <w:szCs w:val="22"/>
        </w:rPr>
      </w:pPr>
    </w:p>
    <w:p w14:paraId="4FDF606D" w14:textId="77777777" w:rsidR="000F7050" w:rsidRDefault="000F7050" w:rsidP="000923BB">
      <w:pPr>
        <w:jc w:val="both"/>
        <w:rPr>
          <w:rFonts w:cs="Arial"/>
          <w:i/>
          <w:sz w:val="22"/>
          <w:szCs w:val="22"/>
        </w:rPr>
      </w:pPr>
    </w:p>
    <w:p w14:paraId="478319ED" w14:textId="77777777" w:rsidR="000923BB" w:rsidRPr="000F7050" w:rsidRDefault="000923BB" w:rsidP="000923BB">
      <w:pPr>
        <w:jc w:val="both"/>
        <w:rPr>
          <w:rFonts w:cs="Arial"/>
          <w:b/>
          <w:i/>
          <w:sz w:val="22"/>
          <w:szCs w:val="22"/>
        </w:rPr>
      </w:pPr>
      <w:r w:rsidRPr="000F7050">
        <w:rPr>
          <w:rFonts w:cs="Arial"/>
          <w:b/>
          <w:i/>
          <w:sz w:val="22"/>
          <w:szCs w:val="22"/>
        </w:rPr>
        <w:t>Cases for review</w:t>
      </w:r>
    </w:p>
    <w:p w14:paraId="0B867B42" w14:textId="77777777" w:rsidR="000923BB" w:rsidRDefault="000923BB" w:rsidP="000923BB">
      <w:pPr>
        <w:jc w:val="both"/>
        <w:rPr>
          <w:rFonts w:cs="Arial"/>
          <w:sz w:val="22"/>
          <w:szCs w:val="22"/>
        </w:rPr>
      </w:pPr>
    </w:p>
    <w:p w14:paraId="41334481" w14:textId="77777777" w:rsidR="000923BB" w:rsidRDefault="000923BB" w:rsidP="000923BB">
      <w:pPr>
        <w:jc w:val="both"/>
        <w:rPr>
          <w:rFonts w:cs="Arial"/>
          <w:sz w:val="22"/>
          <w:szCs w:val="22"/>
        </w:rPr>
      </w:pPr>
      <w:r>
        <w:rPr>
          <w:rFonts w:cs="Arial"/>
          <w:sz w:val="22"/>
          <w:szCs w:val="22"/>
        </w:rPr>
        <w:t xml:space="preserve">There are relatively few admissions per hospital per year of new cases of heart failure or COPD and much of the diagnostic work-up is undertaken in the primary care or outpatient setting.  We therefore chose to study cases of admission for an exacerbation of either of these two tracer conditions and excluded admissions for diagnostic workup.  </w:t>
      </w:r>
    </w:p>
    <w:p w14:paraId="66D7E52C" w14:textId="77777777" w:rsidR="000923BB" w:rsidRDefault="000923BB" w:rsidP="000923BB">
      <w:pPr>
        <w:jc w:val="both"/>
        <w:rPr>
          <w:rFonts w:cs="Arial"/>
          <w:sz w:val="22"/>
          <w:szCs w:val="22"/>
        </w:rPr>
      </w:pPr>
    </w:p>
    <w:p w14:paraId="037FC0CC" w14:textId="77777777" w:rsidR="000923BB" w:rsidRDefault="000923BB" w:rsidP="000923BB">
      <w:pPr>
        <w:jc w:val="both"/>
        <w:rPr>
          <w:rFonts w:cs="Arial"/>
          <w:sz w:val="22"/>
          <w:szCs w:val="22"/>
        </w:rPr>
      </w:pPr>
      <w:r>
        <w:rPr>
          <w:rFonts w:cs="Arial"/>
          <w:sz w:val="22"/>
          <w:szCs w:val="22"/>
        </w:rPr>
        <w:t>These working definitions for data collection were:</w:t>
      </w:r>
    </w:p>
    <w:p w14:paraId="57141698" w14:textId="77777777" w:rsidR="000923BB" w:rsidRDefault="000923BB" w:rsidP="000923BB">
      <w:pPr>
        <w:jc w:val="both"/>
        <w:rPr>
          <w:rFonts w:cs="Arial"/>
          <w:sz w:val="22"/>
          <w:szCs w:val="22"/>
        </w:rPr>
      </w:pPr>
    </w:p>
    <w:p w14:paraId="38B39FCF" w14:textId="77777777" w:rsidR="000923BB" w:rsidRPr="00C433AD" w:rsidRDefault="000923BB" w:rsidP="000923BB">
      <w:pPr>
        <w:autoSpaceDE w:val="0"/>
        <w:autoSpaceDN w:val="0"/>
        <w:adjustRightInd w:val="0"/>
        <w:jc w:val="both"/>
        <w:rPr>
          <w:rFonts w:cs="Arial"/>
          <w:i/>
          <w:color w:val="000000"/>
          <w:sz w:val="22"/>
          <w:szCs w:val="22"/>
          <w:u w:val="single"/>
        </w:rPr>
      </w:pPr>
      <w:r w:rsidRPr="00C433AD">
        <w:rPr>
          <w:rFonts w:cs="Arial"/>
          <w:i/>
          <w:color w:val="000000"/>
          <w:sz w:val="22"/>
          <w:szCs w:val="22"/>
          <w:u w:val="single"/>
        </w:rPr>
        <w:t xml:space="preserve">Definition of an exacerbation of COPD: </w:t>
      </w:r>
    </w:p>
    <w:p w14:paraId="5E0692D4" w14:textId="77777777" w:rsidR="000923BB" w:rsidRPr="00707CCD" w:rsidRDefault="000923BB" w:rsidP="000923BB">
      <w:pPr>
        <w:autoSpaceDE w:val="0"/>
        <w:autoSpaceDN w:val="0"/>
        <w:adjustRightInd w:val="0"/>
        <w:jc w:val="both"/>
        <w:rPr>
          <w:rFonts w:cs="Arial"/>
          <w:sz w:val="22"/>
          <w:szCs w:val="22"/>
        </w:rPr>
      </w:pPr>
      <w:r w:rsidRPr="00707CCD">
        <w:rPr>
          <w:rFonts w:cs="Arial"/>
          <w:color w:val="000000"/>
          <w:sz w:val="22"/>
          <w:szCs w:val="22"/>
        </w:rPr>
        <w:t>“An exacerbation is a sustained worsening of the patient’s symptoms from their usual stable state which is beyond normal day-to-day variations, and is acute in onset. Commonly reported symptoms are worsening breathlessness, cough, increased sputum production and change in sputum colour.”</w:t>
      </w:r>
      <w:r>
        <w:rPr>
          <w:rFonts w:cs="Arial"/>
          <w:color w:val="000000"/>
          <w:sz w:val="22"/>
          <w:szCs w:val="22"/>
        </w:rPr>
        <w:t>[31]</w:t>
      </w:r>
    </w:p>
    <w:p w14:paraId="3D3BA58F" w14:textId="77777777" w:rsidR="000923BB" w:rsidRPr="00707CCD" w:rsidRDefault="000923BB" w:rsidP="000923BB">
      <w:pPr>
        <w:autoSpaceDE w:val="0"/>
        <w:autoSpaceDN w:val="0"/>
        <w:adjustRightInd w:val="0"/>
        <w:jc w:val="both"/>
        <w:rPr>
          <w:rFonts w:cs="Arial"/>
          <w:sz w:val="22"/>
          <w:szCs w:val="22"/>
        </w:rPr>
      </w:pPr>
    </w:p>
    <w:p w14:paraId="344B30EC" w14:textId="77777777" w:rsidR="000923BB" w:rsidRPr="00C433AD" w:rsidRDefault="000923BB" w:rsidP="000923BB">
      <w:pPr>
        <w:autoSpaceDE w:val="0"/>
        <w:autoSpaceDN w:val="0"/>
        <w:adjustRightInd w:val="0"/>
        <w:jc w:val="both"/>
        <w:rPr>
          <w:rFonts w:cs="Arial"/>
          <w:i/>
          <w:color w:val="000000"/>
          <w:sz w:val="22"/>
          <w:szCs w:val="22"/>
          <w:u w:val="single"/>
        </w:rPr>
      </w:pPr>
      <w:r w:rsidRPr="00C433AD">
        <w:rPr>
          <w:rFonts w:cs="Arial"/>
          <w:i/>
          <w:color w:val="000000"/>
          <w:sz w:val="22"/>
          <w:szCs w:val="22"/>
          <w:u w:val="single"/>
        </w:rPr>
        <w:t>Definition of an exacerbation of heart failure:</w:t>
      </w:r>
    </w:p>
    <w:p w14:paraId="43A09CA2" w14:textId="77777777" w:rsidR="000923BB" w:rsidRPr="00707CCD" w:rsidRDefault="000923BB" w:rsidP="000923BB">
      <w:pPr>
        <w:autoSpaceDE w:val="0"/>
        <w:autoSpaceDN w:val="0"/>
        <w:adjustRightInd w:val="0"/>
        <w:jc w:val="both"/>
        <w:rPr>
          <w:rFonts w:cs="Arial"/>
          <w:sz w:val="22"/>
          <w:szCs w:val="22"/>
        </w:rPr>
      </w:pPr>
      <w:r w:rsidRPr="00707CCD">
        <w:rPr>
          <w:rFonts w:cs="Arial"/>
          <w:color w:val="000000"/>
          <w:sz w:val="22"/>
          <w:szCs w:val="22"/>
          <w:u w:val="single"/>
        </w:rPr>
        <w:t xml:space="preserve"> </w:t>
      </w:r>
      <w:r w:rsidRPr="00707CCD">
        <w:rPr>
          <w:rFonts w:cs="Arial"/>
          <w:color w:val="000000"/>
          <w:sz w:val="22"/>
          <w:szCs w:val="22"/>
        </w:rPr>
        <w:t>"An exacerbation of heart failure is a sustained worsening of the patient's symptoms from their usual stable state which is beyond normal day-to-day variations, and is acute in onset. Commonly reported symptoms are worsening breathlessness, tiredness and swelling of the feet and/or ankles."</w:t>
      </w:r>
      <w:r>
        <w:rPr>
          <w:rFonts w:cs="Arial"/>
          <w:color w:val="000000"/>
          <w:sz w:val="22"/>
          <w:szCs w:val="22"/>
        </w:rPr>
        <w:t>[23]</w:t>
      </w:r>
    </w:p>
    <w:p w14:paraId="03A5D6F6" w14:textId="77777777" w:rsidR="000923BB" w:rsidRDefault="000923BB" w:rsidP="000923BB">
      <w:pPr>
        <w:jc w:val="both"/>
        <w:rPr>
          <w:rFonts w:cs="Arial"/>
          <w:sz w:val="22"/>
          <w:szCs w:val="22"/>
        </w:rPr>
      </w:pPr>
    </w:p>
    <w:p w14:paraId="0C344242" w14:textId="77777777" w:rsidR="000923BB" w:rsidRDefault="000923BB" w:rsidP="000923BB">
      <w:pPr>
        <w:jc w:val="both"/>
        <w:rPr>
          <w:rFonts w:cs="Arial"/>
          <w:b/>
          <w:bCs/>
          <w:i/>
          <w:iCs/>
          <w:sz w:val="22"/>
          <w:szCs w:val="22"/>
        </w:rPr>
      </w:pPr>
      <w:r>
        <w:rPr>
          <w:rFonts w:cs="Arial"/>
          <w:b/>
          <w:bCs/>
          <w:i/>
          <w:iCs/>
          <w:sz w:val="22"/>
          <w:szCs w:val="22"/>
        </w:rPr>
        <w:t>Choosing the number of case notes for review</w:t>
      </w:r>
    </w:p>
    <w:p w14:paraId="4BDE9BDE" w14:textId="77777777" w:rsidR="000923BB" w:rsidRDefault="000923BB" w:rsidP="000923BB">
      <w:pPr>
        <w:tabs>
          <w:tab w:val="left" w:pos="3828"/>
        </w:tabs>
        <w:jc w:val="both"/>
        <w:rPr>
          <w:rFonts w:cs="Arial"/>
          <w:sz w:val="22"/>
          <w:szCs w:val="22"/>
        </w:rPr>
      </w:pPr>
    </w:p>
    <w:p w14:paraId="360E6ED6" w14:textId="77777777" w:rsidR="000923BB" w:rsidRDefault="000923BB" w:rsidP="000923BB">
      <w:pPr>
        <w:tabs>
          <w:tab w:val="left" w:pos="3828"/>
        </w:tabs>
        <w:jc w:val="both"/>
        <w:rPr>
          <w:rFonts w:cs="Arial"/>
          <w:sz w:val="22"/>
          <w:szCs w:val="22"/>
        </w:rPr>
      </w:pPr>
      <w:r>
        <w:rPr>
          <w:rFonts w:cs="Arial"/>
          <w:sz w:val="22"/>
          <w:szCs w:val="22"/>
        </w:rPr>
        <w:t xml:space="preserve">In choosing the number of case notes for review we were unable to use prior hypotheses to assist in determining how many case notes would be required for the reliability studies.  We considered using van </w:t>
      </w:r>
      <w:r w:rsidRPr="00CC2B14">
        <w:rPr>
          <w:rFonts w:cs="Arial"/>
          <w:sz w:val="22"/>
          <w:szCs w:val="22"/>
        </w:rPr>
        <w:t>Belle’s method[</w:t>
      </w:r>
      <w:r>
        <w:rPr>
          <w:rFonts w:cs="Arial"/>
          <w:sz w:val="22"/>
          <w:szCs w:val="22"/>
        </w:rPr>
        <w:t>32</w:t>
      </w:r>
      <w:r w:rsidRPr="00CC2B14">
        <w:rPr>
          <w:rFonts w:cs="Arial"/>
          <w:sz w:val="22"/>
          <w:szCs w:val="22"/>
        </w:rPr>
        <w:t>] of calculating the number of events (e.g. identified opportunities for error as being event = 20</w:t>
      </w:r>
      <w:r>
        <w:rPr>
          <w:rFonts w:cs="Arial"/>
          <w:sz w:val="22"/>
          <w:szCs w:val="22"/>
        </w:rPr>
        <w:t xml:space="preserve"> times the</w:t>
      </w:r>
      <w:r w:rsidRPr="00CC2B14">
        <w:rPr>
          <w:rFonts w:cs="Arial"/>
          <w:sz w:val="22"/>
          <w:szCs w:val="22"/>
        </w:rPr>
        <w:t xml:space="preserve"> number of parameters</w:t>
      </w:r>
      <w:r>
        <w:rPr>
          <w:rFonts w:cs="Arial"/>
          <w:sz w:val="22"/>
          <w:szCs w:val="22"/>
        </w:rPr>
        <w:t>) from which to assist with this calculation, but subsequently found that it was practically impossible to model the range of opportunities for error presenting in these complex care pathways.  In addition it was decided that the study was more likely to find variations in care rather than identifiable adverse events and that in health care there could be very large opportunities for error. We therefore took a pragmatic decision to select approximately 50 case notes per condition per hospital</w:t>
      </w:r>
      <w:r w:rsidR="001C4E98">
        <w:rPr>
          <w:rFonts w:cs="Arial"/>
          <w:sz w:val="22"/>
          <w:szCs w:val="22"/>
        </w:rPr>
        <w:t>.</w:t>
      </w:r>
      <w:r>
        <w:rPr>
          <w:rFonts w:cs="Arial"/>
          <w:sz w:val="22"/>
          <w:szCs w:val="22"/>
        </w:rPr>
        <w:t xml:space="preserve">    This number also fitted with the custom and practice of the Royal College of </w:t>
      </w:r>
      <w:r>
        <w:rPr>
          <w:rFonts w:cs="Arial"/>
          <w:sz w:val="22"/>
          <w:szCs w:val="22"/>
        </w:rPr>
        <w:lastRenderedPageBreak/>
        <w:t xml:space="preserve">Physicians CEEu in which about 60 case notes per hospital form the basis for review in national clinical audits and this number of case notes had previously provided sufficient data for studies of inter-rater reliability.[24] </w:t>
      </w:r>
    </w:p>
    <w:p w14:paraId="62BEE3C1" w14:textId="77777777" w:rsidR="000923BB" w:rsidRDefault="000923BB" w:rsidP="000923BB">
      <w:pPr>
        <w:tabs>
          <w:tab w:val="left" w:pos="3828"/>
        </w:tabs>
        <w:jc w:val="both"/>
        <w:rPr>
          <w:rFonts w:cs="Arial"/>
          <w:sz w:val="22"/>
          <w:szCs w:val="22"/>
        </w:rPr>
      </w:pPr>
    </w:p>
    <w:p w14:paraId="50343F0D" w14:textId="77777777" w:rsidR="000923BB" w:rsidRDefault="000923BB" w:rsidP="000923BB">
      <w:pPr>
        <w:jc w:val="both"/>
        <w:rPr>
          <w:rFonts w:cs="Arial"/>
          <w:sz w:val="22"/>
          <w:szCs w:val="22"/>
        </w:rPr>
      </w:pPr>
      <w:r>
        <w:rPr>
          <w:rFonts w:cs="Arial"/>
          <w:sz w:val="22"/>
          <w:szCs w:val="22"/>
        </w:rPr>
        <w:t xml:space="preserve">For this first phase of the study we therefore sought to obtain sets of 50 case notes from consecutive admissions for each condition in each of eight hospitals.  That is, 800 case notes in total. </w:t>
      </w:r>
    </w:p>
    <w:p w14:paraId="7F63AAB0" w14:textId="77777777" w:rsidR="000923BB" w:rsidRDefault="000923BB" w:rsidP="000923BB">
      <w:pPr>
        <w:jc w:val="both"/>
        <w:rPr>
          <w:rFonts w:cs="Arial"/>
          <w:sz w:val="22"/>
          <w:szCs w:val="22"/>
        </w:rPr>
      </w:pPr>
    </w:p>
    <w:p w14:paraId="2D982164" w14:textId="77777777" w:rsidR="000923BB" w:rsidRDefault="000923BB" w:rsidP="000923BB">
      <w:pPr>
        <w:jc w:val="both"/>
        <w:rPr>
          <w:rFonts w:cs="Arial"/>
          <w:b/>
          <w:bCs/>
          <w:i/>
          <w:iCs/>
          <w:sz w:val="22"/>
          <w:szCs w:val="22"/>
        </w:rPr>
      </w:pPr>
      <w:r>
        <w:rPr>
          <w:rFonts w:cs="Arial"/>
          <w:b/>
          <w:bCs/>
          <w:i/>
          <w:iCs/>
          <w:sz w:val="22"/>
          <w:szCs w:val="22"/>
        </w:rPr>
        <w:t>Selection and recruitment of hospitals and staff</w:t>
      </w:r>
    </w:p>
    <w:p w14:paraId="4045D21E" w14:textId="77777777" w:rsidR="000923BB" w:rsidRDefault="000923BB" w:rsidP="000923BB">
      <w:pPr>
        <w:jc w:val="both"/>
        <w:rPr>
          <w:rFonts w:cs="Arial"/>
          <w:sz w:val="22"/>
          <w:szCs w:val="22"/>
        </w:rPr>
      </w:pPr>
    </w:p>
    <w:p w14:paraId="519AAC1A" w14:textId="77777777" w:rsidR="000923BB" w:rsidRDefault="000923BB" w:rsidP="000923BB">
      <w:pPr>
        <w:jc w:val="both"/>
        <w:rPr>
          <w:rFonts w:cs="Arial"/>
          <w:sz w:val="22"/>
          <w:szCs w:val="22"/>
        </w:rPr>
      </w:pPr>
      <w:r>
        <w:rPr>
          <w:rFonts w:cs="Arial"/>
          <w:sz w:val="22"/>
          <w:szCs w:val="22"/>
        </w:rPr>
        <w:t xml:space="preserve">A four stage process was used to recruit eight study hospitals in </w:t>
      </w:r>
      <w:smartTag w:uri="urn:schemas-microsoft-com:office:smarttags" w:element="place">
        <w:smartTag w:uri="urn:schemas-microsoft-com:office:smarttags" w:element="country-region">
          <w:r>
            <w:rPr>
              <w:rFonts w:cs="Arial"/>
              <w:sz w:val="22"/>
              <w:szCs w:val="22"/>
            </w:rPr>
            <w:t>England</w:t>
          </w:r>
        </w:smartTag>
      </w:smartTag>
      <w:r>
        <w:rPr>
          <w:rFonts w:cs="Arial"/>
          <w:sz w:val="22"/>
          <w:szCs w:val="22"/>
        </w:rPr>
        <w:t>.  First, Hospital Episode Statistics[33] on 28 day mortality data for COPD and Heart Failure were accessed through the East Midlands Public Health Observatory.  Hospitals were excluded from the selection process if they reported less than 200 in-patient cases per year for either condition, effectively excluding smaller or specialist acute hospitals.  There were 136 hospitals in the final data set.</w:t>
      </w:r>
    </w:p>
    <w:p w14:paraId="35C94E2B" w14:textId="77777777" w:rsidR="000923BB" w:rsidRDefault="000923BB" w:rsidP="000923BB">
      <w:pPr>
        <w:jc w:val="both"/>
        <w:rPr>
          <w:rFonts w:cs="Arial"/>
          <w:sz w:val="22"/>
          <w:szCs w:val="22"/>
        </w:rPr>
      </w:pPr>
    </w:p>
    <w:p w14:paraId="06C8909B" w14:textId="77777777" w:rsidR="000923BB" w:rsidRDefault="000923BB" w:rsidP="000923BB">
      <w:pPr>
        <w:jc w:val="both"/>
        <w:rPr>
          <w:rFonts w:cs="Arial"/>
          <w:sz w:val="22"/>
          <w:szCs w:val="22"/>
        </w:rPr>
      </w:pPr>
      <w:r>
        <w:rPr>
          <w:rFonts w:cs="Arial"/>
          <w:sz w:val="22"/>
          <w:szCs w:val="22"/>
        </w:rPr>
        <w:t xml:space="preserve">Second, twenty eight day mortality data for the two study conditions for each hospital was combined using simple averaging, to create an average 28 day mortality ratio for each hospital. Third, these were then ranked from the lowest mortality to the highest and the data was split into four quartiles, each of 34 hospitals.  And finally, from this ranking, hospitals were randomly selected in each of the lowest and the highest mortality quartiles. </w:t>
      </w:r>
    </w:p>
    <w:p w14:paraId="57603AA3" w14:textId="77777777" w:rsidR="000923BB" w:rsidRDefault="000923BB" w:rsidP="000923BB">
      <w:pPr>
        <w:jc w:val="both"/>
        <w:rPr>
          <w:rFonts w:cs="Arial"/>
          <w:sz w:val="22"/>
          <w:szCs w:val="22"/>
        </w:rPr>
      </w:pPr>
    </w:p>
    <w:p w14:paraId="21B65F20" w14:textId="77777777" w:rsidR="000923BB" w:rsidRDefault="000923BB" w:rsidP="000923BB">
      <w:pPr>
        <w:jc w:val="both"/>
        <w:rPr>
          <w:rFonts w:cs="Arial"/>
          <w:b/>
          <w:bCs/>
          <w:i/>
          <w:iCs/>
          <w:sz w:val="22"/>
          <w:szCs w:val="22"/>
        </w:rPr>
      </w:pPr>
      <w:r>
        <w:rPr>
          <w:rFonts w:cs="Arial"/>
          <w:b/>
          <w:bCs/>
          <w:i/>
          <w:iCs/>
          <w:sz w:val="22"/>
          <w:szCs w:val="22"/>
        </w:rPr>
        <w:t>Combinations of review methods and proposed numbers and types of staff</w:t>
      </w:r>
    </w:p>
    <w:p w14:paraId="6C6C1548" w14:textId="77777777" w:rsidR="000923BB" w:rsidRDefault="000923BB" w:rsidP="000923BB">
      <w:pPr>
        <w:jc w:val="both"/>
        <w:rPr>
          <w:rFonts w:cs="Arial"/>
          <w:sz w:val="22"/>
          <w:szCs w:val="22"/>
        </w:rPr>
      </w:pPr>
    </w:p>
    <w:p w14:paraId="09795003" w14:textId="77777777" w:rsidR="000923BB" w:rsidRDefault="000923BB" w:rsidP="000923BB">
      <w:pPr>
        <w:jc w:val="both"/>
        <w:rPr>
          <w:rFonts w:cs="Arial"/>
          <w:sz w:val="22"/>
          <w:szCs w:val="22"/>
        </w:rPr>
      </w:pPr>
      <w:r>
        <w:rPr>
          <w:rFonts w:cs="Arial"/>
          <w:sz w:val="22"/>
          <w:szCs w:val="22"/>
        </w:rPr>
        <w:t>In our initial research proposal we sought to create review teams in each hospital comprising two types of personnel – clinical staff (for example, nurses and staff working in clinical audit departments) and doctors in senior stages of their specialist training (medical Specialist Registrars).  This choice of types of staff was made in order to test some of the assumptions in the literature[6] that medically qualified reviewers undertake holistic case note reviews differently from other personnel.  Different combinations of reviewer type would review the same records to test inter-rater reliability within types of reviewer and between types of reviewer.  Each case note would be reviewed twice by each reviewer, first using holistic, then criterion based, methods.  We chose this sequence to reduce the bias on the holistic review results that might occur from a reviewer having previously examined the case notes to undertake criterion review.</w:t>
      </w:r>
    </w:p>
    <w:p w14:paraId="0DFF4973" w14:textId="77777777" w:rsidR="000923BB" w:rsidRDefault="000923BB" w:rsidP="000923BB">
      <w:pPr>
        <w:jc w:val="both"/>
        <w:rPr>
          <w:rFonts w:cs="Arial"/>
          <w:sz w:val="22"/>
          <w:szCs w:val="22"/>
        </w:rPr>
      </w:pPr>
    </w:p>
    <w:p w14:paraId="15B189C3" w14:textId="77777777" w:rsidR="000923BB" w:rsidRDefault="000923BB" w:rsidP="000923BB">
      <w:pPr>
        <w:jc w:val="both"/>
      </w:pPr>
      <w:r>
        <w:rPr>
          <w:rFonts w:cs="Arial"/>
          <w:sz w:val="22"/>
          <w:szCs w:val="22"/>
        </w:rPr>
        <w:lastRenderedPageBreak/>
        <w:t>Subsequent to these initial decisions on numbers of case notes and staff</w:t>
      </w:r>
      <w:r w:rsidRPr="00F42338">
        <w:rPr>
          <w:rFonts w:cs="Arial"/>
          <w:sz w:val="22"/>
          <w:szCs w:val="22"/>
        </w:rPr>
        <w:t xml:space="preserve"> </w:t>
      </w:r>
      <w:r>
        <w:rPr>
          <w:rFonts w:cs="Arial"/>
          <w:sz w:val="22"/>
          <w:szCs w:val="22"/>
        </w:rPr>
        <w:t xml:space="preserve">a more limited set of reviews was agreed with the research commissioning panel, because the costs of undertaking a full set of two reviews of each of 50 case notes across the eight hospitals using four reviewers per condition proved too great for the available study budget,. This second proposal still retained the ability to make comparisons between types of reviewer and review methods, albeit with a smaller number of reviewers in total. Table 1 indicates the type of reviewers and frequency of review that were proposed. The number next to the code for Clinical Audit/Nursing Staff (CA) and Physicians (P) indicates the number of reviewers sought for each condition in each hospital.  Each reviewer was expected to evaluate 50 sets of case notes. </w:t>
      </w:r>
    </w:p>
    <w:p w14:paraId="56FEAE2B" w14:textId="77777777" w:rsidR="000923BB" w:rsidRDefault="000923BB" w:rsidP="00823691">
      <w:pPr>
        <w:pStyle w:val="BodyText"/>
      </w:pPr>
      <w:r w:rsidRPr="00CE3379">
        <w:t>For each of the two conditions the framework in Table 1 was used to calculate the number of reviews and reviewers for both the holistic and the criterion based review methods, so that the total proposed number of case note reviews for the eight hospitals was 3600, using 400 case notes overall for each of the two conditions (800 in all).</w:t>
      </w:r>
    </w:p>
    <w:p w14:paraId="036C8789" w14:textId="77777777" w:rsidR="000923BB" w:rsidRDefault="000923BB" w:rsidP="000923BB">
      <w:pPr>
        <w:tabs>
          <w:tab w:val="center" w:pos="3614"/>
        </w:tabs>
        <w:autoSpaceDE w:val="0"/>
        <w:autoSpaceDN w:val="0"/>
        <w:adjustRightInd w:val="0"/>
        <w:rPr>
          <w:rFonts w:cs="Arial"/>
          <w:b/>
          <w:bCs/>
          <w:sz w:val="22"/>
          <w:szCs w:val="22"/>
        </w:rPr>
      </w:pPr>
    </w:p>
    <w:p w14:paraId="75983310" w14:textId="77777777" w:rsidR="000923BB" w:rsidRPr="006B499C" w:rsidRDefault="000923BB" w:rsidP="000923BB">
      <w:pPr>
        <w:tabs>
          <w:tab w:val="center" w:pos="3614"/>
        </w:tabs>
        <w:autoSpaceDE w:val="0"/>
        <w:autoSpaceDN w:val="0"/>
        <w:adjustRightInd w:val="0"/>
        <w:rPr>
          <w:rFonts w:cs="Arial"/>
          <w:sz w:val="22"/>
          <w:szCs w:val="22"/>
        </w:rPr>
      </w:pPr>
      <w:r w:rsidRPr="005E4BF1">
        <w:rPr>
          <w:rFonts w:cs="Arial"/>
          <w:b/>
          <w:bCs/>
          <w:sz w:val="20"/>
          <w:szCs w:val="20"/>
        </w:rPr>
        <w:t xml:space="preserve">Table 1.  Proposed numbers of reviewers and types of staff for each review method </w:t>
      </w:r>
      <w:r w:rsidRPr="005E4BF1">
        <w:rPr>
          <w:rFonts w:cs="Arial"/>
          <w:sz w:val="20"/>
          <w:szCs w:val="20"/>
        </w:rPr>
        <w:t>(each staff member to undertake 50 reviews</w:t>
      </w:r>
      <w:r w:rsidRPr="006B499C">
        <w:rPr>
          <w:rFonts w:cs="Arial"/>
          <w:sz w:val="22"/>
          <w:szCs w:val="22"/>
        </w:rPr>
        <w:t>)</w:t>
      </w:r>
    </w:p>
    <w:tbl>
      <w:tblPr>
        <w:tblW w:w="8364" w:type="dxa"/>
        <w:tblInd w:w="108" w:type="dxa"/>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5"/>
        <w:gridCol w:w="1364"/>
        <w:gridCol w:w="1417"/>
        <w:gridCol w:w="1418"/>
        <w:gridCol w:w="1417"/>
        <w:gridCol w:w="993"/>
      </w:tblGrid>
      <w:tr w:rsidR="000923BB" w14:paraId="3EADE263" w14:textId="77777777" w:rsidTr="009148F2">
        <w:tc>
          <w:tcPr>
            <w:tcW w:w="1755" w:type="dxa"/>
            <w:tcBorders>
              <w:top w:val="single" w:sz="8" w:space="0" w:color="auto"/>
              <w:bottom w:val="single" w:sz="8" w:space="0" w:color="auto"/>
            </w:tcBorders>
          </w:tcPr>
          <w:p w14:paraId="6AEBD1AA" w14:textId="77777777" w:rsidR="000923BB" w:rsidRPr="006B499C" w:rsidRDefault="000923BB" w:rsidP="003A385F">
            <w:pPr>
              <w:spacing w:before="120"/>
              <w:rPr>
                <w:rFonts w:cs="Arial"/>
                <w:b/>
                <w:bCs/>
                <w:sz w:val="20"/>
                <w:szCs w:val="20"/>
              </w:rPr>
            </w:pPr>
            <w:r w:rsidRPr="006B499C">
              <w:rPr>
                <w:rFonts w:cs="Arial"/>
                <w:b/>
                <w:bCs/>
                <w:sz w:val="20"/>
                <w:szCs w:val="20"/>
              </w:rPr>
              <w:t>Upper mortality hospitals</w:t>
            </w:r>
          </w:p>
        </w:tc>
        <w:tc>
          <w:tcPr>
            <w:tcW w:w="1364" w:type="dxa"/>
            <w:tcBorders>
              <w:top w:val="single" w:sz="8" w:space="0" w:color="auto"/>
              <w:bottom w:val="single" w:sz="8" w:space="0" w:color="auto"/>
            </w:tcBorders>
          </w:tcPr>
          <w:p w14:paraId="73D7537A" w14:textId="77777777" w:rsidR="000923BB" w:rsidRPr="006B499C" w:rsidRDefault="000923BB" w:rsidP="003A385F">
            <w:pPr>
              <w:pStyle w:val="Heading1"/>
              <w:jc w:val="center"/>
              <w:rPr>
                <w:sz w:val="20"/>
                <w:szCs w:val="20"/>
              </w:rPr>
            </w:pPr>
            <w:r w:rsidRPr="006B499C">
              <w:rPr>
                <w:sz w:val="20"/>
                <w:szCs w:val="20"/>
              </w:rPr>
              <w:t>Hospital 1</w:t>
            </w:r>
          </w:p>
        </w:tc>
        <w:tc>
          <w:tcPr>
            <w:tcW w:w="1417" w:type="dxa"/>
            <w:tcBorders>
              <w:top w:val="single" w:sz="8" w:space="0" w:color="auto"/>
              <w:bottom w:val="single" w:sz="8" w:space="0" w:color="auto"/>
            </w:tcBorders>
          </w:tcPr>
          <w:p w14:paraId="26AA5EBE" w14:textId="77777777" w:rsidR="000923BB" w:rsidRPr="006B499C" w:rsidRDefault="000923BB" w:rsidP="003A385F">
            <w:pPr>
              <w:pStyle w:val="Heading1"/>
              <w:jc w:val="center"/>
              <w:rPr>
                <w:sz w:val="20"/>
                <w:szCs w:val="20"/>
              </w:rPr>
            </w:pPr>
            <w:r w:rsidRPr="006B499C">
              <w:rPr>
                <w:sz w:val="20"/>
                <w:szCs w:val="20"/>
              </w:rPr>
              <w:t>Hospital 2</w:t>
            </w:r>
          </w:p>
        </w:tc>
        <w:tc>
          <w:tcPr>
            <w:tcW w:w="1418" w:type="dxa"/>
            <w:tcBorders>
              <w:top w:val="single" w:sz="8" w:space="0" w:color="auto"/>
              <w:bottom w:val="single" w:sz="8" w:space="0" w:color="auto"/>
            </w:tcBorders>
          </w:tcPr>
          <w:p w14:paraId="71015665" w14:textId="77777777" w:rsidR="000923BB" w:rsidRPr="006B499C" w:rsidRDefault="000923BB" w:rsidP="003A385F">
            <w:pPr>
              <w:pStyle w:val="Heading1"/>
              <w:jc w:val="center"/>
              <w:rPr>
                <w:sz w:val="20"/>
                <w:szCs w:val="20"/>
              </w:rPr>
            </w:pPr>
            <w:r w:rsidRPr="006B499C">
              <w:rPr>
                <w:sz w:val="20"/>
                <w:szCs w:val="20"/>
              </w:rPr>
              <w:t>Hospital 3</w:t>
            </w:r>
          </w:p>
        </w:tc>
        <w:tc>
          <w:tcPr>
            <w:tcW w:w="1417" w:type="dxa"/>
            <w:tcBorders>
              <w:top w:val="single" w:sz="8" w:space="0" w:color="auto"/>
              <w:bottom w:val="single" w:sz="8" w:space="0" w:color="auto"/>
            </w:tcBorders>
          </w:tcPr>
          <w:p w14:paraId="5B5C4372" w14:textId="77777777" w:rsidR="000923BB" w:rsidRPr="006B499C" w:rsidRDefault="000923BB" w:rsidP="003A385F">
            <w:pPr>
              <w:pStyle w:val="Heading1"/>
              <w:jc w:val="center"/>
              <w:rPr>
                <w:sz w:val="20"/>
                <w:szCs w:val="20"/>
              </w:rPr>
            </w:pPr>
            <w:r w:rsidRPr="006B499C">
              <w:rPr>
                <w:sz w:val="20"/>
                <w:szCs w:val="20"/>
              </w:rPr>
              <w:t>Hospital 4</w:t>
            </w:r>
          </w:p>
        </w:tc>
        <w:tc>
          <w:tcPr>
            <w:tcW w:w="993" w:type="dxa"/>
            <w:tcBorders>
              <w:top w:val="single" w:sz="8" w:space="0" w:color="auto"/>
              <w:bottom w:val="single" w:sz="8" w:space="0" w:color="auto"/>
            </w:tcBorders>
          </w:tcPr>
          <w:p w14:paraId="7D9455D6" w14:textId="77777777" w:rsidR="000923BB" w:rsidRPr="006B499C" w:rsidRDefault="000923BB" w:rsidP="003A385F">
            <w:pPr>
              <w:pStyle w:val="Heading1"/>
              <w:jc w:val="center"/>
              <w:rPr>
                <w:sz w:val="20"/>
                <w:szCs w:val="20"/>
              </w:rPr>
            </w:pPr>
            <w:r w:rsidRPr="006B499C">
              <w:rPr>
                <w:sz w:val="20"/>
                <w:szCs w:val="20"/>
              </w:rPr>
              <w:t>Total</w:t>
            </w:r>
          </w:p>
        </w:tc>
      </w:tr>
      <w:tr w:rsidR="000923BB" w14:paraId="10CF0190" w14:textId="77777777" w:rsidTr="009148F2">
        <w:tc>
          <w:tcPr>
            <w:tcW w:w="1755" w:type="dxa"/>
            <w:tcBorders>
              <w:top w:val="single" w:sz="8" w:space="0" w:color="auto"/>
              <w:bottom w:val="nil"/>
            </w:tcBorders>
          </w:tcPr>
          <w:p w14:paraId="2FD2BC51" w14:textId="77777777" w:rsidR="000923BB" w:rsidRPr="006B499C" w:rsidRDefault="000923BB" w:rsidP="003A385F">
            <w:pPr>
              <w:spacing w:before="120"/>
              <w:rPr>
                <w:rFonts w:cs="Arial"/>
                <w:b/>
                <w:bCs/>
                <w:sz w:val="20"/>
                <w:szCs w:val="20"/>
              </w:rPr>
            </w:pPr>
            <w:r w:rsidRPr="006B499C">
              <w:rPr>
                <w:rFonts w:cs="Arial"/>
                <w:b/>
                <w:bCs/>
                <w:sz w:val="20"/>
                <w:szCs w:val="20"/>
              </w:rPr>
              <w:t>COPD</w:t>
            </w:r>
          </w:p>
        </w:tc>
        <w:tc>
          <w:tcPr>
            <w:tcW w:w="1364" w:type="dxa"/>
            <w:tcBorders>
              <w:top w:val="single" w:sz="8" w:space="0" w:color="auto"/>
              <w:bottom w:val="nil"/>
            </w:tcBorders>
          </w:tcPr>
          <w:p w14:paraId="428F4CC9" w14:textId="77777777" w:rsidR="000923BB" w:rsidRPr="006B499C" w:rsidRDefault="000923BB" w:rsidP="003A385F">
            <w:pPr>
              <w:spacing w:before="120"/>
              <w:rPr>
                <w:rFonts w:cs="Arial"/>
                <w:sz w:val="20"/>
                <w:szCs w:val="20"/>
              </w:rPr>
            </w:pPr>
            <w:r w:rsidRPr="006B499C">
              <w:rPr>
                <w:rFonts w:cs="Arial"/>
                <w:sz w:val="20"/>
                <w:szCs w:val="20"/>
              </w:rPr>
              <w:t xml:space="preserve">CA (1)    </w:t>
            </w:r>
          </w:p>
        </w:tc>
        <w:tc>
          <w:tcPr>
            <w:tcW w:w="1417" w:type="dxa"/>
            <w:tcBorders>
              <w:top w:val="single" w:sz="8" w:space="0" w:color="auto"/>
              <w:bottom w:val="nil"/>
            </w:tcBorders>
          </w:tcPr>
          <w:p w14:paraId="0E81A14D" w14:textId="77777777" w:rsidR="000923BB" w:rsidRPr="006B499C" w:rsidRDefault="000923BB" w:rsidP="003A385F">
            <w:pPr>
              <w:spacing w:before="120"/>
              <w:rPr>
                <w:rFonts w:cs="Arial"/>
                <w:sz w:val="20"/>
                <w:szCs w:val="20"/>
              </w:rPr>
            </w:pPr>
            <w:r w:rsidRPr="006B499C">
              <w:rPr>
                <w:rFonts w:cs="Arial"/>
                <w:sz w:val="20"/>
                <w:szCs w:val="20"/>
              </w:rPr>
              <w:t xml:space="preserve">CA (1)    </w:t>
            </w:r>
          </w:p>
        </w:tc>
        <w:tc>
          <w:tcPr>
            <w:tcW w:w="1418" w:type="dxa"/>
            <w:tcBorders>
              <w:top w:val="single" w:sz="8" w:space="0" w:color="auto"/>
              <w:bottom w:val="nil"/>
            </w:tcBorders>
          </w:tcPr>
          <w:p w14:paraId="1E15B821" w14:textId="77777777" w:rsidR="000923BB" w:rsidRPr="006B499C" w:rsidRDefault="000923BB" w:rsidP="003A385F">
            <w:pPr>
              <w:spacing w:before="120"/>
              <w:rPr>
                <w:rFonts w:cs="Arial"/>
                <w:sz w:val="20"/>
                <w:szCs w:val="20"/>
              </w:rPr>
            </w:pPr>
            <w:r w:rsidRPr="006B499C">
              <w:rPr>
                <w:rFonts w:cs="Arial"/>
                <w:sz w:val="20"/>
                <w:szCs w:val="20"/>
              </w:rPr>
              <w:t>CA (2)  P(1)</w:t>
            </w:r>
          </w:p>
        </w:tc>
        <w:tc>
          <w:tcPr>
            <w:tcW w:w="1417" w:type="dxa"/>
            <w:tcBorders>
              <w:top w:val="single" w:sz="8" w:space="0" w:color="auto"/>
              <w:bottom w:val="nil"/>
            </w:tcBorders>
          </w:tcPr>
          <w:p w14:paraId="42458375" w14:textId="77777777" w:rsidR="000923BB" w:rsidRPr="006B499C" w:rsidRDefault="000923BB" w:rsidP="003A385F">
            <w:pPr>
              <w:spacing w:before="120"/>
              <w:rPr>
                <w:rFonts w:cs="Arial"/>
                <w:sz w:val="20"/>
                <w:szCs w:val="20"/>
              </w:rPr>
            </w:pPr>
            <w:r w:rsidRPr="006B499C">
              <w:rPr>
                <w:rFonts w:cs="Arial"/>
                <w:sz w:val="20"/>
                <w:szCs w:val="20"/>
              </w:rPr>
              <w:t>CA(2)   P(2)</w:t>
            </w:r>
          </w:p>
        </w:tc>
        <w:tc>
          <w:tcPr>
            <w:tcW w:w="993" w:type="dxa"/>
            <w:tcBorders>
              <w:top w:val="single" w:sz="8" w:space="0" w:color="auto"/>
              <w:bottom w:val="nil"/>
            </w:tcBorders>
          </w:tcPr>
          <w:p w14:paraId="7FD1058D" w14:textId="77777777" w:rsidR="000923BB" w:rsidRPr="006B499C" w:rsidRDefault="000923BB" w:rsidP="003A385F">
            <w:pPr>
              <w:jc w:val="both"/>
              <w:rPr>
                <w:rFonts w:cs="Arial"/>
                <w:sz w:val="20"/>
                <w:szCs w:val="20"/>
              </w:rPr>
            </w:pPr>
          </w:p>
        </w:tc>
      </w:tr>
      <w:tr w:rsidR="000923BB" w14:paraId="78ACE5F7" w14:textId="77777777" w:rsidTr="009148F2">
        <w:tc>
          <w:tcPr>
            <w:tcW w:w="1755" w:type="dxa"/>
            <w:tcBorders>
              <w:top w:val="nil"/>
            </w:tcBorders>
          </w:tcPr>
          <w:p w14:paraId="707BB738" w14:textId="77777777" w:rsidR="000923BB" w:rsidRPr="006B499C" w:rsidRDefault="000923BB" w:rsidP="003A385F">
            <w:pPr>
              <w:rPr>
                <w:rFonts w:cs="Arial"/>
                <w:b/>
                <w:bCs/>
                <w:sz w:val="20"/>
                <w:szCs w:val="20"/>
              </w:rPr>
            </w:pPr>
            <w:r w:rsidRPr="006B499C">
              <w:rPr>
                <w:rFonts w:cs="Arial"/>
                <w:b/>
                <w:bCs/>
                <w:sz w:val="20"/>
                <w:szCs w:val="20"/>
              </w:rPr>
              <w:t>Heart Failure</w:t>
            </w:r>
          </w:p>
        </w:tc>
        <w:tc>
          <w:tcPr>
            <w:tcW w:w="1364" w:type="dxa"/>
            <w:tcBorders>
              <w:top w:val="nil"/>
            </w:tcBorders>
          </w:tcPr>
          <w:p w14:paraId="5530CB3D" w14:textId="77777777" w:rsidR="000923BB" w:rsidRPr="006B499C" w:rsidRDefault="000923BB" w:rsidP="003A385F">
            <w:pPr>
              <w:rPr>
                <w:rFonts w:cs="Arial"/>
                <w:sz w:val="20"/>
                <w:szCs w:val="20"/>
              </w:rPr>
            </w:pPr>
            <w:r w:rsidRPr="006B499C">
              <w:rPr>
                <w:rFonts w:cs="Arial"/>
                <w:sz w:val="20"/>
                <w:szCs w:val="20"/>
              </w:rPr>
              <w:t>CA (2)   P (1)</w:t>
            </w:r>
          </w:p>
        </w:tc>
        <w:tc>
          <w:tcPr>
            <w:tcW w:w="1417" w:type="dxa"/>
            <w:tcBorders>
              <w:top w:val="nil"/>
            </w:tcBorders>
          </w:tcPr>
          <w:p w14:paraId="4BF1D294" w14:textId="77777777" w:rsidR="000923BB" w:rsidRPr="006B499C" w:rsidRDefault="000923BB" w:rsidP="003A385F">
            <w:pPr>
              <w:rPr>
                <w:rFonts w:cs="Arial"/>
                <w:sz w:val="20"/>
                <w:szCs w:val="20"/>
              </w:rPr>
            </w:pPr>
            <w:r w:rsidRPr="006B499C">
              <w:rPr>
                <w:rFonts w:cs="Arial"/>
                <w:sz w:val="20"/>
                <w:szCs w:val="20"/>
              </w:rPr>
              <w:t>CA (1)   P (2)</w:t>
            </w:r>
          </w:p>
        </w:tc>
        <w:tc>
          <w:tcPr>
            <w:tcW w:w="1418" w:type="dxa"/>
            <w:tcBorders>
              <w:top w:val="nil"/>
            </w:tcBorders>
          </w:tcPr>
          <w:p w14:paraId="1728556E" w14:textId="77777777" w:rsidR="000923BB" w:rsidRPr="006B499C" w:rsidRDefault="000923BB" w:rsidP="003A385F">
            <w:pPr>
              <w:rPr>
                <w:rFonts w:cs="Arial"/>
                <w:sz w:val="20"/>
                <w:szCs w:val="20"/>
              </w:rPr>
            </w:pPr>
            <w:r w:rsidRPr="006B499C">
              <w:rPr>
                <w:rFonts w:cs="Arial"/>
                <w:sz w:val="20"/>
                <w:szCs w:val="20"/>
              </w:rPr>
              <w:t xml:space="preserve">CA (2)     </w:t>
            </w:r>
          </w:p>
        </w:tc>
        <w:tc>
          <w:tcPr>
            <w:tcW w:w="1417" w:type="dxa"/>
            <w:tcBorders>
              <w:top w:val="nil"/>
            </w:tcBorders>
          </w:tcPr>
          <w:p w14:paraId="01621264" w14:textId="77777777" w:rsidR="000923BB" w:rsidRPr="006B499C" w:rsidRDefault="000923BB" w:rsidP="003A385F">
            <w:pPr>
              <w:rPr>
                <w:rFonts w:cs="Arial"/>
                <w:sz w:val="20"/>
                <w:szCs w:val="20"/>
              </w:rPr>
            </w:pPr>
            <w:r w:rsidRPr="006B499C">
              <w:rPr>
                <w:rFonts w:cs="Arial"/>
                <w:sz w:val="20"/>
                <w:szCs w:val="20"/>
              </w:rPr>
              <w:t xml:space="preserve">CA (1)     </w:t>
            </w:r>
          </w:p>
        </w:tc>
        <w:tc>
          <w:tcPr>
            <w:tcW w:w="993" w:type="dxa"/>
            <w:tcBorders>
              <w:top w:val="nil"/>
            </w:tcBorders>
          </w:tcPr>
          <w:p w14:paraId="2A682700" w14:textId="77777777" w:rsidR="000923BB" w:rsidRPr="006B499C" w:rsidRDefault="000923BB" w:rsidP="003A385F">
            <w:pPr>
              <w:jc w:val="both"/>
              <w:rPr>
                <w:rFonts w:cs="Arial"/>
                <w:sz w:val="20"/>
                <w:szCs w:val="20"/>
              </w:rPr>
            </w:pPr>
          </w:p>
        </w:tc>
      </w:tr>
      <w:tr w:rsidR="000923BB" w14:paraId="2309F8E3" w14:textId="77777777" w:rsidTr="009148F2">
        <w:tc>
          <w:tcPr>
            <w:tcW w:w="1755" w:type="dxa"/>
            <w:tcBorders>
              <w:bottom w:val="single" w:sz="8" w:space="0" w:color="auto"/>
            </w:tcBorders>
          </w:tcPr>
          <w:p w14:paraId="1BFF3E90" w14:textId="77777777" w:rsidR="000923BB" w:rsidRPr="006B499C" w:rsidRDefault="000923BB" w:rsidP="003A385F">
            <w:pPr>
              <w:pStyle w:val="Heading3"/>
              <w:rPr>
                <w:sz w:val="20"/>
                <w:szCs w:val="20"/>
              </w:rPr>
            </w:pPr>
            <w:r w:rsidRPr="006B499C">
              <w:rPr>
                <w:sz w:val="20"/>
                <w:szCs w:val="20"/>
              </w:rPr>
              <w:t>Total reviews (</w:t>
            </w:r>
            <w:r w:rsidRPr="006B499C">
              <w:rPr>
                <w:b/>
                <w:sz w:val="20"/>
                <w:szCs w:val="20"/>
              </w:rPr>
              <w:t>from 400 case notes)</w:t>
            </w:r>
          </w:p>
        </w:tc>
        <w:tc>
          <w:tcPr>
            <w:tcW w:w="1364" w:type="dxa"/>
            <w:tcBorders>
              <w:bottom w:val="single" w:sz="8" w:space="0" w:color="auto"/>
            </w:tcBorders>
          </w:tcPr>
          <w:p w14:paraId="2A0FE5EB" w14:textId="77777777" w:rsidR="000923BB" w:rsidRPr="006B499C" w:rsidRDefault="000923BB" w:rsidP="003A385F">
            <w:pPr>
              <w:pStyle w:val="Heading1"/>
              <w:jc w:val="center"/>
              <w:rPr>
                <w:sz w:val="20"/>
                <w:szCs w:val="20"/>
              </w:rPr>
            </w:pPr>
            <w:r w:rsidRPr="006B499C">
              <w:rPr>
                <w:sz w:val="20"/>
                <w:szCs w:val="20"/>
              </w:rPr>
              <w:t>200</w:t>
            </w:r>
          </w:p>
        </w:tc>
        <w:tc>
          <w:tcPr>
            <w:tcW w:w="1417" w:type="dxa"/>
            <w:tcBorders>
              <w:bottom w:val="single" w:sz="8" w:space="0" w:color="auto"/>
            </w:tcBorders>
          </w:tcPr>
          <w:p w14:paraId="3EF4266A" w14:textId="77777777" w:rsidR="000923BB" w:rsidRPr="006B499C" w:rsidRDefault="000923BB" w:rsidP="003A385F">
            <w:pPr>
              <w:pStyle w:val="Heading1"/>
              <w:jc w:val="center"/>
              <w:rPr>
                <w:sz w:val="20"/>
                <w:szCs w:val="20"/>
              </w:rPr>
            </w:pPr>
            <w:r w:rsidRPr="006B499C">
              <w:rPr>
                <w:sz w:val="20"/>
                <w:szCs w:val="20"/>
              </w:rPr>
              <w:t>200</w:t>
            </w:r>
          </w:p>
        </w:tc>
        <w:tc>
          <w:tcPr>
            <w:tcW w:w="1418" w:type="dxa"/>
            <w:tcBorders>
              <w:bottom w:val="single" w:sz="8" w:space="0" w:color="auto"/>
            </w:tcBorders>
          </w:tcPr>
          <w:p w14:paraId="37727345" w14:textId="77777777" w:rsidR="000923BB" w:rsidRPr="006B499C" w:rsidRDefault="000923BB" w:rsidP="003A385F">
            <w:pPr>
              <w:pStyle w:val="Heading1"/>
              <w:jc w:val="center"/>
              <w:rPr>
                <w:sz w:val="20"/>
                <w:szCs w:val="20"/>
              </w:rPr>
            </w:pPr>
            <w:r w:rsidRPr="006B499C">
              <w:rPr>
                <w:sz w:val="20"/>
                <w:szCs w:val="20"/>
              </w:rPr>
              <w:t>250</w:t>
            </w:r>
          </w:p>
        </w:tc>
        <w:tc>
          <w:tcPr>
            <w:tcW w:w="1417" w:type="dxa"/>
            <w:tcBorders>
              <w:bottom w:val="single" w:sz="8" w:space="0" w:color="auto"/>
            </w:tcBorders>
          </w:tcPr>
          <w:p w14:paraId="3CBCF1D6" w14:textId="77777777" w:rsidR="000923BB" w:rsidRPr="006B499C" w:rsidRDefault="000923BB" w:rsidP="003A385F">
            <w:pPr>
              <w:pStyle w:val="Heading1"/>
              <w:jc w:val="center"/>
              <w:rPr>
                <w:sz w:val="20"/>
                <w:szCs w:val="20"/>
              </w:rPr>
            </w:pPr>
            <w:r w:rsidRPr="006B499C">
              <w:rPr>
                <w:sz w:val="20"/>
                <w:szCs w:val="20"/>
              </w:rPr>
              <w:t>250</w:t>
            </w:r>
          </w:p>
        </w:tc>
        <w:tc>
          <w:tcPr>
            <w:tcW w:w="993" w:type="dxa"/>
            <w:tcBorders>
              <w:bottom w:val="single" w:sz="8" w:space="0" w:color="auto"/>
            </w:tcBorders>
          </w:tcPr>
          <w:p w14:paraId="37967B6E" w14:textId="77777777" w:rsidR="000923BB" w:rsidRPr="006B499C" w:rsidRDefault="000923BB" w:rsidP="003A385F">
            <w:pPr>
              <w:pStyle w:val="Heading1"/>
              <w:jc w:val="center"/>
              <w:rPr>
                <w:sz w:val="20"/>
                <w:szCs w:val="20"/>
              </w:rPr>
            </w:pPr>
            <w:r w:rsidRPr="006B499C">
              <w:rPr>
                <w:sz w:val="20"/>
                <w:szCs w:val="20"/>
              </w:rPr>
              <w:t>900</w:t>
            </w:r>
          </w:p>
        </w:tc>
      </w:tr>
      <w:tr w:rsidR="000923BB" w14:paraId="6E016E73" w14:textId="77777777" w:rsidTr="009148F2">
        <w:tc>
          <w:tcPr>
            <w:tcW w:w="1755" w:type="dxa"/>
            <w:tcBorders>
              <w:top w:val="single" w:sz="8" w:space="0" w:color="auto"/>
              <w:bottom w:val="single" w:sz="8" w:space="0" w:color="auto"/>
            </w:tcBorders>
          </w:tcPr>
          <w:p w14:paraId="509DF2B5" w14:textId="77777777" w:rsidR="000923BB" w:rsidRPr="006B499C" w:rsidRDefault="000923BB" w:rsidP="003A385F">
            <w:pPr>
              <w:spacing w:before="120"/>
              <w:rPr>
                <w:rFonts w:cs="Arial"/>
                <w:b/>
                <w:bCs/>
                <w:sz w:val="20"/>
                <w:szCs w:val="20"/>
              </w:rPr>
            </w:pPr>
            <w:r w:rsidRPr="006B499C">
              <w:rPr>
                <w:rFonts w:cs="Arial"/>
                <w:b/>
                <w:bCs/>
                <w:sz w:val="20"/>
                <w:szCs w:val="20"/>
              </w:rPr>
              <w:t>Lower mortality hospitals</w:t>
            </w:r>
          </w:p>
        </w:tc>
        <w:tc>
          <w:tcPr>
            <w:tcW w:w="1364" w:type="dxa"/>
            <w:tcBorders>
              <w:top w:val="single" w:sz="8" w:space="0" w:color="auto"/>
              <w:bottom w:val="single" w:sz="8" w:space="0" w:color="auto"/>
            </w:tcBorders>
          </w:tcPr>
          <w:p w14:paraId="5674E637" w14:textId="77777777" w:rsidR="000923BB" w:rsidRPr="006B499C" w:rsidRDefault="000923BB" w:rsidP="003A385F">
            <w:pPr>
              <w:pStyle w:val="Heading1"/>
              <w:jc w:val="center"/>
              <w:rPr>
                <w:sz w:val="20"/>
                <w:szCs w:val="20"/>
              </w:rPr>
            </w:pPr>
            <w:r w:rsidRPr="006B499C">
              <w:rPr>
                <w:sz w:val="20"/>
                <w:szCs w:val="20"/>
              </w:rPr>
              <w:t>Hospital 5</w:t>
            </w:r>
          </w:p>
        </w:tc>
        <w:tc>
          <w:tcPr>
            <w:tcW w:w="1417" w:type="dxa"/>
            <w:tcBorders>
              <w:top w:val="single" w:sz="8" w:space="0" w:color="auto"/>
              <w:bottom w:val="single" w:sz="8" w:space="0" w:color="auto"/>
            </w:tcBorders>
          </w:tcPr>
          <w:p w14:paraId="5DB0AB5D" w14:textId="77777777" w:rsidR="000923BB" w:rsidRPr="006B499C" w:rsidRDefault="000923BB" w:rsidP="003A385F">
            <w:pPr>
              <w:pStyle w:val="Heading1"/>
              <w:jc w:val="center"/>
              <w:rPr>
                <w:sz w:val="20"/>
                <w:szCs w:val="20"/>
              </w:rPr>
            </w:pPr>
            <w:r w:rsidRPr="006B499C">
              <w:rPr>
                <w:sz w:val="20"/>
                <w:szCs w:val="20"/>
              </w:rPr>
              <w:t>Hospital 6</w:t>
            </w:r>
          </w:p>
        </w:tc>
        <w:tc>
          <w:tcPr>
            <w:tcW w:w="1418" w:type="dxa"/>
            <w:tcBorders>
              <w:top w:val="single" w:sz="8" w:space="0" w:color="auto"/>
              <w:bottom w:val="single" w:sz="8" w:space="0" w:color="auto"/>
            </w:tcBorders>
          </w:tcPr>
          <w:p w14:paraId="5DAAF164" w14:textId="77777777" w:rsidR="000923BB" w:rsidRPr="006B499C" w:rsidRDefault="000923BB" w:rsidP="003A385F">
            <w:pPr>
              <w:pStyle w:val="Heading1"/>
              <w:jc w:val="center"/>
              <w:rPr>
                <w:sz w:val="20"/>
                <w:szCs w:val="20"/>
              </w:rPr>
            </w:pPr>
            <w:r w:rsidRPr="006B499C">
              <w:rPr>
                <w:sz w:val="20"/>
                <w:szCs w:val="20"/>
              </w:rPr>
              <w:t>Hospital 7</w:t>
            </w:r>
          </w:p>
        </w:tc>
        <w:tc>
          <w:tcPr>
            <w:tcW w:w="1417" w:type="dxa"/>
            <w:tcBorders>
              <w:top w:val="single" w:sz="8" w:space="0" w:color="auto"/>
              <w:bottom w:val="single" w:sz="8" w:space="0" w:color="auto"/>
            </w:tcBorders>
          </w:tcPr>
          <w:p w14:paraId="01FB64AB" w14:textId="77777777" w:rsidR="000923BB" w:rsidRPr="006B499C" w:rsidRDefault="000923BB" w:rsidP="003A385F">
            <w:pPr>
              <w:pStyle w:val="Heading1"/>
              <w:jc w:val="center"/>
              <w:rPr>
                <w:sz w:val="20"/>
                <w:szCs w:val="20"/>
              </w:rPr>
            </w:pPr>
            <w:r w:rsidRPr="006B499C">
              <w:rPr>
                <w:sz w:val="20"/>
                <w:szCs w:val="20"/>
              </w:rPr>
              <w:t>Hospital 8</w:t>
            </w:r>
          </w:p>
        </w:tc>
        <w:tc>
          <w:tcPr>
            <w:tcW w:w="993" w:type="dxa"/>
            <w:tcBorders>
              <w:top w:val="single" w:sz="8" w:space="0" w:color="auto"/>
              <w:bottom w:val="single" w:sz="8" w:space="0" w:color="auto"/>
            </w:tcBorders>
          </w:tcPr>
          <w:p w14:paraId="2451B7B5" w14:textId="77777777" w:rsidR="000923BB" w:rsidRPr="006B499C" w:rsidRDefault="000923BB" w:rsidP="003A385F">
            <w:pPr>
              <w:pStyle w:val="Heading1"/>
              <w:jc w:val="center"/>
              <w:rPr>
                <w:sz w:val="20"/>
                <w:szCs w:val="20"/>
              </w:rPr>
            </w:pPr>
          </w:p>
        </w:tc>
      </w:tr>
      <w:tr w:rsidR="000923BB" w14:paraId="54E594E9" w14:textId="77777777" w:rsidTr="009148F2">
        <w:tc>
          <w:tcPr>
            <w:tcW w:w="1755" w:type="dxa"/>
            <w:tcBorders>
              <w:top w:val="single" w:sz="8" w:space="0" w:color="auto"/>
              <w:bottom w:val="nil"/>
            </w:tcBorders>
          </w:tcPr>
          <w:p w14:paraId="47F71E80" w14:textId="77777777" w:rsidR="000923BB" w:rsidRPr="006B499C" w:rsidRDefault="000923BB" w:rsidP="003A385F">
            <w:pPr>
              <w:spacing w:before="120"/>
              <w:rPr>
                <w:rFonts w:cs="Arial"/>
                <w:b/>
                <w:bCs/>
                <w:sz w:val="20"/>
                <w:szCs w:val="20"/>
              </w:rPr>
            </w:pPr>
            <w:r w:rsidRPr="006B499C">
              <w:rPr>
                <w:rFonts w:cs="Arial"/>
                <w:b/>
                <w:bCs/>
                <w:sz w:val="20"/>
                <w:szCs w:val="20"/>
              </w:rPr>
              <w:t>COPD</w:t>
            </w:r>
          </w:p>
        </w:tc>
        <w:tc>
          <w:tcPr>
            <w:tcW w:w="1364" w:type="dxa"/>
            <w:tcBorders>
              <w:top w:val="single" w:sz="8" w:space="0" w:color="auto"/>
              <w:bottom w:val="nil"/>
            </w:tcBorders>
          </w:tcPr>
          <w:p w14:paraId="6E59DD8D" w14:textId="77777777" w:rsidR="000923BB" w:rsidRPr="006B499C" w:rsidRDefault="000923BB" w:rsidP="003A385F">
            <w:pPr>
              <w:spacing w:before="120"/>
              <w:rPr>
                <w:rFonts w:cs="Arial"/>
                <w:sz w:val="20"/>
                <w:szCs w:val="20"/>
              </w:rPr>
            </w:pPr>
            <w:r w:rsidRPr="006B499C">
              <w:rPr>
                <w:rFonts w:cs="Arial"/>
                <w:sz w:val="20"/>
                <w:szCs w:val="20"/>
              </w:rPr>
              <w:t xml:space="preserve">CA (1)    </w:t>
            </w:r>
          </w:p>
        </w:tc>
        <w:tc>
          <w:tcPr>
            <w:tcW w:w="1417" w:type="dxa"/>
            <w:tcBorders>
              <w:top w:val="single" w:sz="8" w:space="0" w:color="auto"/>
              <w:bottom w:val="nil"/>
            </w:tcBorders>
          </w:tcPr>
          <w:p w14:paraId="08956E40" w14:textId="77777777" w:rsidR="000923BB" w:rsidRPr="006B499C" w:rsidRDefault="000923BB" w:rsidP="003A385F">
            <w:pPr>
              <w:spacing w:before="120"/>
              <w:rPr>
                <w:rFonts w:cs="Arial"/>
                <w:sz w:val="20"/>
                <w:szCs w:val="20"/>
              </w:rPr>
            </w:pPr>
            <w:r w:rsidRPr="006B499C">
              <w:rPr>
                <w:rFonts w:cs="Arial"/>
                <w:sz w:val="20"/>
                <w:szCs w:val="20"/>
              </w:rPr>
              <w:t xml:space="preserve">CA (1)    </w:t>
            </w:r>
          </w:p>
        </w:tc>
        <w:tc>
          <w:tcPr>
            <w:tcW w:w="1418" w:type="dxa"/>
            <w:tcBorders>
              <w:top w:val="single" w:sz="8" w:space="0" w:color="auto"/>
              <w:bottom w:val="nil"/>
            </w:tcBorders>
          </w:tcPr>
          <w:p w14:paraId="67B342D2" w14:textId="77777777" w:rsidR="000923BB" w:rsidRPr="006B499C" w:rsidRDefault="000923BB" w:rsidP="003A385F">
            <w:pPr>
              <w:spacing w:before="120"/>
              <w:rPr>
                <w:rFonts w:cs="Arial"/>
                <w:sz w:val="20"/>
                <w:szCs w:val="20"/>
              </w:rPr>
            </w:pPr>
            <w:r w:rsidRPr="006B499C">
              <w:rPr>
                <w:rFonts w:cs="Arial"/>
                <w:sz w:val="20"/>
                <w:szCs w:val="20"/>
              </w:rPr>
              <w:t xml:space="preserve">CA (2)     </w:t>
            </w:r>
          </w:p>
        </w:tc>
        <w:tc>
          <w:tcPr>
            <w:tcW w:w="1417" w:type="dxa"/>
            <w:tcBorders>
              <w:top w:val="single" w:sz="8" w:space="0" w:color="auto"/>
              <w:bottom w:val="nil"/>
            </w:tcBorders>
          </w:tcPr>
          <w:p w14:paraId="63176D9F" w14:textId="77777777" w:rsidR="000923BB" w:rsidRPr="006B499C" w:rsidRDefault="000923BB" w:rsidP="003A385F">
            <w:pPr>
              <w:spacing w:before="120"/>
              <w:rPr>
                <w:rFonts w:cs="Arial"/>
                <w:sz w:val="20"/>
                <w:szCs w:val="20"/>
              </w:rPr>
            </w:pPr>
            <w:r w:rsidRPr="006B499C">
              <w:rPr>
                <w:rFonts w:cs="Arial"/>
                <w:sz w:val="20"/>
                <w:szCs w:val="20"/>
              </w:rPr>
              <w:t xml:space="preserve">CA (2)     </w:t>
            </w:r>
          </w:p>
        </w:tc>
        <w:tc>
          <w:tcPr>
            <w:tcW w:w="993" w:type="dxa"/>
            <w:tcBorders>
              <w:top w:val="single" w:sz="8" w:space="0" w:color="auto"/>
              <w:bottom w:val="nil"/>
            </w:tcBorders>
          </w:tcPr>
          <w:p w14:paraId="14D545DB" w14:textId="77777777" w:rsidR="000923BB" w:rsidRPr="006B499C" w:rsidRDefault="000923BB" w:rsidP="003A385F">
            <w:pPr>
              <w:jc w:val="both"/>
              <w:rPr>
                <w:rFonts w:cs="Arial"/>
                <w:sz w:val="20"/>
                <w:szCs w:val="20"/>
              </w:rPr>
            </w:pPr>
          </w:p>
        </w:tc>
      </w:tr>
      <w:tr w:rsidR="000923BB" w14:paraId="39A7214C" w14:textId="77777777" w:rsidTr="009148F2">
        <w:tc>
          <w:tcPr>
            <w:tcW w:w="1755" w:type="dxa"/>
            <w:tcBorders>
              <w:top w:val="nil"/>
              <w:bottom w:val="single" w:sz="4" w:space="0" w:color="auto"/>
            </w:tcBorders>
          </w:tcPr>
          <w:p w14:paraId="068E8AE3" w14:textId="77777777" w:rsidR="000923BB" w:rsidRPr="006B499C" w:rsidRDefault="000923BB" w:rsidP="003A385F">
            <w:pPr>
              <w:rPr>
                <w:rFonts w:cs="Arial"/>
                <w:b/>
                <w:bCs/>
                <w:sz w:val="20"/>
                <w:szCs w:val="20"/>
              </w:rPr>
            </w:pPr>
            <w:r w:rsidRPr="006B499C">
              <w:rPr>
                <w:rFonts w:cs="Arial"/>
                <w:b/>
                <w:bCs/>
                <w:sz w:val="20"/>
                <w:szCs w:val="20"/>
              </w:rPr>
              <w:t>Heart Failure</w:t>
            </w:r>
          </w:p>
        </w:tc>
        <w:tc>
          <w:tcPr>
            <w:tcW w:w="1364" w:type="dxa"/>
            <w:tcBorders>
              <w:top w:val="nil"/>
              <w:bottom w:val="single" w:sz="4" w:space="0" w:color="auto"/>
            </w:tcBorders>
          </w:tcPr>
          <w:p w14:paraId="2572CA95" w14:textId="77777777" w:rsidR="000923BB" w:rsidRPr="006B499C" w:rsidRDefault="000923BB" w:rsidP="003A385F">
            <w:pPr>
              <w:rPr>
                <w:rFonts w:cs="Arial"/>
                <w:sz w:val="20"/>
                <w:szCs w:val="20"/>
              </w:rPr>
            </w:pPr>
            <w:r w:rsidRPr="006B499C">
              <w:rPr>
                <w:rFonts w:cs="Arial"/>
                <w:sz w:val="20"/>
                <w:szCs w:val="20"/>
              </w:rPr>
              <w:t>CA (2)   P (1)</w:t>
            </w:r>
          </w:p>
        </w:tc>
        <w:tc>
          <w:tcPr>
            <w:tcW w:w="1417" w:type="dxa"/>
            <w:tcBorders>
              <w:top w:val="nil"/>
              <w:bottom w:val="single" w:sz="4" w:space="0" w:color="auto"/>
            </w:tcBorders>
          </w:tcPr>
          <w:p w14:paraId="3FD27EBC" w14:textId="77777777" w:rsidR="000923BB" w:rsidRPr="006B499C" w:rsidRDefault="000923BB" w:rsidP="003A385F">
            <w:pPr>
              <w:rPr>
                <w:rFonts w:cs="Arial"/>
                <w:sz w:val="20"/>
                <w:szCs w:val="20"/>
              </w:rPr>
            </w:pPr>
            <w:r w:rsidRPr="006B499C">
              <w:rPr>
                <w:rFonts w:cs="Arial"/>
                <w:sz w:val="20"/>
                <w:szCs w:val="20"/>
              </w:rPr>
              <w:t>CA (1)   P (2)</w:t>
            </w:r>
          </w:p>
        </w:tc>
        <w:tc>
          <w:tcPr>
            <w:tcW w:w="1418" w:type="dxa"/>
            <w:tcBorders>
              <w:top w:val="nil"/>
              <w:bottom w:val="single" w:sz="4" w:space="0" w:color="auto"/>
            </w:tcBorders>
          </w:tcPr>
          <w:p w14:paraId="0954CC84" w14:textId="77777777" w:rsidR="000923BB" w:rsidRPr="006B499C" w:rsidRDefault="000923BB" w:rsidP="003A385F">
            <w:pPr>
              <w:rPr>
                <w:rFonts w:cs="Arial"/>
                <w:sz w:val="20"/>
                <w:szCs w:val="20"/>
              </w:rPr>
            </w:pPr>
            <w:r w:rsidRPr="006B499C">
              <w:rPr>
                <w:rFonts w:cs="Arial"/>
                <w:sz w:val="20"/>
                <w:szCs w:val="20"/>
              </w:rPr>
              <w:t>CA (2)   P (1)</w:t>
            </w:r>
          </w:p>
        </w:tc>
        <w:tc>
          <w:tcPr>
            <w:tcW w:w="1417" w:type="dxa"/>
            <w:tcBorders>
              <w:top w:val="nil"/>
              <w:bottom w:val="single" w:sz="4" w:space="0" w:color="auto"/>
            </w:tcBorders>
          </w:tcPr>
          <w:p w14:paraId="15368BBE" w14:textId="77777777" w:rsidR="000923BB" w:rsidRPr="006B499C" w:rsidRDefault="000923BB" w:rsidP="003A385F">
            <w:pPr>
              <w:rPr>
                <w:rFonts w:cs="Arial"/>
                <w:sz w:val="20"/>
                <w:szCs w:val="20"/>
              </w:rPr>
            </w:pPr>
            <w:r w:rsidRPr="006B499C">
              <w:rPr>
                <w:rFonts w:cs="Arial"/>
                <w:sz w:val="20"/>
                <w:szCs w:val="20"/>
              </w:rPr>
              <w:t>CA (1)  P (2)</w:t>
            </w:r>
          </w:p>
        </w:tc>
        <w:tc>
          <w:tcPr>
            <w:tcW w:w="993" w:type="dxa"/>
            <w:tcBorders>
              <w:top w:val="nil"/>
              <w:bottom w:val="single" w:sz="4" w:space="0" w:color="auto"/>
            </w:tcBorders>
          </w:tcPr>
          <w:p w14:paraId="689BBCCE" w14:textId="77777777" w:rsidR="000923BB" w:rsidRPr="006B499C" w:rsidRDefault="000923BB" w:rsidP="003A385F">
            <w:pPr>
              <w:jc w:val="both"/>
              <w:rPr>
                <w:rFonts w:cs="Arial"/>
                <w:sz w:val="20"/>
                <w:szCs w:val="20"/>
              </w:rPr>
            </w:pPr>
          </w:p>
        </w:tc>
      </w:tr>
      <w:tr w:rsidR="000923BB" w14:paraId="2BF8FB39" w14:textId="77777777" w:rsidTr="009148F2">
        <w:tc>
          <w:tcPr>
            <w:tcW w:w="1755" w:type="dxa"/>
            <w:tcBorders>
              <w:top w:val="single" w:sz="4" w:space="0" w:color="auto"/>
              <w:bottom w:val="single" w:sz="8" w:space="0" w:color="auto"/>
            </w:tcBorders>
          </w:tcPr>
          <w:p w14:paraId="5BB5411E" w14:textId="77777777" w:rsidR="000923BB" w:rsidRPr="006B499C" w:rsidRDefault="000923BB" w:rsidP="003A385F">
            <w:pPr>
              <w:keepNext/>
              <w:spacing w:before="240" w:after="60"/>
              <w:outlineLvl w:val="2"/>
              <w:rPr>
                <w:rFonts w:cs="Arial"/>
                <w:b/>
                <w:bCs/>
                <w:sz w:val="20"/>
                <w:szCs w:val="20"/>
              </w:rPr>
            </w:pPr>
            <w:r w:rsidRPr="006B499C">
              <w:rPr>
                <w:rFonts w:cs="Arial"/>
                <w:b/>
                <w:bCs/>
                <w:sz w:val="20"/>
                <w:szCs w:val="20"/>
              </w:rPr>
              <w:t>Total reviews</w:t>
            </w:r>
            <w:r w:rsidRPr="006B499C">
              <w:rPr>
                <w:sz w:val="20"/>
                <w:szCs w:val="20"/>
              </w:rPr>
              <w:t xml:space="preserve"> (</w:t>
            </w:r>
            <w:r w:rsidRPr="006B499C">
              <w:rPr>
                <w:rFonts w:cs="Arial"/>
                <w:sz w:val="20"/>
                <w:szCs w:val="20"/>
              </w:rPr>
              <w:t>from 400 case notes)</w:t>
            </w:r>
          </w:p>
        </w:tc>
        <w:tc>
          <w:tcPr>
            <w:tcW w:w="1364" w:type="dxa"/>
            <w:tcBorders>
              <w:top w:val="single" w:sz="4" w:space="0" w:color="auto"/>
              <w:bottom w:val="single" w:sz="8" w:space="0" w:color="auto"/>
            </w:tcBorders>
          </w:tcPr>
          <w:p w14:paraId="538FF3F0" w14:textId="77777777" w:rsidR="000923BB" w:rsidRPr="006B499C" w:rsidRDefault="000923BB" w:rsidP="003A385F">
            <w:pPr>
              <w:pStyle w:val="Heading1"/>
              <w:jc w:val="center"/>
              <w:rPr>
                <w:sz w:val="20"/>
                <w:szCs w:val="20"/>
              </w:rPr>
            </w:pPr>
            <w:r w:rsidRPr="006B499C">
              <w:rPr>
                <w:sz w:val="20"/>
                <w:szCs w:val="20"/>
              </w:rPr>
              <w:t>200</w:t>
            </w:r>
          </w:p>
        </w:tc>
        <w:tc>
          <w:tcPr>
            <w:tcW w:w="1417" w:type="dxa"/>
            <w:tcBorders>
              <w:top w:val="single" w:sz="4" w:space="0" w:color="auto"/>
              <w:bottom w:val="single" w:sz="8" w:space="0" w:color="auto"/>
            </w:tcBorders>
          </w:tcPr>
          <w:p w14:paraId="548E286F" w14:textId="77777777" w:rsidR="000923BB" w:rsidRPr="006B499C" w:rsidRDefault="000923BB" w:rsidP="003A385F">
            <w:pPr>
              <w:pStyle w:val="Heading1"/>
              <w:jc w:val="center"/>
              <w:rPr>
                <w:sz w:val="20"/>
                <w:szCs w:val="20"/>
              </w:rPr>
            </w:pPr>
            <w:r w:rsidRPr="006B499C">
              <w:rPr>
                <w:sz w:val="20"/>
                <w:szCs w:val="20"/>
              </w:rPr>
              <w:t>200</w:t>
            </w:r>
          </w:p>
        </w:tc>
        <w:tc>
          <w:tcPr>
            <w:tcW w:w="1418" w:type="dxa"/>
            <w:tcBorders>
              <w:top w:val="single" w:sz="4" w:space="0" w:color="auto"/>
              <w:bottom w:val="single" w:sz="8" w:space="0" w:color="auto"/>
            </w:tcBorders>
          </w:tcPr>
          <w:p w14:paraId="6CB219E4" w14:textId="77777777" w:rsidR="000923BB" w:rsidRPr="006B499C" w:rsidRDefault="000923BB" w:rsidP="003A385F">
            <w:pPr>
              <w:pStyle w:val="Heading1"/>
              <w:jc w:val="center"/>
              <w:rPr>
                <w:sz w:val="20"/>
                <w:szCs w:val="20"/>
              </w:rPr>
            </w:pPr>
            <w:r w:rsidRPr="006B499C">
              <w:rPr>
                <w:sz w:val="20"/>
                <w:szCs w:val="20"/>
              </w:rPr>
              <w:t>250</w:t>
            </w:r>
          </w:p>
        </w:tc>
        <w:tc>
          <w:tcPr>
            <w:tcW w:w="1417" w:type="dxa"/>
            <w:tcBorders>
              <w:top w:val="single" w:sz="4" w:space="0" w:color="auto"/>
              <w:bottom w:val="single" w:sz="8" w:space="0" w:color="auto"/>
            </w:tcBorders>
          </w:tcPr>
          <w:p w14:paraId="07982B6E" w14:textId="77777777" w:rsidR="000923BB" w:rsidRPr="006B499C" w:rsidRDefault="000923BB" w:rsidP="003A385F">
            <w:pPr>
              <w:pStyle w:val="Heading1"/>
              <w:jc w:val="center"/>
              <w:rPr>
                <w:sz w:val="20"/>
                <w:szCs w:val="20"/>
              </w:rPr>
            </w:pPr>
            <w:r w:rsidRPr="006B499C">
              <w:rPr>
                <w:sz w:val="20"/>
                <w:szCs w:val="20"/>
              </w:rPr>
              <w:t>250</w:t>
            </w:r>
          </w:p>
        </w:tc>
        <w:tc>
          <w:tcPr>
            <w:tcW w:w="993" w:type="dxa"/>
            <w:tcBorders>
              <w:top w:val="single" w:sz="4" w:space="0" w:color="auto"/>
              <w:bottom w:val="single" w:sz="8" w:space="0" w:color="auto"/>
            </w:tcBorders>
          </w:tcPr>
          <w:p w14:paraId="73C6C824" w14:textId="77777777" w:rsidR="000923BB" w:rsidRPr="006B499C" w:rsidRDefault="000923BB" w:rsidP="003A385F">
            <w:pPr>
              <w:pStyle w:val="Heading1"/>
              <w:jc w:val="center"/>
              <w:rPr>
                <w:sz w:val="20"/>
                <w:szCs w:val="20"/>
              </w:rPr>
            </w:pPr>
            <w:r w:rsidRPr="006B499C">
              <w:rPr>
                <w:sz w:val="20"/>
                <w:szCs w:val="20"/>
              </w:rPr>
              <w:t>900</w:t>
            </w:r>
          </w:p>
        </w:tc>
      </w:tr>
      <w:tr w:rsidR="000923BB" w14:paraId="48DF3227" w14:textId="77777777" w:rsidTr="009148F2">
        <w:tc>
          <w:tcPr>
            <w:tcW w:w="1755" w:type="dxa"/>
            <w:tcBorders>
              <w:top w:val="single" w:sz="8" w:space="0" w:color="auto"/>
              <w:left w:val="single" w:sz="4" w:space="0" w:color="auto"/>
              <w:bottom w:val="single" w:sz="4" w:space="0" w:color="auto"/>
              <w:right w:val="nil"/>
            </w:tcBorders>
          </w:tcPr>
          <w:p w14:paraId="09CA9426" w14:textId="77777777" w:rsidR="000923BB" w:rsidRPr="006B499C" w:rsidRDefault="000923BB" w:rsidP="009148F2">
            <w:pPr>
              <w:spacing w:before="240"/>
              <w:rPr>
                <w:rFonts w:cs="Arial"/>
                <w:b/>
                <w:bCs/>
                <w:sz w:val="20"/>
                <w:szCs w:val="20"/>
              </w:rPr>
            </w:pPr>
            <w:r w:rsidRPr="006B499C">
              <w:rPr>
                <w:rFonts w:cs="Arial"/>
                <w:b/>
                <w:bCs/>
                <w:sz w:val="20"/>
                <w:szCs w:val="20"/>
              </w:rPr>
              <w:t>Overall total of eviews</w:t>
            </w:r>
            <w:r>
              <w:rPr>
                <w:rFonts w:cs="Arial"/>
                <w:b/>
                <w:bCs/>
                <w:sz w:val="20"/>
                <w:szCs w:val="20"/>
              </w:rPr>
              <w:t xml:space="preserve"> for each review method</w:t>
            </w:r>
          </w:p>
        </w:tc>
        <w:tc>
          <w:tcPr>
            <w:tcW w:w="1364" w:type="dxa"/>
            <w:tcBorders>
              <w:top w:val="single" w:sz="8" w:space="0" w:color="auto"/>
              <w:left w:val="nil"/>
              <w:bottom w:val="single" w:sz="4" w:space="0" w:color="auto"/>
              <w:right w:val="nil"/>
            </w:tcBorders>
          </w:tcPr>
          <w:p w14:paraId="3BA2327F" w14:textId="77777777" w:rsidR="000923BB" w:rsidRPr="006B499C" w:rsidRDefault="000923BB" w:rsidP="003A385F">
            <w:pPr>
              <w:jc w:val="both"/>
              <w:rPr>
                <w:rFonts w:cs="Arial"/>
                <w:b/>
                <w:bCs/>
                <w:sz w:val="20"/>
                <w:szCs w:val="20"/>
              </w:rPr>
            </w:pPr>
          </w:p>
        </w:tc>
        <w:tc>
          <w:tcPr>
            <w:tcW w:w="1417" w:type="dxa"/>
            <w:tcBorders>
              <w:top w:val="single" w:sz="8" w:space="0" w:color="auto"/>
              <w:left w:val="nil"/>
              <w:bottom w:val="single" w:sz="4" w:space="0" w:color="auto"/>
              <w:right w:val="nil"/>
            </w:tcBorders>
          </w:tcPr>
          <w:p w14:paraId="587810EB" w14:textId="77777777" w:rsidR="000923BB" w:rsidRPr="006B499C" w:rsidRDefault="000923BB" w:rsidP="003A385F">
            <w:pPr>
              <w:jc w:val="both"/>
              <w:rPr>
                <w:rFonts w:cs="Arial"/>
                <w:b/>
                <w:bCs/>
                <w:sz w:val="20"/>
                <w:szCs w:val="20"/>
              </w:rPr>
            </w:pPr>
          </w:p>
        </w:tc>
        <w:tc>
          <w:tcPr>
            <w:tcW w:w="1418" w:type="dxa"/>
            <w:tcBorders>
              <w:top w:val="single" w:sz="8" w:space="0" w:color="auto"/>
              <w:left w:val="nil"/>
              <w:bottom w:val="single" w:sz="4" w:space="0" w:color="auto"/>
              <w:right w:val="nil"/>
            </w:tcBorders>
          </w:tcPr>
          <w:p w14:paraId="112DFEF6" w14:textId="77777777" w:rsidR="000923BB" w:rsidRPr="006B499C" w:rsidRDefault="000923BB" w:rsidP="003A385F">
            <w:pPr>
              <w:jc w:val="both"/>
              <w:rPr>
                <w:rFonts w:cs="Arial"/>
                <w:b/>
                <w:bCs/>
                <w:sz w:val="20"/>
                <w:szCs w:val="20"/>
              </w:rPr>
            </w:pPr>
          </w:p>
        </w:tc>
        <w:tc>
          <w:tcPr>
            <w:tcW w:w="1417" w:type="dxa"/>
            <w:tcBorders>
              <w:top w:val="single" w:sz="8" w:space="0" w:color="auto"/>
              <w:left w:val="nil"/>
              <w:bottom w:val="single" w:sz="4" w:space="0" w:color="auto"/>
            </w:tcBorders>
          </w:tcPr>
          <w:p w14:paraId="2C9AD2F3" w14:textId="77777777" w:rsidR="000923BB" w:rsidRPr="006B499C" w:rsidRDefault="000923BB" w:rsidP="003A385F">
            <w:pPr>
              <w:jc w:val="both"/>
              <w:rPr>
                <w:rFonts w:cs="Arial"/>
                <w:b/>
                <w:bCs/>
                <w:sz w:val="20"/>
                <w:szCs w:val="20"/>
              </w:rPr>
            </w:pPr>
          </w:p>
        </w:tc>
        <w:tc>
          <w:tcPr>
            <w:tcW w:w="993" w:type="dxa"/>
            <w:tcBorders>
              <w:top w:val="single" w:sz="8" w:space="0" w:color="auto"/>
            </w:tcBorders>
          </w:tcPr>
          <w:p w14:paraId="4A9B74DD" w14:textId="77777777" w:rsidR="000923BB" w:rsidRPr="006B499C" w:rsidRDefault="000923BB" w:rsidP="003A385F">
            <w:pPr>
              <w:pStyle w:val="Heading1"/>
              <w:jc w:val="center"/>
              <w:rPr>
                <w:sz w:val="20"/>
                <w:szCs w:val="20"/>
              </w:rPr>
            </w:pPr>
            <w:r w:rsidRPr="006B499C">
              <w:rPr>
                <w:sz w:val="20"/>
                <w:szCs w:val="20"/>
              </w:rPr>
              <w:t>1800</w:t>
            </w:r>
          </w:p>
        </w:tc>
      </w:tr>
    </w:tbl>
    <w:p w14:paraId="3593E347" w14:textId="77777777" w:rsidR="000923BB" w:rsidRDefault="000923BB" w:rsidP="000923BB">
      <w:pPr>
        <w:jc w:val="both"/>
        <w:rPr>
          <w:rFonts w:cs="Arial"/>
          <w:b/>
          <w:bCs/>
          <w:i/>
          <w:iCs/>
          <w:sz w:val="22"/>
          <w:szCs w:val="22"/>
        </w:rPr>
      </w:pPr>
      <w:r>
        <w:rPr>
          <w:rFonts w:cs="Arial"/>
          <w:b/>
          <w:bCs/>
          <w:i/>
          <w:iCs/>
          <w:sz w:val="22"/>
          <w:szCs w:val="22"/>
        </w:rPr>
        <w:lastRenderedPageBreak/>
        <w:t xml:space="preserve">Recruitment of hospitals and staff </w:t>
      </w:r>
    </w:p>
    <w:p w14:paraId="0582DDDC" w14:textId="77777777" w:rsidR="000923BB" w:rsidRDefault="000923BB" w:rsidP="000923BB">
      <w:pPr>
        <w:jc w:val="both"/>
        <w:rPr>
          <w:rFonts w:cs="Arial"/>
          <w:sz w:val="22"/>
          <w:szCs w:val="22"/>
        </w:rPr>
      </w:pPr>
      <w:r>
        <w:rPr>
          <w:rFonts w:cs="Arial"/>
          <w:sz w:val="22"/>
          <w:szCs w:val="22"/>
        </w:rPr>
        <w:t>Recruitment of study participants was a complex and time consuming process as participation required the agreement the COPD and heart failure clinical teams at each hospital and was also dependent on the availability of hospital staff to review records for the study. A total of eight hospitals were required for participation in this first part of the study.  Because we expected difficulties in recruiting hospitals, mainly a lack of availability of staff within hospitals to review records, a total of 20 randomly selected hospitals (10 in the lower mortality quartile and 10 in the higher mortality quartile) were contacted and invited to participate in the study when only 8 were actually required to participate in this phase.</w:t>
      </w:r>
    </w:p>
    <w:p w14:paraId="0885E3D8" w14:textId="77777777" w:rsidR="000923BB" w:rsidRDefault="000923BB" w:rsidP="000923BB">
      <w:pPr>
        <w:jc w:val="both"/>
        <w:rPr>
          <w:rFonts w:cs="Arial"/>
          <w:sz w:val="22"/>
          <w:szCs w:val="22"/>
        </w:rPr>
      </w:pPr>
    </w:p>
    <w:p w14:paraId="13827B50" w14:textId="77777777" w:rsidR="000923BB" w:rsidRDefault="000923BB" w:rsidP="000923BB">
      <w:pPr>
        <w:jc w:val="both"/>
        <w:rPr>
          <w:rFonts w:cs="Arial"/>
          <w:sz w:val="22"/>
          <w:szCs w:val="22"/>
        </w:rPr>
      </w:pPr>
      <w:r>
        <w:rPr>
          <w:rFonts w:cs="Arial"/>
          <w:sz w:val="22"/>
          <w:szCs w:val="22"/>
        </w:rPr>
        <w:t xml:space="preserve">From the initial 20 hospitals contacted, the study recruited five hospitals in each quartile, including one reserve hospital per mortality quartile in an attempt to ensure that a minimum number of eight hospitals were available for the analysis. One reserve hospital subsequently dropped out leaving a total of 9 hospitals in the study, four in the lower mortality quartile and five in the higher mortality quartile – see Figure 2. </w:t>
      </w:r>
    </w:p>
    <w:p w14:paraId="0FC15520" w14:textId="77777777" w:rsidR="000923BB" w:rsidRDefault="000923BB" w:rsidP="000923BB">
      <w:pPr>
        <w:jc w:val="both"/>
        <w:rPr>
          <w:rFonts w:cs="Arial"/>
          <w:sz w:val="22"/>
          <w:szCs w:val="22"/>
        </w:rPr>
      </w:pPr>
    </w:p>
    <w:p w14:paraId="06EB74C9" w14:textId="77777777" w:rsidR="000923BB" w:rsidRPr="005E4BF1" w:rsidRDefault="000923BB" w:rsidP="000923BB">
      <w:pPr>
        <w:jc w:val="both"/>
        <w:rPr>
          <w:rFonts w:cs="Arial"/>
          <w:b/>
          <w:sz w:val="20"/>
          <w:szCs w:val="20"/>
        </w:rPr>
      </w:pPr>
      <w:r w:rsidRPr="005E4BF1">
        <w:rPr>
          <w:rFonts w:cs="Arial"/>
          <w:b/>
          <w:sz w:val="20"/>
          <w:szCs w:val="20"/>
        </w:rPr>
        <w:t xml:space="preserve">Figure 2: </w:t>
      </w:r>
      <w:r>
        <w:rPr>
          <w:rFonts w:cs="Arial"/>
          <w:b/>
          <w:sz w:val="20"/>
          <w:szCs w:val="20"/>
        </w:rPr>
        <w:t>Distribution of h</w:t>
      </w:r>
      <w:r w:rsidRPr="005E4BF1">
        <w:rPr>
          <w:rFonts w:cs="Arial"/>
          <w:b/>
          <w:sz w:val="20"/>
          <w:szCs w:val="20"/>
        </w:rPr>
        <w:t>igher and lower study mortality hospitals</w:t>
      </w:r>
    </w:p>
    <w:tbl>
      <w:tblPr>
        <w:tblW w:w="0" w:type="auto"/>
        <w:tblInd w:w="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7"/>
        <w:gridCol w:w="4091"/>
      </w:tblGrid>
      <w:tr w:rsidR="000923BB" w14:paraId="1FD06BC5" w14:textId="77777777" w:rsidTr="009148F2">
        <w:trPr>
          <w:trHeight w:val="1609"/>
        </w:trPr>
        <w:tc>
          <w:tcPr>
            <w:tcW w:w="4037" w:type="dxa"/>
          </w:tcPr>
          <w:p w14:paraId="11EBF36D" w14:textId="77777777" w:rsidR="000923BB" w:rsidRDefault="000923BB" w:rsidP="003A385F">
            <w:pPr>
              <w:rPr>
                <w:rFonts w:cs="Arial"/>
                <w:b/>
                <w:sz w:val="20"/>
                <w:szCs w:val="20"/>
              </w:rPr>
            </w:pPr>
            <w:r>
              <w:rPr>
                <w:rFonts w:cs="Arial"/>
                <w:b/>
                <w:sz w:val="20"/>
                <w:szCs w:val="20"/>
              </w:rPr>
              <w:t>Box plot of COPD/Heart Failure mortality showing differences between higher and lower mortality groups</w:t>
            </w:r>
          </w:p>
          <w:p w14:paraId="23E65D1D" w14:textId="77777777" w:rsidR="000923BB" w:rsidRDefault="000923BB" w:rsidP="003A385F">
            <w:pPr>
              <w:rPr>
                <w:rFonts w:cs="Arial"/>
                <w:sz w:val="20"/>
                <w:szCs w:val="20"/>
              </w:rPr>
            </w:pPr>
          </w:p>
        </w:tc>
        <w:tc>
          <w:tcPr>
            <w:tcW w:w="4207" w:type="dxa"/>
          </w:tcPr>
          <w:p w14:paraId="578EE412" w14:textId="77777777" w:rsidR="000923BB" w:rsidRDefault="000923BB" w:rsidP="003A385F">
            <w:pPr>
              <w:rPr>
                <w:rFonts w:cs="Arial"/>
                <w:b/>
                <w:sz w:val="20"/>
                <w:szCs w:val="20"/>
              </w:rPr>
            </w:pPr>
            <w:r>
              <w:rPr>
                <w:rFonts w:cs="Arial"/>
                <w:b/>
                <w:sz w:val="20"/>
                <w:szCs w:val="20"/>
              </w:rPr>
              <w:t>Bar chart showing individual hospital level mortality rates</w:t>
            </w:r>
          </w:p>
        </w:tc>
      </w:tr>
      <w:tr w:rsidR="000923BB" w14:paraId="77B22495" w14:textId="77777777" w:rsidTr="009148F2">
        <w:trPr>
          <w:trHeight w:val="4937"/>
        </w:trPr>
        <w:tc>
          <w:tcPr>
            <w:tcW w:w="4037" w:type="dxa"/>
          </w:tcPr>
          <w:p w14:paraId="19C32741" w14:textId="77777777" w:rsidR="000923BB" w:rsidRDefault="000923BB" w:rsidP="003A385F">
            <w:pPr>
              <w:autoSpaceDE w:val="0"/>
              <w:autoSpaceDN w:val="0"/>
              <w:adjustRightInd w:val="0"/>
            </w:pPr>
            <w:r>
              <w:rPr>
                <w:rFonts w:cs="Arial"/>
                <w:noProof/>
                <w:sz w:val="14"/>
                <w:szCs w:val="14"/>
                <w:lang w:eastAsia="en-GB" w:bidi="ar-SA"/>
              </w:rPr>
              <w:drawing>
                <wp:inline distT="0" distB="0" distL="0" distR="0" wp14:anchorId="257A7D60" wp14:editId="67288412">
                  <wp:extent cx="2425065" cy="19399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srcRect/>
                          <a:stretch>
                            <a:fillRect/>
                          </a:stretch>
                        </pic:blipFill>
                        <pic:spPr bwMode="auto">
                          <a:xfrm>
                            <a:off x="0" y="0"/>
                            <a:ext cx="2425065" cy="1939925"/>
                          </a:xfrm>
                          <a:prstGeom prst="rect">
                            <a:avLst/>
                          </a:prstGeom>
                          <a:noFill/>
                          <a:ln w="9525">
                            <a:noFill/>
                            <a:miter lim="800000"/>
                            <a:headEnd/>
                            <a:tailEnd/>
                          </a:ln>
                        </pic:spPr>
                      </pic:pic>
                    </a:graphicData>
                  </a:graphic>
                </wp:inline>
              </w:drawing>
            </w:r>
          </w:p>
        </w:tc>
        <w:tc>
          <w:tcPr>
            <w:tcW w:w="4207" w:type="dxa"/>
          </w:tcPr>
          <w:p w14:paraId="6EC5B56A" w14:textId="5699BE91" w:rsidR="000923BB" w:rsidRDefault="00003011" w:rsidP="003A385F">
            <w:pPr>
              <w:autoSpaceDE w:val="0"/>
              <w:autoSpaceDN w:val="0"/>
              <w:adjustRightInd w:val="0"/>
            </w:pPr>
            <w:r>
              <w:rPr>
                <w:rFonts w:cs="Arial"/>
                <w:noProof/>
              </w:rPr>
              <mc:AlternateContent>
                <mc:Choice Requires="wps">
                  <w:drawing>
                    <wp:anchor distT="0" distB="0" distL="114300" distR="114300" simplePos="0" relativeHeight="252658688" behindDoc="0" locked="0" layoutInCell="1" allowOverlap="1" wp14:anchorId="185F8939" wp14:editId="100623D8">
                      <wp:simplePos x="0" y="0"/>
                      <wp:positionH relativeFrom="column">
                        <wp:posOffset>1684655</wp:posOffset>
                      </wp:positionH>
                      <wp:positionV relativeFrom="paragraph">
                        <wp:posOffset>1934210</wp:posOffset>
                      </wp:positionV>
                      <wp:extent cx="800100" cy="386080"/>
                      <wp:effectExtent l="10795" t="9525" r="8255" b="13970"/>
                      <wp:wrapNone/>
                      <wp:docPr id="1513"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86080"/>
                              </a:xfrm>
                              <a:prstGeom prst="rect">
                                <a:avLst/>
                              </a:prstGeom>
                              <a:solidFill>
                                <a:srgbClr val="FFFFFF"/>
                              </a:solidFill>
                              <a:ln w="9525">
                                <a:solidFill>
                                  <a:srgbClr val="000000"/>
                                </a:solidFill>
                                <a:miter lim="800000"/>
                                <a:headEnd/>
                                <a:tailEnd/>
                              </a:ln>
                            </wps:spPr>
                            <wps:txbx>
                              <w:txbxContent>
                                <w:p w14:paraId="6D16E113" w14:textId="77777777" w:rsidR="001C117D" w:rsidRDefault="001C117D" w:rsidP="000923BB">
                                  <w:pPr>
                                    <w:rPr>
                                      <w:b/>
                                      <w:sz w:val="10"/>
                                      <w:szCs w:val="10"/>
                                    </w:rPr>
                                  </w:pPr>
                                  <w:r>
                                    <w:rPr>
                                      <w:b/>
                                      <w:sz w:val="10"/>
                                      <w:szCs w:val="10"/>
                                    </w:rPr>
                                    <w:t xml:space="preserve">Hospitals with higher mortality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5F8939" id="_x0000_t202" coordsize="21600,21600" o:spt="202" path="m,l,21600r21600,l21600,xe">
                      <v:stroke joinstyle="miter"/>
                      <v:path gradientshapeok="t" o:connecttype="rect"/>
                    </v:shapetype>
                    <v:shape id="Text Box 1032" o:spid="_x0000_s1026" type="#_x0000_t202" style="position:absolute;margin-left:132.65pt;margin-top:152.3pt;width:63pt;height:30.4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">
                      <v:textbox>
                        <w:txbxContent>
                          <w:p w14:paraId="6D16E113" w14:textId="77777777" w:rsidR="001C117D" w:rsidRDefault="001C117D" w:rsidP="000923BB">
                            <w:pPr>
                              <w:rPr>
                                <w:b/>
                                <w:sz w:val="10"/>
                                <w:szCs w:val="10"/>
                              </w:rPr>
                            </w:pPr>
                            <w:r>
                              <w:rPr>
                                <w:b/>
                                <w:sz w:val="10"/>
                                <w:szCs w:val="10"/>
                              </w:rPr>
                              <w:t xml:space="preserve">Hospitals with higher mortality </w:t>
                            </w:r>
                          </w:p>
                        </w:txbxContent>
                      </v:textbox>
                    </v:shape>
                  </w:pict>
                </mc:Fallback>
              </mc:AlternateContent>
            </w:r>
            <w:r>
              <w:rPr>
                <w:rFonts w:cs="Arial"/>
                <w:noProof/>
              </w:rPr>
              <mc:AlternateContent>
                <mc:Choice Requires="wps">
                  <w:drawing>
                    <wp:anchor distT="0" distB="0" distL="114300" distR="114300" simplePos="0" relativeHeight="252657664" behindDoc="0" locked="0" layoutInCell="1" allowOverlap="1" wp14:anchorId="24200BA7" wp14:editId="1907AEDF">
                      <wp:simplePos x="0" y="0"/>
                      <wp:positionH relativeFrom="column">
                        <wp:posOffset>884555</wp:posOffset>
                      </wp:positionH>
                      <wp:positionV relativeFrom="paragraph">
                        <wp:posOffset>1934210</wp:posOffset>
                      </wp:positionV>
                      <wp:extent cx="803275" cy="386080"/>
                      <wp:effectExtent l="10795" t="9525" r="5080" b="13970"/>
                      <wp:wrapNone/>
                      <wp:docPr id="1512" name="Text 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386080"/>
                              </a:xfrm>
                              <a:prstGeom prst="rect">
                                <a:avLst/>
                              </a:prstGeom>
                              <a:solidFill>
                                <a:srgbClr val="FFFFFF"/>
                              </a:solidFill>
                              <a:ln w="9525">
                                <a:solidFill>
                                  <a:srgbClr val="000000"/>
                                </a:solidFill>
                                <a:miter lim="800000"/>
                                <a:headEnd/>
                                <a:tailEnd/>
                              </a:ln>
                            </wps:spPr>
                            <wps:txbx>
                              <w:txbxContent>
                                <w:p w14:paraId="333C25A5" w14:textId="77777777" w:rsidR="001C117D" w:rsidRDefault="001C117D" w:rsidP="000923BB">
                                  <w:pPr>
                                    <w:rPr>
                                      <w:b/>
                                      <w:sz w:val="10"/>
                                      <w:szCs w:val="10"/>
                                    </w:rPr>
                                  </w:pPr>
                                  <w:r>
                                    <w:rPr>
                                      <w:b/>
                                      <w:sz w:val="10"/>
                                      <w:szCs w:val="10"/>
                                    </w:rPr>
                                    <w:t xml:space="preserve">Hospitals with lower mortality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00BA7" id="Text Box 1031" o:spid="_x0000_s1027" type="#_x0000_t202" style="position:absolute;margin-left:69.65pt;margin-top:152.3pt;width:63.25pt;height:30.4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">
                      <v:textbox>
                        <w:txbxContent>
                          <w:p w14:paraId="333C25A5" w14:textId="77777777" w:rsidR="001C117D" w:rsidRDefault="001C117D" w:rsidP="000923BB">
                            <w:pPr>
                              <w:rPr>
                                <w:b/>
                                <w:sz w:val="10"/>
                                <w:szCs w:val="10"/>
                              </w:rPr>
                            </w:pPr>
                            <w:r>
                              <w:rPr>
                                <w:b/>
                                <w:sz w:val="10"/>
                                <w:szCs w:val="10"/>
                              </w:rPr>
                              <w:t xml:space="preserve">Hospitals with lower mortality </w:t>
                            </w:r>
                          </w:p>
                        </w:txbxContent>
                      </v:textbox>
                    </v:shape>
                  </w:pict>
                </mc:Fallback>
              </mc:AlternateContent>
            </w:r>
            <w:r w:rsidR="000923BB">
              <w:rPr>
                <w:rFonts w:cs="Arial"/>
                <w:noProof/>
                <w:sz w:val="14"/>
                <w:szCs w:val="14"/>
                <w:lang w:eastAsia="en-GB" w:bidi="ar-SA"/>
              </w:rPr>
              <w:drawing>
                <wp:inline distT="0" distB="0" distL="0" distR="0" wp14:anchorId="7C6BC521" wp14:editId="4D767D6C">
                  <wp:extent cx="2528570" cy="2019935"/>
                  <wp:effectExtent l="1905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srcRect/>
                          <a:stretch>
                            <a:fillRect/>
                          </a:stretch>
                        </pic:blipFill>
                        <pic:spPr bwMode="auto">
                          <a:xfrm>
                            <a:off x="0" y="0"/>
                            <a:ext cx="2528570" cy="2019935"/>
                          </a:xfrm>
                          <a:prstGeom prst="rect">
                            <a:avLst/>
                          </a:prstGeom>
                          <a:noFill/>
                          <a:ln w="9525">
                            <a:noFill/>
                            <a:miter lim="800000"/>
                            <a:headEnd/>
                            <a:tailEnd/>
                          </a:ln>
                        </pic:spPr>
                      </pic:pic>
                    </a:graphicData>
                  </a:graphic>
                </wp:inline>
              </w:drawing>
            </w:r>
          </w:p>
          <w:p w14:paraId="31CD8451" w14:textId="77777777" w:rsidR="000923BB" w:rsidRDefault="000923BB" w:rsidP="003A385F">
            <w:pPr>
              <w:autoSpaceDE w:val="0"/>
              <w:autoSpaceDN w:val="0"/>
              <w:adjustRightInd w:val="0"/>
            </w:pPr>
          </w:p>
          <w:p w14:paraId="3459E4FA" w14:textId="77777777" w:rsidR="000923BB" w:rsidRDefault="000923BB" w:rsidP="003A385F">
            <w:pPr>
              <w:rPr>
                <w:rFonts w:cs="Arial"/>
              </w:rPr>
            </w:pPr>
          </w:p>
        </w:tc>
      </w:tr>
    </w:tbl>
    <w:p w14:paraId="08325933" w14:textId="77777777" w:rsidR="000923BB" w:rsidRDefault="000923BB" w:rsidP="000923BB">
      <w:pPr>
        <w:pStyle w:val="Heading2"/>
        <w:rPr>
          <w:i/>
          <w:iCs/>
          <w:sz w:val="22"/>
          <w:szCs w:val="22"/>
        </w:rPr>
      </w:pPr>
    </w:p>
    <w:p w14:paraId="0E94B0C1" w14:textId="77777777" w:rsidR="000923BB" w:rsidRDefault="000923BB" w:rsidP="000923BB">
      <w:pPr>
        <w:jc w:val="both"/>
        <w:rPr>
          <w:rFonts w:cs="Arial"/>
          <w:sz w:val="22"/>
          <w:szCs w:val="22"/>
        </w:rPr>
      </w:pPr>
      <w:r>
        <w:rPr>
          <w:rFonts w:cs="Arial"/>
          <w:sz w:val="22"/>
          <w:szCs w:val="22"/>
        </w:rPr>
        <w:lastRenderedPageBreak/>
        <w:t>Hospitals were invited to participate through contact with one of the specialists in COPD and one in heart failure management. In each selected hospital, consultants specialising in each of the two conditions were approached jointly by the Royal College of Physicians Clinical Effectiveness and Evaluation Unit and The University of Sheffield with a request that they act as sponsors for the study. Their role was to recruit review staff within the hospital who would undertake the data collection for the study.  Recruitment of the selected hospitals was completed when two specialists in a hospital agreed to act as sponsor and there were enough staff to undertake the reviews (Figure 3, below).</w:t>
      </w:r>
      <w:r w:rsidRPr="0067045B">
        <w:rPr>
          <w:rFonts w:cs="Arial"/>
          <w:sz w:val="22"/>
          <w:szCs w:val="22"/>
        </w:rPr>
        <w:t xml:space="preserve"> </w:t>
      </w:r>
    </w:p>
    <w:p w14:paraId="794D8A91" w14:textId="77777777" w:rsidR="000923BB" w:rsidRDefault="000923BB" w:rsidP="000923BB">
      <w:pPr>
        <w:jc w:val="both"/>
        <w:rPr>
          <w:rFonts w:cs="Arial"/>
          <w:sz w:val="22"/>
          <w:szCs w:val="22"/>
        </w:rPr>
      </w:pPr>
    </w:p>
    <w:p w14:paraId="2EC9CE32" w14:textId="77777777" w:rsidR="000923BB" w:rsidRDefault="000923BB" w:rsidP="000923BB">
      <w:pPr>
        <w:jc w:val="both"/>
        <w:rPr>
          <w:rFonts w:cs="Arial"/>
          <w:sz w:val="22"/>
          <w:szCs w:val="22"/>
        </w:rPr>
      </w:pPr>
      <w:r>
        <w:rPr>
          <w:rFonts w:cs="Arial"/>
          <w:sz w:val="22"/>
          <w:szCs w:val="22"/>
        </w:rPr>
        <w:t xml:space="preserve">The proposed number of reviewers required for each condition at each hospital varied from one to four (see Table 1) and this request sometimes proved difficult to meet in some hospitals. Among the reasons affecting the recruitment of reviewers included whether the hospital had a dedicated audit department and the change-over time of Specialist Registrar training posts.  At the end of the recruitment period, three types of hospital staff (reviewers) were engaged in the study - doctors in specialist training, other staff with a clinical background (of whom many were nurses specialising in the care of one of the two tracer conditions), and non-clinical audit staff.  Across the nine participating hospitals the reviewers comprised 16 doctors, 10 specialist nurses (together with one clinically trained audit person, one pharmacist and one physiotherapist) and nine non-clinical audit staff (i.e. 38 reviewers in total).  </w:t>
      </w:r>
    </w:p>
    <w:p w14:paraId="0EF80ED6" w14:textId="77777777" w:rsidR="00315DA5" w:rsidRDefault="00315DA5" w:rsidP="00823691">
      <w:pPr>
        <w:spacing w:line="360" w:lineRule="auto"/>
        <w:rPr>
          <w:rFonts w:cs="Arial"/>
          <w:b/>
          <w:sz w:val="22"/>
          <w:szCs w:val="22"/>
        </w:rPr>
      </w:pPr>
    </w:p>
    <w:p w14:paraId="5D5DE3D5" w14:textId="77777777" w:rsidR="00315DA5" w:rsidRDefault="00315DA5" w:rsidP="00823691">
      <w:pPr>
        <w:spacing w:line="360" w:lineRule="auto"/>
        <w:rPr>
          <w:rFonts w:cs="Arial"/>
          <w:b/>
          <w:sz w:val="22"/>
          <w:szCs w:val="22"/>
        </w:rPr>
      </w:pPr>
    </w:p>
    <w:p w14:paraId="75FA5624" w14:textId="77777777" w:rsidR="00315DA5" w:rsidRDefault="00315DA5" w:rsidP="00823691">
      <w:pPr>
        <w:spacing w:line="360" w:lineRule="auto"/>
        <w:rPr>
          <w:rFonts w:cs="Arial"/>
          <w:b/>
          <w:sz w:val="22"/>
          <w:szCs w:val="22"/>
        </w:rPr>
      </w:pPr>
    </w:p>
    <w:p w14:paraId="1FC79545" w14:textId="77777777" w:rsidR="00315DA5" w:rsidRDefault="00315DA5" w:rsidP="00823691">
      <w:pPr>
        <w:spacing w:line="360" w:lineRule="auto"/>
        <w:rPr>
          <w:rFonts w:cs="Arial"/>
          <w:b/>
          <w:sz w:val="22"/>
          <w:szCs w:val="22"/>
        </w:rPr>
      </w:pPr>
    </w:p>
    <w:p w14:paraId="46B64B03" w14:textId="77777777" w:rsidR="00315DA5" w:rsidRDefault="00315DA5" w:rsidP="00823691">
      <w:pPr>
        <w:spacing w:line="360" w:lineRule="auto"/>
        <w:rPr>
          <w:rFonts w:cs="Arial"/>
          <w:b/>
          <w:sz w:val="22"/>
          <w:szCs w:val="22"/>
        </w:rPr>
      </w:pPr>
    </w:p>
    <w:p w14:paraId="5A688EDA" w14:textId="77777777" w:rsidR="00315DA5" w:rsidRDefault="00315DA5" w:rsidP="00823691">
      <w:pPr>
        <w:spacing w:line="360" w:lineRule="auto"/>
        <w:rPr>
          <w:rFonts w:cs="Arial"/>
          <w:b/>
          <w:sz w:val="22"/>
          <w:szCs w:val="22"/>
        </w:rPr>
      </w:pPr>
    </w:p>
    <w:p w14:paraId="783D1616" w14:textId="77777777" w:rsidR="00315DA5" w:rsidRDefault="00315DA5" w:rsidP="00823691">
      <w:pPr>
        <w:spacing w:line="360" w:lineRule="auto"/>
        <w:rPr>
          <w:rFonts w:cs="Arial"/>
          <w:b/>
          <w:sz w:val="22"/>
          <w:szCs w:val="22"/>
        </w:rPr>
      </w:pPr>
    </w:p>
    <w:p w14:paraId="5A85427A" w14:textId="77777777" w:rsidR="00315DA5" w:rsidRDefault="00315DA5" w:rsidP="00823691">
      <w:pPr>
        <w:spacing w:line="360" w:lineRule="auto"/>
        <w:rPr>
          <w:rFonts w:cs="Arial"/>
          <w:b/>
          <w:sz w:val="22"/>
          <w:szCs w:val="22"/>
        </w:rPr>
      </w:pPr>
    </w:p>
    <w:p w14:paraId="45541F28" w14:textId="77777777" w:rsidR="00315DA5" w:rsidRDefault="00315DA5" w:rsidP="00823691">
      <w:pPr>
        <w:spacing w:line="360" w:lineRule="auto"/>
        <w:rPr>
          <w:rFonts w:cs="Arial"/>
          <w:b/>
          <w:sz w:val="22"/>
          <w:szCs w:val="22"/>
        </w:rPr>
      </w:pPr>
    </w:p>
    <w:p w14:paraId="473C1D65" w14:textId="77777777" w:rsidR="00315DA5" w:rsidRDefault="00315DA5" w:rsidP="00823691">
      <w:pPr>
        <w:spacing w:line="360" w:lineRule="auto"/>
        <w:rPr>
          <w:rFonts w:cs="Arial"/>
          <w:b/>
          <w:sz w:val="22"/>
          <w:szCs w:val="22"/>
        </w:rPr>
      </w:pPr>
    </w:p>
    <w:p w14:paraId="684079B1" w14:textId="77777777" w:rsidR="00315DA5" w:rsidRDefault="00315DA5" w:rsidP="00823691">
      <w:pPr>
        <w:spacing w:line="360" w:lineRule="auto"/>
        <w:rPr>
          <w:rFonts w:cs="Arial"/>
          <w:b/>
          <w:sz w:val="22"/>
          <w:szCs w:val="22"/>
        </w:rPr>
      </w:pPr>
    </w:p>
    <w:p w14:paraId="0C895884" w14:textId="77777777" w:rsidR="00315DA5" w:rsidRDefault="00315DA5" w:rsidP="00823691">
      <w:pPr>
        <w:spacing w:line="360" w:lineRule="auto"/>
        <w:rPr>
          <w:rFonts w:cs="Arial"/>
          <w:b/>
          <w:sz w:val="22"/>
          <w:szCs w:val="22"/>
        </w:rPr>
      </w:pPr>
    </w:p>
    <w:p w14:paraId="0C1571EF" w14:textId="77777777" w:rsidR="00315DA5" w:rsidRDefault="00315DA5" w:rsidP="00823691">
      <w:pPr>
        <w:spacing w:line="360" w:lineRule="auto"/>
        <w:rPr>
          <w:rFonts w:cs="Arial"/>
          <w:b/>
          <w:sz w:val="22"/>
          <w:szCs w:val="22"/>
        </w:rPr>
      </w:pPr>
    </w:p>
    <w:p w14:paraId="2DC09739" w14:textId="77777777" w:rsidR="000923BB" w:rsidRPr="002271CC" w:rsidRDefault="000923BB" w:rsidP="002271CC">
      <w:pPr>
        <w:spacing w:line="360" w:lineRule="auto"/>
        <w:rPr>
          <w:rFonts w:cs="Arial"/>
          <w:sz w:val="22"/>
          <w:szCs w:val="22"/>
        </w:rPr>
      </w:pPr>
      <w:r w:rsidRPr="002271CC">
        <w:rPr>
          <w:rFonts w:cs="Arial"/>
          <w:b/>
          <w:sz w:val="22"/>
          <w:szCs w:val="22"/>
        </w:rPr>
        <w:lastRenderedPageBreak/>
        <w:t>Figure 3</w:t>
      </w:r>
    </w:p>
    <w:p w14:paraId="50761E6D" w14:textId="77777777" w:rsidR="000923BB" w:rsidRDefault="000923BB" w:rsidP="000923BB">
      <w:pPr>
        <w:spacing w:line="360" w:lineRule="auto"/>
        <w:jc w:val="both"/>
        <w:rPr>
          <w:rFonts w:cs="Arial"/>
          <w:sz w:val="22"/>
          <w:szCs w:val="22"/>
        </w:rPr>
      </w:pPr>
    </w:p>
    <w:p w14:paraId="5E7A28B1" w14:textId="41D02A2F" w:rsidR="000923BB" w:rsidRDefault="00003011" w:rsidP="000923BB">
      <w:r>
        <w:rPr>
          <w:rFonts w:cs="Arial"/>
          <w:noProof/>
          <w:sz w:val="22"/>
          <w:szCs w:val="22"/>
        </w:rPr>
        <mc:AlternateContent>
          <mc:Choice Requires="wpc">
            <w:drawing>
              <wp:inline distT="0" distB="0" distL="0" distR="0" wp14:anchorId="55B66A94" wp14:editId="00C5DD87">
                <wp:extent cx="5403850" cy="4492625"/>
                <wp:effectExtent l="9525" t="12065" r="6350" b="635"/>
                <wp:docPr id="1511" name="Canvas 10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56" name="Text Box 1042"/>
                        <wps:cNvSpPr txBox="1">
                          <a:spLocks noChangeArrowheads="1"/>
                        </wps:cNvSpPr>
                        <wps:spPr bwMode="auto">
                          <a:xfrm>
                            <a:off x="766021" y="423086"/>
                            <a:ext cx="1599706" cy="231974"/>
                          </a:xfrm>
                          <a:prstGeom prst="rect">
                            <a:avLst/>
                          </a:prstGeom>
                          <a:solidFill>
                            <a:srgbClr val="FFFFFF"/>
                          </a:solidFill>
                          <a:ln w="9525">
                            <a:solidFill>
                              <a:srgbClr val="000000"/>
                            </a:solidFill>
                            <a:miter lim="800000"/>
                            <a:headEnd/>
                            <a:tailEnd/>
                          </a:ln>
                        </wps:spPr>
                        <wps:txbx>
                          <w:txbxContent>
                            <w:p w14:paraId="45953C34" w14:textId="77777777" w:rsidR="001C117D" w:rsidRPr="009C5BFE" w:rsidRDefault="001C117D" w:rsidP="002271CC">
                              <w:pPr>
                                <w:spacing w:before="80"/>
                                <w:jc w:val="center"/>
                                <w:rPr>
                                  <w:rFonts w:cs="Arial"/>
                                  <w:sz w:val="13"/>
                                  <w:szCs w:val="20"/>
                                </w:rPr>
                              </w:pPr>
                              <w:r w:rsidRPr="009C5BFE">
                                <w:rPr>
                                  <w:rFonts w:cs="Arial"/>
                                  <w:sz w:val="13"/>
                                  <w:szCs w:val="20"/>
                                </w:rPr>
                                <w:t>11 hospitals do not wish participate</w:t>
                              </w:r>
                            </w:p>
                          </w:txbxContent>
                        </wps:txbx>
                        <wps:bodyPr rot="0" vert="horz" wrap="square" lIns="61265" tIns="30632" rIns="61265" bIns="30632" anchor="t" anchorCtr="0" upright="1">
                          <a:noAutofit/>
                        </wps:bodyPr>
                      </wps:wsp>
                      <wps:wsp>
                        <wps:cNvPr id="1457" name="Text Box 1043"/>
                        <wps:cNvSpPr txBox="1">
                          <a:spLocks noChangeArrowheads="1"/>
                        </wps:cNvSpPr>
                        <wps:spPr bwMode="auto">
                          <a:xfrm>
                            <a:off x="383010" y="951730"/>
                            <a:ext cx="1923988" cy="230697"/>
                          </a:xfrm>
                          <a:prstGeom prst="rect">
                            <a:avLst/>
                          </a:prstGeom>
                          <a:solidFill>
                            <a:srgbClr val="FFFFFF"/>
                          </a:solidFill>
                          <a:ln w="9525">
                            <a:solidFill>
                              <a:srgbClr val="000000"/>
                            </a:solidFill>
                            <a:miter lim="800000"/>
                            <a:headEnd/>
                            <a:tailEnd/>
                          </a:ln>
                        </wps:spPr>
                        <wps:txbx>
                          <w:txbxContent>
                            <w:p w14:paraId="145634AC" w14:textId="77777777" w:rsidR="001C117D" w:rsidRPr="009C5BFE" w:rsidRDefault="001C117D" w:rsidP="002271CC">
                              <w:pPr>
                                <w:spacing w:before="80"/>
                                <w:jc w:val="center"/>
                                <w:rPr>
                                  <w:rFonts w:cs="Arial"/>
                                  <w:sz w:val="13"/>
                                  <w:szCs w:val="20"/>
                                </w:rPr>
                              </w:pPr>
                              <w:r w:rsidRPr="009C5BFE">
                                <w:rPr>
                                  <w:rFonts w:cs="Arial"/>
                                  <w:sz w:val="13"/>
                                  <w:szCs w:val="20"/>
                                </w:rPr>
                                <w:t>4 hospitals with low mortality rates (HES data)</w:t>
                              </w:r>
                            </w:p>
                          </w:txbxContent>
                        </wps:txbx>
                        <wps:bodyPr rot="0" vert="horz" wrap="square" lIns="61265" tIns="30632" rIns="61265" bIns="30632" anchor="t" anchorCtr="0" upright="1">
                          <a:noAutofit/>
                        </wps:bodyPr>
                      </wps:wsp>
                      <wps:wsp>
                        <wps:cNvPr id="1458" name="Text Box 1044"/>
                        <wps:cNvSpPr txBox="1">
                          <a:spLocks noChangeArrowheads="1"/>
                        </wps:cNvSpPr>
                        <wps:spPr bwMode="auto">
                          <a:xfrm>
                            <a:off x="3293889" y="957263"/>
                            <a:ext cx="1920584" cy="230697"/>
                          </a:xfrm>
                          <a:prstGeom prst="rect">
                            <a:avLst/>
                          </a:prstGeom>
                          <a:solidFill>
                            <a:srgbClr val="FFFFFF"/>
                          </a:solidFill>
                          <a:ln w="9525">
                            <a:solidFill>
                              <a:srgbClr val="000000"/>
                            </a:solidFill>
                            <a:miter lim="800000"/>
                            <a:headEnd/>
                            <a:tailEnd/>
                          </a:ln>
                        </wps:spPr>
                        <wps:txbx>
                          <w:txbxContent>
                            <w:p w14:paraId="1545E2C7" w14:textId="77777777" w:rsidR="001C117D" w:rsidRPr="009C5BFE" w:rsidRDefault="001C117D" w:rsidP="002271CC">
                              <w:pPr>
                                <w:spacing w:before="80"/>
                                <w:jc w:val="center"/>
                                <w:rPr>
                                  <w:rFonts w:cs="Arial"/>
                                  <w:sz w:val="13"/>
                                  <w:szCs w:val="20"/>
                                </w:rPr>
                              </w:pPr>
                              <w:r w:rsidRPr="009C5BFE">
                                <w:rPr>
                                  <w:rFonts w:cs="Arial"/>
                                  <w:sz w:val="13"/>
                                  <w:szCs w:val="20"/>
                                </w:rPr>
                                <w:t>5 hospitals with high mortality rates (HES data)</w:t>
                              </w:r>
                            </w:p>
                          </w:txbxContent>
                        </wps:txbx>
                        <wps:bodyPr rot="0" vert="horz" wrap="square" lIns="61265" tIns="30632" rIns="61265" bIns="30632" anchor="t" anchorCtr="0" upright="1">
                          <a:noAutofit/>
                        </wps:bodyPr>
                      </wps:wsp>
                      <wps:wsp>
                        <wps:cNvPr id="1459" name="Text Box 1045"/>
                        <wps:cNvSpPr txBox="1">
                          <a:spLocks noChangeArrowheads="1"/>
                        </wps:cNvSpPr>
                        <wps:spPr bwMode="auto">
                          <a:xfrm>
                            <a:off x="1835045" y="2425294"/>
                            <a:ext cx="1761847" cy="306886"/>
                          </a:xfrm>
                          <a:prstGeom prst="rect">
                            <a:avLst/>
                          </a:prstGeom>
                          <a:solidFill>
                            <a:srgbClr val="FFFFFF"/>
                          </a:solidFill>
                          <a:ln w="9525">
                            <a:solidFill>
                              <a:srgbClr val="000000"/>
                            </a:solidFill>
                            <a:miter lim="800000"/>
                            <a:headEnd/>
                            <a:tailEnd/>
                          </a:ln>
                        </wps:spPr>
                        <wps:txbx>
                          <w:txbxContent>
                            <w:p w14:paraId="32864094" w14:textId="77777777" w:rsidR="001C117D" w:rsidRPr="009C5BFE" w:rsidRDefault="001C117D" w:rsidP="002271CC">
                              <w:pPr>
                                <w:rPr>
                                  <w:rFonts w:cs="Arial"/>
                                  <w:sz w:val="13"/>
                                  <w:szCs w:val="20"/>
                                </w:rPr>
                              </w:pPr>
                              <w:r w:rsidRPr="009C5BFE">
                                <w:rPr>
                                  <w:rFonts w:cs="Arial"/>
                                  <w:sz w:val="13"/>
                                  <w:szCs w:val="20"/>
                                </w:rPr>
                                <w:t xml:space="preserve">Each reviewer reviews 50 (max) COPD or HF records using holistic review method  </w:t>
                              </w:r>
                            </w:p>
                          </w:txbxContent>
                        </wps:txbx>
                        <wps:bodyPr rot="0" vert="horz" wrap="square" lIns="61265" tIns="30632" rIns="61265" bIns="30632" anchor="t" anchorCtr="0" upright="1">
                          <a:noAutofit/>
                        </wps:bodyPr>
                      </wps:wsp>
                      <wps:wsp>
                        <wps:cNvPr id="1460" name="Text Box 1046"/>
                        <wps:cNvSpPr txBox="1">
                          <a:spLocks noChangeArrowheads="1"/>
                        </wps:cNvSpPr>
                        <wps:spPr bwMode="auto">
                          <a:xfrm>
                            <a:off x="3596892" y="2794749"/>
                            <a:ext cx="1806958" cy="383501"/>
                          </a:xfrm>
                          <a:prstGeom prst="rect">
                            <a:avLst/>
                          </a:prstGeom>
                          <a:solidFill>
                            <a:srgbClr val="FFFFFF"/>
                          </a:solidFill>
                          <a:ln w="9525">
                            <a:solidFill>
                              <a:srgbClr val="000000"/>
                            </a:solidFill>
                            <a:miter lim="800000"/>
                            <a:headEnd/>
                            <a:tailEnd/>
                          </a:ln>
                        </wps:spPr>
                        <wps:txbx>
                          <w:txbxContent>
                            <w:p w14:paraId="2E42E883" w14:textId="77777777" w:rsidR="001C117D" w:rsidRPr="009C5BFE" w:rsidRDefault="001C117D" w:rsidP="002271CC">
                              <w:pPr>
                                <w:rPr>
                                  <w:rFonts w:cs="Arial"/>
                                  <w:i/>
                                  <w:sz w:val="13"/>
                                  <w:szCs w:val="20"/>
                                </w:rPr>
                              </w:pPr>
                              <w:r w:rsidRPr="009C5BFE">
                                <w:rPr>
                                  <w:rFonts w:cs="Arial"/>
                                  <w:i/>
                                  <w:sz w:val="13"/>
                                  <w:szCs w:val="20"/>
                                </w:rPr>
                                <w:t>Note</w:t>
                              </w:r>
                              <w:r w:rsidRPr="009C5BFE">
                                <w:rPr>
                                  <w:rFonts w:cs="Arial"/>
                                  <w:sz w:val="13"/>
                                  <w:szCs w:val="20"/>
                                </w:rPr>
                                <w:t xml:space="preserve">: </w:t>
                              </w:r>
                              <w:r w:rsidRPr="009C5BFE">
                                <w:rPr>
                                  <w:rFonts w:cs="Arial"/>
                                  <w:i/>
                                  <w:sz w:val="13"/>
                                  <w:szCs w:val="20"/>
                                </w:rPr>
                                <w:t xml:space="preserve">Where there is more than 1 reviewer for a condition at the same site, all reviewed the same 50 records    </w:t>
                              </w:r>
                            </w:p>
                          </w:txbxContent>
                        </wps:txbx>
                        <wps:bodyPr rot="0" vert="horz" wrap="square" lIns="61265" tIns="30632" rIns="61265" bIns="30632" anchor="t" anchorCtr="0" upright="1">
                          <a:noAutofit/>
                        </wps:bodyPr>
                      </wps:wsp>
                      <wps:wsp>
                        <wps:cNvPr id="1461" name="Text Box 1047"/>
                        <wps:cNvSpPr txBox="1">
                          <a:spLocks noChangeArrowheads="1"/>
                        </wps:cNvSpPr>
                        <wps:spPr bwMode="auto">
                          <a:xfrm>
                            <a:off x="0" y="2842421"/>
                            <a:ext cx="1608643" cy="308589"/>
                          </a:xfrm>
                          <a:prstGeom prst="rect">
                            <a:avLst/>
                          </a:prstGeom>
                          <a:solidFill>
                            <a:srgbClr val="FFFFFF"/>
                          </a:solidFill>
                          <a:ln w="9525">
                            <a:solidFill>
                              <a:srgbClr val="000000"/>
                            </a:solidFill>
                            <a:miter lim="800000"/>
                            <a:headEnd/>
                            <a:tailEnd/>
                          </a:ln>
                        </wps:spPr>
                        <wps:txbx>
                          <w:txbxContent>
                            <w:p w14:paraId="18BCBBF8" w14:textId="77777777" w:rsidR="001C117D" w:rsidRPr="009C5BFE" w:rsidRDefault="001C117D" w:rsidP="002271CC">
                              <w:pPr>
                                <w:rPr>
                                  <w:rFonts w:cs="Arial"/>
                                  <w:sz w:val="13"/>
                                  <w:szCs w:val="20"/>
                                </w:rPr>
                              </w:pPr>
                              <w:r w:rsidRPr="009C5BFE">
                                <w:rPr>
                                  <w:rFonts w:cs="Arial"/>
                                  <w:sz w:val="13"/>
                                  <w:szCs w:val="20"/>
                                </w:rPr>
                                <w:t>Each reviewer exports holistic review data to the study team for analysis</w:t>
                              </w:r>
                            </w:p>
                          </w:txbxContent>
                        </wps:txbx>
                        <wps:bodyPr rot="0" vert="horz" wrap="square" lIns="61265" tIns="30632" rIns="61265" bIns="30632" anchor="t" anchorCtr="0" upright="1">
                          <a:noAutofit/>
                        </wps:bodyPr>
                      </wps:wsp>
                      <wps:wsp>
                        <wps:cNvPr id="1462" name="Text Box 1048"/>
                        <wps:cNvSpPr txBox="1">
                          <a:spLocks noChangeArrowheads="1"/>
                        </wps:cNvSpPr>
                        <wps:spPr bwMode="auto">
                          <a:xfrm>
                            <a:off x="0" y="1473138"/>
                            <a:ext cx="535363" cy="477142"/>
                          </a:xfrm>
                          <a:prstGeom prst="rect">
                            <a:avLst/>
                          </a:prstGeom>
                          <a:solidFill>
                            <a:srgbClr val="FFFFFF"/>
                          </a:solidFill>
                          <a:ln w="9525">
                            <a:solidFill>
                              <a:srgbClr val="000000"/>
                            </a:solidFill>
                            <a:miter lim="800000"/>
                            <a:headEnd/>
                            <a:tailEnd/>
                          </a:ln>
                        </wps:spPr>
                        <wps:txbx>
                          <w:txbxContent>
                            <w:p w14:paraId="2ED7FA56" w14:textId="77777777" w:rsidR="001C117D" w:rsidRPr="009C5BFE" w:rsidRDefault="001C117D" w:rsidP="002271CC">
                              <w:pPr>
                                <w:rPr>
                                  <w:rFonts w:cs="Arial"/>
                                  <w:sz w:val="13"/>
                                  <w:szCs w:val="20"/>
                                </w:rPr>
                              </w:pPr>
                              <w:r w:rsidRPr="009C5BFE">
                                <w:rPr>
                                  <w:rFonts w:cs="Arial"/>
                                  <w:sz w:val="13"/>
                                  <w:szCs w:val="20"/>
                                </w:rPr>
                                <w:t>Site: A</w:t>
                              </w:r>
                            </w:p>
                            <w:p w14:paraId="2EAB7B3A" w14:textId="77777777" w:rsidR="001C117D" w:rsidRPr="009C5BFE" w:rsidRDefault="001C117D" w:rsidP="002271CC">
                              <w:pPr>
                                <w:rPr>
                                  <w:rFonts w:cs="Arial"/>
                                  <w:sz w:val="13"/>
                                  <w:szCs w:val="20"/>
                                </w:rPr>
                              </w:pPr>
                              <w:r w:rsidRPr="009C5BFE">
                                <w:rPr>
                                  <w:rFonts w:cs="Arial"/>
                                  <w:sz w:val="13"/>
                                  <w:szCs w:val="20"/>
                                </w:rPr>
                                <w:t xml:space="preserve">reviewers COPD: 3 </w:t>
                              </w:r>
                            </w:p>
                            <w:p w14:paraId="03A32C93" w14:textId="77777777" w:rsidR="001C117D" w:rsidRPr="009C5BFE" w:rsidRDefault="001C117D" w:rsidP="002271CC">
                              <w:pPr>
                                <w:rPr>
                                  <w:rFonts w:cs="Arial"/>
                                  <w:sz w:val="13"/>
                                  <w:szCs w:val="20"/>
                                </w:rPr>
                              </w:pPr>
                              <w:r w:rsidRPr="009C5BFE">
                                <w:rPr>
                                  <w:rFonts w:cs="Arial"/>
                                  <w:sz w:val="13"/>
                                  <w:szCs w:val="20"/>
                                </w:rPr>
                                <w:t xml:space="preserve">HF: 2 </w:t>
                              </w:r>
                            </w:p>
                          </w:txbxContent>
                        </wps:txbx>
                        <wps:bodyPr rot="0" vert="horz" wrap="square" lIns="61265" tIns="30632" rIns="61265" bIns="30632" anchor="t" anchorCtr="0" upright="1">
                          <a:noAutofit/>
                        </wps:bodyPr>
                      </wps:wsp>
                      <wps:wsp>
                        <wps:cNvPr id="1463" name="Text Box 1049"/>
                        <wps:cNvSpPr txBox="1">
                          <a:spLocks noChangeArrowheads="1"/>
                        </wps:cNvSpPr>
                        <wps:spPr bwMode="auto">
                          <a:xfrm>
                            <a:off x="1226484" y="1473138"/>
                            <a:ext cx="534512" cy="471183"/>
                          </a:xfrm>
                          <a:prstGeom prst="rect">
                            <a:avLst/>
                          </a:prstGeom>
                          <a:solidFill>
                            <a:srgbClr val="FFFFFF"/>
                          </a:solidFill>
                          <a:ln w="9525">
                            <a:solidFill>
                              <a:srgbClr val="000000"/>
                            </a:solidFill>
                            <a:miter lim="800000"/>
                            <a:headEnd/>
                            <a:tailEnd/>
                          </a:ln>
                        </wps:spPr>
                        <wps:txbx>
                          <w:txbxContent>
                            <w:p w14:paraId="479F6947" w14:textId="77777777" w:rsidR="001C117D" w:rsidRPr="009C5BFE" w:rsidRDefault="001C117D" w:rsidP="002271CC">
                              <w:pPr>
                                <w:rPr>
                                  <w:rFonts w:cs="Arial"/>
                                  <w:sz w:val="13"/>
                                  <w:szCs w:val="20"/>
                                </w:rPr>
                              </w:pPr>
                              <w:r w:rsidRPr="009C5BFE">
                                <w:rPr>
                                  <w:rFonts w:cs="Arial"/>
                                  <w:sz w:val="13"/>
                                  <w:szCs w:val="20"/>
                                </w:rPr>
                                <w:t>Site: C</w:t>
                              </w:r>
                            </w:p>
                            <w:p w14:paraId="4996A10F" w14:textId="77777777" w:rsidR="001C117D" w:rsidRPr="009C5BFE" w:rsidRDefault="001C117D" w:rsidP="002271CC">
                              <w:pPr>
                                <w:rPr>
                                  <w:rFonts w:cs="Arial"/>
                                  <w:sz w:val="13"/>
                                  <w:szCs w:val="20"/>
                                </w:rPr>
                              </w:pPr>
                              <w:r w:rsidRPr="009C5BFE">
                                <w:rPr>
                                  <w:rFonts w:cs="Arial"/>
                                  <w:sz w:val="13"/>
                                  <w:szCs w:val="20"/>
                                </w:rPr>
                                <w:t xml:space="preserve">reviewers COPD: 1 </w:t>
                              </w:r>
                            </w:p>
                            <w:p w14:paraId="32AD953E" w14:textId="77777777" w:rsidR="001C117D" w:rsidRPr="009C5BFE" w:rsidRDefault="001C117D" w:rsidP="002271CC">
                              <w:pPr>
                                <w:rPr>
                                  <w:rFonts w:cs="Arial"/>
                                  <w:sz w:val="13"/>
                                  <w:szCs w:val="20"/>
                                </w:rPr>
                              </w:pPr>
                              <w:r w:rsidRPr="009C5BFE">
                                <w:rPr>
                                  <w:rFonts w:cs="Arial"/>
                                  <w:sz w:val="13"/>
                                  <w:szCs w:val="20"/>
                                </w:rPr>
                                <w:t xml:space="preserve">HF: 0 </w:t>
                              </w:r>
                            </w:p>
                          </w:txbxContent>
                        </wps:txbx>
                        <wps:bodyPr rot="0" vert="horz" wrap="square" lIns="61265" tIns="30632" rIns="61265" bIns="30632" anchor="t" anchorCtr="0" upright="1">
                          <a:noAutofit/>
                        </wps:bodyPr>
                      </wps:wsp>
                      <wps:wsp>
                        <wps:cNvPr id="1464" name="Text Box 1050"/>
                        <wps:cNvSpPr txBox="1">
                          <a:spLocks noChangeArrowheads="1"/>
                        </wps:cNvSpPr>
                        <wps:spPr bwMode="auto">
                          <a:xfrm>
                            <a:off x="1836747" y="1473138"/>
                            <a:ext cx="537917" cy="465224"/>
                          </a:xfrm>
                          <a:prstGeom prst="rect">
                            <a:avLst/>
                          </a:prstGeom>
                          <a:solidFill>
                            <a:srgbClr val="FFFFFF"/>
                          </a:solidFill>
                          <a:ln w="9525">
                            <a:solidFill>
                              <a:srgbClr val="000000"/>
                            </a:solidFill>
                            <a:miter lim="800000"/>
                            <a:headEnd/>
                            <a:tailEnd/>
                          </a:ln>
                        </wps:spPr>
                        <wps:txbx>
                          <w:txbxContent>
                            <w:p w14:paraId="53706481" w14:textId="77777777" w:rsidR="001C117D" w:rsidRPr="009C5BFE" w:rsidRDefault="001C117D" w:rsidP="002271CC">
                              <w:pPr>
                                <w:rPr>
                                  <w:rFonts w:cs="Arial"/>
                                  <w:sz w:val="13"/>
                                  <w:szCs w:val="20"/>
                                </w:rPr>
                              </w:pPr>
                              <w:r w:rsidRPr="009C5BFE">
                                <w:rPr>
                                  <w:rFonts w:cs="Arial"/>
                                  <w:sz w:val="13"/>
                                  <w:szCs w:val="20"/>
                                </w:rPr>
                                <w:t>Site: D</w:t>
                              </w:r>
                            </w:p>
                            <w:p w14:paraId="19CC9836" w14:textId="77777777" w:rsidR="001C117D" w:rsidRPr="009C5BFE" w:rsidRDefault="001C117D" w:rsidP="002271CC">
                              <w:pPr>
                                <w:rPr>
                                  <w:rFonts w:cs="Arial"/>
                                  <w:sz w:val="13"/>
                                  <w:szCs w:val="20"/>
                                </w:rPr>
                              </w:pPr>
                              <w:r w:rsidRPr="009C5BFE">
                                <w:rPr>
                                  <w:rFonts w:cs="Arial"/>
                                  <w:sz w:val="13"/>
                                  <w:szCs w:val="20"/>
                                </w:rPr>
                                <w:t xml:space="preserve">reviewers COPD: 3 </w:t>
                              </w:r>
                            </w:p>
                            <w:p w14:paraId="58F7FFF2" w14:textId="77777777" w:rsidR="001C117D" w:rsidRPr="009C5BFE" w:rsidRDefault="001C117D" w:rsidP="002271CC">
                              <w:pPr>
                                <w:rPr>
                                  <w:rFonts w:cs="Arial"/>
                                  <w:sz w:val="13"/>
                                  <w:szCs w:val="20"/>
                                </w:rPr>
                              </w:pPr>
                              <w:r w:rsidRPr="009C5BFE">
                                <w:rPr>
                                  <w:rFonts w:cs="Arial"/>
                                  <w:sz w:val="13"/>
                                  <w:szCs w:val="20"/>
                                </w:rPr>
                                <w:t xml:space="preserve">HF: 2 </w:t>
                              </w:r>
                            </w:p>
                          </w:txbxContent>
                        </wps:txbx>
                        <wps:bodyPr rot="0" vert="horz" wrap="square" lIns="61265" tIns="30632" rIns="61265" bIns="30632" anchor="t" anchorCtr="0" upright="1">
                          <a:noAutofit/>
                        </wps:bodyPr>
                      </wps:wsp>
                      <wps:wsp>
                        <wps:cNvPr id="1465" name="Text Box 1051"/>
                        <wps:cNvSpPr txBox="1">
                          <a:spLocks noChangeArrowheads="1"/>
                        </wps:cNvSpPr>
                        <wps:spPr bwMode="auto">
                          <a:xfrm>
                            <a:off x="2454671" y="1477820"/>
                            <a:ext cx="535363" cy="448624"/>
                          </a:xfrm>
                          <a:prstGeom prst="rect">
                            <a:avLst/>
                          </a:prstGeom>
                          <a:solidFill>
                            <a:srgbClr val="FFFFFF"/>
                          </a:solidFill>
                          <a:ln w="9525">
                            <a:solidFill>
                              <a:srgbClr val="000000"/>
                            </a:solidFill>
                            <a:miter lim="800000"/>
                            <a:headEnd/>
                            <a:tailEnd/>
                          </a:ln>
                        </wps:spPr>
                        <wps:txbx>
                          <w:txbxContent>
                            <w:p w14:paraId="7A32534E" w14:textId="77777777" w:rsidR="001C117D" w:rsidRPr="009C5BFE" w:rsidRDefault="001C117D" w:rsidP="002271CC">
                              <w:pPr>
                                <w:rPr>
                                  <w:rFonts w:cs="Arial"/>
                                  <w:sz w:val="13"/>
                                  <w:szCs w:val="20"/>
                                </w:rPr>
                              </w:pPr>
                              <w:r w:rsidRPr="009C5BFE">
                                <w:rPr>
                                  <w:rFonts w:cs="Arial"/>
                                  <w:sz w:val="13"/>
                                  <w:szCs w:val="20"/>
                                </w:rPr>
                                <w:t>Site: E</w:t>
                              </w:r>
                            </w:p>
                            <w:p w14:paraId="77B2E28D" w14:textId="77777777" w:rsidR="001C117D" w:rsidRPr="009C5BFE" w:rsidRDefault="001C117D" w:rsidP="002271CC">
                              <w:pPr>
                                <w:rPr>
                                  <w:rFonts w:cs="Arial"/>
                                  <w:sz w:val="13"/>
                                  <w:szCs w:val="20"/>
                                </w:rPr>
                              </w:pPr>
                              <w:r w:rsidRPr="009C5BFE">
                                <w:rPr>
                                  <w:rFonts w:cs="Arial"/>
                                  <w:sz w:val="13"/>
                                  <w:szCs w:val="20"/>
                                </w:rPr>
                                <w:t xml:space="preserve">reviewers COPD: 3 </w:t>
                              </w:r>
                            </w:p>
                            <w:p w14:paraId="24AA27F2" w14:textId="77777777" w:rsidR="001C117D" w:rsidRPr="009C5BFE" w:rsidRDefault="001C117D" w:rsidP="002271CC">
                              <w:pPr>
                                <w:rPr>
                                  <w:rFonts w:cs="Arial"/>
                                  <w:sz w:val="13"/>
                                  <w:szCs w:val="20"/>
                                </w:rPr>
                              </w:pPr>
                              <w:r w:rsidRPr="009C5BFE">
                                <w:rPr>
                                  <w:rFonts w:cs="Arial"/>
                                  <w:sz w:val="13"/>
                                  <w:szCs w:val="20"/>
                                </w:rPr>
                                <w:t xml:space="preserve">HF: 2 </w:t>
                              </w:r>
                            </w:p>
                          </w:txbxContent>
                        </wps:txbx>
                        <wps:bodyPr rot="0" vert="horz" wrap="square" lIns="61265" tIns="30632" rIns="61265" bIns="30632" anchor="t" anchorCtr="0" upright="1">
                          <a:noAutofit/>
                        </wps:bodyPr>
                      </wps:wsp>
                      <wps:wsp>
                        <wps:cNvPr id="1466" name="Text Box 1052"/>
                        <wps:cNvSpPr txBox="1">
                          <a:spLocks noChangeArrowheads="1"/>
                        </wps:cNvSpPr>
                        <wps:spPr bwMode="auto">
                          <a:xfrm>
                            <a:off x="3064083" y="1473138"/>
                            <a:ext cx="533661" cy="453306"/>
                          </a:xfrm>
                          <a:prstGeom prst="rect">
                            <a:avLst/>
                          </a:prstGeom>
                          <a:solidFill>
                            <a:srgbClr val="FFFFFF"/>
                          </a:solidFill>
                          <a:ln w="9525">
                            <a:solidFill>
                              <a:srgbClr val="000000"/>
                            </a:solidFill>
                            <a:miter lim="800000"/>
                            <a:headEnd/>
                            <a:tailEnd/>
                          </a:ln>
                        </wps:spPr>
                        <wps:txbx>
                          <w:txbxContent>
                            <w:p w14:paraId="452F02C1" w14:textId="77777777" w:rsidR="001C117D" w:rsidRPr="009C5BFE" w:rsidRDefault="001C117D" w:rsidP="002271CC">
                              <w:pPr>
                                <w:rPr>
                                  <w:rFonts w:cs="Arial"/>
                                  <w:sz w:val="13"/>
                                  <w:szCs w:val="20"/>
                                </w:rPr>
                              </w:pPr>
                              <w:r w:rsidRPr="009C5BFE">
                                <w:rPr>
                                  <w:rFonts w:cs="Arial"/>
                                  <w:sz w:val="13"/>
                                  <w:szCs w:val="20"/>
                                </w:rPr>
                                <w:t>Site: F</w:t>
                              </w:r>
                            </w:p>
                            <w:p w14:paraId="378981E7" w14:textId="77777777" w:rsidR="001C117D" w:rsidRPr="009C5BFE" w:rsidRDefault="001C117D" w:rsidP="002271CC">
                              <w:pPr>
                                <w:rPr>
                                  <w:rFonts w:cs="Arial"/>
                                  <w:sz w:val="13"/>
                                  <w:szCs w:val="20"/>
                                </w:rPr>
                              </w:pPr>
                              <w:r w:rsidRPr="009C5BFE">
                                <w:rPr>
                                  <w:rFonts w:cs="Arial"/>
                                  <w:sz w:val="13"/>
                                  <w:szCs w:val="20"/>
                                </w:rPr>
                                <w:t xml:space="preserve">reviewers COPD: 1 </w:t>
                              </w:r>
                            </w:p>
                            <w:p w14:paraId="314941F4" w14:textId="77777777" w:rsidR="001C117D" w:rsidRPr="009C5BFE" w:rsidRDefault="001C117D" w:rsidP="002271CC">
                              <w:pPr>
                                <w:rPr>
                                  <w:rFonts w:cs="Arial"/>
                                  <w:sz w:val="13"/>
                                  <w:szCs w:val="20"/>
                                </w:rPr>
                              </w:pPr>
                              <w:r w:rsidRPr="009C5BFE">
                                <w:rPr>
                                  <w:rFonts w:cs="Arial"/>
                                  <w:sz w:val="13"/>
                                  <w:szCs w:val="20"/>
                                </w:rPr>
                                <w:t xml:space="preserve">HF: 3 </w:t>
                              </w:r>
                            </w:p>
                          </w:txbxContent>
                        </wps:txbx>
                        <wps:bodyPr rot="0" vert="horz" wrap="square" lIns="61265" tIns="30632" rIns="61265" bIns="30632" anchor="t" anchorCtr="0" upright="1">
                          <a:noAutofit/>
                        </wps:bodyPr>
                      </wps:wsp>
                      <wps:wsp>
                        <wps:cNvPr id="1467" name="Text Box 1053"/>
                        <wps:cNvSpPr txBox="1">
                          <a:spLocks noChangeArrowheads="1"/>
                        </wps:cNvSpPr>
                        <wps:spPr bwMode="auto">
                          <a:xfrm>
                            <a:off x="3677325" y="1473138"/>
                            <a:ext cx="534512" cy="447347"/>
                          </a:xfrm>
                          <a:prstGeom prst="rect">
                            <a:avLst/>
                          </a:prstGeom>
                          <a:solidFill>
                            <a:srgbClr val="FFFFFF"/>
                          </a:solidFill>
                          <a:ln w="9525">
                            <a:solidFill>
                              <a:srgbClr val="000000"/>
                            </a:solidFill>
                            <a:miter lim="800000"/>
                            <a:headEnd/>
                            <a:tailEnd/>
                          </a:ln>
                        </wps:spPr>
                        <wps:txbx>
                          <w:txbxContent>
                            <w:p w14:paraId="13AF80A4" w14:textId="77777777" w:rsidR="001C117D" w:rsidRPr="009C5BFE" w:rsidRDefault="001C117D" w:rsidP="002271CC">
                              <w:pPr>
                                <w:rPr>
                                  <w:rFonts w:cs="Arial"/>
                                  <w:sz w:val="13"/>
                                  <w:szCs w:val="20"/>
                                </w:rPr>
                              </w:pPr>
                              <w:r w:rsidRPr="009C5BFE">
                                <w:rPr>
                                  <w:rFonts w:cs="Arial"/>
                                  <w:sz w:val="13"/>
                                  <w:szCs w:val="20"/>
                                </w:rPr>
                                <w:t>Site: G</w:t>
                              </w:r>
                            </w:p>
                            <w:p w14:paraId="4EE6D07F" w14:textId="77777777" w:rsidR="001C117D" w:rsidRPr="009C5BFE" w:rsidRDefault="001C117D" w:rsidP="002271CC">
                              <w:pPr>
                                <w:rPr>
                                  <w:rFonts w:cs="Arial"/>
                                  <w:sz w:val="13"/>
                                  <w:szCs w:val="20"/>
                                </w:rPr>
                              </w:pPr>
                              <w:r w:rsidRPr="009C5BFE">
                                <w:rPr>
                                  <w:rFonts w:cs="Arial"/>
                                  <w:sz w:val="13"/>
                                  <w:szCs w:val="20"/>
                                </w:rPr>
                                <w:t xml:space="preserve">reviewers COPD: 1 </w:t>
                              </w:r>
                            </w:p>
                            <w:p w14:paraId="07D96577" w14:textId="77777777" w:rsidR="001C117D" w:rsidRPr="009C5BFE" w:rsidRDefault="001C117D" w:rsidP="002271CC">
                              <w:pPr>
                                <w:rPr>
                                  <w:rFonts w:cs="Arial"/>
                                  <w:sz w:val="13"/>
                                  <w:szCs w:val="20"/>
                                </w:rPr>
                              </w:pPr>
                              <w:r w:rsidRPr="009C5BFE">
                                <w:rPr>
                                  <w:rFonts w:cs="Arial"/>
                                  <w:sz w:val="13"/>
                                  <w:szCs w:val="20"/>
                                </w:rPr>
                                <w:t xml:space="preserve">HF: 3 </w:t>
                              </w:r>
                            </w:p>
                          </w:txbxContent>
                        </wps:txbx>
                        <wps:bodyPr rot="0" vert="horz" wrap="square" lIns="61265" tIns="30632" rIns="61265" bIns="30632" anchor="t" anchorCtr="0" upright="1">
                          <a:noAutofit/>
                        </wps:bodyPr>
                      </wps:wsp>
                      <wps:wsp>
                        <wps:cNvPr id="1468" name="Text Box 1054"/>
                        <wps:cNvSpPr txBox="1">
                          <a:spLocks noChangeArrowheads="1"/>
                        </wps:cNvSpPr>
                        <wps:spPr bwMode="auto">
                          <a:xfrm>
                            <a:off x="4290141" y="1473138"/>
                            <a:ext cx="534512" cy="441388"/>
                          </a:xfrm>
                          <a:prstGeom prst="rect">
                            <a:avLst/>
                          </a:prstGeom>
                          <a:solidFill>
                            <a:srgbClr val="FFFFFF"/>
                          </a:solidFill>
                          <a:ln w="9525">
                            <a:solidFill>
                              <a:srgbClr val="000000"/>
                            </a:solidFill>
                            <a:miter lim="800000"/>
                            <a:headEnd/>
                            <a:tailEnd/>
                          </a:ln>
                        </wps:spPr>
                        <wps:txbx>
                          <w:txbxContent>
                            <w:p w14:paraId="044B886D" w14:textId="77777777" w:rsidR="001C117D" w:rsidRPr="009C5BFE" w:rsidRDefault="001C117D" w:rsidP="002271CC">
                              <w:pPr>
                                <w:rPr>
                                  <w:rFonts w:cs="Arial"/>
                                  <w:sz w:val="13"/>
                                  <w:szCs w:val="20"/>
                                </w:rPr>
                              </w:pPr>
                              <w:r w:rsidRPr="009C5BFE">
                                <w:rPr>
                                  <w:rFonts w:cs="Arial"/>
                                  <w:sz w:val="13"/>
                                  <w:szCs w:val="20"/>
                                </w:rPr>
                                <w:t>Site: H</w:t>
                              </w:r>
                            </w:p>
                            <w:p w14:paraId="60BD739F" w14:textId="77777777" w:rsidR="001C117D" w:rsidRPr="009C5BFE" w:rsidRDefault="001C117D" w:rsidP="002271CC">
                              <w:pPr>
                                <w:rPr>
                                  <w:rFonts w:cs="Arial"/>
                                  <w:sz w:val="13"/>
                                  <w:szCs w:val="20"/>
                                </w:rPr>
                              </w:pPr>
                              <w:r w:rsidRPr="009C5BFE">
                                <w:rPr>
                                  <w:rFonts w:cs="Arial"/>
                                  <w:sz w:val="13"/>
                                  <w:szCs w:val="20"/>
                                </w:rPr>
                                <w:t xml:space="preserve">reviewers COPD: 1 </w:t>
                              </w:r>
                            </w:p>
                            <w:p w14:paraId="5F09732D" w14:textId="77777777" w:rsidR="001C117D" w:rsidRPr="009C5BFE" w:rsidRDefault="001C117D" w:rsidP="002271CC">
                              <w:pPr>
                                <w:rPr>
                                  <w:rFonts w:cs="Arial"/>
                                  <w:sz w:val="13"/>
                                  <w:szCs w:val="20"/>
                                </w:rPr>
                              </w:pPr>
                              <w:r w:rsidRPr="009C5BFE">
                                <w:rPr>
                                  <w:rFonts w:cs="Arial"/>
                                  <w:sz w:val="13"/>
                                  <w:szCs w:val="20"/>
                                </w:rPr>
                                <w:t xml:space="preserve">HF: 3 </w:t>
                              </w:r>
                            </w:p>
                          </w:txbxContent>
                        </wps:txbx>
                        <wps:bodyPr rot="0" vert="horz" wrap="square" lIns="61265" tIns="30632" rIns="61265" bIns="30632" anchor="t" anchorCtr="0" upright="1">
                          <a:noAutofit/>
                        </wps:bodyPr>
                      </wps:wsp>
                      <wps:wsp>
                        <wps:cNvPr id="1469" name="Text Box 1055"/>
                        <wps:cNvSpPr txBox="1">
                          <a:spLocks noChangeArrowheads="1"/>
                        </wps:cNvSpPr>
                        <wps:spPr bwMode="auto">
                          <a:xfrm>
                            <a:off x="4900830" y="1473138"/>
                            <a:ext cx="503020" cy="441388"/>
                          </a:xfrm>
                          <a:prstGeom prst="rect">
                            <a:avLst/>
                          </a:prstGeom>
                          <a:solidFill>
                            <a:srgbClr val="FFFFFF"/>
                          </a:solidFill>
                          <a:ln w="9525">
                            <a:solidFill>
                              <a:srgbClr val="000000"/>
                            </a:solidFill>
                            <a:miter lim="800000"/>
                            <a:headEnd/>
                            <a:tailEnd/>
                          </a:ln>
                        </wps:spPr>
                        <wps:txbx>
                          <w:txbxContent>
                            <w:p w14:paraId="4102EFDE" w14:textId="77777777" w:rsidR="001C117D" w:rsidRPr="009C5BFE" w:rsidRDefault="001C117D" w:rsidP="002271CC">
                              <w:pPr>
                                <w:rPr>
                                  <w:rFonts w:cs="Arial"/>
                                  <w:sz w:val="13"/>
                                  <w:szCs w:val="20"/>
                                </w:rPr>
                              </w:pPr>
                              <w:r w:rsidRPr="009C5BFE">
                                <w:rPr>
                                  <w:rFonts w:cs="Arial"/>
                                  <w:sz w:val="13"/>
                                  <w:szCs w:val="20"/>
                                </w:rPr>
                                <w:t>Site: J</w:t>
                              </w:r>
                            </w:p>
                            <w:p w14:paraId="28B8DEC2" w14:textId="77777777" w:rsidR="001C117D" w:rsidRPr="009C5BFE" w:rsidRDefault="001C117D" w:rsidP="002271CC">
                              <w:pPr>
                                <w:rPr>
                                  <w:rFonts w:cs="Arial"/>
                                  <w:sz w:val="13"/>
                                  <w:szCs w:val="20"/>
                                </w:rPr>
                              </w:pPr>
                              <w:r w:rsidRPr="009C5BFE">
                                <w:rPr>
                                  <w:rFonts w:cs="Arial"/>
                                  <w:sz w:val="13"/>
                                  <w:szCs w:val="20"/>
                                </w:rPr>
                                <w:t xml:space="preserve">reviewers COPD: 3 </w:t>
                              </w:r>
                            </w:p>
                            <w:p w14:paraId="57467A6A" w14:textId="77777777" w:rsidR="001C117D" w:rsidRPr="009C5BFE" w:rsidRDefault="001C117D" w:rsidP="002271CC">
                              <w:pPr>
                                <w:rPr>
                                  <w:rFonts w:cs="Arial"/>
                                  <w:sz w:val="13"/>
                                  <w:szCs w:val="20"/>
                                </w:rPr>
                              </w:pPr>
                              <w:r w:rsidRPr="009C5BFE">
                                <w:rPr>
                                  <w:rFonts w:cs="Arial"/>
                                  <w:sz w:val="13"/>
                                  <w:szCs w:val="20"/>
                                </w:rPr>
                                <w:t xml:space="preserve">HF: 2 </w:t>
                              </w:r>
                            </w:p>
                          </w:txbxContent>
                        </wps:txbx>
                        <wps:bodyPr rot="0" vert="horz" wrap="square" lIns="61265" tIns="30632" rIns="61265" bIns="30632" anchor="t" anchorCtr="0" upright="1">
                          <a:noAutofit/>
                        </wps:bodyPr>
                      </wps:wsp>
                      <wps:wsp>
                        <wps:cNvPr id="1470" name="Line 1056"/>
                        <wps:cNvCnPr>
                          <a:cxnSpLocks noChangeShapeType="1"/>
                        </wps:cNvCnPr>
                        <wps:spPr bwMode="auto">
                          <a:xfrm flipH="1">
                            <a:off x="2353811" y="560142"/>
                            <a:ext cx="457485" cy="4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1" name="Line 1057"/>
                        <wps:cNvCnPr>
                          <a:cxnSpLocks noChangeShapeType="1"/>
                        </wps:cNvCnPr>
                        <wps:spPr bwMode="auto">
                          <a:xfrm flipH="1">
                            <a:off x="2764483" y="2729201"/>
                            <a:ext cx="426" cy="553757"/>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2" name="Text Box 1058"/>
                        <wps:cNvSpPr txBox="1">
                          <a:spLocks noChangeArrowheads="1"/>
                        </wps:cNvSpPr>
                        <wps:spPr bwMode="auto">
                          <a:xfrm>
                            <a:off x="1841003" y="3271465"/>
                            <a:ext cx="1761847" cy="460116"/>
                          </a:xfrm>
                          <a:prstGeom prst="rect">
                            <a:avLst/>
                          </a:prstGeom>
                          <a:solidFill>
                            <a:srgbClr val="FFFFFF"/>
                          </a:solidFill>
                          <a:ln w="9525">
                            <a:solidFill>
                              <a:srgbClr val="000000"/>
                            </a:solidFill>
                            <a:miter lim="800000"/>
                            <a:headEnd/>
                            <a:tailEnd/>
                          </a:ln>
                        </wps:spPr>
                        <wps:txbx>
                          <w:txbxContent>
                            <w:p w14:paraId="4BF44859" w14:textId="77777777" w:rsidR="001C117D" w:rsidRPr="009C5BFE" w:rsidRDefault="001C117D" w:rsidP="002271CC">
                              <w:pPr>
                                <w:rPr>
                                  <w:rFonts w:cs="Arial"/>
                                  <w:sz w:val="13"/>
                                  <w:szCs w:val="20"/>
                                </w:rPr>
                              </w:pPr>
                              <w:r w:rsidRPr="009C5BFE">
                                <w:rPr>
                                  <w:rFonts w:cs="Arial"/>
                                  <w:sz w:val="13"/>
                                  <w:szCs w:val="20"/>
                                </w:rPr>
                                <w:t xml:space="preserve">Each reviewer then reviews the same (max 50) COPD or HF records using criterion based review method, using same patient records as for holistic review   </w:t>
                              </w:r>
                            </w:p>
                          </w:txbxContent>
                        </wps:txbx>
                        <wps:bodyPr rot="0" vert="horz" wrap="square" lIns="61265" tIns="30632" rIns="61265" bIns="30632" anchor="t" anchorCtr="0" upright="1">
                          <a:noAutofit/>
                        </wps:bodyPr>
                      </wps:wsp>
                      <wps:wsp>
                        <wps:cNvPr id="1473" name="Text Box 1059"/>
                        <wps:cNvSpPr txBox="1">
                          <a:spLocks noChangeArrowheads="1"/>
                        </wps:cNvSpPr>
                        <wps:spPr bwMode="auto">
                          <a:xfrm>
                            <a:off x="0" y="3807771"/>
                            <a:ext cx="1685245" cy="306886"/>
                          </a:xfrm>
                          <a:prstGeom prst="rect">
                            <a:avLst/>
                          </a:prstGeom>
                          <a:solidFill>
                            <a:srgbClr val="FFFFFF"/>
                          </a:solidFill>
                          <a:ln w="9525">
                            <a:solidFill>
                              <a:srgbClr val="000000"/>
                            </a:solidFill>
                            <a:miter lim="800000"/>
                            <a:headEnd/>
                            <a:tailEnd/>
                          </a:ln>
                        </wps:spPr>
                        <wps:txbx>
                          <w:txbxContent>
                            <w:p w14:paraId="0E03FB1F" w14:textId="77777777" w:rsidR="001C117D" w:rsidRPr="009C5BFE" w:rsidRDefault="001C117D" w:rsidP="002271CC">
                              <w:pPr>
                                <w:rPr>
                                  <w:rFonts w:cs="Arial"/>
                                  <w:sz w:val="13"/>
                                  <w:szCs w:val="20"/>
                                </w:rPr>
                              </w:pPr>
                              <w:r w:rsidRPr="009C5BFE">
                                <w:rPr>
                                  <w:rFonts w:cs="Arial"/>
                                  <w:sz w:val="13"/>
                                  <w:szCs w:val="20"/>
                                </w:rPr>
                                <w:t>Each reviewer exports c</w:t>
                              </w:r>
                              <w:r>
                                <w:rPr>
                                  <w:rFonts w:cs="Arial"/>
                                  <w:sz w:val="13"/>
                                  <w:szCs w:val="20"/>
                                </w:rPr>
                                <w:t>riterion</w:t>
                              </w:r>
                              <w:r w:rsidRPr="009C5BFE">
                                <w:rPr>
                                  <w:rFonts w:cs="Arial"/>
                                  <w:sz w:val="13"/>
                                  <w:szCs w:val="20"/>
                                </w:rPr>
                                <w:t xml:space="preserve"> review data to the study team for analysis</w:t>
                              </w:r>
                            </w:p>
                          </w:txbxContent>
                        </wps:txbx>
                        <wps:bodyPr rot="0" vert="horz" wrap="square" lIns="61265" tIns="30632" rIns="61265" bIns="30632" anchor="t" anchorCtr="0" upright="1">
                          <a:noAutofit/>
                        </wps:bodyPr>
                      </wps:wsp>
                      <wps:wsp>
                        <wps:cNvPr id="1474" name="Line 1060"/>
                        <wps:cNvCnPr>
                          <a:cxnSpLocks noChangeShapeType="1"/>
                        </wps:cNvCnPr>
                        <wps:spPr bwMode="auto">
                          <a:xfrm flipH="1">
                            <a:off x="233636" y="1948578"/>
                            <a:ext cx="4681" cy="1881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5" name="Line 1061"/>
                        <wps:cNvCnPr>
                          <a:cxnSpLocks noChangeShapeType="1"/>
                        </wps:cNvCnPr>
                        <wps:spPr bwMode="auto">
                          <a:xfrm flipH="1">
                            <a:off x="846453" y="1954537"/>
                            <a:ext cx="5532" cy="1821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6" name="Line 1062"/>
                        <wps:cNvCnPr>
                          <a:cxnSpLocks noChangeShapeType="1"/>
                        </wps:cNvCnPr>
                        <wps:spPr bwMode="auto">
                          <a:xfrm>
                            <a:off x="2067405" y="1942619"/>
                            <a:ext cx="5107" cy="1940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7" name="Line 1063"/>
                        <wps:cNvCnPr>
                          <a:cxnSpLocks noChangeShapeType="1"/>
                        </wps:cNvCnPr>
                        <wps:spPr bwMode="auto">
                          <a:xfrm flipH="1">
                            <a:off x="2686179" y="1918783"/>
                            <a:ext cx="851" cy="2170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8" name="Line 1064"/>
                        <wps:cNvCnPr>
                          <a:cxnSpLocks noChangeShapeType="1"/>
                        </wps:cNvCnPr>
                        <wps:spPr bwMode="auto">
                          <a:xfrm flipH="1">
                            <a:off x="1459269" y="1948578"/>
                            <a:ext cx="426" cy="1881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9" name="Line 1065"/>
                        <wps:cNvCnPr>
                          <a:cxnSpLocks noChangeShapeType="1"/>
                        </wps:cNvCnPr>
                        <wps:spPr bwMode="auto">
                          <a:xfrm>
                            <a:off x="3294740" y="1930701"/>
                            <a:ext cx="2553" cy="206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0" name="Line 1066"/>
                        <wps:cNvCnPr>
                          <a:cxnSpLocks noChangeShapeType="1"/>
                        </wps:cNvCnPr>
                        <wps:spPr bwMode="auto">
                          <a:xfrm>
                            <a:off x="5135743" y="1906865"/>
                            <a:ext cx="426" cy="229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1" name="Line 1067"/>
                        <wps:cNvCnPr>
                          <a:cxnSpLocks noChangeShapeType="1"/>
                        </wps:cNvCnPr>
                        <wps:spPr bwMode="auto">
                          <a:xfrm>
                            <a:off x="4516117" y="1912824"/>
                            <a:ext cx="7660" cy="22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2" name="Line 1068"/>
                        <wps:cNvCnPr>
                          <a:cxnSpLocks noChangeShapeType="1"/>
                        </wps:cNvCnPr>
                        <wps:spPr bwMode="auto">
                          <a:xfrm>
                            <a:off x="3902450" y="1912824"/>
                            <a:ext cx="7660" cy="2238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3" name="Line 1069"/>
                        <wps:cNvCnPr>
                          <a:cxnSpLocks noChangeShapeType="1"/>
                        </wps:cNvCnPr>
                        <wps:spPr bwMode="auto">
                          <a:xfrm>
                            <a:off x="232785" y="2136710"/>
                            <a:ext cx="49025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4" name="Line 1070"/>
                        <wps:cNvCnPr>
                          <a:cxnSpLocks noChangeShapeType="1"/>
                        </wps:cNvCnPr>
                        <wps:spPr bwMode="auto">
                          <a:xfrm flipH="1" flipV="1">
                            <a:off x="1608643" y="2976071"/>
                            <a:ext cx="1143924" cy="38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5" name="Line 1071"/>
                        <wps:cNvCnPr>
                          <a:cxnSpLocks noChangeShapeType="1"/>
                        </wps:cNvCnPr>
                        <wps:spPr bwMode="auto">
                          <a:xfrm>
                            <a:off x="1611622" y="834253"/>
                            <a:ext cx="2297636" cy="8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6" name="Line 1072"/>
                        <wps:cNvCnPr>
                          <a:cxnSpLocks noChangeShapeType="1"/>
                        </wps:cNvCnPr>
                        <wps:spPr bwMode="auto">
                          <a:xfrm>
                            <a:off x="1612473" y="832551"/>
                            <a:ext cx="0" cy="113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7" name="Line 1073"/>
                        <wps:cNvCnPr>
                          <a:cxnSpLocks noChangeShapeType="1"/>
                        </wps:cNvCnPr>
                        <wps:spPr bwMode="auto">
                          <a:xfrm>
                            <a:off x="3924153" y="838084"/>
                            <a:ext cx="851" cy="1136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8" name="Line 1074"/>
                        <wps:cNvCnPr>
                          <a:cxnSpLocks noChangeShapeType="1"/>
                        </wps:cNvCnPr>
                        <wps:spPr bwMode="auto">
                          <a:xfrm>
                            <a:off x="265979" y="1303308"/>
                            <a:ext cx="1853344" cy="8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9" name="Line 1075"/>
                        <wps:cNvCnPr>
                          <a:cxnSpLocks noChangeShapeType="1"/>
                        </wps:cNvCnPr>
                        <wps:spPr bwMode="auto">
                          <a:xfrm>
                            <a:off x="260021" y="1303308"/>
                            <a:ext cx="2128" cy="1685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0" name="Line 1076"/>
                        <wps:cNvCnPr>
                          <a:cxnSpLocks noChangeShapeType="1"/>
                        </wps:cNvCnPr>
                        <wps:spPr bwMode="auto">
                          <a:xfrm>
                            <a:off x="1207334" y="1196473"/>
                            <a:ext cx="851" cy="100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1" name="Line 1077"/>
                        <wps:cNvCnPr>
                          <a:cxnSpLocks noChangeShapeType="1"/>
                        </wps:cNvCnPr>
                        <wps:spPr bwMode="auto">
                          <a:xfrm>
                            <a:off x="2124856" y="1303308"/>
                            <a:ext cx="2128" cy="1625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2" name="Line 1078"/>
                        <wps:cNvCnPr>
                          <a:cxnSpLocks noChangeShapeType="1"/>
                        </wps:cNvCnPr>
                        <wps:spPr bwMode="auto">
                          <a:xfrm>
                            <a:off x="874115" y="1309693"/>
                            <a:ext cx="1702" cy="1800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3" name="Line 1079"/>
                        <wps:cNvCnPr>
                          <a:cxnSpLocks noChangeShapeType="1"/>
                        </wps:cNvCnPr>
                        <wps:spPr bwMode="auto">
                          <a:xfrm>
                            <a:off x="4174387" y="1202006"/>
                            <a:ext cx="851" cy="100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4" name="Line 1080"/>
                        <wps:cNvCnPr>
                          <a:cxnSpLocks noChangeShapeType="1"/>
                        </wps:cNvCnPr>
                        <wps:spPr bwMode="auto">
                          <a:xfrm flipV="1">
                            <a:off x="2702776" y="1299052"/>
                            <a:ext cx="2450840" cy="42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5" name="Line 1081"/>
                        <wps:cNvCnPr>
                          <a:cxnSpLocks noChangeShapeType="1"/>
                        </wps:cNvCnPr>
                        <wps:spPr bwMode="auto">
                          <a:xfrm>
                            <a:off x="3304528" y="1309267"/>
                            <a:ext cx="2128" cy="1506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6" name="Line 1082"/>
                        <wps:cNvCnPr>
                          <a:cxnSpLocks noChangeShapeType="1"/>
                        </wps:cNvCnPr>
                        <wps:spPr bwMode="auto">
                          <a:xfrm>
                            <a:off x="3616469" y="2544473"/>
                            <a:ext cx="881775"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7" name="Line 1083"/>
                        <wps:cNvCnPr>
                          <a:cxnSpLocks noChangeShapeType="1"/>
                        </wps:cNvCnPr>
                        <wps:spPr bwMode="auto">
                          <a:xfrm flipV="1">
                            <a:off x="3610511" y="3557495"/>
                            <a:ext cx="878370" cy="42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8" name="Line 1084"/>
                        <wps:cNvCnPr>
                          <a:cxnSpLocks noChangeShapeType="1"/>
                        </wps:cNvCnPr>
                        <wps:spPr bwMode="auto">
                          <a:xfrm flipV="1">
                            <a:off x="4486328" y="3199958"/>
                            <a:ext cx="426" cy="3456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9" name="Line 1085"/>
                        <wps:cNvCnPr>
                          <a:cxnSpLocks noChangeShapeType="1"/>
                        </wps:cNvCnPr>
                        <wps:spPr bwMode="auto">
                          <a:xfrm>
                            <a:off x="4486328" y="2544473"/>
                            <a:ext cx="5958" cy="2621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0" name="Text Box 1086"/>
                        <wps:cNvSpPr txBox="1">
                          <a:spLocks noChangeArrowheads="1"/>
                        </wps:cNvSpPr>
                        <wps:spPr bwMode="auto">
                          <a:xfrm>
                            <a:off x="1996335" y="0"/>
                            <a:ext cx="1757166" cy="306035"/>
                          </a:xfrm>
                          <a:prstGeom prst="rect">
                            <a:avLst/>
                          </a:prstGeom>
                          <a:solidFill>
                            <a:srgbClr val="FFFFFF"/>
                          </a:solidFill>
                          <a:ln w="9525">
                            <a:solidFill>
                              <a:srgbClr val="000000"/>
                            </a:solidFill>
                            <a:miter lim="800000"/>
                            <a:headEnd/>
                            <a:tailEnd/>
                          </a:ln>
                        </wps:spPr>
                        <wps:txbx>
                          <w:txbxContent>
                            <w:p w14:paraId="39D2B0E2" w14:textId="77777777" w:rsidR="001C117D" w:rsidRPr="009C5BFE" w:rsidRDefault="001C117D" w:rsidP="002271CC">
                              <w:pPr>
                                <w:spacing w:before="120"/>
                                <w:jc w:val="center"/>
                                <w:rPr>
                                  <w:rFonts w:cs="Arial"/>
                                  <w:sz w:val="13"/>
                                  <w:szCs w:val="20"/>
                                </w:rPr>
                              </w:pPr>
                              <w:r w:rsidRPr="009C5BFE">
                                <w:rPr>
                                  <w:rFonts w:cs="Arial"/>
                                  <w:sz w:val="13"/>
                                  <w:szCs w:val="20"/>
                                </w:rPr>
                                <w:t>20 hospitals invited to take part in Phase 1</w:t>
                              </w:r>
                            </w:p>
                          </w:txbxContent>
                        </wps:txbx>
                        <wps:bodyPr rot="0" vert="horz" wrap="square" lIns="61265" tIns="30632" rIns="61265" bIns="30632" anchor="t" anchorCtr="0" upright="1">
                          <a:noAutofit/>
                        </wps:bodyPr>
                      </wps:wsp>
                      <wps:wsp>
                        <wps:cNvPr id="1501" name="Text Box 1087"/>
                        <wps:cNvSpPr txBox="1">
                          <a:spLocks noChangeArrowheads="1"/>
                        </wps:cNvSpPr>
                        <wps:spPr bwMode="auto">
                          <a:xfrm>
                            <a:off x="615795" y="1485482"/>
                            <a:ext cx="534512" cy="470757"/>
                          </a:xfrm>
                          <a:prstGeom prst="rect">
                            <a:avLst/>
                          </a:prstGeom>
                          <a:solidFill>
                            <a:srgbClr val="FFFFFF"/>
                          </a:solidFill>
                          <a:ln w="9525">
                            <a:solidFill>
                              <a:srgbClr val="000000"/>
                            </a:solidFill>
                            <a:miter lim="800000"/>
                            <a:headEnd/>
                            <a:tailEnd/>
                          </a:ln>
                        </wps:spPr>
                        <wps:txbx>
                          <w:txbxContent>
                            <w:p w14:paraId="2E47C7DC" w14:textId="77777777" w:rsidR="001C117D" w:rsidRPr="009C5BFE" w:rsidRDefault="001C117D" w:rsidP="002271CC">
                              <w:pPr>
                                <w:rPr>
                                  <w:rFonts w:cs="Arial"/>
                                  <w:sz w:val="13"/>
                                  <w:szCs w:val="20"/>
                                </w:rPr>
                              </w:pPr>
                              <w:r w:rsidRPr="009C5BFE">
                                <w:rPr>
                                  <w:rFonts w:cs="Arial"/>
                                  <w:sz w:val="13"/>
                                  <w:szCs w:val="20"/>
                                </w:rPr>
                                <w:t>Site: B</w:t>
                              </w:r>
                            </w:p>
                            <w:p w14:paraId="12CB1293" w14:textId="77777777" w:rsidR="001C117D" w:rsidRPr="009C5BFE" w:rsidRDefault="001C117D" w:rsidP="002271CC">
                              <w:pPr>
                                <w:rPr>
                                  <w:rFonts w:cs="Arial"/>
                                  <w:sz w:val="13"/>
                                  <w:szCs w:val="20"/>
                                </w:rPr>
                              </w:pPr>
                              <w:r w:rsidRPr="009C5BFE">
                                <w:rPr>
                                  <w:rFonts w:cs="Arial"/>
                                  <w:sz w:val="13"/>
                                  <w:szCs w:val="20"/>
                                </w:rPr>
                                <w:t xml:space="preserve">reviewers COPD: 1 </w:t>
                              </w:r>
                            </w:p>
                            <w:p w14:paraId="1394481A" w14:textId="77777777" w:rsidR="001C117D" w:rsidRPr="009C5BFE" w:rsidRDefault="001C117D" w:rsidP="002271CC">
                              <w:pPr>
                                <w:rPr>
                                  <w:rFonts w:cs="Arial"/>
                                  <w:sz w:val="13"/>
                                  <w:szCs w:val="20"/>
                                </w:rPr>
                              </w:pPr>
                              <w:r w:rsidRPr="009C5BFE">
                                <w:rPr>
                                  <w:rFonts w:cs="Arial"/>
                                  <w:sz w:val="13"/>
                                  <w:szCs w:val="20"/>
                                </w:rPr>
                                <w:t>HF: 4</w:t>
                              </w:r>
                            </w:p>
                          </w:txbxContent>
                        </wps:txbx>
                        <wps:bodyPr rot="0" vert="horz" wrap="square" lIns="61265" tIns="30632" rIns="61265" bIns="30632" anchor="t" anchorCtr="0" upright="1">
                          <a:noAutofit/>
                        </wps:bodyPr>
                      </wps:wsp>
                      <wps:wsp>
                        <wps:cNvPr id="1502" name="Line 1088"/>
                        <wps:cNvCnPr>
                          <a:cxnSpLocks noChangeShapeType="1"/>
                        </wps:cNvCnPr>
                        <wps:spPr bwMode="auto">
                          <a:xfrm>
                            <a:off x="1519274" y="1310970"/>
                            <a:ext cx="2128" cy="1625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3" name="Line 1089"/>
                        <wps:cNvCnPr>
                          <a:cxnSpLocks noChangeShapeType="1"/>
                        </wps:cNvCnPr>
                        <wps:spPr bwMode="auto">
                          <a:xfrm>
                            <a:off x="2704904" y="1316929"/>
                            <a:ext cx="2128" cy="1625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4" name="Line 1090"/>
                        <wps:cNvCnPr>
                          <a:cxnSpLocks noChangeShapeType="1"/>
                        </wps:cNvCnPr>
                        <wps:spPr bwMode="auto">
                          <a:xfrm>
                            <a:off x="3938197" y="1310970"/>
                            <a:ext cx="2128" cy="1625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5" name="Line 1091"/>
                        <wps:cNvCnPr>
                          <a:cxnSpLocks noChangeShapeType="1"/>
                        </wps:cNvCnPr>
                        <wps:spPr bwMode="auto">
                          <a:xfrm>
                            <a:off x="4551865" y="1316929"/>
                            <a:ext cx="2128" cy="1625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6" name="Line 1092"/>
                        <wps:cNvCnPr>
                          <a:cxnSpLocks noChangeShapeType="1"/>
                        </wps:cNvCnPr>
                        <wps:spPr bwMode="auto">
                          <a:xfrm>
                            <a:off x="5153617" y="1310970"/>
                            <a:ext cx="2128" cy="1625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7" name="Line 1093"/>
                        <wps:cNvCnPr>
                          <a:cxnSpLocks noChangeShapeType="1"/>
                        </wps:cNvCnPr>
                        <wps:spPr bwMode="auto">
                          <a:xfrm flipV="1">
                            <a:off x="2770441" y="3730305"/>
                            <a:ext cx="0" cy="2621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8" name="Line 1094"/>
                        <wps:cNvCnPr>
                          <a:cxnSpLocks noChangeShapeType="1"/>
                        </wps:cNvCnPr>
                        <wps:spPr bwMode="auto">
                          <a:xfrm>
                            <a:off x="2758525" y="2133305"/>
                            <a:ext cx="0" cy="291989"/>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9" name="Line 1095"/>
                        <wps:cNvCnPr>
                          <a:cxnSpLocks noChangeShapeType="1"/>
                        </wps:cNvCnPr>
                        <wps:spPr bwMode="auto">
                          <a:xfrm>
                            <a:off x="2824063" y="303907"/>
                            <a:ext cx="0" cy="518429"/>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0" name="Line 1096"/>
                        <wps:cNvCnPr>
                          <a:cxnSpLocks noChangeShapeType="1"/>
                        </wps:cNvCnPr>
                        <wps:spPr bwMode="auto">
                          <a:xfrm flipH="1">
                            <a:off x="1685245" y="3972068"/>
                            <a:ext cx="1072429" cy="4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5B66A94" id="Canvas 1040" o:spid="_x0000_s1028" editas="canvas" style="width:425.5pt;height:353.75pt;mso-position-horizontal-relative:char;mso-position-vertical-relative:line" coordsize="54038,44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">
                <v:shape id="_x0000_s1029" type="#_x0000_t75" style="position:absolute;width:54038;height:44926;visibility:visible;mso-wrap-style:square">
                  <v:fill o:detectmouseclick="t"/>
                  <v:path o:connecttype="none"/>
                </v:shape>
                <v:shape id="Text Box 1042" o:spid="_x0000_s1030" type="#_x0000_t202" style="position:absolute;left:7660;top:4230;width:15997;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">
                  <v:textbox inset="1.70181mm,.85089mm,1.70181mm,.85089mm">
                    <w:txbxContent>
                      <w:p w14:paraId="45953C34" w14:textId="77777777" w:rsidR="001C117D" w:rsidRPr="009C5BFE" w:rsidRDefault="001C117D" w:rsidP="002271CC">
                        <w:pPr>
                          <w:spacing w:before="80"/>
                          <w:jc w:val="center"/>
                          <w:rPr>
                            <w:rFonts w:cs="Arial"/>
                            <w:sz w:val="13"/>
                            <w:szCs w:val="20"/>
                          </w:rPr>
                        </w:pPr>
                        <w:r w:rsidRPr="009C5BFE">
                          <w:rPr>
                            <w:rFonts w:cs="Arial"/>
                            <w:sz w:val="13"/>
                            <w:szCs w:val="20"/>
                          </w:rPr>
                          <w:t>11 hospitals do not wish participate</w:t>
                        </w:r>
                      </w:p>
                    </w:txbxContent>
                  </v:textbox>
                </v:shape>
                <v:shape id="Text Box 1043" o:spid="_x0000_s1031" type="#_x0000_t202" style="position:absolute;left:3830;top:9517;width:19239;height:2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">
                  <v:textbox inset="1.70181mm,.85089mm,1.70181mm,.85089mm">
                    <w:txbxContent>
                      <w:p w14:paraId="145634AC" w14:textId="77777777" w:rsidR="001C117D" w:rsidRPr="009C5BFE" w:rsidRDefault="001C117D" w:rsidP="002271CC">
                        <w:pPr>
                          <w:spacing w:before="80"/>
                          <w:jc w:val="center"/>
                          <w:rPr>
                            <w:rFonts w:cs="Arial"/>
                            <w:sz w:val="13"/>
                            <w:szCs w:val="20"/>
                          </w:rPr>
                        </w:pPr>
                        <w:r w:rsidRPr="009C5BFE">
                          <w:rPr>
                            <w:rFonts w:cs="Arial"/>
                            <w:sz w:val="13"/>
                            <w:szCs w:val="20"/>
                          </w:rPr>
                          <w:t>4 hospitals with low mortality rates (HES data)</w:t>
                        </w:r>
                      </w:p>
                    </w:txbxContent>
                  </v:textbox>
                </v:shape>
                <v:shape id="Text Box 1044" o:spid="_x0000_s1032" type="#_x0000_t202" style="position:absolute;left:32938;top:9572;width:19206;height:2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">
                  <v:textbox inset="1.70181mm,.85089mm,1.70181mm,.85089mm">
                    <w:txbxContent>
                      <w:p w14:paraId="1545E2C7" w14:textId="77777777" w:rsidR="001C117D" w:rsidRPr="009C5BFE" w:rsidRDefault="001C117D" w:rsidP="002271CC">
                        <w:pPr>
                          <w:spacing w:before="80"/>
                          <w:jc w:val="center"/>
                          <w:rPr>
                            <w:rFonts w:cs="Arial"/>
                            <w:sz w:val="13"/>
                            <w:szCs w:val="20"/>
                          </w:rPr>
                        </w:pPr>
                        <w:r w:rsidRPr="009C5BFE">
                          <w:rPr>
                            <w:rFonts w:cs="Arial"/>
                            <w:sz w:val="13"/>
                            <w:szCs w:val="20"/>
                          </w:rPr>
                          <w:t>5 hospitals with high mortality rates (HES data)</w:t>
                        </w:r>
                      </w:p>
                    </w:txbxContent>
                  </v:textbox>
                </v:shape>
                <v:shape id="Text Box 1045" o:spid="_x0000_s1033" type="#_x0000_t202" style="position:absolute;left:18350;top:24252;width:17618;height:3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">
                  <v:textbox inset="1.70181mm,.85089mm,1.70181mm,.85089mm">
                    <w:txbxContent>
                      <w:p w14:paraId="32864094" w14:textId="77777777" w:rsidR="001C117D" w:rsidRPr="009C5BFE" w:rsidRDefault="001C117D" w:rsidP="002271CC">
                        <w:pPr>
                          <w:rPr>
                            <w:rFonts w:cs="Arial"/>
                            <w:sz w:val="13"/>
                            <w:szCs w:val="20"/>
                          </w:rPr>
                        </w:pPr>
                        <w:r w:rsidRPr="009C5BFE">
                          <w:rPr>
                            <w:rFonts w:cs="Arial"/>
                            <w:sz w:val="13"/>
                            <w:szCs w:val="20"/>
                          </w:rPr>
                          <w:t xml:space="preserve">Each reviewer reviews 50 (max) COPD or HF records using holistic review method  </w:t>
                        </w:r>
                      </w:p>
                    </w:txbxContent>
                  </v:textbox>
                </v:shape>
                <v:shape id="Text Box 1046" o:spid="_x0000_s1034" type="#_x0000_t202" style="position:absolute;left:35968;top:27947;width:18070;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">
                  <v:textbox inset="1.70181mm,.85089mm,1.70181mm,.85089mm">
                    <w:txbxContent>
                      <w:p w14:paraId="2E42E883" w14:textId="77777777" w:rsidR="001C117D" w:rsidRPr="009C5BFE" w:rsidRDefault="001C117D" w:rsidP="002271CC">
                        <w:pPr>
                          <w:rPr>
                            <w:rFonts w:cs="Arial"/>
                            <w:i/>
                            <w:sz w:val="13"/>
                            <w:szCs w:val="20"/>
                          </w:rPr>
                        </w:pPr>
                        <w:r w:rsidRPr="009C5BFE">
                          <w:rPr>
                            <w:rFonts w:cs="Arial"/>
                            <w:i/>
                            <w:sz w:val="13"/>
                            <w:szCs w:val="20"/>
                          </w:rPr>
                          <w:t>Note</w:t>
                        </w:r>
                        <w:r w:rsidRPr="009C5BFE">
                          <w:rPr>
                            <w:rFonts w:cs="Arial"/>
                            <w:sz w:val="13"/>
                            <w:szCs w:val="20"/>
                          </w:rPr>
                          <w:t xml:space="preserve">: </w:t>
                        </w:r>
                        <w:r w:rsidRPr="009C5BFE">
                          <w:rPr>
                            <w:rFonts w:cs="Arial"/>
                            <w:i/>
                            <w:sz w:val="13"/>
                            <w:szCs w:val="20"/>
                          </w:rPr>
                          <w:t xml:space="preserve">Where there is more than 1 reviewer for a condition at the same site, all reviewed the same 50 records    </w:t>
                        </w:r>
                      </w:p>
                    </w:txbxContent>
                  </v:textbox>
                </v:shape>
                <v:shape id="Text Box 1047" o:spid="_x0000_s1035" type="#_x0000_t202" style="position:absolute;top:28424;width:16086;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">
                  <v:textbox inset="1.70181mm,.85089mm,1.70181mm,.85089mm">
                    <w:txbxContent>
                      <w:p w14:paraId="18BCBBF8" w14:textId="77777777" w:rsidR="001C117D" w:rsidRPr="009C5BFE" w:rsidRDefault="001C117D" w:rsidP="002271CC">
                        <w:pPr>
                          <w:rPr>
                            <w:rFonts w:cs="Arial"/>
                            <w:sz w:val="13"/>
                            <w:szCs w:val="20"/>
                          </w:rPr>
                        </w:pPr>
                        <w:r w:rsidRPr="009C5BFE">
                          <w:rPr>
                            <w:rFonts w:cs="Arial"/>
                            <w:sz w:val="13"/>
                            <w:szCs w:val="20"/>
                          </w:rPr>
                          <w:t>Each reviewer exports holistic review data to the study team for analysis</w:t>
                        </w:r>
                      </w:p>
                    </w:txbxContent>
                  </v:textbox>
                </v:shape>
                <v:shape id="Text Box 1048" o:spid="_x0000_s1036" type="#_x0000_t202" style="position:absolute;top:14731;width:5353;height:4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">
                  <v:textbox inset="1.70181mm,.85089mm,1.70181mm,.85089mm">
                    <w:txbxContent>
                      <w:p w14:paraId="2ED7FA56" w14:textId="77777777" w:rsidR="001C117D" w:rsidRPr="009C5BFE" w:rsidRDefault="001C117D" w:rsidP="002271CC">
                        <w:pPr>
                          <w:rPr>
                            <w:rFonts w:cs="Arial"/>
                            <w:sz w:val="13"/>
                            <w:szCs w:val="20"/>
                          </w:rPr>
                        </w:pPr>
                        <w:r w:rsidRPr="009C5BFE">
                          <w:rPr>
                            <w:rFonts w:cs="Arial"/>
                            <w:sz w:val="13"/>
                            <w:szCs w:val="20"/>
                          </w:rPr>
                          <w:t>Site: A</w:t>
                        </w:r>
                      </w:p>
                      <w:p w14:paraId="2EAB7B3A" w14:textId="77777777" w:rsidR="001C117D" w:rsidRPr="009C5BFE" w:rsidRDefault="001C117D" w:rsidP="002271CC">
                        <w:pPr>
                          <w:rPr>
                            <w:rFonts w:cs="Arial"/>
                            <w:sz w:val="13"/>
                            <w:szCs w:val="20"/>
                          </w:rPr>
                        </w:pPr>
                        <w:r w:rsidRPr="009C5BFE">
                          <w:rPr>
                            <w:rFonts w:cs="Arial"/>
                            <w:sz w:val="13"/>
                            <w:szCs w:val="20"/>
                          </w:rPr>
                          <w:t xml:space="preserve">reviewers COPD: 3 </w:t>
                        </w:r>
                      </w:p>
                      <w:p w14:paraId="03A32C93" w14:textId="77777777" w:rsidR="001C117D" w:rsidRPr="009C5BFE" w:rsidRDefault="001C117D" w:rsidP="002271CC">
                        <w:pPr>
                          <w:rPr>
                            <w:rFonts w:cs="Arial"/>
                            <w:sz w:val="13"/>
                            <w:szCs w:val="20"/>
                          </w:rPr>
                        </w:pPr>
                        <w:r w:rsidRPr="009C5BFE">
                          <w:rPr>
                            <w:rFonts w:cs="Arial"/>
                            <w:sz w:val="13"/>
                            <w:szCs w:val="20"/>
                          </w:rPr>
                          <w:t xml:space="preserve">HF: 2 </w:t>
                        </w:r>
                      </w:p>
                    </w:txbxContent>
                  </v:textbox>
                </v:shape>
                <v:shape id="Text Box 1049" o:spid="_x0000_s1037" type="#_x0000_t202" style="position:absolute;left:12264;top:14731;width:5345;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">
                  <v:textbox inset="1.70181mm,.85089mm,1.70181mm,.85089mm">
                    <w:txbxContent>
                      <w:p w14:paraId="479F6947" w14:textId="77777777" w:rsidR="001C117D" w:rsidRPr="009C5BFE" w:rsidRDefault="001C117D" w:rsidP="002271CC">
                        <w:pPr>
                          <w:rPr>
                            <w:rFonts w:cs="Arial"/>
                            <w:sz w:val="13"/>
                            <w:szCs w:val="20"/>
                          </w:rPr>
                        </w:pPr>
                        <w:r w:rsidRPr="009C5BFE">
                          <w:rPr>
                            <w:rFonts w:cs="Arial"/>
                            <w:sz w:val="13"/>
                            <w:szCs w:val="20"/>
                          </w:rPr>
                          <w:t>Site: C</w:t>
                        </w:r>
                      </w:p>
                      <w:p w14:paraId="4996A10F" w14:textId="77777777" w:rsidR="001C117D" w:rsidRPr="009C5BFE" w:rsidRDefault="001C117D" w:rsidP="002271CC">
                        <w:pPr>
                          <w:rPr>
                            <w:rFonts w:cs="Arial"/>
                            <w:sz w:val="13"/>
                            <w:szCs w:val="20"/>
                          </w:rPr>
                        </w:pPr>
                        <w:r w:rsidRPr="009C5BFE">
                          <w:rPr>
                            <w:rFonts w:cs="Arial"/>
                            <w:sz w:val="13"/>
                            <w:szCs w:val="20"/>
                          </w:rPr>
                          <w:t xml:space="preserve">reviewers COPD: 1 </w:t>
                        </w:r>
                      </w:p>
                      <w:p w14:paraId="32AD953E" w14:textId="77777777" w:rsidR="001C117D" w:rsidRPr="009C5BFE" w:rsidRDefault="001C117D" w:rsidP="002271CC">
                        <w:pPr>
                          <w:rPr>
                            <w:rFonts w:cs="Arial"/>
                            <w:sz w:val="13"/>
                            <w:szCs w:val="20"/>
                          </w:rPr>
                        </w:pPr>
                        <w:r w:rsidRPr="009C5BFE">
                          <w:rPr>
                            <w:rFonts w:cs="Arial"/>
                            <w:sz w:val="13"/>
                            <w:szCs w:val="20"/>
                          </w:rPr>
                          <w:t xml:space="preserve">HF: 0 </w:t>
                        </w:r>
                      </w:p>
                    </w:txbxContent>
                  </v:textbox>
                </v:shape>
                <v:shape id="Text Box 1050" o:spid="_x0000_s1038" type="#_x0000_t202" style="position:absolute;left:18367;top:14731;width:5379;height:4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">
                  <v:textbox inset="1.70181mm,.85089mm,1.70181mm,.85089mm">
                    <w:txbxContent>
                      <w:p w14:paraId="53706481" w14:textId="77777777" w:rsidR="001C117D" w:rsidRPr="009C5BFE" w:rsidRDefault="001C117D" w:rsidP="002271CC">
                        <w:pPr>
                          <w:rPr>
                            <w:rFonts w:cs="Arial"/>
                            <w:sz w:val="13"/>
                            <w:szCs w:val="20"/>
                          </w:rPr>
                        </w:pPr>
                        <w:r w:rsidRPr="009C5BFE">
                          <w:rPr>
                            <w:rFonts w:cs="Arial"/>
                            <w:sz w:val="13"/>
                            <w:szCs w:val="20"/>
                          </w:rPr>
                          <w:t>Site: D</w:t>
                        </w:r>
                      </w:p>
                      <w:p w14:paraId="19CC9836" w14:textId="77777777" w:rsidR="001C117D" w:rsidRPr="009C5BFE" w:rsidRDefault="001C117D" w:rsidP="002271CC">
                        <w:pPr>
                          <w:rPr>
                            <w:rFonts w:cs="Arial"/>
                            <w:sz w:val="13"/>
                            <w:szCs w:val="20"/>
                          </w:rPr>
                        </w:pPr>
                        <w:r w:rsidRPr="009C5BFE">
                          <w:rPr>
                            <w:rFonts w:cs="Arial"/>
                            <w:sz w:val="13"/>
                            <w:szCs w:val="20"/>
                          </w:rPr>
                          <w:t xml:space="preserve">reviewers COPD: 3 </w:t>
                        </w:r>
                      </w:p>
                      <w:p w14:paraId="58F7FFF2" w14:textId="77777777" w:rsidR="001C117D" w:rsidRPr="009C5BFE" w:rsidRDefault="001C117D" w:rsidP="002271CC">
                        <w:pPr>
                          <w:rPr>
                            <w:rFonts w:cs="Arial"/>
                            <w:sz w:val="13"/>
                            <w:szCs w:val="20"/>
                          </w:rPr>
                        </w:pPr>
                        <w:r w:rsidRPr="009C5BFE">
                          <w:rPr>
                            <w:rFonts w:cs="Arial"/>
                            <w:sz w:val="13"/>
                            <w:szCs w:val="20"/>
                          </w:rPr>
                          <w:t xml:space="preserve">HF: 2 </w:t>
                        </w:r>
                      </w:p>
                    </w:txbxContent>
                  </v:textbox>
                </v:shape>
                <v:shape id="Text Box 1051" o:spid="_x0000_s1039" type="#_x0000_t202" style="position:absolute;left:24546;top:14778;width:5354;height:4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">
                  <v:textbox inset="1.70181mm,.85089mm,1.70181mm,.85089mm">
                    <w:txbxContent>
                      <w:p w14:paraId="7A32534E" w14:textId="77777777" w:rsidR="001C117D" w:rsidRPr="009C5BFE" w:rsidRDefault="001C117D" w:rsidP="002271CC">
                        <w:pPr>
                          <w:rPr>
                            <w:rFonts w:cs="Arial"/>
                            <w:sz w:val="13"/>
                            <w:szCs w:val="20"/>
                          </w:rPr>
                        </w:pPr>
                        <w:r w:rsidRPr="009C5BFE">
                          <w:rPr>
                            <w:rFonts w:cs="Arial"/>
                            <w:sz w:val="13"/>
                            <w:szCs w:val="20"/>
                          </w:rPr>
                          <w:t>Site: E</w:t>
                        </w:r>
                      </w:p>
                      <w:p w14:paraId="77B2E28D" w14:textId="77777777" w:rsidR="001C117D" w:rsidRPr="009C5BFE" w:rsidRDefault="001C117D" w:rsidP="002271CC">
                        <w:pPr>
                          <w:rPr>
                            <w:rFonts w:cs="Arial"/>
                            <w:sz w:val="13"/>
                            <w:szCs w:val="20"/>
                          </w:rPr>
                        </w:pPr>
                        <w:r w:rsidRPr="009C5BFE">
                          <w:rPr>
                            <w:rFonts w:cs="Arial"/>
                            <w:sz w:val="13"/>
                            <w:szCs w:val="20"/>
                          </w:rPr>
                          <w:t xml:space="preserve">reviewers COPD: 3 </w:t>
                        </w:r>
                      </w:p>
                      <w:p w14:paraId="24AA27F2" w14:textId="77777777" w:rsidR="001C117D" w:rsidRPr="009C5BFE" w:rsidRDefault="001C117D" w:rsidP="002271CC">
                        <w:pPr>
                          <w:rPr>
                            <w:rFonts w:cs="Arial"/>
                            <w:sz w:val="13"/>
                            <w:szCs w:val="20"/>
                          </w:rPr>
                        </w:pPr>
                        <w:r w:rsidRPr="009C5BFE">
                          <w:rPr>
                            <w:rFonts w:cs="Arial"/>
                            <w:sz w:val="13"/>
                            <w:szCs w:val="20"/>
                          </w:rPr>
                          <w:t xml:space="preserve">HF: 2 </w:t>
                        </w:r>
                      </w:p>
                    </w:txbxContent>
                  </v:textbox>
                </v:shape>
                <v:shape id="Text Box 1052" o:spid="_x0000_s1040" type="#_x0000_t202" style="position:absolute;left:30640;top:14731;width:5337;height:4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">
                  <v:textbox inset="1.70181mm,.85089mm,1.70181mm,.85089mm">
                    <w:txbxContent>
                      <w:p w14:paraId="452F02C1" w14:textId="77777777" w:rsidR="001C117D" w:rsidRPr="009C5BFE" w:rsidRDefault="001C117D" w:rsidP="002271CC">
                        <w:pPr>
                          <w:rPr>
                            <w:rFonts w:cs="Arial"/>
                            <w:sz w:val="13"/>
                            <w:szCs w:val="20"/>
                          </w:rPr>
                        </w:pPr>
                        <w:r w:rsidRPr="009C5BFE">
                          <w:rPr>
                            <w:rFonts w:cs="Arial"/>
                            <w:sz w:val="13"/>
                            <w:szCs w:val="20"/>
                          </w:rPr>
                          <w:t>Site: F</w:t>
                        </w:r>
                      </w:p>
                      <w:p w14:paraId="378981E7" w14:textId="77777777" w:rsidR="001C117D" w:rsidRPr="009C5BFE" w:rsidRDefault="001C117D" w:rsidP="002271CC">
                        <w:pPr>
                          <w:rPr>
                            <w:rFonts w:cs="Arial"/>
                            <w:sz w:val="13"/>
                            <w:szCs w:val="20"/>
                          </w:rPr>
                        </w:pPr>
                        <w:r w:rsidRPr="009C5BFE">
                          <w:rPr>
                            <w:rFonts w:cs="Arial"/>
                            <w:sz w:val="13"/>
                            <w:szCs w:val="20"/>
                          </w:rPr>
                          <w:t xml:space="preserve">reviewers COPD: 1 </w:t>
                        </w:r>
                      </w:p>
                      <w:p w14:paraId="314941F4" w14:textId="77777777" w:rsidR="001C117D" w:rsidRPr="009C5BFE" w:rsidRDefault="001C117D" w:rsidP="002271CC">
                        <w:pPr>
                          <w:rPr>
                            <w:rFonts w:cs="Arial"/>
                            <w:sz w:val="13"/>
                            <w:szCs w:val="20"/>
                          </w:rPr>
                        </w:pPr>
                        <w:r w:rsidRPr="009C5BFE">
                          <w:rPr>
                            <w:rFonts w:cs="Arial"/>
                            <w:sz w:val="13"/>
                            <w:szCs w:val="20"/>
                          </w:rPr>
                          <w:t xml:space="preserve">HF: 3 </w:t>
                        </w:r>
                      </w:p>
                    </w:txbxContent>
                  </v:textbox>
                </v:shape>
                <v:shape id="Text Box 1053" o:spid="_x0000_s1041" type="#_x0000_t202" style="position:absolute;left:36773;top:14731;width:5345;height:4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">
                  <v:textbox inset="1.70181mm,.85089mm,1.70181mm,.85089mm">
                    <w:txbxContent>
                      <w:p w14:paraId="13AF80A4" w14:textId="77777777" w:rsidR="001C117D" w:rsidRPr="009C5BFE" w:rsidRDefault="001C117D" w:rsidP="002271CC">
                        <w:pPr>
                          <w:rPr>
                            <w:rFonts w:cs="Arial"/>
                            <w:sz w:val="13"/>
                            <w:szCs w:val="20"/>
                          </w:rPr>
                        </w:pPr>
                        <w:r w:rsidRPr="009C5BFE">
                          <w:rPr>
                            <w:rFonts w:cs="Arial"/>
                            <w:sz w:val="13"/>
                            <w:szCs w:val="20"/>
                          </w:rPr>
                          <w:t>Site: G</w:t>
                        </w:r>
                      </w:p>
                      <w:p w14:paraId="4EE6D07F" w14:textId="77777777" w:rsidR="001C117D" w:rsidRPr="009C5BFE" w:rsidRDefault="001C117D" w:rsidP="002271CC">
                        <w:pPr>
                          <w:rPr>
                            <w:rFonts w:cs="Arial"/>
                            <w:sz w:val="13"/>
                            <w:szCs w:val="20"/>
                          </w:rPr>
                        </w:pPr>
                        <w:r w:rsidRPr="009C5BFE">
                          <w:rPr>
                            <w:rFonts w:cs="Arial"/>
                            <w:sz w:val="13"/>
                            <w:szCs w:val="20"/>
                          </w:rPr>
                          <w:t xml:space="preserve">reviewers COPD: 1 </w:t>
                        </w:r>
                      </w:p>
                      <w:p w14:paraId="07D96577" w14:textId="77777777" w:rsidR="001C117D" w:rsidRPr="009C5BFE" w:rsidRDefault="001C117D" w:rsidP="002271CC">
                        <w:pPr>
                          <w:rPr>
                            <w:rFonts w:cs="Arial"/>
                            <w:sz w:val="13"/>
                            <w:szCs w:val="20"/>
                          </w:rPr>
                        </w:pPr>
                        <w:r w:rsidRPr="009C5BFE">
                          <w:rPr>
                            <w:rFonts w:cs="Arial"/>
                            <w:sz w:val="13"/>
                            <w:szCs w:val="20"/>
                          </w:rPr>
                          <w:t xml:space="preserve">HF: 3 </w:t>
                        </w:r>
                      </w:p>
                    </w:txbxContent>
                  </v:textbox>
                </v:shape>
                <v:shape id="Text Box 1054" o:spid="_x0000_s1042" type="#_x0000_t202" style="position:absolute;left:42901;top:14731;width:5345;height:4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">
                  <v:textbox inset="1.70181mm,.85089mm,1.70181mm,.85089mm">
                    <w:txbxContent>
                      <w:p w14:paraId="044B886D" w14:textId="77777777" w:rsidR="001C117D" w:rsidRPr="009C5BFE" w:rsidRDefault="001C117D" w:rsidP="002271CC">
                        <w:pPr>
                          <w:rPr>
                            <w:rFonts w:cs="Arial"/>
                            <w:sz w:val="13"/>
                            <w:szCs w:val="20"/>
                          </w:rPr>
                        </w:pPr>
                        <w:r w:rsidRPr="009C5BFE">
                          <w:rPr>
                            <w:rFonts w:cs="Arial"/>
                            <w:sz w:val="13"/>
                            <w:szCs w:val="20"/>
                          </w:rPr>
                          <w:t>Site: H</w:t>
                        </w:r>
                      </w:p>
                      <w:p w14:paraId="60BD739F" w14:textId="77777777" w:rsidR="001C117D" w:rsidRPr="009C5BFE" w:rsidRDefault="001C117D" w:rsidP="002271CC">
                        <w:pPr>
                          <w:rPr>
                            <w:rFonts w:cs="Arial"/>
                            <w:sz w:val="13"/>
                            <w:szCs w:val="20"/>
                          </w:rPr>
                        </w:pPr>
                        <w:r w:rsidRPr="009C5BFE">
                          <w:rPr>
                            <w:rFonts w:cs="Arial"/>
                            <w:sz w:val="13"/>
                            <w:szCs w:val="20"/>
                          </w:rPr>
                          <w:t xml:space="preserve">reviewers COPD: 1 </w:t>
                        </w:r>
                      </w:p>
                      <w:p w14:paraId="5F09732D" w14:textId="77777777" w:rsidR="001C117D" w:rsidRPr="009C5BFE" w:rsidRDefault="001C117D" w:rsidP="002271CC">
                        <w:pPr>
                          <w:rPr>
                            <w:rFonts w:cs="Arial"/>
                            <w:sz w:val="13"/>
                            <w:szCs w:val="20"/>
                          </w:rPr>
                        </w:pPr>
                        <w:r w:rsidRPr="009C5BFE">
                          <w:rPr>
                            <w:rFonts w:cs="Arial"/>
                            <w:sz w:val="13"/>
                            <w:szCs w:val="20"/>
                          </w:rPr>
                          <w:t xml:space="preserve">HF: 3 </w:t>
                        </w:r>
                      </w:p>
                    </w:txbxContent>
                  </v:textbox>
                </v:shape>
                <v:shape id="Text Box 1055" o:spid="_x0000_s1043" type="#_x0000_t202" style="position:absolute;left:49008;top:14731;width:5030;height:4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">
                  <v:textbox inset="1.70181mm,.85089mm,1.70181mm,.85089mm">
                    <w:txbxContent>
                      <w:p w14:paraId="4102EFDE" w14:textId="77777777" w:rsidR="001C117D" w:rsidRPr="009C5BFE" w:rsidRDefault="001C117D" w:rsidP="002271CC">
                        <w:pPr>
                          <w:rPr>
                            <w:rFonts w:cs="Arial"/>
                            <w:sz w:val="13"/>
                            <w:szCs w:val="20"/>
                          </w:rPr>
                        </w:pPr>
                        <w:r w:rsidRPr="009C5BFE">
                          <w:rPr>
                            <w:rFonts w:cs="Arial"/>
                            <w:sz w:val="13"/>
                            <w:szCs w:val="20"/>
                          </w:rPr>
                          <w:t>Site: J</w:t>
                        </w:r>
                      </w:p>
                      <w:p w14:paraId="28B8DEC2" w14:textId="77777777" w:rsidR="001C117D" w:rsidRPr="009C5BFE" w:rsidRDefault="001C117D" w:rsidP="002271CC">
                        <w:pPr>
                          <w:rPr>
                            <w:rFonts w:cs="Arial"/>
                            <w:sz w:val="13"/>
                            <w:szCs w:val="20"/>
                          </w:rPr>
                        </w:pPr>
                        <w:r w:rsidRPr="009C5BFE">
                          <w:rPr>
                            <w:rFonts w:cs="Arial"/>
                            <w:sz w:val="13"/>
                            <w:szCs w:val="20"/>
                          </w:rPr>
                          <w:t xml:space="preserve">reviewers COPD: 3 </w:t>
                        </w:r>
                      </w:p>
                      <w:p w14:paraId="57467A6A" w14:textId="77777777" w:rsidR="001C117D" w:rsidRPr="009C5BFE" w:rsidRDefault="001C117D" w:rsidP="002271CC">
                        <w:pPr>
                          <w:rPr>
                            <w:rFonts w:cs="Arial"/>
                            <w:sz w:val="13"/>
                            <w:szCs w:val="20"/>
                          </w:rPr>
                        </w:pPr>
                        <w:r w:rsidRPr="009C5BFE">
                          <w:rPr>
                            <w:rFonts w:cs="Arial"/>
                            <w:sz w:val="13"/>
                            <w:szCs w:val="20"/>
                          </w:rPr>
                          <w:t xml:space="preserve">HF: 2 </w:t>
                        </w:r>
                      </w:p>
                    </w:txbxContent>
                  </v:textbox>
                </v:shape>
                <v:line id="Line 1056" o:spid="_x0000_s1044" style="position:absolute;flip:x;visibility:visible;mso-wrap-style:square" from="23538,5601" to="28112,5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">
                  <v:stroke endarrow="block"/>
                </v:line>
                <v:line id="Line 1057" o:spid="_x0000_s1045" style="position:absolute;flip:x;visibility:visible;mso-wrap-style:square" from="27644,27292" to="27649,32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" strokeweight="1.25pt">
                  <v:stroke endarrow="block"/>
                </v:line>
                <v:shape id="Text Box 1058" o:spid="_x0000_s1046" type="#_x0000_t202" style="position:absolute;left:18410;top:32714;width:17618;height:4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">
                  <v:textbox inset="1.70181mm,.85089mm,1.70181mm,.85089mm">
                    <w:txbxContent>
                      <w:p w14:paraId="4BF44859" w14:textId="77777777" w:rsidR="001C117D" w:rsidRPr="009C5BFE" w:rsidRDefault="001C117D" w:rsidP="002271CC">
                        <w:pPr>
                          <w:rPr>
                            <w:rFonts w:cs="Arial"/>
                            <w:sz w:val="13"/>
                            <w:szCs w:val="20"/>
                          </w:rPr>
                        </w:pPr>
                        <w:r w:rsidRPr="009C5BFE">
                          <w:rPr>
                            <w:rFonts w:cs="Arial"/>
                            <w:sz w:val="13"/>
                            <w:szCs w:val="20"/>
                          </w:rPr>
                          <w:t xml:space="preserve">Each reviewer then reviews the same (max 50) COPD or HF records using criterion based review method, using same patient records as for holistic review   </w:t>
                        </w:r>
                      </w:p>
                    </w:txbxContent>
                  </v:textbox>
                </v:shape>
                <v:shape id="Text Box 1059" o:spid="_x0000_s1047" type="#_x0000_t202" style="position:absolute;top:38077;width:16852;height:3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">
                  <v:textbox inset="1.70181mm,.85089mm,1.70181mm,.85089mm">
                    <w:txbxContent>
                      <w:p w14:paraId="0E03FB1F" w14:textId="77777777" w:rsidR="001C117D" w:rsidRPr="009C5BFE" w:rsidRDefault="001C117D" w:rsidP="002271CC">
                        <w:pPr>
                          <w:rPr>
                            <w:rFonts w:cs="Arial"/>
                            <w:sz w:val="13"/>
                            <w:szCs w:val="20"/>
                          </w:rPr>
                        </w:pPr>
                        <w:r w:rsidRPr="009C5BFE">
                          <w:rPr>
                            <w:rFonts w:cs="Arial"/>
                            <w:sz w:val="13"/>
                            <w:szCs w:val="20"/>
                          </w:rPr>
                          <w:t>Each reviewer exports c</w:t>
                        </w:r>
                        <w:r>
                          <w:rPr>
                            <w:rFonts w:cs="Arial"/>
                            <w:sz w:val="13"/>
                            <w:szCs w:val="20"/>
                          </w:rPr>
                          <w:t>riterion</w:t>
                        </w:r>
                        <w:r w:rsidRPr="009C5BFE">
                          <w:rPr>
                            <w:rFonts w:cs="Arial"/>
                            <w:sz w:val="13"/>
                            <w:szCs w:val="20"/>
                          </w:rPr>
                          <w:t xml:space="preserve"> review data to the study team for analysis</w:t>
                        </w:r>
                      </w:p>
                    </w:txbxContent>
                  </v:textbox>
                </v:shape>
                <v:line id="Line 1060" o:spid="_x0000_s1048" style="position:absolute;flip:x;visibility:visible;mso-wrap-style:square" from="2336,19485" to="2383,2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"/>
                <v:line id="Line 1061" o:spid="_x0000_s1049" style="position:absolute;flip:x;visibility:visible;mso-wrap-style:square" from="8464,19545" to="8519,2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"/>
                <v:line id="Line 1062" o:spid="_x0000_s1050" style="position:absolute;visibility:visible;mso-wrap-style:square" from="20674,19426" to="20725,2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"/>
                <v:line id="Line 1063" o:spid="_x0000_s1051" style="position:absolute;flip:x;visibility:visible;mso-wrap-style:square" from="26861,19187" to="26870,2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"/>
                <v:line id="Line 1064" o:spid="_x0000_s1052" style="position:absolute;flip:x;visibility:visible;mso-wrap-style:square" from="14592,19485" to="14596,2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"/>
                <v:line id="Line 1065" o:spid="_x0000_s1053" style="position:absolute;visibility:visible;mso-wrap-style:square" from="32947,19307" to="32972,2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"/>
                <v:line id="Line 1066" o:spid="_x0000_s1054" style="position:absolute;visibility:visible;mso-wrap-style:square" from="51357,19068" to="51361,2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"/>
                <v:line id="Line 1067" o:spid="_x0000_s1055" style="position:absolute;visibility:visible;mso-wrap-style:square" from="45161,19128" to="45237,2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"/>
                <v:line id="Line 1068" o:spid="_x0000_s1056" style="position:absolute;visibility:visible;mso-wrap-style:square" from="39024,19128" to="39101,2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"/>
                <v:line id="Line 1069" o:spid="_x0000_s1057" style="position:absolute;visibility:visible;mso-wrap-style:square" from="2327,21367" to="51353,2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"/>
                <v:line id="Line 1070" o:spid="_x0000_s1058" style="position:absolute;flip:x y;visibility:visible;mso-wrap-style:square" from="16086,29760" to="27525,29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">
                  <v:stroke endarrow="block"/>
                </v:line>
                <v:line id="Line 1071" o:spid="_x0000_s1059" style="position:absolute;visibility:visible;mso-wrap-style:square" from="16116,8342" to="39092,8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"/>
                <v:line id="Line 1072" o:spid="_x0000_s1060" style="position:absolute;visibility:visible;mso-wrap-style:square" from="16124,8325" to="16124,9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"/>
                <v:line id="Line 1073" o:spid="_x0000_s1061" style="position:absolute;visibility:visible;mso-wrap-style:square" from="39241,8380" to="39250,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"/>
                <v:line id="Line 1074" o:spid="_x0000_s1062" style="position:absolute;visibility:visible;mso-wrap-style:square" from="2659,13033" to="21193,1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"/>
                <v:line id="Line 1075" o:spid="_x0000_s1063" style="position:absolute;visibility:visible;mso-wrap-style:square" from="2600,13033" to="2621,14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"/>
                <v:line id="Line 1076" o:spid="_x0000_s1064" style="position:absolute;visibility:visible;mso-wrap-style:square" from="12073,11964" to="12081,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"/>
                <v:line id="Line 1077" o:spid="_x0000_s1065" style="position:absolute;visibility:visible;mso-wrap-style:square" from="21248,13033" to="21269,14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"/>
                <v:line id="Line 1078" o:spid="_x0000_s1066" style="position:absolute;visibility:visible;mso-wrap-style:square" from="8741,13096" to="8758,1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"/>
                <v:line id="Line 1079" o:spid="_x0000_s1067" style="position:absolute;visibility:visible;mso-wrap-style:square" from="41743,12020" to="41752,13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"/>
                <v:line id="Line 1080" o:spid="_x0000_s1068" style="position:absolute;flip:y;visibility:visible;mso-wrap-style:square" from="27027,12990" to="51536,13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"/>
                <v:line id="Line 1081" o:spid="_x0000_s1069" style="position:absolute;visibility:visible;mso-wrap-style:square" from="33045,13092" to="33066,14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"/>
                <v:line id="Line 1082" o:spid="_x0000_s1070" style="position:absolute;visibility:visible;mso-wrap-style:square" from="36164,25444" to="44982,25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"/>
                <v:line id="Line 1083" o:spid="_x0000_s1071" style="position:absolute;flip:y;visibility:visible;mso-wrap-style:square" from="36105,35574" to="44888,35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"/>
                <v:line id="Line 1084" o:spid="_x0000_s1072" style="position:absolute;flip:y;visibility:visible;mso-wrap-style:square" from="44863,31999" to="44867,35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"/>
                <v:line id="Line 1085" o:spid="_x0000_s1073" style="position:absolute;visibility:visible;mso-wrap-style:square" from="44863,25444" to="44922,28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"/>
                <v:shape id="Text Box 1086" o:spid="_x0000_s1074" type="#_x0000_t202" style="position:absolute;left:19963;width:17572;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">
                  <v:textbox inset="1.70181mm,.85089mm,1.70181mm,.85089mm">
                    <w:txbxContent>
                      <w:p w14:paraId="39D2B0E2" w14:textId="77777777" w:rsidR="001C117D" w:rsidRPr="009C5BFE" w:rsidRDefault="001C117D" w:rsidP="002271CC">
                        <w:pPr>
                          <w:spacing w:before="120"/>
                          <w:jc w:val="center"/>
                          <w:rPr>
                            <w:rFonts w:cs="Arial"/>
                            <w:sz w:val="13"/>
                            <w:szCs w:val="20"/>
                          </w:rPr>
                        </w:pPr>
                        <w:r w:rsidRPr="009C5BFE">
                          <w:rPr>
                            <w:rFonts w:cs="Arial"/>
                            <w:sz w:val="13"/>
                            <w:szCs w:val="20"/>
                          </w:rPr>
                          <w:t>20 hospitals invited to take part in Phase 1</w:t>
                        </w:r>
                      </w:p>
                    </w:txbxContent>
                  </v:textbox>
                </v:shape>
                <v:shape id="Text Box 1087" o:spid="_x0000_s1075" type="#_x0000_t202" style="position:absolute;left:6157;top:14854;width:5346;height:4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">
                  <v:textbox inset="1.70181mm,.85089mm,1.70181mm,.85089mm">
                    <w:txbxContent>
                      <w:p w14:paraId="2E47C7DC" w14:textId="77777777" w:rsidR="001C117D" w:rsidRPr="009C5BFE" w:rsidRDefault="001C117D" w:rsidP="002271CC">
                        <w:pPr>
                          <w:rPr>
                            <w:rFonts w:cs="Arial"/>
                            <w:sz w:val="13"/>
                            <w:szCs w:val="20"/>
                          </w:rPr>
                        </w:pPr>
                        <w:r w:rsidRPr="009C5BFE">
                          <w:rPr>
                            <w:rFonts w:cs="Arial"/>
                            <w:sz w:val="13"/>
                            <w:szCs w:val="20"/>
                          </w:rPr>
                          <w:t>Site: B</w:t>
                        </w:r>
                      </w:p>
                      <w:p w14:paraId="12CB1293" w14:textId="77777777" w:rsidR="001C117D" w:rsidRPr="009C5BFE" w:rsidRDefault="001C117D" w:rsidP="002271CC">
                        <w:pPr>
                          <w:rPr>
                            <w:rFonts w:cs="Arial"/>
                            <w:sz w:val="13"/>
                            <w:szCs w:val="20"/>
                          </w:rPr>
                        </w:pPr>
                        <w:r w:rsidRPr="009C5BFE">
                          <w:rPr>
                            <w:rFonts w:cs="Arial"/>
                            <w:sz w:val="13"/>
                            <w:szCs w:val="20"/>
                          </w:rPr>
                          <w:t xml:space="preserve">reviewers COPD: 1 </w:t>
                        </w:r>
                      </w:p>
                      <w:p w14:paraId="1394481A" w14:textId="77777777" w:rsidR="001C117D" w:rsidRPr="009C5BFE" w:rsidRDefault="001C117D" w:rsidP="002271CC">
                        <w:pPr>
                          <w:rPr>
                            <w:rFonts w:cs="Arial"/>
                            <w:sz w:val="13"/>
                            <w:szCs w:val="20"/>
                          </w:rPr>
                        </w:pPr>
                        <w:r w:rsidRPr="009C5BFE">
                          <w:rPr>
                            <w:rFonts w:cs="Arial"/>
                            <w:sz w:val="13"/>
                            <w:szCs w:val="20"/>
                          </w:rPr>
                          <w:t>HF: 4</w:t>
                        </w:r>
                      </w:p>
                    </w:txbxContent>
                  </v:textbox>
                </v:shape>
                <v:line id="Line 1088" o:spid="_x0000_s1076" style="position:absolute;visibility:visible;mso-wrap-style:square" from="15192,13109" to="15214,1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"/>
                <v:line id="Line 1089" o:spid="_x0000_s1077" style="position:absolute;visibility:visible;mso-wrap-style:square" from="27049,13169" to="27070,1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"/>
                <v:line id="Line 1090" o:spid="_x0000_s1078" style="position:absolute;visibility:visible;mso-wrap-style:square" from="39381,13109" to="39403,1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"/>
                <v:line id="Line 1091" o:spid="_x0000_s1079" style="position:absolute;visibility:visible;mso-wrap-style:square" from="45518,13169" to="45539,1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"/>
                <v:line id="Line 1092" o:spid="_x0000_s1080" style="position:absolute;visibility:visible;mso-wrap-style:square" from="51536,13109" to="51557,1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"/>
                <v:line id="Line 1093" o:spid="_x0000_s1081" style="position:absolute;flip:y;visibility:visible;mso-wrap-style:square" from="27704,37303" to="27704,39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"/>
                <v:line id="Line 1094" o:spid="_x0000_s1082" style="position:absolute;visibility:visible;mso-wrap-style:square" from="27585,21333" to="27585,24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" strokeweight="1.25pt">
                  <v:stroke endarrow="block"/>
                </v:line>
                <v:line id="Line 1095" o:spid="_x0000_s1083" style="position:absolute;visibility:visible;mso-wrap-style:square" from="28240,3039" to="28240,8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" strokeweight="1.25pt">
                  <v:stroke endarrow="block"/>
                </v:line>
                <v:line id="Line 1096" o:spid="_x0000_s1084" style="position:absolute;flip:x;visibility:visible;mso-wrap-style:square" from="16852,39720" to="27576,3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">
                  <v:stroke endarrow="block"/>
                </v:line>
                <w10:anchorlock/>
              </v:group>
            </w:pict>
          </mc:Fallback>
        </mc:AlternateContent>
      </w:r>
    </w:p>
    <w:p w14:paraId="0F77FA20" w14:textId="77777777" w:rsidR="000923BB" w:rsidRDefault="000923BB" w:rsidP="000923BB"/>
    <w:p w14:paraId="08C35FB7" w14:textId="77777777" w:rsidR="000923BB" w:rsidRDefault="000923BB" w:rsidP="000923BB">
      <w:pPr>
        <w:pStyle w:val="Heading4"/>
        <w:spacing w:line="240" w:lineRule="auto"/>
      </w:pPr>
      <w:r>
        <w:t xml:space="preserve">Data capture methods  </w:t>
      </w:r>
    </w:p>
    <w:p w14:paraId="4A3BAAE6" w14:textId="77777777" w:rsidR="000923BB" w:rsidRDefault="000923BB" w:rsidP="000923BB">
      <w:pPr>
        <w:jc w:val="both"/>
        <w:rPr>
          <w:rFonts w:cs="Arial"/>
          <w:b/>
          <w:bCs/>
          <w:sz w:val="22"/>
          <w:szCs w:val="22"/>
        </w:rPr>
      </w:pPr>
    </w:p>
    <w:p w14:paraId="6E1814F7" w14:textId="77777777" w:rsidR="000923BB" w:rsidRDefault="000923BB" w:rsidP="000923BB">
      <w:pPr>
        <w:jc w:val="both"/>
        <w:rPr>
          <w:rFonts w:cs="Arial"/>
          <w:sz w:val="22"/>
          <w:szCs w:val="22"/>
        </w:rPr>
      </w:pPr>
      <w:r>
        <w:rPr>
          <w:rFonts w:cs="Arial"/>
          <w:b/>
          <w:bCs/>
          <w:i/>
          <w:iCs/>
          <w:sz w:val="22"/>
          <w:szCs w:val="22"/>
        </w:rPr>
        <w:t xml:space="preserve">Holistic review </w:t>
      </w:r>
    </w:p>
    <w:p w14:paraId="2CE938A6" w14:textId="77777777" w:rsidR="000923BB" w:rsidRDefault="000923BB" w:rsidP="000923BB">
      <w:pPr>
        <w:jc w:val="both"/>
        <w:rPr>
          <w:rFonts w:cs="Arial"/>
          <w:sz w:val="22"/>
          <w:szCs w:val="22"/>
        </w:rPr>
      </w:pPr>
      <w:r>
        <w:rPr>
          <w:rFonts w:cs="Arial"/>
          <w:sz w:val="22"/>
          <w:szCs w:val="22"/>
        </w:rPr>
        <w:t xml:space="preserve">The concept of structured implicit review [28] has been found to be valuable in North American implicit review studies as a means of reducing the variability previously found in inter-rater reliability studies. [10,11]  Structured implicit review attempts to place a framework on data collection by providing headings that can be used in the ‘holistic story’.  However, </w:t>
      </w:r>
      <w:smartTag w:uri="urn:schemas-microsoft-com:office:smarttags" w:element="place">
        <w:smartTag w:uri="urn:schemas-microsoft-com:office:smarttags" w:element="country-region">
          <w:r>
            <w:rPr>
              <w:rFonts w:cs="Arial"/>
              <w:sz w:val="22"/>
              <w:szCs w:val="22"/>
            </w:rPr>
            <w:t>US</w:t>
          </w:r>
        </w:smartTag>
      </w:smartTag>
      <w:r>
        <w:rPr>
          <w:rFonts w:cs="Arial"/>
          <w:sz w:val="22"/>
          <w:szCs w:val="22"/>
        </w:rPr>
        <w:t xml:space="preserve"> based authors working for the RAND Corporation [28] chose to use what might be termed a mid-point between criterion based and textual holistic review, using structured questions that were not as specific as review criteria but which organised responses to the questions in such a way that might be considered to ask closed questions of the data. See, for example, </w:t>
      </w:r>
      <w:smartTag w:uri="urn:schemas-microsoft-com:office:smarttags" w:element="address">
        <w:smartTag w:uri="urn:schemas-microsoft-com:office:smarttags" w:element="Street">
          <w:r>
            <w:rPr>
              <w:rFonts w:cs="Arial"/>
              <w:sz w:val="22"/>
              <w:szCs w:val="22"/>
            </w:rPr>
            <w:t>Box</w:t>
          </w:r>
        </w:smartTag>
        <w:r>
          <w:rPr>
            <w:rFonts w:cs="Arial"/>
            <w:sz w:val="22"/>
            <w:szCs w:val="22"/>
          </w:rPr>
          <w:t xml:space="preserve"> 1</w:t>
        </w:r>
      </w:smartTag>
      <w:r>
        <w:rPr>
          <w:rFonts w:cs="Arial"/>
          <w:sz w:val="22"/>
          <w:szCs w:val="22"/>
        </w:rPr>
        <w:t>.</w:t>
      </w:r>
    </w:p>
    <w:p w14:paraId="0A2F07F5" w14:textId="77777777" w:rsidR="000923BB" w:rsidRDefault="000923BB" w:rsidP="000923BB">
      <w:pPr>
        <w:jc w:val="both"/>
        <w:rPr>
          <w:rFonts w:cs="Arial"/>
          <w:sz w:val="22"/>
          <w:szCs w:val="22"/>
        </w:rPr>
      </w:pPr>
    </w:p>
    <w:p w14:paraId="4950F8B4" w14:textId="77777777" w:rsidR="009148F2" w:rsidRDefault="009148F2" w:rsidP="000923BB">
      <w:pPr>
        <w:jc w:val="both"/>
        <w:rPr>
          <w:rFonts w:cs="Arial"/>
          <w:sz w:val="22"/>
          <w:szCs w:val="22"/>
        </w:rPr>
      </w:pPr>
    </w:p>
    <w:p w14:paraId="4261DBCB" w14:textId="77777777" w:rsidR="000923BB" w:rsidRDefault="000923BB" w:rsidP="009148F2">
      <w:pPr>
        <w:ind w:left="720"/>
        <w:jc w:val="both"/>
        <w:rPr>
          <w:rFonts w:cs="Arial"/>
          <w:sz w:val="22"/>
          <w:szCs w:val="22"/>
        </w:rPr>
      </w:pPr>
      <w:r>
        <w:rPr>
          <w:rFonts w:cs="Arial"/>
          <w:sz w:val="22"/>
          <w:szCs w:val="22"/>
        </w:rPr>
        <w:lastRenderedPageBreak/>
        <w:t>Box 1</w:t>
      </w:r>
    </w:p>
    <w:tbl>
      <w:tblPr>
        <w:tblW w:w="0" w:type="auto"/>
        <w:tblInd w:w="817" w:type="dxa"/>
        <w:tblLook w:val="0000" w:firstRow="0" w:lastRow="0" w:firstColumn="0" w:lastColumn="0" w:noHBand="0" w:noVBand="0"/>
      </w:tblPr>
      <w:tblGrid>
        <w:gridCol w:w="1985"/>
        <w:gridCol w:w="4179"/>
      </w:tblGrid>
      <w:tr w:rsidR="000923BB" w14:paraId="2ABC97B9" w14:textId="77777777" w:rsidTr="009148F2">
        <w:tc>
          <w:tcPr>
            <w:tcW w:w="6164" w:type="dxa"/>
            <w:gridSpan w:val="2"/>
            <w:tcBorders>
              <w:top w:val="single" w:sz="4" w:space="0" w:color="auto"/>
              <w:left w:val="single" w:sz="4" w:space="0" w:color="auto"/>
              <w:bottom w:val="single" w:sz="4" w:space="0" w:color="auto"/>
              <w:right w:val="single" w:sz="4" w:space="0" w:color="auto"/>
            </w:tcBorders>
          </w:tcPr>
          <w:p w14:paraId="3F39E2BF" w14:textId="77777777" w:rsidR="000923BB" w:rsidRDefault="000923BB" w:rsidP="003A385F">
            <w:pPr>
              <w:jc w:val="both"/>
              <w:rPr>
                <w:rFonts w:cs="Arial"/>
                <w:sz w:val="22"/>
                <w:szCs w:val="22"/>
              </w:rPr>
            </w:pPr>
            <w:r>
              <w:rPr>
                <w:rFonts w:cs="Arial"/>
                <w:sz w:val="22"/>
                <w:szCs w:val="22"/>
              </w:rPr>
              <w:t>Was the length of stay appropriate given the patient’s status at discharge and disposition plans?</w:t>
            </w:r>
          </w:p>
        </w:tc>
      </w:tr>
      <w:tr w:rsidR="000923BB" w14:paraId="559237E6" w14:textId="77777777" w:rsidTr="009148F2">
        <w:tc>
          <w:tcPr>
            <w:tcW w:w="1985" w:type="dxa"/>
            <w:tcBorders>
              <w:top w:val="single" w:sz="4" w:space="0" w:color="auto"/>
              <w:left w:val="single" w:sz="4" w:space="0" w:color="auto"/>
              <w:bottom w:val="single" w:sz="4" w:space="0" w:color="auto"/>
              <w:right w:val="single" w:sz="4" w:space="0" w:color="auto"/>
            </w:tcBorders>
          </w:tcPr>
          <w:p w14:paraId="201561FC" w14:textId="77777777" w:rsidR="000923BB" w:rsidRDefault="000923BB" w:rsidP="003A385F">
            <w:pPr>
              <w:jc w:val="both"/>
              <w:rPr>
                <w:rFonts w:cs="Arial"/>
                <w:sz w:val="22"/>
                <w:szCs w:val="22"/>
              </w:rPr>
            </w:pPr>
            <w:r>
              <w:rPr>
                <w:rFonts w:cs="Arial"/>
                <w:sz w:val="22"/>
                <w:szCs w:val="22"/>
              </w:rPr>
              <w:t>Definitely yes</w:t>
            </w:r>
          </w:p>
        </w:tc>
        <w:tc>
          <w:tcPr>
            <w:tcW w:w="4179" w:type="dxa"/>
            <w:tcBorders>
              <w:top w:val="single" w:sz="4" w:space="0" w:color="auto"/>
              <w:left w:val="single" w:sz="4" w:space="0" w:color="auto"/>
              <w:bottom w:val="single" w:sz="4" w:space="0" w:color="auto"/>
              <w:right w:val="single" w:sz="4" w:space="0" w:color="auto"/>
            </w:tcBorders>
          </w:tcPr>
          <w:p w14:paraId="6F5CC8DA" w14:textId="77777777" w:rsidR="000923BB" w:rsidRDefault="000923BB" w:rsidP="003A385F">
            <w:pPr>
              <w:jc w:val="both"/>
              <w:rPr>
                <w:rFonts w:cs="Arial"/>
                <w:sz w:val="22"/>
                <w:szCs w:val="22"/>
              </w:rPr>
            </w:pPr>
            <w:r>
              <w:rPr>
                <w:rFonts w:cs="Arial"/>
                <w:sz w:val="22"/>
                <w:szCs w:val="22"/>
              </w:rPr>
              <w:t>_____1</w:t>
            </w:r>
          </w:p>
        </w:tc>
      </w:tr>
      <w:tr w:rsidR="000923BB" w14:paraId="1DDB922E" w14:textId="77777777" w:rsidTr="009148F2">
        <w:tc>
          <w:tcPr>
            <w:tcW w:w="1985" w:type="dxa"/>
            <w:tcBorders>
              <w:top w:val="single" w:sz="4" w:space="0" w:color="auto"/>
              <w:left w:val="single" w:sz="4" w:space="0" w:color="auto"/>
              <w:bottom w:val="single" w:sz="4" w:space="0" w:color="auto"/>
              <w:right w:val="single" w:sz="4" w:space="0" w:color="auto"/>
            </w:tcBorders>
          </w:tcPr>
          <w:p w14:paraId="65775130" w14:textId="77777777" w:rsidR="000923BB" w:rsidRDefault="000923BB" w:rsidP="003A385F">
            <w:pPr>
              <w:jc w:val="both"/>
              <w:rPr>
                <w:rFonts w:cs="Arial"/>
                <w:sz w:val="22"/>
                <w:szCs w:val="22"/>
              </w:rPr>
            </w:pPr>
            <w:r>
              <w:rPr>
                <w:rFonts w:cs="Arial"/>
                <w:sz w:val="22"/>
                <w:szCs w:val="22"/>
              </w:rPr>
              <w:t>Probably yes</w:t>
            </w:r>
          </w:p>
        </w:tc>
        <w:tc>
          <w:tcPr>
            <w:tcW w:w="4179" w:type="dxa"/>
            <w:tcBorders>
              <w:top w:val="single" w:sz="4" w:space="0" w:color="auto"/>
              <w:left w:val="single" w:sz="4" w:space="0" w:color="auto"/>
              <w:bottom w:val="single" w:sz="4" w:space="0" w:color="auto"/>
              <w:right w:val="single" w:sz="4" w:space="0" w:color="auto"/>
            </w:tcBorders>
          </w:tcPr>
          <w:p w14:paraId="2D728816" w14:textId="77777777" w:rsidR="000923BB" w:rsidRDefault="000923BB" w:rsidP="003A385F">
            <w:pPr>
              <w:jc w:val="both"/>
              <w:rPr>
                <w:rFonts w:cs="Arial"/>
                <w:sz w:val="22"/>
                <w:szCs w:val="22"/>
              </w:rPr>
            </w:pPr>
            <w:r>
              <w:rPr>
                <w:rFonts w:cs="Arial"/>
                <w:sz w:val="22"/>
                <w:szCs w:val="22"/>
              </w:rPr>
              <w:t>_____2</w:t>
            </w:r>
          </w:p>
        </w:tc>
      </w:tr>
      <w:tr w:rsidR="000923BB" w14:paraId="141E9486" w14:textId="77777777" w:rsidTr="009148F2">
        <w:tc>
          <w:tcPr>
            <w:tcW w:w="1985" w:type="dxa"/>
            <w:tcBorders>
              <w:top w:val="single" w:sz="4" w:space="0" w:color="auto"/>
              <w:left w:val="single" w:sz="4" w:space="0" w:color="auto"/>
              <w:bottom w:val="single" w:sz="4" w:space="0" w:color="auto"/>
              <w:right w:val="single" w:sz="4" w:space="0" w:color="auto"/>
            </w:tcBorders>
          </w:tcPr>
          <w:p w14:paraId="0B83AE8E" w14:textId="77777777" w:rsidR="000923BB" w:rsidRDefault="000923BB" w:rsidP="003A385F">
            <w:pPr>
              <w:jc w:val="both"/>
              <w:rPr>
                <w:rFonts w:cs="Arial"/>
                <w:sz w:val="22"/>
                <w:szCs w:val="22"/>
              </w:rPr>
            </w:pPr>
            <w:r>
              <w:rPr>
                <w:rFonts w:cs="Arial"/>
                <w:sz w:val="22"/>
                <w:szCs w:val="22"/>
              </w:rPr>
              <w:t>Probably no</w:t>
            </w:r>
          </w:p>
        </w:tc>
        <w:tc>
          <w:tcPr>
            <w:tcW w:w="4179" w:type="dxa"/>
            <w:tcBorders>
              <w:top w:val="single" w:sz="4" w:space="0" w:color="auto"/>
              <w:left w:val="single" w:sz="4" w:space="0" w:color="auto"/>
              <w:bottom w:val="single" w:sz="4" w:space="0" w:color="auto"/>
              <w:right w:val="single" w:sz="4" w:space="0" w:color="auto"/>
            </w:tcBorders>
          </w:tcPr>
          <w:p w14:paraId="55CC27C5" w14:textId="77777777" w:rsidR="000923BB" w:rsidRDefault="000923BB" w:rsidP="003A385F">
            <w:pPr>
              <w:jc w:val="both"/>
              <w:rPr>
                <w:rFonts w:cs="Arial"/>
                <w:sz w:val="22"/>
                <w:szCs w:val="22"/>
              </w:rPr>
            </w:pPr>
            <w:r>
              <w:rPr>
                <w:rFonts w:cs="Arial"/>
                <w:sz w:val="22"/>
                <w:szCs w:val="22"/>
              </w:rPr>
              <w:t>_____3</w:t>
            </w:r>
          </w:p>
        </w:tc>
      </w:tr>
      <w:tr w:rsidR="000923BB" w14:paraId="47DD7B01" w14:textId="77777777" w:rsidTr="009148F2">
        <w:tc>
          <w:tcPr>
            <w:tcW w:w="1985" w:type="dxa"/>
            <w:tcBorders>
              <w:top w:val="single" w:sz="4" w:space="0" w:color="auto"/>
              <w:left w:val="single" w:sz="4" w:space="0" w:color="auto"/>
              <w:bottom w:val="single" w:sz="4" w:space="0" w:color="auto"/>
              <w:right w:val="single" w:sz="4" w:space="0" w:color="auto"/>
            </w:tcBorders>
          </w:tcPr>
          <w:p w14:paraId="743497FE" w14:textId="77777777" w:rsidR="000923BB" w:rsidRDefault="000923BB" w:rsidP="003A385F">
            <w:pPr>
              <w:jc w:val="both"/>
              <w:rPr>
                <w:rFonts w:cs="Arial"/>
                <w:sz w:val="22"/>
                <w:szCs w:val="22"/>
              </w:rPr>
            </w:pPr>
            <w:r>
              <w:rPr>
                <w:rFonts w:cs="Arial"/>
                <w:sz w:val="22"/>
                <w:szCs w:val="22"/>
              </w:rPr>
              <w:t>Definitely no</w:t>
            </w:r>
          </w:p>
        </w:tc>
        <w:tc>
          <w:tcPr>
            <w:tcW w:w="4179" w:type="dxa"/>
            <w:tcBorders>
              <w:top w:val="single" w:sz="4" w:space="0" w:color="auto"/>
              <w:left w:val="single" w:sz="4" w:space="0" w:color="auto"/>
              <w:bottom w:val="single" w:sz="4" w:space="0" w:color="auto"/>
              <w:right w:val="single" w:sz="4" w:space="0" w:color="auto"/>
            </w:tcBorders>
          </w:tcPr>
          <w:p w14:paraId="20B7D7C6" w14:textId="77777777" w:rsidR="000923BB" w:rsidRDefault="000923BB" w:rsidP="003A385F">
            <w:pPr>
              <w:jc w:val="both"/>
              <w:rPr>
                <w:rFonts w:cs="Arial"/>
                <w:sz w:val="22"/>
                <w:szCs w:val="22"/>
              </w:rPr>
            </w:pPr>
            <w:r>
              <w:rPr>
                <w:rFonts w:cs="Arial"/>
                <w:sz w:val="22"/>
                <w:szCs w:val="22"/>
              </w:rPr>
              <w:t>_____4</w:t>
            </w:r>
          </w:p>
        </w:tc>
      </w:tr>
    </w:tbl>
    <w:p w14:paraId="16C4B86C" w14:textId="77777777" w:rsidR="000923BB" w:rsidRPr="001B75D7" w:rsidRDefault="000923BB" w:rsidP="009148F2">
      <w:pPr>
        <w:ind w:left="720"/>
        <w:jc w:val="both"/>
        <w:rPr>
          <w:rFonts w:cs="Arial"/>
          <w:sz w:val="18"/>
          <w:szCs w:val="18"/>
        </w:rPr>
      </w:pPr>
      <w:r>
        <w:rPr>
          <w:rFonts w:cs="Arial"/>
          <w:sz w:val="18"/>
          <w:szCs w:val="18"/>
        </w:rPr>
        <w:t xml:space="preserve">From: </w:t>
      </w:r>
      <w:r w:rsidRPr="001B75D7">
        <w:rPr>
          <w:rFonts w:cs="Arial"/>
          <w:sz w:val="18"/>
          <w:szCs w:val="18"/>
        </w:rPr>
        <w:t>Rubenstein et al 1991[2</w:t>
      </w:r>
      <w:r>
        <w:rPr>
          <w:rFonts w:cs="Arial"/>
          <w:sz w:val="18"/>
          <w:szCs w:val="18"/>
        </w:rPr>
        <w:t>8</w:t>
      </w:r>
      <w:r w:rsidRPr="001B75D7">
        <w:rPr>
          <w:rFonts w:cs="Arial"/>
          <w:sz w:val="18"/>
          <w:szCs w:val="18"/>
        </w:rPr>
        <w:t>]</w:t>
      </w:r>
    </w:p>
    <w:p w14:paraId="13E3BFA9" w14:textId="77777777" w:rsidR="000923BB" w:rsidRDefault="000923BB" w:rsidP="000923BB">
      <w:pPr>
        <w:jc w:val="both"/>
        <w:rPr>
          <w:rFonts w:cs="Arial"/>
          <w:sz w:val="22"/>
          <w:szCs w:val="22"/>
        </w:rPr>
      </w:pPr>
    </w:p>
    <w:p w14:paraId="233C6141" w14:textId="77777777" w:rsidR="000923BB" w:rsidRDefault="000923BB" w:rsidP="000923BB">
      <w:pPr>
        <w:jc w:val="both"/>
        <w:rPr>
          <w:rFonts w:cs="Arial"/>
          <w:sz w:val="22"/>
          <w:szCs w:val="22"/>
        </w:rPr>
      </w:pPr>
      <w:r>
        <w:rPr>
          <w:rFonts w:cs="Arial"/>
          <w:sz w:val="22"/>
          <w:szCs w:val="22"/>
        </w:rPr>
        <w:t xml:space="preserve">In this study the concept of structured holistic review was developed to provide reviewers undertaking holistic reviews with a limited structure but one that was at the same time not so directive as the structured implicit review framework developed by the </w:t>
      </w:r>
      <w:smartTag w:uri="urn:schemas-microsoft-com:office:smarttags" w:element="place">
        <w:r>
          <w:rPr>
            <w:rFonts w:cs="Arial"/>
            <w:sz w:val="22"/>
            <w:szCs w:val="22"/>
          </w:rPr>
          <w:t>RAND</w:t>
        </w:r>
      </w:smartTag>
      <w:r>
        <w:rPr>
          <w:rFonts w:cs="Arial"/>
          <w:sz w:val="22"/>
          <w:szCs w:val="22"/>
        </w:rPr>
        <w:t xml:space="preserve"> teams.  In doing so, this allowed for different levels of health care quality to be identified, from excellent care, to care not provided, to the identification of adverse incidents.  </w:t>
      </w:r>
    </w:p>
    <w:p w14:paraId="5E6BD08E" w14:textId="77777777" w:rsidR="000923BB" w:rsidRDefault="000923BB" w:rsidP="000923BB">
      <w:pPr>
        <w:jc w:val="both"/>
        <w:rPr>
          <w:rFonts w:cs="Arial"/>
          <w:sz w:val="22"/>
          <w:szCs w:val="22"/>
        </w:rPr>
      </w:pPr>
    </w:p>
    <w:p w14:paraId="692CBE89" w14:textId="77777777" w:rsidR="000923BB" w:rsidRDefault="000923BB" w:rsidP="000923BB">
      <w:pPr>
        <w:jc w:val="both"/>
        <w:rPr>
          <w:rFonts w:cs="Arial"/>
          <w:sz w:val="22"/>
          <w:szCs w:val="22"/>
        </w:rPr>
      </w:pPr>
      <w:r>
        <w:rPr>
          <w:rFonts w:cs="Arial"/>
          <w:sz w:val="22"/>
          <w:szCs w:val="22"/>
        </w:rPr>
        <w:t>Data was captured under three phases of care and for care overall:-</w:t>
      </w:r>
    </w:p>
    <w:p w14:paraId="74967DA2" w14:textId="77777777" w:rsidR="000923BB" w:rsidRDefault="000923BB" w:rsidP="008A6C6D">
      <w:pPr>
        <w:numPr>
          <w:ilvl w:val="0"/>
          <w:numId w:val="8"/>
        </w:numPr>
        <w:spacing w:after="0" w:line="240" w:lineRule="auto"/>
        <w:jc w:val="both"/>
        <w:rPr>
          <w:rFonts w:cs="Arial"/>
          <w:sz w:val="22"/>
          <w:szCs w:val="22"/>
        </w:rPr>
      </w:pPr>
      <w:r>
        <w:rPr>
          <w:rFonts w:cs="Arial"/>
          <w:sz w:val="22"/>
          <w:szCs w:val="22"/>
        </w:rPr>
        <w:t>Care during the investigation/assessment phase</w:t>
      </w:r>
    </w:p>
    <w:p w14:paraId="4C5EB752" w14:textId="77777777" w:rsidR="000923BB" w:rsidRDefault="000923BB" w:rsidP="008A6C6D">
      <w:pPr>
        <w:numPr>
          <w:ilvl w:val="0"/>
          <w:numId w:val="8"/>
        </w:numPr>
        <w:spacing w:after="0" w:line="240" w:lineRule="auto"/>
        <w:jc w:val="both"/>
        <w:rPr>
          <w:rFonts w:cs="Arial"/>
          <w:sz w:val="22"/>
          <w:szCs w:val="22"/>
        </w:rPr>
      </w:pPr>
      <w:r>
        <w:rPr>
          <w:rFonts w:cs="Arial"/>
          <w:sz w:val="22"/>
          <w:szCs w:val="22"/>
        </w:rPr>
        <w:t>Care during the initial management phase</w:t>
      </w:r>
    </w:p>
    <w:p w14:paraId="68ABAE36" w14:textId="77777777" w:rsidR="000923BB" w:rsidRDefault="000923BB" w:rsidP="008A6C6D">
      <w:pPr>
        <w:numPr>
          <w:ilvl w:val="0"/>
          <w:numId w:val="8"/>
        </w:numPr>
        <w:spacing w:after="0" w:line="240" w:lineRule="auto"/>
        <w:jc w:val="both"/>
        <w:rPr>
          <w:rFonts w:cs="Arial"/>
          <w:sz w:val="22"/>
          <w:szCs w:val="22"/>
        </w:rPr>
      </w:pPr>
      <w:r>
        <w:rPr>
          <w:rFonts w:cs="Arial"/>
          <w:sz w:val="22"/>
          <w:szCs w:val="22"/>
        </w:rPr>
        <w:t>Care during the pre-discharge phase</w:t>
      </w:r>
    </w:p>
    <w:p w14:paraId="1D473D43" w14:textId="77777777" w:rsidR="000923BB" w:rsidRDefault="000923BB" w:rsidP="008A6C6D">
      <w:pPr>
        <w:numPr>
          <w:ilvl w:val="0"/>
          <w:numId w:val="8"/>
        </w:numPr>
        <w:spacing w:after="0" w:line="240" w:lineRule="auto"/>
        <w:jc w:val="both"/>
        <w:rPr>
          <w:rFonts w:cs="Arial"/>
          <w:sz w:val="22"/>
          <w:szCs w:val="22"/>
        </w:rPr>
      </w:pPr>
      <w:r>
        <w:rPr>
          <w:rFonts w:cs="Arial"/>
          <w:sz w:val="22"/>
          <w:szCs w:val="22"/>
        </w:rPr>
        <w:t>Quality of care overall</w:t>
      </w:r>
    </w:p>
    <w:p w14:paraId="5105FF8B" w14:textId="77777777" w:rsidR="000923BB" w:rsidRDefault="000923BB" w:rsidP="000923BB">
      <w:pPr>
        <w:jc w:val="both"/>
        <w:rPr>
          <w:rFonts w:cs="Arial"/>
          <w:sz w:val="22"/>
          <w:szCs w:val="22"/>
        </w:rPr>
      </w:pPr>
      <w:r>
        <w:rPr>
          <w:rFonts w:cs="Arial"/>
          <w:sz w:val="22"/>
          <w:szCs w:val="22"/>
        </w:rPr>
        <w:t xml:space="preserve">Using this structured holistic framework, reviewers were asked to provide two forms of assessment of quality and safety of care.  First, reviewers provided a written assessment of the quality and safety of care of each patient, using information from the case notes (paper and/or electronic records) of the most recent episode of in-patient care for an exacerbation of the illness. </w:t>
      </w:r>
    </w:p>
    <w:p w14:paraId="6E2946EB" w14:textId="77777777" w:rsidR="000923BB" w:rsidRDefault="000923BB" w:rsidP="000923BB">
      <w:pPr>
        <w:jc w:val="both"/>
        <w:rPr>
          <w:rFonts w:cs="Arial"/>
          <w:sz w:val="22"/>
          <w:szCs w:val="22"/>
        </w:rPr>
      </w:pPr>
      <w:r>
        <w:rPr>
          <w:rFonts w:cs="Arial"/>
          <w:sz w:val="22"/>
          <w:szCs w:val="22"/>
        </w:rPr>
        <w:t xml:space="preserve"> For the phases of care reviewers were guided by two prompts:</w:t>
      </w:r>
    </w:p>
    <w:p w14:paraId="409293E4" w14:textId="77777777" w:rsidR="000923BB" w:rsidRDefault="000923BB" w:rsidP="000923BB">
      <w:pPr>
        <w:jc w:val="both"/>
        <w:rPr>
          <w:rFonts w:cs="Arial"/>
          <w:sz w:val="22"/>
          <w:szCs w:val="22"/>
        </w:rPr>
      </w:pPr>
    </w:p>
    <w:p w14:paraId="524068AB" w14:textId="77777777" w:rsidR="000923BB" w:rsidRDefault="000923BB" w:rsidP="008A6C6D">
      <w:pPr>
        <w:numPr>
          <w:ilvl w:val="0"/>
          <w:numId w:val="6"/>
        </w:numPr>
        <w:spacing w:after="0" w:line="240" w:lineRule="auto"/>
        <w:jc w:val="both"/>
        <w:rPr>
          <w:rFonts w:cs="Arial"/>
          <w:sz w:val="22"/>
          <w:szCs w:val="22"/>
        </w:rPr>
      </w:pPr>
      <w:r>
        <w:rPr>
          <w:rFonts w:cs="Arial"/>
          <w:sz w:val="22"/>
          <w:szCs w:val="22"/>
        </w:rPr>
        <w:t>Please comment on the care received by the patient during this phase, and</w:t>
      </w:r>
    </w:p>
    <w:p w14:paraId="0BFC55F8" w14:textId="77777777" w:rsidR="000923BB" w:rsidRDefault="000923BB" w:rsidP="008A6C6D">
      <w:pPr>
        <w:numPr>
          <w:ilvl w:val="0"/>
          <w:numId w:val="6"/>
        </w:numPr>
        <w:spacing w:after="0" w:line="240" w:lineRule="auto"/>
        <w:jc w:val="both"/>
        <w:rPr>
          <w:rFonts w:cs="Arial"/>
          <w:sz w:val="22"/>
          <w:szCs w:val="22"/>
        </w:rPr>
      </w:pPr>
      <w:r>
        <w:rPr>
          <w:rFonts w:cs="Arial"/>
          <w:sz w:val="22"/>
          <w:szCs w:val="22"/>
        </w:rPr>
        <w:t xml:space="preserve">From the records, was there anything in particular worth noting </w:t>
      </w:r>
    </w:p>
    <w:p w14:paraId="6A7AC982" w14:textId="77777777" w:rsidR="000923BB" w:rsidRDefault="000923BB" w:rsidP="000923BB">
      <w:pPr>
        <w:jc w:val="both"/>
        <w:rPr>
          <w:rFonts w:cs="Arial"/>
          <w:sz w:val="22"/>
          <w:szCs w:val="22"/>
        </w:rPr>
      </w:pPr>
    </w:p>
    <w:p w14:paraId="039165D5" w14:textId="77777777" w:rsidR="000923BB" w:rsidRDefault="000923BB" w:rsidP="000923BB">
      <w:pPr>
        <w:jc w:val="both"/>
        <w:rPr>
          <w:rFonts w:cs="Arial"/>
          <w:sz w:val="22"/>
          <w:szCs w:val="22"/>
        </w:rPr>
      </w:pPr>
      <w:r>
        <w:rPr>
          <w:rFonts w:cs="Arial"/>
          <w:sz w:val="22"/>
          <w:szCs w:val="22"/>
        </w:rPr>
        <w:t xml:space="preserve">Second, reviewers were asked to rate the care received by the patient for each of three phases of care - admission/investigations, initial management and pre-discharge care.  Each phase was rated on a 1-6 scale (1 = unsatisfactory, 6 = very best care) and a definition was provided for each of the points on the scale:- </w:t>
      </w:r>
    </w:p>
    <w:p w14:paraId="7BFC5B8A" w14:textId="77777777" w:rsidR="000923BB" w:rsidRDefault="000923BB" w:rsidP="000923BB">
      <w:pPr>
        <w:jc w:val="both"/>
        <w:rPr>
          <w:rFonts w:cs="Arial"/>
          <w:sz w:val="22"/>
          <w:szCs w:val="22"/>
        </w:rPr>
      </w:pPr>
    </w:p>
    <w:p w14:paraId="1B50C20F" w14:textId="77777777" w:rsidR="000923BB" w:rsidRDefault="000923BB" w:rsidP="000923BB">
      <w:pPr>
        <w:jc w:val="both"/>
        <w:rPr>
          <w:rFonts w:cs="Arial"/>
          <w:sz w:val="22"/>
          <w:szCs w:val="22"/>
        </w:rPr>
      </w:pPr>
      <w:r w:rsidRPr="00883888">
        <w:rPr>
          <w:rFonts w:cs="Arial"/>
          <w:bCs/>
          <w:sz w:val="22"/>
          <w:szCs w:val="22"/>
        </w:rPr>
        <w:lastRenderedPageBreak/>
        <w:t>1</w:t>
      </w:r>
      <w:r w:rsidRPr="00883888">
        <w:rPr>
          <w:rFonts w:cs="Arial"/>
          <w:sz w:val="22"/>
          <w:szCs w:val="22"/>
        </w:rPr>
        <w:t>.</w:t>
      </w:r>
      <w:r>
        <w:rPr>
          <w:rFonts w:cs="Arial"/>
          <w:sz w:val="22"/>
          <w:szCs w:val="22"/>
        </w:rPr>
        <w:t xml:space="preserve">  Care fell short of current best practice in one or more significant areas resulting in the potential for, or actual, adverse impact on the patient</w:t>
      </w:r>
    </w:p>
    <w:p w14:paraId="043175EC" w14:textId="77777777" w:rsidR="000923BB" w:rsidRDefault="000923BB" w:rsidP="000923BB">
      <w:pPr>
        <w:jc w:val="both"/>
        <w:rPr>
          <w:rFonts w:cs="Arial"/>
          <w:sz w:val="22"/>
          <w:szCs w:val="22"/>
        </w:rPr>
      </w:pPr>
      <w:r w:rsidRPr="00883888">
        <w:rPr>
          <w:rFonts w:cs="Arial"/>
          <w:bCs/>
          <w:sz w:val="22"/>
          <w:szCs w:val="22"/>
        </w:rPr>
        <w:t>2</w:t>
      </w:r>
      <w:r w:rsidRPr="00883888">
        <w:rPr>
          <w:rFonts w:cs="Arial"/>
          <w:sz w:val="22"/>
          <w:szCs w:val="22"/>
        </w:rPr>
        <w:t>.</w:t>
      </w:r>
      <w:r>
        <w:rPr>
          <w:rFonts w:cs="Arial"/>
          <w:sz w:val="22"/>
          <w:szCs w:val="22"/>
        </w:rPr>
        <w:t xml:space="preserve">  Care fell short of current best practice in more than one significant area, but is not considered to have the potential for adverse impact on the patient</w:t>
      </w:r>
    </w:p>
    <w:p w14:paraId="7885823F" w14:textId="77777777" w:rsidR="000923BB" w:rsidRDefault="000923BB" w:rsidP="000923BB">
      <w:pPr>
        <w:jc w:val="both"/>
        <w:rPr>
          <w:rFonts w:cs="Arial"/>
          <w:sz w:val="22"/>
          <w:szCs w:val="22"/>
        </w:rPr>
      </w:pPr>
      <w:r w:rsidRPr="00883888">
        <w:rPr>
          <w:rFonts w:cs="Arial"/>
          <w:bCs/>
          <w:sz w:val="22"/>
          <w:szCs w:val="22"/>
        </w:rPr>
        <w:t>3</w:t>
      </w:r>
      <w:r w:rsidRPr="00883888">
        <w:rPr>
          <w:rFonts w:cs="Arial"/>
          <w:sz w:val="22"/>
          <w:szCs w:val="22"/>
        </w:rPr>
        <w:t>.</w:t>
      </w:r>
      <w:r>
        <w:rPr>
          <w:rFonts w:cs="Arial"/>
          <w:sz w:val="22"/>
          <w:szCs w:val="22"/>
        </w:rPr>
        <w:t xml:space="preserve">  Care fell short of current best practice in only one significant area but, is not considered to have the potential for adverse impact on the patient</w:t>
      </w:r>
    </w:p>
    <w:p w14:paraId="34E2AED6" w14:textId="77777777" w:rsidR="000923BB" w:rsidRDefault="000923BB" w:rsidP="000923BB">
      <w:pPr>
        <w:jc w:val="both"/>
        <w:rPr>
          <w:rFonts w:cs="Arial"/>
          <w:sz w:val="22"/>
          <w:szCs w:val="22"/>
        </w:rPr>
      </w:pPr>
      <w:r w:rsidRPr="00883888">
        <w:rPr>
          <w:rFonts w:cs="Arial"/>
          <w:bCs/>
          <w:sz w:val="22"/>
          <w:szCs w:val="22"/>
        </w:rPr>
        <w:t>4</w:t>
      </w:r>
      <w:r w:rsidRPr="00883888">
        <w:rPr>
          <w:rFonts w:cs="Arial"/>
          <w:sz w:val="22"/>
          <w:szCs w:val="22"/>
        </w:rPr>
        <w:t>.</w:t>
      </w:r>
      <w:r>
        <w:rPr>
          <w:rFonts w:cs="Arial"/>
          <w:sz w:val="22"/>
          <w:szCs w:val="22"/>
        </w:rPr>
        <w:t xml:space="preserve">  This was satisfactory care, only falling short of current best practice in more than two minor areas</w:t>
      </w:r>
    </w:p>
    <w:p w14:paraId="775A1CA2" w14:textId="77777777" w:rsidR="000923BB" w:rsidRDefault="000923BB" w:rsidP="000923BB">
      <w:pPr>
        <w:jc w:val="both"/>
        <w:rPr>
          <w:rFonts w:cs="Arial"/>
          <w:sz w:val="22"/>
          <w:szCs w:val="22"/>
        </w:rPr>
      </w:pPr>
      <w:r w:rsidRPr="00883888">
        <w:rPr>
          <w:rFonts w:cs="Arial"/>
          <w:bCs/>
          <w:sz w:val="22"/>
          <w:szCs w:val="22"/>
        </w:rPr>
        <w:t>5</w:t>
      </w:r>
      <w:r w:rsidRPr="00883888">
        <w:rPr>
          <w:rFonts w:cs="Arial"/>
          <w:sz w:val="22"/>
          <w:szCs w:val="22"/>
        </w:rPr>
        <w:t xml:space="preserve">. </w:t>
      </w:r>
      <w:r>
        <w:rPr>
          <w:rFonts w:cs="Arial"/>
          <w:sz w:val="22"/>
          <w:szCs w:val="22"/>
        </w:rPr>
        <w:t xml:space="preserve"> This was good care, which only fell short of current best practice in one or two minor areas</w:t>
      </w:r>
    </w:p>
    <w:p w14:paraId="57096B56" w14:textId="77777777" w:rsidR="000923BB" w:rsidRDefault="000923BB" w:rsidP="000923BB">
      <w:pPr>
        <w:jc w:val="both"/>
        <w:rPr>
          <w:rFonts w:cs="Arial"/>
          <w:sz w:val="22"/>
          <w:szCs w:val="22"/>
        </w:rPr>
      </w:pPr>
      <w:r w:rsidRPr="00883888">
        <w:rPr>
          <w:rFonts w:cs="Arial"/>
          <w:bCs/>
          <w:sz w:val="22"/>
          <w:szCs w:val="22"/>
        </w:rPr>
        <w:t>6</w:t>
      </w:r>
      <w:r w:rsidRPr="00883888">
        <w:rPr>
          <w:rFonts w:cs="Arial"/>
          <w:sz w:val="22"/>
          <w:szCs w:val="22"/>
        </w:rPr>
        <w:t>.</w:t>
      </w:r>
      <w:r>
        <w:rPr>
          <w:rFonts w:cs="Arial"/>
          <w:sz w:val="22"/>
          <w:szCs w:val="22"/>
        </w:rPr>
        <w:t xml:space="preserve">  This was excellent care and met current best practice.</w:t>
      </w:r>
    </w:p>
    <w:p w14:paraId="1F679F15" w14:textId="77777777" w:rsidR="000923BB" w:rsidRDefault="000923BB" w:rsidP="000923BB">
      <w:pPr>
        <w:jc w:val="both"/>
        <w:rPr>
          <w:rFonts w:cs="Arial"/>
          <w:sz w:val="22"/>
          <w:szCs w:val="22"/>
        </w:rPr>
      </w:pPr>
      <w:r>
        <w:rPr>
          <w:rFonts w:cs="Arial"/>
          <w:sz w:val="22"/>
          <w:szCs w:val="22"/>
        </w:rPr>
        <w:t>The format of the questions is set out in Box 2.</w:t>
      </w:r>
    </w:p>
    <w:p w14:paraId="654E9E20" w14:textId="77777777" w:rsidR="000923BB" w:rsidRDefault="000923BB" w:rsidP="000923BB">
      <w:pPr>
        <w:jc w:val="both"/>
        <w:rPr>
          <w:rFonts w:cs="Arial"/>
          <w:sz w:val="22"/>
          <w:szCs w:val="22"/>
        </w:rPr>
      </w:pPr>
      <w:r>
        <w:rPr>
          <w:rFonts w:cs="Arial"/>
          <w:sz w:val="22"/>
          <w:szCs w:val="22"/>
        </w:rPr>
        <w:t>Box 2</w:t>
      </w:r>
    </w:p>
    <w:p w14:paraId="141525FE" w14:textId="77777777" w:rsidR="000923BB" w:rsidRDefault="000923BB" w:rsidP="009148F2">
      <w:pPr>
        <w:pStyle w:val="Header1"/>
        <w:pBdr>
          <w:top w:val="single" w:sz="4" w:space="1" w:color="auto"/>
          <w:left w:val="single" w:sz="4" w:space="4" w:color="auto"/>
          <w:bottom w:val="single" w:sz="4" w:space="1" w:color="auto"/>
          <w:right w:val="single" w:sz="4" w:space="1" w:color="auto"/>
        </w:pBdr>
        <w:rPr>
          <w:rFonts w:cs="Arial"/>
          <w:b/>
          <w:bCs/>
          <w:color w:val="000000"/>
          <w:sz w:val="22"/>
          <w:szCs w:val="22"/>
        </w:rPr>
      </w:pPr>
      <w:r w:rsidRPr="00707CCD">
        <w:rPr>
          <w:rFonts w:cs="Arial"/>
          <w:b/>
          <w:bCs/>
          <w:color w:val="000000"/>
          <w:sz w:val="22"/>
          <w:szCs w:val="22"/>
        </w:rPr>
        <w:t xml:space="preserve">Investigations/examination </w:t>
      </w:r>
      <w:r>
        <w:rPr>
          <w:rFonts w:cs="Arial"/>
          <w:b/>
          <w:bCs/>
          <w:color w:val="000000"/>
          <w:sz w:val="22"/>
          <w:szCs w:val="22"/>
        </w:rPr>
        <w:t>(for example)</w:t>
      </w:r>
    </w:p>
    <w:p w14:paraId="0A5F3820" w14:textId="77777777" w:rsidR="000923BB" w:rsidRPr="00707CCD" w:rsidRDefault="000923BB" w:rsidP="009148F2">
      <w:pPr>
        <w:pStyle w:val="Default"/>
        <w:pBdr>
          <w:top w:val="single" w:sz="4" w:space="1" w:color="auto"/>
          <w:left w:val="single" w:sz="4" w:space="4" w:color="auto"/>
          <w:bottom w:val="single" w:sz="4" w:space="1" w:color="auto"/>
          <w:right w:val="single" w:sz="4" w:space="1" w:color="auto"/>
        </w:pBdr>
      </w:pPr>
    </w:p>
    <w:p w14:paraId="01F8D59B" w14:textId="77777777" w:rsidR="000923BB" w:rsidRDefault="000923BB" w:rsidP="009148F2">
      <w:pPr>
        <w:pStyle w:val="Normal1"/>
        <w:pBdr>
          <w:top w:val="single" w:sz="4" w:space="1" w:color="auto"/>
          <w:left w:val="single" w:sz="4" w:space="4" w:color="auto"/>
          <w:bottom w:val="single" w:sz="4" w:space="1" w:color="auto"/>
          <w:right w:val="single" w:sz="4" w:space="1" w:color="auto"/>
        </w:pBdr>
        <w:jc w:val="both"/>
        <w:rPr>
          <w:rFonts w:cs="Arial"/>
          <w:color w:val="000000"/>
          <w:sz w:val="22"/>
          <w:szCs w:val="22"/>
        </w:rPr>
      </w:pPr>
      <w:r w:rsidRPr="00707CCD">
        <w:rPr>
          <w:rFonts w:cs="Arial"/>
          <w:color w:val="000000"/>
          <w:sz w:val="22"/>
          <w:szCs w:val="22"/>
        </w:rPr>
        <w:t xml:space="preserve">We are interested in comments about the quality of care the patient received and whether it was in accordance with current best practice (for example, your professional standards). You may also wish to comment from your own professional viewpoint. If there is any other information that you think is important or relevant that you wish to comment on then please do so. </w:t>
      </w:r>
    </w:p>
    <w:p w14:paraId="422754B4" w14:textId="77777777" w:rsidR="000923BB" w:rsidRPr="00707CCD" w:rsidRDefault="000923BB" w:rsidP="009148F2">
      <w:pPr>
        <w:pStyle w:val="Default"/>
        <w:pBdr>
          <w:top w:val="single" w:sz="4" w:space="1" w:color="auto"/>
          <w:left w:val="single" w:sz="4" w:space="4" w:color="auto"/>
          <w:bottom w:val="single" w:sz="4" w:space="1" w:color="auto"/>
          <w:right w:val="single" w:sz="4" w:space="1" w:color="auto"/>
        </w:pBdr>
      </w:pPr>
    </w:p>
    <w:p w14:paraId="79E95C79" w14:textId="77777777" w:rsidR="000923BB" w:rsidRPr="00707CCD" w:rsidRDefault="000923BB" w:rsidP="009148F2">
      <w:pPr>
        <w:pStyle w:val="Normal1"/>
        <w:pBdr>
          <w:top w:val="single" w:sz="4" w:space="1" w:color="auto"/>
          <w:left w:val="single" w:sz="4" w:space="4" w:color="auto"/>
          <w:bottom w:val="single" w:sz="4" w:space="1" w:color="auto"/>
          <w:right w:val="single" w:sz="4" w:space="1" w:color="auto"/>
        </w:pBdr>
        <w:jc w:val="both"/>
        <w:rPr>
          <w:rFonts w:cs="Arial"/>
          <w:color w:val="000000"/>
          <w:sz w:val="22"/>
          <w:szCs w:val="22"/>
        </w:rPr>
      </w:pPr>
      <w:r w:rsidRPr="00707CCD">
        <w:rPr>
          <w:rFonts w:cs="Arial"/>
          <w:color w:val="000000"/>
          <w:sz w:val="22"/>
          <w:szCs w:val="22"/>
        </w:rPr>
        <w:t xml:space="preserve">Please comment on the care received by the patient during this phase. </w:t>
      </w:r>
    </w:p>
    <w:p w14:paraId="088D920F" w14:textId="77777777" w:rsidR="000923BB" w:rsidRDefault="000923BB" w:rsidP="009148F2">
      <w:pPr>
        <w:pStyle w:val="Normal1"/>
        <w:pBdr>
          <w:top w:val="single" w:sz="4" w:space="1" w:color="auto"/>
          <w:left w:val="single" w:sz="4" w:space="4" w:color="auto"/>
          <w:bottom w:val="single" w:sz="4" w:space="1" w:color="auto"/>
          <w:right w:val="single" w:sz="4" w:space="1" w:color="auto"/>
        </w:pBdr>
        <w:jc w:val="both"/>
        <w:rPr>
          <w:rFonts w:cs="Arial"/>
          <w:color w:val="000000"/>
          <w:sz w:val="22"/>
          <w:szCs w:val="22"/>
        </w:rPr>
      </w:pPr>
    </w:p>
    <w:p w14:paraId="3A2905EB" w14:textId="77777777" w:rsidR="000923BB" w:rsidRPr="00707CCD" w:rsidRDefault="000923BB" w:rsidP="009148F2">
      <w:pPr>
        <w:pStyle w:val="Normal1"/>
        <w:pBdr>
          <w:top w:val="single" w:sz="4" w:space="1" w:color="auto"/>
          <w:left w:val="single" w:sz="4" w:space="4" w:color="auto"/>
          <w:bottom w:val="single" w:sz="4" w:space="1" w:color="auto"/>
          <w:right w:val="single" w:sz="4" w:space="1" w:color="auto"/>
        </w:pBdr>
        <w:jc w:val="both"/>
        <w:rPr>
          <w:rFonts w:cs="Arial"/>
          <w:color w:val="000000"/>
          <w:sz w:val="22"/>
          <w:szCs w:val="22"/>
        </w:rPr>
      </w:pPr>
      <w:r w:rsidRPr="00707CCD">
        <w:rPr>
          <w:rFonts w:cs="Arial"/>
          <w:color w:val="000000"/>
          <w:sz w:val="22"/>
          <w:szCs w:val="22"/>
        </w:rPr>
        <w:t xml:space="preserve">From the records, was there anything in particular worth noting? </w:t>
      </w:r>
    </w:p>
    <w:p w14:paraId="52D4D240" w14:textId="77777777" w:rsidR="000923BB" w:rsidRDefault="000923BB" w:rsidP="009148F2">
      <w:pPr>
        <w:pStyle w:val="Normal1"/>
        <w:pBdr>
          <w:top w:val="single" w:sz="4" w:space="1" w:color="auto"/>
          <w:left w:val="single" w:sz="4" w:space="4" w:color="auto"/>
          <w:bottom w:val="single" w:sz="4" w:space="1" w:color="auto"/>
          <w:right w:val="single" w:sz="4" w:space="1" w:color="auto"/>
        </w:pBdr>
        <w:jc w:val="both"/>
        <w:rPr>
          <w:rFonts w:cs="Arial"/>
          <w:color w:val="000000"/>
          <w:sz w:val="22"/>
          <w:szCs w:val="22"/>
        </w:rPr>
      </w:pPr>
    </w:p>
    <w:p w14:paraId="4992BED6" w14:textId="77777777" w:rsidR="000923BB" w:rsidRPr="00707CCD" w:rsidRDefault="000923BB" w:rsidP="009148F2">
      <w:pPr>
        <w:pStyle w:val="Normal1"/>
        <w:pBdr>
          <w:top w:val="single" w:sz="4" w:space="1" w:color="auto"/>
          <w:left w:val="single" w:sz="4" w:space="4" w:color="auto"/>
          <w:bottom w:val="single" w:sz="4" w:space="1" w:color="auto"/>
          <w:right w:val="single" w:sz="4" w:space="1" w:color="auto"/>
        </w:pBdr>
        <w:jc w:val="both"/>
        <w:rPr>
          <w:rFonts w:cs="Arial"/>
          <w:color w:val="000000"/>
          <w:sz w:val="22"/>
          <w:szCs w:val="22"/>
        </w:rPr>
      </w:pPr>
      <w:r w:rsidRPr="00707CCD">
        <w:rPr>
          <w:rFonts w:cs="Arial"/>
          <w:color w:val="000000"/>
          <w:sz w:val="22"/>
          <w:szCs w:val="22"/>
        </w:rPr>
        <w:t xml:space="preserve">Please rate the care received by the patient during this phase. </w:t>
      </w:r>
    </w:p>
    <w:p w14:paraId="1DAFEC90" w14:textId="77777777" w:rsidR="000923BB" w:rsidRDefault="000923BB" w:rsidP="009148F2">
      <w:pPr>
        <w:pStyle w:val="Normal1"/>
        <w:pBdr>
          <w:top w:val="single" w:sz="4" w:space="1" w:color="auto"/>
          <w:left w:val="single" w:sz="4" w:space="4" w:color="auto"/>
          <w:bottom w:val="single" w:sz="4" w:space="1" w:color="auto"/>
          <w:right w:val="single" w:sz="4" w:space="1" w:color="auto"/>
        </w:pBdr>
        <w:rPr>
          <w:rFonts w:cs="Arial"/>
          <w:color w:val="000000"/>
          <w:sz w:val="22"/>
          <w:szCs w:val="22"/>
        </w:rPr>
      </w:pPr>
    </w:p>
    <w:p w14:paraId="01131B78" w14:textId="77777777" w:rsidR="000923BB" w:rsidRPr="00707CCD" w:rsidRDefault="000923BB" w:rsidP="009148F2">
      <w:pPr>
        <w:pStyle w:val="Normal1"/>
        <w:pBdr>
          <w:top w:val="single" w:sz="4" w:space="1" w:color="auto"/>
          <w:left w:val="single" w:sz="4" w:space="4" w:color="auto"/>
          <w:bottom w:val="single" w:sz="4" w:space="1" w:color="auto"/>
          <w:right w:val="single" w:sz="4" w:space="1" w:color="auto"/>
        </w:pBdr>
        <w:rPr>
          <w:rFonts w:cs="Arial"/>
          <w:color w:val="000000"/>
          <w:sz w:val="22"/>
          <w:szCs w:val="22"/>
        </w:rPr>
      </w:pPr>
      <w:r w:rsidRPr="00707CCD">
        <w:rPr>
          <w:rFonts w:cs="Arial"/>
          <w:color w:val="000000"/>
          <w:sz w:val="22"/>
          <w:szCs w:val="22"/>
        </w:rPr>
        <w:t xml:space="preserve">Please tick only one box </w:t>
      </w:r>
    </w:p>
    <w:p w14:paraId="55118530" w14:textId="77777777" w:rsidR="000923BB" w:rsidRDefault="000923BB" w:rsidP="009148F2">
      <w:pPr>
        <w:pStyle w:val="Normal1"/>
        <w:pBdr>
          <w:top w:val="single" w:sz="4" w:space="1" w:color="auto"/>
          <w:left w:val="single" w:sz="4" w:space="4" w:color="auto"/>
          <w:bottom w:val="single" w:sz="4" w:space="1" w:color="auto"/>
          <w:right w:val="single" w:sz="4" w:space="1" w:color="auto"/>
        </w:pBdr>
        <w:rPr>
          <w:rFonts w:cs="Arial"/>
          <w:color w:val="000000"/>
          <w:sz w:val="22"/>
          <w:szCs w:val="22"/>
        </w:rPr>
      </w:pPr>
      <w:r w:rsidRPr="00707CCD">
        <w:rPr>
          <w:rFonts w:cs="Arial"/>
          <w:color w:val="000000"/>
          <w:sz w:val="22"/>
          <w:szCs w:val="22"/>
        </w:rPr>
        <w:t xml:space="preserve">Unsatisfactory [] [] [] [] [] [] Very best care </w:t>
      </w:r>
    </w:p>
    <w:p w14:paraId="1C2F5DEE" w14:textId="77777777" w:rsidR="000923BB" w:rsidRDefault="000923BB" w:rsidP="000923BB">
      <w:pPr>
        <w:pStyle w:val="Default"/>
      </w:pPr>
    </w:p>
    <w:p w14:paraId="60332A15" w14:textId="77777777" w:rsidR="000923BB" w:rsidRDefault="000923BB" w:rsidP="000923BB">
      <w:pPr>
        <w:jc w:val="both"/>
        <w:rPr>
          <w:rFonts w:cs="Arial"/>
          <w:sz w:val="22"/>
          <w:szCs w:val="22"/>
        </w:rPr>
      </w:pPr>
    </w:p>
    <w:p w14:paraId="25E2516E" w14:textId="77777777" w:rsidR="000923BB" w:rsidRDefault="000923BB" w:rsidP="000923BB">
      <w:pPr>
        <w:jc w:val="both"/>
        <w:rPr>
          <w:rFonts w:cs="Arial"/>
          <w:sz w:val="22"/>
          <w:szCs w:val="22"/>
        </w:rPr>
      </w:pPr>
      <w:r>
        <w:rPr>
          <w:rFonts w:cs="Arial"/>
          <w:sz w:val="22"/>
          <w:szCs w:val="22"/>
        </w:rPr>
        <w:t>Next, in assessing the quality of care overall, reviewers were asked:</w:t>
      </w:r>
    </w:p>
    <w:p w14:paraId="765AAEB7" w14:textId="77777777" w:rsidR="000923BB" w:rsidRDefault="000923BB" w:rsidP="008A6C6D">
      <w:pPr>
        <w:numPr>
          <w:ilvl w:val="0"/>
          <w:numId w:val="7"/>
        </w:numPr>
        <w:spacing w:after="0" w:line="240" w:lineRule="auto"/>
        <w:jc w:val="both"/>
        <w:rPr>
          <w:rFonts w:cs="Arial"/>
          <w:sz w:val="22"/>
          <w:szCs w:val="22"/>
        </w:rPr>
      </w:pPr>
      <w:r>
        <w:rPr>
          <w:rFonts w:cs="Arial"/>
          <w:sz w:val="22"/>
          <w:szCs w:val="22"/>
        </w:rPr>
        <w:t>Please comment on the care received by the patient overall.</w:t>
      </w:r>
    </w:p>
    <w:p w14:paraId="0FEDA6CF" w14:textId="77777777" w:rsidR="000923BB" w:rsidRDefault="000923BB" w:rsidP="000923BB">
      <w:pPr>
        <w:jc w:val="both"/>
        <w:rPr>
          <w:rFonts w:cs="Arial"/>
          <w:sz w:val="22"/>
          <w:szCs w:val="22"/>
        </w:rPr>
      </w:pPr>
    </w:p>
    <w:p w14:paraId="2B24FE49" w14:textId="77777777" w:rsidR="000923BB" w:rsidRDefault="000923BB" w:rsidP="000923BB">
      <w:pPr>
        <w:jc w:val="both"/>
        <w:rPr>
          <w:rFonts w:cs="Arial"/>
          <w:sz w:val="22"/>
          <w:szCs w:val="22"/>
        </w:rPr>
      </w:pPr>
      <w:r>
        <w:rPr>
          <w:rFonts w:cs="Arial"/>
          <w:sz w:val="22"/>
          <w:szCs w:val="22"/>
        </w:rPr>
        <w:t>An overall quality of care rating was requested for each patient review on a 1-10 scale (1 = unsatisfactory, 10 = very best care, only using the two anchor points on the scale) to provide for a global rating of care quality.  This was given a wider, more fine grained, scale so that reviewers could assimilate their perceptions of care for all of the phases of care to give an ‘in the round’ assessment (</w:t>
      </w:r>
      <w:smartTag w:uri="urn:schemas-microsoft-com:office:smarttags" w:element="address">
        <w:smartTag w:uri="urn:schemas-microsoft-com:office:smarttags" w:element="Street">
          <w:r>
            <w:rPr>
              <w:rFonts w:cs="Arial"/>
              <w:sz w:val="22"/>
              <w:szCs w:val="22"/>
            </w:rPr>
            <w:t>Box</w:t>
          </w:r>
        </w:smartTag>
        <w:r>
          <w:rPr>
            <w:rFonts w:cs="Arial"/>
            <w:sz w:val="22"/>
            <w:szCs w:val="22"/>
          </w:rPr>
          <w:t xml:space="preserve"> 3</w:t>
        </w:r>
      </w:smartTag>
      <w:r>
        <w:rPr>
          <w:rFonts w:cs="Arial"/>
          <w:sz w:val="22"/>
          <w:szCs w:val="22"/>
        </w:rPr>
        <w:t xml:space="preserve">). </w:t>
      </w:r>
    </w:p>
    <w:p w14:paraId="453BFB01" w14:textId="77777777" w:rsidR="000923BB" w:rsidRDefault="000923BB" w:rsidP="000923BB">
      <w:pPr>
        <w:jc w:val="both"/>
        <w:rPr>
          <w:rFonts w:cs="Arial"/>
          <w:sz w:val="22"/>
          <w:szCs w:val="22"/>
        </w:rPr>
      </w:pPr>
    </w:p>
    <w:p w14:paraId="29192FF4" w14:textId="77777777" w:rsidR="002271CC" w:rsidRDefault="002271CC" w:rsidP="000923BB">
      <w:pPr>
        <w:jc w:val="both"/>
        <w:rPr>
          <w:rFonts w:cs="Arial"/>
          <w:sz w:val="22"/>
          <w:szCs w:val="22"/>
        </w:rPr>
      </w:pPr>
    </w:p>
    <w:p w14:paraId="46516E45" w14:textId="77777777" w:rsidR="002271CC" w:rsidRDefault="002271CC" w:rsidP="000923BB">
      <w:pPr>
        <w:jc w:val="both"/>
        <w:rPr>
          <w:rFonts w:cs="Arial"/>
          <w:sz w:val="22"/>
          <w:szCs w:val="22"/>
        </w:rPr>
      </w:pPr>
    </w:p>
    <w:p w14:paraId="3D00239C" w14:textId="77777777" w:rsidR="000923BB" w:rsidRDefault="000923BB" w:rsidP="000923BB">
      <w:pPr>
        <w:pStyle w:val="Default"/>
      </w:pPr>
      <w:smartTag w:uri="urn:schemas-microsoft-com:office:smarttags" w:element="address">
        <w:smartTag w:uri="urn:schemas-microsoft-com:office:smarttags" w:element="Street">
          <w:r>
            <w:t>Box</w:t>
          </w:r>
        </w:smartTag>
        <w:r>
          <w:t xml:space="preserve"> 3</w:t>
        </w:r>
      </w:smartTag>
    </w:p>
    <w:p w14:paraId="4962E9A5" w14:textId="77777777" w:rsidR="000923BB" w:rsidRDefault="009148F2" w:rsidP="000923BB">
      <w:pPr>
        <w:pStyle w:val="Header1"/>
        <w:pBdr>
          <w:top w:val="single" w:sz="4" w:space="1" w:color="auto"/>
          <w:left w:val="single" w:sz="4" w:space="4" w:color="auto"/>
          <w:bottom w:val="single" w:sz="4" w:space="1" w:color="auto"/>
          <w:right w:val="single" w:sz="4" w:space="4" w:color="auto"/>
        </w:pBdr>
        <w:rPr>
          <w:rFonts w:cs="Arial"/>
          <w:b/>
          <w:bCs/>
          <w:color w:val="000000"/>
          <w:sz w:val="22"/>
          <w:szCs w:val="22"/>
        </w:rPr>
      </w:pPr>
      <w:r>
        <w:rPr>
          <w:rFonts w:cs="Arial"/>
          <w:b/>
          <w:bCs/>
          <w:color w:val="000000"/>
          <w:sz w:val="22"/>
          <w:szCs w:val="22"/>
        </w:rPr>
        <w:t xml:space="preserve">   </w:t>
      </w:r>
      <w:r w:rsidR="000923BB" w:rsidRPr="00707CCD">
        <w:rPr>
          <w:rFonts w:cs="Arial"/>
          <w:b/>
          <w:bCs/>
          <w:color w:val="000000"/>
          <w:sz w:val="22"/>
          <w:szCs w:val="22"/>
        </w:rPr>
        <w:t xml:space="preserve">Overall Assessment </w:t>
      </w:r>
    </w:p>
    <w:p w14:paraId="72AA2DD7" w14:textId="77777777" w:rsidR="000923BB" w:rsidRPr="00707CCD" w:rsidRDefault="000923BB" w:rsidP="000923BB">
      <w:pPr>
        <w:pStyle w:val="Default"/>
        <w:pBdr>
          <w:top w:val="single" w:sz="4" w:space="1" w:color="auto"/>
          <w:left w:val="single" w:sz="4" w:space="4" w:color="auto"/>
          <w:bottom w:val="single" w:sz="4" w:space="1" w:color="auto"/>
          <w:right w:val="single" w:sz="4" w:space="4" w:color="auto"/>
        </w:pBdr>
      </w:pPr>
    </w:p>
    <w:p w14:paraId="05AD7537" w14:textId="77777777" w:rsidR="000923BB" w:rsidRPr="00707CCD" w:rsidRDefault="009148F2" w:rsidP="000923BB">
      <w:pPr>
        <w:pStyle w:val="Normal1"/>
        <w:pBdr>
          <w:top w:val="single" w:sz="4" w:space="1" w:color="auto"/>
          <w:left w:val="single" w:sz="4" w:space="4" w:color="auto"/>
          <w:bottom w:val="single" w:sz="4" w:space="1" w:color="auto"/>
          <w:right w:val="single" w:sz="4" w:space="4" w:color="auto"/>
        </w:pBdr>
        <w:rPr>
          <w:rFonts w:cs="Arial"/>
          <w:color w:val="000000"/>
          <w:sz w:val="22"/>
          <w:szCs w:val="22"/>
        </w:rPr>
      </w:pPr>
      <w:r>
        <w:rPr>
          <w:rFonts w:cs="Arial"/>
          <w:color w:val="000000"/>
          <w:sz w:val="22"/>
          <w:szCs w:val="22"/>
        </w:rPr>
        <w:t xml:space="preserve">   </w:t>
      </w:r>
      <w:r w:rsidR="000923BB" w:rsidRPr="00707CCD">
        <w:rPr>
          <w:rFonts w:cs="Arial"/>
          <w:color w:val="000000"/>
          <w:sz w:val="22"/>
          <w:szCs w:val="22"/>
        </w:rPr>
        <w:t xml:space="preserve">Please comment on the care received by the patient overall. </w:t>
      </w:r>
    </w:p>
    <w:p w14:paraId="6A7665DE" w14:textId="77777777" w:rsidR="000923BB" w:rsidRDefault="009148F2" w:rsidP="000923BB">
      <w:pPr>
        <w:pStyle w:val="Normal1"/>
        <w:pBdr>
          <w:top w:val="single" w:sz="4" w:space="1" w:color="auto"/>
          <w:left w:val="single" w:sz="4" w:space="4" w:color="auto"/>
          <w:bottom w:val="single" w:sz="4" w:space="1" w:color="auto"/>
          <w:right w:val="single" w:sz="4" w:space="4" w:color="auto"/>
        </w:pBdr>
        <w:rPr>
          <w:rFonts w:cs="Arial"/>
          <w:color w:val="000000"/>
          <w:sz w:val="22"/>
          <w:szCs w:val="22"/>
        </w:rPr>
      </w:pPr>
      <w:r>
        <w:rPr>
          <w:rFonts w:cs="Arial"/>
          <w:color w:val="000000"/>
          <w:sz w:val="22"/>
          <w:szCs w:val="22"/>
        </w:rPr>
        <w:t xml:space="preserve">   </w:t>
      </w:r>
      <w:r w:rsidR="000923BB" w:rsidRPr="00707CCD">
        <w:rPr>
          <w:rFonts w:cs="Arial"/>
          <w:color w:val="000000"/>
          <w:sz w:val="22"/>
          <w:szCs w:val="22"/>
        </w:rPr>
        <w:t xml:space="preserve">Please rate the care received by the patient overall. </w:t>
      </w:r>
    </w:p>
    <w:p w14:paraId="5B2ED9E7" w14:textId="77777777" w:rsidR="000923BB" w:rsidRPr="001D1549" w:rsidRDefault="000923BB" w:rsidP="000923BB">
      <w:pPr>
        <w:pStyle w:val="Default"/>
        <w:pBdr>
          <w:top w:val="single" w:sz="4" w:space="1" w:color="auto"/>
          <w:left w:val="single" w:sz="4" w:space="4" w:color="auto"/>
          <w:bottom w:val="single" w:sz="4" w:space="1" w:color="auto"/>
          <w:right w:val="single" w:sz="4" w:space="4" w:color="auto"/>
        </w:pBdr>
      </w:pPr>
    </w:p>
    <w:p w14:paraId="2F6A4E1B" w14:textId="77777777" w:rsidR="000923BB" w:rsidRDefault="009148F2" w:rsidP="000923BB">
      <w:pPr>
        <w:pStyle w:val="Normal1"/>
        <w:pBdr>
          <w:top w:val="single" w:sz="4" w:space="1" w:color="auto"/>
          <w:left w:val="single" w:sz="4" w:space="4" w:color="auto"/>
          <w:bottom w:val="single" w:sz="4" w:space="1" w:color="auto"/>
          <w:right w:val="single" w:sz="4" w:space="4" w:color="auto"/>
        </w:pBdr>
        <w:rPr>
          <w:rFonts w:cs="Arial"/>
          <w:color w:val="000000"/>
          <w:sz w:val="22"/>
          <w:szCs w:val="22"/>
        </w:rPr>
      </w:pPr>
      <w:r>
        <w:rPr>
          <w:rFonts w:cs="Arial"/>
          <w:color w:val="000000"/>
          <w:sz w:val="22"/>
          <w:szCs w:val="22"/>
        </w:rPr>
        <w:t xml:space="preserve">   </w:t>
      </w:r>
      <w:r w:rsidR="000923BB" w:rsidRPr="00707CCD">
        <w:rPr>
          <w:rFonts w:cs="Arial"/>
          <w:color w:val="000000"/>
          <w:sz w:val="22"/>
          <w:szCs w:val="22"/>
        </w:rPr>
        <w:t xml:space="preserve">Please tick only one box </w:t>
      </w:r>
    </w:p>
    <w:p w14:paraId="1C433DD3" w14:textId="77777777" w:rsidR="000923BB" w:rsidRPr="00707CCD" w:rsidRDefault="000923BB" w:rsidP="000923BB">
      <w:pPr>
        <w:pStyle w:val="Default"/>
        <w:pBdr>
          <w:top w:val="single" w:sz="4" w:space="1" w:color="auto"/>
          <w:left w:val="single" w:sz="4" w:space="4" w:color="auto"/>
          <w:bottom w:val="single" w:sz="4" w:space="1" w:color="auto"/>
          <w:right w:val="single" w:sz="4" w:space="4" w:color="auto"/>
        </w:pBdr>
      </w:pPr>
    </w:p>
    <w:p w14:paraId="5AA77D3A" w14:textId="77777777" w:rsidR="000923BB" w:rsidRDefault="009148F2" w:rsidP="000923BB">
      <w:pPr>
        <w:pStyle w:val="Normal1"/>
        <w:pBdr>
          <w:top w:val="single" w:sz="4" w:space="1" w:color="auto"/>
          <w:left w:val="single" w:sz="4" w:space="4" w:color="auto"/>
          <w:bottom w:val="single" w:sz="4" w:space="1" w:color="auto"/>
          <w:right w:val="single" w:sz="4" w:space="4" w:color="auto"/>
        </w:pBdr>
        <w:rPr>
          <w:rFonts w:cs="Arial"/>
          <w:color w:val="000000"/>
          <w:sz w:val="22"/>
          <w:szCs w:val="22"/>
        </w:rPr>
      </w:pPr>
      <w:r>
        <w:rPr>
          <w:rFonts w:cs="Arial"/>
          <w:color w:val="000000"/>
          <w:sz w:val="22"/>
          <w:szCs w:val="22"/>
        </w:rPr>
        <w:t xml:space="preserve">   </w:t>
      </w:r>
      <w:r w:rsidR="000923BB" w:rsidRPr="00707CCD">
        <w:rPr>
          <w:rFonts w:cs="Arial"/>
          <w:color w:val="000000"/>
          <w:sz w:val="22"/>
          <w:szCs w:val="22"/>
        </w:rPr>
        <w:t xml:space="preserve">Unsatisfactory overall </w:t>
      </w:r>
      <w:r w:rsidR="000923BB">
        <w:rPr>
          <w:rFonts w:cs="Arial"/>
          <w:color w:val="000000"/>
          <w:sz w:val="22"/>
          <w:szCs w:val="22"/>
        </w:rPr>
        <w:t>[] [] [] [] [] [] [] [] [] []</w:t>
      </w:r>
      <w:r w:rsidR="000923BB" w:rsidRPr="00707CCD">
        <w:rPr>
          <w:rFonts w:cs="Arial"/>
          <w:color w:val="000000"/>
          <w:sz w:val="22"/>
          <w:szCs w:val="22"/>
        </w:rPr>
        <w:t xml:space="preserve"> Very best care overall </w:t>
      </w:r>
    </w:p>
    <w:p w14:paraId="667BEF09" w14:textId="77777777" w:rsidR="000923BB" w:rsidRDefault="000923BB" w:rsidP="000923BB">
      <w:pPr>
        <w:pStyle w:val="Default"/>
        <w:pBdr>
          <w:top w:val="single" w:sz="4" w:space="1" w:color="auto"/>
          <w:left w:val="single" w:sz="4" w:space="4" w:color="auto"/>
          <w:bottom w:val="single" w:sz="4" w:space="1" w:color="auto"/>
          <w:right w:val="single" w:sz="4" w:space="4" w:color="auto"/>
        </w:pBdr>
      </w:pPr>
    </w:p>
    <w:p w14:paraId="3B8E2BB9" w14:textId="77777777" w:rsidR="000923BB" w:rsidRDefault="000923BB" w:rsidP="000923BB">
      <w:pPr>
        <w:jc w:val="both"/>
        <w:rPr>
          <w:rFonts w:cs="Arial"/>
          <w:b/>
          <w:bCs/>
          <w:i/>
          <w:iCs/>
          <w:sz w:val="22"/>
          <w:szCs w:val="22"/>
        </w:rPr>
      </w:pPr>
    </w:p>
    <w:p w14:paraId="583030EC" w14:textId="77777777" w:rsidR="000923BB" w:rsidRDefault="000923BB" w:rsidP="000923BB">
      <w:pPr>
        <w:jc w:val="both"/>
        <w:rPr>
          <w:rFonts w:cs="Arial"/>
          <w:b/>
          <w:bCs/>
          <w:i/>
          <w:iCs/>
          <w:sz w:val="22"/>
          <w:szCs w:val="22"/>
        </w:rPr>
      </w:pPr>
    </w:p>
    <w:p w14:paraId="4BD1A9F9" w14:textId="77777777" w:rsidR="000923BB" w:rsidRDefault="000923BB" w:rsidP="000923BB">
      <w:pPr>
        <w:jc w:val="both"/>
        <w:rPr>
          <w:rFonts w:cs="Arial"/>
          <w:b/>
          <w:bCs/>
          <w:i/>
          <w:iCs/>
          <w:sz w:val="22"/>
          <w:szCs w:val="22"/>
        </w:rPr>
      </w:pPr>
      <w:r>
        <w:rPr>
          <w:rFonts w:cs="Arial"/>
          <w:b/>
          <w:bCs/>
          <w:i/>
          <w:iCs/>
          <w:sz w:val="22"/>
          <w:szCs w:val="22"/>
        </w:rPr>
        <w:t>Assessing the quality of recording in the case notes</w:t>
      </w:r>
    </w:p>
    <w:p w14:paraId="45727FF0" w14:textId="77777777" w:rsidR="000923BB" w:rsidRDefault="000923BB" w:rsidP="000923BB">
      <w:pPr>
        <w:jc w:val="both"/>
        <w:rPr>
          <w:rFonts w:cs="Arial"/>
          <w:sz w:val="22"/>
          <w:szCs w:val="22"/>
        </w:rPr>
      </w:pPr>
    </w:p>
    <w:p w14:paraId="54A2E2CB" w14:textId="77777777" w:rsidR="000923BB" w:rsidRDefault="000923BB" w:rsidP="000923BB">
      <w:pPr>
        <w:jc w:val="both"/>
        <w:rPr>
          <w:rFonts w:cs="Arial"/>
          <w:sz w:val="22"/>
          <w:szCs w:val="22"/>
        </w:rPr>
      </w:pPr>
      <w:r>
        <w:rPr>
          <w:rFonts w:cs="Arial"/>
          <w:sz w:val="22"/>
          <w:szCs w:val="22"/>
        </w:rPr>
        <w:t xml:space="preserve">Evaluation of the quality of care through case note review is critically dependent on the quality of recording in the case notes, together with that in associated data sources such as computerised pathology and radiology results.  It might be hypothesised that a poor record could prevent a high quality retrospective critical review of care.  Alternatively, there might be a relationship between poor case notes and poor quality of care.  Factors enhancing the use of the record for case note review include the extent to which information is recorded and placed in the case notes, the detail or otherwise of the entry and the legibility of the entry.  </w:t>
      </w:r>
    </w:p>
    <w:p w14:paraId="07E35FF7" w14:textId="77777777" w:rsidR="000923BB" w:rsidRDefault="000923BB" w:rsidP="000923BB">
      <w:pPr>
        <w:jc w:val="both"/>
        <w:rPr>
          <w:rFonts w:cs="Arial"/>
          <w:sz w:val="22"/>
          <w:szCs w:val="22"/>
        </w:rPr>
      </w:pPr>
    </w:p>
    <w:p w14:paraId="38E52E85" w14:textId="77777777" w:rsidR="000923BB" w:rsidRDefault="000923BB" w:rsidP="000923BB">
      <w:pPr>
        <w:jc w:val="both"/>
        <w:rPr>
          <w:rFonts w:cs="Arial"/>
          <w:sz w:val="22"/>
          <w:szCs w:val="22"/>
        </w:rPr>
      </w:pPr>
      <w:r>
        <w:rPr>
          <w:rFonts w:cs="Arial"/>
          <w:sz w:val="22"/>
          <w:szCs w:val="22"/>
        </w:rPr>
        <w:t>It was anticipated that most of the information relevant to the study would be recorded on paper based case notes but that systems would vary from hospital to hospital, for example in the extent to which the principal case notes provided a holistic record of care or whether medical notes and nursing notes might be held separately.</w:t>
      </w:r>
    </w:p>
    <w:p w14:paraId="4B36691A" w14:textId="77777777" w:rsidR="000923BB" w:rsidRDefault="000923BB" w:rsidP="000923BB">
      <w:pPr>
        <w:jc w:val="both"/>
        <w:rPr>
          <w:rFonts w:cs="Arial"/>
          <w:sz w:val="22"/>
          <w:szCs w:val="22"/>
        </w:rPr>
      </w:pPr>
    </w:p>
    <w:p w14:paraId="016ADA8C" w14:textId="77777777" w:rsidR="000923BB" w:rsidRDefault="000923BB" w:rsidP="000923BB">
      <w:pPr>
        <w:jc w:val="both"/>
        <w:rPr>
          <w:rFonts w:cs="Arial"/>
          <w:sz w:val="22"/>
          <w:szCs w:val="22"/>
        </w:rPr>
      </w:pPr>
      <w:r>
        <w:rPr>
          <w:rFonts w:cs="Arial"/>
          <w:sz w:val="22"/>
          <w:szCs w:val="22"/>
        </w:rPr>
        <w:t>Reviewers were therefore asked to assess the quality of each record at the end of the holistic review, using a six point rating scale (1 = inadequate, 6 = excellent) :-</w:t>
      </w:r>
    </w:p>
    <w:p w14:paraId="7B4EE700" w14:textId="77777777" w:rsidR="000923BB" w:rsidRDefault="000923BB" w:rsidP="000923BB">
      <w:pPr>
        <w:jc w:val="both"/>
        <w:rPr>
          <w:rFonts w:cs="Arial"/>
          <w:sz w:val="22"/>
          <w:szCs w:val="22"/>
        </w:rPr>
      </w:pPr>
    </w:p>
    <w:p w14:paraId="1D00E968" w14:textId="77777777" w:rsidR="000923BB" w:rsidRDefault="000923BB" w:rsidP="000923BB">
      <w:pPr>
        <w:jc w:val="both"/>
        <w:rPr>
          <w:rFonts w:cs="Arial"/>
          <w:sz w:val="22"/>
          <w:szCs w:val="22"/>
        </w:rPr>
      </w:pPr>
      <w:r>
        <w:rPr>
          <w:rFonts w:cs="Arial"/>
          <w:sz w:val="22"/>
          <w:szCs w:val="22"/>
        </w:rPr>
        <w:t>1.  The patient record contains gaps in three or more significant areas</w:t>
      </w:r>
    </w:p>
    <w:p w14:paraId="47070A48" w14:textId="77777777" w:rsidR="000923BB" w:rsidRDefault="000923BB" w:rsidP="000923BB">
      <w:pPr>
        <w:jc w:val="both"/>
        <w:rPr>
          <w:rFonts w:cs="Arial"/>
          <w:sz w:val="22"/>
          <w:szCs w:val="22"/>
        </w:rPr>
      </w:pPr>
      <w:r>
        <w:rPr>
          <w:rFonts w:cs="Arial"/>
          <w:sz w:val="22"/>
          <w:szCs w:val="22"/>
        </w:rPr>
        <w:t>2.  The patient record contains gaps in two significant areas</w:t>
      </w:r>
    </w:p>
    <w:p w14:paraId="74223B47" w14:textId="77777777" w:rsidR="000923BB" w:rsidRDefault="000923BB" w:rsidP="000923BB">
      <w:pPr>
        <w:jc w:val="both"/>
        <w:rPr>
          <w:rFonts w:cs="Arial"/>
          <w:sz w:val="22"/>
          <w:szCs w:val="22"/>
        </w:rPr>
      </w:pPr>
      <w:r>
        <w:rPr>
          <w:rFonts w:cs="Arial"/>
          <w:sz w:val="22"/>
          <w:szCs w:val="22"/>
        </w:rPr>
        <w:t>3.  The patient record contains gaps in one significant area</w:t>
      </w:r>
    </w:p>
    <w:p w14:paraId="60490BCD" w14:textId="77777777" w:rsidR="000923BB" w:rsidRDefault="000923BB" w:rsidP="000923BB">
      <w:pPr>
        <w:jc w:val="both"/>
        <w:rPr>
          <w:rFonts w:cs="Arial"/>
          <w:sz w:val="22"/>
          <w:szCs w:val="22"/>
        </w:rPr>
      </w:pPr>
      <w:r>
        <w:rPr>
          <w:rFonts w:cs="Arial"/>
          <w:sz w:val="22"/>
          <w:szCs w:val="22"/>
        </w:rPr>
        <w:t>4.  The patient records are satisfactory and only contain gaps in three or more minor areas</w:t>
      </w:r>
    </w:p>
    <w:p w14:paraId="6D569ECC" w14:textId="77777777" w:rsidR="000923BB" w:rsidRDefault="000923BB" w:rsidP="000923BB">
      <w:pPr>
        <w:jc w:val="both"/>
        <w:rPr>
          <w:rFonts w:cs="Arial"/>
          <w:sz w:val="22"/>
          <w:szCs w:val="22"/>
        </w:rPr>
      </w:pPr>
      <w:r>
        <w:rPr>
          <w:rFonts w:cs="Arial"/>
          <w:sz w:val="22"/>
          <w:szCs w:val="22"/>
        </w:rPr>
        <w:t>5.  The patient records are good and only contains gaps in one or two minor areas</w:t>
      </w:r>
    </w:p>
    <w:p w14:paraId="2F16E475" w14:textId="77777777" w:rsidR="000923BB" w:rsidRDefault="000923BB" w:rsidP="000923BB">
      <w:pPr>
        <w:jc w:val="both"/>
        <w:rPr>
          <w:rFonts w:cs="Arial"/>
          <w:sz w:val="22"/>
          <w:szCs w:val="22"/>
        </w:rPr>
      </w:pPr>
      <w:r>
        <w:rPr>
          <w:rFonts w:cs="Arial"/>
          <w:sz w:val="22"/>
          <w:szCs w:val="22"/>
        </w:rPr>
        <w:lastRenderedPageBreak/>
        <w:t>6.  The patient records are excellent.</w:t>
      </w:r>
    </w:p>
    <w:p w14:paraId="1C472928" w14:textId="77777777" w:rsidR="000923BB" w:rsidRDefault="000923BB" w:rsidP="000923BB">
      <w:pPr>
        <w:jc w:val="both"/>
        <w:rPr>
          <w:rFonts w:cs="Arial"/>
          <w:sz w:val="22"/>
          <w:szCs w:val="22"/>
        </w:rPr>
      </w:pPr>
    </w:p>
    <w:p w14:paraId="7102B666" w14:textId="77777777" w:rsidR="000923BB" w:rsidRDefault="000923BB" w:rsidP="000923BB">
      <w:pPr>
        <w:jc w:val="both"/>
        <w:rPr>
          <w:rFonts w:cs="Arial"/>
          <w:sz w:val="22"/>
          <w:szCs w:val="22"/>
        </w:rPr>
      </w:pPr>
      <w:r>
        <w:rPr>
          <w:rFonts w:cs="Arial"/>
          <w:sz w:val="22"/>
          <w:szCs w:val="22"/>
        </w:rPr>
        <w:t xml:space="preserve">Reviewers were asked to complete their assessment in the form shown in </w:t>
      </w:r>
      <w:smartTag w:uri="urn:schemas-microsoft-com:office:smarttags" w:element="address">
        <w:smartTag w:uri="urn:schemas-microsoft-com:office:smarttags" w:element="Street">
          <w:r>
            <w:rPr>
              <w:rFonts w:cs="Arial"/>
              <w:sz w:val="22"/>
              <w:szCs w:val="22"/>
            </w:rPr>
            <w:t>Box</w:t>
          </w:r>
        </w:smartTag>
        <w:r>
          <w:rPr>
            <w:rFonts w:cs="Arial"/>
            <w:sz w:val="22"/>
            <w:szCs w:val="22"/>
          </w:rPr>
          <w:t xml:space="preserve"> 4</w:t>
        </w:r>
      </w:smartTag>
      <w:r>
        <w:rPr>
          <w:rFonts w:cs="Arial"/>
          <w:sz w:val="22"/>
          <w:szCs w:val="22"/>
        </w:rPr>
        <w:t>.</w:t>
      </w:r>
    </w:p>
    <w:p w14:paraId="101C6337" w14:textId="77777777" w:rsidR="000923BB" w:rsidRDefault="000923BB" w:rsidP="000923BB">
      <w:pPr>
        <w:pStyle w:val="Default"/>
      </w:pPr>
    </w:p>
    <w:p w14:paraId="2C16E7B5" w14:textId="77777777" w:rsidR="000923BB" w:rsidRDefault="000923BB" w:rsidP="000923BB">
      <w:pPr>
        <w:pStyle w:val="Default"/>
      </w:pPr>
    </w:p>
    <w:p w14:paraId="05C3E379" w14:textId="77777777" w:rsidR="000923BB" w:rsidRDefault="000923BB" w:rsidP="000923BB">
      <w:pPr>
        <w:pStyle w:val="Default"/>
      </w:pPr>
      <w:smartTag w:uri="urn:schemas-microsoft-com:office:smarttags" w:element="address">
        <w:smartTag w:uri="urn:schemas-microsoft-com:office:smarttags" w:element="Street">
          <w:r>
            <w:t>Box</w:t>
          </w:r>
        </w:smartTag>
        <w:r>
          <w:t xml:space="preserve"> 4</w:t>
        </w:r>
      </w:smartTag>
    </w:p>
    <w:p w14:paraId="46FA4ED5" w14:textId="77777777" w:rsidR="000923BB" w:rsidRPr="009864AC" w:rsidRDefault="000923BB" w:rsidP="000923BB">
      <w:pPr>
        <w:pStyle w:val="Defaul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98"/>
      </w:tblGrid>
      <w:tr w:rsidR="000923BB" w14:paraId="127098C7" w14:textId="77777777" w:rsidTr="003A385F">
        <w:trPr>
          <w:trHeight w:val="530"/>
        </w:trPr>
        <w:tc>
          <w:tcPr>
            <w:tcW w:w="8098" w:type="dxa"/>
          </w:tcPr>
          <w:p w14:paraId="0BAF0BDC" w14:textId="77777777" w:rsidR="000923BB" w:rsidRDefault="000923BB" w:rsidP="003A385F">
            <w:pPr>
              <w:pStyle w:val="Normal1"/>
              <w:ind w:left="360" w:hanging="360"/>
              <w:rPr>
                <w:rFonts w:cs="Arial"/>
                <w:color w:val="000000"/>
                <w:sz w:val="22"/>
                <w:szCs w:val="22"/>
              </w:rPr>
            </w:pPr>
            <w:r w:rsidRPr="00707CCD">
              <w:rPr>
                <w:rFonts w:cs="Arial"/>
                <w:color w:val="000000"/>
                <w:sz w:val="22"/>
                <w:szCs w:val="22"/>
              </w:rPr>
              <w:t>We are interested in your view about the quality of the patient records in enabling good quality care to be provided.</w:t>
            </w:r>
          </w:p>
          <w:p w14:paraId="5566BF87" w14:textId="77777777" w:rsidR="000923BB" w:rsidRPr="00707CCD" w:rsidRDefault="000923BB" w:rsidP="003A385F">
            <w:pPr>
              <w:pStyle w:val="Normal1"/>
              <w:ind w:left="360" w:hanging="360"/>
              <w:rPr>
                <w:rFonts w:cs="Arial"/>
                <w:color w:val="000000"/>
                <w:sz w:val="22"/>
                <w:szCs w:val="22"/>
              </w:rPr>
            </w:pPr>
          </w:p>
          <w:p w14:paraId="61CE7841" w14:textId="77777777" w:rsidR="000923BB" w:rsidRPr="00707CCD" w:rsidRDefault="000923BB" w:rsidP="003A385F">
            <w:pPr>
              <w:pStyle w:val="Normal1"/>
              <w:ind w:left="360"/>
              <w:rPr>
                <w:rFonts w:cs="Arial"/>
                <w:color w:val="000000"/>
                <w:sz w:val="22"/>
                <w:szCs w:val="22"/>
              </w:rPr>
            </w:pPr>
            <w:r w:rsidRPr="00707CCD">
              <w:rPr>
                <w:rFonts w:cs="Arial"/>
                <w:color w:val="000000"/>
                <w:sz w:val="22"/>
                <w:szCs w:val="22"/>
              </w:rPr>
              <w:t xml:space="preserve">Please tick only one box </w:t>
            </w:r>
          </w:p>
          <w:p w14:paraId="48E84A20" w14:textId="77777777" w:rsidR="000923BB" w:rsidRDefault="000923BB" w:rsidP="003A385F">
            <w:pPr>
              <w:pStyle w:val="Normal1"/>
              <w:ind w:left="360"/>
              <w:rPr>
                <w:rFonts w:cs="Arial"/>
                <w:color w:val="000000"/>
                <w:sz w:val="22"/>
                <w:szCs w:val="22"/>
              </w:rPr>
            </w:pPr>
            <w:r w:rsidRPr="00707CCD">
              <w:rPr>
                <w:rFonts w:cs="Arial"/>
                <w:color w:val="000000"/>
                <w:sz w:val="22"/>
                <w:szCs w:val="22"/>
              </w:rPr>
              <w:t xml:space="preserve">Inadequate </w:t>
            </w:r>
            <w:r>
              <w:rPr>
                <w:rFonts w:cs="Arial"/>
                <w:color w:val="000000"/>
                <w:sz w:val="22"/>
                <w:szCs w:val="22"/>
              </w:rPr>
              <w:t>[] [] [] [] [] []</w:t>
            </w:r>
            <w:r w:rsidRPr="00707CCD">
              <w:rPr>
                <w:rFonts w:cs="Arial"/>
                <w:color w:val="000000"/>
                <w:sz w:val="22"/>
                <w:szCs w:val="22"/>
              </w:rPr>
              <w:t xml:space="preserve"> Excellent </w:t>
            </w:r>
          </w:p>
        </w:tc>
      </w:tr>
    </w:tbl>
    <w:p w14:paraId="04A1B408" w14:textId="77777777" w:rsidR="000923BB" w:rsidRDefault="000923BB" w:rsidP="000923BB">
      <w:pPr>
        <w:pStyle w:val="Default"/>
        <w:rPr>
          <w:b/>
          <w:i/>
        </w:rPr>
      </w:pPr>
    </w:p>
    <w:p w14:paraId="4A84510D" w14:textId="77777777" w:rsidR="00823691" w:rsidRDefault="00823691" w:rsidP="000923BB">
      <w:pPr>
        <w:pStyle w:val="Default"/>
        <w:rPr>
          <w:b/>
          <w:i/>
          <w:sz w:val="22"/>
          <w:szCs w:val="22"/>
        </w:rPr>
      </w:pPr>
    </w:p>
    <w:p w14:paraId="512637C3" w14:textId="77777777" w:rsidR="000923BB" w:rsidRPr="00CE3379" w:rsidRDefault="000923BB" w:rsidP="000923BB">
      <w:pPr>
        <w:pStyle w:val="Default"/>
        <w:rPr>
          <w:b/>
          <w:i/>
          <w:sz w:val="22"/>
          <w:szCs w:val="22"/>
        </w:rPr>
      </w:pPr>
      <w:r w:rsidRPr="00CE3379">
        <w:rPr>
          <w:b/>
          <w:i/>
          <w:sz w:val="22"/>
          <w:szCs w:val="22"/>
        </w:rPr>
        <w:t>Review criteria development for COPD and Heart Failure</w:t>
      </w:r>
    </w:p>
    <w:p w14:paraId="42361E17" w14:textId="77777777" w:rsidR="000923BB" w:rsidRDefault="000923BB" w:rsidP="000923BB">
      <w:pPr>
        <w:jc w:val="both"/>
        <w:rPr>
          <w:rFonts w:cs="Arial"/>
          <w:sz w:val="22"/>
          <w:szCs w:val="22"/>
        </w:rPr>
      </w:pPr>
    </w:p>
    <w:p w14:paraId="312D2190" w14:textId="77777777" w:rsidR="000923BB" w:rsidRDefault="000923BB" w:rsidP="000923BB">
      <w:pPr>
        <w:jc w:val="both"/>
        <w:rPr>
          <w:rFonts w:cs="Arial"/>
          <w:sz w:val="22"/>
          <w:szCs w:val="22"/>
        </w:rPr>
      </w:pPr>
      <w:r>
        <w:rPr>
          <w:rFonts w:cs="Arial"/>
          <w:sz w:val="22"/>
          <w:szCs w:val="22"/>
        </w:rPr>
        <w:t>Criterion based review does not seek judgements of care, only requiring the reviewer to identify and record specific items of care. The purpose of review criteria when used in clinical audit is to gather data on which to make a judgement about the quality of care provided by an institution.  However, for the purpose of this study, although the quality of care provided by the hospital was useful information, the prime objective was to investigate the extent to which data collection of a case note review method was reliable and in which staff type’s hands was it most reliable.</w:t>
      </w:r>
    </w:p>
    <w:p w14:paraId="2B6D568C" w14:textId="77777777" w:rsidR="000923BB" w:rsidRDefault="000923BB" w:rsidP="000923BB">
      <w:pPr>
        <w:jc w:val="both"/>
        <w:rPr>
          <w:rFonts w:cs="Arial"/>
          <w:sz w:val="22"/>
          <w:szCs w:val="22"/>
        </w:rPr>
      </w:pPr>
    </w:p>
    <w:p w14:paraId="1C9E0C68" w14:textId="77777777" w:rsidR="000923BB" w:rsidRDefault="000923BB" w:rsidP="000923BB">
      <w:pPr>
        <w:jc w:val="both"/>
        <w:rPr>
          <w:rFonts w:cs="Arial"/>
          <w:sz w:val="22"/>
          <w:szCs w:val="22"/>
        </w:rPr>
      </w:pPr>
      <w:r>
        <w:rPr>
          <w:rFonts w:cs="Arial"/>
          <w:sz w:val="22"/>
          <w:szCs w:val="22"/>
        </w:rPr>
        <w:t xml:space="preserve">This objective meant that the number of review criteria used for each of the two conditions could be limited to a smaller number rather than, for example, the full set used by national clinical audit projects (for instance the Royal College of Physicians COPD audit comprised about 75 clinical criteria in total).[34] </w:t>
      </w:r>
    </w:p>
    <w:p w14:paraId="764EB98F" w14:textId="77777777" w:rsidR="000923BB" w:rsidRDefault="000923BB" w:rsidP="000923BB">
      <w:pPr>
        <w:jc w:val="both"/>
        <w:rPr>
          <w:rFonts w:cs="Arial"/>
          <w:sz w:val="22"/>
          <w:szCs w:val="22"/>
        </w:rPr>
      </w:pPr>
    </w:p>
    <w:p w14:paraId="4531A39A" w14:textId="77777777" w:rsidR="000923BB" w:rsidRDefault="000923BB" w:rsidP="000923BB">
      <w:pPr>
        <w:jc w:val="both"/>
        <w:rPr>
          <w:rFonts w:cs="Arial"/>
          <w:sz w:val="22"/>
          <w:szCs w:val="22"/>
        </w:rPr>
      </w:pPr>
      <w:r>
        <w:rPr>
          <w:rFonts w:cs="Arial"/>
          <w:sz w:val="22"/>
          <w:szCs w:val="22"/>
        </w:rPr>
        <w:t xml:space="preserve">The review criteria were developed using established methods for developing explicit evidence based review criteria from clinical guidelines.[19][20][22]  That is, for each of the two conditions, the first draft of the criteria were developed from the evidence base in the relevant national clinical guideline[23][31]  and where then subsequently validated using expert opinion. </w:t>
      </w:r>
    </w:p>
    <w:p w14:paraId="1C5E2024" w14:textId="77777777" w:rsidR="000923BB" w:rsidRDefault="000923BB" w:rsidP="000923BB">
      <w:pPr>
        <w:jc w:val="both"/>
        <w:rPr>
          <w:rFonts w:cs="Arial"/>
          <w:sz w:val="22"/>
          <w:szCs w:val="22"/>
        </w:rPr>
      </w:pPr>
    </w:p>
    <w:p w14:paraId="6203CCB5" w14:textId="77777777" w:rsidR="000923BB" w:rsidRDefault="000923BB" w:rsidP="000923BB">
      <w:pPr>
        <w:jc w:val="both"/>
        <w:rPr>
          <w:rFonts w:cs="Arial"/>
          <w:sz w:val="22"/>
          <w:szCs w:val="22"/>
          <w:u w:val="single"/>
        </w:rPr>
      </w:pPr>
      <w:r>
        <w:rPr>
          <w:rFonts w:cs="Arial"/>
          <w:sz w:val="22"/>
          <w:szCs w:val="22"/>
          <w:u w:val="single"/>
        </w:rPr>
        <w:t>COPD review criteria</w:t>
      </w:r>
    </w:p>
    <w:p w14:paraId="46D12E78" w14:textId="77777777" w:rsidR="000923BB" w:rsidRDefault="000923BB" w:rsidP="000923BB">
      <w:pPr>
        <w:jc w:val="both"/>
        <w:rPr>
          <w:rFonts w:cs="Arial"/>
          <w:sz w:val="22"/>
          <w:szCs w:val="22"/>
        </w:rPr>
      </w:pPr>
    </w:p>
    <w:p w14:paraId="61F08EF4" w14:textId="77777777" w:rsidR="000923BB" w:rsidRDefault="000923BB" w:rsidP="000923BB">
      <w:pPr>
        <w:jc w:val="both"/>
        <w:rPr>
          <w:rFonts w:cs="Arial"/>
          <w:sz w:val="22"/>
          <w:szCs w:val="22"/>
        </w:rPr>
      </w:pPr>
      <w:r>
        <w:rPr>
          <w:rFonts w:cs="Arial"/>
          <w:sz w:val="22"/>
          <w:szCs w:val="22"/>
        </w:rPr>
        <w:t xml:space="preserve">Information to form the first draft set of criteria came from the national clinical guideline for the management of COPD[31], the limited associated set of review criteria from the guideline and, thirdly, from the national RCP clinical audit for </w:t>
      </w:r>
      <w:r>
        <w:rPr>
          <w:rFonts w:cs="Arial"/>
          <w:sz w:val="22"/>
          <w:szCs w:val="22"/>
        </w:rPr>
        <w:lastRenderedPageBreak/>
        <w:t>COPD.[34]  From the guideline recommendations and the available review criteria the project team identified a subset of criteria that might be useful in the study.</w:t>
      </w:r>
    </w:p>
    <w:p w14:paraId="64A90CEA" w14:textId="77777777" w:rsidR="000923BB" w:rsidRDefault="000923BB" w:rsidP="000923BB">
      <w:pPr>
        <w:jc w:val="both"/>
        <w:rPr>
          <w:rFonts w:cs="Arial"/>
          <w:sz w:val="22"/>
          <w:szCs w:val="22"/>
        </w:rPr>
      </w:pPr>
    </w:p>
    <w:p w14:paraId="44616AE3" w14:textId="77777777" w:rsidR="000923BB" w:rsidRDefault="000923BB" w:rsidP="000923BB">
      <w:pPr>
        <w:jc w:val="both"/>
        <w:rPr>
          <w:rFonts w:cs="Arial"/>
          <w:sz w:val="22"/>
          <w:szCs w:val="22"/>
        </w:rPr>
      </w:pPr>
      <w:r>
        <w:rPr>
          <w:rFonts w:cs="Arial"/>
          <w:sz w:val="22"/>
          <w:szCs w:val="22"/>
        </w:rPr>
        <w:t>Refinement of the set was undertaken in three stages.  Firstly, the criteria were reviewed to determine whether the required data were likely to be available from case note review.  This excluded a number of review criteria used in the national RCP audit [34] that were concerned with organisational effectiveness.  Thirty eight criteria remained.</w:t>
      </w:r>
    </w:p>
    <w:p w14:paraId="684E664C" w14:textId="77777777" w:rsidR="000923BB" w:rsidRDefault="000923BB" w:rsidP="000923BB">
      <w:pPr>
        <w:jc w:val="both"/>
        <w:rPr>
          <w:rFonts w:cs="Arial"/>
          <w:sz w:val="22"/>
          <w:szCs w:val="22"/>
        </w:rPr>
      </w:pPr>
    </w:p>
    <w:p w14:paraId="22B757AA" w14:textId="77777777" w:rsidR="000923BB" w:rsidRDefault="000923BB" w:rsidP="000923BB">
      <w:pPr>
        <w:jc w:val="both"/>
        <w:rPr>
          <w:rFonts w:cs="Arial"/>
          <w:sz w:val="22"/>
          <w:szCs w:val="22"/>
        </w:rPr>
      </w:pPr>
      <w:r>
        <w:rPr>
          <w:rFonts w:cs="Arial"/>
          <w:sz w:val="22"/>
          <w:szCs w:val="22"/>
        </w:rPr>
        <w:t>Secondly, a questionnaire was sent to a selected group of respiratory physicians to seek their views on the value of the criteria for measuring quality of care.  Seventeen senior physicians and specialist nurses ranked the criteria as:</w:t>
      </w:r>
    </w:p>
    <w:p w14:paraId="6EAAD75E" w14:textId="77777777" w:rsidR="000923BB" w:rsidRDefault="000923BB" w:rsidP="008A6C6D">
      <w:pPr>
        <w:numPr>
          <w:ilvl w:val="0"/>
          <w:numId w:val="10"/>
        </w:numPr>
        <w:spacing w:after="0" w:line="240" w:lineRule="auto"/>
        <w:jc w:val="both"/>
        <w:rPr>
          <w:rFonts w:cs="Arial"/>
          <w:sz w:val="22"/>
          <w:szCs w:val="22"/>
        </w:rPr>
      </w:pPr>
      <w:r>
        <w:rPr>
          <w:rFonts w:cs="Arial"/>
          <w:sz w:val="22"/>
          <w:szCs w:val="22"/>
        </w:rPr>
        <w:t>Essential</w:t>
      </w:r>
    </w:p>
    <w:p w14:paraId="2B151D59" w14:textId="77777777" w:rsidR="000923BB" w:rsidRDefault="000923BB" w:rsidP="008A6C6D">
      <w:pPr>
        <w:numPr>
          <w:ilvl w:val="0"/>
          <w:numId w:val="10"/>
        </w:numPr>
        <w:spacing w:after="0" w:line="240" w:lineRule="auto"/>
        <w:jc w:val="both"/>
        <w:rPr>
          <w:rFonts w:cs="Arial"/>
          <w:sz w:val="22"/>
          <w:szCs w:val="22"/>
        </w:rPr>
      </w:pPr>
      <w:r>
        <w:rPr>
          <w:rFonts w:cs="Arial"/>
          <w:sz w:val="22"/>
          <w:szCs w:val="22"/>
        </w:rPr>
        <w:t>Desirable</w:t>
      </w:r>
    </w:p>
    <w:p w14:paraId="64139DE5" w14:textId="77777777" w:rsidR="000923BB" w:rsidRDefault="000923BB" w:rsidP="008A6C6D">
      <w:pPr>
        <w:numPr>
          <w:ilvl w:val="0"/>
          <w:numId w:val="10"/>
        </w:numPr>
        <w:spacing w:after="0" w:line="240" w:lineRule="auto"/>
        <w:jc w:val="both"/>
        <w:rPr>
          <w:rFonts w:cs="Arial"/>
          <w:sz w:val="22"/>
          <w:szCs w:val="22"/>
        </w:rPr>
      </w:pPr>
      <w:r>
        <w:rPr>
          <w:rFonts w:cs="Arial"/>
          <w:sz w:val="22"/>
          <w:szCs w:val="22"/>
        </w:rPr>
        <w:t>Non-essential</w:t>
      </w:r>
    </w:p>
    <w:p w14:paraId="5F9D4DBB" w14:textId="77777777" w:rsidR="000923BB" w:rsidRDefault="000923BB" w:rsidP="000923BB">
      <w:pPr>
        <w:jc w:val="both"/>
        <w:rPr>
          <w:rFonts w:cs="Arial"/>
          <w:sz w:val="22"/>
          <w:szCs w:val="22"/>
        </w:rPr>
      </w:pPr>
    </w:p>
    <w:p w14:paraId="30BBDC38" w14:textId="77777777" w:rsidR="000923BB" w:rsidRDefault="000923BB" w:rsidP="000923BB">
      <w:pPr>
        <w:jc w:val="both"/>
        <w:rPr>
          <w:rFonts w:cs="Arial"/>
          <w:sz w:val="22"/>
          <w:szCs w:val="22"/>
        </w:rPr>
      </w:pPr>
      <w:r>
        <w:rPr>
          <w:rFonts w:cs="Arial"/>
          <w:sz w:val="22"/>
          <w:szCs w:val="22"/>
        </w:rPr>
        <w:t xml:space="preserve">Eleven criteria were removed as a result of this process. </w:t>
      </w:r>
    </w:p>
    <w:p w14:paraId="31FC2FA7" w14:textId="77777777" w:rsidR="000923BB" w:rsidRDefault="000923BB" w:rsidP="000923BB">
      <w:pPr>
        <w:jc w:val="both"/>
        <w:rPr>
          <w:rFonts w:cs="Arial"/>
          <w:sz w:val="22"/>
          <w:szCs w:val="22"/>
        </w:rPr>
      </w:pPr>
      <w:r>
        <w:rPr>
          <w:rFonts w:cs="Arial"/>
          <w:sz w:val="22"/>
          <w:szCs w:val="22"/>
        </w:rPr>
        <w:t xml:space="preserve"> </w:t>
      </w:r>
    </w:p>
    <w:p w14:paraId="32BCF54E" w14:textId="77777777" w:rsidR="000923BB" w:rsidRDefault="000923BB" w:rsidP="000923BB">
      <w:pPr>
        <w:jc w:val="both"/>
        <w:rPr>
          <w:rFonts w:cs="Arial"/>
          <w:sz w:val="22"/>
          <w:szCs w:val="22"/>
        </w:rPr>
      </w:pPr>
      <w:r>
        <w:rPr>
          <w:rFonts w:cs="Arial"/>
          <w:sz w:val="22"/>
          <w:szCs w:val="22"/>
        </w:rPr>
        <w:t>Thirdly, the structure and wording of each criterion in the dataset was reviewed to ensure that it was clear, logical and could be captured from case notes.  At the end of this process there were 27 criteria for COPD care (</w:t>
      </w:r>
      <w:r w:rsidRPr="00DA2C15">
        <w:rPr>
          <w:rFonts w:cs="Arial"/>
          <w:sz w:val="22"/>
          <w:szCs w:val="22"/>
        </w:rPr>
        <w:t xml:space="preserve">see Appendix </w:t>
      </w:r>
      <w:r>
        <w:rPr>
          <w:rFonts w:cs="Arial"/>
          <w:sz w:val="22"/>
          <w:szCs w:val="22"/>
        </w:rPr>
        <w:t xml:space="preserve">1). </w:t>
      </w:r>
    </w:p>
    <w:p w14:paraId="161B90CC" w14:textId="77777777" w:rsidR="000923BB" w:rsidRDefault="000923BB" w:rsidP="000923BB">
      <w:pPr>
        <w:jc w:val="both"/>
        <w:rPr>
          <w:rFonts w:cs="Arial"/>
          <w:sz w:val="22"/>
          <w:szCs w:val="22"/>
          <w:u w:val="single"/>
        </w:rPr>
      </w:pPr>
    </w:p>
    <w:p w14:paraId="3A8EA552" w14:textId="77777777" w:rsidR="000923BB" w:rsidRDefault="000923BB" w:rsidP="000923BB">
      <w:pPr>
        <w:jc w:val="both"/>
        <w:rPr>
          <w:rFonts w:cs="Arial"/>
          <w:sz w:val="22"/>
          <w:szCs w:val="22"/>
          <w:u w:val="single"/>
        </w:rPr>
      </w:pPr>
      <w:r>
        <w:rPr>
          <w:rFonts w:cs="Arial"/>
          <w:sz w:val="22"/>
          <w:szCs w:val="22"/>
          <w:u w:val="single"/>
        </w:rPr>
        <w:t>Heart failure review criteria</w:t>
      </w:r>
    </w:p>
    <w:p w14:paraId="0D691202" w14:textId="77777777" w:rsidR="000923BB" w:rsidRDefault="000923BB" w:rsidP="000923BB">
      <w:pPr>
        <w:jc w:val="both"/>
        <w:rPr>
          <w:rFonts w:cs="Arial"/>
          <w:sz w:val="22"/>
          <w:szCs w:val="22"/>
        </w:rPr>
      </w:pPr>
    </w:p>
    <w:p w14:paraId="12E49AB1" w14:textId="77777777" w:rsidR="000923BB" w:rsidRDefault="000923BB" w:rsidP="000923BB">
      <w:pPr>
        <w:jc w:val="both"/>
        <w:rPr>
          <w:rFonts w:cs="Arial"/>
          <w:sz w:val="22"/>
          <w:szCs w:val="22"/>
        </w:rPr>
      </w:pPr>
      <w:r>
        <w:rPr>
          <w:rFonts w:cs="Arial"/>
          <w:sz w:val="22"/>
          <w:szCs w:val="22"/>
        </w:rPr>
        <w:t>A similar approach was taken to the production of heart failure review criteria. A draft set of criteria was developed from information in the national clinical guideline for the management of heart failure [23] and from the limited associated set of criteria for the guideline.  Discussion within the project team identified a subset of criteria that might be of value in the study.</w:t>
      </w:r>
    </w:p>
    <w:p w14:paraId="670F221C" w14:textId="77777777" w:rsidR="000923BB" w:rsidRDefault="000923BB" w:rsidP="000923BB">
      <w:pPr>
        <w:jc w:val="both"/>
        <w:rPr>
          <w:rFonts w:cs="Arial"/>
          <w:sz w:val="22"/>
          <w:szCs w:val="22"/>
        </w:rPr>
      </w:pPr>
    </w:p>
    <w:p w14:paraId="4A9C73A6" w14:textId="77777777" w:rsidR="000923BB" w:rsidRDefault="000923BB" w:rsidP="000923BB">
      <w:pPr>
        <w:jc w:val="both"/>
        <w:rPr>
          <w:rFonts w:cs="Arial"/>
          <w:sz w:val="22"/>
          <w:szCs w:val="22"/>
        </w:rPr>
      </w:pPr>
      <w:r>
        <w:rPr>
          <w:rFonts w:cs="Arial"/>
          <w:sz w:val="22"/>
          <w:szCs w:val="22"/>
        </w:rPr>
        <w:t>Refinement of the set was undertaken in three stages.  Firstly, the criteria were reviewed to determine whether the required data were likely to be available from case note review.  There were 34 criteria.</w:t>
      </w:r>
    </w:p>
    <w:p w14:paraId="6F0D7B39" w14:textId="77777777" w:rsidR="000923BB" w:rsidRDefault="000923BB" w:rsidP="000923BB">
      <w:pPr>
        <w:jc w:val="both"/>
        <w:rPr>
          <w:rFonts w:cs="Arial"/>
          <w:sz w:val="22"/>
          <w:szCs w:val="22"/>
        </w:rPr>
      </w:pPr>
    </w:p>
    <w:p w14:paraId="733D2454" w14:textId="77777777" w:rsidR="000923BB" w:rsidRDefault="000923BB" w:rsidP="000923BB">
      <w:pPr>
        <w:jc w:val="both"/>
        <w:rPr>
          <w:rFonts w:cs="Arial"/>
          <w:sz w:val="22"/>
          <w:szCs w:val="22"/>
        </w:rPr>
      </w:pPr>
      <w:r>
        <w:rPr>
          <w:rFonts w:cs="Arial"/>
          <w:sz w:val="22"/>
          <w:szCs w:val="22"/>
        </w:rPr>
        <w:t xml:space="preserve">Second, a questionnaire was sent to a selected group of cardiovascular physicians and specialist cardiovascular nurses to seek their views on the value of the criteria for </w:t>
      </w:r>
      <w:r>
        <w:rPr>
          <w:rFonts w:cs="Arial"/>
          <w:sz w:val="22"/>
          <w:szCs w:val="22"/>
        </w:rPr>
        <w:lastRenderedPageBreak/>
        <w:t xml:space="preserve">measuring quality of care. Ten replies were received. One criterion was removed as a result of this process.  </w:t>
      </w:r>
    </w:p>
    <w:p w14:paraId="0BA796A4" w14:textId="77777777" w:rsidR="000923BB" w:rsidRDefault="000923BB" w:rsidP="000923BB">
      <w:pPr>
        <w:jc w:val="both"/>
        <w:rPr>
          <w:rFonts w:cs="Arial"/>
          <w:sz w:val="22"/>
          <w:szCs w:val="22"/>
        </w:rPr>
      </w:pPr>
    </w:p>
    <w:p w14:paraId="374AC940" w14:textId="77777777" w:rsidR="000923BB" w:rsidRDefault="000923BB" w:rsidP="000923BB">
      <w:pPr>
        <w:jc w:val="both"/>
        <w:rPr>
          <w:rFonts w:cs="Arial"/>
          <w:sz w:val="22"/>
          <w:szCs w:val="22"/>
        </w:rPr>
      </w:pPr>
      <w:r>
        <w:rPr>
          <w:rFonts w:cs="Arial"/>
          <w:sz w:val="22"/>
          <w:szCs w:val="22"/>
        </w:rPr>
        <w:t xml:space="preserve">Third, the structure and wording of each criterion in the data set was reviewed to ensure that it was clear, logical and could be captured from clinical records.  At the end of this process there were 33 criteria for heart failure care (see </w:t>
      </w:r>
      <w:r w:rsidRPr="00DA2C15">
        <w:rPr>
          <w:rFonts w:cs="Arial"/>
          <w:sz w:val="22"/>
          <w:szCs w:val="22"/>
        </w:rPr>
        <w:t xml:space="preserve">Appendix </w:t>
      </w:r>
      <w:r>
        <w:rPr>
          <w:rFonts w:cs="Arial"/>
          <w:sz w:val="22"/>
          <w:szCs w:val="22"/>
        </w:rPr>
        <w:t>2).</w:t>
      </w:r>
      <w:r w:rsidRPr="00DA2C15">
        <w:rPr>
          <w:rFonts w:cs="Arial"/>
          <w:sz w:val="22"/>
          <w:szCs w:val="22"/>
        </w:rPr>
        <w:t xml:space="preserve"> </w:t>
      </w:r>
      <w:r>
        <w:rPr>
          <w:rFonts w:cs="Arial"/>
          <w:sz w:val="22"/>
          <w:szCs w:val="22"/>
        </w:rPr>
        <w:t xml:space="preserve"> </w:t>
      </w:r>
    </w:p>
    <w:p w14:paraId="4B177484" w14:textId="77777777" w:rsidR="000923BB" w:rsidRDefault="000923BB" w:rsidP="000923BB">
      <w:pPr>
        <w:jc w:val="both"/>
        <w:rPr>
          <w:rFonts w:cs="Arial"/>
          <w:sz w:val="22"/>
          <w:szCs w:val="22"/>
        </w:rPr>
      </w:pPr>
    </w:p>
    <w:p w14:paraId="5DDDC4BE" w14:textId="77777777" w:rsidR="000923BB" w:rsidRDefault="000923BB" w:rsidP="000923BB">
      <w:pPr>
        <w:jc w:val="both"/>
        <w:rPr>
          <w:rFonts w:cs="Arial"/>
          <w:sz w:val="22"/>
          <w:szCs w:val="22"/>
        </w:rPr>
      </w:pPr>
      <w:r>
        <w:rPr>
          <w:rFonts w:cs="Arial"/>
          <w:sz w:val="22"/>
          <w:szCs w:val="22"/>
        </w:rPr>
        <w:t>An example of the external review questionnaire used for both COPD and heart failure can be found at Appendix 3.</w:t>
      </w:r>
    </w:p>
    <w:p w14:paraId="1FD1903B" w14:textId="77777777" w:rsidR="000923BB" w:rsidRDefault="000923BB" w:rsidP="000923BB">
      <w:pPr>
        <w:jc w:val="both"/>
        <w:rPr>
          <w:rFonts w:cs="Arial"/>
          <w:sz w:val="22"/>
          <w:szCs w:val="22"/>
          <w:highlight w:val="green"/>
        </w:rPr>
      </w:pPr>
    </w:p>
    <w:p w14:paraId="4596EDCB" w14:textId="77777777" w:rsidR="000923BB" w:rsidRPr="00582768" w:rsidRDefault="000923BB" w:rsidP="000923BB">
      <w:pPr>
        <w:jc w:val="both"/>
        <w:rPr>
          <w:rFonts w:cs="Arial"/>
          <w:b/>
          <w:bCs/>
          <w:i/>
          <w:iCs/>
          <w:sz w:val="22"/>
          <w:szCs w:val="22"/>
        </w:rPr>
      </w:pPr>
      <w:r w:rsidRPr="00582768">
        <w:rPr>
          <w:rFonts w:cs="Arial"/>
          <w:b/>
          <w:bCs/>
          <w:i/>
          <w:iCs/>
          <w:sz w:val="22"/>
          <w:szCs w:val="22"/>
        </w:rPr>
        <w:t>Developing data capture tools</w:t>
      </w:r>
    </w:p>
    <w:p w14:paraId="4A2D4DBA" w14:textId="77777777" w:rsidR="000923BB" w:rsidRDefault="000923BB" w:rsidP="000923BB">
      <w:pPr>
        <w:jc w:val="both"/>
        <w:rPr>
          <w:rFonts w:cs="Arial"/>
          <w:sz w:val="22"/>
          <w:szCs w:val="22"/>
          <w:highlight w:val="green"/>
        </w:rPr>
      </w:pPr>
    </w:p>
    <w:p w14:paraId="470BAF43" w14:textId="77777777" w:rsidR="000923BB" w:rsidRDefault="000923BB" w:rsidP="000923BB">
      <w:pPr>
        <w:jc w:val="both"/>
        <w:rPr>
          <w:rFonts w:cs="Arial"/>
          <w:sz w:val="22"/>
          <w:szCs w:val="22"/>
        </w:rPr>
      </w:pPr>
      <w:r w:rsidRPr="0031112D">
        <w:rPr>
          <w:rFonts w:cs="Arial"/>
          <w:sz w:val="22"/>
          <w:szCs w:val="22"/>
        </w:rPr>
        <w:t xml:space="preserve">In order to facilitate the work of the reviewers and data transfer to the study team, </w:t>
      </w:r>
      <w:r>
        <w:rPr>
          <w:rFonts w:cs="Arial"/>
          <w:sz w:val="22"/>
          <w:szCs w:val="22"/>
        </w:rPr>
        <w:t>data capture was developed through an electronic format based on Microsoft Access</w:t>
      </w:r>
      <w:r w:rsidRPr="001B2F43">
        <w:rPr>
          <w:rFonts w:cs="Arial"/>
          <w:sz w:val="22"/>
          <w:szCs w:val="22"/>
          <w:vertAlign w:val="superscript"/>
        </w:rPr>
        <w:t>©</w:t>
      </w:r>
      <w:r>
        <w:rPr>
          <w:rFonts w:cs="Arial"/>
          <w:sz w:val="22"/>
          <w:szCs w:val="22"/>
        </w:rPr>
        <w:t xml:space="preserve">.  Holistic data capture forms were developed from the format outlined in Holistic Review (above), using separate screens for key data, case history data, phases of care and overall care – see Appendix </w:t>
      </w:r>
      <w:r w:rsidRPr="003870AF">
        <w:rPr>
          <w:rFonts w:cs="Arial"/>
          <w:sz w:val="22"/>
          <w:szCs w:val="22"/>
        </w:rPr>
        <w:t>4</w:t>
      </w:r>
      <w:r>
        <w:rPr>
          <w:rFonts w:cs="Arial"/>
          <w:sz w:val="22"/>
          <w:szCs w:val="22"/>
        </w:rPr>
        <w:t xml:space="preserve"> for examples.  The database was constructed so that information could be transferred to the study team either by email or by CD, first removing all identifiable data to preserve anonymity for patients and staff.  The hospital staff retained access to the full data set to provide for local analysis and audit should they so wish.  Criterion based review data collection fields were created in the same way as those for holistic data.</w:t>
      </w:r>
    </w:p>
    <w:p w14:paraId="264F7D40" w14:textId="77777777" w:rsidR="000923BB" w:rsidRDefault="000923BB" w:rsidP="000923BB">
      <w:pPr>
        <w:jc w:val="both"/>
        <w:rPr>
          <w:rFonts w:cs="Arial"/>
          <w:sz w:val="22"/>
          <w:szCs w:val="22"/>
        </w:rPr>
      </w:pPr>
    </w:p>
    <w:p w14:paraId="5284C6E8" w14:textId="77777777" w:rsidR="000923BB" w:rsidRPr="0031112D" w:rsidRDefault="000923BB" w:rsidP="000923BB">
      <w:pPr>
        <w:jc w:val="both"/>
        <w:rPr>
          <w:rFonts w:cs="Arial"/>
          <w:sz w:val="22"/>
          <w:szCs w:val="22"/>
        </w:rPr>
      </w:pPr>
      <w:r>
        <w:rPr>
          <w:rFonts w:cs="Arial"/>
          <w:sz w:val="22"/>
          <w:szCs w:val="22"/>
        </w:rPr>
        <w:t>Because there was considerable variety of local systems and versions of Microsoft Access</w:t>
      </w:r>
      <w:r w:rsidRPr="001B2F43">
        <w:rPr>
          <w:rFonts w:cs="Arial"/>
          <w:sz w:val="22"/>
          <w:szCs w:val="22"/>
          <w:vertAlign w:val="superscript"/>
        </w:rPr>
        <w:t>©</w:t>
      </w:r>
      <w:r>
        <w:rPr>
          <w:rFonts w:cs="Arial"/>
          <w:sz w:val="22"/>
          <w:szCs w:val="22"/>
          <w:vertAlign w:val="superscript"/>
        </w:rPr>
        <w:t xml:space="preserve"> </w:t>
      </w:r>
      <w:r>
        <w:rPr>
          <w:rFonts w:cs="Arial"/>
          <w:sz w:val="22"/>
          <w:szCs w:val="22"/>
        </w:rPr>
        <w:t>in the study hospitals, copies of Microsoft Access</w:t>
      </w:r>
      <w:r w:rsidRPr="001B2F43">
        <w:rPr>
          <w:rFonts w:cs="Arial"/>
          <w:sz w:val="22"/>
          <w:szCs w:val="22"/>
          <w:vertAlign w:val="superscript"/>
        </w:rPr>
        <w:t>©</w:t>
      </w:r>
      <w:r>
        <w:rPr>
          <w:rFonts w:cs="Arial"/>
          <w:sz w:val="22"/>
          <w:szCs w:val="22"/>
        </w:rPr>
        <w:t xml:space="preserve"> were purchased and made available to the reviewers where required.  Provision was also made for staff to collect data on a paper form where data processing facilities were difficult to access.  For these records, data entry was undertaken by the research team from anonymised paper records.   </w:t>
      </w:r>
    </w:p>
    <w:p w14:paraId="4ACF9722" w14:textId="77777777" w:rsidR="000923BB" w:rsidRDefault="000923BB" w:rsidP="000923BB">
      <w:pPr>
        <w:jc w:val="both"/>
        <w:rPr>
          <w:rFonts w:cs="Arial"/>
          <w:sz w:val="22"/>
          <w:szCs w:val="22"/>
          <w:highlight w:val="green"/>
        </w:rPr>
      </w:pPr>
    </w:p>
    <w:p w14:paraId="18E5DFED" w14:textId="77777777" w:rsidR="000923BB" w:rsidRPr="00B27BA7" w:rsidRDefault="000923BB" w:rsidP="000923BB">
      <w:pPr>
        <w:jc w:val="both"/>
        <w:rPr>
          <w:rFonts w:cs="Arial"/>
          <w:bCs/>
          <w:sz w:val="22"/>
          <w:szCs w:val="22"/>
        </w:rPr>
      </w:pPr>
      <w:r w:rsidRPr="0031112D">
        <w:rPr>
          <w:rFonts w:cs="Arial"/>
          <w:bCs/>
          <w:sz w:val="22"/>
          <w:szCs w:val="22"/>
        </w:rPr>
        <w:t>Data were collected from consecutive admissions over a period of six months before the review process started in each hospital, a time period which varied slightly but was approximately between January and July 2005.</w:t>
      </w:r>
    </w:p>
    <w:p w14:paraId="45CC4224" w14:textId="77777777" w:rsidR="000923BB" w:rsidRDefault="000923BB" w:rsidP="000923BB">
      <w:pPr>
        <w:rPr>
          <w:lang w:val="en-US"/>
        </w:rPr>
      </w:pPr>
    </w:p>
    <w:p w14:paraId="48123E03" w14:textId="77777777" w:rsidR="009148F2" w:rsidRDefault="009148F2" w:rsidP="000923BB">
      <w:pPr>
        <w:rPr>
          <w:lang w:val="en-US"/>
        </w:rPr>
      </w:pPr>
    </w:p>
    <w:p w14:paraId="7EE1D83F" w14:textId="77777777" w:rsidR="009148F2" w:rsidRDefault="009148F2" w:rsidP="000923BB">
      <w:pPr>
        <w:rPr>
          <w:lang w:val="en-US"/>
        </w:rPr>
      </w:pPr>
    </w:p>
    <w:p w14:paraId="3931DCF4" w14:textId="77777777" w:rsidR="000923BB" w:rsidRDefault="000923BB" w:rsidP="000923BB">
      <w:pPr>
        <w:jc w:val="both"/>
        <w:rPr>
          <w:rFonts w:cs="Arial"/>
          <w:b/>
          <w:bCs/>
          <w:i/>
          <w:iCs/>
          <w:sz w:val="22"/>
          <w:szCs w:val="22"/>
        </w:rPr>
      </w:pPr>
      <w:r>
        <w:rPr>
          <w:rFonts w:cs="Arial"/>
          <w:b/>
          <w:bCs/>
          <w:i/>
          <w:iCs/>
          <w:sz w:val="22"/>
          <w:szCs w:val="22"/>
        </w:rPr>
        <w:lastRenderedPageBreak/>
        <w:t>Reviewer training and case</w:t>
      </w:r>
      <w:r w:rsidR="00823691">
        <w:rPr>
          <w:rFonts w:cs="Arial"/>
          <w:b/>
          <w:bCs/>
          <w:i/>
          <w:iCs/>
          <w:sz w:val="22"/>
          <w:szCs w:val="22"/>
        </w:rPr>
        <w:t xml:space="preserve"> </w:t>
      </w:r>
      <w:r>
        <w:rPr>
          <w:rFonts w:cs="Arial"/>
          <w:b/>
          <w:bCs/>
          <w:i/>
          <w:iCs/>
          <w:sz w:val="22"/>
          <w:szCs w:val="22"/>
        </w:rPr>
        <w:t>note selection support</w:t>
      </w:r>
    </w:p>
    <w:p w14:paraId="48F63E0E" w14:textId="77777777" w:rsidR="000923BB" w:rsidRDefault="000923BB" w:rsidP="000923BB">
      <w:pPr>
        <w:jc w:val="both"/>
        <w:rPr>
          <w:rFonts w:cs="Arial"/>
          <w:sz w:val="22"/>
          <w:szCs w:val="22"/>
        </w:rPr>
      </w:pPr>
    </w:p>
    <w:p w14:paraId="29B76884" w14:textId="77777777" w:rsidR="000923BB" w:rsidRDefault="000923BB" w:rsidP="000923BB">
      <w:pPr>
        <w:jc w:val="both"/>
        <w:rPr>
          <w:rFonts w:cs="Arial"/>
          <w:sz w:val="22"/>
          <w:szCs w:val="22"/>
        </w:rPr>
      </w:pPr>
      <w:r>
        <w:rPr>
          <w:rFonts w:cs="Arial"/>
          <w:sz w:val="22"/>
          <w:szCs w:val="22"/>
        </w:rPr>
        <w:t>The study sought to provide all reviewers with standardised training in case note review, the emphasis here being to train in the data capture methods. Each reviewer was provided with copies of clinical guidelines for COPD and heart failure care as a means of ensuring that all reviewers had an explicit database of the standards of care expected for the two conditions.[23][31]   Other than providing the guidelines, in this part of the study there was no intention to try to influence each reviewers own implicit standards for quality of care – that is, each reviewer would have their own, internal, standards for the care that they were reviewing.</w:t>
      </w:r>
    </w:p>
    <w:p w14:paraId="7C316A17" w14:textId="77777777" w:rsidR="000923BB" w:rsidRDefault="000923BB" w:rsidP="000923BB">
      <w:pPr>
        <w:jc w:val="both"/>
        <w:rPr>
          <w:rFonts w:cs="Arial"/>
          <w:sz w:val="22"/>
          <w:szCs w:val="22"/>
        </w:rPr>
      </w:pPr>
    </w:p>
    <w:p w14:paraId="0EBFE1E7" w14:textId="77777777" w:rsidR="000923BB" w:rsidRDefault="000923BB" w:rsidP="000923BB">
      <w:pPr>
        <w:jc w:val="both"/>
        <w:rPr>
          <w:rFonts w:cs="Arial"/>
          <w:sz w:val="22"/>
          <w:szCs w:val="22"/>
        </w:rPr>
      </w:pPr>
      <w:r>
        <w:rPr>
          <w:rFonts w:cs="Arial"/>
          <w:sz w:val="22"/>
          <w:szCs w:val="22"/>
        </w:rPr>
        <w:t xml:space="preserve">During a day-long training session reviewers were provided with an introduction to the two review methods (particularly since most reviewers were not familiar with the holistic method), together with review software training. Quality of care variation was discussed using four theoretical scenarios from stroke care that contained aspects of good and poor care (see </w:t>
      </w:r>
      <w:r w:rsidRPr="00304CF9">
        <w:rPr>
          <w:rFonts w:cs="Arial"/>
          <w:sz w:val="22"/>
          <w:szCs w:val="22"/>
        </w:rPr>
        <w:t xml:space="preserve">Appendix </w:t>
      </w:r>
      <w:r w:rsidRPr="003870AF">
        <w:rPr>
          <w:rFonts w:cs="Arial"/>
          <w:sz w:val="22"/>
          <w:szCs w:val="22"/>
        </w:rPr>
        <w:t>5</w:t>
      </w:r>
      <w:r w:rsidRPr="00304CF9">
        <w:rPr>
          <w:rFonts w:cs="Arial"/>
          <w:sz w:val="22"/>
          <w:szCs w:val="22"/>
        </w:rPr>
        <w:t>)</w:t>
      </w:r>
      <w:r>
        <w:rPr>
          <w:rFonts w:cs="Arial"/>
          <w:sz w:val="22"/>
          <w:szCs w:val="22"/>
        </w:rPr>
        <w:t xml:space="preserve">.  Stroke care was chosen for training to avoid biasing the reviewers in their view of quality of care for the two study conditions.  </w:t>
      </w:r>
    </w:p>
    <w:p w14:paraId="724A23F8" w14:textId="77777777" w:rsidR="000923BB" w:rsidRDefault="000923BB" w:rsidP="000923BB">
      <w:pPr>
        <w:jc w:val="both"/>
        <w:rPr>
          <w:rFonts w:cs="Arial"/>
          <w:sz w:val="22"/>
          <w:szCs w:val="22"/>
        </w:rPr>
      </w:pPr>
    </w:p>
    <w:p w14:paraId="2152E51F" w14:textId="77777777" w:rsidR="000923BB" w:rsidRDefault="000923BB" w:rsidP="000923BB">
      <w:pPr>
        <w:jc w:val="both"/>
        <w:rPr>
          <w:rFonts w:cs="Arial"/>
          <w:sz w:val="22"/>
          <w:szCs w:val="22"/>
        </w:rPr>
      </w:pPr>
      <w:r>
        <w:rPr>
          <w:rFonts w:cs="Arial"/>
          <w:sz w:val="22"/>
          <w:szCs w:val="22"/>
        </w:rPr>
        <w:t>The challenges of finding information in paper based records and dealing with missing data were also considered along with a discussion about the means of obtaining case notes from the hospital records departments.  Particular attention was paid to identification of case notes of admissions for exacerbation of known COPD or heart failure (rather than new cases or admissions for a main condition that was not related to the study), and to selecting case notes from the most recent admission.</w:t>
      </w:r>
    </w:p>
    <w:p w14:paraId="042C8BD7" w14:textId="77777777" w:rsidR="000923BB" w:rsidRDefault="000923BB" w:rsidP="000923BB">
      <w:pPr>
        <w:jc w:val="both"/>
        <w:rPr>
          <w:rFonts w:cs="Arial"/>
          <w:sz w:val="22"/>
          <w:szCs w:val="22"/>
        </w:rPr>
      </w:pPr>
    </w:p>
    <w:p w14:paraId="3BFD65B6" w14:textId="77777777" w:rsidR="000923BB" w:rsidRDefault="000923BB" w:rsidP="000923BB">
      <w:pPr>
        <w:jc w:val="both"/>
        <w:rPr>
          <w:rFonts w:cs="Arial"/>
          <w:sz w:val="22"/>
          <w:szCs w:val="22"/>
        </w:rPr>
      </w:pPr>
      <w:r>
        <w:rPr>
          <w:rFonts w:cs="Arial"/>
          <w:sz w:val="22"/>
          <w:szCs w:val="22"/>
        </w:rPr>
        <w:t xml:space="preserve">During the data collection period a telephone helpline was made available throughout office hours if reviewers had any queries or required advice about the data collection. The study team also contacted each reviewer regularly throughout the study period to track progress with the reviews and liaised with relevant hospital medical record departments if reviewers had problems obtaining records. </w:t>
      </w:r>
    </w:p>
    <w:p w14:paraId="0333D036" w14:textId="77777777" w:rsidR="000923BB" w:rsidRDefault="000923BB" w:rsidP="000923BB">
      <w:pPr>
        <w:jc w:val="both"/>
        <w:rPr>
          <w:rFonts w:cs="Arial"/>
          <w:b/>
          <w:bCs/>
          <w:i/>
          <w:iCs/>
        </w:rPr>
      </w:pPr>
    </w:p>
    <w:p w14:paraId="75C759F7" w14:textId="77777777" w:rsidR="000923BB" w:rsidRPr="00C433AD" w:rsidRDefault="000923BB" w:rsidP="000923BB">
      <w:pPr>
        <w:jc w:val="both"/>
        <w:rPr>
          <w:rFonts w:cs="Arial"/>
          <w:sz w:val="22"/>
          <w:szCs w:val="22"/>
        </w:rPr>
      </w:pPr>
      <w:r w:rsidRPr="00C433AD">
        <w:rPr>
          <w:rFonts w:cs="Arial"/>
          <w:b/>
          <w:bCs/>
          <w:iCs/>
          <w:sz w:val="22"/>
          <w:szCs w:val="22"/>
        </w:rPr>
        <w:t>Analysis methods</w:t>
      </w:r>
    </w:p>
    <w:p w14:paraId="7BD35B54" w14:textId="77777777" w:rsidR="000923BB" w:rsidRDefault="000923BB" w:rsidP="000923BB">
      <w:pPr>
        <w:jc w:val="both"/>
        <w:rPr>
          <w:rFonts w:cs="Arial"/>
          <w:sz w:val="22"/>
          <w:szCs w:val="22"/>
        </w:rPr>
      </w:pPr>
    </w:p>
    <w:p w14:paraId="7663AD5C" w14:textId="77777777" w:rsidR="000923BB" w:rsidRDefault="000923BB" w:rsidP="000923BB">
      <w:pPr>
        <w:jc w:val="both"/>
        <w:rPr>
          <w:rFonts w:cs="Arial"/>
          <w:b/>
          <w:bCs/>
          <w:i/>
          <w:iCs/>
          <w:sz w:val="22"/>
          <w:szCs w:val="22"/>
        </w:rPr>
      </w:pPr>
      <w:r>
        <w:rPr>
          <w:rFonts w:cs="Arial"/>
          <w:b/>
          <w:bCs/>
          <w:i/>
          <w:iCs/>
          <w:sz w:val="22"/>
          <w:szCs w:val="22"/>
        </w:rPr>
        <w:t>Overall approach</w:t>
      </w:r>
    </w:p>
    <w:p w14:paraId="68FE8866" w14:textId="77777777" w:rsidR="000923BB" w:rsidRDefault="000923BB" w:rsidP="000923BB">
      <w:pPr>
        <w:jc w:val="both"/>
        <w:rPr>
          <w:rFonts w:cs="Arial"/>
          <w:sz w:val="22"/>
          <w:szCs w:val="22"/>
        </w:rPr>
      </w:pPr>
    </w:p>
    <w:p w14:paraId="07C39324" w14:textId="77777777" w:rsidR="000923BB" w:rsidRDefault="000923BB" w:rsidP="000923BB">
      <w:pPr>
        <w:jc w:val="both"/>
        <w:rPr>
          <w:rFonts w:cs="Arial"/>
          <w:sz w:val="22"/>
          <w:szCs w:val="22"/>
        </w:rPr>
      </w:pPr>
      <w:r>
        <w:rPr>
          <w:rFonts w:cs="Arial"/>
          <w:sz w:val="22"/>
          <w:szCs w:val="22"/>
        </w:rPr>
        <w:t xml:space="preserve">The quantitative analysis was designed to investigate the extent of reliability between individual reviewers, and groups of reviewers of the same, and different, professional backgrounds, using measures of internal (intra-rater) consistency and between </w:t>
      </w:r>
      <w:r>
        <w:rPr>
          <w:rFonts w:cs="Arial"/>
          <w:sz w:val="22"/>
          <w:szCs w:val="22"/>
        </w:rPr>
        <w:lastRenderedPageBreak/>
        <w:t xml:space="preserve">reviewer (inter-rater) reliability for holistic quality of care scale scores and criterion based scores.  Correlation and regression analyses were undertaken. </w:t>
      </w:r>
    </w:p>
    <w:p w14:paraId="74F076A2" w14:textId="77777777" w:rsidR="000923BB" w:rsidRDefault="000923BB" w:rsidP="000923BB">
      <w:pPr>
        <w:jc w:val="both"/>
        <w:rPr>
          <w:rFonts w:cs="Arial"/>
          <w:sz w:val="22"/>
          <w:szCs w:val="22"/>
        </w:rPr>
      </w:pPr>
    </w:p>
    <w:p w14:paraId="48042BA6" w14:textId="77777777" w:rsidR="000923BB" w:rsidRDefault="000923BB" w:rsidP="000923BB">
      <w:pPr>
        <w:jc w:val="both"/>
        <w:rPr>
          <w:rFonts w:cs="Arial"/>
          <w:sz w:val="22"/>
          <w:szCs w:val="22"/>
        </w:rPr>
      </w:pPr>
      <w:r>
        <w:rPr>
          <w:rFonts w:cs="Arial"/>
          <w:sz w:val="22"/>
          <w:szCs w:val="22"/>
        </w:rPr>
        <w:t xml:space="preserve">Detailed qualitative analysis of the textual data provided on the phases of care and the overall care was undertaken to explore the relationship between the holistic scale scores for each case and the narrative assessment.  This analysis was also used to explore any differences between the results from the different professional groups undertaking the reviews.  </w:t>
      </w:r>
    </w:p>
    <w:p w14:paraId="630B5073" w14:textId="77777777" w:rsidR="000923BB" w:rsidRDefault="000923BB" w:rsidP="000923BB">
      <w:pPr>
        <w:jc w:val="both"/>
        <w:rPr>
          <w:rFonts w:cs="Arial"/>
          <w:sz w:val="22"/>
          <w:szCs w:val="22"/>
        </w:rPr>
      </w:pPr>
    </w:p>
    <w:p w14:paraId="441A411D" w14:textId="77777777" w:rsidR="000923BB" w:rsidRDefault="000923BB" w:rsidP="000923BB">
      <w:pPr>
        <w:jc w:val="both"/>
        <w:rPr>
          <w:rFonts w:cs="Arial"/>
          <w:b/>
          <w:bCs/>
          <w:sz w:val="22"/>
          <w:szCs w:val="22"/>
        </w:rPr>
      </w:pPr>
      <w:r>
        <w:rPr>
          <w:rFonts w:cs="Arial"/>
          <w:b/>
          <w:bCs/>
          <w:i/>
          <w:iCs/>
          <w:sz w:val="22"/>
          <w:szCs w:val="22"/>
        </w:rPr>
        <w:t>Holistic scale score analysis</w:t>
      </w:r>
    </w:p>
    <w:p w14:paraId="3E40E09C" w14:textId="77777777" w:rsidR="000923BB" w:rsidRDefault="000923BB" w:rsidP="000923BB">
      <w:pPr>
        <w:tabs>
          <w:tab w:val="left" w:pos="3828"/>
        </w:tabs>
        <w:jc w:val="both"/>
        <w:rPr>
          <w:rFonts w:cs="Arial"/>
          <w:sz w:val="22"/>
          <w:szCs w:val="22"/>
        </w:rPr>
      </w:pPr>
    </w:p>
    <w:p w14:paraId="59F589CD" w14:textId="77777777" w:rsidR="000923BB" w:rsidRPr="00203095" w:rsidRDefault="000923BB" w:rsidP="000923BB">
      <w:pPr>
        <w:autoSpaceDE w:val="0"/>
        <w:autoSpaceDN w:val="0"/>
        <w:adjustRightInd w:val="0"/>
        <w:jc w:val="both"/>
        <w:rPr>
          <w:rFonts w:cs="Arial"/>
          <w:sz w:val="22"/>
          <w:szCs w:val="22"/>
        </w:rPr>
      </w:pPr>
      <w:r>
        <w:rPr>
          <w:rFonts w:cs="Arial"/>
          <w:sz w:val="22"/>
          <w:szCs w:val="22"/>
        </w:rPr>
        <w:t>To assess intra-rater consistency (that is, whether reviewers were internally consistent in their ratings of care) for each individual review, the mean scale score rating was calculated across the three phases of care (admission/investigations, initial management, and pre-discharge). The Pearson correlation coefficient was calculated between the mean rating of the three phases (each on a 1 – 6 scale) and the overall rating (on a 1 – 10 scale) within each review. T</w:t>
      </w:r>
      <w:r w:rsidRPr="00203095">
        <w:rPr>
          <w:rFonts w:cs="Arial"/>
          <w:sz w:val="22"/>
          <w:szCs w:val="22"/>
        </w:rPr>
        <w:t>he purpose of this analysis is to examine the consistency of the reviewer’s scoring across the phases of care and in the final overall care</w:t>
      </w:r>
      <w:r>
        <w:rPr>
          <w:rFonts w:cs="Arial"/>
          <w:sz w:val="22"/>
          <w:szCs w:val="22"/>
        </w:rPr>
        <w:t xml:space="preserve"> to discover, for example</w:t>
      </w:r>
      <w:r w:rsidRPr="00203095">
        <w:rPr>
          <w:rFonts w:cs="Arial"/>
          <w:sz w:val="22"/>
          <w:szCs w:val="22"/>
        </w:rPr>
        <w:t xml:space="preserve">, </w:t>
      </w:r>
      <w:r>
        <w:rPr>
          <w:rFonts w:cs="Arial"/>
          <w:sz w:val="22"/>
          <w:szCs w:val="22"/>
        </w:rPr>
        <w:t xml:space="preserve">whether </w:t>
      </w:r>
      <w:r w:rsidRPr="00203095">
        <w:rPr>
          <w:rFonts w:cs="Arial"/>
          <w:sz w:val="22"/>
          <w:szCs w:val="22"/>
        </w:rPr>
        <w:t>some review</w:t>
      </w:r>
      <w:r>
        <w:rPr>
          <w:rFonts w:cs="Arial"/>
          <w:sz w:val="22"/>
          <w:szCs w:val="22"/>
        </w:rPr>
        <w:t>ers might</w:t>
      </w:r>
      <w:r w:rsidRPr="00203095">
        <w:rPr>
          <w:rFonts w:cs="Arial"/>
          <w:sz w:val="22"/>
          <w:szCs w:val="22"/>
        </w:rPr>
        <w:t xml:space="preserve"> </w:t>
      </w:r>
      <w:r w:rsidR="003004D6">
        <w:rPr>
          <w:rFonts w:cs="Arial"/>
          <w:sz w:val="22"/>
          <w:szCs w:val="22"/>
        </w:rPr>
        <w:t xml:space="preserve">have </w:t>
      </w:r>
      <w:r w:rsidRPr="00203095">
        <w:rPr>
          <w:rFonts w:cs="Arial"/>
          <w:sz w:val="22"/>
          <w:szCs w:val="22"/>
        </w:rPr>
        <w:t xml:space="preserve">quite low scores for one or more phases of care and then a rather higher score for overall care.  </w:t>
      </w:r>
    </w:p>
    <w:p w14:paraId="3BB4621A" w14:textId="77777777" w:rsidR="000923BB" w:rsidRDefault="000923BB" w:rsidP="000923BB">
      <w:pPr>
        <w:tabs>
          <w:tab w:val="left" w:pos="3828"/>
        </w:tabs>
        <w:jc w:val="both"/>
        <w:rPr>
          <w:rFonts w:cs="Arial"/>
          <w:sz w:val="22"/>
          <w:szCs w:val="22"/>
        </w:rPr>
      </w:pPr>
      <w:r>
        <w:rPr>
          <w:rFonts w:cs="Arial"/>
          <w:sz w:val="22"/>
          <w:szCs w:val="22"/>
        </w:rPr>
        <w:t xml:space="preserve"> </w:t>
      </w:r>
    </w:p>
    <w:p w14:paraId="1224571D" w14:textId="77777777" w:rsidR="000923BB" w:rsidRDefault="000923BB" w:rsidP="000923BB">
      <w:pPr>
        <w:tabs>
          <w:tab w:val="left" w:pos="3828"/>
        </w:tabs>
        <w:jc w:val="both"/>
        <w:rPr>
          <w:rFonts w:cs="Arial"/>
          <w:sz w:val="22"/>
          <w:szCs w:val="22"/>
        </w:rPr>
      </w:pPr>
      <w:r>
        <w:rPr>
          <w:rFonts w:cs="Arial"/>
          <w:sz w:val="22"/>
          <w:szCs w:val="22"/>
        </w:rPr>
        <w:t>Intra-class Correlation Coefficients (ICC) were used as the principal measure of agreement[35].  However, although the Kappa statistic is susceptible to prevalence [in this case, of ‘opportunity for error’ rates per set of records].[10][11]  Kappa scores were also computed as measures of agreement for overall scores (see Table 6a below) since this measure of agreement is more commonly used in the literature, although kappa for these scores may be influenced  by the prevalence effect.</w:t>
      </w:r>
    </w:p>
    <w:p w14:paraId="172EBAF2" w14:textId="77777777" w:rsidR="000923BB" w:rsidRDefault="000923BB" w:rsidP="000923BB">
      <w:pPr>
        <w:jc w:val="both"/>
        <w:rPr>
          <w:rFonts w:cs="Arial"/>
          <w:sz w:val="22"/>
          <w:szCs w:val="22"/>
        </w:rPr>
      </w:pPr>
    </w:p>
    <w:p w14:paraId="76C68D5C" w14:textId="77777777" w:rsidR="000923BB" w:rsidRDefault="000923BB" w:rsidP="000923BB">
      <w:pPr>
        <w:jc w:val="both"/>
        <w:rPr>
          <w:rFonts w:cs="Arial"/>
          <w:sz w:val="22"/>
          <w:szCs w:val="22"/>
        </w:rPr>
      </w:pPr>
      <w:r>
        <w:rPr>
          <w:rFonts w:cs="Arial"/>
          <w:sz w:val="22"/>
          <w:szCs w:val="22"/>
        </w:rPr>
        <w:t xml:space="preserve">To assess inter-rater reliability between ratings of the same record by different reviewers, raw ratings were converted to ranks to adjust for variation in the range of scores used by different reviewers and Intra-class Correlation Coefficients (ICC) were calculated on these ranks.  </w:t>
      </w:r>
    </w:p>
    <w:p w14:paraId="3A29EC25" w14:textId="77777777" w:rsidR="000923BB" w:rsidRDefault="000923BB" w:rsidP="000923BB">
      <w:pPr>
        <w:jc w:val="both"/>
        <w:rPr>
          <w:rFonts w:cs="Arial"/>
          <w:sz w:val="22"/>
          <w:szCs w:val="22"/>
        </w:rPr>
      </w:pPr>
    </w:p>
    <w:p w14:paraId="75552CAB" w14:textId="77777777" w:rsidR="000923BB" w:rsidRDefault="000923BB" w:rsidP="000923BB">
      <w:pPr>
        <w:jc w:val="both"/>
        <w:rPr>
          <w:rFonts w:cs="Arial"/>
          <w:b/>
          <w:bCs/>
          <w:i/>
          <w:iCs/>
          <w:sz w:val="22"/>
          <w:szCs w:val="22"/>
        </w:rPr>
      </w:pPr>
      <w:r>
        <w:rPr>
          <w:rFonts w:cs="Arial"/>
          <w:b/>
          <w:bCs/>
          <w:i/>
          <w:iCs/>
          <w:sz w:val="22"/>
          <w:szCs w:val="22"/>
        </w:rPr>
        <w:t>Measuring reliability between reviewer pairs</w:t>
      </w:r>
    </w:p>
    <w:p w14:paraId="5F9F852B" w14:textId="77777777" w:rsidR="000923BB" w:rsidRDefault="000923BB" w:rsidP="000923BB">
      <w:pPr>
        <w:jc w:val="both"/>
        <w:rPr>
          <w:rFonts w:cs="Arial"/>
          <w:sz w:val="22"/>
          <w:szCs w:val="22"/>
        </w:rPr>
      </w:pPr>
    </w:p>
    <w:p w14:paraId="05C4B5F1" w14:textId="77777777" w:rsidR="000923BB" w:rsidRDefault="000923BB" w:rsidP="000923BB">
      <w:pPr>
        <w:jc w:val="both"/>
        <w:rPr>
          <w:rFonts w:cs="Arial"/>
          <w:sz w:val="22"/>
          <w:szCs w:val="22"/>
        </w:rPr>
      </w:pPr>
      <w:r>
        <w:rPr>
          <w:rFonts w:cs="Arial"/>
          <w:sz w:val="22"/>
          <w:szCs w:val="22"/>
        </w:rPr>
        <w:t xml:space="preserve">The Intra-Class Correlation coefficient (ICC) gives the correlation between any two measurements or ratings for the same subject or patient, using randomly chosen </w:t>
      </w:r>
      <w:r>
        <w:rPr>
          <w:rFonts w:cs="Arial"/>
          <w:sz w:val="22"/>
          <w:szCs w:val="22"/>
        </w:rPr>
        <w:lastRenderedPageBreak/>
        <w:t xml:space="preserve">methods or reviewers. ICCs are based on continuous data, unlike kappa statistics which require the data to be categorical. ICCs were used to assess the reliability between reviews of the same patient records carried out by pairs or groups of reviewers (e.g. 2 nurses or 2 doctors) at the same hospital and were calculated firstly between the holistic quality of care ratings allocated by the two reviewers, and secondly between the criterion-based scores. </w:t>
      </w:r>
    </w:p>
    <w:p w14:paraId="66848091" w14:textId="77777777" w:rsidR="000923BB" w:rsidRDefault="000923BB" w:rsidP="000923BB">
      <w:pPr>
        <w:jc w:val="both"/>
        <w:rPr>
          <w:rFonts w:cs="Arial"/>
          <w:sz w:val="22"/>
          <w:szCs w:val="22"/>
        </w:rPr>
      </w:pPr>
    </w:p>
    <w:p w14:paraId="0445265A" w14:textId="77777777" w:rsidR="000923BB" w:rsidRDefault="000923BB" w:rsidP="000923BB">
      <w:pPr>
        <w:jc w:val="both"/>
        <w:rPr>
          <w:rFonts w:cs="Arial"/>
          <w:sz w:val="22"/>
          <w:szCs w:val="22"/>
        </w:rPr>
      </w:pPr>
      <w:r>
        <w:rPr>
          <w:rFonts w:cs="Arial"/>
          <w:sz w:val="22"/>
          <w:szCs w:val="22"/>
        </w:rPr>
        <w:t>When undertaking the holistic (implicit) review, each reviewer rated the overall quality of care received by each patient against a 10-point scale. It is possible that different reviewers may have interpreted the rating scale differently (e.g. one reviewer may tend to give higher or lower ratings than another). Therefore, each reviewer’s ratings were converted to a rank.  For example, if a reviewer reviewed 50 records then the ratings were ranked from 1 to 50. (In the event of tied ratings, the average rank was used.) The reliability between these ranked ratings for each pair of reviewers was then assessed using ICCs.</w:t>
      </w:r>
    </w:p>
    <w:p w14:paraId="6BDCFED8" w14:textId="77777777" w:rsidR="000923BB" w:rsidRDefault="000923BB" w:rsidP="000923BB">
      <w:pPr>
        <w:jc w:val="both"/>
        <w:rPr>
          <w:rFonts w:cs="Arial"/>
          <w:sz w:val="22"/>
          <w:szCs w:val="22"/>
        </w:rPr>
      </w:pPr>
    </w:p>
    <w:p w14:paraId="18298E7F" w14:textId="77777777" w:rsidR="000923BB" w:rsidRDefault="000923BB" w:rsidP="000923BB">
      <w:pPr>
        <w:jc w:val="both"/>
        <w:rPr>
          <w:rFonts w:cs="Arial"/>
          <w:sz w:val="22"/>
          <w:szCs w:val="22"/>
        </w:rPr>
      </w:pPr>
      <w:r>
        <w:rPr>
          <w:rFonts w:cs="Arial"/>
          <w:sz w:val="22"/>
          <w:szCs w:val="22"/>
        </w:rPr>
        <w:t>For the criterion-based review, care was assessed against a set of condition-specific criteria for either COPD or heart failure care. ICCs were used to assess the inter-rater reliability between the overall number of criteria (as un-ranked criteria scores) noted by each reviewer as having been met.</w:t>
      </w:r>
    </w:p>
    <w:p w14:paraId="0D4C5284" w14:textId="77777777" w:rsidR="000923BB" w:rsidRDefault="000923BB" w:rsidP="000923BB">
      <w:pPr>
        <w:jc w:val="both"/>
        <w:rPr>
          <w:rFonts w:cs="Arial"/>
          <w:sz w:val="22"/>
          <w:szCs w:val="22"/>
        </w:rPr>
      </w:pPr>
    </w:p>
    <w:p w14:paraId="44064428" w14:textId="77777777" w:rsidR="000923BB" w:rsidRDefault="000923BB" w:rsidP="000923BB">
      <w:pPr>
        <w:jc w:val="both"/>
        <w:rPr>
          <w:rFonts w:cs="Arial"/>
          <w:sz w:val="22"/>
          <w:szCs w:val="22"/>
          <w:u w:val="single"/>
        </w:rPr>
      </w:pPr>
      <w:r>
        <w:rPr>
          <w:rFonts w:cs="Arial"/>
          <w:sz w:val="22"/>
          <w:szCs w:val="22"/>
          <w:u w:val="single"/>
        </w:rPr>
        <w:t>Average reliabilities per staff type</w:t>
      </w:r>
    </w:p>
    <w:p w14:paraId="3F7180D5" w14:textId="77777777" w:rsidR="000923BB" w:rsidRDefault="000923BB" w:rsidP="000923BB">
      <w:pPr>
        <w:jc w:val="both"/>
        <w:rPr>
          <w:rFonts w:cs="Arial"/>
          <w:sz w:val="22"/>
          <w:szCs w:val="22"/>
        </w:rPr>
      </w:pPr>
      <w:r>
        <w:rPr>
          <w:rFonts w:cs="Arial"/>
          <w:sz w:val="22"/>
          <w:szCs w:val="22"/>
        </w:rPr>
        <w:t>To provide an overview of the average reliability for each staff type (e.g. doctors versus doctors or nurses versus nurses), a pooled or overall mean ICC was calculated across all the reviewer pairs in each staff group. Because some reviewer pairs had reviewed more records than others, each ICC was weighted when calculating the overall mean ICC, with the weight being proportional to the inverse of the variance of the ICC estimate.</w:t>
      </w:r>
    </w:p>
    <w:p w14:paraId="00683E1B" w14:textId="77777777" w:rsidR="000923BB" w:rsidRDefault="000923BB" w:rsidP="000923BB">
      <w:pPr>
        <w:jc w:val="both"/>
        <w:rPr>
          <w:rFonts w:cs="Arial"/>
          <w:sz w:val="22"/>
          <w:szCs w:val="22"/>
        </w:rPr>
      </w:pPr>
    </w:p>
    <w:p w14:paraId="3A23334D" w14:textId="77777777" w:rsidR="000923BB" w:rsidRDefault="000923BB" w:rsidP="000923BB">
      <w:pPr>
        <w:jc w:val="both"/>
        <w:rPr>
          <w:rFonts w:cs="Arial"/>
          <w:sz w:val="22"/>
          <w:szCs w:val="22"/>
        </w:rPr>
      </w:pPr>
      <w:r>
        <w:rPr>
          <w:rFonts w:cs="Arial"/>
          <w:sz w:val="22"/>
          <w:szCs w:val="22"/>
          <w:u w:val="single"/>
        </w:rPr>
        <w:t>Sites with more than 2 reviewers of different types</w:t>
      </w:r>
    </w:p>
    <w:p w14:paraId="7373F23A" w14:textId="77777777" w:rsidR="000923BB" w:rsidRDefault="000923BB" w:rsidP="000923BB">
      <w:pPr>
        <w:jc w:val="both"/>
        <w:rPr>
          <w:rFonts w:cs="Arial"/>
          <w:sz w:val="22"/>
          <w:szCs w:val="22"/>
        </w:rPr>
      </w:pPr>
      <w:r>
        <w:rPr>
          <w:rFonts w:cs="Arial"/>
          <w:sz w:val="22"/>
          <w:szCs w:val="22"/>
        </w:rPr>
        <w:t>For sites where there were two reviewers of one staff type plus one of another type (e.g. two doctors and one nurse), we wished to avoid counting the same nurse twice in the comparison with the doctors. Therefore, the mean of the two doctors’ scores for each record was calculated (and the mean holistic scores converted to a rank). An ICC was calculated between the mean score from the two doctors and the score from the nurse. This approach was used whenever there were odd numbers of a reviewer type in this analysis. The ICC was then combined with the doctor-nurse ICCs from other sites to calculate an overall mean ICC for doctors versus nurses, weighting by inverse variance as described above.  At site B there were three rather than two doctors reviewing the same records. Therefore, a single ICC was calculated among all three doctors’ scores at this site.</w:t>
      </w:r>
    </w:p>
    <w:p w14:paraId="4220A0D1" w14:textId="77777777" w:rsidR="000923BB" w:rsidRDefault="000923BB" w:rsidP="000923BB">
      <w:pPr>
        <w:jc w:val="both"/>
        <w:rPr>
          <w:rFonts w:cs="Arial"/>
          <w:sz w:val="22"/>
          <w:szCs w:val="22"/>
        </w:rPr>
      </w:pPr>
    </w:p>
    <w:p w14:paraId="78C6549A" w14:textId="77777777" w:rsidR="000923BB" w:rsidRDefault="000923BB" w:rsidP="000923BB">
      <w:pPr>
        <w:jc w:val="both"/>
        <w:rPr>
          <w:rFonts w:cs="Arial"/>
          <w:sz w:val="22"/>
          <w:szCs w:val="22"/>
        </w:rPr>
      </w:pPr>
      <w:r w:rsidRPr="006C1BFA">
        <w:rPr>
          <w:rFonts w:cs="Arial"/>
          <w:sz w:val="22"/>
          <w:szCs w:val="22"/>
        </w:rPr>
        <w:t>Care was rat</w:t>
      </w:r>
      <w:r>
        <w:rPr>
          <w:rFonts w:cs="Arial"/>
          <w:sz w:val="22"/>
          <w:szCs w:val="22"/>
        </w:rPr>
        <w:t>ed on a 3 point scale; Care fell</w:t>
      </w:r>
      <w:r w:rsidRPr="006C1BFA">
        <w:rPr>
          <w:rFonts w:cs="Arial"/>
          <w:sz w:val="22"/>
          <w:szCs w:val="22"/>
        </w:rPr>
        <w:t xml:space="preserve"> short of current best practice (Unsatisfactory)/ Satisfactory/Good or excellent care.</w:t>
      </w:r>
      <w:r>
        <w:rPr>
          <w:rFonts w:cs="Arial"/>
          <w:sz w:val="22"/>
          <w:szCs w:val="22"/>
        </w:rPr>
        <w:t xml:space="preserve"> We considered whether it might be possible to reduce down the scale score data to a binary ‘poor’ or ‘good’ score to enable direct comparisons on a 2x2 table between the two review methods but this approach would reduce the spread of judgements even further from the 6 or 10 point scales and would not accommodate the range of judgements offered by the reviewers.</w:t>
      </w:r>
    </w:p>
    <w:p w14:paraId="6BA8A09D" w14:textId="77777777" w:rsidR="000923BB" w:rsidRDefault="000923BB" w:rsidP="000923BB">
      <w:pPr>
        <w:jc w:val="both"/>
        <w:rPr>
          <w:rFonts w:cs="Arial"/>
          <w:sz w:val="22"/>
          <w:szCs w:val="22"/>
        </w:rPr>
      </w:pPr>
    </w:p>
    <w:p w14:paraId="3F268CDD" w14:textId="77777777" w:rsidR="000923BB" w:rsidRDefault="000923BB" w:rsidP="000923BB">
      <w:pPr>
        <w:jc w:val="both"/>
        <w:rPr>
          <w:rFonts w:cs="Arial"/>
          <w:b/>
          <w:bCs/>
          <w:sz w:val="22"/>
          <w:szCs w:val="22"/>
        </w:rPr>
      </w:pPr>
      <w:r>
        <w:rPr>
          <w:rFonts w:cs="Arial"/>
          <w:b/>
          <w:bCs/>
          <w:i/>
          <w:iCs/>
          <w:sz w:val="22"/>
          <w:szCs w:val="22"/>
        </w:rPr>
        <w:t>Criterion based review</w:t>
      </w:r>
    </w:p>
    <w:p w14:paraId="44F6CE6E" w14:textId="77777777" w:rsidR="000923BB" w:rsidRDefault="000923BB" w:rsidP="000923BB">
      <w:pPr>
        <w:jc w:val="both"/>
        <w:rPr>
          <w:rFonts w:cs="Arial"/>
          <w:sz w:val="22"/>
          <w:szCs w:val="22"/>
        </w:rPr>
      </w:pPr>
    </w:p>
    <w:p w14:paraId="4B5A2B20" w14:textId="77777777" w:rsidR="000923BB" w:rsidRDefault="000923BB" w:rsidP="000923BB">
      <w:pPr>
        <w:jc w:val="both"/>
        <w:rPr>
          <w:rFonts w:cs="Arial"/>
          <w:sz w:val="22"/>
          <w:szCs w:val="22"/>
        </w:rPr>
      </w:pPr>
      <w:r>
        <w:rPr>
          <w:rFonts w:cs="Arial"/>
          <w:sz w:val="22"/>
          <w:szCs w:val="22"/>
        </w:rPr>
        <w:t xml:space="preserve">Data were scored in two ways, firstly to assess the completeness of the data and to assess the effectiveness of each reviewer type at completing the data collection form and, secondly, to calculate a quality of care score for each review. </w:t>
      </w:r>
    </w:p>
    <w:p w14:paraId="5D354A4F" w14:textId="77777777" w:rsidR="000923BB" w:rsidRDefault="000923BB" w:rsidP="000923BB">
      <w:pPr>
        <w:jc w:val="both"/>
        <w:rPr>
          <w:rFonts w:cs="Arial"/>
          <w:sz w:val="22"/>
          <w:szCs w:val="22"/>
        </w:rPr>
      </w:pPr>
    </w:p>
    <w:p w14:paraId="607090D0" w14:textId="77777777" w:rsidR="000923BB" w:rsidRDefault="000923BB" w:rsidP="000923BB">
      <w:pPr>
        <w:jc w:val="both"/>
        <w:rPr>
          <w:rFonts w:cs="Arial"/>
          <w:sz w:val="22"/>
          <w:szCs w:val="22"/>
        </w:rPr>
      </w:pPr>
      <w:r>
        <w:rPr>
          <w:rFonts w:cs="Arial"/>
          <w:sz w:val="22"/>
          <w:szCs w:val="22"/>
        </w:rPr>
        <w:t xml:space="preserve">An ‘effectiveness of reviewer’ score for each record review comprised one point allocated for each data field completed by the reviewer (irrespective of whether the criterion was recorded as being met or recorded as not being met), and one point subtracted for every data field left blank by the reviewer.  These scores were converted to a percentage. </w:t>
      </w:r>
    </w:p>
    <w:p w14:paraId="59706CC7" w14:textId="77777777" w:rsidR="000923BB" w:rsidRDefault="000923BB" w:rsidP="000923BB"/>
    <w:p w14:paraId="4909F9BD" w14:textId="77777777" w:rsidR="000923BB" w:rsidRDefault="000923BB" w:rsidP="000923BB">
      <w:pPr>
        <w:jc w:val="both"/>
        <w:rPr>
          <w:rFonts w:cs="Arial"/>
          <w:sz w:val="22"/>
          <w:szCs w:val="22"/>
        </w:rPr>
      </w:pPr>
      <w:r>
        <w:rPr>
          <w:rFonts w:cs="Arial"/>
          <w:sz w:val="22"/>
          <w:szCs w:val="22"/>
        </w:rPr>
        <w:t>Quality of care scores for each record comprised the percentage of the criteria identified by the reviewer as having been met.  Intra-class Correlation Coefficients were used to estimate inter-rater reliability for overall scores by pairs or triplets of staff reviewing the same records.  Because some phases of care only generated a small number of criteria, ICCs were not computed for phases of care.</w:t>
      </w:r>
    </w:p>
    <w:p w14:paraId="1EBEB3A2" w14:textId="77777777" w:rsidR="000923BB" w:rsidRDefault="000923BB" w:rsidP="000923BB">
      <w:pPr>
        <w:jc w:val="both"/>
        <w:rPr>
          <w:rFonts w:cs="Arial"/>
          <w:sz w:val="22"/>
          <w:szCs w:val="22"/>
        </w:rPr>
      </w:pPr>
    </w:p>
    <w:p w14:paraId="14FE1DE1" w14:textId="77777777" w:rsidR="000923BB" w:rsidRDefault="000923BB" w:rsidP="000923BB">
      <w:pPr>
        <w:jc w:val="both"/>
        <w:rPr>
          <w:rFonts w:cs="Arial"/>
          <w:sz w:val="22"/>
          <w:szCs w:val="22"/>
        </w:rPr>
      </w:pPr>
      <w:r>
        <w:rPr>
          <w:rFonts w:cs="Arial"/>
          <w:sz w:val="22"/>
          <w:szCs w:val="22"/>
        </w:rPr>
        <w:t>Intra-class Correlation Coefficient estimates from the different combinations of reviewers were pooled using a weighting that was inversely proportional to the variance of the estimate.[37]</w:t>
      </w:r>
    </w:p>
    <w:p w14:paraId="73CCF3E9" w14:textId="77777777" w:rsidR="000923BB" w:rsidRDefault="000923BB" w:rsidP="000923BB">
      <w:pPr>
        <w:jc w:val="both"/>
        <w:rPr>
          <w:rFonts w:cs="Arial"/>
          <w:i/>
          <w:iCs/>
          <w:sz w:val="22"/>
          <w:szCs w:val="22"/>
          <w:u w:val="single"/>
        </w:rPr>
      </w:pPr>
    </w:p>
    <w:p w14:paraId="18B6342C" w14:textId="77777777" w:rsidR="000923BB" w:rsidRDefault="000923BB" w:rsidP="000923BB">
      <w:pPr>
        <w:jc w:val="both"/>
        <w:rPr>
          <w:rFonts w:cs="Arial"/>
          <w:b/>
          <w:bCs/>
          <w:i/>
          <w:iCs/>
          <w:sz w:val="22"/>
          <w:szCs w:val="22"/>
        </w:rPr>
      </w:pPr>
      <w:r>
        <w:rPr>
          <w:rFonts w:cs="Arial"/>
          <w:b/>
          <w:bCs/>
          <w:i/>
          <w:iCs/>
          <w:sz w:val="22"/>
          <w:szCs w:val="22"/>
        </w:rPr>
        <w:t>Comparison of holistic scale scores and criterion based review</w:t>
      </w:r>
    </w:p>
    <w:p w14:paraId="20FC3FA6" w14:textId="77777777" w:rsidR="000923BB" w:rsidRDefault="000923BB" w:rsidP="000923BB">
      <w:pPr>
        <w:jc w:val="both"/>
        <w:rPr>
          <w:rFonts w:cs="Arial"/>
          <w:sz w:val="22"/>
          <w:szCs w:val="22"/>
        </w:rPr>
      </w:pPr>
    </w:p>
    <w:p w14:paraId="0822779C" w14:textId="77777777" w:rsidR="000923BB" w:rsidRDefault="000923BB" w:rsidP="000923BB">
      <w:pPr>
        <w:jc w:val="both"/>
        <w:rPr>
          <w:rFonts w:cs="Arial"/>
          <w:sz w:val="22"/>
          <w:szCs w:val="22"/>
        </w:rPr>
      </w:pPr>
      <w:r>
        <w:rPr>
          <w:rFonts w:cs="Arial"/>
          <w:sz w:val="22"/>
          <w:szCs w:val="22"/>
        </w:rPr>
        <w:t>Inter-rater reliability results for each of the two review methods were compared. Additionally, an estimate of the within-staff-type consistency across the two review methods was calculated using p-values for differences between the overall holistic quality of care ratings and the percentage of criteria recorded as being met.</w:t>
      </w:r>
    </w:p>
    <w:p w14:paraId="2D5346E8" w14:textId="77777777" w:rsidR="000923BB" w:rsidRPr="00823691" w:rsidRDefault="000923BB" w:rsidP="00823691">
      <w:pPr>
        <w:pStyle w:val="BodyText"/>
        <w:rPr>
          <w:b/>
          <w:i/>
          <w:sz w:val="22"/>
          <w:szCs w:val="22"/>
        </w:rPr>
      </w:pPr>
      <w:r w:rsidRPr="00823691">
        <w:rPr>
          <w:b/>
          <w:i/>
          <w:sz w:val="22"/>
          <w:szCs w:val="22"/>
        </w:rPr>
        <w:lastRenderedPageBreak/>
        <w:t xml:space="preserve">Comparison of quality scores with hospitals grouped by mortality level </w:t>
      </w:r>
    </w:p>
    <w:p w14:paraId="6ED404B3" w14:textId="77777777" w:rsidR="000923BB" w:rsidRDefault="000923BB" w:rsidP="000923BB">
      <w:pPr>
        <w:pStyle w:val="Heading9"/>
      </w:pPr>
    </w:p>
    <w:p w14:paraId="56C53FBC" w14:textId="77777777" w:rsidR="000923BB" w:rsidRDefault="000923BB" w:rsidP="000923BB">
      <w:pPr>
        <w:jc w:val="both"/>
        <w:rPr>
          <w:rFonts w:cs="Arial"/>
          <w:sz w:val="22"/>
        </w:rPr>
      </w:pPr>
      <w:r>
        <w:rPr>
          <w:rFonts w:cs="Arial"/>
          <w:sz w:val="22"/>
          <w:szCs w:val="22"/>
        </w:rPr>
        <w:t>In the original call for proposals for this study it was suggested that the quality of care scores might be risk adjusted by severity of illness of each case.  However we agree with Daley and colleagues[37</w:t>
      </w:r>
      <w:r w:rsidRPr="00B638DF">
        <w:rPr>
          <w:rFonts w:cs="Arial"/>
          <w:sz w:val="22"/>
          <w:szCs w:val="22"/>
        </w:rPr>
        <w:t>]</w:t>
      </w:r>
      <w:r>
        <w:rPr>
          <w:rFonts w:cs="Arial"/>
          <w:sz w:val="22"/>
          <w:szCs w:val="22"/>
        </w:rPr>
        <w:t xml:space="preserve"> that risk adjustment remains a controversial and difficult subject. </w:t>
      </w:r>
      <w:r>
        <w:rPr>
          <w:rFonts w:cs="Arial"/>
          <w:sz w:val="22"/>
        </w:rPr>
        <w:t xml:space="preserve">Pitches et al[38] undertook a systematic review of 36 studies, which included 51 ‘process-versus-risk-adjusted-mortality relationships’, exploring the extent to which variations in risk-adjusted mortality rates were associated with differences in quality of care.  They found a positive correlation in only 51% of the relationships with no correlation in 31% and an unexpected correlation in a further 18%, in what was a very heterogeneous set of studies. </w:t>
      </w:r>
    </w:p>
    <w:p w14:paraId="682B011C" w14:textId="77777777" w:rsidR="000923BB" w:rsidRDefault="000923BB" w:rsidP="000923BB">
      <w:pPr>
        <w:jc w:val="both"/>
        <w:rPr>
          <w:rFonts w:cs="Arial"/>
          <w:sz w:val="22"/>
        </w:rPr>
      </w:pPr>
      <w:r>
        <w:rPr>
          <w:rFonts w:cs="Arial"/>
          <w:sz w:val="22"/>
        </w:rPr>
        <w:t xml:space="preserve">  </w:t>
      </w:r>
    </w:p>
    <w:p w14:paraId="54D68C00" w14:textId="77777777" w:rsidR="000923BB" w:rsidRDefault="000923BB" w:rsidP="000923BB">
      <w:pPr>
        <w:jc w:val="both"/>
        <w:rPr>
          <w:rFonts w:cs="Arial"/>
          <w:sz w:val="22"/>
          <w:szCs w:val="22"/>
        </w:rPr>
      </w:pPr>
      <w:r>
        <w:rPr>
          <w:rFonts w:cs="Arial"/>
          <w:sz w:val="22"/>
          <w:szCs w:val="22"/>
        </w:rPr>
        <w:t xml:space="preserve"> A range of approaches to risk adjustment were considered in the initial phases of the study.  Because of the complexity of data capture and the level of workload that could reasonably be asked of the reviewers, individual scoring of the risk for individual patients proved impossible. The chosen approach was therefore to compare aggregate quality of care results between the hospitals in the low and high mortality rate groups.</w:t>
      </w:r>
    </w:p>
    <w:p w14:paraId="45C5CD5E" w14:textId="77777777" w:rsidR="000923BB" w:rsidRPr="00B617F7" w:rsidRDefault="000923BB" w:rsidP="000923BB">
      <w:pPr>
        <w:pStyle w:val="Heading9"/>
        <w:rPr>
          <w:b w:val="0"/>
          <w:i w:val="0"/>
        </w:rPr>
      </w:pPr>
    </w:p>
    <w:p w14:paraId="5064622B" w14:textId="77777777" w:rsidR="000923BB" w:rsidRPr="00823691" w:rsidRDefault="000923BB" w:rsidP="00823691">
      <w:pPr>
        <w:pStyle w:val="BodyText"/>
        <w:rPr>
          <w:sz w:val="22"/>
          <w:szCs w:val="22"/>
          <w:u w:val="single"/>
        </w:rPr>
      </w:pPr>
      <w:r w:rsidRPr="00823691">
        <w:rPr>
          <w:sz w:val="22"/>
          <w:szCs w:val="22"/>
          <w:u w:val="single"/>
        </w:rPr>
        <w:t>Analysis of holistic textual data</w:t>
      </w:r>
    </w:p>
    <w:p w14:paraId="3616EF5A" w14:textId="77777777" w:rsidR="000923BB" w:rsidRDefault="000923BB" w:rsidP="000923BB">
      <w:pPr>
        <w:pStyle w:val="Heading9"/>
      </w:pPr>
    </w:p>
    <w:p w14:paraId="28E92078" w14:textId="77777777" w:rsidR="000923BB" w:rsidRDefault="000923BB" w:rsidP="000923BB">
      <w:pPr>
        <w:pStyle w:val="BodyText"/>
        <w:jc w:val="both"/>
        <w:rPr>
          <w:rFonts w:cs="Arial"/>
          <w:sz w:val="22"/>
          <w:szCs w:val="22"/>
        </w:rPr>
      </w:pPr>
      <w:r w:rsidRPr="002A4C10">
        <w:rPr>
          <w:rFonts w:cs="Arial"/>
          <w:sz w:val="22"/>
          <w:szCs w:val="22"/>
        </w:rPr>
        <w:t xml:space="preserve">The comments made by the reviewers in their holistic reviews were in 2 free text </w:t>
      </w:r>
      <w:r>
        <w:rPr>
          <w:rFonts w:cs="Arial"/>
          <w:sz w:val="22"/>
          <w:szCs w:val="22"/>
        </w:rPr>
        <w:t>ar</w:t>
      </w:r>
      <w:r w:rsidRPr="002A4C10">
        <w:rPr>
          <w:rFonts w:cs="Arial"/>
          <w:sz w:val="22"/>
          <w:szCs w:val="22"/>
        </w:rPr>
        <w:t>e</w:t>
      </w:r>
      <w:r>
        <w:rPr>
          <w:rFonts w:cs="Arial"/>
          <w:sz w:val="22"/>
          <w:szCs w:val="22"/>
        </w:rPr>
        <w:t>a</w:t>
      </w:r>
      <w:r w:rsidRPr="002A4C10">
        <w:rPr>
          <w:rFonts w:cs="Arial"/>
          <w:sz w:val="22"/>
          <w:szCs w:val="22"/>
        </w:rPr>
        <w:t>s.  The first asked them to comment on the care received during a particular phase of care</w:t>
      </w:r>
      <w:r>
        <w:rPr>
          <w:rFonts w:cs="Arial"/>
          <w:sz w:val="22"/>
          <w:szCs w:val="22"/>
        </w:rPr>
        <w:t xml:space="preserve"> or for care overall</w:t>
      </w:r>
      <w:r w:rsidRPr="002A4C10">
        <w:rPr>
          <w:rFonts w:cs="Arial"/>
          <w:sz w:val="22"/>
          <w:szCs w:val="22"/>
        </w:rPr>
        <w:t>.  The second asked if there was anything in particular worth noting from the records</w:t>
      </w:r>
      <w:r>
        <w:rPr>
          <w:rFonts w:cs="Arial"/>
          <w:sz w:val="22"/>
          <w:szCs w:val="22"/>
        </w:rPr>
        <w:t xml:space="preserve"> about the care (see </w:t>
      </w:r>
      <w:smartTag w:uri="urn:schemas-microsoft-com:office:smarttags" w:element="address">
        <w:smartTag w:uri="urn:schemas-microsoft-com:office:smarttags" w:element="Street">
          <w:r>
            <w:rPr>
              <w:rFonts w:cs="Arial"/>
              <w:sz w:val="22"/>
              <w:szCs w:val="22"/>
            </w:rPr>
            <w:t>Box</w:t>
          </w:r>
        </w:smartTag>
        <w:r>
          <w:rPr>
            <w:rFonts w:cs="Arial"/>
            <w:sz w:val="22"/>
            <w:szCs w:val="22"/>
          </w:rPr>
          <w:t xml:space="preserve"> 2</w:t>
        </w:r>
      </w:smartTag>
      <w:r>
        <w:rPr>
          <w:rFonts w:cs="Arial"/>
          <w:sz w:val="22"/>
          <w:szCs w:val="22"/>
        </w:rPr>
        <w:t>, above)</w:t>
      </w:r>
      <w:r w:rsidRPr="002A4C10">
        <w:rPr>
          <w:rFonts w:cs="Arial"/>
          <w:sz w:val="22"/>
          <w:szCs w:val="22"/>
        </w:rPr>
        <w:t>.</w:t>
      </w:r>
    </w:p>
    <w:p w14:paraId="128F6E18" w14:textId="77777777" w:rsidR="000923BB" w:rsidRPr="002A4C10" w:rsidRDefault="000923BB" w:rsidP="000923BB">
      <w:pPr>
        <w:pStyle w:val="BodyText"/>
        <w:jc w:val="both"/>
        <w:rPr>
          <w:rFonts w:cs="Arial"/>
          <w:sz w:val="22"/>
          <w:szCs w:val="22"/>
        </w:rPr>
      </w:pPr>
    </w:p>
    <w:p w14:paraId="237F41AC" w14:textId="77777777" w:rsidR="000923BB" w:rsidRDefault="000923BB" w:rsidP="000923BB">
      <w:pPr>
        <w:jc w:val="both"/>
        <w:rPr>
          <w:rFonts w:cs="Arial"/>
          <w:sz w:val="22"/>
          <w:szCs w:val="22"/>
        </w:rPr>
      </w:pPr>
      <w:r>
        <w:rPr>
          <w:rFonts w:cs="Arial"/>
          <w:sz w:val="22"/>
          <w:szCs w:val="22"/>
        </w:rPr>
        <w:t>Reviewers provided textual data when commenting on each of the four phases of care and the overall assessment of care.  These data were analysed in two ways in order to address the question of whether, as suggested by Weingart and colleagues[6], different staff types were concerned with different elements of care when making their holistic assessments.  Data from the past medical history heading was excluded from the analysis because there were few comments and all were about the case notes rather than about care.</w:t>
      </w:r>
    </w:p>
    <w:p w14:paraId="64072ABD" w14:textId="77777777" w:rsidR="00823691" w:rsidRDefault="00823691" w:rsidP="000923BB">
      <w:pPr>
        <w:jc w:val="both"/>
        <w:rPr>
          <w:rFonts w:cs="Arial"/>
          <w:sz w:val="22"/>
          <w:szCs w:val="22"/>
        </w:rPr>
      </w:pPr>
    </w:p>
    <w:p w14:paraId="01FF8AE7" w14:textId="77777777" w:rsidR="000923BB" w:rsidRPr="00823691" w:rsidRDefault="000923BB" w:rsidP="000923BB">
      <w:pPr>
        <w:pStyle w:val="BodyText"/>
        <w:jc w:val="both"/>
        <w:rPr>
          <w:rFonts w:cs="Arial"/>
          <w:sz w:val="22"/>
          <w:szCs w:val="22"/>
          <w:u w:val="single"/>
        </w:rPr>
      </w:pPr>
      <w:r w:rsidRPr="00823691">
        <w:rPr>
          <w:rFonts w:cs="Arial"/>
          <w:sz w:val="22"/>
          <w:szCs w:val="22"/>
          <w:u w:val="single"/>
        </w:rPr>
        <w:t>Content analysis</w:t>
      </w:r>
    </w:p>
    <w:p w14:paraId="43806528" w14:textId="77777777" w:rsidR="000923BB" w:rsidRDefault="000923BB" w:rsidP="000923BB">
      <w:pPr>
        <w:pStyle w:val="BodyText"/>
        <w:jc w:val="both"/>
        <w:rPr>
          <w:rFonts w:cs="Arial"/>
          <w:sz w:val="22"/>
          <w:szCs w:val="22"/>
        </w:rPr>
      </w:pPr>
      <w:r w:rsidRPr="002A4C10">
        <w:rPr>
          <w:rFonts w:cs="Arial"/>
          <w:sz w:val="22"/>
          <w:szCs w:val="22"/>
        </w:rPr>
        <w:t>The primary approach was a content anal</w:t>
      </w:r>
      <w:r>
        <w:rPr>
          <w:rFonts w:cs="Arial"/>
          <w:sz w:val="22"/>
          <w:szCs w:val="22"/>
        </w:rPr>
        <w:t>ysis drawing on grounded theory.[39]</w:t>
      </w:r>
      <w:r w:rsidRPr="002A4C10">
        <w:rPr>
          <w:rFonts w:cs="Arial"/>
          <w:sz w:val="22"/>
          <w:szCs w:val="22"/>
        </w:rPr>
        <w:t xml:space="preserve">  The text responses provided insights into the different ways that different individuals and different professional groups interpreted the task as well as their interpretation of care provided.  By analysing textual responses we were able to investigate similarities and differences between individuals about their interpretation of the same record but also to construct pictures of how professional groups interpreted the task, care provision and give an indication </w:t>
      </w:r>
      <w:r>
        <w:rPr>
          <w:rFonts w:cs="Arial"/>
          <w:sz w:val="22"/>
          <w:szCs w:val="22"/>
        </w:rPr>
        <w:t>o</w:t>
      </w:r>
      <w:r w:rsidRPr="002A4C10">
        <w:rPr>
          <w:rFonts w:cs="Arial"/>
          <w:sz w:val="22"/>
          <w:szCs w:val="22"/>
        </w:rPr>
        <w:t>f the concepts that they used.</w:t>
      </w:r>
    </w:p>
    <w:p w14:paraId="2FB593F0" w14:textId="77777777" w:rsidR="000923BB" w:rsidRDefault="000923BB" w:rsidP="000923BB">
      <w:pPr>
        <w:pStyle w:val="BodyText"/>
        <w:jc w:val="both"/>
        <w:rPr>
          <w:rFonts w:cs="Arial"/>
          <w:sz w:val="22"/>
          <w:szCs w:val="22"/>
        </w:rPr>
      </w:pPr>
    </w:p>
    <w:p w14:paraId="63F937F3" w14:textId="77777777" w:rsidR="000923BB" w:rsidRPr="00BC3531" w:rsidRDefault="000923BB" w:rsidP="000923BB">
      <w:pPr>
        <w:pStyle w:val="BodyText"/>
        <w:jc w:val="both"/>
        <w:rPr>
          <w:rFonts w:cs="Arial"/>
          <w:sz w:val="22"/>
          <w:szCs w:val="22"/>
          <w:u w:val="single"/>
        </w:rPr>
      </w:pPr>
      <w:r w:rsidRPr="00BC3531">
        <w:rPr>
          <w:rFonts w:cs="Arial"/>
          <w:sz w:val="22"/>
          <w:szCs w:val="22"/>
          <w:u w:val="single"/>
        </w:rPr>
        <w:t>Categorising and coding types of comment made by reviewers</w:t>
      </w:r>
    </w:p>
    <w:p w14:paraId="6AE45658" w14:textId="77777777" w:rsidR="000923BB" w:rsidRDefault="000923BB" w:rsidP="000923BB">
      <w:pPr>
        <w:pStyle w:val="BodyText"/>
        <w:jc w:val="both"/>
        <w:rPr>
          <w:rFonts w:cs="Arial"/>
          <w:sz w:val="22"/>
          <w:szCs w:val="22"/>
        </w:rPr>
      </w:pPr>
      <w:r w:rsidRPr="002A4C10">
        <w:rPr>
          <w:rFonts w:cs="Arial"/>
          <w:sz w:val="22"/>
          <w:szCs w:val="22"/>
        </w:rPr>
        <w:t>Following familiarisation with the textual responses it became clear that different types of comments were given, reflecting in large part different review</w:t>
      </w:r>
      <w:r>
        <w:rPr>
          <w:rFonts w:cs="Arial"/>
          <w:sz w:val="22"/>
          <w:szCs w:val="22"/>
        </w:rPr>
        <w:t>er</w:t>
      </w:r>
      <w:r w:rsidRPr="002A4C10">
        <w:rPr>
          <w:rFonts w:cs="Arial"/>
          <w:sz w:val="22"/>
          <w:szCs w:val="22"/>
        </w:rPr>
        <w:t xml:space="preserve"> types.  A categorisation was developed that identified these different responses, irrespective of professional background.  These categories could be thought of as hierarchical to a degree, if set in the context of what might constitute an ideal review.  Thus at the lower end of the hierarchy were no comments or limited comments about the record rather than the care, ranging through different types of comment about care to the higher end of the hierarch</w:t>
      </w:r>
      <w:r>
        <w:rPr>
          <w:rFonts w:cs="Arial"/>
          <w:sz w:val="22"/>
          <w:szCs w:val="22"/>
        </w:rPr>
        <w:t>y</w:t>
      </w:r>
      <w:r w:rsidRPr="002A4C10">
        <w:rPr>
          <w:rFonts w:cs="Arial"/>
          <w:sz w:val="22"/>
          <w:szCs w:val="22"/>
        </w:rPr>
        <w:t xml:space="preserve"> where the most discerning reviews picked up more complex issues.  At</w:t>
      </w:r>
      <w:r>
        <w:rPr>
          <w:rFonts w:cs="Arial"/>
          <w:sz w:val="22"/>
          <w:szCs w:val="22"/>
        </w:rPr>
        <w:t xml:space="preserve"> the upper end </w:t>
      </w:r>
      <w:r w:rsidRPr="002A4C10">
        <w:rPr>
          <w:rFonts w:cs="Arial"/>
          <w:sz w:val="22"/>
          <w:szCs w:val="22"/>
        </w:rPr>
        <w:t>there was a clear cluster of issues commented on</w:t>
      </w:r>
      <w:r>
        <w:rPr>
          <w:rFonts w:cs="Arial"/>
          <w:sz w:val="22"/>
          <w:szCs w:val="22"/>
        </w:rPr>
        <w:t xml:space="preserve"> overall,</w:t>
      </w:r>
      <w:r w:rsidRPr="002A4C10">
        <w:rPr>
          <w:rFonts w:cs="Arial"/>
          <w:sz w:val="22"/>
          <w:szCs w:val="22"/>
        </w:rPr>
        <w:t xml:space="preserve"> displaying a fairly sophisticated degree of reviewing.  Whilst the concepts emerged from the data</w:t>
      </w:r>
      <w:r>
        <w:rPr>
          <w:rFonts w:cs="Arial"/>
          <w:sz w:val="22"/>
          <w:szCs w:val="22"/>
        </w:rPr>
        <w:t>,</w:t>
      </w:r>
      <w:r w:rsidRPr="002A4C10">
        <w:rPr>
          <w:rFonts w:cs="Arial"/>
          <w:sz w:val="22"/>
          <w:szCs w:val="22"/>
        </w:rPr>
        <w:t xml:space="preserve"> the labels attached to these categories were developed by </w:t>
      </w:r>
      <w:r>
        <w:rPr>
          <w:rFonts w:cs="Arial"/>
          <w:sz w:val="22"/>
          <w:szCs w:val="22"/>
        </w:rPr>
        <w:t>the research team.  T</w:t>
      </w:r>
      <w:r w:rsidRPr="002A4C10">
        <w:rPr>
          <w:rFonts w:cs="Arial"/>
          <w:sz w:val="22"/>
          <w:szCs w:val="22"/>
        </w:rPr>
        <w:t xml:space="preserve">he </w:t>
      </w:r>
      <w:r>
        <w:rPr>
          <w:rFonts w:cs="Arial"/>
          <w:sz w:val="22"/>
          <w:szCs w:val="22"/>
        </w:rPr>
        <w:t xml:space="preserve">concept </w:t>
      </w:r>
      <w:r w:rsidRPr="002A4C10">
        <w:rPr>
          <w:rFonts w:cs="Arial"/>
          <w:sz w:val="22"/>
          <w:szCs w:val="22"/>
        </w:rPr>
        <w:t xml:space="preserve">terms were not used by the reviewers.  </w:t>
      </w:r>
    </w:p>
    <w:p w14:paraId="54D14B7A" w14:textId="77777777" w:rsidR="000923BB" w:rsidRDefault="000923BB" w:rsidP="000923BB">
      <w:pPr>
        <w:pStyle w:val="BodyText"/>
        <w:jc w:val="both"/>
        <w:rPr>
          <w:rFonts w:cs="Arial"/>
          <w:sz w:val="22"/>
          <w:szCs w:val="22"/>
        </w:rPr>
      </w:pPr>
    </w:p>
    <w:p w14:paraId="7C497B88" w14:textId="77777777" w:rsidR="000923BB" w:rsidRDefault="000923BB" w:rsidP="000923BB">
      <w:pPr>
        <w:pStyle w:val="BodyText"/>
        <w:jc w:val="both"/>
        <w:rPr>
          <w:rFonts w:cs="Arial"/>
          <w:sz w:val="22"/>
          <w:szCs w:val="22"/>
        </w:rPr>
      </w:pPr>
      <w:r>
        <w:rPr>
          <w:rFonts w:cs="Arial"/>
          <w:sz w:val="22"/>
          <w:szCs w:val="22"/>
        </w:rPr>
        <w:t xml:space="preserve">An initial set of codes was developed by five analysts in group discussion. Two pairs of analysts then each separately reviewed output from three reviewers, one pair examining COPD comments and the other examining heart failure comments.  A fifth analyst examined all of the comments.  Each pair of reviewers discussed their experience of using the comments and compared their results. The results of the initial analysis and commentary on the utility of the coding framework were then discussed by the group, moderated by the fifth analyst and refinements where made to the coding frame.  </w:t>
      </w:r>
    </w:p>
    <w:p w14:paraId="2A15060C" w14:textId="77777777" w:rsidR="000923BB" w:rsidRDefault="000923BB" w:rsidP="000923BB">
      <w:pPr>
        <w:pStyle w:val="BodyText"/>
        <w:jc w:val="both"/>
        <w:rPr>
          <w:rFonts w:cs="Arial"/>
          <w:sz w:val="22"/>
          <w:szCs w:val="22"/>
        </w:rPr>
      </w:pPr>
    </w:p>
    <w:p w14:paraId="0395B4BC" w14:textId="77777777" w:rsidR="000923BB" w:rsidRDefault="000923BB" w:rsidP="000923BB">
      <w:pPr>
        <w:pStyle w:val="BodyText"/>
        <w:jc w:val="both"/>
      </w:pPr>
      <w:r w:rsidRPr="00C433AD">
        <w:rPr>
          <w:rFonts w:cs="Arial"/>
          <w:sz w:val="22"/>
          <w:szCs w:val="22"/>
        </w:rPr>
        <w:t>These categories were then used to code all responses that made up the responses for each review.  Since some of the responses were made up of a number of separate comments, the code given was the ‘highest level’ category used in each of the comments.  For each phase of care, and for care overall, up to four codes were allocated by the analyst. The analysis reported here refers to the highest level of code allocated by a reviewer for overall care for each set of case notes and refers only to the data collection item “Please comment on the care the patient received”.  Thirteen coding categories were developed and these were also grouped into three broader categories (</w:t>
      </w:r>
      <w:smartTag w:uri="urn:schemas-microsoft-com:office:smarttags" w:element="address">
        <w:smartTag w:uri="urn:schemas-microsoft-com:office:smarttags" w:element="Street">
          <w:r w:rsidRPr="00C433AD">
            <w:rPr>
              <w:rFonts w:cs="Arial"/>
              <w:sz w:val="22"/>
              <w:szCs w:val="22"/>
            </w:rPr>
            <w:t>Box</w:t>
          </w:r>
        </w:smartTag>
        <w:r w:rsidRPr="00C433AD">
          <w:rPr>
            <w:rFonts w:cs="Arial"/>
            <w:sz w:val="22"/>
            <w:szCs w:val="22"/>
          </w:rPr>
          <w:t xml:space="preserve"> 5</w:t>
        </w:r>
      </w:smartTag>
      <w:r w:rsidRPr="00C433AD">
        <w:rPr>
          <w:rFonts w:cs="Arial"/>
          <w:sz w:val="22"/>
          <w:szCs w:val="22"/>
        </w:rPr>
        <w:t>).</w:t>
      </w:r>
    </w:p>
    <w:p w14:paraId="21433085" w14:textId="77777777" w:rsidR="00823691" w:rsidRDefault="00823691" w:rsidP="000923BB">
      <w:pPr>
        <w:pStyle w:val="BodyText"/>
        <w:jc w:val="both"/>
        <w:rPr>
          <w:rFonts w:cs="Arial"/>
          <w:b/>
          <w:sz w:val="22"/>
          <w:szCs w:val="22"/>
        </w:rPr>
      </w:pPr>
    </w:p>
    <w:p w14:paraId="29A915D7" w14:textId="77777777" w:rsidR="00823691" w:rsidRDefault="00823691" w:rsidP="000923BB">
      <w:pPr>
        <w:pStyle w:val="BodyText"/>
        <w:jc w:val="both"/>
        <w:rPr>
          <w:rFonts w:cs="Arial"/>
          <w:b/>
          <w:sz w:val="22"/>
          <w:szCs w:val="22"/>
        </w:rPr>
      </w:pPr>
    </w:p>
    <w:p w14:paraId="56B7A36F" w14:textId="77777777" w:rsidR="009148F2" w:rsidRDefault="009148F2" w:rsidP="000923BB">
      <w:pPr>
        <w:pStyle w:val="BodyText"/>
        <w:jc w:val="both"/>
        <w:rPr>
          <w:rFonts w:cs="Arial"/>
          <w:b/>
          <w:sz w:val="22"/>
          <w:szCs w:val="22"/>
        </w:rPr>
      </w:pPr>
    </w:p>
    <w:p w14:paraId="5E05BA5B" w14:textId="77777777" w:rsidR="009148F2" w:rsidRDefault="009148F2" w:rsidP="000923BB">
      <w:pPr>
        <w:pStyle w:val="BodyText"/>
        <w:jc w:val="both"/>
        <w:rPr>
          <w:rFonts w:cs="Arial"/>
          <w:b/>
          <w:sz w:val="22"/>
          <w:szCs w:val="22"/>
        </w:rPr>
      </w:pPr>
    </w:p>
    <w:p w14:paraId="1CCB1784" w14:textId="77777777" w:rsidR="009148F2" w:rsidRDefault="009148F2" w:rsidP="000923BB">
      <w:pPr>
        <w:pStyle w:val="BodyText"/>
        <w:jc w:val="both"/>
        <w:rPr>
          <w:rFonts w:cs="Arial"/>
          <w:b/>
          <w:sz w:val="22"/>
          <w:szCs w:val="22"/>
        </w:rPr>
      </w:pPr>
    </w:p>
    <w:p w14:paraId="3651F05B" w14:textId="77777777" w:rsidR="009148F2" w:rsidRDefault="009148F2" w:rsidP="000923BB">
      <w:pPr>
        <w:pStyle w:val="BodyText"/>
        <w:jc w:val="both"/>
        <w:rPr>
          <w:rFonts w:cs="Arial"/>
          <w:b/>
          <w:sz w:val="22"/>
          <w:szCs w:val="22"/>
        </w:rPr>
      </w:pPr>
    </w:p>
    <w:p w14:paraId="007E9EE4" w14:textId="77777777" w:rsidR="009148F2" w:rsidRDefault="009148F2" w:rsidP="000923BB">
      <w:pPr>
        <w:pStyle w:val="BodyText"/>
        <w:jc w:val="both"/>
        <w:rPr>
          <w:rFonts w:cs="Arial"/>
          <w:b/>
          <w:sz w:val="22"/>
          <w:szCs w:val="22"/>
        </w:rPr>
      </w:pPr>
    </w:p>
    <w:p w14:paraId="14A23D6A" w14:textId="77777777" w:rsidR="009148F2" w:rsidRDefault="009148F2" w:rsidP="000923BB">
      <w:pPr>
        <w:pStyle w:val="BodyText"/>
        <w:jc w:val="both"/>
        <w:rPr>
          <w:rFonts w:cs="Arial"/>
          <w:b/>
          <w:sz w:val="22"/>
          <w:szCs w:val="22"/>
        </w:rPr>
      </w:pPr>
    </w:p>
    <w:p w14:paraId="2F1AC1E9" w14:textId="77777777" w:rsidR="000923BB" w:rsidRPr="00C433AD" w:rsidRDefault="000923BB" w:rsidP="000923BB">
      <w:pPr>
        <w:pStyle w:val="BodyText"/>
        <w:jc w:val="both"/>
        <w:rPr>
          <w:rFonts w:cs="Arial"/>
          <w:b/>
          <w:sz w:val="22"/>
          <w:szCs w:val="22"/>
        </w:rPr>
      </w:pPr>
      <w:r w:rsidRPr="00C433AD">
        <w:rPr>
          <w:rFonts w:cs="Arial"/>
          <w:b/>
          <w:sz w:val="22"/>
          <w:szCs w:val="22"/>
        </w:rPr>
        <w:lastRenderedPageBreak/>
        <w:t>Box 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5533"/>
        <w:gridCol w:w="1780"/>
      </w:tblGrid>
      <w:tr w:rsidR="000923BB" w:rsidRPr="00F955C6" w14:paraId="124484FD" w14:textId="77777777" w:rsidTr="00823691">
        <w:trPr>
          <w:trHeight w:val="978"/>
        </w:trPr>
        <w:tc>
          <w:tcPr>
            <w:tcW w:w="993" w:type="dxa"/>
          </w:tcPr>
          <w:p w14:paraId="308DC1AE" w14:textId="77777777" w:rsidR="000923BB" w:rsidRPr="00F955C6" w:rsidRDefault="000923BB" w:rsidP="003A385F">
            <w:pPr>
              <w:spacing w:before="40" w:after="40"/>
              <w:rPr>
                <w:rFonts w:cs="Arial"/>
                <w:sz w:val="22"/>
                <w:szCs w:val="22"/>
              </w:rPr>
            </w:pPr>
            <w:r w:rsidRPr="00F955C6">
              <w:rPr>
                <w:rFonts w:cs="Arial"/>
                <w:b/>
                <w:bCs/>
                <w:sz w:val="22"/>
                <w:szCs w:val="22"/>
              </w:rPr>
              <w:t>Code</w:t>
            </w:r>
          </w:p>
        </w:tc>
        <w:tc>
          <w:tcPr>
            <w:tcW w:w="6095" w:type="dxa"/>
          </w:tcPr>
          <w:p w14:paraId="494BEA9E" w14:textId="77777777" w:rsidR="000923BB" w:rsidRPr="00F955C6" w:rsidRDefault="000923BB" w:rsidP="003A385F">
            <w:pPr>
              <w:spacing w:before="40" w:after="40"/>
              <w:rPr>
                <w:rFonts w:cs="Arial"/>
                <w:sz w:val="22"/>
                <w:szCs w:val="22"/>
              </w:rPr>
            </w:pPr>
            <w:r w:rsidRPr="00F955C6">
              <w:rPr>
                <w:rFonts w:cs="Arial"/>
                <w:b/>
                <w:bCs/>
                <w:sz w:val="22"/>
                <w:szCs w:val="22"/>
              </w:rPr>
              <w:t>Highest’ level comment used in the each review</w:t>
            </w:r>
          </w:p>
        </w:tc>
        <w:tc>
          <w:tcPr>
            <w:tcW w:w="1843" w:type="dxa"/>
          </w:tcPr>
          <w:p w14:paraId="00748CA7" w14:textId="77777777" w:rsidR="000923BB" w:rsidRPr="00F955C6" w:rsidRDefault="000923BB" w:rsidP="003A385F">
            <w:pPr>
              <w:spacing w:before="40" w:after="40"/>
              <w:rPr>
                <w:rFonts w:cs="Arial"/>
                <w:sz w:val="16"/>
                <w:szCs w:val="16"/>
              </w:rPr>
            </w:pPr>
            <w:r w:rsidRPr="00F955C6">
              <w:rPr>
                <w:rFonts w:cs="Arial"/>
                <w:b/>
                <w:bCs/>
                <w:sz w:val="22"/>
                <w:szCs w:val="22"/>
              </w:rPr>
              <w:t>Broad category description</w:t>
            </w:r>
          </w:p>
        </w:tc>
      </w:tr>
      <w:tr w:rsidR="000923BB" w:rsidRPr="00F955C6" w14:paraId="56E929DD" w14:textId="77777777" w:rsidTr="00823691">
        <w:trPr>
          <w:trHeight w:val="321"/>
        </w:trPr>
        <w:tc>
          <w:tcPr>
            <w:tcW w:w="993" w:type="dxa"/>
          </w:tcPr>
          <w:p w14:paraId="69AE98BA" w14:textId="77777777" w:rsidR="000923BB" w:rsidRPr="00F955C6" w:rsidRDefault="000923BB" w:rsidP="003A385F">
            <w:pPr>
              <w:spacing w:before="40" w:after="20"/>
              <w:rPr>
                <w:rFonts w:cs="Arial"/>
                <w:sz w:val="20"/>
                <w:szCs w:val="20"/>
              </w:rPr>
            </w:pPr>
            <w:r w:rsidRPr="00F955C6">
              <w:rPr>
                <w:rFonts w:cs="Arial"/>
                <w:b/>
                <w:bCs/>
                <w:sz w:val="20"/>
                <w:szCs w:val="20"/>
              </w:rPr>
              <w:t>1</w:t>
            </w:r>
          </w:p>
        </w:tc>
        <w:tc>
          <w:tcPr>
            <w:tcW w:w="6095" w:type="dxa"/>
          </w:tcPr>
          <w:p w14:paraId="6A261376" w14:textId="77777777" w:rsidR="000923BB" w:rsidRPr="00F955C6" w:rsidRDefault="000923BB" w:rsidP="003A385F">
            <w:pPr>
              <w:spacing w:before="40" w:after="20"/>
              <w:rPr>
                <w:rFonts w:cs="Arial"/>
                <w:sz w:val="20"/>
                <w:szCs w:val="20"/>
              </w:rPr>
            </w:pPr>
            <w:r w:rsidRPr="00F955C6">
              <w:rPr>
                <w:rFonts w:cs="Arial"/>
                <w:sz w:val="20"/>
                <w:szCs w:val="20"/>
              </w:rPr>
              <w:t>Blank</w:t>
            </w:r>
          </w:p>
        </w:tc>
        <w:tc>
          <w:tcPr>
            <w:tcW w:w="1843" w:type="dxa"/>
            <w:vMerge w:val="restart"/>
          </w:tcPr>
          <w:p w14:paraId="51C59000" w14:textId="77777777" w:rsidR="000923BB" w:rsidRPr="00F955C6" w:rsidRDefault="000923BB" w:rsidP="003A385F">
            <w:pPr>
              <w:spacing w:before="20" w:after="20"/>
              <w:rPr>
                <w:rFonts w:cs="Arial"/>
                <w:sz w:val="20"/>
                <w:szCs w:val="20"/>
              </w:rPr>
            </w:pPr>
            <w:r w:rsidRPr="00F955C6">
              <w:rPr>
                <w:rFonts w:cs="Arial"/>
                <w:sz w:val="20"/>
                <w:szCs w:val="20"/>
              </w:rPr>
              <w:t>Codes 1-5:</w:t>
            </w:r>
          </w:p>
          <w:p w14:paraId="23322CB0" w14:textId="77777777" w:rsidR="000923BB" w:rsidRPr="00F955C6" w:rsidRDefault="000923BB" w:rsidP="003A385F">
            <w:pPr>
              <w:spacing w:before="20" w:after="20"/>
              <w:rPr>
                <w:rFonts w:cs="Arial"/>
                <w:sz w:val="20"/>
                <w:szCs w:val="20"/>
              </w:rPr>
            </w:pPr>
            <w:r w:rsidRPr="00F955C6">
              <w:rPr>
                <w:rFonts w:cs="Arial"/>
                <w:sz w:val="20"/>
                <w:szCs w:val="20"/>
              </w:rPr>
              <w:t>Little or no comment about care and little or no judgement</w:t>
            </w:r>
          </w:p>
        </w:tc>
      </w:tr>
      <w:tr w:rsidR="000923BB" w:rsidRPr="00F955C6" w14:paraId="0FD6837F" w14:textId="77777777" w:rsidTr="00823691">
        <w:trPr>
          <w:trHeight w:val="321"/>
        </w:trPr>
        <w:tc>
          <w:tcPr>
            <w:tcW w:w="993" w:type="dxa"/>
          </w:tcPr>
          <w:p w14:paraId="49F7D987" w14:textId="77777777" w:rsidR="000923BB" w:rsidRPr="00F955C6" w:rsidRDefault="000923BB" w:rsidP="003A385F">
            <w:pPr>
              <w:spacing w:before="40" w:after="20"/>
              <w:rPr>
                <w:rFonts w:cs="Arial"/>
                <w:sz w:val="20"/>
                <w:szCs w:val="20"/>
              </w:rPr>
            </w:pPr>
            <w:r w:rsidRPr="00F955C6">
              <w:rPr>
                <w:rFonts w:cs="Arial"/>
                <w:b/>
                <w:bCs/>
                <w:sz w:val="20"/>
                <w:szCs w:val="20"/>
              </w:rPr>
              <w:t>2</w:t>
            </w:r>
          </w:p>
        </w:tc>
        <w:tc>
          <w:tcPr>
            <w:tcW w:w="6095" w:type="dxa"/>
          </w:tcPr>
          <w:p w14:paraId="4460EC81" w14:textId="77777777" w:rsidR="000923BB" w:rsidRPr="00F955C6" w:rsidRDefault="000923BB" w:rsidP="003A385F">
            <w:pPr>
              <w:spacing w:before="40" w:after="20"/>
              <w:rPr>
                <w:rFonts w:cs="Arial"/>
                <w:sz w:val="20"/>
                <w:szCs w:val="20"/>
              </w:rPr>
            </w:pPr>
            <w:r w:rsidRPr="00F955C6">
              <w:rPr>
                <w:rFonts w:cs="Arial"/>
                <w:sz w:val="20"/>
                <w:szCs w:val="20"/>
              </w:rPr>
              <w:t>No comment or other words to indicate nothing to say</w:t>
            </w:r>
          </w:p>
        </w:tc>
        <w:tc>
          <w:tcPr>
            <w:tcW w:w="1843" w:type="dxa"/>
            <w:vMerge/>
          </w:tcPr>
          <w:p w14:paraId="555DF03F" w14:textId="77777777" w:rsidR="000923BB" w:rsidRPr="00F955C6" w:rsidRDefault="000923BB" w:rsidP="003A385F">
            <w:pPr>
              <w:spacing w:before="20" w:after="20"/>
              <w:rPr>
                <w:rFonts w:cs="Arial"/>
                <w:sz w:val="20"/>
                <w:szCs w:val="20"/>
              </w:rPr>
            </w:pPr>
          </w:p>
        </w:tc>
      </w:tr>
      <w:tr w:rsidR="000923BB" w:rsidRPr="00F955C6" w14:paraId="0591C4BA" w14:textId="77777777" w:rsidTr="00823691">
        <w:trPr>
          <w:trHeight w:val="335"/>
        </w:trPr>
        <w:tc>
          <w:tcPr>
            <w:tcW w:w="993" w:type="dxa"/>
          </w:tcPr>
          <w:p w14:paraId="337F541D" w14:textId="77777777" w:rsidR="000923BB" w:rsidRPr="00F955C6" w:rsidRDefault="000923BB" w:rsidP="003A385F">
            <w:pPr>
              <w:spacing w:before="40" w:after="20"/>
              <w:rPr>
                <w:rFonts w:cs="Arial"/>
                <w:sz w:val="20"/>
                <w:szCs w:val="20"/>
              </w:rPr>
            </w:pPr>
            <w:r w:rsidRPr="00F955C6">
              <w:rPr>
                <w:rFonts w:cs="Arial"/>
                <w:b/>
                <w:bCs/>
                <w:sz w:val="20"/>
                <w:szCs w:val="20"/>
              </w:rPr>
              <w:t>3</w:t>
            </w:r>
          </w:p>
        </w:tc>
        <w:tc>
          <w:tcPr>
            <w:tcW w:w="6095" w:type="dxa"/>
          </w:tcPr>
          <w:p w14:paraId="36CAA01F" w14:textId="77777777" w:rsidR="000923BB" w:rsidRPr="00F955C6" w:rsidRDefault="000923BB" w:rsidP="003A385F">
            <w:pPr>
              <w:spacing w:before="40" w:after="20"/>
              <w:rPr>
                <w:rFonts w:cs="Arial"/>
                <w:sz w:val="20"/>
                <w:szCs w:val="20"/>
              </w:rPr>
            </w:pPr>
            <w:r w:rsidRPr="00F955C6">
              <w:rPr>
                <w:rFonts w:cs="Arial"/>
                <w:sz w:val="20"/>
                <w:szCs w:val="20"/>
              </w:rPr>
              <w:t xml:space="preserve">Description of what’s in the record </w:t>
            </w:r>
          </w:p>
        </w:tc>
        <w:tc>
          <w:tcPr>
            <w:tcW w:w="1843" w:type="dxa"/>
            <w:vMerge/>
          </w:tcPr>
          <w:p w14:paraId="166D98F6" w14:textId="77777777" w:rsidR="000923BB" w:rsidRPr="00F955C6" w:rsidRDefault="000923BB" w:rsidP="003A385F">
            <w:pPr>
              <w:spacing w:before="20" w:after="20"/>
              <w:rPr>
                <w:rFonts w:cs="Arial"/>
                <w:sz w:val="20"/>
                <w:szCs w:val="20"/>
              </w:rPr>
            </w:pPr>
          </w:p>
        </w:tc>
      </w:tr>
      <w:tr w:rsidR="000923BB" w:rsidRPr="00F955C6" w14:paraId="2E99E9C0" w14:textId="77777777" w:rsidTr="00823691">
        <w:trPr>
          <w:trHeight w:val="335"/>
        </w:trPr>
        <w:tc>
          <w:tcPr>
            <w:tcW w:w="993" w:type="dxa"/>
            <w:tcBorders>
              <w:bottom w:val="single" w:sz="4" w:space="0" w:color="auto"/>
            </w:tcBorders>
          </w:tcPr>
          <w:p w14:paraId="4434BF41" w14:textId="77777777" w:rsidR="000923BB" w:rsidRPr="00F955C6" w:rsidRDefault="000923BB" w:rsidP="003A385F">
            <w:pPr>
              <w:spacing w:before="40" w:after="20"/>
              <w:rPr>
                <w:rFonts w:cs="Arial"/>
                <w:sz w:val="20"/>
                <w:szCs w:val="20"/>
              </w:rPr>
            </w:pPr>
            <w:r w:rsidRPr="00F955C6">
              <w:rPr>
                <w:rFonts w:cs="Arial"/>
                <w:b/>
                <w:bCs/>
                <w:sz w:val="20"/>
                <w:szCs w:val="20"/>
              </w:rPr>
              <w:t>4</w:t>
            </w:r>
          </w:p>
        </w:tc>
        <w:tc>
          <w:tcPr>
            <w:tcW w:w="6095" w:type="dxa"/>
            <w:tcBorders>
              <w:bottom w:val="single" w:sz="4" w:space="0" w:color="auto"/>
            </w:tcBorders>
          </w:tcPr>
          <w:p w14:paraId="3699F67B" w14:textId="77777777" w:rsidR="000923BB" w:rsidRPr="00F955C6" w:rsidRDefault="000923BB" w:rsidP="003A385F">
            <w:pPr>
              <w:spacing w:before="40" w:after="20"/>
              <w:rPr>
                <w:rFonts w:cs="Arial"/>
                <w:sz w:val="20"/>
                <w:szCs w:val="20"/>
              </w:rPr>
            </w:pPr>
            <w:r w:rsidRPr="00F955C6">
              <w:rPr>
                <w:rFonts w:cs="Arial"/>
                <w:sz w:val="20"/>
                <w:szCs w:val="20"/>
              </w:rPr>
              <w:t xml:space="preserve">Judgement of record (not care they received) </w:t>
            </w:r>
          </w:p>
        </w:tc>
        <w:tc>
          <w:tcPr>
            <w:tcW w:w="1843" w:type="dxa"/>
            <w:vMerge/>
            <w:tcBorders>
              <w:bottom w:val="single" w:sz="4" w:space="0" w:color="auto"/>
            </w:tcBorders>
          </w:tcPr>
          <w:p w14:paraId="4B91ACAB" w14:textId="77777777" w:rsidR="000923BB" w:rsidRPr="00F955C6" w:rsidRDefault="000923BB" w:rsidP="003A385F">
            <w:pPr>
              <w:spacing w:before="20" w:after="20"/>
              <w:rPr>
                <w:rFonts w:cs="Arial"/>
                <w:sz w:val="20"/>
                <w:szCs w:val="20"/>
              </w:rPr>
            </w:pPr>
          </w:p>
        </w:tc>
      </w:tr>
      <w:tr w:rsidR="000923BB" w:rsidRPr="00F955C6" w14:paraId="2F52F564" w14:textId="77777777" w:rsidTr="00823691">
        <w:trPr>
          <w:trHeight w:val="335"/>
        </w:trPr>
        <w:tc>
          <w:tcPr>
            <w:tcW w:w="993" w:type="dxa"/>
            <w:tcBorders>
              <w:bottom w:val="single" w:sz="12" w:space="0" w:color="auto"/>
            </w:tcBorders>
          </w:tcPr>
          <w:p w14:paraId="61A9251E" w14:textId="77777777" w:rsidR="000923BB" w:rsidRPr="00F955C6" w:rsidRDefault="000923BB" w:rsidP="003A385F">
            <w:pPr>
              <w:spacing w:before="40" w:after="20"/>
              <w:rPr>
                <w:rFonts w:cs="Arial"/>
                <w:sz w:val="20"/>
                <w:szCs w:val="20"/>
              </w:rPr>
            </w:pPr>
            <w:r w:rsidRPr="00F955C6">
              <w:rPr>
                <w:rFonts w:cs="Arial"/>
                <w:b/>
                <w:bCs/>
                <w:sz w:val="20"/>
                <w:szCs w:val="20"/>
              </w:rPr>
              <w:t>5</w:t>
            </w:r>
          </w:p>
        </w:tc>
        <w:tc>
          <w:tcPr>
            <w:tcW w:w="6095" w:type="dxa"/>
            <w:tcBorders>
              <w:bottom w:val="single" w:sz="12" w:space="0" w:color="auto"/>
            </w:tcBorders>
          </w:tcPr>
          <w:p w14:paraId="3101DCD8" w14:textId="77777777" w:rsidR="000923BB" w:rsidRPr="00F955C6" w:rsidRDefault="000923BB" w:rsidP="003A385F">
            <w:pPr>
              <w:spacing w:before="40" w:after="20"/>
              <w:rPr>
                <w:rFonts w:cs="Arial"/>
                <w:sz w:val="20"/>
                <w:szCs w:val="20"/>
              </w:rPr>
            </w:pPr>
            <w:r w:rsidRPr="00F955C6">
              <w:rPr>
                <w:rFonts w:cs="Arial"/>
                <w:sz w:val="20"/>
                <w:szCs w:val="20"/>
              </w:rPr>
              <w:t>Description of what happened to patient (not care they received)</w:t>
            </w:r>
          </w:p>
        </w:tc>
        <w:tc>
          <w:tcPr>
            <w:tcW w:w="1843" w:type="dxa"/>
            <w:vMerge/>
            <w:tcBorders>
              <w:bottom w:val="single" w:sz="12" w:space="0" w:color="auto"/>
            </w:tcBorders>
          </w:tcPr>
          <w:p w14:paraId="2F82285B" w14:textId="77777777" w:rsidR="000923BB" w:rsidRPr="00F955C6" w:rsidRDefault="000923BB" w:rsidP="003A385F">
            <w:pPr>
              <w:spacing w:before="20" w:after="20"/>
              <w:rPr>
                <w:rFonts w:cs="Arial"/>
                <w:sz w:val="20"/>
                <w:szCs w:val="20"/>
              </w:rPr>
            </w:pPr>
          </w:p>
        </w:tc>
      </w:tr>
      <w:tr w:rsidR="000923BB" w:rsidRPr="00F955C6" w14:paraId="0CA002D0" w14:textId="77777777" w:rsidTr="00823691">
        <w:trPr>
          <w:trHeight w:val="335"/>
        </w:trPr>
        <w:tc>
          <w:tcPr>
            <w:tcW w:w="993" w:type="dxa"/>
            <w:tcBorders>
              <w:top w:val="single" w:sz="12" w:space="0" w:color="auto"/>
            </w:tcBorders>
          </w:tcPr>
          <w:p w14:paraId="1C9CB800" w14:textId="77777777" w:rsidR="000923BB" w:rsidRPr="00F955C6" w:rsidRDefault="000923BB" w:rsidP="003A385F">
            <w:pPr>
              <w:spacing w:before="40" w:after="20"/>
              <w:rPr>
                <w:rFonts w:cs="Arial"/>
                <w:sz w:val="20"/>
                <w:szCs w:val="20"/>
              </w:rPr>
            </w:pPr>
            <w:r w:rsidRPr="00F955C6">
              <w:rPr>
                <w:rFonts w:cs="Arial"/>
                <w:b/>
                <w:bCs/>
                <w:sz w:val="20"/>
                <w:szCs w:val="20"/>
              </w:rPr>
              <w:t>6</w:t>
            </w:r>
          </w:p>
        </w:tc>
        <w:tc>
          <w:tcPr>
            <w:tcW w:w="6095" w:type="dxa"/>
            <w:tcBorders>
              <w:top w:val="single" w:sz="12" w:space="0" w:color="auto"/>
            </w:tcBorders>
          </w:tcPr>
          <w:p w14:paraId="434B9418" w14:textId="77777777" w:rsidR="000923BB" w:rsidRPr="00F955C6" w:rsidRDefault="000923BB" w:rsidP="003A385F">
            <w:pPr>
              <w:spacing w:before="40" w:after="20"/>
              <w:rPr>
                <w:rFonts w:cs="Arial"/>
                <w:sz w:val="20"/>
                <w:szCs w:val="20"/>
              </w:rPr>
            </w:pPr>
            <w:r w:rsidRPr="00F955C6">
              <w:rPr>
                <w:rFonts w:cs="Arial"/>
                <w:sz w:val="20"/>
                <w:szCs w:val="20"/>
              </w:rPr>
              <w:t>Description of care delivered</w:t>
            </w:r>
          </w:p>
        </w:tc>
        <w:tc>
          <w:tcPr>
            <w:tcW w:w="1843" w:type="dxa"/>
            <w:vMerge w:val="restart"/>
            <w:tcBorders>
              <w:top w:val="single" w:sz="12" w:space="0" w:color="auto"/>
            </w:tcBorders>
          </w:tcPr>
          <w:p w14:paraId="457D2A1F" w14:textId="77777777" w:rsidR="000923BB" w:rsidRPr="00F955C6" w:rsidRDefault="000923BB" w:rsidP="003A385F">
            <w:pPr>
              <w:spacing w:before="20" w:after="20"/>
              <w:rPr>
                <w:rFonts w:cs="Arial"/>
                <w:sz w:val="20"/>
                <w:szCs w:val="20"/>
              </w:rPr>
            </w:pPr>
            <w:r w:rsidRPr="00F955C6">
              <w:rPr>
                <w:rFonts w:cs="Arial"/>
                <w:sz w:val="20"/>
                <w:szCs w:val="20"/>
              </w:rPr>
              <w:t>Codes 6-8:</w:t>
            </w:r>
          </w:p>
          <w:p w14:paraId="6DC5B316" w14:textId="77777777" w:rsidR="000923BB" w:rsidRPr="00F955C6" w:rsidRDefault="000923BB" w:rsidP="003A385F">
            <w:pPr>
              <w:spacing w:before="20" w:after="20"/>
              <w:rPr>
                <w:rFonts w:cs="Arial"/>
                <w:sz w:val="20"/>
                <w:szCs w:val="20"/>
              </w:rPr>
            </w:pPr>
            <w:r w:rsidRPr="00F955C6">
              <w:rPr>
                <w:rFonts w:cs="Arial"/>
                <w:sz w:val="20"/>
                <w:szCs w:val="20"/>
              </w:rPr>
              <w:t>Limited comment about care and implied judgement</w:t>
            </w:r>
          </w:p>
          <w:p w14:paraId="54744C4D" w14:textId="77777777" w:rsidR="000923BB" w:rsidRPr="00F955C6" w:rsidRDefault="000923BB" w:rsidP="003A385F">
            <w:pPr>
              <w:spacing w:before="20" w:after="20"/>
              <w:rPr>
                <w:rFonts w:cs="Arial"/>
                <w:sz w:val="20"/>
                <w:szCs w:val="20"/>
              </w:rPr>
            </w:pPr>
          </w:p>
        </w:tc>
      </w:tr>
      <w:tr w:rsidR="000923BB" w:rsidRPr="00F955C6" w14:paraId="3A055E24" w14:textId="77777777" w:rsidTr="00823691">
        <w:trPr>
          <w:trHeight w:val="335"/>
        </w:trPr>
        <w:tc>
          <w:tcPr>
            <w:tcW w:w="993" w:type="dxa"/>
            <w:tcBorders>
              <w:bottom w:val="single" w:sz="4" w:space="0" w:color="auto"/>
            </w:tcBorders>
          </w:tcPr>
          <w:p w14:paraId="71989B0F" w14:textId="77777777" w:rsidR="000923BB" w:rsidRPr="00F955C6" w:rsidRDefault="000923BB" w:rsidP="003A385F">
            <w:pPr>
              <w:spacing w:before="40" w:after="20"/>
              <w:rPr>
                <w:rFonts w:cs="Arial"/>
                <w:sz w:val="20"/>
                <w:szCs w:val="20"/>
              </w:rPr>
            </w:pPr>
            <w:r w:rsidRPr="00F955C6">
              <w:rPr>
                <w:rFonts w:cs="Arial"/>
                <w:b/>
                <w:bCs/>
                <w:sz w:val="20"/>
                <w:szCs w:val="20"/>
              </w:rPr>
              <w:t>7</w:t>
            </w:r>
          </w:p>
        </w:tc>
        <w:tc>
          <w:tcPr>
            <w:tcW w:w="6095" w:type="dxa"/>
            <w:tcBorders>
              <w:bottom w:val="single" w:sz="4" w:space="0" w:color="auto"/>
            </w:tcBorders>
          </w:tcPr>
          <w:p w14:paraId="068182D1" w14:textId="77777777" w:rsidR="000923BB" w:rsidRPr="00F955C6" w:rsidRDefault="000923BB" w:rsidP="003A385F">
            <w:pPr>
              <w:spacing w:before="40" w:after="20"/>
              <w:rPr>
                <w:rFonts w:cs="Arial"/>
                <w:sz w:val="20"/>
                <w:szCs w:val="20"/>
              </w:rPr>
            </w:pPr>
            <w:r w:rsidRPr="00F955C6">
              <w:rPr>
                <w:rFonts w:cs="Arial"/>
                <w:sz w:val="20"/>
                <w:szCs w:val="20"/>
              </w:rPr>
              <w:t>Description of omission of care</w:t>
            </w:r>
          </w:p>
        </w:tc>
        <w:tc>
          <w:tcPr>
            <w:tcW w:w="1843" w:type="dxa"/>
            <w:vMerge/>
          </w:tcPr>
          <w:p w14:paraId="318442D9" w14:textId="77777777" w:rsidR="000923BB" w:rsidRPr="00F955C6" w:rsidRDefault="000923BB" w:rsidP="003A385F">
            <w:pPr>
              <w:spacing w:before="20" w:after="20"/>
              <w:rPr>
                <w:rFonts w:cs="Arial"/>
                <w:sz w:val="20"/>
                <w:szCs w:val="20"/>
              </w:rPr>
            </w:pPr>
          </w:p>
        </w:tc>
      </w:tr>
      <w:tr w:rsidR="000923BB" w:rsidRPr="00F955C6" w14:paraId="14C210CD" w14:textId="77777777" w:rsidTr="00823691">
        <w:trPr>
          <w:trHeight w:val="321"/>
        </w:trPr>
        <w:tc>
          <w:tcPr>
            <w:tcW w:w="993" w:type="dxa"/>
            <w:tcBorders>
              <w:bottom w:val="single" w:sz="12" w:space="0" w:color="auto"/>
            </w:tcBorders>
          </w:tcPr>
          <w:p w14:paraId="7AF966B6" w14:textId="77777777" w:rsidR="000923BB" w:rsidRPr="00F955C6" w:rsidRDefault="000923BB" w:rsidP="003A385F">
            <w:pPr>
              <w:spacing w:before="40" w:after="20"/>
              <w:rPr>
                <w:rFonts w:cs="Arial"/>
                <w:sz w:val="20"/>
                <w:szCs w:val="20"/>
              </w:rPr>
            </w:pPr>
            <w:r w:rsidRPr="00F955C6">
              <w:rPr>
                <w:rFonts w:cs="Arial"/>
                <w:b/>
                <w:bCs/>
                <w:sz w:val="20"/>
                <w:szCs w:val="20"/>
              </w:rPr>
              <w:t>8</w:t>
            </w:r>
          </w:p>
        </w:tc>
        <w:tc>
          <w:tcPr>
            <w:tcW w:w="6095" w:type="dxa"/>
            <w:tcBorders>
              <w:bottom w:val="single" w:sz="12" w:space="0" w:color="auto"/>
            </w:tcBorders>
          </w:tcPr>
          <w:p w14:paraId="4CE659F0" w14:textId="77777777" w:rsidR="000923BB" w:rsidRPr="00F955C6" w:rsidRDefault="000923BB" w:rsidP="003A385F">
            <w:pPr>
              <w:spacing w:before="40" w:after="20"/>
              <w:rPr>
                <w:rFonts w:cs="Arial"/>
                <w:sz w:val="20"/>
                <w:szCs w:val="20"/>
              </w:rPr>
            </w:pPr>
            <w:r w:rsidRPr="00F955C6">
              <w:rPr>
                <w:rFonts w:cs="Arial"/>
                <w:sz w:val="20"/>
                <w:szCs w:val="20"/>
              </w:rPr>
              <w:t>Implied judgment of care (not records or patient pathway)</w:t>
            </w:r>
          </w:p>
        </w:tc>
        <w:tc>
          <w:tcPr>
            <w:tcW w:w="1843" w:type="dxa"/>
            <w:vMerge/>
            <w:tcBorders>
              <w:bottom w:val="single" w:sz="12" w:space="0" w:color="auto"/>
            </w:tcBorders>
          </w:tcPr>
          <w:p w14:paraId="3C1535E9" w14:textId="77777777" w:rsidR="000923BB" w:rsidRPr="00F955C6" w:rsidRDefault="000923BB" w:rsidP="003A385F">
            <w:pPr>
              <w:spacing w:before="20" w:after="20"/>
              <w:rPr>
                <w:rFonts w:cs="Arial"/>
                <w:sz w:val="20"/>
                <w:szCs w:val="20"/>
              </w:rPr>
            </w:pPr>
          </w:p>
        </w:tc>
      </w:tr>
      <w:tr w:rsidR="000923BB" w:rsidRPr="00F955C6" w14:paraId="7B9E6F8B" w14:textId="77777777" w:rsidTr="00823691">
        <w:trPr>
          <w:trHeight w:val="335"/>
        </w:trPr>
        <w:tc>
          <w:tcPr>
            <w:tcW w:w="993" w:type="dxa"/>
            <w:tcBorders>
              <w:top w:val="single" w:sz="12" w:space="0" w:color="auto"/>
            </w:tcBorders>
          </w:tcPr>
          <w:p w14:paraId="740B4430" w14:textId="77777777" w:rsidR="000923BB" w:rsidRPr="00F955C6" w:rsidRDefault="000923BB" w:rsidP="003A385F">
            <w:pPr>
              <w:spacing w:before="40" w:after="20"/>
              <w:rPr>
                <w:rFonts w:cs="Arial"/>
                <w:sz w:val="20"/>
                <w:szCs w:val="20"/>
              </w:rPr>
            </w:pPr>
            <w:r w:rsidRPr="00F955C6">
              <w:rPr>
                <w:rFonts w:cs="Arial"/>
                <w:b/>
                <w:bCs/>
                <w:sz w:val="20"/>
                <w:szCs w:val="20"/>
              </w:rPr>
              <w:t>9</w:t>
            </w:r>
          </w:p>
        </w:tc>
        <w:tc>
          <w:tcPr>
            <w:tcW w:w="6095" w:type="dxa"/>
            <w:tcBorders>
              <w:top w:val="single" w:sz="12" w:space="0" w:color="auto"/>
            </w:tcBorders>
          </w:tcPr>
          <w:p w14:paraId="6F43DCB9" w14:textId="77777777" w:rsidR="000923BB" w:rsidRPr="00F955C6" w:rsidRDefault="000923BB" w:rsidP="003A385F">
            <w:pPr>
              <w:spacing w:before="40" w:after="20"/>
              <w:rPr>
                <w:rFonts w:cs="Arial"/>
                <w:sz w:val="20"/>
                <w:szCs w:val="20"/>
              </w:rPr>
            </w:pPr>
            <w:r w:rsidRPr="00F955C6">
              <w:rPr>
                <w:rFonts w:cs="Arial"/>
                <w:sz w:val="20"/>
                <w:szCs w:val="20"/>
              </w:rPr>
              <w:t>Explicit judgement of care (not records or patient pathway)</w:t>
            </w:r>
          </w:p>
        </w:tc>
        <w:tc>
          <w:tcPr>
            <w:tcW w:w="1843" w:type="dxa"/>
            <w:vMerge w:val="restart"/>
            <w:tcBorders>
              <w:top w:val="single" w:sz="12" w:space="0" w:color="auto"/>
            </w:tcBorders>
          </w:tcPr>
          <w:p w14:paraId="197785A4" w14:textId="77777777" w:rsidR="000923BB" w:rsidRPr="00F955C6" w:rsidRDefault="000923BB" w:rsidP="003A385F">
            <w:pPr>
              <w:spacing w:before="20" w:after="20"/>
              <w:rPr>
                <w:rFonts w:cs="Arial"/>
                <w:sz w:val="20"/>
                <w:szCs w:val="20"/>
              </w:rPr>
            </w:pPr>
            <w:r w:rsidRPr="00F955C6">
              <w:rPr>
                <w:rFonts w:cs="Arial"/>
                <w:sz w:val="20"/>
                <w:szCs w:val="20"/>
              </w:rPr>
              <w:t>Codes 9-13:</w:t>
            </w:r>
          </w:p>
          <w:p w14:paraId="194EB5BA" w14:textId="77777777" w:rsidR="000923BB" w:rsidRPr="00F955C6" w:rsidRDefault="000923BB" w:rsidP="003A385F">
            <w:pPr>
              <w:spacing w:before="20" w:after="20"/>
              <w:rPr>
                <w:rFonts w:cs="Arial"/>
                <w:sz w:val="20"/>
                <w:szCs w:val="20"/>
              </w:rPr>
            </w:pPr>
            <w:r w:rsidRPr="00F955C6">
              <w:rPr>
                <w:rFonts w:cs="Arial"/>
                <w:sz w:val="20"/>
                <w:szCs w:val="20"/>
              </w:rPr>
              <w:t>Sophisticated comments about care with explicit judgements and views</w:t>
            </w:r>
          </w:p>
        </w:tc>
      </w:tr>
      <w:tr w:rsidR="000923BB" w:rsidRPr="00F955C6" w14:paraId="56C2EACE" w14:textId="77777777" w:rsidTr="00823691">
        <w:trPr>
          <w:trHeight w:val="321"/>
        </w:trPr>
        <w:tc>
          <w:tcPr>
            <w:tcW w:w="993" w:type="dxa"/>
          </w:tcPr>
          <w:p w14:paraId="082A1293" w14:textId="77777777" w:rsidR="000923BB" w:rsidRPr="00F955C6" w:rsidRDefault="000923BB" w:rsidP="003A385F">
            <w:pPr>
              <w:spacing w:before="40" w:after="20"/>
              <w:rPr>
                <w:rFonts w:cs="Arial"/>
                <w:sz w:val="20"/>
                <w:szCs w:val="20"/>
              </w:rPr>
            </w:pPr>
            <w:r w:rsidRPr="00F955C6">
              <w:rPr>
                <w:rFonts w:cs="Arial"/>
                <w:b/>
                <w:bCs/>
                <w:sz w:val="20"/>
                <w:szCs w:val="20"/>
              </w:rPr>
              <w:t>10</w:t>
            </w:r>
          </w:p>
        </w:tc>
        <w:tc>
          <w:tcPr>
            <w:tcW w:w="6095" w:type="dxa"/>
          </w:tcPr>
          <w:p w14:paraId="5117343E" w14:textId="77777777" w:rsidR="000923BB" w:rsidRPr="00F955C6" w:rsidRDefault="000923BB" w:rsidP="003A385F">
            <w:pPr>
              <w:spacing w:before="40" w:after="20"/>
              <w:rPr>
                <w:rFonts w:cs="Arial"/>
                <w:sz w:val="20"/>
                <w:szCs w:val="20"/>
              </w:rPr>
            </w:pPr>
            <w:r w:rsidRPr="00F955C6">
              <w:rPr>
                <w:rFonts w:cs="Arial"/>
                <w:sz w:val="20"/>
                <w:szCs w:val="20"/>
              </w:rPr>
              <w:t>Questioning/query of care delivered</w:t>
            </w:r>
          </w:p>
        </w:tc>
        <w:tc>
          <w:tcPr>
            <w:tcW w:w="1843" w:type="dxa"/>
            <w:vMerge/>
          </w:tcPr>
          <w:p w14:paraId="023C1A20" w14:textId="77777777" w:rsidR="000923BB" w:rsidRPr="00F955C6" w:rsidRDefault="000923BB" w:rsidP="003A385F">
            <w:pPr>
              <w:spacing w:before="20" w:after="20"/>
              <w:rPr>
                <w:rFonts w:cs="Arial"/>
                <w:sz w:val="16"/>
                <w:szCs w:val="16"/>
              </w:rPr>
            </w:pPr>
          </w:p>
        </w:tc>
      </w:tr>
      <w:tr w:rsidR="000923BB" w:rsidRPr="00F955C6" w14:paraId="1666EC5D" w14:textId="77777777" w:rsidTr="00823691">
        <w:trPr>
          <w:trHeight w:val="335"/>
        </w:trPr>
        <w:tc>
          <w:tcPr>
            <w:tcW w:w="993" w:type="dxa"/>
          </w:tcPr>
          <w:p w14:paraId="0EB6CEFC" w14:textId="77777777" w:rsidR="000923BB" w:rsidRPr="00F955C6" w:rsidRDefault="000923BB" w:rsidP="003A385F">
            <w:pPr>
              <w:spacing w:before="40" w:after="20"/>
              <w:rPr>
                <w:rFonts w:cs="Arial"/>
                <w:sz w:val="20"/>
                <w:szCs w:val="20"/>
              </w:rPr>
            </w:pPr>
            <w:r w:rsidRPr="00F955C6">
              <w:rPr>
                <w:rFonts w:cs="Arial"/>
                <w:b/>
                <w:bCs/>
                <w:sz w:val="20"/>
                <w:szCs w:val="20"/>
              </w:rPr>
              <w:t>11</w:t>
            </w:r>
          </w:p>
        </w:tc>
        <w:tc>
          <w:tcPr>
            <w:tcW w:w="6095" w:type="dxa"/>
          </w:tcPr>
          <w:p w14:paraId="162F647A" w14:textId="77777777" w:rsidR="000923BB" w:rsidRPr="00F955C6" w:rsidRDefault="000923BB" w:rsidP="003A385F">
            <w:pPr>
              <w:spacing w:before="40" w:after="20"/>
              <w:rPr>
                <w:rFonts w:cs="Arial"/>
                <w:sz w:val="20"/>
                <w:szCs w:val="20"/>
              </w:rPr>
            </w:pPr>
            <w:r w:rsidRPr="00F955C6">
              <w:rPr>
                <w:rFonts w:cs="Arial"/>
                <w:sz w:val="20"/>
                <w:szCs w:val="20"/>
              </w:rPr>
              <w:t>Explanation/justification of care delivered</w:t>
            </w:r>
          </w:p>
        </w:tc>
        <w:tc>
          <w:tcPr>
            <w:tcW w:w="1843" w:type="dxa"/>
            <w:vMerge/>
          </w:tcPr>
          <w:p w14:paraId="332E6860" w14:textId="77777777" w:rsidR="000923BB" w:rsidRPr="00F955C6" w:rsidRDefault="000923BB" w:rsidP="003A385F">
            <w:pPr>
              <w:spacing w:before="20" w:after="20"/>
              <w:rPr>
                <w:rFonts w:cs="Arial"/>
                <w:sz w:val="16"/>
                <w:szCs w:val="16"/>
              </w:rPr>
            </w:pPr>
          </w:p>
        </w:tc>
      </w:tr>
      <w:tr w:rsidR="000923BB" w:rsidRPr="00F955C6" w14:paraId="0D835E2E" w14:textId="77777777" w:rsidTr="00823691">
        <w:trPr>
          <w:trHeight w:val="321"/>
        </w:trPr>
        <w:tc>
          <w:tcPr>
            <w:tcW w:w="993" w:type="dxa"/>
          </w:tcPr>
          <w:p w14:paraId="05867C30" w14:textId="77777777" w:rsidR="000923BB" w:rsidRPr="00F955C6" w:rsidRDefault="000923BB" w:rsidP="003A385F">
            <w:pPr>
              <w:spacing w:before="40" w:after="20"/>
              <w:rPr>
                <w:rFonts w:cs="Arial"/>
                <w:sz w:val="20"/>
                <w:szCs w:val="20"/>
              </w:rPr>
            </w:pPr>
            <w:r w:rsidRPr="00F955C6">
              <w:rPr>
                <w:rFonts w:cs="Arial"/>
                <w:b/>
                <w:bCs/>
                <w:sz w:val="20"/>
                <w:szCs w:val="20"/>
              </w:rPr>
              <w:t>12</w:t>
            </w:r>
          </w:p>
        </w:tc>
        <w:tc>
          <w:tcPr>
            <w:tcW w:w="6095" w:type="dxa"/>
          </w:tcPr>
          <w:p w14:paraId="1356ED18" w14:textId="77777777" w:rsidR="000923BB" w:rsidRPr="00F955C6" w:rsidRDefault="000923BB" w:rsidP="003A385F">
            <w:pPr>
              <w:spacing w:before="40" w:after="20"/>
              <w:rPr>
                <w:rFonts w:cs="Arial"/>
                <w:sz w:val="20"/>
                <w:szCs w:val="20"/>
              </w:rPr>
            </w:pPr>
            <w:r w:rsidRPr="00F955C6">
              <w:rPr>
                <w:rFonts w:cs="Arial"/>
                <w:sz w:val="20"/>
                <w:szCs w:val="20"/>
              </w:rPr>
              <w:t>Alternative/justification of care that should have been delivered</w:t>
            </w:r>
          </w:p>
        </w:tc>
        <w:tc>
          <w:tcPr>
            <w:tcW w:w="1843" w:type="dxa"/>
            <w:vMerge/>
          </w:tcPr>
          <w:p w14:paraId="08D27947" w14:textId="77777777" w:rsidR="000923BB" w:rsidRPr="00F955C6" w:rsidRDefault="000923BB" w:rsidP="003A385F">
            <w:pPr>
              <w:spacing w:before="20" w:after="20"/>
              <w:rPr>
                <w:rFonts w:cs="Arial"/>
                <w:sz w:val="16"/>
                <w:szCs w:val="16"/>
              </w:rPr>
            </w:pPr>
          </w:p>
        </w:tc>
      </w:tr>
      <w:tr w:rsidR="000923BB" w:rsidRPr="00F955C6" w14:paraId="4F7E6738" w14:textId="77777777" w:rsidTr="00823691">
        <w:trPr>
          <w:trHeight w:val="347"/>
        </w:trPr>
        <w:tc>
          <w:tcPr>
            <w:tcW w:w="993" w:type="dxa"/>
          </w:tcPr>
          <w:p w14:paraId="03C0C5D5" w14:textId="77777777" w:rsidR="000923BB" w:rsidRPr="00F955C6" w:rsidRDefault="000923BB" w:rsidP="003A385F">
            <w:pPr>
              <w:spacing w:before="40" w:after="20"/>
              <w:rPr>
                <w:rFonts w:cs="Arial"/>
                <w:sz w:val="20"/>
                <w:szCs w:val="20"/>
              </w:rPr>
            </w:pPr>
            <w:r w:rsidRPr="00F955C6">
              <w:rPr>
                <w:rFonts w:cs="Arial"/>
                <w:b/>
                <w:bCs/>
                <w:sz w:val="20"/>
                <w:szCs w:val="20"/>
              </w:rPr>
              <w:t>13</w:t>
            </w:r>
          </w:p>
        </w:tc>
        <w:tc>
          <w:tcPr>
            <w:tcW w:w="6095" w:type="dxa"/>
          </w:tcPr>
          <w:p w14:paraId="15723BEC" w14:textId="77777777" w:rsidR="000923BB" w:rsidRPr="00F955C6" w:rsidRDefault="000923BB" w:rsidP="003A385F">
            <w:pPr>
              <w:spacing w:before="40" w:after="20"/>
              <w:rPr>
                <w:rFonts w:cs="Arial"/>
                <w:sz w:val="20"/>
                <w:szCs w:val="20"/>
              </w:rPr>
            </w:pPr>
            <w:r w:rsidRPr="00F955C6">
              <w:rPr>
                <w:rFonts w:cs="Arial"/>
                <w:sz w:val="20"/>
                <w:szCs w:val="20"/>
              </w:rPr>
              <w:t>Concerns</w:t>
            </w:r>
          </w:p>
        </w:tc>
        <w:tc>
          <w:tcPr>
            <w:tcW w:w="1843" w:type="dxa"/>
            <w:vMerge/>
          </w:tcPr>
          <w:p w14:paraId="5A718168" w14:textId="77777777" w:rsidR="000923BB" w:rsidRPr="00F955C6" w:rsidRDefault="000923BB" w:rsidP="003A385F">
            <w:pPr>
              <w:spacing w:before="20" w:after="20"/>
              <w:rPr>
                <w:rFonts w:cs="Arial"/>
                <w:sz w:val="16"/>
                <w:szCs w:val="16"/>
              </w:rPr>
            </w:pPr>
          </w:p>
        </w:tc>
      </w:tr>
    </w:tbl>
    <w:p w14:paraId="3F4AB386" w14:textId="77777777" w:rsidR="00823691" w:rsidRDefault="00823691" w:rsidP="000923BB">
      <w:pPr>
        <w:pStyle w:val="BodyText"/>
        <w:jc w:val="both"/>
        <w:rPr>
          <w:rFonts w:cs="Arial"/>
          <w:sz w:val="22"/>
          <w:szCs w:val="22"/>
        </w:rPr>
      </w:pPr>
    </w:p>
    <w:p w14:paraId="2FD5EFE7" w14:textId="77777777" w:rsidR="000923BB" w:rsidRPr="002A4C10" w:rsidRDefault="000923BB" w:rsidP="000923BB">
      <w:pPr>
        <w:pStyle w:val="BodyText"/>
        <w:jc w:val="both"/>
        <w:rPr>
          <w:rFonts w:cs="Arial"/>
          <w:sz w:val="22"/>
          <w:szCs w:val="22"/>
        </w:rPr>
      </w:pPr>
      <w:r w:rsidRPr="002A4C10">
        <w:rPr>
          <w:rFonts w:cs="Arial"/>
          <w:sz w:val="22"/>
          <w:szCs w:val="22"/>
        </w:rPr>
        <w:t xml:space="preserve">This categorisation was </w:t>
      </w:r>
      <w:r>
        <w:rPr>
          <w:rFonts w:cs="Arial"/>
          <w:sz w:val="22"/>
          <w:szCs w:val="22"/>
        </w:rPr>
        <w:t xml:space="preserve">subsequently </w:t>
      </w:r>
      <w:r w:rsidRPr="002A4C10">
        <w:rPr>
          <w:rFonts w:cs="Arial"/>
          <w:sz w:val="22"/>
          <w:szCs w:val="22"/>
        </w:rPr>
        <w:t>used to help identify the types of reviewing undertaken by different professional groups</w:t>
      </w:r>
      <w:r>
        <w:rPr>
          <w:rFonts w:cs="Arial"/>
          <w:sz w:val="22"/>
          <w:szCs w:val="22"/>
        </w:rPr>
        <w:t>, which in turn assisted the decision on</w:t>
      </w:r>
      <w:r w:rsidRPr="002A4C10">
        <w:rPr>
          <w:rFonts w:cs="Arial"/>
          <w:sz w:val="22"/>
          <w:szCs w:val="22"/>
        </w:rPr>
        <w:t xml:space="preserve"> which group </w:t>
      </w:r>
      <w:r>
        <w:rPr>
          <w:rFonts w:cs="Arial"/>
          <w:sz w:val="22"/>
          <w:szCs w:val="22"/>
        </w:rPr>
        <w:t xml:space="preserve">or groups of professionals </w:t>
      </w:r>
      <w:r w:rsidRPr="002A4C10">
        <w:rPr>
          <w:rFonts w:cs="Arial"/>
          <w:sz w:val="22"/>
          <w:szCs w:val="22"/>
        </w:rPr>
        <w:t>best matched our requirements in the review process.</w:t>
      </w:r>
      <w:r>
        <w:rPr>
          <w:rFonts w:cs="Arial"/>
          <w:sz w:val="22"/>
          <w:szCs w:val="22"/>
        </w:rPr>
        <w:t xml:space="preserve">  Together with this categorisation of</w:t>
      </w:r>
      <w:r w:rsidRPr="002A4C10">
        <w:rPr>
          <w:rFonts w:cs="Arial"/>
          <w:sz w:val="22"/>
          <w:szCs w:val="22"/>
        </w:rPr>
        <w:t xml:space="preserve"> the type of reviewing being undertaken</w:t>
      </w:r>
      <w:r>
        <w:rPr>
          <w:rFonts w:cs="Arial"/>
          <w:sz w:val="22"/>
          <w:szCs w:val="22"/>
        </w:rPr>
        <w:t>,</w:t>
      </w:r>
      <w:r w:rsidRPr="002A4C10">
        <w:rPr>
          <w:rFonts w:cs="Arial"/>
          <w:sz w:val="22"/>
          <w:szCs w:val="22"/>
        </w:rPr>
        <w:t xml:space="preserve"> the textual analysis was also used to identify specific issues </w:t>
      </w:r>
      <w:r>
        <w:rPr>
          <w:rFonts w:cs="Arial"/>
          <w:sz w:val="22"/>
          <w:szCs w:val="22"/>
        </w:rPr>
        <w:t xml:space="preserve">raised by reviewers </w:t>
      </w:r>
      <w:r w:rsidRPr="002A4C10">
        <w:rPr>
          <w:rFonts w:cs="Arial"/>
          <w:sz w:val="22"/>
          <w:szCs w:val="22"/>
        </w:rPr>
        <w:t>and to see if they varied by professional group and by individual for the same record.</w:t>
      </w:r>
      <w:r>
        <w:rPr>
          <w:rFonts w:cs="Arial"/>
          <w:sz w:val="22"/>
          <w:szCs w:val="22"/>
        </w:rPr>
        <w:t xml:space="preserve">  Ca</w:t>
      </w:r>
      <w:r w:rsidRPr="002A4C10">
        <w:rPr>
          <w:rFonts w:cs="Arial"/>
          <w:sz w:val="22"/>
          <w:szCs w:val="22"/>
        </w:rPr>
        <w:t>reful</w:t>
      </w:r>
      <w:r>
        <w:rPr>
          <w:rFonts w:cs="Arial"/>
          <w:sz w:val="22"/>
          <w:szCs w:val="22"/>
        </w:rPr>
        <w:t xml:space="preserve"> examination </w:t>
      </w:r>
      <w:r w:rsidRPr="002A4C10">
        <w:rPr>
          <w:rFonts w:cs="Arial"/>
          <w:sz w:val="22"/>
          <w:szCs w:val="22"/>
        </w:rPr>
        <w:t xml:space="preserve">was undertaken </w:t>
      </w:r>
      <w:r>
        <w:rPr>
          <w:rFonts w:cs="Arial"/>
          <w:sz w:val="22"/>
          <w:szCs w:val="22"/>
        </w:rPr>
        <w:t>of</w:t>
      </w:r>
      <w:r w:rsidRPr="002A4C10">
        <w:rPr>
          <w:rFonts w:cs="Arial"/>
          <w:sz w:val="22"/>
          <w:szCs w:val="22"/>
        </w:rPr>
        <w:t xml:space="preserve"> the particular words, phrases</w:t>
      </w:r>
      <w:r>
        <w:rPr>
          <w:rFonts w:cs="Arial"/>
          <w:sz w:val="22"/>
          <w:szCs w:val="22"/>
        </w:rPr>
        <w:t xml:space="preserve"> and</w:t>
      </w:r>
      <w:r w:rsidRPr="002A4C10">
        <w:rPr>
          <w:rFonts w:cs="Arial"/>
          <w:sz w:val="22"/>
          <w:szCs w:val="22"/>
        </w:rPr>
        <w:t xml:space="preserve"> style used in each comment</w:t>
      </w:r>
      <w:r>
        <w:rPr>
          <w:rFonts w:cs="Arial"/>
          <w:sz w:val="22"/>
          <w:szCs w:val="22"/>
        </w:rPr>
        <w:t>,</w:t>
      </w:r>
      <w:r w:rsidRPr="002A4C10">
        <w:rPr>
          <w:rFonts w:cs="Arial"/>
          <w:sz w:val="22"/>
          <w:szCs w:val="22"/>
        </w:rPr>
        <w:t xml:space="preserve"> although not to the level of a discourse analysis.  The constant comparisons allowed us to generate categories (themes) to identify different approaches to reviewing, different content of reviews and contrasts between individuals and professional groups.</w:t>
      </w:r>
    </w:p>
    <w:p w14:paraId="3D612AB0" w14:textId="77777777" w:rsidR="000923BB" w:rsidRDefault="000923BB" w:rsidP="000923BB">
      <w:pPr>
        <w:jc w:val="both"/>
        <w:rPr>
          <w:rFonts w:cs="Arial"/>
          <w:b/>
          <w:bCs/>
          <w:i/>
          <w:iCs/>
          <w:sz w:val="22"/>
          <w:szCs w:val="22"/>
        </w:rPr>
      </w:pPr>
    </w:p>
    <w:p w14:paraId="53AF7D80" w14:textId="77777777" w:rsidR="000923BB" w:rsidRDefault="000923BB" w:rsidP="000923BB">
      <w:pPr>
        <w:jc w:val="both"/>
        <w:rPr>
          <w:rFonts w:cs="Arial"/>
          <w:sz w:val="22"/>
          <w:szCs w:val="22"/>
        </w:rPr>
      </w:pPr>
      <w:r>
        <w:rPr>
          <w:rFonts w:cs="Arial"/>
          <w:b/>
          <w:bCs/>
          <w:i/>
          <w:iCs/>
          <w:sz w:val="22"/>
          <w:szCs w:val="22"/>
        </w:rPr>
        <w:t>Resource analysis</w:t>
      </w:r>
    </w:p>
    <w:p w14:paraId="0E6E6FFE" w14:textId="77777777" w:rsidR="000923BB" w:rsidRDefault="000923BB" w:rsidP="000923BB"/>
    <w:p w14:paraId="3DCB2A9B" w14:textId="77777777" w:rsidR="000923BB" w:rsidRDefault="000923BB" w:rsidP="000923BB">
      <w:pPr>
        <w:jc w:val="both"/>
        <w:rPr>
          <w:rFonts w:cs="Arial"/>
          <w:sz w:val="22"/>
          <w:szCs w:val="22"/>
        </w:rPr>
      </w:pPr>
      <w:r>
        <w:rPr>
          <w:rFonts w:cs="Arial"/>
          <w:sz w:val="22"/>
          <w:szCs w:val="22"/>
        </w:rPr>
        <w:t xml:space="preserve">In the initial proposal to the funding body we set out a proposal for a cost benefit analysis of the two review methods.  Because of resource constraints this did not form part of the final agreement.  However we decided to undertake a limited resource analysis in case choices on reviewer type might essentially be made on cost (where </w:t>
      </w:r>
      <w:r>
        <w:rPr>
          <w:rFonts w:cs="Arial"/>
          <w:sz w:val="22"/>
          <w:szCs w:val="22"/>
        </w:rPr>
        <w:lastRenderedPageBreak/>
        <w:t>there were limited differences in review results between one or more types of reviewers or review methods).</w:t>
      </w:r>
    </w:p>
    <w:p w14:paraId="362E5327" w14:textId="77777777" w:rsidR="000923BB" w:rsidRDefault="000923BB" w:rsidP="000923BB">
      <w:pPr>
        <w:jc w:val="both"/>
        <w:rPr>
          <w:rFonts w:cs="Arial"/>
          <w:sz w:val="22"/>
          <w:szCs w:val="22"/>
        </w:rPr>
      </w:pPr>
    </w:p>
    <w:p w14:paraId="2A38C6A7" w14:textId="77777777" w:rsidR="000923BB" w:rsidRPr="005D0C0C" w:rsidRDefault="000923BB" w:rsidP="000923BB">
      <w:pPr>
        <w:jc w:val="both"/>
        <w:rPr>
          <w:rFonts w:cs="Arial"/>
          <w:sz w:val="22"/>
          <w:szCs w:val="22"/>
        </w:rPr>
      </w:pPr>
      <w:r>
        <w:rPr>
          <w:rFonts w:cs="Arial"/>
          <w:sz w:val="22"/>
          <w:szCs w:val="22"/>
        </w:rPr>
        <w:t xml:space="preserve">The resource impact of each reviewer type was explored, based on self reported data on the time taken to undertake each review and on annual staff cost data taken from </w:t>
      </w:r>
      <w:r w:rsidRPr="00A91058">
        <w:rPr>
          <w:rFonts w:cs="Arial"/>
          <w:sz w:val="22"/>
          <w:szCs w:val="22"/>
        </w:rPr>
        <w:t>Unit costs of Health and Social Care 2005</w:t>
      </w:r>
      <w:r>
        <w:rPr>
          <w:rFonts w:cs="Arial"/>
          <w:sz w:val="22"/>
          <w:szCs w:val="22"/>
        </w:rPr>
        <w:t xml:space="preserve"> (clinical and doctor reviewers) and m</w:t>
      </w:r>
      <w:r w:rsidRPr="00A91058">
        <w:rPr>
          <w:rFonts w:cs="Arial"/>
          <w:sz w:val="22"/>
          <w:szCs w:val="22"/>
        </w:rPr>
        <w:t>id point administrative and clerical staff</w:t>
      </w:r>
      <w:r>
        <w:rPr>
          <w:rFonts w:cs="Arial"/>
          <w:sz w:val="22"/>
          <w:szCs w:val="22"/>
        </w:rPr>
        <w:t xml:space="preserve"> costs from </w:t>
      </w:r>
      <w:r w:rsidRPr="00A91058">
        <w:rPr>
          <w:rFonts w:cs="Arial"/>
          <w:sz w:val="22"/>
          <w:szCs w:val="22"/>
        </w:rPr>
        <w:t>Whitley Council pay rates</w:t>
      </w:r>
      <w:r>
        <w:rPr>
          <w:rFonts w:cs="Arial"/>
          <w:sz w:val="22"/>
          <w:szCs w:val="22"/>
        </w:rPr>
        <w:t xml:space="preserve"> (for non-clinical audit reviewers).[40]  The mid point on the scale was used as the cost for each staff type and only one cost for each staff type was used in the analysis. </w:t>
      </w:r>
    </w:p>
    <w:p w14:paraId="5F29B315" w14:textId="77777777" w:rsidR="000923BB" w:rsidRPr="00631655" w:rsidRDefault="000923BB" w:rsidP="000923BB">
      <w:pPr>
        <w:rPr>
          <w:sz w:val="22"/>
          <w:szCs w:val="22"/>
        </w:rPr>
      </w:pPr>
    </w:p>
    <w:p w14:paraId="5DC8123B" w14:textId="77777777" w:rsidR="000923BB" w:rsidRDefault="000923BB" w:rsidP="000923BB">
      <w:pPr>
        <w:jc w:val="both"/>
        <w:rPr>
          <w:rFonts w:cs="Arial"/>
          <w:sz w:val="22"/>
          <w:szCs w:val="22"/>
        </w:rPr>
      </w:pPr>
      <w:r w:rsidRPr="00EE4EE9">
        <w:rPr>
          <w:rFonts w:cs="Arial"/>
          <w:sz w:val="22"/>
          <w:szCs w:val="22"/>
        </w:rPr>
        <w:t>Descriptive statistics for the time taken to undertake each review and the cost per review for each staff type were produced in SPSS. A mean time per review and a mean cost per review for each staff type was calculated. We also included the minimum and maximum range to look more closely at the spread of the data</w:t>
      </w:r>
      <w:r>
        <w:rPr>
          <w:rFonts w:cs="Arial"/>
          <w:sz w:val="22"/>
          <w:szCs w:val="22"/>
        </w:rPr>
        <w:t xml:space="preserve">. </w:t>
      </w:r>
      <w:r w:rsidRPr="00EE4EE9">
        <w:rPr>
          <w:rFonts w:cs="Arial"/>
          <w:sz w:val="22"/>
          <w:szCs w:val="22"/>
        </w:rPr>
        <w:t xml:space="preserve"> </w:t>
      </w:r>
    </w:p>
    <w:p w14:paraId="5F7046F6" w14:textId="77777777" w:rsidR="000923BB" w:rsidRPr="003870AF" w:rsidRDefault="000923BB" w:rsidP="000923BB">
      <w:pPr>
        <w:jc w:val="both"/>
        <w:rPr>
          <w:rFonts w:cs="Arial"/>
          <w:b/>
          <w:bCs/>
          <w:iCs/>
          <w:sz w:val="22"/>
          <w:szCs w:val="22"/>
        </w:rPr>
      </w:pPr>
      <w:r>
        <w:rPr>
          <w:rFonts w:cs="Arial"/>
          <w:sz w:val="22"/>
          <w:szCs w:val="22"/>
        </w:rPr>
        <w:br w:type="page"/>
      </w:r>
      <w:r w:rsidRPr="003870AF">
        <w:rPr>
          <w:rFonts w:cs="Arial"/>
          <w:b/>
          <w:bCs/>
          <w:iCs/>
          <w:sz w:val="22"/>
          <w:szCs w:val="22"/>
        </w:rPr>
        <w:lastRenderedPageBreak/>
        <w:t>Research ethics review</w:t>
      </w:r>
      <w:r>
        <w:rPr>
          <w:rFonts w:cs="Arial"/>
          <w:b/>
          <w:bCs/>
          <w:iCs/>
          <w:sz w:val="22"/>
          <w:szCs w:val="22"/>
        </w:rPr>
        <w:t xml:space="preserve"> and r</w:t>
      </w:r>
      <w:r w:rsidRPr="003870AF">
        <w:rPr>
          <w:rFonts w:cs="Arial"/>
          <w:b/>
          <w:bCs/>
          <w:iCs/>
          <w:sz w:val="22"/>
          <w:szCs w:val="22"/>
        </w:rPr>
        <w:t>esearch governance</w:t>
      </w:r>
    </w:p>
    <w:p w14:paraId="715F29ED" w14:textId="77777777" w:rsidR="000923BB" w:rsidRDefault="000923BB" w:rsidP="000923BB">
      <w:pPr>
        <w:jc w:val="both"/>
        <w:rPr>
          <w:rFonts w:cs="Arial"/>
          <w:sz w:val="22"/>
          <w:szCs w:val="22"/>
        </w:rPr>
      </w:pPr>
    </w:p>
    <w:p w14:paraId="6AD84BC7" w14:textId="77777777" w:rsidR="000923BB" w:rsidRDefault="000923BB" w:rsidP="000923BB">
      <w:pPr>
        <w:jc w:val="both"/>
        <w:rPr>
          <w:rFonts w:cs="Arial"/>
          <w:sz w:val="22"/>
          <w:szCs w:val="22"/>
        </w:rPr>
      </w:pPr>
      <w:r>
        <w:rPr>
          <w:rFonts w:cs="Arial"/>
          <w:sz w:val="22"/>
          <w:szCs w:val="22"/>
        </w:rPr>
        <w:t xml:space="preserve">A research ethics review of the study was sought from the Trent Multi-centre Research Ethics Committee on 21 July 2004, prior to the start of data collection.  Because, in both phases, data were to be collected by staff working in each hospital, and the data were anonymised before transmission to the research team, the Committee considered this to be equivalent to a national audit programme.  The Trent Multi-centre Research Ethics Committee response was therefore that the study did not require an ethics opinion from the Committee. </w:t>
      </w:r>
    </w:p>
    <w:p w14:paraId="06DFF3AD" w14:textId="77777777" w:rsidR="000923BB" w:rsidRDefault="000923BB" w:rsidP="000923BB">
      <w:pPr>
        <w:jc w:val="both"/>
        <w:rPr>
          <w:rFonts w:cs="Arial"/>
          <w:sz w:val="22"/>
          <w:szCs w:val="22"/>
        </w:rPr>
      </w:pPr>
    </w:p>
    <w:p w14:paraId="5893FA5B" w14:textId="77777777" w:rsidR="000923BB" w:rsidRDefault="000923BB" w:rsidP="000923BB">
      <w:pPr>
        <w:jc w:val="both"/>
        <w:rPr>
          <w:rFonts w:cs="Arial"/>
          <w:sz w:val="22"/>
          <w:szCs w:val="22"/>
        </w:rPr>
      </w:pPr>
      <w:r>
        <w:rPr>
          <w:rFonts w:cs="Arial"/>
          <w:sz w:val="22"/>
          <w:szCs w:val="22"/>
        </w:rPr>
        <w:t xml:space="preserve">The potential need for NHS research governance review existed in both parts of the study.  However, because the data collection was being undertaken by hospital staff, the results were available to the individual hospital and the research team were not undertaking data collection on the hospital premises, the project was seen by research governance departments as akin to the national clinical audit programmes from which learning is derived as a result of the use of anonymous, collated data. No study hospital required that a full research governance review should be undertaken, although initial discussions were held with a number of research governance teams and the offer to undertake the governance review process was made to all hospitals. </w:t>
      </w:r>
    </w:p>
    <w:p w14:paraId="3FF84BFA" w14:textId="77777777" w:rsidR="000923BB" w:rsidRPr="00122F87" w:rsidRDefault="000923BB" w:rsidP="000923BB">
      <w:pPr>
        <w:jc w:val="both"/>
        <w:rPr>
          <w:rFonts w:cs="Arial"/>
        </w:rPr>
      </w:pPr>
      <w:r w:rsidRPr="00122F87">
        <w:rPr>
          <w:rFonts w:cs="Arial"/>
          <w:b/>
          <w:bCs/>
        </w:rPr>
        <w:t xml:space="preserve">Results </w:t>
      </w:r>
    </w:p>
    <w:p w14:paraId="33878445" w14:textId="77777777" w:rsidR="000923BB" w:rsidRDefault="000923BB" w:rsidP="000923BB">
      <w:pPr>
        <w:ind w:left="1440"/>
        <w:jc w:val="both"/>
        <w:rPr>
          <w:rFonts w:cs="Arial"/>
          <w:sz w:val="22"/>
          <w:szCs w:val="22"/>
        </w:rPr>
      </w:pPr>
    </w:p>
    <w:p w14:paraId="70EA2BB9" w14:textId="77777777" w:rsidR="000923BB" w:rsidRDefault="000923BB" w:rsidP="000923BB">
      <w:pPr>
        <w:jc w:val="both"/>
        <w:rPr>
          <w:rFonts w:cs="Arial"/>
          <w:sz w:val="22"/>
          <w:szCs w:val="22"/>
        </w:rPr>
      </w:pPr>
      <w:r>
        <w:rPr>
          <w:rFonts w:cs="Arial"/>
          <w:sz w:val="22"/>
          <w:szCs w:val="22"/>
        </w:rPr>
        <w:t>Across the nine hospitals, 38 reviewers undertook 1473 holistic reviews and 1389 criterion based reviews (a total of 684 clinical records were reviewed). The numbers of case notes reviewed by each individual ranged from nine to 50 (Table 2)</w:t>
      </w:r>
      <w:r>
        <w:rPr>
          <w:rFonts w:cs="Arial"/>
          <w:i/>
          <w:iCs/>
          <w:sz w:val="22"/>
          <w:szCs w:val="22"/>
        </w:rPr>
        <w:t>.</w:t>
      </w:r>
      <w:r>
        <w:rPr>
          <w:rFonts w:cs="Arial"/>
          <w:sz w:val="22"/>
          <w:szCs w:val="22"/>
        </w:rPr>
        <w:t xml:space="preserve"> Variation in the numbers of reviews achieved was related to job rotations, local workload pressures and difficulties in obtaining clinical records.  </w:t>
      </w:r>
    </w:p>
    <w:p w14:paraId="629C3E2F" w14:textId="77777777" w:rsidR="000923BB" w:rsidRDefault="000923BB" w:rsidP="000923BB">
      <w:pPr>
        <w:jc w:val="both"/>
        <w:rPr>
          <w:rFonts w:cs="Arial"/>
          <w:sz w:val="22"/>
          <w:szCs w:val="22"/>
        </w:rPr>
      </w:pPr>
    </w:p>
    <w:p w14:paraId="1F0A7328" w14:textId="77777777" w:rsidR="009148F2" w:rsidRDefault="009148F2" w:rsidP="000923BB">
      <w:pPr>
        <w:rPr>
          <w:rFonts w:cs="Arial"/>
          <w:b/>
          <w:bCs/>
          <w:sz w:val="20"/>
          <w:szCs w:val="20"/>
        </w:rPr>
      </w:pPr>
    </w:p>
    <w:p w14:paraId="6EF09674" w14:textId="77777777" w:rsidR="009148F2" w:rsidRDefault="009148F2" w:rsidP="000923BB">
      <w:pPr>
        <w:rPr>
          <w:rFonts w:cs="Arial"/>
          <w:b/>
          <w:bCs/>
          <w:sz w:val="20"/>
          <w:szCs w:val="20"/>
        </w:rPr>
      </w:pPr>
    </w:p>
    <w:p w14:paraId="1EC8C093" w14:textId="77777777" w:rsidR="009148F2" w:rsidRDefault="009148F2" w:rsidP="000923BB">
      <w:pPr>
        <w:rPr>
          <w:rFonts w:cs="Arial"/>
          <w:b/>
          <w:bCs/>
          <w:sz w:val="20"/>
          <w:szCs w:val="20"/>
        </w:rPr>
      </w:pPr>
    </w:p>
    <w:p w14:paraId="1690988D" w14:textId="77777777" w:rsidR="009148F2" w:rsidRDefault="009148F2" w:rsidP="000923BB">
      <w:pPr>
        <w:rPr>
          <w:rFonts w:cs="Arial"/>
          <w:b/>
          <w:bCs/>
          <w:sz w:val="20"/>
          <w:szCs w:val="20"/>
        </w:rPr>
      </w:pPr>
    </w:p>
    <w:p w14:paraId="44392832" w14:textId="77777777" w:rsidR="009148F2" w:rsidRDefault="009148F2" w:rsidP="000923BB">
      <w:pPr>
        <w:rPr>
          <w:rFonts w:cs="Arial"/>
          <w:b/>
          <w:bCs/>
          <w:sz w:val="20"/>
          <w:szCs w:val="20"/>
        </w:rPr>
      </w:pPr>
    </w:p>
    <w:p w14:paraId="5FC7F13C" w14:textId="77777777" w:rsidR="009148F2" w:rsidRDefault="009148F2" w:rsidP="000923BB">
      <w:pPr>
        <w:rPr>
          <w:rFonts w:cs="Arial"/>
          <w:b/>
          <w:bCs/>
          <w:sz w:val="20"/>
          <w:szCs w:val="20"/>
        </w:rPr>
      </w:pPr>
    </w:p>
    <w:p w14:paraId="147E7A4B" w14:textId="77777777" w:rsidR="009148F2" w:rsidRDefault="009148F2" w:rsidP="000923BB">
      <w:pPr>
        <w:rPr>
          <w:rFonts w:cs="Arial"/>
          <w:b/>
          <w:bCs/>
          <w:sz w:val="20"/>
          <w:szCs w:val="20"/>
        </w:rPr>
      </w:pPr>
    </w:p>
    <w:p w14:paraId="53264D83" w14:textId="77777777" w:rsidR="009148F2" w:rsidRDefault="009148F2" w:rsidP="000923BB">
      <w:pPr>
        <w:rPr>
          <w:rFonts w:cs="Arial"/>
          <w:b/>
          <w:bCs/>
          <w:sz w:val="20"/>
          <w:szCs w:val="20"/>
        </w:rPr>
      </w:pPr>
    </w:p>
    <w:p w14:paraId="7F787241" w14:textId="77777777" w:rsidR="009148F2" w:rsidRDefault="009148F2" w:rsidP="000923BB">
      <w:pPr>
        <w:rPr>
          <w:rFonts w:cs="Arial"/>
          <w:b/>
          <w:bCs/>
          <w:sz w:val="20"/>
          <w:szCs w:val="20"/>
        </w:rPr>
      </w:pPr>
    </w:p>
    <w:p w14:paraId="4AC41562" w14:textId="77777777" w:rsidR="000923BB" w:rsidRDefault="000923BB" w:rsidP="000923BB">
      <w:pPr>
        <w:rPr>
          <w:rFonts w:cs="Arial"/>
          <w:b/>
          <w:bCs/>
          <w:sz w:val="20"/>
          <w:szCs w:val="20"/>
        </w:rPr>
      </w:pPr>
      <w:r>
        <w:rPr>
          <w:rFonts w:cs="Arial"/>
          <w:b/>
          <w:bCs/>
          <w:sz w:val="20"/>
          <w:szCs w:val="20"/>
        </w:rPr>
        <w:lastRenderedPageBreak/>
        <w:t xml:space="preserve">Table 2: Summary of number of case note reviews and review staff per hospital </w:t>
      </w:r>
    </w:p>
    <w:tbl>
      <w:tblPr>
        <w:tblW w:w="8176" w:type="dxa"/>
        <w:tblInd w:w="103" w:type="dxa"/>
        <w:tblLayout w:type="fixed"/>
        <w:tblCellMar>
          <w:left w:w="57" w:type="dxa"/>
          <w:right w:w="57" w:type="dxa"/>
        </w:tblCellMar>
        <w:tblLook w:val="0000" w:firstRow="0" w:lastRow="0" w:firstColumn="0" w:lastColumn="0" w:noHBand="0" w:noVBand="0"/>
      </w:tblPr>
      <w:tblGrid>
        <w:gridCol w:w="663"/>
        <w:gridCol w:w="1701"/>
        <w:gridCol w:w="851"/>
        <w:gridCol w:w="992"/>
        <w:gridCol w:w="1984"/>
        <w:gridCol w:w="851"/>
        <w:gridCol w:w="1134"/>
      </w:tblGrid>
      <w:tr w:rsidR="000923BB" w14:paraId="35DB42C2" w14:textId="77777777" w:rsidTr="009148F2">
        <w:trPr>
          <w:trHeight w:val="325"/>
        </w:trPr>
        <w:tc>
          <w:tcPr>
            <w:tcW w:w="663" w:type="dxa"/>
            <w:tcBorders>
              <w:top w:val="single" w:sz="4" w:space="0" w:color="auto"/>
              <w:left w:val="single" w:sz="4" w:space="0" w:color="auto"/>
              <w:bottom w:val="single" w:sz="4" w:space="0" w:color="auto"/>
              <w:right w:val="single" w:sz="4" w:space="0" w:color="auto"/>
            </w:tcBorders>
          </w:tcPr>
          <w:p w14:paraId="5F752E7C" w14:textId="77777777" w:rsidR="000923BB" w:rsidRDefault="000923BB" w:rsidP="003A385F">
            <w:pPr>
              <w:rPr>
                <w:rFonts w:cs="Arial"/>
                <w:sz w:val="20"/>
                <w:szCs w:val="20"/>
                <w:lang w:val="en-US"/>
              </w:rPr>
            </w:pPr>
            <w:r>
              <w:rPr>
                <w:rFonts w:cs="Arial"/>
                <w:sz w:val="20"/>
                <w:szCs w:val="20"/>
                <w:lang w:val="en-US"/>
              </w:rPr>
              <w:t> </w:t>
            </w:r>
          </w:p>
        </w:tc>
        <w:tc>
          <w:tcPr>
            <w:tcW w:w="3544" w:type="dxa"/>
            <w:gridSpan w:val="3"/>
            <w:tcBorders>
              <w:top w:val="single" w:sz="4" w:space="0" w:color="auto"/>
              <w:left w:val="nil"/>
              <w:bottom w:val="single" w:sz="4" w:space="0" w:color="auto"/>
              <w:right w:val="single" w:sz="4" w:space="0" w:color="auto"/>
            </w:tcBorders>
            <w:tcMar>
              <w:top w:w="11" w:type="dxa"/>
              <w:left w:w="57" w:type="dxa"/>
              <w:bottom w:w="11" w:type="dxa"/>
              <w:right w:w="57" w:type="dxa"/>
            </w:tcMar>
            <w:vAlign w:val="center"/>
          </w:tcPr>
          <w:p w14:paraId="2D853BBE" w14:textId="77777777" w:rsidR="000923BB" w:rsidRDefault="000923BB" w:rsidP="003A385F">
            <w:pPr>
              <w:jc w:val="center"/>
              <w:rPr>
                <w:rFonts w:cs="Arial"/>
                <w:b/>
                <w:bCs/>
                <w:sz w:val="20"/>
                <w:szCs w:val="20"/>
                <w:lang w:val="en-US"/>
              </w:rPr>
            </w:pPr>
            <w:r>
              <w:rPr>
                <w:rFonts w:cs="Arial"/>
                <w:b/>
                <w:bCs/>
                <w:sz w:val="20"/>
                <w:szCs w:val="20"/>
                <w:lang w:val="en-US"/>
              </w:rPr>
              <w:t>COPD</w:t>
            </w:r>
          </w:p>
        </w:tc>
        <w:tc>
          <w:tcPr>
            <w:tcW w:w="3969" w:type="dxa"/>
            <w:gridSpan w:val="3"/>
            <w:tcBorders>
              <w:top w:val="single" w:sz="4" w:space="0" w:color="auto"/>
              <w:left w:val="nil"/>
              <w:bottom w:val="single" w:sz="4" w:space="0" w:color="auto"/>
              <w:right w:val="single" w:sz="4" w:space="0" w:color="auto"/>
            </w:tcBorders>
            <w:tcMar>
              <w:left w:w="57" w:type="dxa"/>
              <w:right w:w="57" w:type="dxa"/>
            </w:tcMar>
            <w:vAlign w:val="center"/>
          </w:tcPr>
          <w:p w14:paraId="6B51A2B1" w14:textId="77777777" w:rsidR="000923BB" w:rsidRDefault="000923BB" w:rsidP="003A385F">
            <w:pPr>
              <w:jc w:val="center"/>
              <w:rPr>
                <w:rFonts w:cs="Arial"/>
                <w:b/>
                <w:bCs/>
                <w:sz w:val="20"/>
                <w:szCs w:val="20"/>
                <w:lang w:val="en-US"/>
              </w:rPr>
            </w:pPr>
            <w:r>
              <w:rPr>
                <w:rFonts w:cs="Arial"/>
                <w:b/>
                <w:bCs/>
                <w:sz w:val="20"/>
                <w:szCs w:val="20"/>
                <w:lang w:val="en-US"/>
              </w:rPr>
              <w:t>Heart Failure</w:t>
            </w:r>
          </w:p>
        </w:tc>
      </w:tr>
      <w:tr w:rsidR="000923BB" w14:paraId="605D0967" w14:textId="77777777" w:rsidTr="009148F2">
        <w:trPr>
          <w:trHeight w:val="423"/>
        </w:trPr>
        <w:tc>
          <w:tcPr>
            <w:tcW w:w="663" w:type="dxa"/>
            <w:tcBorders>
              <w:top w:val="single" w:sz="4" w:space="0" w:color="auto"/>
              <w:left w:val="single" w:sz="4" w:space="0" w:color="auto"/>
              <w:bottom w:val="single" w:sz="4" w:space="0" w:color="auto"/>
              <w:right w:val="single" w:sz="4" w:space="0" w:color="auto"/>
            </w:tcBorders>
          </w:tcPr>
          <w:p w14:paraId="379CDA07" w14:textId="5AE9A4FF" w:rsidR="000923BB" w:rsidRDefault="00003011" w:rsidP="003A385F">
            <w:pPr>
              <w:rPr>
                <w:rFonts w:cs="Arial"/>
                <w:b/>
                <w:bCs/>
                <w:sz w:val="20"/>
                <w:szCs w:val="20"/>
                <w:lang w:val="en-US"/>
              </w:rPr>
            </w:pPr>
            <w:r>
              <w:rPr>
                <w:noProof/>
                <w:sz w:val="20"/>
                <w:lang w:val="en-US"/>
              </w:rPr>
              <mc:AlternateContent>
                <mc:Choice Requires="wps">
                  <w:drawing>
                    <wp:anchor distT="0" distB="0" distL="114300" distR="114300" simplePos="0" relativeHeight="252606464" behindDoc="0" locked="0" layoutInCell="1" allowOverlap="1" wp14:anchorId="3BF7C7BA" wp14:editId="3318D67F">
                      <wp:simplePos x="0" y="0"/>
                      <wp:positionH relativeFrom="column">
                        <wp:posOffset>0</wp:posOffset>
                      </wp:positionH>
                      <wp:positionV relativeFrom="paragraph">
                        <wp:posOffset>123825</wp:posOffset>
                      </wp:positionV>
                      <wp:extent cx="304800" cy="790575"/>
                      <wp:effectExtent l="0" t="4445" r="1270" b="0"/>
                      <wp:wrapNone/>
                      <wp:docPr id="1455" name="AutoShape 981"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7905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37E02" id="AutoShape 981" o:spid="_x0000_s1026" alt="Selecting an example from Help" style="position:absolute;margin-left:0;margin-top:9.75pt;width:24pt;height:62.2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" filled="f" stroked="f">
                      <o:lock v:ext="edit" aspectratio="t"/>
                    </v:rect>
                  </w:pict>
                </mc:Fallback>
              </mc:AlternateContent>
            </w:r>
            <w:r>
              <w:rPr>
                <w:noProof/>
                <w:sz w:val="20"/>
                <w:lang w:val="en-US"/>
              </w:rPr>
              <mc:AlternateContent>
                <mc:Choice Requires="wps">
                  <w:drawing>
                    <wp:anchor distT="0" distB="0" distL="114300" distR="114300" simplePos="0" relativeHeight="252607488" behindDoc="0" locked="0" layoutInCell="1" allowOverlap="1" wp14:anchorId="2BB5F9B2" wp14:editId="64884220">
                      <wp:simplePos x="0" y="0"/>
                      <wp:positionH relativeFrom="column">
                        <wp:posOffset>0</wp:posOffset>
                      </wp:positionH>
                      <wp:positionV relativeFrom="paragraph">
                        <wp:posOffset>123825</wp:posOffset>
                      </wp:positionV>
                      <wp:extent cx="304800" cy="790575"/>
                      <wp:effectExtent l="0" t="4445" r="1270" b="0"/>
                      <wp:wrapNone/>
                      <wp:docPr id="1454" name="AutoShape 982"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7905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DA316" id="AutoShape 982" o:spid="_x0000_s1026" alt="Selecting an example from Help" style="position:absolute;margin-left:0;margin-top:9.75pt;width:24pt;height:62.2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" filled="f" stroked="f">
                      <o:lock v:ext="edit" aspectratio="t"/>
                    </v:rect>
                  </w:pict>
                </mc:Fallback>
              </mc:AlternateContent>
            </w:r>
            <w:r>
              <w:rPr>
                <w:noProof/>
                <w:sz w:val="20"/>
                <w:lang w:val="en-US"/>
              </w:rPr>
              <mc:AlternateContent>
                <mc:Choice Requires="wps">
                  <w:drawing>
                    <wp:anchor distT="0" distB="0" distL="114300" distR="114300" simplePos="0" relativeHeight="252608512" behindDoc="0" locked="0" layoutInCell="1" allowOverlap="1" wp14:anchorId="7F38F44E" wp14:editId="15D46A6D">
                      <wp:simplePos x="0" y="0"/>
                      <wp:positionH relativeFrom="column">
                        <wp:posOffset>0</wp:posOffset>
                      </wp:positionH>
                      <wp:positionV relativeFrom="paragraph">
                        <wp:posOffset>123825</wp:posOffset>
                      </wp:positionV>
                      <wp:extent cx="304800" cy="790575"/>
                      <wp:effectExtent l="0" t="4445" r="1270" b="0"/>
                      <wp:wrapNone/>
                      <wp:docPr id="1453" name="AutoShape 983"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7905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17223" id="AutoShape 983" o:spid="_x0000_s1026" alt="Selecting an example from Help" style="position:absolute;margin-left:0;margin-top:9.75pt;width:24pt;height:62.2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" filled="f" stroked="f">
                      <o:lock v:ext="edit" aspectratio="t"/>
                    </v:rect>
                  </w:pict>
                </mc:Fallback>
              </mc:AlternateContent>
            </w:r>
            <w:r w:rsidR="000923BB">
              <w:rPr>
                <w:rFonts w:cs="Arial"/>
                <w:b/>
                <w:bCs/>
                <w:sz w:val="20"/>
                <w:szCs w:val="20"/>
                <w:lang w:val="en-US"/>
              </w:rPr>
              <w:t>Site</w:t>
            </w:r>
          </w:p>
        </w:tc>
        <w:tc>
          <w:tcPr>
            <w:tcW w:w="1701" w:type="dxa"/>
            <w:tcBorders>
              <w:top w:val="single" w:sz="4" w:space="0" w:color="auto"/>
              <w:left w:val="nil"/>
              <w:bottom w:val="single" w:sz="4" w:space="0" w:color="auto"/>
              <w:right w:val="single" w:sz="4" w:space="0" w:color="999999"/>
            </w:tcBorders>
            <w:tcMar>
              <w:top w:w="11" w:type="dxa"/>
              <w:left w:w="57" w:type="dxa"/>
              <w:bottom w:w="11" w:type="dxa"/>
              <w:right w:w="57" w:type="dxa"/>
            </w:tcMar>
          </w:tcPr>
          <w:p w14:paraId="1765184F" w14:textId="77777777" w:rsidR="000923BB" w:rsidRDefault="000923BB" w:rsidP="003A385F">
            <w:pPr>
              <w:rPr>
                <w:rFonts w:cs="Arial"/>
                <w:b/>
                <w:bCs/>
                <w:sz w:val="20"/>
                <w:szCs w:val="20"/>
                <w:lang w:val="en-US"/>
              </w:rPr>
            </w:pPr>
            <w:r>
              <w:rPr>
                <w:rFonts w:cs="Arial"/>
                <w:b/>
                <w:bCs/>
                <w:sz w:val="20"/>
                <w:szCs w:val="20"/>
                <w:lang w:val="en-US"/>
              </w:rPr>
              <w:t>Review staff types</w:t>
            </w:r>
          </w:p>
        </w:tc>
        <w:tc>
          <w:tcPr>
            <w:tcW w:w="851" w:type="dxa"/>
            <w:tcBorders>
              <w:top w:val="single" w:sz="4" w:space="0" w:color="auto"/>
              <w:left w:val="single" w:sz="4" w:space="0" w:color="999999"/>
              <w:bottom w:val="single" w:sz="4" w:space="0" w:color="auto"/>
              <w:right w:val="single" w:sz="4" w:space="0" w:color="999999"/>
            </w:tcBorders>
            <w:tcMar>
              <w:left w:w="57" w:type="dxa"/>
              <w:right w:w="57" w:type="dxa"/>
            </w:tcMar>
          </w:tcPr>
          <w:p w14:paraId="1C625968" w14:textId="12C3FA74" w:rsidR="000923BB" w:rsidRDefault="00003011" w:rsidP="003A385F">
            <w:pPr>
              <w:rPr>
                <w:rFonts w:cs="Arial"/>
                <w:b/>
                <w:bCs/>
                <w:sz w:val="20"/>
                <w:szCs w:val="20"/>
                <w:lang w:val="en-US"/>
              </w:rPr>
            </w:pPr>
            <w:r>
              <w:rPr>
                <w:noProof/>
                <w:sz w:val="20"/>
                <w:lang w:val="en-US"/>
              </w:rPr>
              <mc:AlternateContent>
                <mc:Choice Requires="wps">
                  <w:drawing>
                    <wp:anchor distT="0" distB="0" distL="114300" distR="114300" simplePos="0" relativeHeight="252609536" behindDoc="0" locked="0" layoutInCell="1" allowOverlap="1" wp14:anchorId="470161F3" wp14:editId="7E335800">
                      <wp:simplePos x="0" y="0"/>
                      <wp:positionH relativeFrom="column">
                        <wp:posOffset>0</wp:posOffset>
                      </wp:positionH>
                      <wp:positionV relativeFrom="paragraph">
                        <wp:posOffset>647700</wp:posOffset>
                      </wp:positionV>
                      <wp:extent cx="304800" cy="276225"/>
                      <wp:effectExtent l="4445" t="4445" r="0" b="0"/>
                      <wp:wrapNone/>
                      <wp:docPr id="1452" name="AutoShape 984">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34C7E" id="AutoShape 984" o:spid="_x0000_s1026" href="" style="position:absolute;margin-left:0;margin-top:51pt;width:24pt;height:21.7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610560" behindDoc="0" locked="0" layoutInCell="1" allowOverlap="1" wp14:anchorId="1B178CCF" wp14:editId="2144AD1F">
                      <wp:simplePos x="0" y="0"/>
                      <wp:positionH relativeFrom="column">
                        <wp:posOffset>0</wp:posOffset>
                      </wp:positionH>
                      <wp:positionV relativeFrom="paragraph">
                        <wp:posOffset>647700</wp:posOffset>
                      </wp:positionV>
                      <wp:extent cx="304800" cy="276225"/>
                      <wp:effectExtent l="4445" t="4445" r="0" b="0"/>
                      <wp:wrapNone/>
                      <wp:docPr id="1451" name="AutoShape 985"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4CA99" id="AutoShape 985" o:spid="_x0000_s1026" alt="Selecting an example from Help" style="position:absolute;margin-left:0;margin-top:51pt;width:24pt;height:21.75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" filled="f" stroked="f">
                      <o:lock v:ext="edit" aspectratio="t"/>
                    </v:rect>
                  </w:pict>
                </mc:Fallback>
              </mc:AlternateContent>
            </w:r>
            <w:r>
              <w:rPr>
                <w:noProof/>
                <w:sz w:val="20"/>
                <w:lang w:val="en-US"/>
              </w:rPr>
              <mc:AlternateContent>
                <mc:Choice Requires="wps">
                  <w:drawing>
                    <wp:anchor distT="0" distB="0" distL="114300" distR="114300" simplePos="0" relativeHeight="252611584" behindDoc="0" locked="0" layoutInCell="1" allowOverlap="1" wp14:anchorId="71819965" wp14:editId="45874023">
                      <wp:simplePos x="0" y="0"/>
                      <wp:positionH relativeFrom="column">
                        <wp:posOffset>0</wp:posOffset>
                      </wp:positionH>
                      <wp:positionV relativeFrom="paragraph">
                        <wp:posOffset>123825</wp:posOffset>
                      </wp:positionV>
                      <wp:extent cx="304800" cy="790575"/>
                      <wp:effectExtent l="4445" t="4445" r="0" b="0"/>
                      <wp:wrapNone/>
                      <wp:docPr id="1450" name="AutoShape 986"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7905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C127C" id="AutoShape 986" o:spid="_x0000_s1026" alt="Selecting an example from Help" style="position:absolute;margin-left:0;margin-top:9.75pt;width:24pt;height:62.2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" filled="f" stroked="f">
                      <o:lock v:ext="edit" aspectratio="t"/>
                    </v:rect>
                  </w:pict>
                </mc:Fallback>
              </mc:AlternateContent>
            </w:r>
            <w:r>
              <w:rPr>
                <w:noProof/>
                <w:sz w:val="20"/>
                <w:lang w:val="en-US"/>
              </w:rPr>
              <mc:AlternateContent>
                <mc:Choice Requires="wps">
                  <w:drawing>
                    <wp:anchor distT="0" distB="0" distL="114300" distR="114300" simplePos="0" relativeHeight="252612608" behindDoc="0" locked="0" layoutInCell="1" allowOverlap="1" wp14:anchorId="13E69A60" wp14:editId="0B847784">
                      <wp:simplePos x="0" y="0"/>
                      <wp:positionH relativeFrom="column">
                        <wp:posOffset>0</wp:posOffset>
                      </wp:positionH>
                      <wp:positionV relativeFrom="paragraph">
                        <wp:posOffset>123825</wp:posOffset>
                      </wp:positionV>
                      <wp:extent cx="304800" cy="790575"/>
                      <wp:effectExtent l="4445" t="4445" r="0" b="0"/>
                      <wp:wrapNone/>
                      <wp:docPr id="1449" name="AutoShape 987"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7905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29336" id="AutoShape 987" o:spid="_x0000_s1026" alt="Selecting an example from Help" style="position:absolute;margin-left:0;margin-top:9.75pt;width:24pt;height:62.2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" filled="f" stroked="f">
                      <o:lock v:ext="edit" aspectratio="t"/>
                    </v:rect>
                  </w:pict>
                </mc:Fallback>
              </mc:AlternateContent>
            </w:r>
            <w:r w:rsidR="000923BB">
              <w:rPr>
                <w:rFonts w:cs="Arial"/>
                <w:b/>
                <w:bCs/>
                <w:sz w:val="20"/>
                <w:szCs w:val="20"/>
                <w:lang w:val="en-US"/>
              </w:rPr>
              <w:t>Holistic reviews</w:t>
            </w:r>
          </w:p>
        </w:tc>
        <w:tc>
          <w:tcPr>
            <w:tcW w:w="992" w:type="dxa"/>
            <w:tcBorders>
              <w:top w:val="single" w:sz="4" w:space="0" w:color="auto"/>
              <w:left w:val="single" w:sz="4" w:space="0" w:color="999999"/>
              <w:bottom w:val="single" w:sz="4" w:space="0" w:color="auto"/>
              <w:right w:val="single" w:sz="4" w:space="0" w:color="auto"/>
            </w:tcBorders>
            <w:tcMar>
              <w:left w:w="57" w:type="dxa"/>
              <w:right w:w="57" w:type="dxa"/>
            </w:tcMar>
          </w:tcPr>
          <w:p w14:paraId="040CA1EF" w14:textId="77777777" w:rsidR="000923BB" w:rsidRDefault="000923BB" w:rsidP="003A385F">
            <w:pPr>
              <w:rPr>
                <w:rFonts w:cs="Arial"/>
                <w:b/>
                <w:bCs/>
                <w:sz w:val="20"/>
                <w:szCs w:val="20"/>
                <w:lang w:val="en-US"/>
              </w:rPr>
            </w:pPr>
            <w:r>
              <w:rPr>
                <w:rFonts w:cs="Arial"/>
                <w:b/>
                <w:bCs/>
                <w:sz w:val="20"/>
                <w:szCs w:val="20"/>
                <w:lang w:val="en-US"/>
              </w:rPr>
              <w:t>Criterion based reviews</w:t>
            </w:r>
          </w:p>
        </w:tc>
        <w:tc>
          <w:tcPr>
            <w:tcW w:w="1984" w:type="dxa"/>
            <w:tcBorders>
              <w:top w:val="single" w:sz="4" w:space="0" w:color="auto"/>
              <w:left w:val="nil"/>
              <w:bottom w:val="single" w:sz="4" w:space="0" w:color="auto"/>
              <w:right w:val="single" w:sz="4" w:space="0" w:color="999999"/>
            </w:tcBorders>
            <w:tcMar>
              <w:left w:w="57" w:type="dxa"/>
              <w:right w:w="57" w:type="dxa"/>
            </w:tcMar>
          </w:tcPr>
          <w:p w14:paraId="73ACF54F" w14:textId="77777777" w:rsidR="000923BB" w:rsidRDefault="000923BB" w:rsidP="003A385F">
            <w:pPr>
              <w:rPr>
                <w:rFonts w:cs="Arial"/>
                <w:b/>
                <w:bCs/>
                <w:sz w:val="20"/>
                <w:szCs w:val="20"/>
                <w:lang w:val="en-US"/>
              </w:rPr>
            </w:pPr>
            <w:r>
              <w:rPr>
                <w:rFonts w:cs="Arial"/>
                <w:b/>
                <w:bCs/>
                <w:sz w:val="20"/>
                <w:szCs w:val="20"/>
                <w:lang w:val="en-US"/>
              </w:rPr>
              <w:t>Review staff types</w:t>
            </w:r>
          </w:p>
        </w:tc>
        <w:tc>
          <w:tcPr>
            <w:tcW w:w="851" w:type="dxa"/>
            <w:tcBorders>
              <w:top w:val="single" w:sz="4" w:space="0" w:color="auto"/>
              <w:left w:val="single" w:sz="4" w:space="0" w:color="999999"/>
              <w:bottom w:val="single" w:sz="4" w:space="0" w:color="auto"/>
              <w:right w:val="single" w:sz="4" w:space="0" w:color="999999"/>
            </w:tcBorders>
            <w:tcMar>
              <w:left w:w="57" w:type="dxa"/>
              <w:right w:w="57" w:type="dxa"/>
            </w:tcMar>
          </w:tcPr>
          <w:p w14:paraId="4D4BCD56" w14:textId="752480CC" w:rsidR="000923BB" w:rsidRDefault="000923BB" w:rsidP="003A385F">
            <w:pPr>
              <w:rPr>
                <w:rFonts w:cs="Arial"/>
                <w:b/>
                <w:bCs/>
                <w:sz w:val="20"/>
                <w:szCs w:val="20"/>
                <w:lang w:val="en-US"/>
              </w:rPr>
            </w:pPr>
            <w:r>
              <w:rPr>
                <w:rFonts w:cs="Arial"/>
                <w:b/>
                <w:bCs/>
                <w:sz w:val="20"/>
                <w:szCs w:val="20"/>
                <w:lang w:val="en-US"/>
              </w:rPr>
              <w:t>Holistic reviews</w:t>
            </w:r>
            <w:r w:rsidR="00003011">
              <w:rPr>
                <w:noProof/>
                <w:sz w:val="20"/>
                <w:lang w:val="en-US"/>
              </w:rPr>
              <mc:AlternateContent>
                <mc:Choice Requires="wps">
                  <w:drawing>
                    <wp:anchor distT="0" distB="0" distL="114300" distR="114300" simplePos="0" relativeHeight="252613632" behindDoc="0" locked="0" layoutInCell="1" allowOverlap="1" wp14:anchorId="10BD10E5" wp14:editId="555691CE">
                      <wp:simplePos x="0" y="0"/>
                      <wp:positionH relativeFrom="column">
                        <wp:posOffset>0</wp:posOffset>
                      </wp:positionH>
                      <wp:positionV relativeFrom="paragraph">
                        <wp:posOffset>647700</wp:posOffset>
                      </wp:positionV>
                      <wp:extent cx="304800" cy="276225"/>
                      <wp:effectExtent l="0" t="4445" r="3810" b="0"/>
                      <wp:wrapNone/>
                      <wp:docPr id="1448" name="AutoShape 988">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A58EA" id="AutoShape 988" o:spid="_x0000_s1026" href="" style="position:absolute;margin-left:0;margin-top:51pt;width:24pt;height:21.7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" o:button="t" filled="f" stroked="f">
                      <v:fill o:detectmouseclick="t"/>
                      <o:lock v:ext="edit" aspectratio="t"/>
                    </v:rect>
                  </w:pict>
                </mc:Fallback>
              </mc:AlternateContent>
            </w:r>
            <w:r w:rsidR="00003011">
              <w:rPr>
                <w:noProof/>
                <w:sz w:val="20"/>
                <w:lang w:val="en-US"/>
              </w:rPr>
              <mc:AlternateContent>
                <mc:Choice Requires="wps">
                  <w:drawing>
                    <wp:anchor distT="0" distB="0" distL="114300" distR="114300" simplePos="0" relativeHeight="252614656" behindDoc="0" locked="0" layoutInCell="1" allowOverlap="1" wp14:anchorId="403DE7A0" wp14:editId="17E3C1D9">
                      <wp:simplePos x="0" y="0"/>
                      <wp:positionH relativeFrom="column">
                        <wp:posOffset>0</wp:posOffset>
                      </wp:positionH>
                      <wp:positionV relativeFrom="paragraph">
                        <wp:posOffset>647700</wp:posOffset>
                      </wp:positionV>
                      <wp:extent cx="304800" cy="276225"/>
                      <wp:effectExtent l="0" t="4445" r="3810" b="0"/>
                      <wp:wrapNone/>
                      <wp:docPr id="1447" name="AutoShape 989"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3C690" id="AutoShape 989" o:spid="_x0000_s1026" alt="Selecting an example from Help" style="position:absolute;margin-left:0;margin-top:51pt;width:24pt;height:21.7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" filled="f" stroked="f">
                      <o:lock v:ext="edit" aspectratio="t"/>
                    </v:rect>
                  </w:pict>
                </mc:Fallback>
              </mc:AlternateContent>
            </w:r>
            <w:r w:rsidR="00003011">
              <w:rPr>
                <w:noProof/>
                <w:sz w:val="20"/>
                <w:lang w:val="en-US"/>
              </w:rPr>
              <mc:AlternateContent>
                <mc:Choice Requires="wps">
                  <w:drawing>
                    <wp:anchor distT="0" distB="0" distL="114300" distR="114300" simplePos="0" relativeHeight="252615680" behindDoc="0" locked="0" layoutInCell="1" allowOverlap="1" wp14:anchorId="21EBB513" wp14:editId="586EBD96">
                      <wp:simplePos x="0" y="0"/>
                      <wp:positionH relativeFrom="column">
                        <wp:posOffset>0</wp:posOffset>
                      </wp:positionH>
                      <wp:positionV relativeFrom="paragraph">
                        <wp:posOffset>123825</wp:posOffset>
                      </wp:positionV>
                      <wp:extent cx="304800" cy="790575"/>
                      <wp:effectExtent l="0" t="4445" r="3810" b="0"/>
                      <wp:wrapNone/>
                      <wp:docPr id="1446" name="AutoShape 990"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7905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35988" id="AutoShape 990" o:spid="_x0000_s1026" alt="Selecting an example from Help" style="position:absolute;margin-left:0;margin-top:9.75pt;width:24pt;height:62.2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" filled="f" stroked="f">
                      <o:lock v:ext="edit" aspectratio="t"/>
                    </v:rect>
                  </w:pict>
                </mc:Fallback>
              </mc:AlternateContent>
            </w:r>
            <w:r w:rsidR="00003011">
              <w:rPr>
                <w:noProof/>
                <w:sz w:val="20"/>
                <w:lang w:val="en-US"/>
              </w:rPr>
              <mc:AlternateContent>
                <mc:Choice Requires="wps">
                  <w:drawing>
                    <wp:anchor distT="0" distB="0" distL="114300" distR="114300" simplePos="0" relativeHeight="252616704" behindDoc="0" locked="0" layoutInCell="1" allowOverlap="1" wp14:anchorId="6A8E6C79" wp14:editId="1CAE504A">
                      <wp:simplePos x="0" y="0"/>
                      <wp:positionH relativeFrom="column">
                        <wp:posOffset>0</wp:posOffset>
                      </wp:positionH>
                      <wp:positionV relativeFrom="paragraph">
                        <wp:posOffset>123825</wp:posOffset>
                      </wp:positionV>
                      <wp:extent cx="304800" cy="790575"/>
                      <wp:effectExtent l="0" t="4445" r="3810" b="0"/>
                      <wp:wrapNone/>
                      <wp:docPr id="1445" name="AutoShape 991"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7905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B923D" id="AutoShape 991" o:spid="_x0000_s1026" alt="Selecting an example from Help" style="position:absolute;margin-left:0;margin-top:9.75pt;width:24pt;height:62.2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" filled="f" stroked="f">
                      <o:lock v:ext="edit" aspectratio="t"/>
                    </v:rect>
                  </w:pict>
                </mc:Fallback>
              </mc:AlternateContent>
            </w:r>
          </w:p>
        </w:tc>
        <w:tc>
          <w:tcPr>
            <w:tcW w:w="1134" w:type="dxa"/>
            <w:tcBorders>
              <w:top w:val="single" w:sz="4" w:space="0" w:color="auto"/>
              <w:left w:val="single" w:sz="4" w:space="0" w:color="999999"/>
              <w:bottom w:val="single" w:sz="4" w:space="0" w:color="auto"/>
              <w:right w:val="single" w:sz="4" w:space="0" w:color="auto"/>
            </w:tcBorders>
            <w:tcMar>
              <w:left w:w="57" w:type="dxa"/>
              <w:right w:w="57" w:type="dxa"/>
            </w:tcMar>
          </w:tcPr>
          <w:p w14:paraId="70113CF9" w14:textId="77777777" w:rsidR="000923BB" w:rsidRDefault="000923BB" w:rsidP="003A385F">
            <w:pPr>
              <w:rPr>
                <w:rFonts w:cs="Arial"/>
                <w:b/>
                <w:bCs/>
                <w:sz w:val="20"/>
                <w:szCs w:val="20"/>
                <w:lang w:val="en-US"/>
              </w:rPr>
            </w:pPr>
            <w:r>
              <w:rPr>
                <w:rFonts w:cs="Arial"/>
                <w:b/>
                <w:bCs/>
                <w:sz w:val="20"/>
                <w:szCs w:val="20"/>
                <w:lang w:val="en-US"/>
              </w:rPr>
              <w:t>Criterion based reviews</w:t>
            </w:r>
          </w:p>
        </w:tc>
      </w:tr>
      <w:tr w:rsidR="000923BB" w14:paraId="38329054" w14:textId="77777777" w:rsidTr="009148F2">
        <w:trPr>
          <w:trHeight w:val="255"/>
        </w:trPr>
        <w:tc>
          <w:tcPr>
            <w:tcW w:w="663" w:type="dxa"/>
            <w:tcBorders>
              <w:top w:val="single" w:sz="4" w:space="0" w:color="auto"/>
              <w:left w:val="single" w:sz="4" w:space="0" w:color="auto"/>
              <w:bottom w:val="nil"/>
              <w:right w:val="single" w:sz="4" w:space="0" w:color="auto"/>
            </w:tcBorders>
          </w:tcPr>
          <w:p w14:paraId="6C3E9273" w14:textId="77777777" w:rsidR="000923BB" w:rsidRDefault="000923BB" w:rsidP="003A385F">
            <w:pPr>
              <w:rPr>
                <w:rFonts w:cs="Arial"/>
                <w:sz w:val="20"/>
                <w:szCs w:val="20"/>
                <w:lang w:val="en-US"/>
              </w:rPr>
            </w:pPr>
            <w:r>
              <w:rPr>
                <w:rFonts w:cs="Arial"/>
                <w:sz w:val="20"/>
                <w:szCs w:val="20"/>
                <w:lang w:val="en-US"/>
              </w:rPr>
              <w:t>A</w:t>
            </w:r>
          </w:p>
        </w:tc>
        <w:tc>
          <w:tcPr>
            <w:tcW w:w="1701" w:type="dxa"/>
            <w:tcBorders>
              <w:top w:val="single" w:sz="4" w:space="0" w:color="auto"/>
              <w:left w:val="nil"/>
              <w:bottom w:val="nil"/>
              <w:right w:val="single" w:sz="4" w:space="0" w:color="999999"/>
            </w:tcBorders>
            <w:tcMar>
              <w:top w:w="11" w:type="dxa"/>
              <w:left w:w="57" w:type="dxa"/>
              <w:bottom w:w="11" w:type="dxa"/>
              <w:right w:w="57" w:type="dxa"/>
            </w:tcMar>
          </w:tcPr>
          <w:p w14:paraId="37854468" w14:textId="77777777" w:rsidR="000923BB" w:rsidRDefault="000923BB" w:rsidP="003A385F">
            <w:pPr>
              <w:rPr>
                <w:rFonts w:cs="Arial"/>
                <w:sz w:val="20"/>
                <w:szCs w:val="20"/>
                <w:lang w:val="en-US"/>
              </w:rPr>
            </w:pPr>
            <w:r>
              <w:rPr>
                <w:rFonts w:cs="Arial"/>
                <w:sz w:val="20"/>
                <w:szCs w:val="20"/>
                <w:lang w:val="en-US"/>
              </w:rPr>
              <w:t>Non-clinical audit</w:t>
            </w:r>
          </w:p>
        </w:tc>
        <w:tc>
          <w:tcPr>
            <w:tcW w:w="851" w:type="dxa"/>
            <w:tcBorders>
              <w:top w:val="single" w:sz="4" w:space="0" w:color="auto"/>
              <w:left w:val="single" w:sz="4" w:space="0" w:color="999999"/>
              <w:bottom w:val="nil"/>
              <w:right w:val="single" w:sz="4" w:space="0" w:color="999999"/>
            </w:tcBorders>
            <w:tcMar>
              <w:left w:w="57" w:type="dxa"/>
              <w:right w:w="57" w:type="dxa"/>
            </w:tcMar>
          </w:tcPr>
          <w:p w14:paraId="0E9E22B9" w14:textId="77777777" w:rsidR="000923BB" w:rsidRDefault="000923BB" w:rsidP="003A385F">
            <w:pPr>
              <w:jc w:val="center"/>
              <w:rPr>
                <w:rFonts w:cs="Arial"/>
                <w:sz w:val="20"/>
                <w:szCs w:val="20"/>
                <w:lang w:val="en-US"/>
              </w:rPr>
            </w:pPr>
            <w:r>
              <w:rPr>
                <w:rFonts w:cs="Arial"/>
                <w:sz w:val="20"/>
                <w:szCs w:val="20"/>
                <w:lang w:val="en-US"/>
              </w:rPr>
              <w:t>49</w:t>
            </w:r>
          </w:p>
        </w:tc>
        <w:tc>
          <w:tcPr>
            <w:tcW w:w="992" w:type="dxa"/>
            <w:tcBorders>
              <w:top w:val="single" w:sz="4" w:space="0" w:color="auto"/>
              <w:left w:val="single" w:sz="4" w:space="0" w:color="999999"/>
              <w:bottom w:val="nil"/>
              <w:right w:val="single" w:sz="4" w:space="0" w:color="auto"/>
            </w:tcBorders>
            <w:tcMar>
              <w:left w:w="57" w:type="dxa"/>
              <w:right w:w="57" w:type="dxa"/>
            </w:tcMar>
          </w:tcPr>
          <w:p w14:paraId="63A6DDFC" w14:textId="77777777" w:rsidR="000923BB" w:rsidRDefault="000923BB" w:rsidP="003A385F">
            <w:pPr>
              <w:jc w:val="center"/>
              <w:rPr>
                <w:rFonts w:cs="Arial"/>
                <w:sz w:val="20"/>
                <w:szCs w:val="20"/>
                <w:lang w:val="en-US"/>
              </w:rPr>
            </w:pPr>
            <w:r>
              <w:rPr>
                <w:rFonts w:cs="Arial"/>
                <w:sz w:val="20"/>
                <w:szCs w:val="20"/>
                <w:lang w:val="en-US"/>
              </w:rPr>
              <w:t>30</w:t>
            </w:r>
          </w:p>
        </w:tc>
        <w:tc>
          <w:tcPr>
            <w:tcW w:w="1984" w:type="dxa"/>
            <w:tcBorders>
              <w:top w:val="single" w:sz="4" w:space="0" w:color="auto"/>
              <w:left w:val="nil"/>
              <w:bottom w:val="nil"/>
              <w:right w:val="single" w:sz="4" w:space="0" w:color="999999"/>
            </w:tcBorders>
            <w:tcMar>
              <w:left w:w="57" w:type="dxa"/>
              <w:right w:w="57" w:type="dxa"/>
            </w:tcMar>
          </w:tcPr>
          <w:p w14:paraId="139EF107" w14:textId="77777777" w:rsidR="000923BB" w:rsidRDefault="000923BB" w:rsidP="003A385F">
            <w:pPr>
              <w:rPr>
                <w:rFonts w:cs="Arial"/>
                <w:sz w:val="20"/>
                <w:szCs w:val="20"/>
                <w:lang w:val="en-US"/>
              </w:rPr>
            </w:pPr>
            <w:r>
              <w:rPr>
                <w:rFonts w:cs="Arial"/>
                <w:sz w:val="20"/>
                <w:szCs w:val="20"/>
                <w:lang w:val="en-US"/>
              </w:rPr>
              <w:t>Doctor</w:t>
            </w:r>
          </w:p>
        </w:tc>
        <w:tc>
          <w:tcPr>
            <w:tcW w:w="851" w:type="dxa"/>
            <w:tcBorders>
              <w:top w:val="single" w:sz="4" w:space="0" w:color="auto"/>
              <w:left w:val="single" w:sz="4" w:space="0" w:color="999999"/>
              <w:bottom w:val="nil"/>
              <w:right w:val="single" w:sz="4" w:space="0" w:color="999999"/>
            </w:tcBorders>
            <w:tcMar>
              <w:left w:w="57" w:type="dxa"/>
              <w:right w:w="57" w:type="dxa"/>
            </w:tcMar>
          </w:tcPr>
          <w:p w14:paraId="53916346" w14:textId="77777777" w:rsidR="000923BB" w:rsidRDefault="000923BB" w:rsidP="003A385F">
            <w:pPr>
              <w:jc w:val="center"/>
              <w:rPr>
                <w:rFonts w:cs="Arial"/>
                <w:sz w:val="20"/>
                <w:szCs w:val="20"/>
                <w:lang w:val="en-US"/>
              </w:rPr>
            </w:pPr>
            <w:r>
              <w:rPr>
                <w:rFonts w:cs="Arial"/>
                <w:sz w:val="20"/>
                <w:szCs w:val="20"/>
                <w:lang w:val="en-US"/>
              </w:rPr>
              <w:t>11</w:t>
            </w:r>
          </w:p>
        </w:tc>
        <w:tc>
          <w:tcPr>
            <w:tcW w:w="1134" w:type="dxa"/>
            <w:tcBorders>
              <w:top w:val="single" w:sz="4" w:space="0" w:color="auto"/>
              <w:left w:val="single" w:sz="4" w:space="0" w:color="999999"/>
              <w:bottom w:val="nil"/>
              <w:right w:val="single" w:sz="4" w:space="0" w:color="auto"/>
            </w:tcBorders>
            <w:tcMar>
              <w:left w:w="57" w:type="dxa"/>
              <w:right w:w="57" w:type="dxa"/>
            </w:tcMar>
          </w:tcPr>
          <w:p w14:paraId="0B9A4415" w14:textId="77777777" w:rsidR="000923BB" w:rsidRDefault="000923BB" w:rsidP="003A385F">
            <w:pPr>
              <w:jc w:val="center"/>
              <w:rPr>
                <w:rFonts w:cs="Arial"/>
                <w:sz w:val="20"/>
                <w:szCs w:val="20"/>
                <w:lang w:val="en-US"/>
              </w:rPr>
            </w:pPr>
            <w:r>
              <w:rPr>
                <w:rFonts w:cs="Arial"/>
                <w:sz w:val="20"/>
                <w:szCs w:val="20"/>
                <w:lang w:val="en-US"/>
              </w:rPr>
              <w:t>11</w:t>
            </w:r>
          </w:p>
        </w:tc>
      </w:tr>
      <w:tr w:rsidR="000923BB" w14:paraId="57E1E3B6" w14:textId="77777777" w:rsidTr="009148F2">
        <w:trPr>
          <w:trHeight w:val="255"/>
        </w:trPr>
        <w:tc>
          <w:tcPr>
            <w:tcW w:w="663" w:type="dxa"/>
            <w:tcBorders>
              <w:top w:val="nil"/>
              <w:left w:val="single" w:sz="4" w:space="0" w:color="auto"/>
              <w:bottom w:val="nil"/>
              <w:right w:val="single" w:sz="4" w:space="0" w:color="auto"/>
            </w:tcBorders>
          </w:tcPr>
          <w:p w14:paraId="06D7B0EC" w14:textId="77777777" w:rsidR="000923BB" w:rsidRDefault="000923BB" w:rsidP="003A385F">
            <w:pPr>
              <w:rPr>
                <w:rFonts w:cs="Arial"/>
                <w:sz w:val="20"/>
                <w:szCs w:val="20"/>
                <w:lang w:val="en-US"/>
              </w:rPr>
            </w:pPr>
            <w:r>
              <w:rPr>
                <w:rFonts w:cs="Arial"/>
                <w:sz w:val="20"/>
                <w:szCs w:val="20"/>
                <w:lang w:val="en-US"/>
              </w:rPr>
              <w:t> </w:t>
            </w:r>
          </w:p>
        </w:tc>
        <w:tc>
          <w:tcPr>
            <w:tcW w:w="1701" w:type="dxa"/>
            <w:tcBorders>
              <w:top w:val="nil"/>
              <w:left w:val="nil"/>
              <w:bottom w:val="nil"/>
              <w:right w:val="single" w:sz="4" w:space="0" w:color="999999"/>
            </w:tcBorders>
            <w:tcMar>
              <w:top w:w="11" w:type="dxa"/>
              <w:left w:w="57" w:type="dxa"/>
              <w:bottom w:w="11" w:type="dxa"/>
              <w:right w:w="57" w:type="dxa"/>
            </w:tcMar>
          </w:tcPr>
          <w:p w14:paraId="1BAB0F60" w14:textId="77777777" w:rsidR="000923BB" w:rsidRDefault="000923BB" w:rsidP="003A385F">
            <w:pPr>
              <w:rPr>
                <w:rFonts w:cs="Arial"/>
                <w:sz w:val="20"/>
                <w:szCs w:val="20"/>
                <w:lang w:val="en-US"/>
              </w:rPr>
            </w:pPr>
            <w:r>
              <w:rPr>
                <w:rFonts w:cs="Arial"/>
                <w:sz w:val="20"/>
                <w:szCs w:val="20"/>
                <w:lang w:val="en-US"/>
              </w:rPr>
              <w:t>Non-clinical audit</w:t>
            </w:r>
          </w:p>
        </w:tc>
        <w:tc>
          <w:tcPr>
            <w:tcW w:w="851" w:type="dxa"/>
            <w:tcBorders>
              <w:top w:val="nil"/>
              <w:left w:val="single" w:sz="4" w:space="0" w:color="999999"/>
              <w:bottom w:val="nil"/>
              <w:right w:val="single" w:sz="4" w:space="0" w:color="999999"/>
            </w:tcBorders>
            <w:tcMar>
              <w:left w:w="57" w:type="dxa"/>
              <w:right w:w="57" w:type="dxa"/>
            </w:tcMar>
          </w:tcPr>
          <w:p w14:paraId="0C798DDA" w14:textId="77777777" w:rsidR="000923BB" w:rsidRDefault="000923BB" w:rsidP="003A385F">
            <w:pPr>
              <w:jc w:val="center"/>
              <w:rPr>
                <w:rFonts w:cs="Arial"/>
                <w:sz w:val="20"/>
                <w:szCs w:val="20"/>
                <w:lang w:val="en-US"/>
              </w:rPr>
            </w:pPr>
            <w:r>
              <w:rPr>
                <w:rFonts w:cs="Arial"/>
                <w:sz w:val="20"/>
                <w:szCs w:val="20"/>
                <w:lang w:val="en-US"/>
              </w:rPr>
              <w:t>49</w:t>
            </w:r>
          </w:p>
        </w:tc>
        <w:tc>
          <w:tcPr>
            <w:tcW w:w="992" w:type="dxa"/>
            <w:tcBorders>
              <w:top w:val="nil"/>
              <w:left w:val="single" w:sz="4" w:space="0" w:color="999999"/>
              <w:bottom w:val="nil"/>
              <w:right w:val="single" w:sz="4" w:space="0" w:color="auto"/>
            </w:tcBorders>
            <w:tcMar>
              <w:left w:w="57" w:type="dxa"/>
              <w:right w:w="57" w:type="dxa"/>
            </w:tcMar>
          </w:tcPr>
          <w:p w14:paraId="2E438B9C" w14:textId="77777777" w:rsidR="000923BB" w:rsidRDefault="000923BB" w:rsidP="003A385F">
            <w:pPr>
              <w:jc w:val="center"/>
              <w:rPr>
                <w:rFonts w:cs="Arial"/>
                <w:sz w:val="20"/>
                <w:szCs w:val="20"/>
                <w:lang w:val="en-US"/>
              </w:rPr>
            </w:pPr>
            <w:r>
              <w:rPr>
                <w:rFonts w:cs="Arial"/>
                <w:sz w:val="20"/>
                <w:szCs w:val="20"/>
                <w:lang w:val="en-US"/>
              </w:rPr>
              <w:t>44</w:t>
            </w:r>
          </w:p>
        </w:tc>
        <w:tc>
          <w:tcPr>
            <w:tcW w:w="1984" w:type="dxa"/>
            <w:tcBorders>
              <w:top w:val="nil"/>
              <w:left w:val="nil"/>
              <w:bottom w:val="nil"/>
              <w:right w:val="single" w:sz="4" w:space="0" w:color="999999"/>
            </w:tcBorders>
            <w:noWrap/>
            <w:tcMar>
              <w:left w:w="57" w:type="dxa"/>
              <w:right w:w="57" w:type="dxa"/>
            </w:tcMar>
          </w:tcPr>
          <w:p w14:paraId="704FA7FA" w14:textId="77777777" w:rsidR="000923BB" w:rsidRDefault="000923BB" w:rsidP="003A385F">
            <w:pPr>
              <w:rPr>
                <w:rFonts w:cs="Arial"/>
                <w:sz w:val="20"/>
                <w:szCs w:val="20"/>
                <w:lang w:val="en-US"/>
              </w:rPr>
            </w:pPr>
            <w:r>
              <w:rPr>
                <w:rFonts w:cs="Arial"/>
                <w:sz w:val="20"/>
                <w:szCs w:val="20"/>
                <w:lang w:val="en-US"/>
              </w:rPr>
              <w:t>Non-clinical audit</w:t>
            </w:r>
          </w:p>
        </w:tc>
        <w:tc>
          <w:tcPr>
            <w:tcW w:w="851" w:type="dxa"/>
            <w:tcBorders>
              <w:top w:val="nil"/>
              <w:left w:val="single" w:sz="4" w:space="0" w:color="999999"/>
              <w:bottom w:val="nil"/>
              <w:right w:val="single" w:sz="4" w:space="0" w:color="999999"/>
            </w:tcBorders>
            <w:noWrap/>
            <w:tcMar>
              <w:left w:w="57" w:type="dxa"/>
              <w:right w:w="57" w:type="dxa"/>
            </w:tcMar>
          </w:tcPr>
          <w:p w14:paraId="3AEC0686" w14:textId="77777777" w:rsidR="000923BB" w:rsidRDefault="000923BB" w:rsidP="003A385F">
            <w:pPr>
              <w:jc w:val="center"/>
              <w:rPr>
                <w:rFonts w:cs="Arial"/>
                <w:sz w:val="20"/>
                <w:szCs w:val="20"/>
                <w:lang w:val="en-US"/>
              </w:rPr>
            </w:pPr>
            <w:r>
              <w:rPr>
                <w:rFonts w:cs="Arial"/>
                <w:sz w:val="20"/>
                <w:szCs w:val="20"/>
                <w:lang w:val="en-US"/>
              </w:rPr>
              <w:t>12</w:t>
            </w:r>
          </w:p>
        </w:tc>
        <w:tc>
          <w:tcPr>
            <w:tcW w:w="1134" w:type="dxa"/>
            <w:tcBorders>
              <w:top w:val="nil"/>
              <w:left w:val="single" w:sz="4" w:space="0" w:color="999999"/>
              <w:bottom w:val="nil"/>
              <w:right w:val="single" w:sz="4" w:space="0" w:color="auto"/>
            </w:tcBorders>
            <w:noWrap/>
            <w:tcMar>
              <w:left w:w="57" w:type="dxa"/>
              <w:right w:w="57" w:type="dxa"/>
            </w:tcMar>
          </w:tcPr>
          <w:p w14:paraId="0BC32151" w14:textId="77777777" w:rsidR="000923BB" w:rsidRDefault="000923BB" w:rsidP="003A385F">
            <w:pPr>
              <w:jc w:val="center"/>
              <w:rPr>
                <w:rFonts w:cs="Arial"/>
                <w:sz w:val="20"/>
                <w:szCs w:val="20"/>
                <w:lang w:val="en-US"/>
              </w:rPr>
            </w:pPr>
            <w:r>
              <w:rPr>
                <w:rFonts w:cs="Arial"/>
                <w:sz w:val="20"/>
                <w:szCs w:val="20"/>
                <w:lang w:val="en-US"/>
              </w:rPr>
              <w:t>12</w:t>
            </w:r>
          </w:p>
        </w:tc>
      </w:tr>
      <w:tr w:rsidR="000923BB" w14:paraId="76BC580A" w14:textId="77777777" w:rsidTr="009148F2">
        <w:trPr>
          <w:trHeight w:val="255"/>
        </w:trPr>
        <w:tc>
          <w:tcPr>
            <w:tcW w:w="663" w:type="dxa"/>
            <w:tcBorders>
              <w:top w:val="nil"/>
              <w:left w:val="single" w:sz="4" w:space="0" w:color="auto"/>
              <w:bottom w:val="single" w:sz="4" w:space="0" w:color="auto"/>
              <w:right w:val="single" w:sz="4" w:space="0" w:color="auto"/>
            </w:tcBorders>
          </w:tcPr>
          <w:p w14:paraId="0FE99B4E" w14:textId="77777777" w:rsidR="000923BB" w:rsidRDefault="000923BB" w:rsidP="003A385F">
            <w:pPr>
              <w:rPr>
                <w:rFonts w:cs="Arial"/>
                <w:sz w:val="20"/>
                <w:szCs w:val="20"/>
                <w:lang w:val="en-US"/>
              </w:rPr>
            </w:pPr>
            <w:r>
              <w:rPr>
                <w:rFonts w:cs="Arial"/>
                <w:sz w:val="20"/>
                <w:szCs w:val="20"/>
                <w:lang w:val="en-US"/>
              </w:rPr>
              <w:t> </w:t>
            </w:r>
          </w:p>
        </w:tc>
        <w:tc>
          <w:tcPr>
            <w:tcW w:w="1701" w:type="dxa"/>
            <w:tcBorders>
              <w:top w:val="nil"/>
              <w:left w:val="nil"/>
              <w:bottom w:val="single" w:sz="4" w:space="0" w:color="auto"/>
              <w:right w:val="single" w:sz="4" w:space="0" w:color="999999"/>
            </w:tcBorders>
            <w:tcMar>
              <w:top w:w="11" w:type="dxa"/>
              <w:left w:w="57" w:type="dxa"/>
              <w:bottom w:w="11" w:type="dxa"/>
              <w:right w:w="57" w:type="dxa"/>
            </w:tcMar>
          </w:tcPr>
          <w:p w14:paraId="0FF7BF2E" w14:textId="77777777" w:rsidR="000923BB" w:rsidRDefault="000923BB" w:rsidP="003A385F">
            <w:pPr>
              <w:rPr>
                <w:rFonts w:cs="Arial"/>
                <w:sz w:val="20"/>
                <w:szCs w:val="20"/>
                <w:lang w:val="en-US"/>
              </w:rPr>
            </w:pPr>
            <w:r>
              <w:rPr>
                <w:rFonts w:cs="Arial"/>
                <w:sz w:val="20"/>
                <w:szCs w:val="20"/>
                <w:lang w:val="en-US"/>
              </w:rPr>
              <w:t>Doctor</w:t>
            </w:r>
          </w:p>
        </w:tc>
        <w:tc>
          <w:tcPr>
            <w:tcW w:w="851" w:type="dxa"/>
            <w:tcBorders>
              <w:top w:val="nil"/>
              <w:left w:val="single" w:sz="4" w:space="0" w:color="999999"/>
              <w:bottom w:val="single" w:sz="4" w:space="0" w:color="auto"/>
              <w:right w:val="single" w:sz="4" w:space="0" w:color="999999"/>
            </w:tcBorders>
            <w:tcMar>
              <w:left w:w="57" w:type="dxa"/>
              <w:right w:w="57" w:type="dxa"/>
            </w:tcMar>
          </w:tcPr>
          <w:p w14:paraId="2E6DF1E6" w14:textId="77777777" w:rsidR="000923BB" w:rsidRDefault="000923BB" w:rsidP="003A385F">
            <w:pPr>
              <w:jc w:val="center"/>
              <w:rPr>
                <w:rFonts w:cs="Arial"/>
                <w:sz w:val="20"/>
                <w:szCs w:val="20"/>
                <w:lang w:val="en-US"/>
              </w:rPr>
            </w:pPr>
            <w:r>
              <w:rPr>
                <w:rFonts w:cs="Arial"/>
                <w:sz w:val="20"/>
                <w:szCs w:val="20"/>
                <w:lang w:val="en-US"/>
              </w:rPr>
              <w:t>48</w:t>
            </w:r>
          </w:p>
        </w:tc>
        <w:tc>
          <w:tcPr>
            <w:tcW w:w="992" w:type="dxa"/>
            <w:tcBorders>
              <w:top w:val="nil"/>
              <w:left w:val="single" w:sz="4" w:space="0" w:color="999999"/>
              <w:bottom w:val="single" w:sz="4" w:space="0" w:color="auto"/>
              <w:right w:val="single" w:sz="4" w:space="0" w:color="auto"/>
            </w:tcBorders>
            <w:tcMar>
              <w:left w:w="57" w:type="dxa"/>
              <w:right w:w="57" w:type="dxa"/>
            </w:tcMar>
          </w:tcPr>
          <w:p w14:paraId="4AE5C225" w14:textId="77777777" w:rsidR="000923BB" w:rsidRDefault="000923BB" w:rsidP="003A385F">
            <w:pPr>
              <w:jc w:val="center"/>
              <w:rPr>
                <w:rFonts w:cs="Arial"/>
                <w:sz w:val="20"/>
                <w:szCs w:val="20"/>
                <w:lang w:val="en-US"/>
              </w:rPr>
            </w:pPr>
            <w:r>
              <w:rPr>
                <w:rFonts w:cs="Arial"/>
                <w:sz w:val="20"/>
                <w:szCs w:val="20"/>
                <w:lang w:val="en-US"/>
              </w:rPr>
              <w:t>33</w:t>
            </w:r>
          </w:p>
        </w:tc>
        <w:tc>
          <w:tcPr>
            <w:tcW w:w="1984" w:type="dxa"/>
            <w:tcBorders>
              <w:top w:val="nil"/>
              <w:left w:val="nil"/>
              <w:bottom w:val="single" w:sz="4" w:space="0" w:color="auto"/>
              <w:right w:val="single" w:sz="4" w:space="0" w:color="999999"/>
            </w:tcBorders>
            <w:noWrap/>
            <w:tcMar>
              <w:left w:w="57" w:type="dxa"/>
              <w:right w:w="57" w:type="dxa"/>
            </w:tcMar>
          </w:tcPr>
          <w:p w14:paraId="6B55EB1E" w14:textId="77777777" w:rsidR="000923BB" w:rsidRDefault="000923BB" w:rsidP="003A385F">
            <w:pPr>
              <w:rPr>
                <w:rFonts w:cs="Arial"/>
                <w:sz w:val="20"/>
                <w:szCs w:val="20"/>
                <w:lang w:val="en-US"/>
              </w:rPr>
            </w:pPr>
            <w:r>
              <w:rPr>
                <w:rFonts w:cs="Arial"/>
                <w:sz w:val="20"/>
                <w:szCs w:val="20"/>
                <w:lang w:val="en-US"/>
              </w:rPr>
              <w:t> </w:t>
            </w:r>
          </w:p>
        </w:tc>
        <w:tc>
          <w:tcPr>
            <w:tcW w:w="851" w:type="dxa"/>
            <w:tcBorders>
              <w:top w:val="nil"/>
              <w:left w:val="single" w:sz="4" w:space="0" w:color="999999"/>
              <w:bottom w:val="single" w:sz="4" w:space="0" w:color="auto"/>
              <w:right w:val="single" w:sz="4" w:space="0" w:color="999999"/>
            </w:tcBorders>
            <w:noWrap/>
            <w:tcMar>
              <w:left w:w="57" w:type="dxa"/>
              <w:right w:w="57" w:type="dxa"/>
            </w:tcMar>
          </w:tcPr>
          <w:p w14:paraId="5A29CA65" w14:textId="77777777" w:rsidR="000923BB" w:rsidRDefault="000923BB" w:rsidP="003A385F">
            <w:pPr>
              <w:jc w:val="center"/>
              <w:rPr>
                <w:rFonts w:cs="Arial"/>
                <w:sz w:val="20"/>
                <w:szCs w:val="20"/>
                <w:lang w:val="en-US"/>
              </w:rPr>
            </w:pPr>
          </w:p>
        </w:tc>
        <w:tc>
          <w:tcPr>
            <w:tcW w:w="1134" w:type="dxa"/>
            <w:tcBorders>
              <w:top w:val="nil"/>
              <w:left w:val="single" w:sz="4" w:space="0" w:color="999999"/>
              <w:bottom w:val="single" w:sz="4" w:space="0" w:color="auto"/>
              <w:right w:val="single" w:sz="4" w:space="0" w:color="auto"/>
            </w:tcBorders>
            <w:noWrap/>
            <w:tcMar>
              <w:left w:w="57" w:type="dxa"/>
              <w:right w:w="57" w:type="dxa"/>
            </w:tcMar>
          </w:tcPr>
          <w:p w14:paraId="10465F22" w14:textId="77777777" w:rsidR="000923BB" w:rsidRDefault="000923BB" w:rsidP="003A385F">
            <w:pPr>
              <w:jc w:val="center"/>
              <w:rPr>
                <w:rFonts w:cs="Arial"/>
                <w:sz w:val="20"/>
                <w:szCs w:val="20"/>
                <w:lang w:val="en-US"/>
              </w:rPr>
            </w:pPr>
          </w:p>
        </w:tc>
      </w:tr>
      <w:tr w:rsidR="000923BB" w14:paraId="4066610A" w14:textId="77777777" w:rsidTr="009148F2">
        <w:trPr>
          <w:trHeight w:val="261"/>
        </w:trPr>
        <w:tc>
          <w:tcPr>
            <w:tcW w:w="663" w:type="dxa"/>
            <w:tcBorders>
              <w:top w:val="single" w:sz="4" w:space="0" w:color="auto"/>
              <w:left w:val="single" w:sz="4" w:space="0" w:color="auto"/>
              <w:bottom w:val="nil"/>
              <w:right w:val="single" w:sz="4" w:space="0" w:color="auto"/>
            </w:tcBorders>
          </w:tcPr>
          <w:p w14:paraId="328A7CC8" w14:textId="77777777" w:rsidR="000923BB" w:rsidRDefault="000923BB" w:rsidP="003A385F">
            <w:pPr>
              <w:rPr>
                <w:rFonts w:cs="Arial"/>
                <w:sz w:val="20"/>
                <w:szCs w:val="20"/>
                <w:lang w:val="en-US"/>
              </w:rPr>
            </w:pPr>
            <w:r>
              <w:rPr>
                <w:rFonts w:cs="Arial"/>
                <w:sz w:val="20"/>
                <w:szCs w:val="20"/>
                <w:lang w:val="en-US"/>
              </w:rPr>
              <w:t>B</w:t>
            </w:r>
          </w:p>
        </w:tc>
        <w:tc>
          <w:tcPr>
            <w:tcW w:w="1701" w:type="dxa"/>
            <w:tcBorders>
              <w:top w:val="single" w:sz="4" w:space="0" w:color="auto"/>
              <w:left w:val="single" w:sz="4" w:space="0" w:color="auto"/>
              <w:bottom w:val="nil"/>
              <w:right w:val="single" w:sz="4" w:space="0" w:color="999999"/>
            </w:tcBorders>
            <w:tcMar>
              <w:top w:w="11" w:type="dxa"/>
              <w:left w:w="57" w:type="dxa"/>
              <w:bottom w:w="11" w:type="dxa"/>
              <w:right w:w="57" w:type="dxa"/>
            </w:tcMar>
          </w:tcPr>
          <w:p w14:paraId="05E1D5F5" w14:textId="77777777" w:rsidR="000923BB" w:rsidRDefault="000923BB" w:rsidP="003A385F">
            <w:pPr>
              <w:rPr>
                <w:rFonts w:cs="Arial"/>
                <w:sz w:val="20"/>
                <w:szCs w:val="20"/>
                <w:lang w:val="en-US"/>
              </w:rPr>
            </w:pPr>
            <w:r>
              <w:rPr>
                <w:rFonts w:cs="Arial"/>
                <w:sz w:val="20"/>
                <w:szCs w:val="20"/>
                <w:lang w:val="en-US"/>
              </w:rPr>
              <w:t>Non-clinical audit</w:t>
            </w:r>
          </w:p>
        </w:tc>
        <w:tc>
          <w:tcPr>
            <w:tcW w:w="851" w:type="dxa"/>
            <w:tcBorders>
              <w:top w:val="single" w:sz="4" w:space="0" w:color="auto"/>
              <w:left w:val="single" w:sz="4" w:space="0" w:color="999999"/>
              <w:bottom w:val="nil"/>
              <w:right w:val="single" w:sz="4" w:space="0" w:color="999999"/>
            </w:tcBorders>
            <w:tcMar>
              <w:left w:w="57" w:type="dxa"/>
              <w:right w:w="57" w:type="dxa"/>
            </w:tcMar>
          </w:tcPr>
          <w:p w14:paraId="43D9CE8D" w14:textId="4E62B4B4" w:rsidR="000923BB" w:rsidRDefault="00003011" w:rsidP="003A385F">
            <w:pPr>
              <w:jc w:val="center"/>
              <w:rPr>
                <w:rFonts w:cs="Arial"/>
                <w:sz w:val="20"/>
                <w:szCs w:val="20"/>
                <w:lang w:val="en-US"/>
              </w:rPr>
            </w:pPr>
            <w:r>
              <w:rPr>
                <w:noProof/>
                <w:sz w:val="20"/>
                <w:lang w:val="en-US"/>
              </w:rPr>
              <mc:AlternateContent>
                <mc:Choice Requires="wps">
                  <w:drawing>
                    <wp:anchor distT="0" distB="0" distL="114300" distR="114300" simplePos="0" relativeHeight="252449792" behindDoc="0" locked="0" layoutInCell="1" allowOverlap="1" wp14:anchorId="74E43E3D" wp14:editId="5A06B536">
                      <wp:simplePos x="0" y="0"/>
                      <wp:positionH relativeFrom="column">
                        <wp:posOffset>0</wp:posOffset>
                      </wp:positionH>
                      <wp:positionV relativeFrom="paragraph">
                        <wp:posOffset>0</wp:posOffset>
                      </wp:positionV>
                      <wp:extent cx="304800" cy="1038225"/>
                      <wp:effectExtent l="4445" t="0" r="0" b="1905"/>
                      <wp:wrapNone/>
                      <wp:docPr id="1444" name="AutoShape 828">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038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60385" id="AutoShape 828" o:spid="_x0000_s1026" href="" style="position:absolute;margin-left:0;margin-top:0;width:24pt;height:81.7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50816" behindDoc="0" locked="0" layoutInCell="1" allowOverlap="1" wp14:anchorId="733493A8" wp14:editId="5BF00D87">
                      <wp:simplePos x="0" y="0"/>
                      <wp:positionH relativeFrom="column">
                        <wp:posOffset>0</wp:posOffset>
                      </wp:positionH>
                      <wp:positionV relativeFrom="paragraph">
                        <wp:posOffset>0</wp:posOffset>
                      </wp:positionV>
                      <wp:extent cx="304800" cy="1038225"/>
                      <wp:effectExtent l="4445" t="0" r="0" b="1905"/>
                      <wp:wrapNone/>
                      <wp:docPr id="1443" name="AutoShape 829"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038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D1A4D" id="AutoShape 829" o:spid="_x0000_s1026" alt="Selecting an example from Help" style="position:absolute;margin-left:0;margin-top:0;width:24pt;height:81.7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" filled="f" stroked="f">
                      <o:lock v:ext="edit" aspectratio="t"/>
                    </v:rect>
                  </w:pict>
                </mc:Fallback>
              </mc:AlternateContent>
            </w:r>
            <w:r>
              <w:rPr>
                <w:noProof/>
                <w:sz w:val="20"/>
                <w:lang w:val="en-US"/>
              </w:rPr>
              <mc:AlternateContent>
                <mc:Choice Requires="wps">
                  <w:drawing>
                    <wp:anchor distT="0" distB="0" distL="114300" distR="114300" simplePos="0" relativeHeight="252451840" behindDoc="0" locked="0" layoutInCell="1" allowOverlap="1" wp14:anchorId="43118AA5" wp14:editId="77B17E0F">
                      <wp:simplePos x="0" y="0"/>
                      <wp:positionH relativeFrom="column">
                        <wp:posOffset>0</wp:posOffset>
                      </wp:positionH>
                      <wp:positionV relativeFrom="paragraph">
                        <wp:posOffset>809625</wp:posOffset>
                      </wp:positionV>
                      <wp:extent cx="304800" cy="466725"/>
                      <wp:effectExtent l="4445" t="0" r="0" b="1905"/>
                      <wp:wrapNone/>
                      <wp:docPr id="1442" name="AutoShape 830">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667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2FA9D" id="AutoShape 830" o:spid="_x0000_s1026" href="" style="position:absolute;margin-left:0;margin-top:63.75pt;width:24pt;height:36.7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52864" behindDoc="0" locked="0" layoutInCell="1" allowOverlap="1" wp14:anchorId="1300A41A" wp14:editId="669B4F0D">
                      <wp:simplePos x="0" y="0"/>
                      <wp:positionH relativeFrom="column">
                        <wp:posOffset>0</wp:posOffset>
                      </wp:positionH>
                      <wp:positionV relativeFrom="paragraph">
                        <wp:posOffset>809625</wp:posOffset>
                      </wp:positionV>
                      <wp:extent cx="304800" cy="466725"/>
                      <wp:effectExtent l="4445" t="0" r="0" b="1905"/>
                      <wp:wrapNone/>
                      <wp:docPr id="1441" name="AutoShape 831"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667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31713" id="AutoShape 831" o:spid="_x0000_s1026" alt="Selecting an example from Help" style="position:absolute;margin-left:0;margin-top:63.75pt;width:24pt;height:36.7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" filled="f" stroked="f">
                      <o:lock v:ext="edit" aspectratio="t"/>
                    </v:rect>
                  </w:pict>
                </mc:Fallback>
              </mc:AlternateContent>
            </w:r>
            <w:r>
              <w:rPr>
                <w:noProof/>
                <w:sz w:val="20"/>
                <w:lang w:val="en-US"/>
              </w:rPr>
              <mc:AlternateContent>
                <mc:Choice Requires="wps">
                  <w:drawing>
                    <wp:anchor distT="0" distB="0" distL="114300" distR="114300" simplePos="0" relativeHeight="252453888" behindDoc="0" locked="0" layoutInCell="1" allowOverlap="1" wp14:anchorId="1AA429DA" wp14:editId="249E4A70">
                      <wp:simplePos x="0" y="0"/>
                      <wp:positionH relativeFrom="column">
                        <wp:posOffset>0</wp:posOffset>
                      </wp:positionH>
                      <wp:positionV relativeFrom="paragraph">
                        <wp:posOffset>809625</wp:posOffset>
                      </wp:positionV>
                      <wp:extent cx="304800" cy="476250"/>
                      <wp:effectExtent l="4445" t="0" r="0" b="1905"/>
                      <wp:wrapNone/>
                      <wp:docPr id="1440" name="AutoShape 832">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76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CA6D9" id="AutoShape 832" o:spid="_x0000_s1026" href="" style="position:absolute;margin-left:0;margin-top:63.75pt;width:24pt;height:37.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54912" behindDoc="0" locked="0" layoutInCell="1" allowOverlap="1" wp14:anchorId="26E650B6" wp14:editId="0B94C943">
                      <wp:simplePos x="0" y="0"/>
                      <wp:positionH relativeFrom="column">
                        <wp:posOffset>0</wp:posOffset>
                      </wp:positionH>
                      <wp:positionV relativeFrom="paragraph">
                        <wp:posOffset>809625</wp:posOffset>
                      </wp:positionV>
                      <wp:extent cx="304800" cy="476250"/>
                      <wp:effectExtent l="4445" t="0" r="0" b="1905"/>
                      <wp:wrapNone/>
                      <wp:docPr id="1439" name="AutoShape 833">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76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C73D5" id="AutoShape 833" o:spid="_x0000_s1026" href="" style="position:absolute;margin-left:0;margin-top:63.75pt;width:24pt;height:37.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55936" behindDoc="0" locked="0" layoutInCell="1" allowOverlap="1" wp14:anchorId="6CB318A7" wp14:editId="1A3ACE50">
                      <wp:simplePos x="0" y="0"/>
                      <wp:positionH relativeFrom="column">
                        <wp:posOffset>0</wp:posOffset>
                      </wp:positionH>
                      <wp:positionV relativeFrom="paragraph">
                        <wp:posOffset>971550</wp:posOffset>
                      </wp:positionV>
                      <wp:extent cx="304800" cy="352425"/>
                      <wp:effectExtent l="4445" t="0" r="0" b="1905"/>
                      <wp:wrapNone/>
                      <wp:docPr id="1438" name="AutoShape 834">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524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47CB5" id="AutoShape 834" o:spid="_x0000_s1026" href="" style="position:absolute;margin-left:0;margin-top:76.5pt;width:24pt;height:27.7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56960" behindDoc="0" locked="0" layoutInCell="1" allowOverlap="1" wp14:anchorId="2DC5A3E6" wp14:editId="3FBE5FC2">
                      <wp:simplePos x="0" y="0"/>
                      <wp:positionH relativeFrom="column">
                        <wp:posOffset>0</wp:posOffset>
                      </wp:positionH>
                      <wp:positionV relativeFrom="paragraph">
                        <wp:posOffset>971550</wp:posOffset>
                      </wp:positionV>
                      <wp:extent cx="304800" cy="352425"/>
                      <wp:effectExtent l="4445" t="0" r="0" b="1905"/>
                      <wp:wrapNone/>
                      <wp:docPr id="1437" name="AutoShape 835"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524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45593" id="AutoShape 835" o:spid="_x0000_s1026" alt="Selecting an example from Help" style="position:absolute;margin-left:0;margin-top:76.5pt;width:24pt;height:27.7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" filled="f" stroked="f">
                      <o:lock v:ext="edit" aspectratio="t"/>
                    </v:rect>
                  </w:pict>
                </mc:Fallback>
              </mc:AlternateContent>
            </w:r>
            <w:r>
              <w:rPr>
                <w:noProof/>
                <w:sz w:val="20"/>
                <w:lang w:val="en-US"/>
              </w:rPr>
              <mc:AlternateContent>
                <mc:Choice Requires="wps">
                  <w:drawing>
                    <wp:anchor distT="0" distB="0" distL="114300" distR="114300" simplePos="0" relativeHeight="252457984" behindDoc="0" locked="0" layoutInCell="1" allowOverlap="1" wp14:anchorId="122D7152" wp14:editId="1BCB5431">
                      <wp:simplePos x="0" y="0"/>
                      <wp:positionH relativeFrom="column">
                        <wp:posOffset>0</wp:posOffset>
                      </wp:positionH>
                      <wp:positionV relativeFrom="paragraph">
                        <wp:posOffset>809625</wp:posOffset>
                      </wp:positionV>
                      <wp:extent cx="304800" cy="476250"/>
                      <wp:effectExtent l="4445" t="0" r="0" b="1905"/>
                      <wp:wrapNone/>
                      <wp:docPr id="1436" name="AutoShape 836">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76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A6F25" id="AutoShape 836" o:spid="_x0000_s1026" href="" style="position:absolute;margin-left:0;margin-top:63.75pt;width:24pt;height:37.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59008" behindDoc="0" locked="0" layoutInCell="1" allowOverlap="1" wp14:anchorId="74610431" wp14:editId="229F5E2B">
                      <wp:simplePos x="0" y="0"/>
                      <wp:positionH relativeFrom="column">
                        <wp:posOffset>0</wp:posOffset>
                      </wp:positionH>
                      <wp:positionV relativeFrom="paragraph">
                        <wp:posOffset>971550</wp:posOffset>
                      </wp:positionV>
                      <wp:extent cx="304800" cy="371475"/>
                      <wp:effectExtent l="4445" t="0" r="0" b="1905"/>
                      <wp:wrapNone/>
                      <wp:docPr id="1435" name="AutoShape 837">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714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E5FB1" id="AutoShape 837" o:spid="_x0000_s1026" href="" style="position:absolute;margin-left:0;margin-top:76.5pt;width:24pt;height:29.2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60032" behindDoc="0" locked="0" layoutInCell="1" allowOverlap="1" wp14:anchorId="48EACEDA" wp14:editId="075FDD36">
                      <wp:simplePos x="0" y="0"/>
                      <wp:positionH relativeFrom="column">
                        <wp:posOffset>0</wp:posOffset>
                      </wp:positionH>
                      <wp:positionV relativeFrom="paragraph">
                        <wp:posOffset>971550</wp:posOffset>
                      </wp:positionV>
                      <wp:extent cx="304800" cy="371475"/>
                      <wp:effectExtent l="4445" t="0" r="0" b="1905"/>
                      <wp:wrapNone/>
                      <wp:docPr id="1434" name="AutoShape 838">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714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AE0EF" id="AutoShape 838" o:spid="_x0000_s1026" href="" style="position:absolute;margin-left:0;margin-top:76.5pt;width:24pt;height:29.2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61056" behindDoc="0" locked="0" layoutInCell="1" allowOverlap="1" wp14:anchorId="730E4F31" wp14:editId="2F20FFBE">
                      <wp:simplePos x="0" y="0"/>
                      <wp:positionH relativeFrom="column">
                        <wp:posOffset>0</wp:posOffset>
                      </wp:positionH>
                      <wp:positionV relativeFrom="paragraph">
                        <wp:posOffset>1133475</wp:posOffset>
                      </wp:positionV>
                      <wp:extent cx="304800" cy="438150"/>
                      <wp:effectExtent l="4445" t="0" r="0" b="1905"/>
                      <wp:wrapNone/>
                      <wp:docPr id="1433" name="AutoShape 839">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381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7071F" id="AutoShape 839" o:spid="_x0000_s1026" href="" style="position:absolute;margin-left:0;margin-top:89.25pt;width:24pt;height:34.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62080" behindDoc="0" locked="0" layoutInCell="1" allowOverlap="1" wp14:anchorId="07010E61" wp14:editId="032773E6">
                      <wp:simplePos x="0" y="0"/>
                      <wp:positionH relativeFrom="column">
                        <wp:posOffset>0</wp:posOffset>
                      </wp:positionH>
                      <wp:positionV relativeFrom="paragraph">
                        <wp:posOffset>1133475</wp:posOffset>
                      </wp:positionV>
                      <wp:extent cx="304800" cy="438150"/>
                      <wp:effectExtent l="4445" t="0" r="0" b="1905"/>
                      <wp:wrapNone/>
                      <wp:docPr id="1432" name="AutoShape 840"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381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E830D" id="AutoShape 840" o:spid="_x0000_s1026" alt="Selecting an example from Help" style="position:absolute;margin-left:0;margin-top:89.25pt;width:24pt;height:34.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" filled="f" stroked="f">
                      <o:lock v:ext="edit" aspectratio="t"/>
                    </v:rect>
                  </w:pict>
                </mc:Fallback>
              </mc:AlternateContent>
            </w:r>
            <w:r>
              <w:rPr>
                <w:noProof/>
                <w:sz w:val="20"/>
                <w:lang w:val="en-US"/>
              </w:rPr>
              <mc:AlternateContent>
                <mc:Choice Requires="wps">
                  <w:drawing>
                    <wp:anchor distT="0" distB="0" distL="114300" distR="114300" simplePos="0" relativeHeight="252463104" behindDoc="0" locked="0" layoutInCell="1" allowOverlap="1" wp14:anchorId="4E915137" wp14:editId="6E1E88ED">
                      <wp:simplePos x="0" y="0"/>
                      <wp:positionH relativeFrom="column">
                        <wp:posOffset>0</wp:posOffset>
                      </wp:positionH>
                      <wp:positionV relativeFrom="paragraph">
                        <wp:posOffset>971550</wp:posOffset>
                      </wp:positionV>
                      <wp:extent cx="304800" cy="371475"/>
                      <wp:effectExtent l="4445" t="0" r="0" b="1905"/>
                      <wp:wrapNone/>
                      <wp:docPr id="1431" name="AutoShape 841">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714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957D8" id="AutoShape 841" o:spid="_x0000_s1026" href="" style="position:absolute;margin-left:0;margin-top:76.5pt;width:24pt;height:29.2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64128" behindDoc="0" locked="0" layoutInCell="1" allowOverlap="1" wp14:anchorId="37E58ABD" wp14:editId="3E067F88">
                      <wp:simplePos x="0" y="0"/>
                      <wp:positionH relativeFrom="column">
                        <wp:posOffset>0</wp:posOffset>
                      </wp:positionH>
                      <wp:positionV relativeFrom="paragraph">
                        <wp:posOffset>1133475</wp:posOffset>
                      </wp:positionV>
                      <wp:extent cx="304800" cy="466725"/>
                      <wp:effectExtent l="4445" t="0" r="0" b="1905"/>
                      <wp:wrapNone/>
                      <wp:docPr id="1430" name="AutoShape 842">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667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51625" id="AutoShape 842" o:spid="_x0000_s1026" href="" style="position:absolute;margin-left:0;margin-top:89.25pt;width:24pt;height:36.7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65152" behindDoc="0" locked="0" layoutInCell="1" allowOverlap="1" wp14:anchorId="7C0853BE" wp14:editId="3FA9781F">
                      <wp:simplePos x="0" y="0"/>
                      <wp:positionH relativeFrom="column">
                        <wp:posOffset>0</wp:posOffset>
                      </wp:positionH>
                      <wp:positionV relativeFrom="paragraph">
                        <wp:posOffset>809625</wp:posOffset>
                      </wp:positionV>
                      <wp:extent cx="304800" cy="476250"/>
                      <wp:effectExtent l="4445" t="0" r="0" b="1905"/>
                      <wp:wrapNone/>
                      <wp:docPr id="1429" name="AutoShape 843">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76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B1631" id="AutoShape 843" o:spid="_x0000_s1026" href="" style="position:absolute;margin-left:0;margin-top:63.75pt;width:24pt;height:37.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66176" behindDoc="0" locked="0" layoutInCell="1" allowOverlap="1" wp14:anchorId="66818D1E" wp14:editId="0B0CFEC7">
                      <wp:simplePos x="0" y="0"/>
                      <wp:positionH relativeFrom="column">
                        <wp:posOffset>0</wp:posOffset>
                      </wp:positionH>
                      <wp:positionV relativeFrom="paragraph">
                        <wp:posOffset>809625</wp:posOffset>
                      </wp:positionV>
                      <wp:extent cx="304800" cy="476250"/>
                      <wp:effectExtent l="4445" t="0" r="0" b="1905"/>
                      <wp:wrapNone/>
                      <wp:docPr id="1428" name="AutoShape 844">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76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968DC" id="AutoShape 844" o:spid="_x0000_s1026" href="" style="position:absolute;margin-left:0;margin-top:63.75pt;width:24pt;height:37.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67200" behindDoc="0" locked="0" layoutInCell="1" allowOverlap="1" wp14:anchorId="130FA3B9" wp14:editId="0C7B445E">
                      <wp:simplePos x="0" y="0"/>
                      <wp:positionH relativeFrom="column">
                        <wp:posOffset>0</wp:posOffset>
                      </wp:positionH>
                      <wp:positionV relativeFrom="paragraph">
                        <wp:posOffset>809625</wp:posOffset>
                      </wp:positionV>
                      <wp:extent cx="304800" cy="476250"/>
                      <wp:effectExtent l="4445" t="0" r="0" b="1905"/>
                      <wp:wrapNone/>
                      <wp:docPr id="1427" name="AutoShape 845">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76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0EA4C" id="AutoShape 845" o:spid="_x0000_s1026" href="" style="position:absolute;margin-left:0;margin-top:63.75pt;width:24pt;height:37.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68224" behindDoc="0" locked="0" layoutInCell="1" allowOverlap="1" wp14:anchorId="5A08B24B" wp14:editId="53DC899E">
                      <wp:simplePos x="0" y="0"/>
                      <wp:positionH relativeFrom="column">
                        <wp:posOffset>0</wp:posOffset>
                      </wp:positionH>
                      <wp:positionV relativeFrom="paragraph">
                        <wp:posOffset>809625</wp:posOffset>
                      </wp:positionV>
                      <wp:extent cx="304800" cy="476250"/>
                      <wp:effectExtent l="4445" t="0" r="0" b="1905"/>
                      <wp:wrapNone/>
                      <wp:docPr id="1426" name="AutoShape 846">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76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BBA5F" id="AutoShape 846" o:spid="_x0000_s1026" href="" style="position:absolute;margin-left:0;margin-top:63.75pt;width:24pt;height:37.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69248" behindDoc="0" locked="0" layoutInCell="1" allowOverlap="1" wp14:anchorId="1AACC908" wp14:editId="399F78DA">
                      <wp:simplePos x="0" y="0"/>
                      <wp:positionH relativeFrom="column">
                        <wp:posOffset>0</wp:posOffset>
                      </wp:positionH>
                      <wp:positionV relativeFrom="paragraph">
                        <wp:posOffset>1133475</wp:posOffset>
                      </wp:positionV>
                      <wp:extent cx="304800" cy="466725"/>
                      <wp:effectExtent l="4445" t="0" r="0" b="1905"/>
                      <wp:wrapNone/>
                      <wp:docPr id="1425" name="AutoShape 847">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667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FD882" id="AutoShape 847" o:spid="_x0000_s1026" href="" style="position:absolute;margin-left:0;margin-top:89.25pt;width:24pt;height:36.7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70272" behindDoc="0" locked="0" layoutInCell="1" allowOverlap="1" wp14:anchorId="71A8ECF4" wp14:editId="771266FE">
                      <wp:simplePos x="0" y="0"/>
                      <wp:positionH relativeFrom="column">
                        <wp:posOffset>0</wp:posOffset>
                      </wp:positionH>
                      <wp:positionV relativeFrom="paragraph">
                        <wp:posOffset>1133475</wp:posOffset>
                      </wp:positionV>
                      <wp:extent cx="304800" cy="466725"/>
                      <wp:effectExtent l="4445" t="0" r="0" b="1905"/>
                      <wp:wrapNone/>
                      <wp:docPr id="1424" name="AutoShape 848">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667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FC4CA" id="AutoShape 848" o:spid="_x0000_s1026" href="" style="position:absolute;margin-left:0;margin-top:89.25pt;width:24pt;height:36.7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71296" behindDoc="0" locked="0" layoutInCell="1" allowOverlap="1" wp14:anchorId="78973D8E" wp14:editId="28933A82">
                      <wp:simplePos x="0" y="0"/>
                      <wp:positionH relativeFrom="column">
                        <wp:posOffset>0</wp:posOffset>
                      </wp:positionH>
                      <wp:positionV relativeFrom="paragraph">
                        <wp:posOffset>971550</wp:posOffset>
                      </wp:positionV>
                      <wp:extent cx="304800" cy="371475"/>
                      <wp:effectExtent l="4445" t="0" r="0" b="1905"/>
                      <wp:wrapNone/>
                      <wp:docPr id="1423" name="AutoShape 849">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714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A411D" id="AutoShape 849" o:spid="_x0000_s1026" href="" style="position:absolute;margin-left:0;margin-top:76.5pt;width:24pt;height:29.2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72320" behindDoc="0" locked="0" layoutInCell="1" allowOverlap="1" wp14:anchorId="5D216699" wp14:editId="5754C52C">
                      <wp:simplePos x="0" y="0"/>
                      <wp:positionH relativeFrom="column">
                        <wp:posOffset>0</wp:posOffset>
                      </wp:positionH>
                      <wp:positionV relativeFrom="paragraph">
                        <wp:posOffset>971550</wp:posOffset>
                      </wp:positionV>
                      <wp:extent cx="304800" cy="371475"/>
                      <wp:effectExtent l="4445" t="0" r="0" b="1905"/>
                      <wp:wrapNone/>
                      <wp:docPr id="1422" name="AutoShape 850">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714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FE063" id="AutoShape 850" o:spid="_x0000_s1026" href="" style="position:absolute;margin-left:0;margin-top:76.5pt;width:24pt;height:29.2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73344" behindDoc="0" locked="0" layoutInCell="1" allowOverlap="1" wp14:anchorId="6569D8B7" wp14:editId="5DAA11DA">
                      <wp:simplePos x="0" y="0"/>
                      <wp:positionH relativeFrom="column">
                        <wp:posOffset>0</wp:posOffset>
                      </wp:positionH>
                      <wp:positionV relativeFrom="paragraph">
                        <wp:posOffset>1133475</wp:posOffset>
                      </wp:positionV>
                      <wp:extent cx="304800" cy="466725"/>
                      <wp:effectExtent l="4445" t="0" r="0" b="1905"/>
                      <wp:wrapNone/>
                      <wp:docPr id="1421" name="AutoShape 851">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667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E7CF7" id="AutoShape 851" o:spid="_x0000_s1026" href="" style="position:absolute;margin-left:0;margin-top:89.25pt;width:24pt;height:36.7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74368" behindDoc="0" locked="0" layoutInCell="1" allowOverlap="1" wp14:anchorId="28ABDC38" wp14:editId="7DC4831F">
                      <wp:simplePos x="0" y="0"/>
                      <wp:positionH relativeFrom="column">
                        <wp:posOffset>0</wp:posOffset>
                      </wp:positionH>
                      <wp:positionV relativeFrom="paragraph">
                        <wp:posOffset>1133475</wp:posOffset>
                      </wp:positionV>
                      <wp:extent cx="304800" cy="466725"/>
                      <wp:effectExtent l="4445" t="0" r="0" b="1905"/>
                      <wp:wrapNone/>
                      <wp:docPr id="1420" name="AutoShape 852">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667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77EEC" id="AutoShape 852" o:spid="_x0000_s1026" href="" style="position:absolute;margin-left:0;margin-top:89.25pt;width:24pt;height:36.7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75392" behindDoc="0" locked="0" layoutInCell="1" allowOverlap="1" wp14:anchorId="642C0DDC" wp14:editId="6175847B">
                      <wp:simplePos x="0" y="0"/>
                      <wp:positionH relativeFrom="column">
                        <wp:posOffset>0</wp:posOffset>
                      </wp:positionH>
                      <wp:positionV relativeFrom="paragraph">
                        <wp:posOffset>971550</wp:posOffset>
                      </wp:positionV>
                      <wp:extent cx="304800" cy="371475"/>
                      <wp:effectExtent l="4445" t="0" r="0" b="1905"/>
                      <wp:wrapNone/>
                      <wp:docPr id="1419" name="AutoShape 853">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714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5BFC8" id="AutoShape 853" o:spid="_x0000_s1026" href="" style="position:absolute;margin-left:0;margin-top:76.5pt;width:24pt;height:29.2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76416" behindDoc="0" locked="0" layoutInCell="1" allowOverlap="1" wp14:anchorId="091C8FA3" wp14:editId="0E48B10D">
                      <wp:simplePos x="0" y="0"/>
                      <wp:positionH relativeFrom="column">
                        <wp:posOffset>0</wp:posOffset>
                      </wp:positionH>
                      <wp:positionV relativeFrom="paragraph">
                        <wp:posOffset>971550</wp:posOffset>
                      </wp:positionV>
                      <wp:extent cx="304800" cy="371475"/>
                      <wp:effectExtent l="4445" t="0" r="0" b="1905"/>
                      <wp:wrapNone/>
                      <wp:docPr id="1418" name="AutoShape 854">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714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24791" id="AutoShape 854" o:spid="_x0000_s1026" href="" style="position:absolute;margin-left:0;margin-top:76.5pt;width:24pt;height:29.2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77440" behindDoc="0" locked="0" layoutInCell="1" allowOverlap="1" wp14:anchorId="27BF041B" wp14:editId="34778B9A">
                      <wp:simplePos x="0" y="0"/>
                      <wp:positionH relativeFrom="column">
                        <wp:posOffset>0</wp:posOffset>
                      </wp:positionH>
                      <wp:positionV relativeFrom="paragraph">
                        <wp:posOffset>809625</wp:posOffset>
                      </wp:positionV>
                      <wp:extent cx="304800" cy="476250"/>
                      <wp:effectExtent l="4445" t="0" r="0" b="1905"/>
                      <wp:wrapNone/>
                      <wp:docPr id="1417" name="AutoShape 855">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76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20E03" id="AutoShape 855" o:spid="_x0000_s1026" href="" style="position:absolute;margin-left:0;margin-top:63.75pt;width:24pt;height:37.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78464" behindDoc="0" locked="0" layoutInCell="1" allowOverlap="1" wp14:anchorId="660D59DF" wp14:editId="179CB5C6">
                      <wp:simplePos x="0" y="0"/>
                      <wp:positionH relativeFrom="column">
                        <wp:posOffset>0</wp:posOffset>
                      </wp:positionH>
                      <wp:positionV relativeFrom="paragraph">
                        <wp:posOffset>809625</wp:posOffset>
                      </wp:positionV>
                      <wp:extent cx="304800" cy="476250"/>
                      <wp:effectExtent l="4445" t="0" r="0" b="1905"/>
                      <wp:wrapNone/>
                      <wp:docPr id="1416" name="AutoShape 856">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76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EDECF" id="AutoShape 856" o:spid="_x0000_s1026" href="" style="position:absolute;margin-left:0;margin-top:63.75pt;width:24pt;height:37.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79488" behindDoc="0" locked="0" layoutInCell="1" allowOverlap="1" wp14:anchorId="293DA697" wp14:editId="33E353AB">
                      <wp:simplePos x="0" y="0"/>
                      <wp:positionH relativeFrom="column">
                        <wp:posOffset>0</wp:posOffset>
                      </wp:positionH>
                      <wp:positionV relativeFrom="paragraph">
                        <wp:posOffset>971550</wp:posOffset>
                      </wp:positionV>
                      <wp:extent cx="304800" cy="371475"/>
                      <wp:effectExtent l="4445" t="0" r="0" b="1905"/>
                      <wp:wrapNone/>
                      <wp:docPr id="1415" name="AutoShape 857">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714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2E56C" id="AutoShape 857" o:spid="_x0000_s1026" href="" style="position:absolute;margin-left:0;margin-top:76.5pt;width:24pt;height:29.2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80512" behindDoc="0" locked="0" layoutInCell="1" allowOverlap="1" wp14:anchorId="3D2CBBE2" wp14:editId="0F3BB9AD">
                      <wp:simplePos x="0" y="0"/>
                      <wp:positionH relativeFrom="column">
                        <wp:posOffset>0</wp:posOffset>
                      </wp:positionH>
                      <wp:positionV relativeFrom="paragraph">
                        <wp:posOffset>971550</wp:posOffset>
                      </wp:positionV>
                      <wp:extent cx="304800" cy="371475"/>
                      <wp:effectExtent l="4445" t="0" r="0" b="1905"/>
                      <wp:wrapNone/>
                      <wp:docPr id="1414" name="AutoShape 858">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714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FE660" id="AutoShape 858" o:spid="_x0000_s1026" href="" style="position:absolute;margin-left:0;margin-top:76.5pt;width:24pt;height:29.2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81536" behindDoc="0" locked="0" layoutInCell="1" allowOverlap="1" wp14:anchorId="78309C73" wp14:editId="508C43F2">
                      <wp:simplePos x="0" y="0"/>
                      <wp:positionH relativeFrom="column">
                        <wp:posOffset>0</wp:posOffset>
                      </wp:positionH>
                      <wp:positionV relativeFrom="paragraph">
                        <wp:posOffset>809625</wp:posOffset>
                      </wp:positionV>
                      <wp:extent cx="304800" cy="466725"/>
                      <wp:effectExtent l="4445" t="0" r="0" b="1905"/>
                      <wp:wrapNone/>
                      <wp:docPr id="1413" name="AutoShape 859">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667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AD59F" id="AutoShape 859" o:spid="_x0000_s1026" href="" style="position:absolute;margin-left:0;margin-top:63.75pt;width:24pt;height:36.7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82560" behindDoc="0" locked="0" layoutInCell="1" allowOverlap="1" wp14:anchorId="7BEECF53" wp14:editId="4F9DA246">
                      <wp:simplePos x="0" y="0"/>
                      <wp:positionH relativeFrom="column">
                        <wp:posOffset>0</wp:posOffset>
                      </wp:positionH>
                      <wp:positionV relativeFrom="paragraph">
                        <wp:posOffset>809625</wp:posOffset>
                      </wp:positionV>
                      <wp:extent cx="304800" cy="466725"/>
                      <wp:effectExtent l="4445" t="0" r="0" b="1905"/>
                      <wp:wrapNone/>
                      <wp:docPr id="1412" name="AutoShape 860"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667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7C538" id="AutoShape 860" o:spid="_x0000_s1026" alt="Selecting an example from Help" style="position:absolute;margin-left:0;margin-top:63.75pt;width:24pt;height:36.7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" filled="f" stroked="f">
                      <o:lock v:ext="edit" aspectratio="t"/>
                    </v:rect>
                  </w:pict>
                </mc:Fallback>
              </mc:AlternateContent>
            </w:r>
            <w:r>
              <w:rPr>
                <w:noProof/>
                <w:sz w:val="20"/>
                <w:lang w:val="en-US"/>
              </w:rPr>
              <mc:AlternateContent>
                <mc:Choice Requires="wps">
                  <w:drawing>
                    <wp:anchor distT="0" distB="0" distL="114300" distR="114300" simplePos="0" relativeHeight="252483584" behindDoc="0" locked="0" layoutInCell="1" allowOverlap="1" wp14:anchorId="1394A48E" wp14:editId="3A90F6CE">
                      <wp:simplePos x="0" y="0"/>
                      <wp:positionH relativeFrom="column">
                        <wp:posOffset>0</wp:posOffset>
                      </wp:positionH>
                      <wp:positionV relativeFrom="paragraph">
                        <wp:posOffset>809625</wp:posOffset>
                      </wp:positionV>
                      <wp:extent cx="304800" cy="476250"/>
                      <wp:effectExtent l="4445" t="0" r="0" b="1905"/>
                      <wp:wrapNone/>
                      <wp:docPr id="1411" name="AutoShape 861">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76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63943" id="AutoShape 861" o:spid="_x0000_s1026" href="" style="position:absolute;margin-left:0;margin-top:63.75pt;width:24pt;height:37.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84608" behindDoc="0" locked="0" layoutInCell="1" allowOverlap="1" wp14:anchorId="4879A9BC" wp14:editId="0973C0F2">
                      <wp:simplePos x="0" y="0"/>
                      <wp:positionH relativeFrom="column">
                        <wp:posOffset>0</wp:posOffset>
                      </wp:positionH>
                      <wp:positionV relativeFrom="paragraph">
                        <wp:posOffset>809625</wp:posOffset>
                      </wp:positionV>
                      <wp:extent cx="304800" cy="476250"/>
                      <wp:effectExtent l="4445" t="0" r="0" b="1905"/>
                      <wp:wrapNone/>
                      <wp:docPr id="1410" name="AutoShape 862">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76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74606" id="AutoShape 862" o:spid="_x0000_s1026" href="" style="position:absolute;margin-left:0;margin-top:63.75pt;width:24pt;height:37.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85632" behindDoc="0" locked="0" layoutInCell="1" allowOverlap="1" wp14:anchorId="7E717C71" wp14:editId="17B9B53F">
                      <wp:simplePos x="0" y="0"/>
                      <wp:positionH relativeFrom="column">
                        <wp:posOffset>0</wp:posOffset>
                      </wp:positionH>
                      <wp:positionV relativeFrom="paragraph">
                        <wp:posOffset>971550</wp:posOffset>
                      </wp:positionV>
                      <wp:extent cx="304800" cy="352425"/>
                      <wp:effectExtent l="4445" t="0" r="0" b="1905"/>
                      <wp:wrapNone/>
                      <wp:docPr id="1409" name="AutoShape 863">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524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8A873" id="AutoShape 863" o:spid="_x0000_s1026" href="" style="position:absolute;margin-left:0;margin-top:76.5pt;width:24pt;height:27.7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86656" behindDoc="0" locked="0" layoutInCell="1" allowOverlap="1" wp14:anchorId="62BFF183" wp14:editId="1932B826">
                      <wp:simplePos x="0" y="0"/>
                      <wp:positionH relativeFrom="column">
                        <wp:posOffset>0</wp:posOffset>
                      </wp:positionH>
                      <wp:positionV relativeFrom="paragraph">
                        <wp:posOffset>971550</wp:posOffset>
                      </wp:positionV>
                      <wp:extent cx="304800" cy="352425"/>
                      <wp:effectExtent l="4445" t="0" r="0" b="1905"/>
                      <wp:wrapNone/>
                      <wp:docPr id="1408" name="AutoShape 864"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524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8FEF8" id="AutoShape 864" o:spid="_x0000_s1026" alt="Selecting an example from Help" style="position:absolute;margin-left:0;margin-top:76.5pt;width:24pt;height:27.7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" filled="f" stroked="f">
                      <o:lock v:ext="edit" aspectratio="t"/>
                    </v:rect>
                  </w:pict>
                </mc:Fallback>
              </mc:AlternateContent>
            </w:r>
            <w:r>
              <w:rPr>
                <w:noProof/>
                <w:sz w:val="20"/>
                <w:lang w:val="en-US"/>
              </w:rPr>
              <mc:AlternateContent>
                <mc:Choice Requires="wps">
                  <w:drawing>
                    <wp:anchor distT="0" distB="0" distL="114300" distR="114300" simplePos="0" relativeHeight="252487680" behindDoc="0" locked="0" layoutInCell="1" allowOverlap="1" wp14:anchorId="78A10F2B" wp14:editId="0EFD9B08">
                      <wp:simplePos x="0" y="0"/>
                      <wp:positionH relativeFrom="column">
                        <wp:posOffset>0</wp:posOffset>
                      </wp:positionH>
                      <wp:positionV relativeFrom="paragraph">
                        <wp:posOffset>809625</wp:posOffset>
                      </wp:positionV>
                      <wp:extent cx="304800" cy="476250"/>
                      <wp:effectExtent l="4445" t="0" r="0" b="1905"/>
                      <wp:wrapNone/>
                      <wp:docPr id="1407" name="AutoShape 865">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76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FB052" id="AutoShape 865" o:spid="_x0000_s1026" href="" style="position:absolute;margin-left:0;margin-top:63.75pt;width:24pt;height:37.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88704" behindDoc="0" locked="0" layoutInCell="1" allowOverlap="1" wp14:anchorId="55CFE9FE" wp14:editId="5B796D6C">
                      <wp:simplePos x="0" y="0"/>
                      <wp:positionH relativeFrom="column">
                        <wp:posOffset>0</wp:posOffset>
                      </wp:positionH>
                      <wp:positionV relativeFrom="paragraph">
                        <wp:posOffset>971550</wp:posOffset>
                      </wp:positionV>
                      <wp:extent cx="304800" cy="371475"/>
                      <wp:effectExtent l="4445" t="0" r="0" b="1905"/>
                      <wp:wrapNone/>
                      <wp:docPr id="1406" name="AutoShape 866">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714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15065" id="AutoShape 866" o:spid="_x0000_s1026" href="" style="position:absolute;margin-left:0;margin-top:76.5pt;width:24pt;height:29.2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89728" behindDoc="0" locked="0" layoutInCell="1" allowOverlap="1" wp14:anchorId="24509B67" wp14:editId="7A460CD6">
                      <wp:simplePos x="0" y="0"/>
                      <wp:positionH relativeFrom="column">
                        <wp:posOffset>0</wp:posOffset>
                      </wp:positionH>
                      <wp:positionV relativeFrom="paragraph">
                        <wp:posOffset>971550</wp:posOffset>
                      </wp:positionV>
                      <wp:extent cx="304800" cy="371475"/>
                      <wp:effectExtent l="4445" t="0" r="0" b="1905"/>
                      <wp:wrapNone/>
                      <wp:docPr id="1405" name="AutoShape 867">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714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6B1FD" id="AutoShape 867" o:spid="_x0000_s1026" href="" style="position:absolute;margin-left:0;margin-top:76.5pt;width:24pt;height:29.2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90752" behindDoc="0" locked="0" layoutInCell="1" allowOverlap="1" wp14:anchorId="436687FF" wp14:editId="6D3C9BE0">
                      <wp:simplePos x="0" y="0"/>
                      <wp:positionH relativeFrom="column">
                        <wp:posOffset>0</wp:posOffset>
                      </wp:positionH>
                      <wp:positionV relativeFrom="paragraph">
                        <wp:posOffset>1133475</wp:posOffset>
                      </wp:positionV>
                      <wp:extent cx="304800" cy="438150"/>
                      <wp:effectExtent l="4445" t="0" r="0" b="1905"/>
                      <wp:wrapNone/>
                      <wp:docPr id="1404" name="AutoShape 868">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381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0C811" id="AutoShape 868" o:spid="_x0000_s1026" href="" style="position:absolute;margin-left:0;margin-top:89.25pt;width:24pt;height:34.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91776" behindDoc="0" locked="0" layoutInCell="1" allowOverlap="1" wp14:anchorId="4F7C29B6" wp14:editId="68F52CBD">
                      <wp:simplePos x="0" y="0"/>
                      <wp:positionH relativeFrom="column">
                        <wp:posOffset>0</wp:posOffset>
                      </wp:positionH>
                      <wp:positionV relativeFrom="paragraph">
                        <wp:posOffset>1133475</wp:posOffset>
                      </wp:positionV>
                      <wp:extent cx="304800" cy="438150"/>
                      <wp:effectExtent l="4445" t="0" r="0" b="1905"/>
                      <wp:wrapNone/>
                      <wp:docPr id="1403" name="AutoShape 869"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381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7B5FC" id="AutoShape 869" o:spid="_x0000_s1026" alt="Selecting an example from Help" style="position:absolute;margin-left:0;margin-top:89.25pt;width:24pt;height:34.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" filled="f" stroked="f">
                      <o:lock v:ext="edit" aspectratio="t"/>
                    </v:rect>
                  </w:pict>
                </mc:Fallback>
              </mc:AlternateContent>
            </w:r>
            <w:r>
              <w:rPr>
                <w:noProof/>
                <w:sz w:val="20"/>
                <w:lang w:val="en-US"/>
              </w:rPr>
              <mc:AlternateContent>
                <mc:Choice Requires="wps">
                  <w:drawing>
                    <wp:anchor distT="0" distB="0" distL="114300" distR="114300" simplePos="0" relativeHeight="252492800" behindDoc="0" locked="0" layoutInCell="1" allowOverlap="1" wp14:anchorId="6959106B" wp14:editId="1913CB4B">
                      <wp:simplePos x="0" y="0"/>
                      <wp:positionH relativeFrom="column">
                        <wp:posOffset>0</wp:posOffset>
                      </wp:positionH>
                      <wp:positionV relativeFrom="paragraph">
                        <wp:posOffset>971550</wp:posOffset>
                      </wp:positionV>
                      <wp:extent cx="304800" cy="371475"/>
                      <wp:effectExtent l="4445" t="0" r="0" b="1905"/>
                      <wp:wrapNone/>
                      <wp:docPr id="1402" name="AutoShape 870">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714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21D39" id="AutoShape 870" o:spid="_x0000_s1026" href="" style="position:absolute;margin-left:0;margin-top:76.5pt;width:24pt;height:29.2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93824" behindDoc="0" locked="0" layoutInCell="1" allowOverlap="1" wp14:anchorId="18D7C8E4" wp14:editId="6C4E48B5">
                      <wp:simplePos x="0" y="0"/>
                      <wp:positionH relativeFrom="column">
                        <wp:posOffset>0</wp:posOffset>
                      </wp:positionH>
                      <wp:positionV relativeFrom="paragraph">
                        <wp:posOffset>1133475</wp:posOffset>
                      </wp:positionV>
                      <wp:extent cx="304800" cy="466725"/>
                      <wp:effectExtent l="4445" t="0" r="0" b="1905"/>
                      <wp:wrapNone/>
                      <wp:docPr id="1401" name="AutoShape 871">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667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4A0C6" id="AutoShape 871" o:spid="_x0000_s1026" href="" style="position:absolute;margin-left:0;margin-top:89.25pt;width:24pt;height:36.7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94848" behindDoc="0" locked="0" layoutInCell="1" allowOverlap="1" wp14:anchorId="29429B83" wp14:editId="69697245">
                      <wp:simplePos x="0" y="0"/>
                      <wp:positionH relativeFrom="column">
                        <wp:posOffset>0</wp:posOffset>
                      </wp:positionH>
                      <wp:positionV relativeFrom="paragraph">
                        <wp:posOffset>809625</wp:posOffset>
                      </wp:positionV>
                      <wp:extent cx="304800" cy="476250"/>
                      <wp:effectExtent l="4445" t="0" r="0" b="1905"/>
                      <wp:wrapNone/>
                      <wp:docPr id="1400" name="AutoShape 872">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76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3552C" id="AutoShape 872" o:spid="_x0000_s1026" href="" style="position:absolute;margin-left:0;margin-top:63.75pt;width:24pt;height:37.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95872" behindDoc="0" locked="0" layoutInCell="1" allowOverlap="1" wp14:anchorId="7B54AB68" wp14:editId="6462F50A">
                      <wp:simplePos x="0" y="0"/>
                      <wp:positionH relativeFrom="column">
                        <wp:posOffset>0</wp:posOffset>
                      </wp:positionH>
                      <wp:positionV relativeFrom="paragraph">
                        <wp:posOffset>809625</wp:posOffset>
                      </wp:positionV>
                      <wp:extent cx="304800" cy="476250"/>
                      <wp:effectExtent l="4445" t="0" r="0" b="1905"/>
                      <wp:wrapNone/>
                      <wp:docPr id="1399" name="AutoShape 873">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76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3B804" id="AutoShape 873" o:spid="_x0000_s1026" href="" style="position:absolute;margin-left:0;margin-top:63.75pt;width:24pt;height:37.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96896" behindDoc="0" locked="0" layoutInCell="1" allowOverlap="1" wp14:anchorId="7A40A52C" wp14:editId="7DCDA3A9">
                      <wp:simplePos x="0" y="0"/>
                      <wp:positionH relativeFrom="column">
                        <wp:posOffset>0</wp:posOffset>
                      </wp:positionH>
                      <wp:positionV relativeFrom="paragraph">
                        <wp:posOffset>971550</wp:posOffset>
                      </wp:positionV>
                      <wp:extent cx="304800" cy="371475"/>
                      <wp:effectExtent l="4445" t="0" r="0" b="1905"/>
                      <wp:wrapNone/>
                      <wp:docPr id="1398" name="AutoShape 874">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714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B3033" id="AutoShape 874" o:spid="_x0000_s1026" href="" style="position:absolute;margin-left:0;margin-top:76.5pt;width:24pt;height:29.2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97920" behindDoc="0" locked="0" layoutInCell="1" allowOverlap="1" wp14:anchorId="1D0D7482" wp14:editId="51FC00F5">
                      <wp:simplePos x="0" y="0"/>
                      <wp:positionH relativeFrom="column">
                        <wp:posOffset>0</wp:posOffset>
                      </wp:positionH>
                      <wp:positionV relativeFrom="paragraph">
                        <wp:posOffset>971550</wp:posOffset>
                      </wp:positionV>
                      <wp:extent cx="304800" cy="371475"/>
                      <wp:effectExtent l="4445" t="0" r="0" b="1905"/>
                      <wp:wrapNone/>
                      <wp:docPr id="1397" name="AutoShape 875">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714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937F6" id="AutoShape 875" o:spid="_x0000_s1026" href="" style="position:absolute;margin-left:0;margin-top:76.5pt;width:24pt;height:29.2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98944" behindDoc="0" locked="0" layoutInCell="1" allowOverlap="1" wp14:anchorId="283B6BE1" wp14:editId="6DA7C410">
                      <wp:simplePos x="0" y="0"/>
                      <wp:positionH relativeFrom="column">
                        <wp:posOffset>0</wp:posOffset>
                      </wp:positionH>
                      <wp:positionV relativeFrom="paragraph">
                        <wp:posOffset>809625</wp:posOffset>
                      </wp:positionV>
                      <wp:extent cx="304800" cy="476250"/>
                      <wp:effectExtent l="4445" t="0" r="0" b="1905"/>
                      <wp:wrapNone/>
                      <wp:docPr id="1396" name="AutoShape 876">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76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E50B5" id="AutoShape 876" o:spid="_x0000_s1026" href="" style="position:absolute;margin-left:0;margin-top:63.75pt;width:24pt;height:37.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99968" behindDoc="0" locked="0" layoutInCell="1" allowOverlap="1" wp14:anchorId="0AA6699D" wp14:editId="7EF920F0">
                      <wp:simplePos x="0" y="0"/>
                      <wp:positionH relativeFrom="column">
                        <wp:posOffset>0</wp:posOffset>
                      </wp:positionH>
                      <wp:positionV relativeFrom="paragraph">
                        <wp:posOffset>809625</wp:posOffset>
                      </wp:positionV>
                      <wp:extent cx="304800" cy="476250"/>
                      <wp:effectExtent l="4445" t="0" r="0" b="1905"/>
                      <wp:wrapNone/>
                      <wp:docPr id="1395" name="AutoShape 877">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76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6F525" id="AutoShape 877" o:spid="_x0000_s1026" href="" style="position:absolute;margin-left:0;margin-top:63.75pt;width:24pt;height:37.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00992" behindDoc="0" locked="0" layoutInCell="1" allowOverlap="1" wp14:anchorId="2D2E5B77" wp14:editId="57299AAB">
                      <wp:simplePos x="0" y="0"/>
                      <wp:positionH relativeFrom="column">
                        <wp:posOffset>0</wp:posOffset>
                      </wp:positionH>
                      <wp:positionV relativeFrom="paragraph">
                        <wp:posOffset>1133475</wp:posOffset>
                      </wp:positionV>
                      <wp:extent cx="304800" cy="466725"/>
                      <wp:effectExtent l="4445" t="0" r="0" b="1905"/>
                      <wp:wrapNone/>
                      <wp:docPr id="1394" name="AutoShape 878">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667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B4A65" id="AutoShape 878" o:spid="_x0000_s1026" href="" style="position:absolute;margin-left:0;margin-top:89.25pt;width:24pt;height:36.7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02016" behindDoc="0" locked="0" layoutInCell="1" allowOverlap="1" wp14:anchorId="6677BD3E" wp14:editId="611BDC04">
                      <wp:simplePos x="0" y="0"/>
                      <wp:positionH relativeFrom="column">
                        <wp:posOffset>0</wp:posOffset>
                      </wp:positionH>
                      <wp:positionV relativeFrom="paragraph">
                        <wp:posOffset>1133475</wp:posOffset>
                      </wp:positionV>
                      <wp:extent cx="304800" cy="466725"/>
                      <wp:effectExtent l="4445" t="0" r="0" b="1905"/>
                      <wp:wrapNone/>
                      <wp:docPr id="1393" name="AutoShape 879">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667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0680E" id="AutoShape 879" o:spid="_x0000_s1026" href="" style="position:absolute;margin-left:0;margin-top:89.25pt;width:24pt;height:36.7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03040" behindDoc="0" locked="0" layoutInCell="1" allowOverlap="1" wp14:anchorId="1AA3EBA3" wp14:editId="3A514CAD">
                      <wp:simplePos x="0" y="0"/>
                      <wp:positionH relativeFrom="column">
                        <wp:posOffset>0</wp:posOffset>
                      </wp:positionH>
                      <wp:positionV relativeFrom="paragraph">
                        <wp:posOffset>971550</wp:posOffset>
                      </wp:positionV>
                      <wp:extent cx="304800" cy="371475"/>
                      <wp:effectExtent l="4445" t="0" r="0" b="1905"/>
                      <wp:wrapNone/>
                      <wp:docPr id="1392" name="AutoShape 880">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714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DD412" id="AutoShape 880" o:spid="_x0000_s1026" href="" style="position:absolute;margin-left:0;margin-top:76.5pt;width:24pt;height:29.2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" o:button="t" filled="f" stroked="f">
                      <v:fill o:detectmouseclick="t"/>
                      <o:lock v:ext="edit" aspectratio="t"/>
                    </v:rect>
                  </w:pict>
                </mc:Fallback>
              </mc:AlternateContent>
            </w:r>
            <w:r w:rsidR="000923BB">
              <w:rPr>
                <w:rFonts w:cs="Arial"/>
                <w:sz w:val="20"/>
                <w:szCs w:val="20"/>
                <w:lang w:val="en-US"/>
              </w:rPr>
              <w:t>50</w:t>
            </w:r>
          </w:p>
        </w:tc>
        <w:tc>
          <w:tcPr>
            <w:tcW w:w="992" w:type="dxa"/>
            <w:tcBorders>
              <w:top w:val="single" w:sz="4" w:space="0" w:color="auto"/>
              <w:left w:val="single" w:sz="4" w:space="0" w:color="999999"/>
              <w:bottom w:val="nil"/>
              <w:right w:val="single" w:sz="4" w:space="0" w:color="auto"/>
            </w:tcBorders>
            <w:tcMar>
              <w:left w:w="57" w:type="dxa"/>
              <w:right w:w="57" w:type="dxa"/>
            </w:tcMar>
          </w:tcPr>
          <w:p w14:paraId="15D5DA0E" w14:textId="77777777" w:rsidR="000923BB" w:rsidRDefault="000923BB" w:rsidP="003A385F">
            <w:pPr>
              <w:jc w:val="center"/>
              <w:rPr>
                <w:rFonts w:cs="Arial"/>
                <w:sz w:val="20"/>
                <w:szCs w:val="20"/>
                <w:lang w:val="en-US"/>
              </w:rPr>
            </w:pPr>
            <w:r>
              <w:rPr>
                <w:rFonts w:cs="Arial"/>
                <w:sz w:val="20"/>
                <w:szCs w:val="20"/>
                <w:lang w:val="en-US"/>
              </w:rPr>
              <w:t>50</w:t>
            </w:r>
          </w:p>
        </w:tc>
        <w:tc>
          <w:tcPr>
            <w:tcW w:w="1984" w:type="dxa"/>
            <w:tcBorders>
              <w:top w:val="single" w:sz="4" w:space="0" w:color="auto"/>
              <w:left w:val="single" w:sz="4" w:space="0" w:color="auto"/>
              <w:bottom w:val="nil"/>
              <w:right w:val="single" w:sz="4" w:space="0" w:color="999999"/>
            </w:tcBorders>
            <w:tcMar>
              <w:left w:w="57" w:type="dxa"/>
              <w:right w:w="57" w:type="dxa"/>
            </w:tcMar>
          </w:tcPr>
          <w:p w14:paraId="481B14F7" w14:textId="77777777" w:rsidR="000923BB" w:rsidRDefault="000923BB" w:rsidP="003A385F">
            <w:pPr>
              <w:rPr>
                <w:rFonts w:cs="Arial"/>
                <w:sz w:val="20"/>
                <w:szCs w:val="20"/>
                <w:lang w:val="en-US"/>
              </w:rPr>
            </w:pPr>
            <w:r>
              <w:rPr>
                <w:rFonts w:cs="Arial"/>
                <w:sz w:val="20"/>
                <w:szCs w:val="20"/>
                <w:lang w:val="en-US"/>
              </w:rPr>
              <w:t>Non-clinical audit</w:t>
            </w:r>
          </w:p>
        </w:tc>
        <w:tc>
          <w:tcPr>
            <w:tcW w:w="851" w:type="dxa"/>
            <w:tcBorders>
              <w:top w:val="single" w:sz="4" w:space="0" w:color="auto"/>
              <w:left w:val="single" w:sz="4" w:space="0" w:color="999999"/>
              <w:bottom w:val="nil"/>
              <w:right w:val="single" w:sz="4" w:space="0" w:color="999999"/>
            </w:tcBorders>
            <w:noWrap/>
            <w:tcMar>
              <w:left w:w="57" w:type="dxa"/>
              <w:right w:w="57" w:type="dxa"/>
            </w:tcMar>
          </w:tcPr>
          <w:p w14:paraId="52002551" w14:textId="77777777" w:rsidR="000923BB" w:rsidRDefault="000923BB" w:rsidP="003A385F">
            <w:pPr>
              <w:jc w:val="center"/>
              <w:rPr>
                <w:rFonts w:cs="Arial"/>
                <w:sz w:val="20"/>
                <w:szCs w:val="20"/>
                <w:lang w:val="en-US"/>
              </w:rPr>
            </w:pPr>
            <w:r>
              <w:rPr>
                <w:rFonts w:cs="Arial"/>
                <w:sz w:val="20"/>
                <w:szCs w:val="20"/>
                <w:lang w:val="en-US"/>
              </w:rPr>
              <w:t>49</w:t>
            </w:r>
          </w:p>
        </w:tc>
        <w:tc>
          <w:tcPr>
            <w:tcW w:w="1134" w:type="dxa"/>
            <w:tcBorders>
              <w:top w:val="single" w:sz="4" w:space="0" w:color="auto"/>
              <w:left w:val="single" w:sz="4" w:space="0" w:color="999999"/>
              <w:bottom w:val="nil"/>
              <w:right w:val="single" w:sz="4" w:space="0" w:color="auto"/>
            </w:tcBorders>
            <w:tcMar>
              <w:left w:w="57" w:type="dxa"/>
              <w:right w:w="57" w:type="dxa"/>
            </w:tcMar>
          </w:tcPr>
          <w:p w14:paraId="6AA4693E" w14:textId="77777777" w:rsidR="000923BB" w:rsidRDefault="000923BB" w:rsidP="003A385F">
            <w:pPr>
              <w:jc w:val="center"/>
              <w:rPr>
                <w:rFonts w:cs="Arial"/>
                <w:sz w:val="20"/>
                <w:szCs w:val="20"/>
                <w:lang w:val="en-US"/>
              </w:rPr>
            </w:pPr>
            <w:r>
              <w:rPr>
                <w:rFonts w:cs="Arial"/>
                <w:sz w:val="20"/>
                <w:szCs w:val="20"/>
                <w:lang w:val="en-US"/>
              </w:rPr>
              <w:t>49</w:t>
            </w:r>
          </w:p>
        </w:tc>
      </w:tr>
      <w:tr w:rsidR="000923BB" w14:paraId="1348E7E6" w14:textId="77777777" w:rsidTr="009148F2">
        <w:trPr>
          <w:trHeight w:val="255"/>
        </w:trPr>
        <w:tc>
          <w:tcPr>
            <w:tcW w:w="663" w:type="dxa"/>
            <w:tcBorders>
              <w:top w:val="nil"/>
              <w:left w:val="single" w:sz="4" w:space="0" w:color="auto"/>
              <w:bottom w:val="nil"/>
              <w:right w:val="single" w:sz="4" w:space="0" w:color="auto"/>
            </w:tcBorders>
          </w:tcPr>
          <w:p w14:paraId="32A59D97" w14:textId="77777777" w:rsidR="000923BB" w:rsidRDefault="000923BB" w:rsidP="003A385F">
            <w:pPr>
              <w:rPr>
                <w:rFonts w:cs="Arial"/>
                <w:sz w:val="20"/>
                <w:szCs w:val="20"/>
                <w:lang w:val="en-US"/>
              </w:rPr>
            </w:pPr>
            <w:r>
              <w:rPr>
                <w:rFonts w:cs="Arial"/>
                <w:sz w:val="20"/>
                <w:szCs w:val="20"/>
                <w:lang w:val="en-US"/>
              </w:rPr>
              <w:t> </w:t>
            </w:r>
          </w:p>
        </w:tc>
        <w:tc>
          <w:tcPr>
            <w:tcW w:w="1701" w:type="dxa"/>
            <w:tcBorders>
              <w:top w:val="nil"/>
              <w:left w:val="nil"/>
              <w:bottom w:val="nil"/>
              <w:right w:val="single" w:sz="4" w:space="0" w:color="999999"/>
            </w:tcBorders>
            <w:tcMar>
              <w:top w:w="11" w:type="dxa"/>
              <w:left w:w="57" w:type="dxa"/>
              <w:bottom w:w="11" w:type="dxa"/>
              <w:right w:w="57" w:type="dxa"/>
            </w:tcMar>
          </w:tcPr>
          <w:p w14:paraId="169B8559" w14:textId="77777777" w:rsidR="000923BB" w:rsidRDefault="000923BB" w:rsidP="003A385F">
            <w:pPr>
              <w:rPr>
                <w:rFonts w:cs="Arial"/>
                <w:sz w:val="20"/>
                <w:szCs w:val="20"/>
                <w:lang w:val="en-US"/>
              </w:rPr>
            </w:pPr>
            <w:r>
              <w:rPr>
                <w:rFonts w:cs="Arial"/>
                <w:sz w:val="20"/>
                <w:szCs w:val="20"/>
                <w:lang w:val="en-US"/>
              </w:rPr>
              <w:t> </w:t>
            </w:r>
          </w:p>
        </w:tc>
        <w:tc>
          <w:tcPr>
            <w:tcW w:w="851" w:type="dxa"/>
            <w:tcBorders>
              <w:top w:val="nil"/>
              <w:left w:val="single" w:sz="4" w:space="0" w:color="999999"/>
              <w:bottom w:val="nil"/>
              <w:right w:val="single" w:sz="4" w:space="0" w:color="999999"/>
            </w:tcBorders>
            <w:tcMar>
              <w:left w:w="57" w:type="dxa"/>
              <w:right w:w="57" w:type="dxa"/>
            </w:tcMar>
          </w:tcPr>
          <w:p w14:paraId="6757527D" w14:textId="77777777" w:rsidR="000923BB" w:rsidRDefault="000923BB" w:rsidP="003A385F">
            <w:pPr>
              <w:jc w:val="center"/>
              <w:rPr>
                <w:rFonts w:cs="Arial"/>
                <w:sz w:val="20"/>
                <w:szCs w:val="20"/>
                <w:lang w:val="en-US"/>
              </w:rPr>
            </w:pPr>
          </w:p>
        </w:tc>
        <w:tc>
          <w:tcPr>
            <w:tcW w:w="992" w:type="dxa"/>
            <w:tcBorders>
              <w:top w:val="nil"/>
              <w:left w:val="single" w:sz="4" w:space="0" w:color="999999"/>
              <w:bottom w:val="nil"/>
              <w:right w:val="single" w:sz="4" w:space="0" w:color="auto"/>
            </w:tcBorders>
            <w:tcMar>
              <w:left w:w="57" w:type="dxa"/>
              <w:right w:w="57" w:type="dxa"/>
            </w:tcMar>
          </w:tcPr>
          <w:p w14:paraId="1C04773B" w14:textId="77777777" w:rsidR="000923BB" w:rsidRDefault="000923BB" w:rsidP="003A385F">
            <w:pPr>
              <w:jc w:val="center"/>
              <w:rPr>
                <w:rFonts w:cs="Arial"/>
                <w:sz w:val="20"/>
                <w:szCs w:val="20"/>
                <w:lang w:val="en-US"/>
              </w:rPr>
            </w:pPr>
          </w:p>
        </w:tc>
        <w:tc>
          <w:tcPr>
            <w:tcW w:w="1984" w:type="dxa"/>
            <w:tcBorders>
              <w:top w:val="nil"/>
              <w:left w:val="nil"/>
              <w:bottom w:val="nil"/>
              <w:right w:val="single" w:sz="4" w:space="0" w:color="999999"/>
            </w:tcBorders>
            <w:tcMar>
              <w:left w:w="57" w:type="dxa"/>
              <w:right w:w="57" w:type="dxa"/>
            </w:tcMar>
          </w:tcPr>
          <w:p w14:paraId="725EC289" w14:textId="77777777" w:rsidR="000923BB" w:rsidRDefault="000923BB" w:rsidP="003A385F">
            <w:pPr>
              <w:rPr>
                <w:rFonts w:cs="Arial"/>
                <w:sz w:val="20"/>
                <w:szCs w:val="20"/>
                <w:lang w:val="en-US"/>
              </w:rPr>
            </w:pPr>
            <w:r>
              <w:rPr>
                <w:rFonts w:cs="Arial"/>
                <w:sz w:val="20"/>
                <w:szCs w:val="20"/>
                <w:lang w:val="en-US"/>
              </w:rPr>
              <w:t>Doctor</w:t>
            </w:r>
          </w:p>
        </w:tc>
        <w:tc>
          <w:tcPr>
            <w:tcW w:w="851" w:type="dxa"/>
            <w:tcBorders>
              <w:top w:val="nil"/>
              <w:left w:val="single" w:sz="4" w:space="0" w:color="999999"/>
              <w:bottom w:val="nil"/>
              <w:right w:val="single" w:sz="4" w:space="0" w:color="999999"/>
            </w:tcBorders>
            <w:tcMar>
              <w:left w:w="57" w:type="dxa"/>
              <w:right w:w="57" w:type="dxa"/>
            </w:tcMar>
          </w:tcPr>
          <w:p w14:paraId="3859F323" w14:textId="77777777" w:rsidR="000923BB" w:rsidRDefault="000923BB" w:rsidP="003A385F">
            <w:pPr>
              <w:jc w:val="center"/>
              <w:rPr>
                <w:rFonts w:cs="Arial"/>
                <w:sz w:val="20"/>
                <w:szCs w:val="20"/>
                <w:lang w:val="en-US"/>
              </w:rPr>
            </w:pPr>
            <w:r>
              <w:rPr>
                <w:rFonts w:cs="Arial"/>
                <w:sz w:val="20"/>
                <w:szCs w:val="20"/>
                <w:lang w:val="en-US"/>
              </w:rPr>
              <w:t>49</w:t>
            </w:r>
          </w:p>
        </w:tc>
        <w:tc>
          <w:tcPr>
            <w:tcW w:w="1134" w:type="dxa"/>
            <w:tcBorders>
              <w:top w:val="nil"/>
              <w:left w:val="single" w:sz="4" w:space="0" w:color="999999"/>
              <w:bottom w:val="nil"/>
              <w:right w:val="single" w:sz="4" w:space="0" w:color="auto"/>
            </w:tcBorders>
            <w:tcMar>
              <w:left w:w="57" w:type="dxa"/>
              <w:right w:w="57" w:type="dxa"/>
            </w:tcMar>
          </w:tcPr>
          <w:p w14:paraId="6DD158CF" w14:textId="77777777" w:rsidR="000923BB" w:rsidRDefault="000923BB" w:rsidP="003A385F">
            <w:pPr>
              <w:jc w:val="center"/>
              <w:rPr>
                <w:rFonts w:cs="Arial"/>
                <w:sz w:val="20"/>
                <w:szCs w:val="20"/>
                <w:lang w:val="en-US"/>
              </w:rPr>
            </w:pPr>
            <w:r>
              <w:rPr>
                <w:rFonts w:cs="Arial"/>
                <w:sz w:val="20"/>
                <w:szCs w:val="20"/>
                <w:lang w:val="en-US"/>
              </w:rPr>
              <w:t>47</w:t>
            </w:r>
          </w:p>
        </w:tc>
      </w:tr>
      <w:tr w:rsidR="000923BB" w14:paraId="7736F009" w14:textId="77777777" w:rsidTr="009148F2">
        <w:trPr>
          <w:trHeight w:val="255"/>
        </w:trPr>
        <w:tc>
          <w:tcPr>
            <w:tcW w:w="663" w:type="dxa"/>
            <w:tcBorders>
              <w:top w:val="nil"/>
              <w:left w:val="single" w:sz="4" w:space="0" w:color="auto"/>
              <w:bottom w:val="nil"/>
              <w:right w:val="single" w:sz="4" w:space="0" w:color="auto"/>
            </w:tcBorders>
          </w:tcPr>
          <w:p w14:paraId="6EF52F34" w14:textId="77777777" w:rsidR="000923BB" w:rsidRDefault="000923BB" w:rsidP="003A385F">
            <w:pPr>
              <w:rPr>
                <w:rFonts w:cs="Arial"/>
                <w:sz w:val="20"/>
                <w:szCs w:val="20"/>
                <w:lang w:val="en-US"/>
              </w:rPr>
            </w:pPr>
            <w:r>
              <w:rPr>
                <w:rFonts w:cs="Arial"/>
                <w:sz w:val="20"/>
                <w:szCs w:val="20"/>
                <w:lang w:val="en-US"/>
              </w:rPr>
              <w:t> </w:t>
            </w:r>
          </w:p>
        </w:tc>
        <w:tc>
          <w:tcPr>
            <w:tcW w:w="1701" w:type="dxa"/>
            <w:tcBorders>
              <w:top w:val="nil"/>
              <w:left w:val="nil"/>
              <w:bottom w:val="nil"/>
              <w:right w:val="single" w:sz="4" w:space="0" w:color="999999"/>
            </w:tcBorders>
            <w:tcMar>
              <w:top w:w="11" w:type="dxa"/>
              <w:left w:w="57" w:type="dxa"/>
              <w:bottom w:w="11" w:type="dxa"/>
              <w:right w:w="57" w:type="dxa"/>
            </w:tcMar>
          </w:tcPr>
          <w:p w14:paraId="4F20D720" w14:textId="77777777" w:rsidR="000923BB" w:rsidRDefault="000923BB" w:rsidP="003A385F">
            <w:pPr>
              <w:rPr>
                <w:rFonts w:cs="Arial"/>
                <w:sz w:val="20"/>
                <w:szCs w:val="20"/>
                <w:lang w:val="en-US"/>
              </w:rPr>
            </w:pPr>
            <w:r>
              <w:rPr>
                <w:rFonts w:cs="Arial"/>
                <w:sz w:val="20"/>
                <w:szCs w:val="20"/>
                <w:lang w:val="en-US"/>
              </w:rPr>
              <w:t> </w:t>
            </w:r>
          </w:p>
        </w:tc>
        <w:tc>
          <w:tcPr>
            <w:tcW w:w="851" w:type="dxa"/>
            <w:tcBorders>
              <w:top w:val="nil"/>
              <w:left w:val="single" w:sz="4" w:space="0" w:color="999999"/>
              <w:bottom w:val="nil"/>
              <w:right w:val="single" w:sz="4" w:space="0" w:color="999999"/>
            </w:tcBorders>
            <w:tcMar>
              <w:left w:w="57" w:type="dxa"/>
              <w:right w:w="57" w:type="dxa"/>
            </w:tcMar>
          </w:tcPr>
          <w:p w14:paraId="39E9BC92" w14:textId="77777777" w:rsidR="000923BB" w:rsidRDefault="000923BB" w:rsidP="003A385F">
            <w:pPr>
              <w:jc w:val="center"/>
              <w:rPr>
                <w:rFonts w:cs="Arial"/>
                <w:sz w:val="20"/>
                <w:szCs w:val="20"/>
                <w:lang w:val="en-US"/>
              </w:rPr>
            </w:pPr>
          </w:p>
        </w:tc>
        <w:tc>
          <w:tcPr>
            <w:tcW w:w="992" w:type="dxa"/>
            <w:tcBorders>
              <w:top w:val="nil"/>
              <w:left w:val="single" w:sz="4" w:space="0" w:color="999999"/>
              <w:bottom w:val="nil"/>
              <w:right w:val="single" w:sz="4" w:space="0" w:color="auto"/>
            </w:tcBorders>
            <w:tcMar>
              <w:left w:w="57" w:type="dxa"/>
              <w:right w:w="57" w:type="dxa"/>
            </w:tcMar>
          </w:tcPr>
          <w:p w14:paraId="56F3EDA0" w14:textId="77777777" w:rsidR="000923BB" w:rsidRDefault="000923BB" w:rsidP="003A385F">
            <w:pPr>
              <w:jc w:val="center"/>
              <w:rPr>
                <w:rFonts w:cs="Arial"/>
                <w:sz w:val="20"/>
                <w:szCs w:val="20"/>
                <w:lang w:val="en-US"/>
              </w:rPr>
            </w:pPr>
          </w:p>
        </w:tc>
        <w:tc>
          <w:tcPr>
            <w:tcW w:w="1984" w:type="dxa"/>
            <w:tcBorders>
              <w:top w:val="nil"/>
              <w:left w:val="nil"/>
              <w:bottom w:val="nil"/>
              <w:right w:val="single" w:sz="4" w:space="0" w:color="999999"/>
            </w:tcBorders>
            <w:tcMar>
              <w:left w:w="57" w:type="dxa"/>
              <w:right w:w="57" w:type="dxa"/>
            </w:tcMar>
          </w:tcPr>
          <w:p w14:paraId="66F002FE" w14:textId="77777777" w:rsidR="000923BB" w:rsidRDefault="000923BB" w:rsidP="003A385F">
            <w:pPr>
              <w:rPr>
                <w:rFonts w:cs="Arial"/>
                <w:sz w:val="20"/>
                <w:szCs w:val="20"/>
                <w:lang w:val="en-US"/>
              </w:rPr>
            </w:pPr>
            <w:r>
              <w:rPr>
                <w:rFonts w:cs="Arial"/>
                <w:sz w:val="20"/>
                <w:szCs w:val="20"/>
                <w:lang w:val="en-US"/>
              </w:rPr>
              <w:t>Doctor</w:t>
            </w:r>
          </w:p>
        </w:tc>
        <w:tc>
          <w:tcPr>
            <w:tcW w:w="851" w:type="dxa"/>
            <w:tcBorders>
              <w:top w:val="nil"/>
              <w:left w:val="single" w:sz="4" w:space="0" w:color="999999"/>
              <w:bottom w:val="nil"/>
              <w:right w:val="single" w:sz="4" w:space="0" w:color="999999"/>
            </w:tcBorders>
            <w:tcMar>
              <w:left w:w="57" w:type="dxa"/>
              <w:right w:w="57" w:type="dxa"/>
            </w:tcMar>
          </w:tcPr>
          <w:p w14:paraId="20AFAB62" w14:textId="77777777" w:rsidR="000923BB" w:rsidRDefault="000923BB" w:rsidP="003A385F">
            <w:pPr>
              <w:jc w:val="center"/>
              <w:rPr>
                <w:rFonts w:cs="Arial"/>
                <w:sz w:val="20"/>
                <w:szCs w:val="20"/>
                <w:lang w:val="en-US"/>
              </w:rPr>
            </w:pPr>
            <w:r>
              <w:rPr>
                <w:rFonts w:cs="Arial"/>
                <w:sz w:val="20"/>
                <w:szCs w:val="20"/>
                <w:lang w:val="en-US"/>
              </w:rPr>
              <w:t>49</w:t>
            </w:r>
          </w:p>
        </w:tc>
        <w:tc>
          <w:tcPr>
            <w:tcW w:w="1134" w:type="dxa"/>
            <w:tcBorders>
              <w:top w:val="nil"/>
              <w:left w:val="single" w:sz="4" w:space="0" w:color="999999"/>
              <w:bottom w:val="nil"/>
              <w:right w:val="single" w:sz="4" w:space="0" w:color="auto"/>
            </w:tcBorders>
            <w:tcMar>
              <w:left w:w="57" w:type="dxa"/>
              <w:right w:w="57" w:type="dxa"/>
            </w:tcMar>
          </w:tcPr>
          <w:p w14:paraId="0E4E91AA" w14:textId="77777777" w:rsidR="000923BB" w:rsidRDefault="000923BB" w:rsidP="003A385F">
            <w:pPr>
              <w:jc w:val="center"/>
              <w:rPr>
                <w:rFonts w:cs="Arial"/>
                <w:sz w:val="20"/>
                <w:szCs w:val="20"/>
                <w:lang w:val="en-US"/>
              </w:rPr>
            </w:pPr>
            <w:r>
              <w:rPr>
                <w:rFonts w:cs="Arial"/>
                <w:sz w:val="20"/>
                <w:szCs w:val="20"/>
                <w:lang w:val="en-US"/>
              </w:rPr>
              <w:t>46</w:t>
            </w:r>
          </w:p>
        </w:tc>
      </w:tr>
      <w:tr w:rsidR="000923BB" w14:paraId="05F563FD" w14:textId="77777777" w:rsidTr="009148F2">
        <w:trPr>
          <w:trHeight w:val="255"/>
        </w:trPr>
        <w:tc>
          <w:tcPr>
            <w:tcW w:w="663" w:type="dxa"/>
            <w:tcBorders>
              <w:top w:val="nil"/>
              <w:left w:val="single" w:sz="4" w:space="0" w:color="auto"/>
              <w:bottom w:val="single" w:sz="4" w:space="0" w:color="auto"/>
              <w:right w:val="single" w:sz="4" w:space="0" w:color="auto"/>
            </w:tcBorders>
          </w:tcPr>
          <w:p w14:paraId="11A37BD7" w14:textId="77777777" w:rsidR="000923BB" w:rsidRDefault="000923BB" w:rsidP="003A385F">
            <w:pPr>
              <w:rPr>
                <w:rFonts w:cs="Arial"/>
                <w:sz w:val="20"/>
                <w:szCs w:val="20"/>
                <w:lang w:val="en-US"/>
              </w:rPr>
            </w:pPr>
            <w:r>
              <w:rPr>
                <w:rFonts w:cs="Arial"/>
                <w:sz w:val="20"/>
                <w:szCs w:val="20"/>
                <w:lang w:val="en-US"/>
              </w:rPr>
              <w:t> </w:t>
            </w:r>
          </w:p>
        </w:tc>
        <w:tc>
          <w:tcPr>
            <w:tcW w:w="1701" w:type="dxa"/>
            <w:tcBorders>
              <w:top w:val="nil"/>
              <w:left w:val="nil"/>
              <w:bottom w:val="single" w:sz="4" w:space="0" w:color="auto"/>
              <w:right w:val="single" w:sz="4" w:space="0" w:color="999999"/>
            </w:tcBorders>
            <w:tcMar>
              <w:top w:w="11" w:type="dxa"/>
              <w:left w:w="57" w:type="dxa"/>
              <w:bottom w:w="11" w:type="dxa"/>
              <w:right w:w="57" w:type="dxa"/>
            </w:tcMar>
          </w:tcPr>
          <w:p w14:paraId="47D2903E" w14:textId="77777777" w:rsidR="000923BB" w:rsidRDefault="000923BB" w:rsidP="003A385F">
            <w:pPr>
              <w:rPr>
                <w:rFonts w:cs="Arial"/>
                <w:sz w:val="20"/>
                <w:szCs w:val="20"/>
                <w:lang w:val="en-US"/>
              </w:rPr>
            </w:pPr>
            <w:r>
              <w:rPr>
                <w:rFonts w:cs="Arial"/>
                <w:sz w:val="20"/>
                <w:szCs w:val="20"/>
                <w:lang w:val="en-US"/>
              </w:rPr>
              <w:t> </w:t>
            </w:r>
          </w:p>
        </w:tc>
        <w:tc>
          <w:tcPr>
            <w:tcW w:w="851" w:type="dxa"/>
            <w:tcBorders>
              <w:top w:val="nil"/>
              <w:left w:val="single" w:sz="4" w:space="0" w:color="999999"/>
              <w:bottom w:val="single" w:sz="4" w:space="0" w:color="auto"/>
              <w:right w:val="single" w:sz="4" w:space="0" w:color="999999"/>
            </w:tcBorders>
            <w:tcMar>
              <w:left w:w="57" w:type="dxa"/>
              <w:right w:w="57" w:type="dxa"/>
            </w:tcMar>
          </w:tcPr>
          <w:p w14:paraId="73F469A5" w14:textId="77777777" w:rsidR="000923BB" w:rsidRDefault="000923BB" w:rsidP="003A385F">
            <w:pPr>
              <w:jc w:val="center"/>
              <w:rPr>
                <w:rFonts w:cs="Arial"/>
                <w:sz w:val="20"/>
                <w:szCs w:val="20"/>
                <w:lang w:val="en-US"/>
              </w:rPr>
            </w:pPr>
          </w:p>
        </w:tc>
        <w:tc>
          <w:tcPr>
            <w:tcW w:w="992" w:type="dxa"/>
            <w:tcBorders>
              <w:top w:val="nil"/>
              <w:left w:val="single" w:sz="4" w:space="0" w:color="999999"/>
              <w:bottom w:val="single" w:sz="4" w:space="0" w:color="auto"/>
              <w:right w:val="single" w:sz="4" w:space="0" w:color="auto"/>
            </w:tcBorders>
            <w:tcMar>
              <w:left w:w="57" w:type="dxa"/>
              <w:right w:w="57" w:type="dxa"/>
            </w:tcMar>
          </w:tcPr>
          <w:p w14:paraId="0285D7F4" w14:textId="77777777" w:rsidR="000923BB" w:rsidRDefault="000923BB" w:rsidP="003A385F">
            <w:pPr>
              <w:jc w:val="center"/>
              <w:rPr>
                <w:rFonts w:cs="Arial"/>
                <w:sz w:val="20"/>
                <w:szCs w:val="20"/>
                <w:lang w:val="en-US"/>
              </w:rPr>
            </w:pPr>
          </w:p>
        </w:tc>
        <w:tc>
          <w:tcPr>
            <w:tcW w:w="1984" w:type="dxa"/>
            <w:tcBorders>
              <w:top w:val="nil"/>
              <w:left w:val="nil"/>
              <w:bottom w:val="single" w:sz="4" w:space="0" w:color="auto"/>
              <w:right w:val="single" w:sz="4" w:space="0" w:color="999999"/>
            </w:tcBorders>
            <w:tcMar>
              <w:left w:w="57" w:type="dxa"/>
              <w:right w:w="57" w:type="dxa"/>
            </w:tcMar>
          </w:tcPr>
          <w:p w14:paraId="63BA6C9A" w14:textId="77777777" w:rsidR="000923BB" w:rsidRDefault="000923BB" w:rsidP="003A385F">
            <w:pPr>
              <w:rPr>
                <w:rFonts w:cs="Arial"/>
                <w:sz w:val="20"/>
                <w:szCs w:val="20"/>
                <w:lang w:val="en-US"/>
              </w:rPr>
            </w:pPr>
            <w:r>
              <w:rPr>
                <w:rFonts w:cs="Arial"/>
                <w:sz w:val="20"/>
                <w:szCs w:val="20"/>
                <w:lang w:val="en-US"/>
              </w:rPr>
              <w:t>Doctor</w:t>
            </w:r>
          </w:p>
        </w:tc>
        <w:tc>
          <w:tcPr>
            <w:tcW w:w="851" w:type="dxa"/>
            <w:tcBorders>
              <w:top w:val="nil"/>
              <w:left w:val="single" w:sz="4" w:space="0" w:color="999999"/>
              <w:bottom w:val="single" w:sz="4" w:space="0" w:color="auto"/>
              <w:right w:val="single" w:sz="4" w:space="0" w:color="999999"/>
            </w:tcBorders>
            <w:tcMar>
              <w:left w:w="57" w:type="dxa"/>
              <w:right w:w="57" w:type="dxa"/>
            </w:tcMar>
          </w:tcPr>
          <w:p w14:paraId="01E53C4C" w14:textId="77777777" w:rsidR="000923BB" w:rsidRDefault="000923BB" w:rsidP="003A385F">
            <w:pPr>
              <w:jc w:val="center"/>
              <w:rPr>
                <w:rFonts w:cs="Arial"/>
                <w:sz w:val="20"/>
                <w:szCs w:val="20"/>
                <w:lang w:val="en-US"/>
              </w:rPr>
            </w:pPr>
            <w:r>
              <w:rPr>
                <w:rFonts w:cs="Arial"/>
                <w:sz w:val="20"/>
                <w:szCs w:val="20"/>
                <w:lang w:val="en-US"/>
              </w:rPr>
              <w:t>49</w:t>
            </w:r>
          </w:p>
        </w:tc>
        <w:tc>
          <w:tcPr>
            <w:tcW w:w="1134" w:type="dxa"/>
            <w:tcBorders>
              <w:top w:val="nil"/>
              <w:left w:val="single" w:sz="4" w:space="0" w:color="999999"/>
              <w:bottom w:val="single" w:sz="4" w:space="0" w:color="auto"/>
              <w:right w:val="single" w:sz="4" w:space="0" w:color="auto"/>
            </w:tcBorders>
            <w:tcMar>
              <w:left w:w="57" w:type="dxa"/>
              <w:right w:w="57" w:type="dxa"/>
            </w:tcMar>
          </w:tcPr>
          <w:p w14:paraId="5246ECC0" w14:textId="77777777" w:rsidR="000923BB" w:rsidRDefault="000923BB" w:rsidP="003A385F">
            <w:pPr>
              <w:jc w:val="center"/>
              <w:rPr>
                <w:rFonts w:cs="Arial"/>
                <w:sz w:val="20"/>
                <w:szCs w:val="20"/>
                <w:lang w:val="en-US"/>
              </w:rPr>
            </w:pPr>
            <w:r>
              <w:rPr>
                <w:rFonts w:cs="Arial"/>
                <w:sz w:val="20"/>
                <w:szCs w:val="20"/>
                <w:lang w:val="en-US"/>
              </w:rPr>
              <w:t>46</w:t>
            </w:r>
          </w:p>
        </w:tc>
      </w:tr>
      <w:tr w:rsidR="000923BB" w14:paraId="6DD71907" w14:textId="77777777" w:rsidTr="009148F2">
        <w:trPr>
          <w:trHeight w:val="255"/>
        </w:trPr>
        <w:tc>
          <w:tcPr>
            <w:tcW w:w="663" w:type="dxa"/>
            <w:tcBorders>
              <w:top w:val="single" w:sz="4" w:space="0" w:color="auto"/>
              <w:left w:val="single" w:sz="4" w:space="0" w:color="auto"/>
              <w:bottom w:val="single" w:sz="4" w:space="0" w:color="auto"/>
              <w:right w:val="single" w:sz="4" w:space="0" w:color="auto"/>
            </w:tcBorders>
          </w:tcPr>
          <w:p w14:paraId="32098A0C" w14:textId="77777777" w:rsidR="000923BB" w:rsidRDefault="000923BB" w:rsidP="003A385F">
            <w:pPr>
              <w:rPr>
                <w:rFonts w:cs="Arial"/>
                <w:sz w:val="20"/>
                <w:szCs w:val="20"/>
                <w:lang w:val="en-US"/>
              </w:rPr>
            </w:pPr>
            <w:r>
              <w:rPr>
                <w:rFonts w:cs="Arial"/>
                <w:sz w:val="20"/>
                <w:szCs w:val="20"/>
                <w:lang w:val="en-US"/>
              </w:rPr>
              <w:t>C</w:t>
            </w:r>
          </w:p>
        </w:tc>
        <w:tc>
          <w:tcPr>
            <w:tcW w:w="1701" w:type="dxa"/>
            <w:tcBorders>
              <w:top w:val="single" w:sz="4" w:space="0" w:color="auto"/>
              <w:left w:val="single" w:sz="4" w:space="0" w:color="auto"/>
              <w:bottom w:val="single" w:sz="4" w:space="0" w:color="auto"/>
              <w:right w:val="single" w:sz="4" w:space="0" w:color="999999"/>
            </w:tcBorders>
            <w:noWrap/>
            <w:tcMar>
              <w:top w:w="11" w:type="dxa"/>
              <w:left w:w="57" w:type="dxa"/>
              <w:bottom w:w="11" w:type="dxa"/>
              <w:right w:w="57" w:type="dxa"/>
            </w:tcMar>
          </w:tcPr>
          <w:p w14:paraId="3301BD7C" w14:textId="77777777" w:rsidR="000923BB" w:rsidRDefault="000923BB" w:rsidP="003A385F">
            <w:pPr>
              <w:rPr>
                <w:rFonts w:cs="Arial"/>
                <w:sz w:val="20"/>
                <w:szCs w:val="20"/>
                <w:lang w:val="en-US"/>
              </w:rPr>
            </w:pPr>
            <w:r>
              <w:rPr>
                <w:rFonts w:cs="Arial"/>
                <w:sz w:val="20"/>
                <w:szCs w:val="20"/>
                <w:lang w:val="en-US"/>
              </w:rPr>
              <w:t>Nurse / other clinical</w:t>
            </w:r>
          </w:p>
        </w:tc>
        <w:tc>
          <w:tcPr>
            <w:tcW w:w="851" w:type="dxa"/>
            <w:tcBorders>
              <w:top w:val="single" w:sz="4" w:space="0" w:color="auto"/>
              <w:left w:val="single" w:sz="4" w:space="0" w:color="999999"/>
              <w:bottom w:val="single" w:sz="4" w:space="0" w:color="auto"/>
              <w:right w:val="single" w:sz="4" w:space="0" w:color="999999"/>
            </w:tcBorders>
            <w:tcMar>
              <w:left w:w="57" w:type="dxa"/>
              <w:right w:w="57" w:type="dxa"/>
            </w:tcMar>
          </w:tcPr>
          <w:p w14:paraId="64CF10B1" w14:textId="77777777" w:rsidR="000923BB" w:rsidRDefault="000923BB" w:rsidP="003A385F">
            <w:pPr>
              <w:jc w:val="center"/>
              <w:rPr>
                <w:rFonts w:cs="Arial"/>
                <w:sz w:val="20"/>
                <w:szCs w:val="20"/>
                <w:lang w:val="en-US"/>
              </w:rPr>
            </w:pPr>
            <w:r>
              <w:rPr>
                <w:rFonts w:cs="Arial"/>
                <w:sz w:val="20"/>
                <w:szCs w:val="20"/>
                <w:lang w:val="en-US"/>
              </w:rPr>
              <w:t>49</w:t>
            </w:r>
          </w:p>
        </w:tc>
        <w:tc>
          <w:tcPr>
            <w:tcW w:w="992" w:type="dxa"/>
            <w:tcBorders>
              <w:top w:val="single" w:sz="4" w:space="0" w:color="auto"/>
              <w:left w:val="single" w:sz="4" w:space="0" w:color="999999"/>
              <w:bottom w:val="single" w:sz="4" w:space="0" w:color="auto"/>
              <w:right w:val="single" w:sz="4" w:space="0" w:color="auto"/>
            </w:tcBorders>
            <w:tcMar>
              <w:left w:w="57" w:type="dxa"/>
              <w:right w:w="57" w:type="dxa"/>
            </w:tcMar>
          </w:tcPr>
          <w:p w14:paraId="76C03D8D" w14:textId="77777777" w:rsidR="000923BB" w:rsidRDefault="000923BB" w:rsidP="003A385F">
            <w:pPr>
              <w:jc w:val="center"/>
              <w:rPr>
                <w:rFonts w:cs="Arial"/>
                <w:sz w:val="20"/>
                <w:szCs w:val="20"/>
                <w:lang w:val="en-US"/>
              </w:rPr>
            </w:pPr>
            <w:r>
              <w:rPr>
                <w:rFonts w:cs="Arial"/>
                <w:sz w:val="20"/>
                <w:szCs w:val="20"/>
                <w:lang w:val="en-US"/>
              </w:rPr>
              <w:t>19</w:t>
            </w:r>
          </w:p>
        </w:tc>
        <w:tc>
          <w:tcPr>
            <w:tcW w:w="1984" w:type="dxa"/>
            <w:tcBorders>
              <w:top w:val="single" w:sz="4" w:space="0" w:color="auto"/>
              <w:left w:val="single" w:sz="4" w:space="0" w:color="auto"/>
              <w:bottom w:val="single" w:sz="4" w:space="0" w:color="auto"/>
              <w:right w:val="single" w:sz="4" w:space="0" w:color="999999"/>
            </w:tcBorders>
            <w:noWrap/>
            <w:tcMar>
              <w:left w:w="57" w:type="dxa"/>
              <w:right w:w="57" w:type="dxa"/>
            </w:tcMar>
          </w:tcPr>
          <w:p w14:paraId="48062F9A" w14:textId="77777777" w:rsidR="000923BB" w:rsidRDefault="000923BB" w:rsidP="003A385F">
            <w:pPr>
              <w:rPr>
                <w:rFonts w:cs="Arial"/>
                <w:sz w:val="20"/>
                <w:szCs w:val="20"/>
                <w:lang w:val="en-US"/>
              </w:rPr>
            </w:pPr>
          </w:p>
        </w:tc>
        <w:tc>
          <w:tcPr>
            <w:tcW w:w="851" w:type="dxa"/>
            <w:tcBorders>
              <w:top w:val="single" w:sz="4" w:space="0" w:color="auto"/>
              <w:left w:val="single" w:sz="4" w:space="0" w:color="999999"/>
              <w:bottom w:val="single" w:sz="4" w:space="0" w:color="auto"/>
              <w:right w:val="single" w:sz="4" w:space="0" w:color="999999"/>
            </w:tcBorders>
            <w:noWrap/>
            <w:tcMar>
              <w:left w:w="57" w:type="dxa"/>
              <w:right w:w="57" w:type="dxa"/>
            </w:tcMar>
          </w:tcPr>
          <w:p w14:paraId="305CF7A5" w14:textId="77777777" w:rsidR="000923BB" w:rsidRDefault="000923BB" w:rsidP="003A385F">
            <w:pPr>
              <w:jc w:val="center"/>
              <w:rPr>
                <w:rFonts w:cs="Arial"/>
                <w:sz w:val="20"/>
                <w:szCs w:val="20"/>
                <w:lang w:val="en-US"/>
              </w:rPr>
            </w:pPr>
          </w:p>
        </w:tc>
        <w:tc>
          <w:tcPr>
            <w:tcW w:w="1134" w:type="dxa"/>
            <w:tcBorders>
              <w:top w:val="single" w:sz="4" w:space="0" w:color="auto"/>
              <w:left w:val="single" w:sz="4" w:space="0" w:color="999999"/>
              <w:bottom w:val="single" w:sz="4" w:space="0" w:color="auto"/>
              <w:right w:val="single" w:sz="4" w:space="0" w:color="auto"/>
            </w:tcBorders>
            <w:noWrap/>
            <w:tcMar>
              <w:left w:w="57" w:type="dxa"/>
              <w:right w:w="57" w:type="dxa"/>
            </w:tcMar>
          </w:tcPr>
          <w:p w14:paraId="79954077" w14:textId="77777777" w:rsidR="000923BB" w:rsidRDefault="000923BB" w:rsidP="003A385F">
            <w:pPr>
              <w:jc w:val="center"/>
              <w:rPr>
                <w:rFonts w:cs="Arial"/>
                <w:sz w:val="20"/>
                <w:szCs w:val="20"/>
                <w:lang w:val="en-US"/>
              </w:rPr>
            </w:pPr>
          </w:p>
        </w:tc>
      </w:tr>
      <w:tr w:rsidR="000923BB" w14:paraId="078A4DEC" w14:textId="77777777" w:rsidTr="009148F2">
        <w:trPr>
          <w:trHeight w:val="255"/>
        </w:trPr>
        <w:tc>
          <w:tcPr>
            <w:tcW w:w="663" w:type="dxa"/>
            <w:tcBorders>
              <w:top w:val="single" w:sz="4" w:space="0" w:color="auto"/>
              <w:left w:val="single" w:sz="4" w:space="0" w:color="auto"/>
              <w:bottom w:val="nil"/>
              <w:right w:val="single" w:sz="4" w:space="0" w:color="auto"/>
            </w:tcBorders>
          </w:tcPr>
          <w:p w14:paraId="6FE80EDC" w14:textId="77777777" w:rsidR="000923BB" w:rsidRDefault="000923BB" w:rsidP="003A385F">
            <w:pPr>
              <w:rPr>
                <w:rFonts w:cs="Arial"/>
                <w:sz w:val="20"/>
                <w:szCs w:val="20"/>
                <w:lang w:val="en-US"/>
              </w:rPr>
            </w:pPr>
            <w:r>
              <w:rPr>
                <w:rFonts w:cs="Arial"/>
                <w:sz w:val="20"/>
                <w:szCs w:val="20"/>
                <w:lang w:val="en-US"/>
              </w:rPr>
              <w:t>D</w:t>
            </w:r>
          </w:p>
        </w:tc>
        <w:tc>
          <w:tcPr>
            <w:tcW w:w="1701" w:type="dxa"/>
            <w:tcBorders>
              <w:top w:val="single" w:sz="4" w:space="0" w:color="auto"/>
              <w:left w:val="nil"/>
              <w:bottom w:val="nil"/>
              <w:right w:val="single" w:sz="4" w:space="0" w:color="999999"/>
            </w:tcBorders>
            <w:tcMar>
              <w:top w:w="11" w:type="dxa"/>
              <w:left w:w="57" w:type="dxa"/>
              <w:bottom w:w="11" w:type="dxa"/>
              <w:right w:w="57" w:type="dxa"/>
            </w:tcMar>
          </w:tcPr>
          <w:p w14:paraId="348F0EBA" w14:textId="77777777" w:rsidR="000923BB" w:rsidRDefault="000923BB" w:rsidP="003A385F">
            <w:pPr>
              <w:rPr>
                <w:rFonts w:cs="Arial"/>
                <w:sz w:val="20"/>
                <w:szCs w:val="20"/>
                <w:lang w:val="en-US"/>
              </w:rPr>
            </w:pPr>
            <w:r>
              <w:rPr>
                <w:rFonts w:cs="Arial"/>
                <w:sz w:val="20"/>
                <w:szCs w:val="20"/>
                <w:lang w:val="en-US"/>
              </w:rPr>
              <w:t>Nurse / other clinical</w:t>
            </w:r>
          </w:p>
        </w:tc>
        <w:tc>
          <w:tcPr>
            <w:tcW w:w="851" w:type="dxa"/>
            <w:tcBorders>
              <w:top w:val="single" w:sz="4" w:space="0" w:color="auto"/>
              <w:left w:val="single" w:sz="4" w:space="0" w:color="999999"/>
              <w:bottom w:val="nil"/>
              <w:right w:val="single" w:sz="4" w:space="0" w:color="999999"/>
            </w:tcBorders>
            <w:tcMar>
              <w:left w:w="57" w:type="dxa"/>
              <w:right w:w="57" w:type="dxa"/>
            </w:tcMar>
          </w:tcPr>
          <w:p w14:paraId="6F34B256" w14:textId="77777777" w:rsidR="000923BB" w:rsidRDefault="000923BB" w:rsidP="003A385F">
            <w:pPr>
              <w:jc w:val="center"/>
              <w:rPr>
                <w:rFonts w:cs="Arial"/>
                <w:sz w:val="20"/>
                <w:szCs w:val="20"/>
                <w:lang w:val="en-US"/>
              </w:rPr>
            </w:pPr>
            <w:r>
              <w:rPr>
                <w:rFonts w:cs="Arial"/>
                <w:sz w:val="20"/>
                <w:szCs w:val="20"/>
                <w:lang w:val="en-US"/>
              </w:rPr>
              <w:t>49</w:t>
            </w:r>
          </w:p>
        </w:tc>
        <w:tc>
          <w:tcPr>
            <w:tcW w:w="992" w:type="dxa"/>
            <w:tcBorders>
              <w:top w:val="single" w:sz="4" w:space="0" w:color="auto"/>
              <w:left w:val="single" w:sz="4" w:space="0" w:color="999999"/>
              <w:bottom w:val="nil"/>
              <w:right w:val="single" w:sz="4" w:space="0" w:color="auto"/>
            </w:tcBorders>
            <w:tcMar>
              <w:left w:w="57" w:type="dxa"/>
              <w:right w:w="57" w:type="dxa"/>
            </w:tcMar>
          </w:tcPr>
          <w:p w14:paraId="53AA72FE" w14:textId="1A0AA68F" w:rsidR="000923BB" w:rsidRDefault="00003011" w:rsidP="003A385F">
            <w:pPr>
              <w:jc w:val="center"/>
              <w:rPr>
                <w:rFonts w:cs="Arial"/>
                <w:sz w:val="20"/>
                <w:szCs w:val="20"/>
                <w:lang w:val="en-US"/>
              </w:rPr>
            </w:pPr>
            <w:r>
              <w:rPr>
                <w:noProof/>
                <w:sz w:val="20"/>
                <w:lang w:val="en-US"/>
              </w:rPr>
              <mc:AlternateContent>
                <mc:Choice Requires="wps">
                  <w:drawing>
                    <wp:anchor distT="0" distB="0" distL="114300" distR="114300" simplePos="0" relativeHeight="252183552" behindDoc="0" locked="0" layoutInCell="1" allowOverlap="1" wp14:anchorId="1D938636" wp14:editId="1E0AA939">
                      <wp:simplePos x="0" y="0"/>
                      <wp:positionH relativeFrom="column">
                        <wp:posOffset>0</wp:posOffset>
                      </wp:positionH>
                      <wp:positionV relativeFrom="paragraph">
                        <wp:posOffset>0</wp:posOffset>
                      </wp:positionV>
                      <wp:extent cx="304800" cy="466725"/>
                      <wp:effectExtent l="1905" t="0" r="0" b="635"/>
                      <wp:wrapNone/>
                      <wp:docPr id="1391" name="AutoShape 568">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667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A7DE8" id="AutoShape 568" o:spid="_x0000_s1026" href="" style="position:absolute;margin-left:0;margin-top:0;width:24pt;height:36.7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184576" behindDoc="0" locked="0" layoutInCell="1" allowOverlap="1" wp14:anchorId="3F908FB9" wp14:editId="4C18129D">
                      <wp:simplePos x="0" y="0"/>
                      <wp:positionH relativeFrom="column">
                        <wp:posOffset>0</wp:posOffset>
                      </wp:positionH>
                      <wp:positionV relativeFrom="paragraph">
                        <wp:posOffset>0</wp:posOffset>
                      </wp:positionV>
                      <wp:extent cx="304800" cy="466725"/>
                      <wp:effectExtent l="1905" t="0" r="0" b="635"/>
                      <wp:wrapNone/>
                      <wp:docPr id="1390" name="AutoShape 569"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667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A3131" id="AutoShape 569" o:spid="_x0000_s1026" alt="Selecting an example from Help" style="position:absolute;margin-left:0;margin-top:0;width:24pt;height:36.7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" filled="f" stroked="f">
                      <o:lock v:ext="edit" aspectratio="t"/>
                    </v:rect>
                  </w:pict>
                </mc:Fallback>
              </mc:AlternateContent>
            </w:r>
            <w:r>
              <w:rPr>
                <w:noProof/>
                <w:sz w:val="20"/>
                <w:lang w:val="en-US"/>
              </w:rPr>
              <mc:AlternateContent>
                <mc:Choice Requires="wps">
                  <w:drawing>
                    <wp:anchor distT="0" distB="0" distL="114300" distR="114300" simplePos="0" relativeHeight="252185600" behindDoc="0" locked="0" layoutInCell="1" allowOverlap="1" wp14:anchorId="27E67856" wp14:editId="0021043C">
                      <wp:simplePos x="0" y="0"/>
                      <wp:positionH relativeFrom="column">
                        <wp:posOffset>0</wp:posOffset>
                      </wp:positionH>
                      <wp:positionV relativeFrom="paragraph">
                        <wp:posOffset>0</wp:posOffset>
                      </wp:positionV>
                      <wp:extent cx="304800" cy="476250"/>
                      <wp:effectExtent l="1905" t="0" r="0" b="635"/>
                      <wp:wrapNone/>
                      <wp:docPr id="1389" name="AutoShape 570">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76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41378" id="AutoShape 570" o:spid="_x0000_s1026" href="" style="position:absolute;margin-left:0;margin-top:0;width:24pt;height:37.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186624" behindDoc="0" locked="0" layoutInCell="1" allowOverlap="1" wp14:anchorId="4FA343B2" wp14:editId="69A5BA8A">
                      <wp:simplePos x="0" y="0"/>
                      <wp:positionH relativeFrom="column">
                        <wp:posOffset>0</wp:posOffset>
                      </wp:positionH>
                      <wp:positionV relativeFrom="paragraph">
                        <wp:posOffset>0</wp:posOffset>
                      </wp:positionV>
                      <wp:extent cx="304800" cy="476250"/>
                      <wp:effectExtent l="1905" t="0" r="0" b="635"/>
                      <wp:wrapNone/>
                      <wp:docPr id="1388" name="AutoShape 571">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76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860B8" id="AutoShape 571" o:spid="_x0000_s1026" href="" style="position:absolute;margin-left:0;margin-top:0;width:24pt;height:37.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187648" behindDoc="0" locked="0" layoutInCell="1" allowOverlap="1" wp14:anchorId="4568F64E" wp14:editId="3CAC99D3">
                      <wp:simplePos x="0" y="0"/>
                      <wp:positionH relativeFrom="column">
                        <wp:posOffset>0</wp:posOffset>
                      </wp:positionH>
                      <wp:positionV relativeFrom="paragraph">
                        <wp:posOffset>0</wp:posOffset>
                      </wp:positionV>
                      <wp:extent cx="304800" cy="476250"/>
                      <wp:effectExtent l="1905" t="0" r="0" b="635"/>
                      <wp:wrapNone/>
                      <wp:docPr id="1387" name="AutoShape 572">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76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84DD4" id="AutoShape 572" o:spid="_x0000_s1026" href="" style="position:absolute;margin-left:0;margin-top:0;width:24pt;height:37.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188672" behindDoc="0" locked="0" layoutInCell="1" allowOverlap="1" wp14:anchorId="66BDE4BA" wp14:editId="0A8D90EA">
                      <wp:simplePos x="0" y="0"/>
                      <wp:positionH relativeFrom="column">
                        <wp:posOffset>0</wp:posOffset>
                      </wp:positionH>
                      <wp:positionV relativeFrom="paragraph">
                        <wp:posOffset>0</wp:posOffset>
                      </wp:positionV>
                      <wp:extent cx="304800" cy="476250"/>
                      <wp:effectExtent l="1905" t="0" r="0" b="635"/>
                      <wp:wrapNone/>
                      <wp:docPr id="1386" name="AutoShape 573">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76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38D30" id="AutoShape 573" o:spid="_x0000_s1026" href="" style="position:absolute;margin-left:0;margin-top:0;width:24pt;height:37.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189696" behindDoc="0" locked="0" layoutInCell="1" allowOverlap="1" wp14:anchorId="1DFC9DF9" wp14:editId="72FFB025">
                      <wp:simplePos x="0" y="0"/>
                      <wp:positionH relativeFrom="column">
                        <wp:posOffset>0</wp:posOffset>
                      </wp:positionH>
                      <wp:positionV relativeFrom="paragraph">
                        <wp:posOffset>0</wp:posOffset>
                      </wp:positionV>
                      <wp:extent cx="304800" cy="476250"/>
                      <wp:effectExtent l="1905" t="0" r="0" b="635"/>
                      <wp:wrapNone/>
                      <wp:docPr id="1385" name="AutoShape 574">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76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CD2F0" id="AutoShape 574" o:spid="_x0000_s1026" href="" style="position:absolute;margin-left:0;margin-top:0;width:24pt;height:37.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190720" behindDoc="0" locked="0" layoutInCell="1" allowOverlap="1" wp14:anchorId="7F450A3B" wp14:editId="7AF00D79">
                      <wp:simplePos x="0" y="0"/>
                      <wp:positionH relativeFrom="column">
                        <wp:posOffset>0</wp:posOffset>
                      </wp:positionH>
                      <wp:positionV relativeFrom="paragraph">
                        <wp:posOffset>0</wp:posOffset>
                      </wp:positionV>
                      <wp:extent cx="304800" cy="476250"/>
                      <wp:effectExtent l="1905" t="0" r="0" b="635"/>
                      <wp:wrapNone/>
                      <wp:docPr id="1384" name="AutoShape 575">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76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4C30E" id="AutoShape 575" o:spid="_x0000_s1026" href="" style="position:absolute;margin-left:0;margin-top:0;width:24pt;height:37.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191744" behindDoc="0" locked="0" layoutInCell="1" allowOverlap="1" wp14:anchorId="16A68328" wp14:editId="7B04776B">
                      <wp:simplePos x="0" y="0"/>
                      <wp:positionH relativeFrom="column">
                        <wp:posOffset>0</wp:posOffset>
                      </wp:positionH>
                      <wp:positionV relativeFrom="paragraph">
                        <wp:posOffset>0</wp:posOffset>
                      </wp:positionV>
                      <wp:extent cx="304800" cy="476250"/>
                      <wp:effectExtent l="1905" t="0" r="0" b="635"/>
                      <wp:wrapNone/>
                      <wp:docPr id="1383" name="AutoShape 576">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76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158CA" id="AutoShape 576" o:spid="_x0000_s1026" href="" style="position:absolute;margin-left:0;margin-top:0;width:24pt;height:37.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192768" behindDoc="0" locked="0" layoutInCell="1" allowOverlap="1" wp14:anchorId="0D02439E" wp14:editId="4A322E29">
                      <wp:simplePos x="0" y="0"/>
                      <wp:positionH relativeFrom="column">
                        <wp:posOffset>0</wp:posOffset>
                      </wp:positionH>
                      <wp:positionV relativeFrom="paragraph">
                        <wp:posOffset>0</wp:posOffset>
                      </wp:positionV>
                      <wp:extent cx="304800" cy="476250"/>
                      <wp:effectExtent l="1905" t="0" r="0" b="635"/>
                      <wp:wrapNone/>
                      <wp:docPr id="1382" name="AutoShape 577">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76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90D20" id="AutoShape 577" o:spid="_x0000_s1026" href="" style="position:absolute;margin-left:0;margin-top:0;width:24pt;height:37.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193792" behindDoc="0" locked="0" layoutInCell="1" allowOverlap="1" wp14:anchorId="2AE8ACB6" wp14:editId="35FE6F98">
                      <wp:simplePos x="0" y="0"/>
                      <wp:positionH relativeFrom="column">
                        <wp:posOffset>0</wp:posOffset>
                      </wp:positionH>
                      <wp:positionV relativeFrom="paragraph">
                        <wp:posOffset>0</wp:posOffset>
                      </wp:positionV>
                      <wp:extent cx="304800" cy="476250"/>
                      <wp:effectExtent l="1905" t="0" r="0" b="635"/>
                      <wp:wrapNone/>
                      <wp:docPr id="1381" name="AutoShape 578">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76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86938" id="AutoShape 578" o:spid="_x0000_s1026" href="" style="position:absolute;margin-left:0;margin-top:0;width:24pt;height:37.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194816" behindDoc="0" locked="0" layoutInCell="1" allowOverlap="1" wp14:anchorId="3B369151" wp14:editId="528D27A3">
                      <wp:simplePos x="0" y="0"/>
                      <wp:positionH relativeFrom="column">
                        <wp:posOffset>0</wp:posOffset>
                      </wp:positionH>
                      <wp:positionV relativeFrom="paragraph">
                        <wp:posOffset>0</wp:posOffset>
                      </wp:positionV>
                      <wp:extent cx="304800" cy="466725"/>
                      <wp:effectExtent l="1905" t="0" r="0" b="635"/>
                      <wp:wrapNone/>
                      <wp:docPr id="1380" name="AutoShape 579">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667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6BAA4" id="AutoShape 579" o:spid="_x0000_s1026" href="" style="position:absolute;margin-left:0;margin-top:0;width:24pt;height:36.7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195840" behindDoc="0" locked="0" layoutInCell="1" allowOverlap="1" wp14:anchorId="3771AA0A" wp14:editId="7B40C2E4">
                      <wp:simplePos x="0" y="0"/>
                      <wp:positionH relativeFrom="column">
                        <wp:posOffset>0</wp:posOffset>
                      </wp:positionH>
                      <wp:positionV relativeFrom="paragraph">
                        <wp:posOffset>0</wp:posOffset>
                      </wp:positionV>
                      <wp:extent cx="304800" cy="466725"/>
                      <wp:effectExtent l="1905" t="0" r="0" b="635"/>
                      <wp:wrapNone/>
                      <wp:docPr id="1379" name="AutoShape 580"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667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D72B2" id="AutoShape 580" o:spid="_x0000_s1026" alt="Selecting an example from Help" style="position:absolute;margin-left:0;margin-top:0;width:24pt;height:36.7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" filled="f" stroked="f">
                      <o:lock v:ext="edit" aspectratio="t"/>
                    </v:rect>
                  </w:pict>
                </mc:Fallback>
              </mc:AlternateContent>
            </w:r>
            <w:r>
              <w:rPr>
                <w:noProof/>
                <w:sz w:val="20"/>
                <w:lang w:val="en-US"/>
              </w:rPr>
              <mc:AlternateContent>
                <mc:Choice Requires="wps">
                  <w:drawing>
                    <wp:anchor distT="0" distB="0" distL="114300" distR="114300" simplePos="0" relativeHeight="252196864" behindDoc="0" locked="0" layoutInCell="1" allowOverlap="1" wp14:anchorId="1E9524C4" wp14:editId="4B1FA162">
                      <wp:simplePos x="0" y="0"/>
                      <wp:positionH relativeFrom="column">
                        <wp:posOffset>0</wp:posOffset>
                      </wp:positionH>
                      <wp:positionV relativeFrom="paragraph">
                        <wp:posOffset>0</wp:posOffset>
                      </wp:positionV>
                      <wp:extent cx="304800" cy="476250"/>
                      <wp:effectExtent l="1905" t="0" r="0" b="635"/>
                      <wp:wrapNone/>
                      <wp:docPr id="1378" name="AutoShape 581">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76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5FAF5" id="AutoShape 581" o:spid="_x0000_s1026" href="" style="position:absolute;margin-left:0;margin-top:0;width:24pt;height:37.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197888" behindDoc="0" locked="0" layoutInCell="1" allowOverlap="1" wp14:anchorId="5AB03297" wp14:editId="5B33BCA8">
                      <wp:simplePos x="0" y="0"/>
                      <wp:positionH relativeFrom="column">
                        <wp:posOffset>0</wp:posOffset>
                      </wp:positionH>
                      <wp:positionV relativeFrom="paragraph">
                        <wp:posOffset>0</wp:posOffset>
                      </wp:positionV>
                      <wp:extent cx="304800" cy="476250"/>
                      <wp:effectExtent l="1905" t="0" r="0" b="635"/>
                      <wp:wrapNone/>
                      <wp:docPr id="1377" name="AutoShape 582">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76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066D8" id="AutoShape 582" o:spid="_x0000_s1026" href="" style="position:absolute;margin-left:0;margin-top:0;width:24pt;height:37.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198912" behindDoc="0" locked="0" layoutInCell="1" allowOverlap="1" wp14:anchorId="3491BE52" wp14:editId="52FAB0ED">
                      <wp:simplePos x="0" y="0"/>
                      <wp:positionH relativeFrom="column">
                        <wp:posOffset>0</wp:posOffset>
                      </wp:positionH>
                      <wp:positionV relativeFrom="paragraph">
                        <wp:posOffset>0</wp:posOffset>
                      </wp:positionV>
                      <wp:extent cx="304800" cy="476250"/>
                      <wp:effectExtent l="1905" t="0" r="0" b="635"/>
                      <wp:wrapNone/>
                      <wp:docPr id="1376" name="AutoShape 583">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76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531A4" id="AutoShape 583" o:spid="_x0000_s1026" href="" style="position:absolute;margin-left:0;margin-top:0;width:24pt;height:37.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199936" behindDoc="0" locked="0" layoutInCell="1" allowOverlap="1" wp14:anchorId="563F261B" wp14:editId="6A695B5E">
                      <wp:simplePos x="0" y="0"/>
                      <wp:positionH relativeFrom="column">
                        <wp:posOffset>0</wp:posOffset>
                      </wp:positionH>
                      <wp:positionV relativeFrom="paragraph">
                        <wp:posOffset>0</wp:posOffset>
                      </wp:positionV>
                      <wp:extent cx="304800" cy="476250"/>
                      <wp:effectExtent l="1905" t="0" r="0" b="635"/>
                      <wp:wrapNone/>
                      <wp:docPr id="1375" name="AutoShape 584">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76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19AF8" id="AutoShape 584" o:spid="_x0000_s1026" href="" style="position:absolute;margin-left:0;margin-top:0;width:24pt;height:37.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00960" behindDoc="0" locked="0" layoutInCell="1" allowOverlap="1" wp14:anchorId="4FA5BD3D" wp14:editId="0889757D">
                      <wp:simplePos x="0" y="0"/>
                      <wp:positionH relativeFrom="column">
                        <wp:posOffset>0</wp:posOffset>
                      </wp:positionH>
                      <wp:positionV relativeFrom="paragraph">
                        <wp:posOffset>0</wp:posOffset>
                      </wp:positionV>
                      <wp:extent cx="304800" cy="476250"/>
                      <wp:effectExtent l="1905" t="0" r="0" b="635"/>
                      <wp:wrapNone/>
                      <wp:docPr id="1374" name="AutoShape 585">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76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620F7" id="AutoShape 585" o:spid="_x0000_s1026" href="" style="position:absolute;margin-left:0;margin-top:0;width:24pt;height:37.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01984" behindDoc="0" locked="0" layoutInCell="1" allowOverlap="1" wp14:anchorId="2459A86D" wp14:editId="55D72E4C">
                      <wp:simplePos x="0" y="0"/>
                      <wp:positionH relativeFrom="column">
                        <wp:posOffset>0</wp:posOffset>
                      </wp:positionH>
                      <wp:positionV relativeFrom="paragraph">
                        <wp:posOffset>0</wp:posOffset>
                      </wp:positionV>
                      <wp:extent cx="304800" cy="476250"/>
                      <wp:effectExtent l="1905" t="0" r="0" b="635"/>
                      <wp:wrapNone/>
                      <wp:docPr id="1373" name="AutoShape 586">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76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EF81A" id="AutoShape 586" o:spid="_x0000_s1026" href="" style="position:absolute;margin-left:0;margin-top:0;width:24pt;height:37.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03008" behindDoc="0" locked="0" layoutInCell="1" allowOverlap="1" wp14:anchorId="1E9F1A38" wp14:editId="3B5E3F1A">
                      <wp:simplePos x="0" y="0"/>
                      <wp:positionH relativeFrom="column">
                        <wp:posOffset>0</wp:posOffset>
                      </wp:positionH>
                      <wp:positionV relativeFrom="paragraph">
                        <wp:posOffset>0</wp:posOffset>
                      </wp:positionV>
                      <wp:extent cx="304800" cy="476250"/>
                      <wp:effectExtent l="1905" t="0" r="0" b="635"/>
                      <wp:wrapNone/>
                      <wp:docPr id="1372" name="AutoShape 587">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76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AF630" id="AutoShape 587" o:spid="_x0000_s1026" href="" style="position:absolute;margin-left:0;margin-top:0;width:24pt;height:37.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04032" behindDoc="0" locked="0" layoutInCell="1" allowOverlap="1" wp14:anchorId="58BD87CC" wp14:editId="76864BB2">
                      <wp:simplePos x="0" y="0"/>
                      <wp:positionH relativeFrom="column">
                        <wp:posOffset>0</wp:posOffset>
                      </wp:positionH>
                      <wp:positionV relativeFrom="paragraph">
                        <wp:posOffset>161925</wp:posOffset>
                      </wp:positionV>
                      <wp:extent cx="304800" cy="352425"/>
                      <wp:effectExtent l="1905" t="0" r="0" b="635"/>
                      <wp:wrapNone/>
                      <wp:docPr id="1371" name="AutoShape 588">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524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1F59B" id="AutoShape 588" o:spid="_x0000_s1026" href="" style="position:absolute;margin-left:0;margin-top:12.75pt;width:24pt;height:27.7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05056" behindDoc="0" locked="0" layoutInCell="1" allowOverlap="1" wp14:anchorId="7A0F7273" wp14:editId="67E1F1E3">
                      <wp:simplePos x="0" y="0"/>
                      <wp:positionH relativeFrom="column">
                        <wp:posOffset>0</wp:posOffset>
                      </wp:positionH>
                      <wp:positionV relativeFrom="paragraph">
                        <wp:posOffset>161925</wp:posOffset>
                      </wp:positionV>
                      <wp:extent cx="304800" cy="352425"/>
                      <wp:effectExtent l="1905" t="0" r="0" b="635"/>
                      <wp:wrapNone/>
                      <wp:docPr id="1370" name="AutoShape 589"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524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FE00B" id="AutoShape 589" o:spid="_x0000_s1026" alt="Selecting an example from Help" style="position:absolute;margin-left:0;margin-top:12.75pt;width:24pt;height:27.7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" filled="f" stroked="f">
                      <o:lock v:ext="edit" aspectratio="t"/>
                    </v:rect>
                  </w:pict>
                </mc:Fallback>
              </mc:AlternateContent>
            </w:r>
            <w:r>
              <w:rPr>
                <w:noProof/>
                <w:sz w:val="20"/>
                <w:lang w:val="en-US"/>
              </w:rPr>
              <mc:AlternateContent>
                <mc:Choice Requires="wps">
                  <w:drawing>
                    <wp:anchor distT="0" distB="0" distL="114300" distR="114300" simplePos="0" relativeHeight="252206080" behindDoc="0" locked="0" layoutInCell="1" allowOverlap="1" wp14:anchorId="3DA6A1B6" wp14:editId="0661F25F">
                      <wp:simplePos x="0" y="0"/>
                      <wp:positionH relativeFrom="column">
                        <wp:posOffset>0</wp:posOffset>
                      </wp:positionH>
                      <wp:positionV relativeFrom="paragraph">
                        <wp:posOffset>161925</wp:posOffset>
                      </wp:positionV>
                      <wp:extent cx="304800" cy="371475"/>
                      <wp:effectExtent l="1905" t="0" r="0" b="635"/>
                      <wp:wrapNone/>
                      <wp:docPr id="1369" name="AutoShape 590">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714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5FC78" id="AutoShape 590" o:spid="_x0000_s1026" href="" style="position:absolute;margin-left:0;margin-top:12.75pt;width:24pt;height:29.2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07104" behindDoc="0" locked="0" layoutInCell="1" allowOverlap="1" wp14:anchorId="3C968761" wp14:editId="2234C8C2">
                      <wp:simplePos x="0" y="0"/>
                      <wp:positionH relativeFrom="column">
                        <wp:posOffset>0</wp:posOffset>
                      </wp:positionH>
                      <wp:positionV relativeFrom="paragraph">
                        <wp:posOffset>161925</wp:posOffset>
                      </wp:positionV>
                      <wp:extent cx="304800" cy="371475"/>
                      <wp:effectExtent l="1905" t="0" r="0" b="635"/>
                      <wp:wrapNone/>
                      <wp:docPr id="1368" name="AutoShape 591">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714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3E29A" id="AutoShape 591" o:spid="_x0000_s1026" href="" style="position:absolute;margin-left:0;margin-top:12.75pt;width:24pt;height:29.2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08128" behindDoc="0" locked="0" layoutInCell="1" allowOverlap="1" wp14:anchorId="75D459EB" wp14:editId="2DBA08E2">
                      <wp:simplePos x="0" y="0"/>
                      <wp:positionH relativeFrom="column">
                        <wp:posOffset>0</wp:posOffset>
                      </wp:positionH>
                      <wp:positionV relativeFrom="paragraph">
                        <wp:posOffset>161925</wp:posOffset>
                      </wp:positionV>
                      <wp:extent cx="304800" cy="371475"/>
                      <wp:effectExtent l="1905" t="0" r="0" b="635"/>
                      <wp:wrapNone/>
                      <wp:docPr id="1367" name="AutoShape 592">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714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E543D" id="AutoShape 592" o:spid="_x0000_s1026" href="" style="position:absolute;margin-left:0;margin-top:12.75pt;width:24pt;height:29.2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09152" behindDoc="0" locked="0" layoutInCell="1" allowOverlap="1" wp14:anchorId="6E8A89B9" wp14:editId="61236717">
                      <wp:simplePos x="0" y="0"/>
                      <wp:positionH relativeFrom="column">
                        <wp:posOffset>0</wp:posOffset>
                      </wp:positionH>
                      <wp:positionV relativeFrom="paragraph">
                        <wp:posOffset>161925</wp:posOffset>
                      </wp:positionV>
                      <wp:extent cx="304800" cy="371475"/>
                      <wp:effectExtent l="1905" t="0" r="0" b="635"/>
                      <wp:wrapNone/>
                      <wp:docPr id="1366" name="AutoShape 593">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714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4927A" id="AutoShape 593" o:spid="_x0000_s1026" href="" style="position:absolute;margin-left:0;margin-top:12.75pt;width:24pt;height:29.2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10176" behindDoc="0" locked="0" layoutInCell="1" allowOverlap="1" wp14:anchorId="53D27A10" wp14:editId="0B387187">
                      <wp:simplePos x="0" y="0"/>
                      <wp:positionH relativeFrom="column">
                        <wp:posOffset>0</wp:posOffset>
                      </wp:positionH>
                      <wp:positionV relativeFrom="paragraph">
                        <wp:posOffset>161925</wp:posOffset>
                      </wp:positionV>
                      <wp:extent cx="304800" cy="371475"/>
                      <wp:effectExtent l="1905" t="0" r="0" b="635"/>
                      <wp:wrapNone/>
                      <wp:docPr id="1365" name="AutoShape 594">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714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9D5F6" id="AutoShape 594" o:spid="_x0000_s1026" href="" style="position:absolute;margin-left:0;margin-top:12.75pt;width:24pt;height:29.2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11200" behindDoc="0" locked="0" layoutInCell="1" allowOverlap="1" wp14:anchorId="4CA19B64" wp14:editId="0C0CA29D">
                      <wp:simplePos x="0" y="0"/>
                      <wp:positionH relativeFrom="column">
                        <wp:posOffset>0</wp:posOffset>
                      </wp:positionH>
                      <wp:positionV relativeFrom="paragraph">
                        <wp:posOffset>161925</wp:posOffset>
                      </wp:positionV>
                      <wp:extent cx="304800" cy="371475"/>
                      <wp:effectExtent l="1905" t="0" r="0" b="635"/>
                      <wp:wrapNone/>
                      <wp:docPr id="1364" name="AutoShape 595">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714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23A9F" id="AutoShape 595" o:spid="_x0000_s1026" href="" style="position:absolute;margin-left:0;margin-top:12.75pt;width:24pt;height:29.2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12224" behindDoc="0" locked="0" layoutInCell="1" allowOverlap="1" wp14:anchorId="6ED33486" wp14:editId="3D9F6750">
                      <wp:simplePos x="0" y="0"/>
                      <wp:positionH relativeFrom="column">
                        <wp:posOffset>0</wp:posOffset>
                      </wp:positionH>
                      <wp:positionV relativeFrom="paragraph">
                        <wp:posOffset>161925</wp:posOffset>
                      </wp:positionV>
                      <wp:extent cx="304800" cy="371475"/>
                      <wp:effectExtent l="1905" t="0" r="0" b="635"/>
                      <wp:wrapNone/>
                      <wp:docPr id="1363" name="AutoShape 596">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714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E9CFE" id="AutoShape 596" o:spid="_x0000_s1026" href="" style="position:absolute;margin-left:0;margin-top:12.75pt;width:24pt;height:29.2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13248" behindDoc="0" locked="0" layoutInCell="1" allowOverlap="1" wp14:anchorId="3792F9C8" wp14:editId="1C6D260C">
                      <wp:simplePos x="0" y="0"/>
                      <wp:positionH relativeFrom="column">
                        <wp:posOffset>0</wp:posOffset>
                      </wp:positionH>
                      <wp:positionV relativeFrom="paragraph">
                        <wp:posOffset>161925</wp:posOffset>
                      </wp:positionV>
                      <wp:extent cx="304800" cy="371475"/>
                      <wp:effectExtent l="1905" t="0" r="0" b="635"/>
                      <wp:wrapNone/>
                      <wp:docPr id="1362" name="AutoShape 597">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714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EC07C" id="AutoShape 597" o:spid="_x0000_s1026" href="" style="position:absolute;margin-left:0;margin-top:12.75pt;width:24pt;height:29.2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14272" behindDoc="0" locked="0" layoutInCell="1" allowOverlap="1" wp14:anchorId="1C85464D" wp14:editId="0E5C6720">
                      <wp:simplePos x="0" y="0"/>
                      <wp:positionH relativeFrom="column">
                        <wp:posOffset>0</wp:posOffset>
                      </wp:positionH>
                      <wp:positionV relativeFrom="paragraph">
                        <wp:posOffset>161925</wp:posOffset>
                      </wp:positionV>
                      <wp:extent cx="304800" cy="371475"/>
                      <wp:effectExtent l="1905" t="0" r="0" b="635"/>
                      <wp:wrapNone/>
                      <wp:docPr id="1361" name="AutoShape 598">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714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2F12D" id="AutoShape 598" o:spid="_x0000_s1026" href="" style="position:absolute;margin-left:0;margin-top:12.75pt;width:24pt;height:29.2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15296" behindDoc="0" locked="0" layoutInCell="1" allowOverlap="1" wp14:anchorId="3FE6A6E1" wp14:editId="449223A1">
                      <wp:simplePos x="0" y="0"/>
                      <wp:positionH relativeFrom="column">
                        <wp:posOffset>0</wp:posOffset>
                      </wp:positionH>
                      <wp:positionV relativeFrom="paragraph">
                        <wp:posOffset>161925</wp:posOffset>
                      </wp:positionV>
                      <wp:extent cx="304800" cy="352425"/>
                      <wp:effectExtent l="1905" t="0" r="0" b="635"/>
                      <wp:wrapNone/>
                      <wp:docPr id="1360" name="AutoShape 599">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524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108F5" id="AutoShape 599" o:spid="_x0000_s1026" href="" style="position:absolute;margin-left:0;margin-top:12.75pt;width:24pt;height:27.7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16320" behindDoc="0" locked="0" layoutInCell="1" allowOverlap="1" wp14:anchorId="0E9CD457" wp14:editId="6D28186D">
                      <wp:simplePos x="0" y="0"/>
                      <wp:positionH relativeFrom="column">
                        <wp:posOffset>0</wp:posOffset>
                      </wp:positionH>
                      <wp:positionV relativeFrom="paragraph">
                        <wp:posOffset>161925</wp:posOffset>
                      </wp:positionV>
                      <wp:extent cx="304800" cy="352425"/>
                      <wp:effectExtent l="1905" t="0" r="0" b="635"/>
                      <wp:wrapNone/>
                      <wp:docPr id="1359" name="AutoShape 600"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524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7ED3E" id="AutoShape 600" o:spid="_x0000_s1026" alt="Selecting an example from Help" style="position:absolute;margin-left:0;margin-top:12.75pt;width:24pt;height:27.7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" filled="f" stroked="f">
                      <o:lock v:ext="edit" aspectratio="t"/>
                    </v:rect>
                  </w:pict>
                </mc:Fallback>
              </mc:AlternateContent>
            </w:r>
            <w:r>
              <w:rPr>
                <w:noProof/>
                <w:sz w:val="20"/>
                <w:lang w:val="en-US"/>
              </w:rPr>
              <mc:AlternateContent>
                <mc:Choice Requires="wps">
                  <w:drawing>
                    <wp:anchor distT="0" distB="0" distL="114300" distR="114300" simplePos="0" relativeHeight="252217344" behindDoc="0" locked="0" layoutInCell="1" allowOverlap="1" wp14:anchorId="318AD5D6" wp14:editId="50B25C89">
                      <wp:simplePos x="0" y="0"/>
                      <wp:positionH relativeFrom="column">
                        <wp:posOffset>0</wp:posOffset>
                      </wp:positionH>
                      <wp:positionV relativeFrom="paragraph">
                        <wp:posOffset>161925</wp:posOffset>
                      </wp:positionV>
                      <wp:extent cx="304800" cy="371475"/>
                      <wp:effectExtent l="1905" t="0" r="0" b="635"/>
                      <wp:wrapNone/>
                      <wp:docPr id="1358" name="AutoShape 601">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714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D2FCC" id="AutoShape 601" o:spid="_x0000_s1026" href="" style="position:absolute;margin-left:0;margin-top:12.75pt;width:24pt;height:29.2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18368" behindDoc="0" locked="0" layoutInCell="1" allowOverlap="1" wp14:anchorId="363A507A" wp14:editId="2A238BA9">
                      <wp:simplePos x="0" y="0"/>
                      <wp:positionH relativeFrom="column">
                        <wp:posOffset>0</wp:posOffset>
                      </wp:positionH>
                      <wp:positionV relativeFrom="paragraph">
                        <wp:posOffset>161925</wp:posOffset>
                      </wp:positionV>
                      <wp:extent cx="304800" cy="371475"/>
                      <wp:effectExtent l="1905" t="0" r="0" b="635"/>
                      <wp:wrapNone/>
                      <wp:docPr id="1357" name="AutoShape 602">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714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D6B3D" id="AutoShape 602" o:spid="_x0000_s1026" href="" style="position:absolute;margin-left:0;margin-top:12.75pt;width:24pt;height:29.2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19392" behindDoc="0" locked="0" layoutInCell="1" allowOverlap="1" wp14:anchorId="762E3B13" wp14:editId="5EC2106D">
                      <wp:simplePos x="0" y="0"/>
                      <wp:positionH relativeFrom="column">
                        <wp:posOffset>0</wp:posOffset>
                      </wp:positionH>
                      <wp:positionV relativeFrom="paragraph">
                        <wp:posOffset>161925</wp:posOffset>
                      </wp:positionV>
                      <wp:extent cx="304800" cy="371475"/>
                      <wp:effectExtent l="1905" t="0" r="0" b="635"/>
                      <wp:wrapNone/>
                      <wp:docPr id="1356" name="AutoShape 603">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714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B459B" id="AutoShape 603" o:spid="_x0000_s1026" href="" style="position:absolute;margin-left:0;margin-top:12.75pt;width:24pt;height:29.2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20416" behindDoc="0" locked="0" layoutInCell="1" allowOverlap="1" wp14:anchorId="669D312D" wp14:editId="6AE7CC24">
                      <wp:simplePos x="0" y="0"/>
                      <wp:positionH relativeFrom="column">
                        <wp:posOffset>0</wp:posOffset>
                      </wp:positionH>
                      <wp:positionV relativeFrom="paragraph">
                        <wp:posOffset>161925</wp:posOffset>
                      </wp:positionV>
                      <wp:extent cx="304800" cy="371475"/>
                      <wp:effectExtent l="1905" t="0" r="0" b="635"/>
                      <wp:wrapNone/>
                      <wp:docPr id="1355" name="AutoShape 604">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714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C0698" id="AutoShape 604" o:spid="_x0000_s1026" href="" style="position:absolute;margin-left:0;margin-top:12.75pt;width:24pt;height:29.2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21440" behindDoc="0" locked="0" layoutInCell="1" allowOverlap="1" wp14:anchorId="37746D21" wp14:editId="37EBD4F8">
                      <wp:simplePos x="0" y="0"/>
                      <wp:positionH relativeFrom="column">
                        <wp:posOffset>0</wp:posOffset>
                      </wp:positionH>
                      <wp:positionV relativeFrom="paragraph">
                        <wp:posOffset>161925</wp:posOffset>
                      </wp:positionV>
                      <wp:extent cx="304800" cy="371475"/>
                      <wp:effectExtent l="1905" t="0" r="0" b="635"/>
                      <wp:wrapNone/>
                      <wp:docPr id="1354" name="AutoShape 605">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714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8D0F9" id="AutoShape 605" o:spid="_x0000_s1026" href="" style="position:absolute;margin-left:0;margin-top:12.75pt;width:24pt;height:29.2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22464" behindDoc="0" locked="0" layoutInCell="1" allowOverlap="1" wp14:anchorId="088B6668" wp14:editId="47DBCAAF">
                      <wp:simplePos x="0" y="0"/>
                      <wp:positionH relativeFrom="column">
                        <wp:posOffset>0</wp:posOffset>
                      </wp:positionH>
                      <wp:positionV relativeFrom="paragraph">
                        <wp:posOffset>161925</wp:posOffset>
                      </wp:positionV>
                      <wp:extent cx="304800" cy="371475"/>
                      <wp:effectExtent l="1905" t="0" r="0" b="635"/>
                      <wp:wrapNone/>
                      <wp:docPr id="1353" name="AutoShape 606">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714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0BAC1" id="AutoShape 606" o:spid="_x0000_s1026" href="" style="position:absolute;margin-left:0;margin-top:12.75pt;width:24pt;height:29.2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23488" behindDoc="0" locked="0" layoutInCell="1" allowOverlap="1" wp14:anchorId="66E447F8" wp14:editId="1824C2C8">
                      <wp:simplePos x="0" y="0"/>
                      <wp:positionH relativeFrom="column">
                        <wp:posOffset>0</wp:posOffset>
                      </wp:positionH>
                      <wp:positionV relativeFrom="paragraph">
                        <wp:posOffset>161925</wp:posOffset>
                      </wp:positionV>
                      <wp:extent cx="304800" cy="371475"/>
                      <wp:effectExtent l="1905" t="0" r="0" b="635"/>
                      <wp:wrapNone/>
                      <wp:docPr id="1352" name="AutoShape 607">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714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7A558" id="AutoShape 607" o:spid="_x0000_s1026" href="" style="position:absolute;margin-left:0;margin-top:12.75pt;width:24pt;height:29.2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" o:button="t" filled="f" stroked="f">
                      <v:fill o:detectmouseclick="t"/>
                      <o:lock v:ext="edit" aspectratio="t"/>
                    </v:rect>
                  </w:pict>
                </mc:Fallback>
              </mc:AlternateContent>
            </w:r>
            <w:r w:rsidR="000923BB">
              <w:rPr>
                <w:rFonts w:cs="Arial"/>
                <w:sz w:val="20"/>
                <w:szCs w:val="20"/>
                <w:lang w:val="en-US"/>
              </w:rPr>
              <w:t>48</w:t>
            </w:r>
          </w:p>
        </w:tc>
        <w:tc>
          <w:tcPr>
            <w:tcW w:w="1984" w:type="dxa"/>
            <w:tcBorders>
              <w:top w:val="single" w:sz="4" w:space="0" w:color="auto"/>
              <w:left w:val="nil"/>
              <w:bottom w:val="nil"/>
              <w:right w:val="single" w:sz="4" w:space="0" w:color="999999"/>
            </w:tcBorders>
            <w:tcMar>
              <w:left w:w="57" w:type="dxa"/>
              <w:right w:w="57" w:type="dxa"/>
            </w:tcMar>
          </w:tcPr>
          <w:p w14:paraId="4D0A6DE3" w14:textId="77777777" w:rsidR="000923BB" w:rsidRDefault="000923BB" w:rsidP="003A385F">
            <w:pPr>
              <w:rPr>
                <w:rFonts w:cs="Arial"/>
                <w:sz w:val="20"/>
                <w:szCs w:val="20"/>
                <w:lang w:val="en-US"/>
              </w:rPr>
            </w:pPr>
            <w:r>
              <w:rPr>
                <w:rFonts w:cs="Arial"/>
                <w:sz w:val="20"/>
                <w:szCs w:val="20"/>
                <w:lang w:val="en-US"/>
              </w:rPr>
              <w:t>Nurse / other clinical</w:t>
            </w:r>
          </w:p>
        </w:tc>
        <w:tc>
          <w:tcPr>
            <w:tcW w:w="851" w:type="dxa"/>
            <w:tcBorders>
              <w:top w:val="single" w:sz="4" w:space="0" w:color="auto"/>
              <w:left w:val="single" w:sz="4" w:space="0" w:color="999999"/>
              <w:bottom w:val="nil"/>
              <w:right w:val="single" w:sz="4" w:space="0" w:color="999999"/>
            </w:tcBorders>
            <w:tcMar>
              <w:left w:w="57" w:type="dxa"/>
              <w:right w:w="57" w:type="dxa"/>
            </w:tcMar>
          </w:tcPr>
          <w:p w14:paraId="242681B9" w14:textId="5B16338D" w:rsidR="000923BB" w:rsidRDefault="00003011" w:rsidP="003A385F">
            <w:pPr>
              <w:jc w:val="center"/>
              <w:rPr>
                <w:rFonts w:cs="Arial"/>
                <w:sz w:val="20"/>
                <w:szCs w:val="20"/>
                <w:lang w:val="en-US"/>
              </w:rPr>
            </w:pPr>
            <w:r>
              <w:rPr>
                <w:noProof/>
                <w:sz w:val="20"/>
                <w:lang w:val="en-US"/>
              </w:rPr>
              <mc:AlternateContent>
                <mc:Choice Requires="wps">
                  <w:drawing>
                    <wp:anchor distT="0" distB="0" distL="114300" distR="114300" simplePos="0" relativeHeight="252224512" behindDoc="0" locked="0" layoutInCell="1" allowOverlap="1" wp14:anchorId="5EA9EB08" wp14:editId="307A337E">
                      <wp:simplePos x="0" y="0"/>
                      <wp:positionH relativeFrom="column">
                        <wp:posOffset>0</wp:posOffset>
                      </wp:positionH>
                      <wp:positionV relativeFrom="paragraph">
                        <wp:posOffset>0</wp:posOffset>
                      </wp:positionV>
                      <wp:extent cx="304800" cy="276225"/>
                      <wp:effectExtent l="0" t="0" r="3810" b="635"/>
                      <wp:wrapNone/>
                      <wp:docPr id="1351" name="AutoShape 608">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656D6" id="AutoShape 608" o:spid="_x0000_s1026" href="" style="position:absolute;margin-left:0;margin-top:0;width:24pt;height:21.7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25536" behindDoc="0" locked="0" layoutInCell="1" allowOverlap="1" wp14:anchorId="37AA6800" wp14:editId="1657EBCE">
                      <wp:simplePos x="0" y="0"/>
                      <wp:positionH relativeFrom="column">
                        <wp:posOffset>0</wp:posOffset>
                      </wp:positionH>
                      <wp:positionV relativeFrom="paragraph">
                        <wp:posOffset>0</wp:posOffset>
                      </wp:positionV>
                      <wp:extent cx="304800" cy="276225"/>
                      <wp:effectExtent l="0" t="0" r="3810" b="635"/>
                      <wp:wrapNone/>
                      <wp:docPr id="1350" name="AutoShape 609"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AD65D" id="AutoShape 609" o:spid="_x0000_s1026" alt="Selecting an example from Help" style="position:absolute;margin-left:0;margin-top:0;width:24pt;height:21.7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" filled="f" stroked="f">
                      <o:lock v:ext="edit" aspectratio="t"/>
                    </v:rect>
                  </w:pict>
                </mc:Fallback>
              </mc:AlternateContent>
            </w:r>
            <w:r>
              <w:rPr>
                <w:noProof/>
                <w:sz w:val="20"/>
                <w:lang w:val="en-US"/>
              </w:rPr>
              <mc:AlternateContent>
                <mc:Choice Requires="wps">
                  <w:drawing>
                    <wp:anchor distT="0" distB="0" distL="114300" distR="114300" simplePos="0" relativeHeight="252226560" behindDoc="0" locked="0" layoutInCell="1" allowOverlap="1" wp14:anchorId="1F649687" wp14:editId="2D36E12E">
                      <wp:simplePos x="0" y="0"/>
                      <wp:positionH relativeFrom="column">
                        <wp:posOffset>0</wp:posOffset>
                      </wp:positionH>
                      <wp:positionV relativeFrom="paragraph">
                        <wp:posOffset>0</wp:posOffset>
                      </wp:positionV>
                      <wp:extent cx="304800" cy="276225"/>
                      <wp:effectExtent l="0" t="0" r="3810" b="635"/>
                      <wp:wrapNone/>
                      <wp:docPr id="1349" name="AutoShape 610">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E7390" id="AutoShape 610" o:spid="_x0000_s1026" href="" style="position:absolute;margin-left:0;margin-top:0;width:24pt;height:21.7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27584" behindDoc="0" locked="0" layoutInCell="1" allowOverlap="1" wp14:anchorId="70EF7A4E" wp14:editId="791F0EF6">
                      <wp:simplePos x="0" y="0"/>
                      <wp:positionH relativeFrom="column">
                        <wp:posOffset>0</wp:posOffset>
                      </wp:positionH>
                      <wp:positionV relativeFrom="paragraph">
                        <wp:posOffset>0</wp:posOffset>
                      </wp:positionV>
                      <wp:extent cx="304800" cy="276225"/>
                      <wp:effectExtent l="0" t="0" r="3810" b="635"/>
                      <wp:wrapNone/>
                      <wp:docPr id="1348" name="AutoShape 611"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06C76" id="AutoShape 611" o:spid="_x0000_s1026" alt="Selecting an example from Help" style="position:absolute;margin-left:0;margin-top:0;width:24pt;height:21.7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" filled="f" stroked="f">
                      <o:lock v:ext="edit" aspectratio="t"/>
                    </v:rect>
                  </w:pict>
                </mc:Fallback>
              </mc:AlternateContent>
            </w:r>
            <w:r>
              <w:rPr>
                <w:noProof/>
                <w:sz w:val="20"/>
                <w:lang w:val="en-US"/>
              </w:rPr>
              <mc:AlternateContent>
                <mc:Choice Requires="wps">
                  <w:drawing>
                    <wp:anchor distT="0" distB="0" distL="114300" distR="114300" simplePos="0" relativeHeight="252228608" behindDoc="0" locked="0" layoutInCell="1" allowOverlap="1" wp14:anchorId="2E33E432" wp14:editId="141B7E59">
                      <wp:simplePos x="0" y="0"/>
                      <wp:positionH relativeFrom="column">
                        <wp:posOffset>0</wp:posOffset>
                      </wp:positionH>
                      <wp:positionV relativeFrom="paragraph">
                        <wp:posOffset>0</wp:posOffset>
                      </wp:positionV>
                      <wp:extent cx="304800" cy="276225"/>
                      <wp:effectExtent l="0" t="0" r="3810" b="635"/>
                      <wp:wrapNone/>
                      <wp:docPr id="1347" name="AutoShape 612">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AEF43" id="AutoShape 612" o:spid="_x0000_s1026" href="" style="position:absolute;margin-left:0;margin-top:0;width:24pt;height:21.7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29632" behindDoc="0" locked="0" layoutInCell="1" allowOverlap="1" wp14:anchorId="17C60E56" wp14:editId="126EE99F">
                      <wp:simplePos x="0" y="0"/>
                      <wp:positionH relativeFrom="column">
                        <wp:posOffset>0</wp:posOffset>
                      </wp:positionH>
                      <wp:positionV relativeFrom="paragraph">
                        <wp:posOffset>0</wp:posOffset>
                      </wp:positionV>
                      <wp:extent cx="304800" cy="276225"/>
                      <wp:effectExtent l="0" t="0" r="3810" b="635"/>
                      <wp:wrapNone/>
                      <wp:docPr id="1346" name="AutoShape 613"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D455F" id="AutoShape 613" o:spid="_x0000_s1026" alt="Selecting an example from Help" style="position:absolute;margin-left:0;margin-top:0;width:24pt;height:21.7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" filled="f" stroked="f">
                      <o:lock v:ext="edit" aspectratio="t"/>
                    </v:rect>
                  </w:pict>
                </mc:Fallback>
              </mc:AlternateContent>
            </w:r>
            <w:r>
              <w:rPr>
                <w:noProof/>
                <w:sz w:val="20"/>
                <w:lang w:val="en-US"/>
              </w:rPr>
              <mc:AlternateContent>
                <mc:Choice Requires="wps">
                  <w:drawing>
                    <wp:anchor distT="0" distB="0" distL="114300" distR="114300" simplePos="0" relativeHeight="252230656" behindDoc="0" locked="0" layoutInCell="1" allowOverlap="1" wp14:anchorId="2420A740" wp14:editId="5AFA159C">
                      <wp:simplePos x="0" y="0"/>
                      <wp:positionH relativeFrom="column">
                        <wp:posOffset>0</wp:posOffset>
                      </wp:positionH>
                      <wp:positionV relativeFrom="paragraph">
                        <wp:posOffset>0</wp:posOffset>
                      </wp:positionV>
                      <wp:extent cx="304800" cy="485775"/>
                      <wp:effectExtent l="0" t="0" r="3810" b="635"/>
                      <wp:wrapNone/>
                      <wp:docPr id="1345" name="AutoShape 614"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857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B3411" id="AutoShape 614" o:spid="_x0000_s1026" alt="Selecting an example from Help" style="position:absolute;margin-left:0;margin-top:0;width:24pt;height:38.2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" filled="f" stroked="f">
                      <o:lock v:ext="edit" aspectratio="t"/>
                    </v:rect>
                  </w:pict>
                </mc:Fallback>
              </mc:AlternateContent>
            </w:r>
            <w:r>
              <w:rPr>
                <w:noProof/>
                <w:sz w:val="20"/>
                <w:lang w:val="en-US"/>
              </w:rPr>
              <mc:AlternateContent>
                <mc:Choice Requires="wps">
                  <w:drawing>
                    <wp:anchor distT="0" distB="0" distL="114300" distR="114300" simplePos="0" relativeHeight="252231680" behindDoc="0" locked="0" layoutInCell="1" allowOverlap="1" wp14:anchorId="13BD09F6" wp14:editId="2E45308B">
                      <wp:simplePos x="0" y="0"/>
                      <wp:positionH relativeFrom="column">
                        <wp:posOffset>0</wp:posOffset>
                      </wp:positionH>
                      <wp:positionV relativeFrom="paragraph">
                        <wp:posOffset>0</wp:posOffset>
                      </wp:positionV>
                      <wp:extent cx="304800" cy="276225"/>
                      <wp:effectExtent l="0" t="0" r="3810" b="635"/>
                      <wp:wrapNone/>
                      <wp:docPr id="1344" name="AutoShape 615">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0856A" id="AutoShape 615" o:spid="_x0000_s1026" href="" style="position:absolute;margin-left:0;margin-top:0;width:24pt;height:21.7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32704" behindDoc="0" locked="0" layoutInCell="1" allowOverlap="1" wp14:anchorId="5633CF53" wp14:editId="3A2E58F9">
                      <wp:simplePos x="0" y="0"/>
                      <wp:positionH relativeFrom="column">
                        <wp:posOffset>0</wp:posOffset>
                      </wp:positionH>
                      <wp:positionV relativeFrom="paragraph">
                        <wp:posOffset>0</wp:posOffset>
                      </wp:positionV>
                      <wp:extent cx="304800" cy="276225"/>
                      <wp:effectExtent l="0" t="0" r="3810" b="635"/>
                      <wp:wrapNone/>
                      <wp:docPr id="1343" name="AutoShape 616"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4473B" id="AutoShape 616" o:spid="_x0000_s1026" alt="Selecting an example from Help" style="position:absolute;margin-left:0;margin-top:0;width:24pt;height:21.7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" filled="f" stroked="f">
                      <o:lock v:ext="edit" aspectratio="t"/>
                    </v:rect>
                  </w:pict>
                </mc:Fallback>
              </mc:AlternateContent>
            </w:r>
            <w:r>
              <w:rPr>
                <w:noProof/>
                <w:sz w:val="20"/>
                <w:lang w:val="en-US"/>
              </w:rPr>
              <mc:AlternateContent>
                <mc:Choice Requires="wps">
                  <w:drawing>
                    <wp:anchor distT="0" distB="0" distL="114300" distR="114300" simplePos="0" relativeHeight="252233728" behindDoc="0" locked="0" layoutInCell="1" allowOverlap="1" wp14:anchorId="1CA57C65" wp14:editId="43F4C8C6">
                      <wp:simplePos x="0" y="0"/>
                      <wp:positionH relativeFrom="column">
                        <wp:posOffset>0</wp:posOffset>
                      </wp:positionH>
                      <wp:positionV relativeFrom="paragraph">
                        <wp:posOffset>0</wp:posOffset>
                      </wp:positionV>
                      <wp:extent cx="304800" cy="276225"/>
                      <wp:effectExtent l="0" t="0" r="3810" b="635"/>
                      <wp:wrapNone/>
                      <wp:docPr id="1342" name="AutoShape 617">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324CD" id="AutoShape 617" o:spid="_x0000_s1026" href="" style="position:absolute;margin-left:0;margin-top:0;width:24pt;height:21.7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34752" behindDoc="0" locked="0" layoutInCell="1" allowOverlap="1" wp14:anchorId="13A1EEFC" wp14:editId="7F58A869">
                      <wp:simplePos x="0" y="0"/>
                      <wp:positionH relativeFrom="column">
                        <wp:posOffset>0</wp:posOffset>
                      </wp:positionH>
                      <wp:positionV relativeFrom="paragraph">
                        <wp:posOffset>0</wp:posOffset>
                      </wp:positionV>
                      <wp:extent cx="304800" cy="276225"/>
                      <wp:effectExtent l="0" t="0" r="3810" b="635"/>
                      <wp:wrapNone/>
                      <wp:docPr id="1341" name="AutoShape 618"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9C71C" id="AutoShape 618" o:spid="_x0000_s1026" alt="Selecting an example from Help" style="position:absolute;margin-left:0;margin-top:0;width:24pt;height:21.7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" filled="f" stroked="f">
                      <o:lock v:ext="edit" aspectratio="t"/>
                    </v:rect>
                  </w:pict>
                </mc:Fallback>
              </mc:AlternateContent>
            </w:r>
            <w:r>
              <w:rPr>
                <w:noProof/>
                <w:sz w:val="20"/>
                <w:lang w:val="en-US"/>
              </w:rPr>
              <mc:AlternateContent>
                <mc:Choice Requires="wps">
                  <w:drawing>
                    <wp:anchor distT="0" distB="0" distL="114300" distR="114300" simplePos="0" relativeHeight="252235776" behindDoc="0" locked="0" layoutInCell="1" allowOverlap="1" wp14:anchorId="4659E72E" wp14:editId="09C4FB72">
                      <wp:simplePos x="0" y="0"/>
                      <wp:positionH relativeFrom="column">
                        <wp:posOffset>0</wp:posOffset>
                      </wp:positionH>
                      <wp:positionV relativeFrom="paragraph">
                        <wp:posOffset>0</wp:posOffset>
                      </wp:positionV>
                      <wp:extent cx="304800" cy="333375"/>
                      <wp:effectExtent l="0" t="0" r="3810" b="635"/>
                      <wp:wrapNone/>
                      <wp:docPr id="1340" name="AutoShape 619">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69904" id="AutoShape 619" o:spid="_x0000_s1026" href="" style="position:absolute;margin-left:0;margin-top:0;width:24pt;height:26.2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36800" behindDoc="0" locked="0" layoutInCell="1" allowOverlap="1" wp14:anchorId="02069AF1" wp14:editId="669736DA">
                      <wp:simplePos x="0" y="0"/>
                      <wp:positionH relativeFrom="column">
                        <wp:posOffset>0</wp:posOffset>
                      </wp:positionH>
                      <wp:positionV relativeFrom="paragraph">
                        <wp:posOffset>0</wp:posOffset>
                      </wp:positionV>
                      <wp:extent cx="304800" cy="314325"/>
                      <wp:effectExtent l="0" t="0" r="3810" b="635"/>
                      <wp:wrapNone/>
                      <wp:docPr id="1339" name="AutoShape 620">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F04DB" id="AutoShape 620" o:spid="_x0000_s1026" href="" style="position:absolute;margin-left:0;margin-top:0;width:24pt;height:24.7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37824" behindDoc="0" locked="0" layoutInCell="1" allowOverlap="1" wp14:anchorId="5272D11D" wp14:editId="3CCB3AA1">
                      <wp:simplePos x="0" y="0"/>
                      <wp:positionH relativeFrom="column">
                        <wp:posOffset>0</wp:posOffset>
                      </wp:positionH>
                      <wp:positionV relativeFrom="paragraph">
                        <wp:posOffset>161925</wp:posOffset>
                      </wp:positionV>
                      <wp:extent cx="304800" cy="304800"/>
                      <wp:effectExtent l="0" t="0" r="3810" b="635"/>
                      <wp:wrapNone/>
                      <wp:docPr id="1338" name="AutoShape 621">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A868A" id="AutoShape 621" o:spid="_x0000_s1026" href="" style="position:absolute;margin-left:0;margin-top:12.75pt;width:24pt;height:24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38848" behindDoc="0" locked="0" layoutInCell="1" allowOverlap="1" wp14:anchorId="19CD1CE8" wp14:editId="6720847C">
                      <wp:simplePos x="0" y="0"/>
                      <wp:positionH relativeFrom="column">
                        <wp:posOffset>0</wp:posOffset>
                      </wp:positionH>
                      <wp:positionV relativeFrom="paragraph">
                        <wp:posOffset>161925</wp:posOffset>
                      </wp:positionV>
                      <wp:extent cx="304800" cy="304800"/>
                      <wp:effectExtent l="0" t="0" r="3810" b="635"/>
                      <wp:wrapNone/>
                      <wp:docPr id="1337" name="AutoShape 622"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C677B" id="AutoShape 622" o:spid="_x0000_s1026" alt="Selecting an example from Help" style="position:absolute;margin-left:0;margin-top:12.75pt;width:24pt;height:24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" filled="f" stroked="f">
                      <o:lock v:ext="edit" aspectratio="t"/>
                    </v:rect>
                  </w:pict>
                </mc:Fallback>
              </mc:AlternateContent>
            </w:r>
            <w:r>
              <w:rPr>
                <w:noProof/>
                <w:sz w:val="20"/>
                <w:lang w:val="en-US"/>
              </w:rPr>
              <mc:AlternateContent>
                <mc:Choice Requires="wps">
                  <w:drawing>
                    <wp:anchor distT="0" distB="0" distL="114300" distR="114300" simplePos="0" relativeHeight="252239872" behindDoc="0" locked="0" layoutInCell="1" allowOverlap="1" wp14:anchorId="6CDAB2D1" wp14:editId="4A393671">
                      <wp:simplePos x="0" y="0"/>
                      <wp:positionH relativeFrom="column">
                        <wp:posOffset>0</wp:posOffset>
                      </wp:positionH>
                      <wp:positionV relativeFrom="paragraph">
                        <wp:posOffset>0</wp:posOffset>
                      </wp:positionV>
                      <wp:extent cx="304800" cy="276225"/>
                      <wp:effectExtent l="0" t="0" r="3810" b="635"/>
                      <wp:wrapNone/>
                      <wp:docPr id="1336" name="AutoShape 623">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E030C" id="AutoShape 623" o:spid="_x0000_s1026" href="" style="position:absolute;margin-left:0;margin-top:0;width:24pt;height:21.7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40896" behindDoc="0" locked="0" layoutInCell="1" allowOverlap="1" wp14:anchorId="1D0AE128" wp14:editId="570BBD19">
                      <wp:simplePos x="0" y="0"/>
                      <wp:positionH relativeFrom="column">
                        <wp:posOffset>0</wp:posOffset>
                      </wp:positionH>
                      <wp:positionV relativeFrom="paragraph">
                        <wp:posOffset>0</wp:posOffset>
                      </wp:positionV>
                      <wp:extent cx="304800" cy="276225"/>
                      <wp:effectExtent l="0" t="0" r="3810" b="635"/>
                      <wp:wrapNone/>
                      <wp:docPr id="1335" name="AutoShape 624"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B1DD2" id="AutoShape 624" o:spid="_x0000_s1026" alt="Selecting an example from Help" style="position:absolute;margin-left:0;margin-top:0;width:24pt;height:21.7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" filled="f" stroked="f">
                      <o:lock v:ext="edit" aspectratio="t"/>
                    </v:rect>
                  </w:pict>
                </mc:Fallback>
              </mc:AlternateContent>
            </w:r>
            <w:r>
              <w:rPr>
                <w:noProof/>
                <w:sz w:val="20"/>
                <w:lang w:val="en-US"/>
              </w:rPr>
              <mc:AlternateContent>
                <mc:Choice Requires="wps">
                  <w:drawing>
                    <wp:anchor distT="0" distB="0" distL="114300" distR="114300" simplePos="0" relativeHeight="252241920" behindDoc="0" locked="0" layoutInCell="1" allowOverlap="1" wp14:anchorId="456C7E4B" wp14:editId="68A0449E">
                      <wp:simplePos x="0" y="0"/>
                      <wp:positionH relativeFrom="column">
                        <wp:posOffset>0</wp:posOffset>
                      </wp:positionH>
                      <wp:positionV relativeFrom="paragraph">
                        <wp:posOffset>0</wp:posOffset>
                      </wp:positionV>
                      <wp:extent cx="304800" cy="314325"/>
                      <wp:effectExtent l="0" t="0" r="3810" b="635"/>
                      <wp:wrapNone/>
                      <wp:docPr id="1334" name="AutoShape 625">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51344" id="AutoShape 625" o:spid="_x0000_s1026" href="" style="position:absolute;margin-left:0;margin-top:0;width:24pt;height:24.7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42944" behindDoc="0" locked="0" layoutInCell="1" allowOverlap="1" wp14:anchorId="6E35D703" wp14:editId="7A64A690">
                      <wp:simplePos x="0" y="0"/>
                      <wp:positionH relativeFrom="column">
                        <wp:posOffset>0</wp:posOffset>
                      </wp:positionH>
                      <wp:positionV relativeFrom="paragraph">
                        <wp:posOffset>161925</wp:posOffset>
                      </wp:positionV>
                      <wp:extent cx="304800" cy="314325"/>
                      <wp:effectExtent l="0" t="0" r="3810" b="635"/>
                      <wp:wrapNone/>
                      <wp:docPr id="1333" name="AutoShape 626">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067B3" id="AutoShape 626" o:spid="_x0000_s1026" href="" style="position:absolute;margin-left:0;margin-top:12.75pt;width:24pt;height:24.7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43968" behindDoc="0" locked="0" layoutInCell="1" allowOverlap="1" wp14:anchorId="22869124" wp14:editId="40B41F78">
                      <wp:simplePos x="0" y="0"/>
                      <wp:positionH relativeFrom="column">
                        <wp:posOffset>0</wp:posOffset>
                      </wp:positionH>
                      <wp:positionV relativeFrom="paragraph">
                        <wp:posOffset>0</wp:posOffset>
                      </wp:positionV>
                      <wp:extent cx="304800" cy="314325"/>
                      <wp:effectExtent l="0" t="0" r="3810" b="635"/>
                      <wp:wrapNone/>
                      <wp:docPr id="1332" name="AutoShape 627">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93973" id="AutoShape 627" o:spid="_x0000_s1026" href="" style="position:absolute;margin-left:0;margin-top:0;width:24pt;height:24.7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44992" behindDoc="0" locked="0" layoutInCell="1" allowOverlap="1" wp14:anchorId="1F7AE015" wp14:editId="26E7740A">
                      <wp:simplePos x="0" y="0"/>
                      <wp:positionH relativeFrom="column">
                        <wp:posOffset>0</wp:posOffset>
                      </wp:positionH>
                      <wp:positionV relativeFrom="paragraph">
                        <wp:posOffset>0</wp:posOffset>
                      </wp:positionV>
                      <wp:extent cx="304800" cy="314325"/>
                      <wp:effectExtent l="0" t="0" r="3810" b="635"/>
                      <wp:wrapNone/>
                      <wp:docPr id="1331" name="AutoShape 628">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AC909" id="AutoShape 628" o:spid="_x0000_s1026" href="" style="position:absolute;margin-left:0;margin-top:0;width:24pt;height:24.7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46016" behindDoc="0" locked="0" layoutInCell="1" allowOverlap="1" wp14:anchorId="47F33C7A" wp14:editId="69DBD486">
                      <wp:simplePos x="0" y="0"/>
                      <wp:positionH relativeFrom="column">
                        <wp:posOffset>0</wp:posOffset>
                      </wp:positionH>
                      <wp:positionV relativeFrom="paragraph">
                        <wp:posOffset>161925</wp:posOffset>
                      </wp:positionV>
                      <wp:extent cx="304800" cy="314325"/>
                      <wp:effectExtent l="0" t="0" r="3810" b="635"/>
                      <wp:wrapNone/>
                      <wp:docPr id="1330" name="AutoShape 629">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0AC56" id="AutoShape 629" o:spid="_x0000_s1026" href="" style="position:absolute;margin-left:0;margin-top:12.75pt;width:24pt;height:24.7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47040" behindDoc="0" locked="0" layoutInCell="1" allowOverlap="1" wp14:anchorId="5963ECA9" wp14:editId="16A9F8DB">
                      <wp:simplePos x="0" y="0"/>
                      <wp:positionH relativeFrom="column">
                        <wp:posOffset>0</wp:posOffset>
                      </wp:positionH>
                      <wp:positionV relativeFrom="paragraph">
                        <wp:posOffset>161925</wp:posOffset>
                      </wp:positionV>
                      <wp:extent cx="304800" cy="314325"/>
                      <wp:effectExtent l="0" t="0" r="3810" b="635"/>
                      <wp:wrapNone/>
                      <wp:docPr id="1329" name="AutoShape 630">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5F5CE" id="AutoShape 630" o:spid="_x0000_s1026" href="" style="position:absolute;margin-left:0;margin-top:12.75pt;width:24pt;height:24.7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48064" behindDoc="0" locked="0" layoutInCell="1" allowOverlap="1" wp14:anchorId="697AEF27" wp14:editId="03BBC715">
                      <wp:simplePos x="0" y="0"/>
                      <wp:positionH relativeFrom="column">
                        <wp:posOffset>0</wp:posOffset>
                      </wp:positionH>
                      <wp:positionV relativeFrom="paragraph">
                        <wp:posOffset>0</wp:posOffset>
                      </wp:positionV>
                      <wp:extent cx="304800" cy="314325"/>
                      <wp:effectExtent l="0" t="0" r="3810" b="635"/>
                      <wp:wrapNone/>
                      <wp:docPr id="1328" name="AutoShape 631">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9F694" id="AutoShape 631" o:spid="_x0000_s1026" href="" style="position:absolute;margin-left:0;margin-top:0;width:24pt;height:24.7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49088" behindDoc="0" locked="0" layoutInCell="1" allowOverlap="1" wp14:anchorId="2C358A41" wp14:editId="024E25BA">
                      <wp:simplePos x="0" y="0"/>
                      <wp:positionH relativeFrom="column">
                        <wp:posOffset>0</wp:posOffset>
                      </wp:positionH>
                      <wp:positionV relativeFrom="paragraph">
                        <wp:posOffset>0</wp:posOffset>
                      </wp:positionV>
                      <wp:extent cx="304800" cy="314325"/>
                      <wp:effectExtent l="0" t="0" r="3810" b="635"/>
                      <wp:wrapNone/>
                      <wp:docPr id="1327" name="AutoShape 632">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A58B2" id="AutoShape 632" o:spid="_x0000_s1026" href="" style="position:absolute;margin-left:0;margin-top:0;width:24pt;height:24.7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50112" behindDoc="0" locked="0" layoutInCell="1" allowOverlap="1" wp14:anchorId="1D05A659" wp14:editId="286179A6">
                      <wp:simplePos x="0" y="0"/>
                      <wp:positionH relativeFrom="column">
                        <wp:posOffset>0</wp:posOffset>
                      </wp:positionH>
                      <wp:positionV relativeFrom="paragraph">
                        <wp:posOffset>161925</wp:posOffset>
                      </wp:positionV>
                      <wp:extent cx="304800" cy="314325"/>
                      <wp:effectExtent l="0" t="0" r="3810" b="635"/>
                      <wp:wrapNone/>
                      <wp:docPr id="1326" name="AutoShape 633">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60902" id="AutoShape 633" o:spid="_x0000_s1026" href="" style="position:absolute;margin-left:0;margin-top:12.75pt;width:24pt;height:24.7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51136" behindDoc="0" locked="0" layoutInCell="1" allowOverlap="1" wp14:anchorId="7CCB69CA" wp14:editId="59EA1E4A">
                      <wp:simplePos x="0" y="0"/>
                      <wp:positionH relativeFrom="column">
                        <wp:posOffset>0</wp:posOffset>
                      </wp:positionH>
                      <wp:positionV relativeFrom="paragraph">
                        <wp:posOffset>161925</wp:posOffset>
                      </wp:positionV>
                      <wp:extent cx="304800" cy="314325"/>
                      <wp:effectExtent l="0" t="0" r="3810" b="635"/>
                      <wp:wrapNone/>
                      <wp:docPr id="1325" name="AutoShape 634">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52777" id="AutoShape 634" o:spid="_x0000_s1026" href="" style="position:absolute;margin-left:0;margin-top:12.75pt;width:24pt;height:24.7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52160" behindDoc="0" locked="0" layoutInCell="1" allowOverlap="1" wp14:anchorId="22A652D6" wp14:editId="26D320AC">
                      <wp:simplePos x="0" y="0"/>
                      <wp:positionH relativeFrom="column">
                        <wp:posOffset>0</wp:posOffset>
                      </wp:positionH>
                      <wp:positionV relativeFrom="paragraph">
                        <wp:posOffset>0</wp:posOffset>
                      </wp:positionV>
                      <wp:extent cx="304800" cy="276225"/>
                      <wp:effectExtent l="0" t="0" r="3810" b="635"/>
                      <wp:wrapNone/>
                      <wp:docPr id="1324" name="AutoShape 635">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674B9" id="AutoShape 635" o:spid="_x0000_s1026" href="" style="position:absolute;margin-left:0;margin-top:0;width:24pt;height:21.7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53184" behindDoc="0" locked="0" layoutInCell="1" allowOverlap="1" wp14:anchorId="61C4974F" wp14:editId="4C2A15F3">
                      <wp:simplePos x="0" y="0"/>
                      <wp:positionH relativeFrom="column">
                        <wp:posOffset>0</wp:posOffset>
                      </wp:positionH>
                      <wp:positionV relativeFrom="paragraph">
                        <wp:posOffset>0</wp:posOffset>
                      </wp:positionV>
                      <wp:extent cx="304800" cy="276225"/>
                      <wp:effectExtent l="0" t="0" r="3810" b="635"/>
                      <wp:wrapNone/>
                      <wp:docPr id="1323" name="AutoShape 636"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2FEBE" id="AutoShape 636" o:spid="_x0000_s1026" alt="Selecting an example from Help" style="position:absolute;margin-left:0;margin-top:0;width:24pt;height:21.7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" filled="f" stroked="f">
                      <o:lock v:ext="edit" aspectratio="t"/>
                    </v:rect>
                  </w:pict>
                </mc:Fallback>
              </mc:AlternateContent>
            </w:r>
            <w:r>
              <w:rPr>
                <w:noProof/>
                <w:sz w:val="20"/>
                <w:lang w:val="en-US"/>
              </w:rPr>
              <mc:AlternateContent>
                <mc:Choice Requires="wps">
                  <w:drawing>
                    <wp:anchor distT="0" distB="0" distL="114300" distR="114300" simplePos="0" relativeHeight="252254208" behindDoc="0" locked="0" layoutInCell="1" allowOverlap="1" wp14:anchorId="4DED9B0C" wp14:editId="4AE67449">
                      <wp:simplePos x="0" y="0"/>
                      <wp:positionH relativeFrom="column">
                        <wp:posOffset>0</wp:posOffset>
                      </wp:positionH>
                      <wp:positionV relativeFrom="paragraph">
                        <wp:posOffset>0</wp:posOffset>
                      </wp:positionV>
                      <wp:extent cx="304800" cy="276225"/>
                      <wp:effectExtent l="0" t="0" r="3810" b="635"/>
                      <wp:wrapNone/>
                      <wp:docPr id="1322" name="AutoShape 637">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4F98C" id="AutoShape 637" o:spid="_x0000_s1026" href="" style="position:absolute;margin-left:0;margin-top:0;width:24pt;height:21.7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55232" behindDoc="0" locked="0" layoutInCell="1" allowOverlap="1" wp14:anchorId="2F620409" wp14:editId="788010BE">
                      <wp:simplePos x="0" y="0"/>
                      <wp:positionH relativeFrom="column">
                        <wp:posOffset>0</wp:posOffset>
                      </wp:positionH>
                      <wp:positionV relativeFrom="paragraph">
                        <wp:posOffset>0</wp:posOffset>
                      </wp:positionV>
                      <wp:extent cx="304800" cy="276225"/>
                      <wp:effectExtent l="0" t="0" r="3810" b="635"/>
                      <wp:wrapNone/>
                      <wp:docPr id="1321" name="AutoShape 638"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7E6C5" id="AutoShape 638" o:spid="_x0000_s1026" alt="Selecting an example from Help" style="position:absolute;margin-left:0;margin-top:0;width:24pt;height:21.7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" filled="f" stroked="f">
                      <o:lock v:ext="edit" aspectratio="t"/>
                    </v:rect>
                  </w:pict>
                </mc:Fallback>
              </mc:AlternateContent>
            </w:r>
            <w:r>
              <w:rPr>
                <w:noProof/>
                <w:sz w:val="20"/>
                <w:lang w:val="en-US"/>
              </w:rPr>
              <mc:AlternateContent>
                <mc:Choice Requires="wps">
                  <w:drawing>
                    <wp:anchor distT="0" distB="0" distL="114300" distR="114300" simplePos="0" relativeHeight="252256256" behindDoc="0" locked="0" layoutInCell="1" allowOverlap="1" wp14:anchorId="5E419D97" wp14:editId="5F5C6AF9">
                      <wp:simplePos x="0" y="0"/>
                      <wp:positionH relativeFrom="column">
                        <wp:posOffset>0</wp:posOffset>
                      </wp:positionH>
                      <wp:positionV relativeFrom="paragraph">
                        <wp:posOffset>0</wp:posOffset>
                      </wp:positionV>
                      <wp:extent cx="304800" cy="276225"/>
                      <wp:effectExtent l="0" t="0" r="3810" b="635"/>
                      <wp:wrapNone/>
                      <wp:docPr id="1320" name="AutoShape 639">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7049C" id="AutoShape 639" o:spid="_x0000_s1026" href="" style="position:absolute;margin-left:0;margin-top:0;width:24pt;height:21.7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21792" behindDoc="0" locked="0" layoutInCell="1" allowOverlap="1" wp14:anchorId="16479F45" wp14:editId="401D0258">
                      <wp:simplePos x="0" y="0"/>
                      <wp:positionH relativeFrom="column">
                        <wp:posOffset>0</wp:posOffset>
                      </wp:positionH>
                      <wp:positionV relativeFrom="paragraph">
                        <wp:posOffset>647700</wp:posOffset>
                      </wp:positionV>
                      <wp:extent cx="304800" cy="314325"/>
                      <wp:effectExtent l="0" t="0" r="3810" b="635"/>
                      <wp:wrapNone/>
                      <wp:docPr id="1319" name="AutoShape 703">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FF731" id="AutoShape 703" o:spid="_x0000_s1026" href="" style="position:absolute;margin-left:0;margin-top:51pt;width:24pt;height:24.7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22816" behindDoc="0" locked="0" layoutInCell="1" allowOverlap="1" wp14:anchorId="54B5E5BE" wp14:editId="145941E6">
                      <wp:simplePos x="0" y="0"/>
                      <wp:positionH relativeFrom="column">
                        <wp:posOffset>0</wp:posOffset>
                      </wp:positionH>
                      <wp:positionV relativeFrom="paragraph">
                        <wp:posOffset>647700</wp:posOffset>
                      </wp:positionV>
                      <wp:extent cx="304800" cy="314325"/>
                      <wp:effectExtent l="0" t="0" r="3810" b="635"/>
                      <wp:wrapNone/>
                      <wp:docPr id="1318" name="AutoShape 704"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4544F" id="AutoShape 704" o:spid="_x0000_s1026" alt="Selecting an example from Help" style="position:absolute;margin-left:0;margin-top:51pt;width:24pt;height:24.7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" filled="f" stroked="f">
                      <o:lock v:ext="edit" aspectratio="t"/>
                    </v:rect>
                  </w:pict>
                </mc:Fallback>
              </mc:AlternateContent>
            </w:r>
            <w:r>
              <w:rPr>
                <w:noProof/>
                <w:sz w:val="20"/>
                <w:lang w:val="en-US"/>
              </w:rPr>
              <mc:AlternateContent>
                <mc:Choice Requires="wps">
                  <w:drawing>
                    <wp:anchor distT="0" distB="0" distL="114300" distR="114300" simplePos="0" relativeHeight="252323840" behindDoc="0" locked="0" layoutInCell="1" allowOverlap="1" wp14:anchorId="613B9565" wp14:editId="2EC3C5FA">
                      <wp:simplePos x="0" y="0"/>
                      <wp:positionH relativeFrom="column">
                        <wp:posOffset>0</wp:posOffset>
                      </wp:positionH>
                      <wp:positionV relativeFrom="paragraph">
                        <wp:posOffset>323850</wp:posOffset>
                      </wp:positionV>
                      <wp:extent cx="304800" cy="304800"/>
                      <wp:effectExtent l="0" t="0" r="3810" b="635"/>
                      <wp:wrapNone/>
                      <wp:docPr id="1317" name="AutoShape 705">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2A20C" id="AutoShape 705" o:spid="_x0000_s1026" href="" style="position:absolute;margin-left:0;margin-top:25.5pt;width:24pt;height:24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24864" behindDoc="0" locked="0" layoutInCell="1" allowOverlap="1" wp14:anchorId="45DF28B2" wp14:editId="0BB9E2DC">
                      <wp:simplePos x="0" y="0"/>
                      <wp:positionH relativeFrom="column">
                        <wp:posOffset>0</wp:posOffset>
                      </wp:positionH>
                      <wp:positionV relativeFrom="paragraph">
                        <wp:posOffset>323850</wp:posOffset>
                      </wp:positionV>
                      <wp:extent cx="304800" cy="304800"/>
                      <wp:effectExtent l="0" t="0" r="3810" b="635"/>
                      <wp:wrapNone/>
                      <wp:docPr id="1316" name="AutoShape 706"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961BE" id="AutoShape 706" o:spid="_x0000_s1026" alt="Selecting an example from Help" style="position:absolute;margin-left:0;margin-top:25.5pt;width:24pt;height:24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" filled="f" stroked="f">
                      <o:lock v:ext="edit" aspectratio="t"/>
                    </v:rect>
                  </w:pict>
                </mc:Fallback>
              </mc:AlternateContent>
            </w:r>
            <w:r>
              <w:rPr>
                <w:noProof/>
                <w:sz w:val="20"/>
                <w:lang w:val="en-US"/>
              </w:rPr>
              <mc:AlternateContent>
                <mc:Choice Requires="wps">
                  <w:drawing>
                    <wp:anchor distT="0" distB="0" distL="114300" distR="114300" simplePos="0" relativeHeight="252325888" behindDoc="0" locked="0" layoutInCell="1" allowOverlap="1" wp14:anchorId="1D2908D0" wp14:editId="34F4B634">
                      <wp:simplePos x="0" y="0"/>
                      <wp:positionH relativeFrom="column">
                        <wp:posOffset>0</wp:posOffset>
                      </wp:positionH>
                      <wp:positionV relativeFrom="paragraph">
                        <wp:posOffset>647700</wp:posOffset>
                      </wp:positionV>
                      <wp:extent cx="304800" cy="314325"/>
                      <wp:effectExtent l="0" t="0" r="3810" b="635"/>
                      <wp:wrapNone/>
                      <wp:docPr id="1315" name="AutoShape 707">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86D4A" id="AutoShape 707" o:spid="_x0000_s1026" href="" style="position:absolute;margin-left:0;margin-top:51pt;width:24pt;height:24.7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26912" behindDoc="0" locked="0" layoutInCell="1" allowOverlap="1" wp14:anchorId="4A43C65D" wp14:editId="34FF0B06">
                      <wp:simplePos x="0" y="0"/>
                      <wp:positionH relativeFrom="column">
                        <wp:posOffset>0</wp:posOffset>
                      </wp:positionH>
                      <wp:positionV relativeFrom="paragraph">
                        <wp:posOffset>647700</wp:posOffset>
                      </wp:positionV>
                      <wp:extent cx="304800" cy="314325"/>
                      <wp:effectExtent l="0" t="0" r="3810" b="635"/>
                      <wp:wrapNone/>
                      <wp:docPr id="1314" name="AutoShape 708"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ACDF9" id="AutoShape 708" o:spid="_x0000_s1026" alt="Selecting an example from Help" style="position:absolute;margin-left:0;margin-top:51pt;width:24pt;height:24.7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" filled="f" stroked="f">
                      <o:lock v:ext="edit" aspectratio="t"/>
                    </v:rect>
                  </w:pict>
                </mc:Fallback>
              </mc:AlternateContent>
            </w:r>
            <w:r>
              <w:rPr>
                <w:noProof/>
                <w:sz w:val="20"/>
                <w:lang w:val="en-US"/>
              </w:rPr>
              <mc:AlternateContent>
                <mc:Choice Requires="wps">
                  <w:drawing>
                    <wp:anchor distT="0" distB="0" distL="114300" distR="114300" simplePos="0" relativeHeight="252327936" behindDoc="0" locked="0" layoutInCell="1" allowOverlap="1" wp14:anchorId="251DBD78" wp14:editId="703279FD">
                      <wp:simplePos x="0" y="0"/>
                      <wp:positionH relativeFrom="column">
                        <wp:posOffset>0</wp:posOffset>
                      </wp:positionH>
                      <wp:positionV relativeFrom="paragraph">
                        <wp:posOffset>323850</wp:posOffset>
                      </wp:positionV>
                      <wp:extent cx="304800" cy="314325"/>
                      <wp:effectExtent l="0" t="0" r="3810" b="635"/>
                      <wp:wrapNone/>
                      <wp:docPr id="1313" name="AutoShape 709">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658A7" id="AutoShape 709" o:spid="_x0000_s1026" href="" style="position:absolute;margin-left:0;margin-top:25.5pt;width:24pt;height:24.7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28960" behindDoc="0" locked="0" layoutInCell="1" allowOverlap="1" wp14:anchorId="00FA7CB7" wp14:editId="34BC671F">
                      <wp:simplePos x="0" y="0"/>
                      <wp:positionH relativeFrom="column">
                        <wp:posOffset>0</wp:posOffset>
                      </wp:positionH>
                      <wp:positionV relativeFrom="paragraph">
                        <wp:posOffset>323850</wp:posOffset>
                      </wp:positionV>
                      <wp:extent cx="304800" cy="314325"/>
                      <wp:effectExtent l="0" t="0" r="3810" b="635"/>
                      <wp:wrapNone/>
                      <wp:docPr id="1312" name="AutoShape 710">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97AC7" id="AutoShape 710" o:spid="_x0000_s1026" href="" style="position:absolute;margin-left:0;margin-top:25.5pt;width:24pt;height:24.7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29984" behindDoc="0" locked="0" layoutInCell="1" allowOverlap="1" wp14:anchorId="248F1CF9" wp14:editId="631A5B0B">
                      <wp:simplePos x="0" y="0"/>
                      <wp:positionH relativeFrom="column">
                        <wp:posOffset>0</wp:posOffset>
                      </wp:positionH>
                      <wp:positionV relativeFrom="paragraph">
                        <wp:posOffset>323850</wp:posOffset>
                      </wp:positionV>
                      <wp:extent cx="304800" cy="314325"/>
                      <wp:effectExtent l="0" t="0" r="3810" b="635"/>
                      <wp:wrapNone/>
                      <wp:docPr id="1311" name="AutoShape 711">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74105" id="AutoShape 711" o:spid="_x0000_s1026" href="" style="position:absolute;margin-left:0;margin-top:25.5pt;width:24pt;height:24.7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31008" behindDoc="0" locked="0" layoutInCell="1" allowOverlap="1" wp14:anchorId="2157418B" wp14:editId="4D7DF584">
                      <wp:simplePos x="0" y="0"/>
                      <wp:positionH relativeFrom="column">
                        <wp:posOffset>0</wp:posOffset>
                      </wp:positionH>
                      <wp:positionV relativeFrom="paragraph">
                        <wp:posOffset>323850</wp:posOffset>
                      </wp:positionV>
                      <wp:extent cx="304800" cy="314325"/>
                      <wp:effectExtent l="0" t="0" r="3810" b="635"/>
                      <wp:wrapNone/>
                      <wp:docPr id="1310" name="AutoShape 712">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4DF8E" id="AutoShape 712" o:spid="_x0000_s1026" href="" style="position:absolute;margin-left:0;margin-top:25.5pt;width:24pt;height:24.7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32032" behindDoc="0" locked="0" layoutInCell="1" allowOverlap="1" wp14:anchorId="2B7A429C" wp14:editId="2163D0B8">
                      <wp:simplePos x="0" y="0"/>
                      <wp:positionH relativeFrom="column">
                        <wp:posOffset>0</wp:posOffset>
                      </wp:positionH>
                      <wp:positionV relativeFrom="paragraph">
                        <wp:posOffset>323850</wp:posOffset>
                      </wp:positionV>
                      <wp:extent cx="304800" cy="314325"/>
                      <wp:effectExtent l="0" t="0" r="3810" b="635"/>
                      <wp:wrapNone/>
                      <wp:docPr id="1309" name="AutoShape 713">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4E764" id="AutoShape 713" o:spid="_x0000_s1026" href="" style="position:absolute;margin-left:0;margin-top:25.5pt;width:24pt;height:24.7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33056" behindDoc="0" locked="0" layoutInCell="1" allowOverlap="1" wp14:anchorId="0C5A12FC" wp14:editId="5CD01A15">
                      <wp:simplePos x="0" y="0"/>
                      <wp:positionH relativeFrom="column">
                        <wp:posOffset>0</wp:posOffset>
                      </wp:positionH>
                      <wp:positionV relativeFrom="paragraph">
                        <wp:posOffset>485775</wp:posOffset>
                      </wp:positionV>
                      <wp:extent cx="304800" cy="333375"/>
                      <wp:effectExtent l="0" t="0" r="3810" b="635"/>
                      <wp:wrapNone/>
                      <wp:docPr id="1308" name="AutoShape 714">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B3725" id="AutoShape 714" o:spid="_x0000_s1026" href="" style="position:absolute;margin-left:0;margin-top:38.25pt;width:24pt;height:26.2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34080" behindDoc="0" locked="0" layoutInCell="1" allowOverlap="1" wp14:anchorId="76970122" wp14:editId="0869478B">
                      <wp:simplePos x="0" y="0"/>
                      <wp:positionH relativeFrom="column">
                        <wp:posOffset>0</wp:posOffset>
                      </wp:positionH>
                      <wp:positionV relativeFrom="paragraph">
                        <wp:posOffset>485775</wp:posOffset>
                      </wp:positionV>
                      <wp:extent cx="304800" cy="333375"/>
                      <wp:effectExtent l="0" t="0" r="3810" b="635"/>
                      <wp:wrapNone/>
                      <wp:docPr id="1307" name="AutoShape 715"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7759C" id="AutoShape 715" o:spid="_x0000_s1026" alt="Selecting an example from Help" style="position:absolute;margin-left:0;margin-top:38.25pt;width:24pt;height:26.2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" filled="f" stroked="f">
                      <o:lock v:ext="edit" aspectratio="t"/>
                    </v:rect>
                  </w:pict>
                </mc:Fallback>
              </mc:AlternateContent>
            </w:r>
            <w:r>
              <w:rPr>
                <w:noProof/>
                <w:sz w:val="20"/>
                <w:lang w:val="en-US"/>
              </w:rPr>
              <mc:AlternateContent>
                <mc:Choice Requires="wps">
                  <w:drawing>
                    <wp:anchor distT="0" distB="0" distL="114300" distR="114300" simplePos="0" relativeHeight="252335104" behindDoc="0" locked="0" layoutInCell="1" allowOverlap="1" wp14:anchorId="1A1364A9" wp14:editId="05B39F37">
                      <wp:simplePos x="0" y="0"/>
                      <wp:positionH relativeFrom="column">
                        <wp:posOffset>0</wp:posOffset>
                      </wp:positionH>
                      <wp:positionV relativeFrom="paragraph">
                        <wp:posOffset>485775</wp:posOffset>
                      </wp:positionV>
                      <wp:extent cx="304800" cy="333375"/>
                      <wp:effectExtent l="0" t="0" r="3810" b="635"/>
                      <wp:wrapNone/>
                      <wp:docPr id="1306" name="AutoShape 716">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84ACE" id="AutoShape 716" o:spid="_x0000_s1026" href="" style="position:absolute;margin-left:0;margin-top:38.25pt;width:24pt;height:26.2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36128" behindDoc="0" locked="0" layoutInCell="1" allowOverlap="1" wp14:anchorId="75096775" wp14:editId="2BA3A31B">
                      <wp:simplePos x="0" y="0"/>
                      <wp:positionH relativeFrom="column">
                        <wp:posOffset>0</wp:posOffset>
                      </wp:positionH>
                      <wp:positionV relativeFrom="paragraph">
                        <wp:posOffset>485775</wp:posOffset>
                      </wp:positionV>
                      <wp:extent cx="304800" cy="333375"/>
                      <wp:effectExtent l="0" t="0" r="3810" b="635"/>
                      <wp:wrapNone/>
                      <wp:docPr id="1305" name="AutoShape 717">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A04EA" id="AutoShape 717" o:spid="_x0000_s1026" href="" style="position:absolute;margin-left:0;margin-top:38.25pt;width:24pt;height:26.2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37152" behindDoc="0" locked="0" layoutInCell="1" allowOverlap="1" wp14:anchorId="04D2D8F6" wp14:editId="4DB8E7DA">
                      <wp:simplePos x="0" y="0"/>
                      <wp:positionH relativeFrom="column">
                        <wp:posOffset>0</wp:posOffset>
                      </wp:positionH>
                      <wp:positionV relativeFrom="paragraph">
                        <wp:posOffset>485775</wp:posOffset>
                      </wp:positionV>
                      <wp:extent cx="304800" cy="333375"/>
                      <wp:effectExtent l="0" t="0" r="3810" b="635"/>
                      <wp:wrapNone/>
                      <wp:docPr id="1304" name="AutoShape 718">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64F2F" id="AutoShape 718" o:spid="_x0000_s1026" href="" style="position:absolute;margin-left:0;margin-top:38.25pt;width:24pt;height:26.2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38176" behindDoc="0" locked="0" layoutInCell="1" allowOverlap="1" wp14:anchorId="27DA06BF" wp14:editId="20BB518F">
                      <wp:simplePos x="0" y="0"/>
                      <wp:positionH relativeFrom="column">
                        <wp:posOffset>0</wp:posOffset>
                      </wp:positionH>
                      <wp:positionV relativeFrom="paragraph">
                        <wp:posOffset>485775</wp:posOffset>
                      </wp:positionV>
                      <wp:extent cx="304800" cy="333375"/>
                      <wp:effectExtent l="0" t="0" r="3810" b="635"/>
                      <wp:wrapNone/>
                      <wp:docPr id="1303" name="AutoShape 719">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DEB8A" id="AutoShape 719" o:spid="_x0000_s1026" href="" style="position:absolute;margin-left:0;margin-top:38.25pt;width:24pt;height:26.2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39200" behindDoc="0" locked="0" layoutInCell="1" allowOverlap="1" wp14:anchorId="72419BC2" wp14:editId="37231A9E">
                      <wp:simplePos x="0" y="0"/>
                      <wp:positionH relativeFrom="column">
                        <wp:posOffset>0</wp:posOffset>
                      </wp:positionH>
                      <wp:positionV relativeFrom="paragraph">
                        <wp:posOffset>485775</wp:posOffset>
                      </wp:positionV>
                      <wp:extent cx="304800" cy="333375"/>
                      <wp:effectExtent l="0" t="0" r="3810" b="635"/>
                      <wp:wrapNone/>
                      <wp:docPr id="1302" name="AutoShape 720">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2F89E" id="AutoShape 720" o:spid="_x0000_s1026" href="" style="position:absolute;margin-left:0;margin-top:38.25pt;width:24pt;height:26.2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40224" behindDoc="0" locked="0" layoutInCell="1" allowOverlap="1" wp14:anchorId="5A016187" wp14:editId="66268278">
                      <wp:simplePos x="0" y="0"/>
                      <wp:positionH relativeFrom="column">
                        <wp:posOffset>0</wp:posOffset>
                      </wp:positionH>
                      <wp:positionV relativeFrom="paragraph">
                        <wp:posOffset>485775</wp:posOffset>
                      </wp:positionV>
                      <wp:extent cx="304800" cy="333375"/>
                      <wp:effectExtent l="0" t="0" r="3810" b="635"/>
                      <wp:wrapNone/>
                      <wp:docPr id="1301" name="AutoShape 721">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69C94" id="AutoShape 721" o:spid="_x0000_s1026" href="" style="position:absolute;margin-left:0;margin-top:38.25pt;width:24pt;height:26.2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41248" behindDoc="0" locked="0" layoutInCell="1" allowOverlap="1" wp14:anchorId="02076238" wp14:editId="293CA0E5">
                      <wp:simplePos x="0" y="0"/>
                      <wp:positionH relativeFrom="column">
                        <wp:posOffset>0</wp:posOffset>
                      </wp:positionH>
                      <wp:positionV relativeFrom="paragraph">
                        <wp:posOffset>485775</wp:posOffset>
                      </wp:positionV>
                      <wp:extent cx="304800" cy="333375"/>
                      <wp:effectExtent l="0" t="0" r="3810" b="635"/>
                      <wp:wrapNone/>
                      <wp:docPr id="1300" name="AutoShape 722"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4BF5B" id="AutoShape 722" o:spid="_x0000_s1026" alt="Selecting an example from Help" style="position:absolute;margin-left:0;margin-top:38.25pt;width:24pt;height:26.2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" filled="f" stroked="f">
                      <o:lock v:ext="edit" aspectratio="t"/>
                    </v:rect>
                  </w:pict>
                </mc:Fallback>
              </mc:AlternateContent>
            </w:r>
            <w:r>
              <w:rPr>
                <w:noProof/>
                <w:sz w:val="20"/>
                <w:lang w:val="en-US"/>
              </w:rPr>
              <mc:AlternateContent>
                <mc:Choice Requires="wps">
                  <w:drawing>
                    <wp:anchor distT="0" distB="0" distL="114300" distR="114300" simplePos="0" relativeHeight="252342272" behindDoc="0" locked="0" layoutInCell="1" allowOverlap="1" wp14:anchorId="704FC094" wp14:editId="5E395451">
                      <wp:simplePos x="0" y="0"/>
                      <wp:positionH relativeFrom="column">
                        <wp:posOffset>0</wp:posOffset>
                      </wp:positionH>
                      <wp:positionV relativeFrom="paragraph">
                        <wp:posOffset>485775</wp:posOffset>
                      </wp:positionV>
                      <wp:extent cx="304800" cy="333375"/>
                      <wp:effectExtent l="0" t="0" r="3810" b="635"/>
                      <wp:wrapNone/>
                      <wp:docPr id="1299" name="AutoShape 723">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AA0EE" id="AutoShape 723" o:spid="_x0000_s1026" href="" style="position:absolute;margin-left:0;margin-top:38.25pt;width:24pt;height:26.2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43296" behindDoc="0" locked="0" layoutInCell="1" allowOverlap="1" wp14:anchorId="3E9BDD7D" wp14:editId="20B33A4C">
                      <wp:simplePos x="0" y="0"/>
                      <wp:positionH relativeFrom="column">
                        <wp:posOffset>0</wp:posOffset>
                      </wp:positionH>
                      <wp:positionV relativeFrom="paragraph">
                        <wp:posOffset>485775</wp:posOffset>
                      </wp:positionV>
                      <wp:extent cx="304800" cy="333375"/>
                      <wp:effectExtent l="0" t="0" r="3810" b="635"/>
                      <wp:wrapNone/>
                      <wp:docPr id="1298" name="AutoShape 724">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4BF19" id="AutoShape 724" o:spid="_x0000_s1026" href="" style="position:absolute;margin-left:0;margin-top:38.25pt;width:24pt;height:26.2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44320" behindDoc="0" locked="0" layoutInCell="1" allowOverlap="1" wp14:anchorId="7C8CC838" wp14:editId="5A688D59">
                      <wp:simplePos x="0" y="0"/>
                      <wp:positionH relativeFrom="column">
                        <wp:posOffset>0</wp:posOffset>
                      </wp:positionH>
                      <wp:positionV relativeFrom="paragraph">
                        <wp:posOffset>485775</wp:posOffset>
                      </wp:positionV>
                      <wp:extent cx="304800" cy="333375"/>
                      <wp:effectExtent l="0" t="0" r="3810" b="635"/>
                      <wp:wrapNone/>
                      <wp:docPr id="1297" name="AutoShape 725">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CBAE7" id="AutoShape 725" o:spid="_x0000_s1026" href="" style="position:absolute;margin-left:0;margin-top:38.25pt;width:24pt;height:26.2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45344" behindDoc="0" locked="0" layoutInCell="1" allowOverlap="1" wp14:anchorId="3FE9F4F2" wp14:editId="7A392C1E">
                      <wp:simplePos x="0" y="0"/>
                      <wp:positionH relativeFrom="column">
                        <wp:posOffset>0</wp:posOffset>
                      </wp:positionH>
                      <wp:positionV relativeFrom="paragraph">
                        <wp:posOffset>485775</wp:posOffset>
                      </wp:positionV>
                      <wp:extent cx="304800" cy="333375"/>
                      <wp:effectExtent l="0" t="0" r="3810" b="635"/>
                      <wp:wrapNone/>
                      <wp:docPr id="1296" name="AutoShape 726">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3F285" id="AutoShape 726" o:spid="_x0000_s1026" href="" style="position:absolute;margin-left:0;margin-top:38.25pt;width:24pt;height:26.2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46368" behindDoc="0" locked="0" layoutInCell="1" allowOverlap="1" wp14:anchorId="0D66B146" wp14:editId="254B37D6">
                      <wp:simplePos x="0" y="0"/>
                      <wp:positionH relativeFrom="column">
                        <wp:posOffset>0</wp:posOffset>
                      </wp:positionH>
                      <wp:positionV relativeFrom="paragraph">
                        <wp:posOffset>485775</wp:posOffset>
                      </wp:positionV>
                      <wp:extent cx="304800" cy="333375"/>
                      <wp:effectExtent l="0" t="0" r="3810" b="635"/>
                      <wp:wrapNone/>
                      <wp:docPr id="1295" name="AutoShape 727">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5F5A0" id="AutoShape 727" o:spid="_x0000_s1026" href="" style="position:absolute;margin-left:0;margin-top:38.25pt;width:24pt;height:26.2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47392" behindDoc="0" locked="0" layoutInCell="1" allowOverlap="1" wp14:anchorId="37AB773D" wp14:editId="1C6227F9">
                      <wp:simplePos x="0" y="0"/>
                      <wp:positionH relativeFrom="column">
                        <wp:posOffset>0</wp:posOffset>
                      </wp:positionH>
                      <wp:positionV relativeFrom="paragraph">
                        <wp:posOffset>647700</wp:posOffset>
                      </wp:positionV>
                      <wp:extent cx="304800" cy="304800"/>
                      <wp:effectExtent l="0" t="0" r="3810" b="635"/>
                      <wp:wrapNone/>
                      <wp:docPr id="1294" name="AutoShape 728">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F9405" id="AutoShape 728" o:spid="_x0000_s1026" href="" style="position:absolute;margin-left:0;margin-top:51pt;width:24pt;height:24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48416" behindDoc="0" locked="0" layoutInCell="1" allowOverlap="1" wp14:anchorId="480A2A77" wp14:editId="53301D3B">
                      <wp:simplePos x="0" y="0"/>
                      <wp:positionH relativeFrom="column">
                        <wp:posOffset>0</wp:posOffset>
                      </wp:positionH>
                      <wp:positionV relativeFrom="paragraph">
                        <wp:posOffset>647700</wp:posOffset>
                      </wp:positionV>
                      <wp:extent cx="304800" cy="304800"/>
                      <wp:effectExtent l="0" t="0" r="3810" b="635"/>
                      <wp:wrapNone/>
                      <wp:docPr id="1293" name="AutoShape 729"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2E77C" id="AutoShape 729" o:spid="_x0000_s1026" alt="Selecting an example from Help" style="position:absolute;margin-left:0;margin-top:51pt;width:24pt;height:24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" filled="f" stroked="f">
                      <o:lock v:ext="edit" aspectratio="t"/>
                    </v:rect>
                  </w:pict>
                </mc:Fallback>
              </mc:AlternateContent>
            </w:r>
            <w:r>
              <w:rPr>
                <w:noProof/>
                <w:sz w:val="20"/>
                <w:lang w:val="en-US"/>
              </w:rPr>
              <mc:AlternateContent>
                <mc:Choice Requires="wps">
                  <w:drawing>
                    <wp:anchor distT="0" distB="0" distL="114300" distR="114300" simplePos="0" relativeHeight="252349440" behindDoc="0" locked="0" layoutInCell="1" allowOverlap="1" wp14:anchorId="490BDFC3" wp14:editId="1220A2F9">
                      <wp:simplePos x="0" y="0"/>
                      <wp:positionH relativeFrom="column">
                        <wp:posOffset>0</wp:posOffset>
                      </wp:positionH>
                      <wp:positionV relativeFrom="paragraph">
                        <wp:posOffset>647700</wp:posOffset>
                      </wp:positionV>
                      <wp:extent cx="304800" cy="314325"/>
                      <wp:effectExtent l="0" t="0" r="3810" b="635"/>
                      <wp:wrapNone/>
                      <wp:docPr id="1292" name="AutoShape 730">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C55C4" id="AutoShape 730" o:spid="_x0000_s1026" href="" style="position:absolute;margin-left:0;margin-top:51pt;width:24pt;height:24.7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50464" behindDoc="0" locked="0" layoutInCell="1" allowOverlap="1" wp14:anchorId="67940F15" wp14:editId="72A89BF4">
                      <wp:simplePos x="0" y="0"/>
                      <wp:positionH relativeFrom="column">
                        <wp:posOffset>0</wp:posOffset>
                      </wp:positionH>
                      <wp:positionV relativeFrom="paragraph">
                        <wp:posOffset>647700</wp:posOffset>
                      </wp:positionV>
                      <wp:extent cx="304800" cy="314325"/>
                      <wp:effectExtent l="0" t="0" r="3810" b="635"/>
                      <wp:wrapNone/>
                      <wp:docPr id="1291" name="AutoShape 731">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DB6D9" id="AutoShape 731" o:spid="_x0000_s1026" href="" style="position:absolute;margin-left:0;margin-top:51pt;width:24pt;height:24.7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51488" behindDoc="0" locked="0" layoutInCell="1" allowOverlap="1" wp14:anchorId="36139144" wp14:editId="1705A46A">
                      <wp:simplePos x="0" y="0"/>
                      <wp:positionH relativeFrom="column">
                        <wp:posOffset>0</wp:posOffset>
                      </wp:positionH>
                      <wp:positionV relativeFrom="paragraph">
                        <wp:posOffset>647700</wp:posOffset>
                      </wp:positionV>
                      <wp:extent cx="304800" cy="314325"/>
                      <wp:effectExtent l="0" t="0" r="3810" b="635"/>
                      <wp:wrapNone/>
                      <wp:docPr id="1290" name="AutoShape 732">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7D5D2" id="AutoShape 732" o:spid="_x0000_s1026" href="" style="position:absolute;margin-left:0;margin-top:51pt;width:24pt;height:24.7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52512" behindDoc="0" locked="0" layoutInCell="1" allowOverlap="1" wp14:anchorId="27B8A21D" wp14:editId="0D6DA2DD">
                      <wp:simplePos x="0" y="0"/>
                      <wp:positionH relativeFrom="column">
                        <wp:posOffset>0</wp:posOffset>
                      </wp:positionH>
                      <wp:positionV relativeFrom="paragraph">
                        <wp:posOffset>647700</wp:posOffset>
                      </wp:positionV>
                      <wp:extent cx="304800" cy="314325"/>
                      <wp:effectExtent l="0" t="0" r="3810" b="635"/>
                      <wp:wrapNone/>
                      <wp:docPr id="1289" name="AutoShape 733">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63B9C" id="AutoShape 733" o:spid="_x0000_s1026" href="" style="position:absolute;margin-left:0;margin-top:51pt;width:24pt;height:24.7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53536" behindDoc="0" locked="0" layoutInCell="1" allowOverlap="1" wp14:anchorId="71300627" wp14:editId="7865F741">
                      <wp:simplePos x="0" y="0"/>
                      <wp:positionH relativeFrom="column">
                        <wp:posOffset>0</wp:posOffset>
                      </wp:positionH>
                      <wp:positionV relativeFrom="paragraph">
                        <wp:posOffset>647700</wp:posOffset>
                      </wp:positionV>
                      <wp:extent cx="304800" cy="314325"/>
                      <wp:effectExtent l="0" t="0" r="3810" b="635"/>
                      <wp:wrapNone/>
                      <wp:docPr id="1288" name="AutoShape 734">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9AB81" id="AutoShape 734" o:spid="_x0000_s1026" href="" style="position:absolute;margin-left:0;margin-top:51pt;width:24pt;height:24.7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08832" behindDoc="0" locked="0" layoutInCell="1" allowOverlap="1" wp14:anchorId="5A68FB48" wp14:editId="014EC88A">
                      <wp:simplePos x="0" y="0"/>
                      <wp:positionH relativeFrom="column">
                        <wp:posOffset>0</wp:posOffset>
                      </wp:positionH>
                      <wp:positionV relativeFrom="paragraph">
                        <wp:posOffset>809625</wp:posOffset>
                      </wp:positionV>
                      <wp:extent cx="304800" cy="314325"/>
                      <wp:effectExtent l="0" t="0" r="3810" b="635"/>
                      <wp:wrapNone/>
                      <wp:docPr id="1287" name="AutoShape 788">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37FA1" id="AutoShape 788" o:spid="_x0000_s1026" href="" style="position:absolute;margin-left:0;margin-top:63.75pt;width:24pt;height:24.7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09856" behindDoc="0" locked="0" layoutInCell="1" allowOverlap="1" wp14:anchorId="087CCF67" wp14:editId="2172A271">
                      <wp:simplePos x="0" y="0"/>
                      <wp:positionH relativeFrom="column">
                        <wp:posOffset>0</wp:posOffset>
                      </wp:positionH>
                      <wp:positionV relativeFrom="paragraph">
                        <wp:posOffset>809625</wp:posOffset>
                      </wp:positionV>
                      <wp:extent cx="304800" cy="314325"/>
                      <wp:effectExtent l="0" t="0" r="3810" b="635"/>
                      <wp:wrapNone/>
                      <wp:docPr id="1286" name="AutoShape 789"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48177" id="AutoShape 789" o:spid="_x0000_s1026" alt="Selecting an example from Help" style="position:absolute;margin-left:0;margin-top:63.75pt;width:24pt;height:24.7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" filled="f" stroked="f">
                      <o:lock v:ext="edit" aspectratio="t"/>
                    </v:rect>
                  </w:pict>
                </mc:Fallback>
              </mc:AlternateContent>
            </w:r>
            <w:r>
              <w:rPr>
                <w:noProof/>
                <w:sz w:val="20"/>
                <w:lang w:val="en-US"/>
              </w:rPr>
              <mc:AlternateContent>
                <mc:Choice Requires="wps">
                  <w:drawing>
                    <wp:anchor distT="0" distB="0" distL="114300" distR="114300" simplePos="0" relativeHeight="252410880" behindDoc="0" locked="0" layoutInCell="1" allowOverlap="1" wp14:anchorId="372D5884" wp14:editId="298A42EC">
                      <wp:simplePos x="0" y="0"/>
                      <wp:positionH relativeFrom="column">
                        <wp:posOffset>0</wp:posOffset>
                      </wp:positionH>
                      <wp:positionV relativeFrom="paragraph">
                        <wp:posOffset>809625</wp:posOffset>
                      </wp:positionV>
                      <wp:extent cx="304800" cy="628650"/>
                      <wp:effectExtent l="0" t="0" r="3810" b="635"/>
                      <wp:wrapNone/>
                      <wp:docPr id="1285" name="AutoShape 790">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6286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90821" id="AutoShape 790" o:spid="_x0000_s1026" href="" style="position:absolute;margin-left:0;margin-top:63.75pt;width:24pt;height:49.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11904" behindDoc="0" locked="0" layoutInCell="1" allowOverlap="1" wp14:anchorId="61A99F56" wp14:editId="445926AA">
                      <wp:simplePos x="0" y="0"/>
                      <wp:positionH relativeFrom="column">
                        <wp:posOffset>0</wp:posOffset>
                      </wp:positionH>
                      <wp:positionV relativeFrom="paragraph">
                        <wp:posOffset>809625</wp:posOffset>
                      </wp:positionV>
                      <wp:extent cx="304800" cy="628650"/>
                      <wp:effectExtent l="0" t="0" r="3810" b="635"/>
                      <wp:wrapNone/>
                      <wp:docPr id="1284" name="AutoShape 791">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6286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5BCBF" id="AutoShape 791" o:spid="_x0000_s1026" href="" style="position:absolute;margin-left:0;margin-top:63.75pt;width:24pt;height:49.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12928" behindDoc="0" locked="0" layoutInCell="1" allowOverlap="1" wp14:anchorId="435288D9" wp14:editId="4D56F897">
                      <wp:simplePos x="0" y="0"/>
                      <wp:positionH relativeFrom="column">
                        <wp:posOffset>0</wp:posOffset>
                      </wp:positionH>
                      <wp:positionV relativeFrom="paragraph">
                        <wp:posOffset>809625</wp:posOffset>
                      </wp:positionV>
                      <wp:extent cx="304800" cy="628650"/>
                      <wp:effectExtent l="0" t="0" r="3810" b="635"/>
                      <wp:wrapNone/>
                      <wp:docPr id="1283" name="AutoShape 792"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6286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F73EA" id="AutoShape 792" o:spid="_x0000_s1026" alt="Selecting an example from Help" style="position:absolute;margin-left:0;margin-top:63.75pt;width:24pt;height:49.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" filled="f" stroked="f">
                      <o:lock v:ext="edit" aspectratio="t"/>
                    </v:rect>
                  </w:pict>
                </mc:Fallback>
              </mc:AlternateContent>
            </w:r>
            <w:r>
              <w:rPr>
                <w:noProof/>
                <w:sz w:val="20"/>
                <w:lang w:val="en-US"/>
              </w:rPr>
              <mc:AlternateContent>
                <mc:Choice Requires="wps">
                  <w:drawing>
                    <wp:anchor distT="0" distB="0" distL="114300" distR="114300" simplePos="0" relativeHeight="252413952" behindDoc="0" locked="0" layoutInCell="1" allowOverlap="1" wp14:anchorId="5058C82B" wp14:editId="7CB32479">
                      <wp:simplePos x="0" y="0"/>
                      <wp:positionH relativeFrom="column">
                        <wp:posOffset>0</wp:posOffset>
                      </wp:positionH>
                      <wp:positionV relativeFrom="paragraph">
                        <wp:posOffset>971550</wp:posOffset>
                      </wp:positionV>
                      <wp:extent cx="304800" cy="628650"/>
                      <wp:effectExtent l="0" t="0" r="3810" b="635"/>
                      <wp:wrapNone/>
                      <wp:docPr id="1282" name="AutoShape 793">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6286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5E9A3" id="AutoShape 793" o:spid="_x0000_s1026" href="" style="position:absolute;margin-left:0;margin-top:76.5pt;width:24pt;height:49.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14976" behindDoc="0" locked="0" layoutInCell="1" allowOverlap="1" wp14:anchorId="79040391" wp14:editId="4E9585AE">
                      <wp:simplePos x="0" y="0"/>
                      <wp:positionH relativeFrom="column">
                        <wp:posOffset>0</wp:posOffset>
                      </wp:positionH>
                      <wp:positionV relativeFrom="paragraph">
                        <wp:posOffset>971550</wp:posOffset>
                      </wp:positionV>
                      <wp:extent cx="304800" cy="628650"/>
                      <wp:effectExtent l="0" t="0" r="3810" b="635"/>
                      <wp:wrapNone/>
                      <wp:docPr id="1281" name="AutoShape 794"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6286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F7B70" id="AutoShape 794" o:spid="_x0000_s1026" alt="Selecting an example from Help" style="position:absolute;margin-left:0;margin-top:76.5pt;width:24pt;height:49.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" filled="f" stroked="f">
                      <o:lock v:ext="edit" aspectratio="t"/>
                    </v:rect>
                  </w:pict>
                </mc:Fallback>
              </mc:AlternateContent>
            </w:r>
            <w:r>
              <w:rPr>
                <w:noProof/>
                <w:sz w:val="20"/>
                <w:lang w:val="en-US"/>
              </w:rPr>
              <mc:AlternateContent>
                <mc:Choice Requires="wps">
                  <w:drawing>
                    <wp:anchor distT="0" distB="0" distL="114300" distR="114300" simplePos="0" relativeHeight="252416000" behindDoc="0" locked="0" layoutInCell="1" allowOverlap="1" wp14:anchorId="2A09CBBC" wp14:editId="77DABA0A">
                      <wp:simplePos x="0" y="0"/>
                      <wp:positionH relativeFrom="column">
                        <wp:posOffset>0</wp:posOffset>
                      </wp:positionH>
                      <wp:positionV relativeFrom="paragraph">
                        <wp:posOffset>971550</wp:posOffset>
                      </wp:positionV>
                      <wp:extent cx="304800" cy="628650"/>
                      <wp:effectExtent l="0" t="0" r="3810" b="635"/>
                      <wp:wrapNone/>
                      <wp:docPr id="1280" name="AutoShape 795">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6286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9AA7C" id="AutoShape 795" o:spid="_x0000_s1026" href="" style="position:absolute;margin-left:0;margin-top:76.5pt;width:24pt;height:49.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17024" behindDoc="0" locked="0" layoutInCell="1" allowOverlap="1" wp14:anchorId="54D9C117" wp14:editId="49516010">
                      <wp:simplePos x="0" y="0"/>
                      <wp:positionH relativeFrom="column">
                        <wp:posOffset>0</wp:posOffset>
                      </wp:positionH>
                      <wp:positionV relativeFrom="paragraph">
                        <wp:posOffset>971550</wp:posOffset>
                      </wp:positionV>
                      <wp:extent cx="304800" cy="628650"/>
                      <wp:effectExtent l="0" t="0" r="3810" b="635"/>
                      <wp:wrapNone/>
                      <wp:docPr id="1279" name="AutoShape 796">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6286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E4B55" id="AutoShape 796" o:spid="_x0000_s1026" href="" style="position:absolute;margin-left:0;margin-top:76.5pt;width:24pt;height:49.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18048" behindDoc="0" locked="0" layoutInCell="1" allowOverlap="1" wp14:anchorId="40D1685F" wp14:editId="03A0E015">
                      <wp:simplePos x="0" y="0"/>
                      <wp:positionH relativeFrom="column">
                        <wp:posOffset>0</wp:posOffset>
                      </wp:positionH>
                      <wp:positionV relativeFrom="paragraph">
                        <wp:posOffset>971550</wp:posOffset>
                      </wp:positionV>
                      <wp:extent cx="304800" cy="628650"/>
                      <wp:effectExtent l="0" t="0" r="3810" b="635"/>
                      <wp:wrapNone/>
                      <wp:docPr id="1278" name="AutoShape 797"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6286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AEF97" id="AutoShape 797" o:spid="_x0000_s1026" alt="Selecting an example from Help" style="position:absolute;margin-left:0;margin-top:76.5pt;width:24pt;height:49.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" filled="f" stroked="f">
                      <o:lock v:ext="edit" aspectratio="t"/>
                    </v:rect>
                  </w:pict>
                </mc:Fallback>
              </mc:AlternateContent>
            </w:r>
            <w:r>
              <w:rPr>
                <w:noProof/>
                <w:sz w:val="20"/>
                <w:lang w:val="en-US"/>
              </w:rPr>
              <mc:AlternateContent>
                <mc:Choice Requires="wps">
                  <w:drawing>
                    <wp:anchor distT="0" distB="0" distL="114300" distR="114300" simplePos="0" relativeHeight="252419072" behindDoc="0" locked="0" layoutInCell="1" allowOverlap="1" wp14:anchorId="3C9DD642" wp14:editId="7C9D9047">
                      <wp:simplePos x="0" y="0"/>
                      <wp:positionH relativeFrom="column">
                        <wp:posOffset>0</wp:posOffset>
                      </wp:positionH>
                      <wp:positionV relativeFrom="paragraph">
                        <wp:posOffset>809625</wp:posOffset>
                      </wp:positionV>
                      <wp:extent cx="304800" cy="314325"/>
                      <wp:effectExtent l="0" t="0" r="3810" b="635"/>
                      <wp:wrapNone/>
                      <wp:docPr id="1277" name="AutoShape 798">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4BFC9" id="AutoShape 798" o:spid="_x0000_s1026" href="" style="position:absolute;margin-left:0;margin-top:63.75pt;width:24pt;height:24.7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20096" behindDoc="0" locked="0" layoutInCell="1" allowOverlap="1" wp14:anchorId="0E318256" wp14:editId="36F2992B">
                      <wp:simplePos x="0" y="0"/>
                      <wp:positionH relativeFrom="column">
                        <wp:posOffset>0</wp:posOffset>
                      </wp:positionH>
                      <wp:positionV relativeFrom="paragraph">
                        <wp:posOffset>809625</wp:posOffset>
                      </wp:positionV>
                      <wp:extent cx="304800" cy="314325"/>
                      <wp:effectExtent l="0" t="0" r="3810" b="635"/>
                      <wp:wrapNone/>
                      <wp:docPr id="1276" name="AutoShape 799"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2F697" id="AutoShape 799" o:spid="_x0000_s1026" alt="Selecting an example from Help" style="position:absolute;margin-left:0;margin-top:63.75pt;width:24pt;height:24.7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" filled="f" stroked="f">
                      <o:lock v:ext="edit" aspectratio="t"/>
                    </v:rect>
                  </w:pict>
                </mc:Fallback>
              </mc:AlternateContent>
            </w:r>
            <w:r>
              <w:rPr>
                <w:noProof/>
                <w:sz w:val="20"/>
                <w:lang w:val="en-US"/>
              </w:rPr>
              <mc:AlternateContent>
                <mc:Choice Requires="wps">
                  <w:drawing>
                    <wp:anchor distT="0" distB="0" distL="114300" distR="114300" simplePos="0" relativeHeight="252421120" behindDoc="0" locked="0" layoutInCell="1" allowOverlap="1" wp14:anchorId="1C61E759" wp14:editId="65E40C3C">
                      <wp:simplePos x="0" y="0"/>
                      <wp:positionH relativeFrom="column">
                        <wp:posOffset>0</wp:posOffset>
                      </wp:positionH>
                      <wp:positionV relativeFrom="paragraph">
                        <wp:posOffset>809625</wp:posOffset>
                      </wp:positionV>
                      <wp:extent cx="304800" cy="304800"/>
                      <wp:effectExtent l="0" t="0" r="3810" b="635"/>
                      <wp:wrapNone/>
                      <wp:docPr id="1275" name="AutoShape 800">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5B2BD" id="AutoShape 800" o:spid="_x0000_s1026" href="" style="position:absolute;margin-left:0;margin-top:63.75pt;width:24pt;height:24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22144" behindDoc="0" locked="0" layoutInCell="1" allowOverlap="1" wp14:anchorId="72F50D75" wp14:editId="6B11CEED">
                      <wp:simplePos x="0" y="0"/>
                      <wp:positionH relativeFrom="column">
                        <wp:posOffset>0</wp:posOffset>
                      </wp:positionH>
                      <wp:positionV relativeFrom="paragraph">
                        <wp:posOffset>809625</wp:posOffset>
                      </wp:positionV>
                      <wp:extent cx="304800" cy="304800"/>
                      <wp:effectExtent l="0" t="0" r="3810" b="635"/>
                      <wp:wrapNone/>
                      <wp:docPr id="1274" name="AutoShape 801"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274C9" id="AutoShape 801" o:spid="_x0000_s1026" alt="Selecting an example from Help" style="position:absolute;margin-left:0;margin-top:63.75pt;width:24pt;height:24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" filled="f" stroked="f">
                      <o:lock v:ext="edit" aspectratio="t"/>
                    </v:rect>
                  </w:pict>
                </mc:Fallback>
              </mc:AlternateContent>
            </w:r>
            <w:r>
              <w:rPr>
                <w:noProof/>
                <w:sz w:val="20"/>
                <w:lang w:val="en-US"/>
              </w:rPr>
              <mc:AlternateContent>
                <mc:Choice Requires="wps">
                  <w:drawing>
                    <wp:anchor distT="0" distB="0" distL="114300" distR="114300" simplePos="0" relativeHeight="252423168" behindDoc="0" locked="0" layoutInCell="1" allowOverlap="1" wp14:anchorId="3E123053" wp14:editId="28EFE832">
                      <wp:simplePos x="0" y="0"/>
                      <wp:positionH relativeFrom="column">
                        <wp:posOffset>0</wp:posOffset>
                      </wp:positionH>
                      <wp:positionV relativeFrom="paragraph">
                        <wp:posOffset>809625</wp:posOffset>
                      </wp:positionV>
                      <wp:extent cx="304800" cy="314325"/>
                      <wp:effectExtent l="0" t="0" r="3810" b="635"/>
                      <wp:wrapNone/>
                      <wp:docPr id="1273" name="AutoShape 802">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3F3E9" id="AutoShape 802" o:spid="_x0000_s1026" href="" style="position:absolute;margin-left:0;margin-top:63.75pt;width:24pt;height:24.7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24192" behindDoc="0" locked="0" layoutInCell="1" allowOverlap="1" wp14:anchorId="5AD4AC81" wp14:editId="0DDD210B">
                      <wp:simplePos x="0" y="0"/>
                      <wp:positionH relativeFrom="column">
                        <wp:posOffset>0</wp:posOffset>
                      </wp:positionH>
                      <wp:positionV relativeFrom="paragraph">
                        <wp:posOffset>809625</wp:posOffset>
                      </wp:positionV>
                      <wp:extent cx="304800" cy="314325"/>
                      <wp:effectExtent l="0" t="0" r="3810" b="635"/>
                      <wp:wrapNone/>
                      <wp:docPr id="1272" name="AutoShape 803">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599EF" id="AutoShape 803" o:spid="_x0000_s1026" href="" style="position:absolute;margin-left:0;margin-top:63.75pt;width:24pt;height:24.7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25216" behindDoc="0" locked="0" layoutInCell="1" allowOverlap="1" wp14:anchorId="2BEAAE3A" wp14:editId="3E533D28">
                      <wp:simplePos x="0" y="0"/>
                      <wp:positionH relativeFrom="column">
                        <wp:posOffset>0</wp:posOffset>
                      </wp:positionH>
                      <wp:positionV relativeFrom="paragraph">
                        <wp:posOffset>809625</wp:posOffset>
                      </wp:positionV>
                      <wp:extent cx="304800" cy="314325"/>
                      <wp:effectExtent l="0" t="0" r="3810" b="635"/>
                      <wp:wrapNone/>
                      <wp:docPr id="1271" name="AutoShape 804">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A1096" id="AutoShape 804" o:spid="_x0000_s1026" href="" style="position:absolute;margin-left:0;margin-top:63.75pt;width:24pt;height:24.7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26240" behindDoc="0" locked="0" layoutInCell="1" allowOverlap="1" wp14:anchorId="652AA6FB" wp14:editId="0FCDD10D">
                      <wp:simplePos x="0" y="0"/>
                      <wp:positionH relativeFrom="column">
                        <wp:posOffset>0</wp:posOffset>
                      </wp:positionH>
                      <wp:positionV relativeFrom="paragraph">
                        <wp:posOffset>809625</wp:posOffset>
                      </wp:positionV>
                      <wp:extent cx="304800" cy="314325"/>
                      <wp:effectExtent l="0" t="0" r="3810" b="635"/>
                      <wp:wrapNone/>
                      <wp:docPr id="1270" name="AutoShape 805">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1AA65" id="AutoShape 805" o:spid="_x0000_s1026" href="" style="position:absolute;margin-left:0;margin-top:63.75pt;width:24pt;height:24.7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27264" behindDoc="0" locked="0" layoutInCell="1" allowOverlap="1" wp14:anchorId="3054E910" wp14:editId="787A27DF">
                      <wp:simplePos x="0" y="0"/>
                      <wp:positionH relativeFrom="column">
                        <wp:posOffset>0</wp:posOffset>
                      </wp:positionH>
                      <wp:positionV relativeFrom="paragraph">
                        <wp:posOffset>809625</wp:posOffset>
                      </wp:positionV>
                      <wp:extent cx="304800" cy="314325"/>
                      <wp:effectExtent l="0" t="0" r="3810" b="635"/>
                      <wp:wrapNone/>
                      <wp:docPr id="1269" name="AutoShape 806">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E97A1" id="AutoShape 806" o:spid="_x0000_s1026" href="" style="position:absolute;margin-left:0;margin-top:63.75pt;width:24pt;height:24.7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39552" behindDoc="0" locked="0" layoutInCell="1" allowOverlap="1" wp14:anchorId="447DEAA5" wp14:editId="75FF6027">
                      <wp:simplePos x="0" y="0"/>
                      <wp:positionH relativeFrom="column">
                        <wp:posOffset>0</wp:posOffset>
                      </wp:positionH>
                      <wp:positionV relativeFrom="paragraph">
                        <wp:posOffset>1457325</wp:posOffset>
                      </wp:positionV>
                      <wp:extent cx="304800" cy="314325"/>
                      <wp:effectExtent l="0" t="0" r="3810" b="635"/>
                      <wp:wrapNone/>
                      <wp:docPr id="1268" name="AutoShape 818">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03A1E" id="AutoShape 818" o:spid="_x0000_s1026" href="" style="position:absolute;margin-left:0;margin-top:114.75pt;width:24pt;height:24.7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40576" behindDoc="0" locked="0" layoutInCell="1" allowOverlap="1" wp14:anchorId="2D9FA1FF" wp14:editId="6FABD6AE">
                      <wp:simplePos x="0" y="0"/>
                      <wp:positionH relativeFrom="column">
                        <wp:posOffset>0</wp:posOffset>
                      </wp:positionH>
                      <wp:positionV relativeFrom="paragraph">
                        <wp:posOffset>1457325</wp:posOffset>
                      </wp:positionV>
                      <wp:extent cx="304800" cy="314325"/>
                      <wp:effectExtent l="0" t="0" r="3810" b="635"/>
                      <wp:wrapNone/>
                      <wp:docPr id="1267" name="AutoShape 819"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70D25" id="AutoShape 819" o:spid="_x0000_s1026" alt="Selecting an example from Help" style="position:absolute;margin-left:0;margin-top:114.75pt;width:24pt;height:24.7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" filled="f" stroked="f">
                      <o:lock v:ext="edit" aspectratio="t"/>
                    </v:rect>
                  </w:pict>
                </mc:Fallback>
              </mc:AlternateContent>
            </w:r>
            <w:r>
              <w:rPr>
                <w:noProof/>
                <w:sz w:val="20"/>
                <w:lang w:val="en-US"/>
              </w:rPr>
              <mc:AlternateContent>
                <mc:Choice Requires="wps">
                  <w:drawing>
                    <wp:anchor distT="0" distB="0" distL="114300" distR="114300" simplePos="0" relativeHeight="252441600" behindDoc="0" locked="0" layoutInCell="1" allowOverlap="1" wp14:anchorId="6016763F" wp14:editId="6722DEC3">
                      <wp:simplePos x="0" y="0"/>
                      <wp:positionH relativeFrom="column">
                        <wp:posOffset>0</wp:posOffset>
                      </wp:positionH>
                      <wp:positionV relativeFrom="paragraph">
                        <wp:posOffset>1457325</wp:posOffset>
                      </wp:positionV>
                      <wp:extent cx="304800" cy="314325"/>
                      <wp:effectExtent l="0" t="0" r="3810" b="635"/>
                      <wp:wrapNone/>
                      <wp:docPr id="1266" name="AutoShape 820">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3DEE0" id="AutoShape 820" o:spid="_x0000_s1026" href="" style="position:absolute;margin-left:0;margin-top:114.75pt;width:24pt;height:24.7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42624" behindDoc="0" locked="0" layoutInCell="1" allowOverlap="1" wp14:anchorId="58C33B15" wp14:editId="1BAF824C">
                      <wp:simplePos x="0" y="0"/>
                      <wp:positionH relativeFrom="column">
                        <wp:posOffset>0</wp:posOffset>
                      </wp:positionH>
                      <wp:positionV relativeFrom="paragraph">
                        <wp:posOffset>1457325</wp:posOffset>
                      </wp:positionV>
                      <wp:extent cx="304800" cy="314325"/>
                      <wp:effectExtent l="0" t="0" r="3810" b="635"/>
                      <wp:wrapNone/>
                      <wp:docPr id="1265" name="AutoShape 821"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D74B2" id="AutoShape 821" o:spid="_x0000_s1026" alt="Selecting an example from Help" style="position:absolute;margin-left:0;margin-top:114.75pt;width:24pt;height:24.7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" filled="f" stroked="f">
                      <o:lock v:ext="edit" aspectratio="t"/>
                    </v:rect>
                  </w:pict>
                </mc:Fallback>
              </mc:AlternateContent>
            </w:r>
            <w:r>
              <w:rPr>
                <w:noProof/>
                <w:sz w:val="20"/>
                <w:lang w:val="en-US"/>
              </w:rPr>
              <mc:AlternateContent>
                <mc:Choice Requires="wps">
                  <w:drawing>
                    <wp:anchor distT="0" distB="0" distL="114300" distR="114300" simplePos="0" relativeHeight="252443648" behindDoc="0" locked="0" layoutInCell="1" allowOverlap="1" wp14:anchorId="54BE798E" wp14:editId="714521DF">
                      <wp:simplePos x="0" y="0"/>
                      <wp:positionH relativeFrom="column">
                        <wp:posOffset>0</wp:posOffset>
                      </wp:positionH>
                      <wp:positionV relativeFrom="paragraph">
                        <wp:posOffset>1457325</wp:posOffset>
                      </wp:positionV>
                      <wp:extent cx="304800" cy="314325"/>
                      <wp:effectExtent l="0" t="0" r="3810" b="635"/>
                      <wp:wrapNone/>
                      <wp:docPr id="1264" name="AutoShape 822">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80D89" id="AutoShape 822" o:spid="_x0000_s1026" href="" style="position:absolute;margin-left:0;margin-top:114.75pt;width:24pt;height:24.7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44672" behindDoc="0" locked="0" layoutInCell="1" allowOverlap="1" wp14:anchorId="2A4A3021" wp14:editId="66FB2F66">
                      <wp:simplePos x="0" y="0"/>
                      <wp:positionH relativeFrom="column">
                        <wp:posOffset>0</wp:posOffset>
                      </wp:positionH>
                      <wp:positionV relativeFrom="paragraph">
                        <wp:posOffset>1457325</wp:posOffset>
                      </wp:positionV>
                      <wp:extent cx="304800" cy="314325"/>
                      <wp:effectExtent l="0" t="0" r="3810" b="635"/>
                      <wp:wrapNone/>
                      <wp:docPr id="1263" name="AutoShape 823"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DFB10" id="AutoShape 823" o:spid="_x0000_s1026" alt="Selecting an example from Help" style="position:absolute;margin-left:0;margin-top:114.75pt;width:24pt;height:24.7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" filled="f" stroked="f">
                      <o:lock v:ext="edit" aspectratio="t"/>
                    </v:rect>
                  </w:pict>
                </mc:Fallback>
              </mc:AlternateContent>
            </w:r>
            <w:r>
              <w:rPr>
                <w:noProof/>
                <w:sz w:val="20"/>
                <w:lang w:val="en-US"/>
              </w:rPr>
              <mc:AlternateContent>
                <mc:Choice Requires="wps">
                  <w:drawing>
                    <wp:anchor distT="0" distB="0" distL="114300" distR="114300" simplePos="0" relativeHeight="252445696" behindDoc="0" locked="0" layoutInCell="1" allowOverlap="1" wp14:anchorId="7B2518E8" wp14:editId="4D53B7D9">
                      <wp:simplePos x="0" y="0"/>
                      <wp:positionH relativeFrom="column">
                        <wp:posOffset>0</wp:posOffset>
                      </wp:positionH>
                      <wp:positionV relativeFrom="paragraph">
                        <wp:posOffset>1457325</wp:posOffset>
                      </wp:positionV>
                      <wp:extent cx="304800" cy="314325"/>
                      <wp:effectExtent l="0" t="0" r="3810" b="635"/>
                      <wp:wrapNone/>
                      <wp:docPr id="1262" name="AutoShape 824">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51EF5" id="AutoShape 824" o:spid="_x0000_s1026" href="" style="position:absolute;margin-left:0;margin-top:114.75pt;width:24pt;height:24.7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46720" behindDoc="0" locked="0" layoutInCell="1" allowOverlap="1" wp14:anchorId="593981F4" wp14:editId="3E1E9E4A">
                      <wp:simplePos x="0" y="0"/>
                      <wp:positionH relativeFrom="column">
                        <wp:posOffset>0</wp:posOffset>
                      </wp:positionH>
                      <wp:positionV relativeFrom="paragraph">
                        <wp:posOffset>1457325</wp:posOffset>
                      </wp:positionV>
                      <wp:extent cx="304800" cy="314325"/>
                      <wp:effectExtent l="0" t="0" r="3810" b="635"/>
                      <wp:wrapNone/>
                      <wp:docPr id="1261" name="AutoShape 825"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37B36" id="AutoShape 825" o:spid="_x0000_s1026" alt="Selecting an example from Help" style="position:absolute;margin-left:0;margin-top:114.75pt;width:24pt;height:24.7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" filled="f" stroked="f">
                      <o:lock v:ext="edit" aspectratio="t"/>
                    </v:rect>
                  </w:pict>
                </mc:Fallback>
              </mc:AlternateContent>
            </w:r>
            <w:r>
              <w:rPr>
                <w:noProof/>
                <w:sz w:val="20"/>
                <w:lang w:val="en-US"/>
              </w:rPr>
              <mc:AlternateContent>
                <mc:Choice Requires="wps">
                  <w:drawing>
                    <wp:anchor distT="0" distB="0" distL="114300" distR="114300" simplePos="0" relativeHeight="252447744" behindDoc="0" locked="0" layoutInCell="1" allowOverlap="1" wp14:anchorId="0E3B4948" wp14:editId="1DD86C53">
                      <wp:simplePos x="0" y="0"/>
                      <wp:positionH relativeFrom="column">
                        <wp:posOffset>0</wp:posOffset>
                      </wp:positionH>
                      <wp:positionV relativeFrom="paragraph">
                        <wp:posOffset>1457325</wp:posOffset>
                      </wp:positionV>
                      <wp:extent cx="304800" cy="314325"/>
                      <wp:effectExtent l="0" t="0" r="3810" b="635"/>
                      <wp:wrapNone/>
                      <wp:docPr id="1260" name="AutoShape 826">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68A35" id="AutoShape 826" o:spid="_x0000_s1026" href="" style="position:absolute;margin-left:0;margin-top:114.75pt;width:24pt;height:24.7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48768" behindDoc="0" locked="0" layoutInCell="1" allowOverlap="1" wp14:anchorId="13770841" wp14:editId="275B1FB1">
                      <wp:simplePos x="0" y="0"/>
                      <wp:positionH relativeFrom="column">
                        <wp:posOffset>0</wp:posOffset>
                      </wp:positionH>
                      <wp:positionV relativeFrom="paragraph">
                        <wp:posOffset>1457325</wp:posOffset>
                      </wp:positionV>
                      <wp:extent cx="304800" cy="314325"/>
                      <wp:effectExtent l="0" t="0" r="3810" b="635"/>
                      <wp:wrapNone/>
                      <wp:docPr id="1259" name="AutoShape 827"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2351F" id="AutoShape 827" o:spid="_x0000_s1026" alt="Selecting an example from Help" style="position:absolute;margin-left:0;margin-top:114.75pt;width:24pt;height:24.7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" filled="f" stroked="f">
                      <o:lock v:ext="edit" aspectratio="t"/>
                    </v:rect>
                  </w:pict>
                </mc:Fallback>
              </mc:AlternateContent>
            </w:r>
            <w:r w:rsidR="000923BB">
              <w:rPr>
                <w:rFonts w:cs="Arial"/>
                <w:sz w:val="20"/>
                <w:szCs w:val="20"/>
                <w:lang w:val="en-US"/>
              </w:rPr>
              <w:t>21</w:t>
            </w:r>
          </w:p>
        </w:tc>
        <w:tc>
          <w:tcPr>
            <w:tcW w:w="1134" w:type="dxa"/>
            <w:tcBorders>
              <w:top w:val="single" w:sz="4" w:space="0" w:color="auto"/>
              <w:left w:val="single" w:sz="4" w:space="0" w:color="999999"/>
              <w:bottom w:val="nil"/>
              <w:right w:val="single" w:sz="4" w:space="0" w:color="auto"/>
            </w:tcBorders>
            <w:tcMar>
              <w:left w:w="57" w:type="dxa"/>
              <w:right w:w="57" w:type="dxa"/>
            </w:tcMar>
          </w:tcPr>
          <w:p w14:paraId="744B4B07" w14:textId="33AE1FE2" w:rsidR="000923BB" w:rsidRDefault="00003011" w:rsidP="003A385F">
            <w:pPr>
              <w:jc w:val="center"/>
              <w:rPr>
                <w:rFonts w:cs="Arial"/>
                <w:sz w:val="20"/>
                <w:szCs w:val="20"/>
                <w:lang w:val="en-US"/>
              </w:rPr>
            </w:pPr>
            <w:r>
              <w:rPr>
                <w:noProof/>
                <w:sz w:val="20"/>
                <w:lang w:val="en-US"/>
              </w:rPr>
              <mc:AlternateContent>
                <mc:Choice Requires="wps">
                  <w:drawing>
                    <wp:anchor distT="0" distB="0" distL="114300" distR="114300" simplePos="0" relativeHeight="252257280" behindDoc="0" locked="0" layoutInCell="1" allowOverlap="1" wp14:anchorId="588468D3" wp14:editId="590BC5BF">
                      <wp:simplePos x="0" y="0"/>
                      <wp:positionH relativeFrom="column">
                        <wp:posOffset>0</wp:posOffset>
                      </wp:positionH>
                      <wp:positionV relativeFrom="paragraph">
                        <wp:posOffset>0</wp:posOffset>
                      </wp:positionV>
                      <wp:extent cx="304800" cy="276225"/>
                      <wp:effectExtent l="3175" t="0" r="0" b="635"/>
                      <wp:wrapNone/>
                      <wp:docPr id="1258" name="AutoShape 640">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F389C" id="AutoShape 640" o:spid="_x0000_s1026" href="" style="position:absolute;margin-left:0;margin-top:0;width:24pt;height:21.7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58304" behindDoc="0" locked="0" layoutInCell="1" allowOverlap="1" wp14:anchorId="6AB63DDE" wp14:editId="4BD2FEE0">
                      <wp:simplePos x="0" y="0"/>
                      <wp:positionH relativeFrom="column">
                        <wp:posOffset>0</wp:posOffset>
                      </wp:positionH>
                      <wp:positionV relativeFrom="paragraph">
                        <wp:posOffset>0</wp:posOffset>
                      </wp:positionV>
                      <wp:extent cx="304800" cy="276225"/>
                      <wp:effectExtent l="3175" t="0" r="0" b="635"/>
                      <wp:wrapNone/>
                      <wp:docPr id="1257" name="AutoShape 641"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D1E87" id="AutoShape 641" o:spid="_x0000_s1026" alt="Selecting an example from Help" style="position:absolute;margin-left:0;margin-top:0;width:24pt;height:21.7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" filled="f" stroked="f">
                      <o:lock v:ext="edit" aspectratio="t"/>
                    </v:rect>
                  </w:pict>
                </mc:Fallback>
              </mc:AlternateContent>
            </w:r>
            <w:r>
              <w:rPr>
                <w:noProof/>
                <w:sz w:val="20"/>
                <w:lang w:val="en-US"/>
              </w:rPr>
              <mc:AlternateContent>
                <mc:Choice Requires="wps">
                  <w:drawing>
                    <wp:anchor distT="0" distB="0" distL="114300" distR="114300" simplePos="0" relativeHeight="252259328" behindDoc="0" locked="0" layoutInCell="1" allowOverlap="1" wp14:anchorId="6C7057F8" wp14:editId="706E70DB">
                      <wp:simplePos x="0" y="0"/>
                      <wp:positionH relativeFrom="column">
                        <wp:posOffset>0</wp:posOffset>
                      </wp:positionH>
                      <wp:positionV relativeFrom="paragraph">
                        <wp:posOffset>0</wp:posOffset>
                      </wp:positionV>
                      <wp:extent cx="304800" cy="276225"/>
                      <wp:effectExtent l="3175" t="0" r="0" b="635"/>
                      <wp:wrapNone/>
                      <wp:docPr id="1256" name="AutoShape 642">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FF1AE" id="AutoShape 642" o:spid="_x0000_s1026" href="" style="position:absolute;margin-left:0;margin-top:0;width:24pt;height:21.7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60352" behindDoc="0" locked="0" layoutInCell="1" allowOverlap="1" wp14:anchorId="2CEBBBA2" wp14:editId="05B096C8">
                      <wp:simplePos x="0" y="0"/>
                      <wp:positionH relativeFrom="column">
                        <wp:posOffset>0</wp:posOffset>
                      </wp:positionH>
                      <wp:positionV relativeFrom="paragraph">
                        <wp:posOffset>0</wp:posOffset>
                      </wp:positionV>
                      <wp:extent cx="304800" cy="276225"/>
                      <wp:effectExtent l="3175" t="0" r="0" b="635"/>
                      <wp:wrapNone/>
                      <wp:docPr id="1255" name="AutoShape 643"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BB8BD" id="AutoShape 643" o:spid="_x0000_s1026" alt="Selecting an example from Help" style="position:absolute;margin-left:0;margin-top:0;width:24pt;height:21.7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" filled="f" stroked="f">
                      <o:lock v:ext="edit" aspectratio="t"/>
                    </v:rect>
                  </w:pict>
                </mc:Fallback>
              </mc:AlternateContent>
            </w:r>
            <w:r>
              <w:rPr>
                <w:noProof/>
                <w:sz w:val="20"/>
                <w:lang w:val="en-US"/>
              </w:rPr>
              <mc:AlternateContent>
                <mc:Choice Requires="wps">
                  <w:drawing>
                    <wp:anchor distT="0" distB="0" distL="114300" distR="114300" simplePos="0" relativeHeight="252261376" behindDoc="0" locked="0" layoutInCell="1" allowOverlap="1" wp14:anchorId="6A89F71D" wp14:editId="218862EB">
                      <wp:simplePos x="0" y="0"/>
                      <wp:positionH relativeFrom="column">
                        <wp:posOffset>0</wp:posOffset>
                      </wp:positionH>
                      <wp:positionV relativeFrom="paragraph">
                        <wp:posOffset>0</wp:posOffset>
                      </wp:positionV>
                      <wp:extent cx="304800" cy="276225"/>
                      <wp:effectExtent l="3175" t="0" r="0" b="635"/>
                      <wp:wrapNone/>
                      <wp:docPr id="1254" name="AutoShape 644">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67602" id="AutoShape 644" o:spid="_x0000_s1026" href="" style="position:absolute;margin-left:0;margin-top:0;width:24pt;height:21.7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62400" behindDoc="0" locked="0" layoutInCell="1" allowOverlap="1" wp14:anchorId="49D9F564" wp14:editId="0D429493">
                      <wp:simplePos x="0" y="0"/>
                      <wp:positionH relativeFrom="column">
                        <wp:posOffset>0</wp:posOffset>
                      </wp:positionH>
                      <wp:positionV relativeFrom="paragraph">
                        <wp:posOffset>0</wp:posOffset>
                      </wp:positionV>
                      <wp:extent cx="304800" cy="276225"/>
                      <wp:effectExtent l="3175" t="0" r="0" b="635"/>
                      <wp:wrapNone/>
                      <wp:docPr id="1253" name="AutoShape 645"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AC92C" id="AutoShape 645" o:spid="_x0000_s1026" alt="Selecting an example from Help" style="position:absolute;margin-left:0;margin-top:0;width:24pt;height:21.7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" filled="f" stroked="f">
                      <o:lock v:ext="edit" aspectratio="t"/>
                    </v:rect>
                  </w:pict>
                </mc:Fallback>
              </mc:AlternateContent>
            </w:r>
            <w:r>
              <w:rPr>
                <w:noProof/>
                <w:sz w:val="20"/>
                <w:lang w:val="en-US"/>
              </w:rPr>
              <mc:AlternateContent>
                <mc:Choice Requires="wps">
                  <w:drawing>
                    <wp:anchor distT="0" distB="0" distL="114300" distR="114300" simplePos="0" relativeHeight="252263424" behindDoc="0" locked="0" layoutInCell="1" allowOverlap="1" wp14:anchorId="49A7DFB5" wp14:editId="6FE3A385">
                      <wp:simplePos x="0" y="0"/>
                      <wp:positionH relativeFrom="column">
                        <wp:posOffset>0</wp:posOffset>
                      </wp:positionH>
                      <wp:positionV relativeFrom="paragraph">
                        <wp:posOffset>0</wp:posOffset>
                      </wp:positionV>
                      <wp:extent cx="304800" cy="276225"/>
                      <wp:effectExtent l="3175" t="0" r="0" b="635"/>
                      <wp:wrapNone/>
                      <wp:docPr id="1252" name="AutoShape 646">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27AA5" id="AutoShape 646" o:spid="_x0000_s1026" href="" style="position:absolute;margin-left:0;margin-top:0;width:24pt;height:21.7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64448" behindDoc="0" locked="0" layoutInCell="1" allowOverlap="1" wp14:anchorId="483E0F8D" wp14:editId="38464F56">
                      <wp:simplePos x="0" y="0"/>
                      <wp:positionH relativeFrom="column">
                        <wp:posOffset>0</wp:posOffset>
                      </wp:positionH>
                      <wp:positionV relativeFrom="paragraph">
                        <wp:posOffset>0</wp:posOffset>
                      </wp:positionV>
                      <wp:extent cx="304800" cy="276225"/>
                      <wp:effectExtent l="3175" t="0" r="0" b="635"/>
                      <wp:wrapNone/>
                      <wp:docPr id="1251" name="AutoShape 647"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FA3D1" id="AutoShape 647" o:spid="_x0000_s1026" alt="Selecting an example from Help" style="position:absolute;margin-left:0;margin-top:0;width:24pt;height:21.7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" filled="f" stroked="f">
                      <o:lock v:ext="edit" aspectratio="t"/>
                    </v:rect>
                  </w:pict>
                </mc:Fallback>
              </mc:AlternateContent>
            </w:r>
            <w:r>
              <w:rPr>
                <w:noProof/>
                <w:sz w:val="20"/>
                <w:lang w:val="en-US"/>
              </w:rPr>
              <mc:AlternateContent>
                <mc:Choice Requires="wps">
                  <w:drawing>
                    <wp:anchor distT="0" distB="0" distL="114300" distR="114300" simplePos="0" relativeHeight="252265472" behindDoc="0" locked="0" layoutInCell="1" allowOverlap="1" wp14:anchorId="0FE7642D" wp14:editId="77EF3DD9">
                      <wp:simplePos x="0" y="0"/>
                      <wp:positionH relativeFrom="column">
                        <wp:posOffset>0</wp:posOffset>
                      </wp:positionH>
                      <wp:positionV relativeFrom="paragraph">
                        <wp:posOffset>0</wp:posOffset>
                      </wp:positionV>
                      <wp:extent cx="304800" cy="276225"/>
                      <wp:effectExtent l="3175" t="0" r="0" b="635"/>
                      <wp:wrapNone/>
                      <wp:docPr id="1250" name="AutoShape 648">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7B551" id="AutoShape 648" o:spid="_x0000_s1026" href="" style="position:absolute;margin-left:0;margin-top:0;width:24pt;height:21.7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66496" behindDoc="0" locked="0" layoutInCell="1" allowOverlap="1" wp14:anchorId="3AFABE8E" wp14:editId="603C8B09">
                      <wp:simplePos x="0" y="0"/>
                      <wp:positionH relativeFrom="column">
                        <wp:posOffset>0</wp:posOffset>
                      </wp:positionH>
                      <wp:positionV relativeFrom="paragraph">
                        <wp:posOffset>0</wp:posOffset>
                      </wp:positionV>
                      <wp:extent cx="304800" cy="276225"/>
                      <wp:effectExtent l="3175" t="0" r="0" b="635"/>
                      <wp:wrapNone/>
                      <wp:docPr id="1249" name="AutoShape 649"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6045C" id="AutoShape 649" o:spid="_x0000_s1026" alt="Selecting an example from Help" style="position:absolute;margin-left:0;margin-top:0;width:24pt;height:21.7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" filled="f" stroked="f">
                      <o:lock v:ext="edit" aspectratio="t"/>
                    </v:rect>
                  </w:pict>
                </mc:Fallback>
              </mc:AlternateContent>
            </w:r>
            <w:r>
              <w:rPr>
                <w:noProof/>
                <w:sz w:val="20"/>
                <w:lang w:val="en-US"/>
              </w:rPr>
              <mc:AlternateContent>
                <mc:Choice Requires="wps">
                  <w:drawing>
                    <wp:anchor distT="0" distB="0" distL="114300" distR="114300" simplePos="0" relativeHeight="252267520" behindDoc="0" locked="0" layoutInCell="1" allowOverlap="1" wp14:anchorId="406D2DDE" wp14:editId="40C4B990">
                      <wp:simplePos x="0" y="0"/>
                      <wp:positionH relativeFrom="column">
                        <wp:posOffset>0</wp:posOffset>
                      </wp:positionH>
                      <wp:positionV relativeFrom="paragraph">
                        <wp:posOffset>0</wp:posOffset>
                      </wp:positionV>
                      <wp:extent cx="304800" cy="333375"/>
                      <wp:effectExtent l="3175" t="0" r="0" b="635"/>
                      <wp:wrapNone/>
                      <wp:docPr id="1248" name="AutoShape 650">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24082" id="AutoShape 650" o:spid="_x0000_s1026" href="" style="position:absolute;margin-left:0;margin-top:0;width:24pt;height:26.2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68544" behindDoc="0" locked="0" layoutInCell="1" allowOverlap="1" wp14:anchorId="37858726" wp14:editId="782E3BD0">
                      <wp:simplePos x="0" y="0"/>
                      <wp:positionH relativeFrom="column">
                        <wp:posOffset>0</wp:posOffset>
                      </wp:positionH>
                      <wp:positionV relativeFrom="paragraph">
                        <wp:posOffset>0</wp:posOffset>
                      </wp:positionV>
                      <wp:extent cx="304800" cy="314325"/>
                      <wp:effectExtent l="3175" t="0" r="0" b="635"/>
                      <wp:wrapNone/>
                      <wp:docPr id="1247" name="AutoShape 651">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9C860" id="AutoShape 651" o:spid="_x0000_s1026" href="" style="position:absolute;margin-left:0;margin-top:0;width:24pt;height:24.7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69568" behindDoc="0" locked="0" layoutInCell="1" allowOverlap="1" wp14:anchorId="189E8D0E" wp14:editId="1B05143A">
                      <wp:simplePos x="0" y="0"/>
                      <wp:positionH relativeFrom="column">
                        <wp:posOffset>0</wp:posOffset>
                      </wp:positionH>
                      <wp:positionV relativeFrom="paragraph">
                        <wp:posOffset>0</wp:posOffset>
                      </wp:positionV>
                      <wp:extent cx="304800" cy="276225"/>
                      <wp:effectExtent l="3175" t="0" r="0" b="635"/>
                      <wp:wrapNone/>
                      <wp:docPr id="1246" name="AutoShape 652">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460A6" id="AutoShape 652" o:spid="_x0000_s1026" href="" style="position:absolute;margin-left:0;margin-top:0;width:24pt;height:21.7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70592" behindDoc="0" locked="0" layoutInCell="1" allowOverlap="1" wp14:anchorId="15961A2B" wp14:editId="46ABC985">
                      <wp:simplePos x="0" y="0"/>
                      <wp:positionH relativeFrom="column">
                        <wp:posOffset>0</wp:posOffset>
                      </wp:positionH>
                      <wp:positionV relativeFrom="paragraph">
                        <wp:posOffset>0</wp:posOffset>
                      </wp:positionV>
                      <wp:extent cx="304800" cy="276225"/>
                      <wp:effectExtent l="3175" t="0" r="0" b="635"/>
                      <wp:wrapNone/>
                      <wp:docPr id="1245" name="AutoShape 653"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03144" id="AutoShape 653" o:spid="_x0000_s1026" alt="Selecting an example from Help" style="position:absolute;margin-left:0;margin-top:0;width:24pt;height:21.7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" filled="f" stroked="f">
                      <o:lock v:ext="edit" aspectratio="t"/>
                    </v:rect>
                  </w:pict>
                </mc:Fallback>
              </mc:AlternateContent>
            </w:r>
            <w:r>
              <w:rPr>
                <w:noProof/>
                <w:sz w:val="20"/>
                <w:lang w:val="en-US"/>
              </w:rPr>
              <mc:AlternateContent>
                <mc:Choice Requires="wps">
                  <w:drawing>
                    <wp:anchor distT="0" distB="0" distL="114300" distR="114300" simplePos="0" relativeHeight="252271616" behindDoc="0" locked="0" layoutInCell="1" allowOverlap="1" wp14:anchorId="3A76B36C" wp14:editId="3673A484">
                      <wp:simplePos x="0" y="0"/>
                      <wp:positionH relativeFrom="column">
                        <wp:posOffset>0</wp:posOffset>
                      </wp:positionH>
                      <wp:positionV relativeFrom="paragraph">
                        <wp:posOffset>0</wp:posOffset>
                      </wp:positionV>
                      <wp:extent cx="304800" cy="314325"/>
                      <wp:effectExtent l="3175" t="0" r="0" b="635"/>
                      <wp:wrapNone/>
                      <wp:docPr id="1244" name="AutoShape 654">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4E91C" id="AutoShape 654" o:spid="_x0000_s1026" href="" style="position:absolute;margin-left:0;margin-top:0;width:24pt;height:24.7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72640" behindDoc="0" locked="0" layoutInCell="1" allowOverlap="1" wp14:anchorId="76CDFADE" wp14:editId="49B9A34F">
                      <wp:simplePos x="0" y="0"/>
                      <wp:positionH relativeFrom="column">
                        <wp:posOffset>0</wp:posOffset>
                      </wp:positionH>
                      <wp:positionV relativeFrom="paragraph">
                        <wp:posOffset>0</wp:posOffset>
                      </wp:positionV>
                      <wp:extent cx="304800" cy="314325"/>
                      <wp:effectExtent l="3175" t="0" r="0" b="635"/>
                      <wp:wrapNone/>
                      <wp:docPr id="1243" name="AutoShape 655">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2FCEC" id="AutoShape 655" o:spid="_x0000_s1026" href="" style="position:absolute;margin-left:0;margin-top:0;width:24pt;height:24.7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73664" behindDoc="0" locked="0" layoutInCell="1" allowOverlap="1" wp14:anchorId="571DFF2C" wp14:editId="64877A12">
                      <wp:simplePos x="0" y="0"/>
                      <wp:positionH relativeFrom="column">
                        <wp:posOffset>0</wp:posOffset>
                      </wp:positionH>
                      <wp:positionV relativeFrom="paragraph">
                        <wp:posOffset>0</wp:posOffset>
                      </wp:positionV>
                      <wp:extent cx="304800" cy="314325"/>
                      <wp:effectExtent l="3175" t="0" r="0" b="635"/>
                      <wp:wrapNone/>
                      <wp:docPr id="1242" name="AutoShape 656">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2E9AE" id="AutoShape 656" o:spid="_x0000_s1026" href="" style="position:absolute;margin-left:0;margin-top:0;width:24pt;height:24.7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74688" behindDoc="0" locked="0" layoutInCell="1" allowOverlap="1" wp14:anchorId="34D323CF" wp14:editId="2B69D987">
                      <wp:simplePos x="0" y="0"/>
                      <wp:positionH relativeFrom="column">
                        <wp:posOffset>0</wp:posOffset>
                      </wp:positionH>
                      <wp:positionV relativeFrom="paragraph">
                        <wp:posOffset>0</wp:posOffset>
                      </wp:positionV>
                      <wp:extent cx="304800" cy="314325"/>
                      <wp:effectExtent l="3175" t="0" r="0" b="635"/>
                      <wp:wrapNone/>
                      <wp:docPr id="1241" name="AutoShape 657">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3DB8C" id="AutoShape 657" o:spid="_x0000_s1026" href="" style="position:absolute;margin-left:0;margin-top:0;width:24pt;height:24.7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75712" behindDoc="0" locked="0" layoutInCell="1" allowOverlap="1" wp14:anchorId="23119A76" wp14:editId="24FD1E25">
                      <wp:simplePos x="0" y="0"/>
                      <wp:positionH relativeFrom="column">
                        <wp:posOffset>0</wp:posOffset>
                      </wp:positionH>
                      <wp:positionV relativeFrom="paragraph">
                        <wp:posOffset>0</wp:posOffset>
                      </wp:positionV>
                      <wp:extent cx="304800" cy="314325"/>
                      <wp:effectExtent l="3175" t="0" r="0" b="635"/>
                      <wp:wrapNone/>
                      <wp:docPr id="1240" name="AutoShape 658">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C6E81" id="AutoShape 658" o:spid="_x0000_s1026" href="" style="position:absolute;margin-left:0;margin-top:0;width:24pt;height:24.7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76736" behindDoc="0" locked="0" layoutInCell="1" allowOverlap="1" wp14:anchorId="755F67AC" wp14:editId="4926D8F9">
                      <wp:simplePos x="0" y="0"/>
                      <wp:positionH relativeFrom="column">
                        <wp:posOffset>0</wp:posOffset>
                      </wp:positionH>
                      <wp:positionV relativeFrom="paragraph">
                        <wp:posOffset>0</wp:posOffset>
                      </wp:positionV>
                      <wp:extent cx="304800" cy="276225"/>
                      <wp:effectExtent l="3175" t="0" r="0" b="635"/>
                      <wp:wrapNone/>
                      <wp:docPr id="1239" name="AutoShape 659">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D907C" id="AutoShape 659" o:spid="_x0000_s1026" href="" style="position:absolute;margin-left:0;margin-top:0;width:24pt;height:21.7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77760" behindDoc="0" locked="0" layoutInCell="1" allowOverlap="1" wp14:anchorId="68192446" wp14:editId="6785F0A0">
                      <wp:simplePos x="0" y="0"/>
                      <wp:positionH relativeFrom="column">
                        <wp:posOffset>0</wp:posOffset>
                      </wp:positionH>
                      <wp:positionV relativeFrom="paragraph">
                        <wp:posOffset>0</wp:posOffset>
                      </wp:positionV>
                      <wp:extent cx="304800" cy="276225"/>
                      <wp:effectExtent l="3175" t="0" r="0" b="635"/>
                      <wp:wrapNone/>
                      <wp:docPr id="1238" name="AutoShape 660"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4CE84" id="AutoShape 660" o:spid="_x0000_s1026" alt="Selecting an example from Help" style="position:absolute;margin-left:0;margin-top:0;width:24pt;height:21.7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" filled="f" stroked="f">
                      <o:lock v:ext="edit" aspectratio="t"/>
                    </v:rect>
                  </w:pict>
                </mc:Fallback>
              </mc:AlternateContent>
            </w:r>
            <w:r>
              <w:rPr>
                <w:noProof/>
                <w:sz w:val="20"/>
                <w:lang w:val="en-US"/>
              </w:rPr>
              <mc:AlternateContent>
                <mc:Choice Requires="wps">
                  <w:drawing>
                    <wp:anchor distT="0" distB="0" distL="114300" distR="114300" simplePos="0" relativeHeight="252278784" behindDoc="0" locked="0" layoutInCell="1" allowOverlap="1" wp14:anchorId="279175C3" wp14:editId="3BE42AF4">
                      <wp:simplePos x="0" y="0"/>
                      <wp:positionH relativeFrom="column">
                        <wp:posOffset>0</wp:posOffset>
                      </wp:positionH>
                      <wp:positionV relativeFrom="paragraph">
                        <wp:posOffset>0</wp:posOffset>
                      </wp:positionV>
                      <wp:extent cx="304800" cy="276225"/>
                      <wp:effectExtent l="3175" t="0" r="0" b="635"/>
                      <wp:wrapNone/>
                      <wp:docPr id="1237" name="AutoShape 661">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6648FA" id="AutoShape 661" o:spid="_x0000_s1026" href="" style="position:absolute;margin-left:0;margin-top:0;width:24pt;height:21.7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79808" behindDoc="0" locked="0" layoutInCell="1" allowOverlap="1" wp14:anchorId="125F75A3" wp14:editId="7D5D20F0">
                      <wp:simplePos x="0" y="0"/>
                      <wp:positionH relativeFrom="column">
                        <wp:posOffset>0</wp:posOffset>
                      </wp:positionH>
                      <wp:positionV relativeFrom="paragraph">
                        <wp:posOffset>0</wp:posOffset>
                      </wp:positionV>
                      <wp:extent cx="304800" cy="276225"/>
                      <wp:effectExtent l="3175" t="0" r="0" b="635"/>
                      <wp:wrapNone/>
                      <wp:docPr id="1236" name="AutoShape 662"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B892A" id="AutoShape 662" o:spid="_x0000_s1026" alt="Selecting an example from Help" style="position:absolute;margin-left:0;margin-top:0;width:24pt;height:21.7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" filled="f" stroked="f">
                      <o:lock v:ext="edit" aspectratio="t"/>
                    </v:rect>
                  </w:pict>
                </mc:Fallback>
              </mc:AlternateContent>
            </w:r>
            <w:r>
              <w:rPr>
                <w:noProof/>
                <w:sz w:val="20"/>
                <w:lang w:val="en-US"/>
              </w:rPr>
              <mc:AlternateContent>
                <mc:Choice Requires="wps">
                  <w:drawing>
                    <wp:anchor distT="0" distB="0" distL="114300" distR="114300" simplePos="0" relativeHeight="252280832" behindDoc="0" locked="0" layoutInCell="1" allowOverlap="1" wp14:anchorId="73309FBD" wp14:editId="7D0409BA">
                      <wp:simplePos x="0" y="0"/>
                      <wp:positionH relativeFrom="column">
                        <wp:posOffset>0</wp:posOffset>
                      </wp:positionH>
                      <wp:positionV relativeFrom="paragraph">
                        <wp:posOffset>0</wp:posOffset>
                      </wp:positionV>
                      <wp:extent cx="304800" cy="276225"/>
                      <wp:effectExtent l="3175" t="0" r="0" b="635"/>
                      <wp:wrapNone/>
                      <wp:docPr id="1235" name="AutoShape 663">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52FA6" id="AutoShape 663" o:spid="_x0000_s1026" href="" style="position:absolute;margin-left:0;margin-top:0;width:24pt;height:21.7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81856" behindDoc="0" locked="0" layoutInCell="1" allowOverlap="1" wp14:anchorId="2B6D1856" wp14:editId="4C27F4ED">
                      <wp:simplePos x="0" y="0"/>
                      <wp:positionH relativeFrom="column">
                        <wp:posOffset>0</wp:posOffset>
                      </wp:positionH>
                      <wp:positionV relativeFrom="paragraph">
                        <wp:posOffset>0</wp:posOffset>
                      </wp:positionV>
                      <wp:extent cx="304800" cy="276225"/>
                      <wp:effectExtent l="3175" t="0" r="0" b="635"/>
                      <wp:wrapNone/>
                      <wp:docPr id="1234" name="AutoShape 664">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4B1E0" id="AutoShape 664" o:spid="_x0000_s1026" href="" style="position:absolute;margin-left:0;margin-top:0;width:24pt;height:21.7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82880" behindDoc="0" locked="0" layoutInCell="1" allowOverlap="1" wp14:anchorId="134B6CB1" wp14:editId="63234328">
                      <wp:simplePos x="0" y="0"/>
                      <wp:positionH relativeFrom="column">
                        <wp:posOffset>0</wp:posOffset>
                      </wp:positionH>
                      <wp:positionV relativeFrom="paragraph">
                        <wp:posOffset>0</wp:posOffset>
                      </wp:positionV>
                      <wp:extent cx="304800" cy="276225"/>
                      <wp:effectExtent l="3175" t="0" r="0" b="635"/>
                      <wp:wrapNone/>
                      <wp:docPr id="1233" name="AutoShape 665"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6C9A6" id="AutoShape 665" o:spid="_x0000_s1026" alt="Selecting an example from Help" style="position:absolute;margin-left:0;margin-top:0;width:24pt;height:21.7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" filled="f" stroked="f">
                      <o:lock v:ext="edit" aspectratio="t"/>
                    </v:rect>
                  </w:pict>
                </mc:Fallback>
              </mc:AlternateContent>
            </w:r>
            <w:r>
              <w:rPr>
                <w:noProof/>
                <w:sz w:val="20"/>
                <w:lang w:val="en-US"/>
              </w:rPr>
              <mc:AlternateContent>
                <mc:Choice Requires="wps">
                  <w:drawing>
                    <wp:anchor distT="0" distB="0" distL="114300" distR="114300" simplePos="0" relativeHeight="252283904" behindDoc="0" locked="0" layoutInCell="1" allowOverlap="1" wp14:anchorId="4F9586C9" wp14:editId="5F93B179">
                      <wp:simplePos x="0" y="0"/>
                      <wp:positionH relativeFrom="column">
                        <wp:posOffset>0</wp:posOffset>
                      </wp:positionH>
                      <wp:positionV relativeFrom="paragraph">
                        <wp:posOffset>0</wp:posOffset>
                      </wp:positionV>
                      <wp:extent cx="304800" cy="276225"/>
                      <wp:effectExtent l="3175" t="0" r="0" b="635"/>
                      <wp:wrapNone/>
                      <wp:docPr id="1232" name="AutoShape 666">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6AB3B" id="AutoShape 666" o:spid="_x0000_s1026" href="" style="position:absolute;margin-left:0;margin-top:0;width:24pt;height:21.7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84928" behindDoc="0" locked="0" layoutInCell="1" allowOverlap="1" wp14:anchorId="3660A79C" wp14:editId="47DBCBBD">
                      <wp:simplePos x="0" y="0"/>
                      <wp:positionH relativeFrom="column">
                        <wp:posOffset>0</wp:posOffset>
                      </wp:positionH>
                      <wp:positionV relativeFrom="paragraph">
                        <wp:posOffset>0</wp:posOffset>
                      </wp:positionV>
                      <wp:extent cx="304800" cy="276225"/>
                      <wp:effectExtent l="3175" t="0" r="0" b="635"/>
                      <wp:wrapNone/>
                      <wp:docPr id="1231" name="AutoShape 667"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17304" id="AutoShape 667" o:spid="_x0000_s1026" alt="Selecting an example from Help" style="position:absolute;margin-left:0;margin-top:0;width:24pt;height:21.7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" filled="f" stroked="f">
                      <o:lock v:ext="edit" aspectratio="t"/>
                    </v:rect>
                  </w:pict>
                </mc:Fallback>
              </mc:AlternateContent>
            </w:r>
            <w:r>
              <w:rPr>
                <w:noProof/>
                <w:sz w:val="20"/>
                <w:lang w:val="en-US"/>
              </w:rPr>
              <mc:AlternateContent>
                <mc:Choice Requires="wps">
                  <w:drawing>
                    <wp:anchor distT="0" distB="0" distL="114300" distR="114300" simplePos="0" relativeHeight="252285952" behindDoc="0" locked="0" layoutInCell="1" allowOverlap="1" wp14:anchorId="350AD64D" wp14:editId="1F34C298">
                      <wp:simplePos x="0" y="0"/>
                      <wp:positionH relativeFrom="column">
                        <wp:posOffset>0</wp:posOffset>
                      </wp:positionH>
                      <wp:positionV relativeFrom="paragraph">
                        <wp:posOffset>0</wp:posOffset>
                      </wp:positionV>
                      <wp:extent cx="304800" cy="276225"/>
                      <wp:effectExtent l="3175" t="0" r="0" b="635"/>
                      <wp:wrapNone/>
                      <wp:docPr id="1230" name="AutoShape 668">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5ABD1" id="AutoShape 668" o:spid="_x0000_s1026" href="" style="position:absolute;margin-left:0;margin-top:0;width:24pt;height:21.7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86976" behindDoc="0" locked="0" layoutInCell="1" allowOverlap="1" wp14:anchorId="7BCC1E83" wp14:editId="6BDF8A61">
                      <wp:simplePos x="0" y="0"/>
                      <wp:positionH relativeFrom="column">
                        <wp:posOffset>0</wp:posOffset>
                      </wp:positionH>
                      <wp:positionV relativeFrom="paragraph">
                        <wp:posOffset>0</wp:posOffset>
                      </wp:positionV>
                      <wp:extent cx="304800" cy="276225"/>
                      <wp:effectExtent l="3175" t="0" r="0" b="635"/>
                      <wp:wrapNone/>
                      <wp:docPr id="1229" name="AutoShape 669"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2573D" id="AutoShape 669" o:spid="_x0000_s1026" alt="Selecting an example from Help" style="position:absolute;margin-left:0;margin-top:0;width:24pt;height:21.7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" filled="f" stroked="f">
                      <o:lock v:ext="edit" aspectratio="t"/>
                    </v:rect>
                  </w:pict>
                </mc:Fallback>
              </mc:AlternateContent>
            </w:r>
            <w:r>
              <w:rPr>
                <w:noProof/>
                <w:sz w:val="20"/>
                <w:lang w:val="en-US"/>
              </w:rPr>
              <mc:AlternateContent>
                <mc:Choice Requires="wps">
                  <w:drawing>
                    <wp:anchor distT="0" distB="0" distL="114300" distR="114300" simplePos="0" relativeHeight="252288000" behindDoc="0" locked="0" layoutInCell="1" allowOverlap="1" wp14:anchorId="60BB7FEC" wp14:editId="54670917">
                      <wp:simplePos x="0" y="0"/>
                      <wp:positionH relativeFrom="column">
                        <wp:posOffset>0</wp:posOffset>
                      </wp:positionH>
                      <wp:positionV relativeFrom="paragraph">
                        <wp:posOffset>0</wp:posOffset>
                      </wp:positionV>
                      <wp:extent cx="304800" cy="485775"/>
                      <wp:effectExtent l="3175" t="0" r="0" b="635"/>
                      <wp:wrapNone/>
                      <wp:docPr id="1228" name="AutoShape 670"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857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F2640" id="AutoShape 670" o:spid="_x0000_s1026" alt="Selecting an example from Help" style="position:absolute;margin-left:0;margin-top:0;width:24pt;height:38.2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" filled="f" stroked="f">
                      <o:lock v:ext="edit" aspectratio="t"/>
                    </v:rect>
                  </w:pict>
                </mc:Fallback>
              </mc:AlternateContent>
            </w:r>
            <w:r>
              <w:rPr>
                <w:noProof/>
                <w:sz w:val="20"/>
                <w:lang w:val="en-US"/>
              </w:rPr>
              <mc:AlternateContent>
                <mc:Choice Requires="wps">
                  <w:drawing>
                    <wp:anchor distT="0" distB="0" distL="114300" distR="114300" simplePos="0" relativeHeight="252289024" behindDoc="0" locked="0" layoutInCell="1" allowOverlap="1" wp14:anchorId="14277626" wp14:editId="3CAAB114">
                      <wp:simplePos x="0" y="0"/>
                      <wp:positionH relativeFrom="column">
                        <wp:posOffset>0</wp:posOffset>
                      </wp:positionH>
                      <wp:positionV relativeFrom="paragraph">
                        <wp:posOffset>0</wp:posOffset>
                      </wp:positionV>
                      <wp:extent cx="304800" cy="276225"/>
                      <wp:effectExtent l="3175" t="0" r="0" b="635"/>
                      <wp:wrapNone/>
                      <wp:docPr id="1227" name="AutoShape 671">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6A1D5" id="AutoShape 671" o:spid="_x0000_s1026" href="" style="position:absolute;margin-left:0;margin-top:0;width:24pt;height:21.7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90048" behindDoc="0" locked="0" layoutInCell="1" allowOverlap="1" wp14:anchorId="48EC5B7B" wp14:editId="72AB53FA">
                      <wp:simplePos x="0" y="0"/>
                      <wp:positionH relativeFrom="column">
                        <wp:posOffset>0</wp:posOffset>
                      </wp:positionH>
                      <wp:positionV relativeFrom="paragraph">
                        <wp:posOffset>0</wp:posOffset>
                      </wp:positionV>
                      <wp:extent cx="304800" cy="276225"/>
                      <wp:effectExtent l="3175" t="0" r="0" b="635"/>
                      <wp:wrapNone/>
                      <wp:docPr id="1226" name="AutoShape 672"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2501C" id="AutoShape 672" o:spid="_x0000_s1026" alt="Selecting an example from Help" style="position:absolute;margin-left:0;margin-top:0;width:24pt;height:21.7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" filled="f" stroked="f">
                      <o:lock v:ext="edit" aspectratio="t"/>
                    </v:rect>
                  </w:pict>
                </mc:Fallback>
              </mc:AlternateContent>
            </w:r>
            <w:r>
              <w:rPr>
                <w:noProof/>
                <w:sz w:val="20"/>
                <w:lang w:val="en-US"/>
              </w:rPr>
              <mc:AlternateContent>
                <mc:Choice Requires="wps">
                  <w:drawing>
                    <wp:anchor distT="0" distB="0" distL="114300" distR="114300" simplePos="0" relativeHeight="252291072" behindDoc="0" locked="0" layoutInCell="1" allowOverlap="1" wp14:anchorId="2E7E690F" wp14:editId="39EC1BFE">
                      <wp:simplePos x="0" y="0"/>
                      <wp:positionH relativeFrom="column">
                        <wp:posOffset>0</wp:posOffset>
                      </wp:positionH>
                      <wp:positionV relativeFrom="paragraph">
                        <wp:posOffset>0</wp:posOffset>
                      </wp:positionV>
                      <wp:extent cx="304800" cy="276225"/>
                      <wp:effectExtent l="3175" t="0" r="0" b="635"/>
                      <wp:wrapNone/>
                      <wp:docPr id="1225" name="AutoShape 673">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42E9D" id="AutoShape 673" o:spid="_x0000_s1026" href="" style="position:absolute;margin-left:0;margin-top:0;width:24pt;height:21.7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92096" behindDoc="0" locked="0" layoutInCell="1" allowOverlap="1" wp14:anchorId="42912317" wp14:editId="42C64A88">
                      <wp:simplePos x="0" y="0"/>
                      <wp:positionH relativeFrom="column">
                        <wp:posOffset>0</wp:posOffset>
                      </wp:positionH>
                      <wp:positionV relativeFrom="paragraph">
                        <wp:posOffset>0</wp:posOffset>
                      </wp:positionV>
                      <wp:extent cx="304800" cy="276225"/>
                      <wp:effectExtent l="3175" t="0" r="0" b="635"/>
                      <wp:wrapNone/>
                      <wp:docPr id="1224" name="AutoShape 674"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773E7" id="AutoShape 674" o:spid="_x0000_s1026" alt="Selecting an example from Help" style="position:absolute;margin-left:0;margin-top:0;width:24pt;height:21.7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" filled="f" stroked="f">
                      <o:lock v:ext="edit" aspectratio="t"/>
                    </v:rect>
                  </w:pict>
                </mc:Fallback>
              </mc:AlternateContent>
            </w:r>
            <w:r>
              <w:rPr>
                <w:noProof/>
                <w:sz w:val="20"/>
                <w:lang w:val="en-US"/>
              </w:rPr>
              <mc:AlternateContent>
                <mc:Choice Requires="wps">
                  <w:drawing>
                    <wp:anchor distT="0" distB="0" distL="114300" distR="114300" simplePos="0" relativeHeight="252293120" behindDoc="0" locked="0" layoutInCell="1" allowOverlap="1" wp14:anchorId="54FBFD80" wp14:editId="6EBD2B58">
                      <wp:simplePos x="0" y="0"/>
                      <wp:positionH relativeFrom="column">
                        <wp:posOffset>0</wp:posOffset>
                      </wp:positionH>
                      <wp:positionV relativeFrom="paragraph">
                        <wp:posOffset>0</wp:posOffset>
                      </wp:positionV>
                      <wp:extent cx="304800" cy="333375"/>
                      <wp:effectExtent l="3175" t="0" r="0" b="635"/>
                      <wp:wrapNone/>
                      <wp:docPr id="1223" name="AutoShape 675">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E3C6B" id="AutoShape 675" o:spid="_x0000_s1026" href="" style="position:absolute;margin-left:0;margin-top:0;width:24pt;height:26.2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94144" behindDoc="0" locked="0" layoutInCell="1" allowOverlap="1" wp14:anchorId="6238F0AA" wp14:editId="347FE1FC">
                      <wp:simplePos x="0" y="0"/>
                      <wp:positionH relativeFrom="column">
                        <wp:posOffset>0</wp:posOffset>
                      </wp:positionH>
                      <wp:positionV relativeFrom="paragraph">
                        <wp:posOffset>0</wp:posOffset>
                      </wp:positionV>
                      <wp:extent cx="304800" cy="314325"/>
                      <wp:effectExtent l="3175" t="0" r="0" b="635"/>
                      <wp:wrapNone/>
                      <wp:docPr id="1222" name="AutoShape 676">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E7524" id="AutoShape 676" o:spid="_x0000_s1026" href="" style="position:absolute;margin-left:0;margin-top:0;width:24pt;height:24.7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95168" behindDoc="0" locked="0" layoutInCell="1" allowOverlap="1" wp14:anchorId="3D758971" wp14:editId="38EDE37D">
                      <wp:simplePos x="0" y="0"/>
                      <wp:positionH relativeFrom="column">
                        <wp:posOffset>0</wp:posOffset>
                      </wp:positionH>
                      <wp:positionV relativeFrom="paragraph">
                        <wp:posOffset>161925</wp:posOffset>
                      </wp:positionV>
                      <wp:extent cx="304800" cy="304800"/>
                      <wp:effectExtent l="3175" t="0" r="0" b="635"/>
                      <wp:wrapNone/>
                      <wp:docPr id="1221" name="AutoShape 677">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B0AA0" id="AutoShape 677" o:spid="_x0000_s1026" href="" style="position:absolute;margin-left:0;margin-top:12.75pt;width:24pt;height:24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96192" behindDoc="0" locked="0" layoutInCell="1" allowOverlap="1" wp14:anchorId="61268C2A" wp14:editId="17BA746A">
                      <wp:simplePos x="0" y="0"/>
                      <wp:positionH relativeFrom="column">
                        <wp:posOffset>0</wp:posOffset>
                      </wp:positionH>
                      <wp:positionV relativeFrom="paragraph">
                        <wp:posOffset>161925</wp:posOffset>
                      </wp:positionV>
                      <wp:extent cx="304800" cy="304800"/>
                      <wp:effectExtent l="3175" t="0" r="0" b="635"/>
                      <wp:wrapNone/>
                      <wp:docPr id="1220" name="AutoShape 678"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F2471" id="AutoShape 678" o:spid="_x0000_s1026" alt="Selecting an example from Help" style="position:absolute;margin-left:0;margin-top:12.75pt;width:24pt;height:24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" filled="f" stroked="f">
                      <o:lock v:ext="edit" aspectratio="t"/>
                    </v:rect>
                  </w:pict>
                </mc:Fallback>
              </mc:AlternateContent>
            </w:r>
            <w:r>
              <w:rPr>
                <w:noProof/>
                <w:sz w:val="20"/>
                <w:lang w:val="en-US"/>
              </w:rPr>
              <mc:AlternateContent>
                <mc:Choice Requires="wps">
                  <w:drawing>
                    <wp:anchor distT="0" distB="0" distL="114300" distR="114300" simplePos="0" relativeHeight="252297216" behindDoc="0" locked="0" layoutInCell="1" allowOverlap="1" wp14:anchorId="1EDC187A" wp14:editId="69BF19A0">
                      <wp:simplePos x="0" y="0"/>
                      <wp:positionH relativeFrom="column">
                        <wp:posOffset>0</wp:posOffset>
                      </wp:positionH>
                      <wp:positionV relativeFrom="paragraph">
                        <wp:posOffset>0</wp:posOffset>
                      </wp:positionV>
                      <wp:extent cx="304800" cy="276225"/>
                      <wp:effectExtent l="3175" t="0" r="0" b="635"/>
                      <wp:wrapNone/>
                      <wp:docPr id="1219" name="AutoShape 679">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639B0" id="AutoShape 679" o:spid="_x0000_s1026" href="" style="position:absolute;margin-left:0;margin-top:0;width:24pt;height:21.7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298240" behindDoc="0" locked="0" layoutInCell="1" allowOverlap="1" wp14:anchorId="7CA3C567" wp14:editId="25BFC4A5">
                      <wp:simplePos x="0" y="0"/>
                      <wp:positionH relativeFrom="column">
                        <wp:posOffset>0</wp:posOffset>
                      </wp:positionH>
                      <wp:positionV relativeFrom="paragraph">
                        <wp:posOffset>0</wp:posOffset>
                      </wp:positionV>
                      <wp:extent cx="304800" cy="276225"/>
                      <wp:effectExtent l="3175" t="0" r="0" b="635"/>
                      <wp:wrapNone/>
                      <wp:docPr id="1218" name="AutoShape 680"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45FB3" id="AutoShape 680" o:spid="_x0000_s1026" alt="Selecting an example from Help" style="position:absolute;margin-left:0;margin-top:0;width:24pt;height:21.7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" filled="f" stroked="f">
                      <o:lock v:ext="edit" aspectratio="t"/>
                    </v:rect>
                  </w:pict>
                </mc:Fallback>
              </mc:AlternateContent>
            </w:r>
            <w:r>
              <w:rPr>
                <w:noProof/>
                <w:sz w:val="20"/>
                <w:lang w:val="en-US"/>
              </w:rPr>
              <mc:AlternateContent>
                <mc:Choice Requires="wps">
                  <w:drawing>
                    <wp:anchor distT="0" distB="0" distL="114300" distR="114300" simplePos="0" relativeHeight="252299264" behindDoc="0" locked="0" layoutInCell="1" allowOverlap="1" wp14:anchorId="31D8EC64" wp14:editId="5D99B1AB">
                      <wp:simplePos x="0" y="0"/>
                      <wp:positionH relativeFrom="column">
                        <wp:posOffset>0</wp:posOffset>
                      </wp:positionH>
                      <wp:positionV relativeFrom="paragraph">
                        <wp:posOffset>0</wp:posOffset>
                      </wp:positionV>
                      <wp:extent cx="304800" cy="314325"/>
                      <wp:effectExtent l="3175" t="0" r="0" b="635"/>
                      <wp:wrapNone/>
                      <wp:docPr id="1217" name="AutoShape 681">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2341F" id="AutoShape 681" o:spid="_x0000_s1026" href="" style="position:absolute;margin-left:0;margin-top:0;width:24pt;height:24.7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00288" behindDoc="0" locked="0" layoutInCell="1" allowOverlap="1" wp14:anchorId="69F1886D" wp14:editId="299487D5">
                      <wp:simplePos x="0" y="0"/>
                      <wp:positionH relativeFrom="column">
                        <wp:posOffset>0</wp:posOffset>
                      </wp:positionH>
                      <wp:positionV relativeFrom="paragraph">
                        <wp:posOffset>161925</wp:posOffset>
                      </wp:positionV>
                      <wp:extent cx="304800" cy="314325"/>
                      <wp:effectExtent l="3175" t="0" r="0" b="635"/>
                      <wp:wrapNone/>
                      <wp:docPr id="1216" name="AutoShape 682">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E6A78" id="AutoShape 682" o:spid="_x0000_s1026" href="" style="position:absolute;margin-left:0;margin-top:12.75pt;width:24pt;height:24.7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01312" behindDoc="0" locked="0" layoutInCell="1" allowOverlap="1" wp14:anchorId="720B9E1A" wp14:editId="1D46842C">
                      <wp:simplePos x="0" y="0"/>
                      <wp:positionH relativeFrom="column">
                        <wp:posOffset>0</wp:posOffset>
                      </wp:positionH>
                      <wp:positionV relativeFrom="paragraph">
                        <wp:posOffset>0</wp:posOffset>
                      </wp:positionV>
                      <wp:extent cx="304800" cy="314325"/>
                      <wp:effectExtent l="3175" t="0" r="0" b="635"/>
                      <wp:wrapNone/>
                      <wp:docPr id="1215" name="AutoShape 683">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ED0F2" id="AutoShape 683" o:spid="_x0000_s1026" href="" style="position:absolute;margin-left:0;margin-top:0;width:24pt;height:24.7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02336" behindDoc="0" locked="0" layoutInCell="1" allowOverlap="1" wp14:anchorId="42BD49D9" wp14:editId="3A0C9DEE">
                      <wp:simplePos x="0" y="0"/>
                      <wp:positionH relativeFrom="column">
                        <wp:posOffset>0</wp:posOffset>
                      </wp:positionH>
                      <wp:positionV relativeFrom="paragraph">
                        <wp:posOffset>0</wp:posOffset>
                      </wp:positionV>
                      <wp:extent cx="304800" cy="314325"/>
                      <wp:effectExtent l="3175" t="0" r="0" b="635"/>
                      <wp:wrapNone/>
                      <wp:docPr id="1214" name="AutoShape 684">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924D7" id="AutoShape 684" o:spid="_x0000_s1026" href="" style="position:absolute;margin-left:0;margin-top:0;width:24pt;height:24.7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03360" behindDoc="0" locked="0" layoutInCell="1" allowOverlap="1" wp14:anchorId="72C6F427" wp14:editId="5802FB71">
                      <wp:simplePos x="0" y="0"/>
                      <wp:positionH relativeFrom="column">
                        <wp:posOffset>0</wp:posOffset>
                      </wp:positionH>
                      <wp:positionV relativeFrom="paragraph">
                        <wp:posOffset>161925</wp:posOffset>
                      </wp:positionV>
                      <wp:extent cx="304800" cy="314325"/>
                      <wp:effectExtent l="3175" t="0" r="0" b="635"/>
                      <wp:wrapNone/>
                      <wp:docPr id="1213" name="AutoShape 685">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68C5F" id="AutoShape 685" o:spid="_x0000_s1026" href="" style="position:absolute;margin-left:0;margin-top:12.75pt;width:24pt;height:24.7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04384" behindDoc="0" locked="0" layoutInCell="1" allowOverlap="1" wp14:anchorId="559172B4" wp14:editId="16D36F1E">
                      <wp:simplePos x="0" y="0"/>
                      <wp:positionH relativeFrom="column">
                        <wp:posOffset>0</wp:posOffset>
                      </wp:positionH>
                      <wp:positionV relativeFrom="paragraph">
                        <wp:posOffset>161925</wp:posOffset>
                      </wp:positionV>
                      <wp:extent cx="304800" cy="314325"/>
                      <wp:effectExtent l="3175" t="0" r="0" b="635"/>
                      <wp:wrapNone/>
                      <wp:docPr id="1212" name="AutoShape 686">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3D499" id="AutoShape 686" o:spid="_x0000_s1026" href="" style="position:absolute;margin-left:0;margin-top:12.75pt;width:24pt;height:24.7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05408" behindDoc="0" locked="0" layoutInCell="1" allowOverlap="1" wp14:anchorId="47EA4B04" wp14:editId="27F9B554">
                      <wp:simplePos x="0" y="0"/>
                      <wp:positionH relativeFrom="column">
                        <wp:posOffset>0</wp:posOffset>
                      </wp:positionH>
                      <wp:positionV relativeFrom="paragraph">
                        <wp:posOffset>0</wp:posOffset>
                      </wp:positionV>
                      <wp:extent cx="304800" cy="314325"/>
                      <wp:effectExtent l="3175" t="0" r="0" b="635"/>
                      <wp:wrapNone/>
                      <wp:docPr id="1211" name="AutoShape 687">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918EE" id="AutoShape 687" o:spid="_x0000_s1026" href="" style="position:absolute;margin-left:0;margin-top:0;width:24pt;height:24.7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06432" behindDoc="0" locked="0" layoutInCell="1" allowOverlap="1" wp14:anchorId="024CBA50" wp14:editId="732E03A2">
                      <wp:simplePos x="0" y="0"/>
                      <wp:positionH relativeFrom="column">
                        <wp:posOffset>0</wp:posOffset>
                      </wp:positionH>
                      <wp:positionV relativeFrom="paragraph">
                        <wp:posOffset>0</wp:posOffset>
                      </wp:positionV>
                      <wp:extent cx="304800" cy="314325"/>
                      <wp:effectExtent l="3175" t="0" r="0" b="635"/>
                      <wp:wrapNone/>
                      <wp:docPr id="1210" name="AutoShape 688">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C2222" id="AutoShape 688" o:spid="_x0000_s1026" href="" style="position:absolute;margin-left:0;margin-top:0;width:24pt;height:24.7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07456" behindDoc="0" locked="0" layoutInCell="1" allowOverlap="1" wp14:anchorId="54944B14" wp14:editId="259A75DD">
                      <wp:simplePos x="0" y="0"/>
                      <wp:positionH relativeFrom="column">
                        <wp:posOffset>0</wp:posOffset>
                      </wp:positionH>
                      <wp:positionV relativeFrom="paragraph">
                        <wp:posOffset>161925</wp:posOffset>
                      </wp:positionV>
                      <wp:extent cx="304800" cy="314325"/>
                      <wp:effectExtent l="3175" t="0" r="0" b="635"/>
                      <wp:wrapNone/>
                      <wp:docPr id="1209" name="AutoShape 689">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CEC03" id="AutoShape 689" o:spid="_x0000_s1026" href="" style="position:absolute;margin-left:0;margin-top:12.75pt;width:24pt;height:24.7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08480" behindDoc="0" locked="0" layoutInCell="1" allowOverlap="1" wp14:anchorId="58112B10" wp14:editId="70C8DA1A">
                      <wp:simplePos x="0" y="0"/>
                      <wp:positionH relativeFrom="column">
                        <wp:posOffset>0</wp:posOffset>
                      </wp:positionH>
                      <wp:positionV relativeFrom="paragraph">
                        <wp:posOffset>161925</wp:posOffset>
                      </wp:positionV>
                      <wp:extent cx="304800" cy="314325"/>
                      <wp:effectExtent l="3175" t="0" r="0" b="635"/>
                      <wp:wrapNone/>
                      <wp:docPr id="1208" name="AutoShape 690">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0BE75" id="AutoShape 690" o:spid="_x0000_s1026" href="" style="position:absolute;margin-left:0;margin-top:12.75pt;width:24pt;height:24.7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09504" behindDoc="0" locked="0" layoutInCell="1" allowOverlap="1" wp14:anchorId="25ADEBC4" wp14:editId="31E2B2D4">
                      <wp:simplePos x="0" y="0"/>
                      <wp:positionH relativeFrom="column">
                        <wp:posOffset>0</wp:posOffset>
                      </wp:positionH>
                      <wp:positionV relativeFrom="paragraph">
                        <wp:posOffset>0</wp:posOffset>
                      </wp:positionV>
                      <wp:extent cx="304800" cy="276225"/>
                      <wp:effectExtent l="3175" t="0" r="0" b="635"/>
                      <wp:wrapNone/>
                      <wp:docPr id="1207" name="AutoShape 691">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18EA3" id="AutoShape 691" o:spid="_x0000_s1026" href="" style="position:absolute;margin-left:0;margin-top:0;width:24pt;height:21.7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10528" behindDoc="0" locked="0" layoutInCell="1" allowOverlap="1" wp14:anchorId="1C3A87B6" wp14:editId="269CBAA5">
                      <wp:simplePos x="0" y="0"/>
                      <wp:positionH relativeFrom="column">
                        <wp:posOffset>0</wp:posOffset>
                      </wp:positionH>
                      <wp:positionV relativeFrom="paragraph">
                        <wp:posOffset>0</wp:posOffset>
                      </wp:positionV>
                      <wp:extent cx="304800" cy="276225"/>
                      <wp:effectExtent l="3175" t="0" r="0" b="635"/>
                      <wp:wrapNone/>
                      <wp:docPr id="1206" name="AutoShape 692"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C8592" id="AutoShape 692" o:spid="_x0000_s1026" alt="Selecting an example from Help" style="position:absolute;margin-left:0;margin-top:0;width:24pt;height:21.7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" filled="f" stroked="f">
                      <o:lock v:ext="edit" aspectratio="t"/>
                    </v:rect>
                  </w:pict>
                </mc:Fallback>
              </mc:AlternateContent>
            </w:r>
            <w:r>
              <w:rPr>
                <w:noProof/>
                <w:sz w:val="20"/>
                <w:lang w:val="en-US"/>
              </w:rPr>
              <mc:AlternateContent>
                <mc:Choice Requires="wps">
                  <w:drawing>
                    <wp:anchor distT="0" distB="0" distL="114300" distR="114300" simplePos="0" relativeHeight="252311552" behindDoc="0" locked="0" layoutInCell="1" allowOverlap="1" wp14:anchorId="0C750BDD" wp14:editId="4E62F543">
                      <wp:simplePos x="0" y="0"/>
                      <wp:positionH relativeFrom="column">
                        <wp:posOffset>0</wp:posOffset>
                      </wp:positionH>
                      <wp:positionV relativeFrom="paragraph">
                        <wp:posOffset>0</wp:posOffset>
                      </wp:positionV>
                      <wp:extent cx="304800" cy="276225"/>
                      <wp:effectExtent l="3175" t="0" r="0" b="635"/>
                      <wp:wrapNone/>
                      <wp:docPr id="1205" name="AutoShape 693">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18F4D" id="AutoShape 693" o:spid="_x0000_s1026" href="" style="position:absolute;margin-left:0;margin-top:0;width:24pt;height:21.7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12576" behindDoc="0" locked="0" layoutInCell="1" allowOverlap="1" wp14:anchorId="0154E05A" wp14:editId="14870901">
                      <wp:simplePos x="0" y="0"/>
                      <wp:positionH relativeFrom="column">
                        <wp:posOffset>0</wp:posOffset>
                      </wp:positionH>
                      <wp:positionV relativeFrom="paragraph">
                        <wp:posOffset>0</wp:posOffset>
                      </wp:positionV>
                      <wp:extent cx="304800" cy="276225"/>
                      <wp:effectExtent l="3175" t="0" r="0" b="635"/>
                      <wp:wrapNone/>
                      <wp:docPr id="1204" name="AutoShape 694"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627C9" id="AutoShape 694" o:spid="_x0000_s1026" alt="Selecting an example from Help" style="position:absolute;margin-left:0;margin-top:0;width:24pt;height:21.7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" filled="f" stroked="f">
                      <o:lock v:ext="edit" aspectratio="t"/>
                    </v:rect>
                  </w:pict>
                </mc:Fallback>
              </mc:AlternateContent>
            </w:r>
            <w:r>
              <w:rPr>
                <w:noProof/>
                <w:sz w:val="20"/>
                <w:lang w:val="en-US"/>
              </w:rPr>
              <mc:AlternateContent>
                <mc:Choice Requires="wps">
                  <w:drawing>
                    <wp:anchor distT="0" distB="0" distL="114300" distR="114300" simplePos="0" relativeHeight="252313600" behindDoc="0" locked="0" layoutInCell="1" allowOverlap="1" wp14:anchorId="302F7F9D" wp14:editId="04927815">
                      <wp:simplePos x="0" y="0"/>
                      <wp:positionH relativeFrom="column">
                        <wp:posOffset>0</wp:posOffset>
                      </wp:positionH>
                      <wp:positionV relativeFrom="paragraph">
                        <wp:posOffset>0</wp:posOffset>
                      </wp:positionV>
                      <wp:extent cx="304800" cy="276225"/>
                      <wp:effectExtent l="3175" t="0" r="0" b="635"/>
                      <wp:wrapNone/>
                      <wp:docPr id="1203" name="AutoShape 695">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97995" id="AutoShape 695" o:spid="_x0000_s1026" href="" style="position:absolute;margin-left:0;margin-top:0;width:24pt;height:21.7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14624" behindDoc="0" locked="0" layoutInCell="1" allowOverlap="1" wp14:anchorId="293F763D" wp14:editId="795935FE">
                      <wp:simplePos x="0" y="0"/>
                      <wp:positionH relativeFrom="column">
                        <wp:posOffset>0</wp:posOffset>
                      </wp:positionH>
                      <wp:positionV relativeFrom="paragraph">
                        <wp:posOffset>161925</wp:posOffset>
                      </wp:positionV>
                      <wp:extent cx="304800" cy="304800"/>
                      <wp:effectExtent l="3175" t="0" r="0" b="635"/>
                      <wp:wrapNone/>
                      <wp:docPr id="1202" name="AutoShape 696">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3767D" id="AutoShape 696" o:spid="_x0000_s1026" href="" style="position:absolute;margin-left:0;margin-top:12.75pt;width:24pt;height:24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15648" behindDoc="0" locked="0" layoutInCell="1" allowOverlap="1" wp14:anchorId="02A7DD17" wp14:editId="36DCFAB0">
                      <wp:simplePos x="0" y="0"/>
                      <wp:positionH relativeFrom="column">
                        <wp:posOffset>0</wp:posOffset>
                      </wp:positionH>
                      <wp:positionV relativeFrom="paragraph">
                        <wp:posOffset>161925</wp:posOffset>
                      </wp:positionV>
                      <wp:extent cx="304800" cy="304800"/>
                      <wp:effectExtent l="3175" t="0" r="0" b="635"/>
                      <wp:wrapNone/>
                      <wp:docPr id="1201" name="AutoShape 697"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A005C" id="AutoShape 697" o:spid="_x0000_s1026" alt="Selecting an example from Help" style="position:absolute;margin-left:0;margin-top:12.75pt;width:24pt;height:24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" filled="f" stroked="f">
                      <o:lock v:ext="edit" aspectratio="t"/>
                    </v:rect>
                  </w:pict>
                </mc:Fallback>
              </mc:AlternateContent>
            </w:r>
            <w:r>
              <w:rPr>
                <w:noProof/>
                <w:sz w:val="20"/>
                <w:lang w:val="en-US"/>
              </w:rPr>
              <mc:AlternateContent>
                <mc:Choice Requires="wps">
                  <w:drawing>
                    <wp:anchor distT="0" distB="0" distL="114300" distR="114300" simplePos="0" relativeHeight="252316672" behindDoc="0" locked="0" layoutInCell="1" allowOverlap="1" wp14:anchorId="7CD96BCB" wp14:editId="453B275A">
                      <wp:simplePos x="0" y="0"/>
                      <wp:positionH relativeFrom="column">
                        <wp:posOffset>0</wp:posOffset>
                      </wp:positionH>
                      <wp:positionV relativeFrom="paragraph">
                        <wp:posOffset>161925</wp:posOffset>
                      </wp:positionV>
                      <wp:extent cx="304800" cy="314325"/>
                      <wp:effectExtent l="3175" t="0" r="0" b="635"/>
                      <wp:wrapNone/>
                      <wp:docPr id="1200" name="AutoShape 698">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9FFE9" id="AutoShape 698" o:spid="_x0000_s1026" href="" style="position:absolute;margin-left:0;margin-top:12.75pt;width:24pt;height:24.7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17696" behindDoc="0" locked="0" layoutInCell="1" allowOverlap="1" wp14:anchorId="3C09484B" wp14:editId="5447EEB8">
                      <wp:simplePos x="0" y="0"/>
                      <wp:positionH relativeFrom="column">
                        <wp:posOffset>0</wp:posOffset>
                      </wp:positionH>
                      <wp:positionV relativeFrom="paragraph">
                        <wp:posOffset>161925</wp:posOffset>
                      </wp:positionV>
                      <wp:extent cx="304800" cy="314325"/>
                      <wp:effectExtent l="3175" t="0" r="0" b="635"/>
                      <wp:wrapNone/>
                      <wp:docPr id="1199" name="AutoShape 699">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221E8" id="AutoShape 699" o:spid="_x0000_s1026" href="" style="position:absolute;margin-left:0;margin-top:12.75pt;width:24pt;height:24.7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18720" behindDoc="0" locked="0" layoutInCell="1" allowOverlap="1" wp14:anchorId="4B2729A8" wp14:editId="3BC839EF">
                      <wp:simplePos x="0" y="0"/>
                      <wp:positionH relativeFrom="column">
                        <wp:posOffset>0</wp:posOffset>
                      </wp:positionH>
                      <wp:positionV relativeFrom="paragraph">
                        <wp:posOffset>161925</wp:posOffset>
                      </wp:positionV>
                      <wp:extent cx="304800" cy="314325"/>
                      <wp:effectExtent l="3175" t="0" r="0" b="635"/>
                      <wp:wrapNone/>
                      <wp:docPr id="1198" name="AutoShape 700">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8DD03" id="AutoShape 700" o:spid="_x0000_s1026" href="" style="position:absolute;margin-left:0;margin-top:12.75pt;width:24pt;height:24.7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19744" behindDoc="0" locked="0" layoutInCell="1" allowOverlap="1" wp14:anchorId="3875E5A7" wp14:editId="671B4713">
                      <wp:simplePos x="0" y="0"/>
                      <wp:positionH relativeFrom="column">
                        <wp:posOffset>0</wp:posOffset>
                      </wp:positionH>
                      <wp:positionV relativeFrom="paragraph">
                        <wp:posOffset>161925</wp:posOffset>
                      </wp:positionV>
                      <wp:extent cx="304800" cy="314325"/>
                      <wp:effectExtent l="3175" t="0" r="0" b="635"/>
                      <wp:wrapNone/>
                      <wp:docPr id="1197" name="AutoShape 701">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7BF34" id="AutoShape 701" o:spid="_x0000_s1026" href="" style="position:absolute;margin-left:0;margin-top:12.75pt;width:24pt;height:24.7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20768" behindDoc="0" locked="0" layoutInCell="1" allowOverlap="1" wp14:anchorId="1DF8066C" wp14:editId="47E85546">
                      <wp:simplePos x="0" y="0"/>
                      <wp:positionH relativeFrom="column">
                        <wp:posOffset>0</wp:posOffset>
                      </wp:positionH>
                      <wp:positionV relativeFrom="paragraph">
                        <wp:posOffset>161925</wp:posOffset>
                      </wp:positionV>
                      <wp:extent cx="304800" cy="314325"/>
                      <wp:effectExtent l="3175" t="0" r="0" b="635"/>
                      <wp:wrapNone/>
                      <wp:docPr id="1196" name="AutoShape 702">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73437" id="AutoShape 702" o:spid="_x0000_s1026" href="" style="position:absolute;margin-left:0;margin-top:12.75pt;width:24pt;height:24.7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54560" behindDoc="0" locked="0" layoutInCell="1" allowOverlap="1" wp14:anchorId="4F1B0D0A" wp14:editId="7029B5E7">
                      <wp:simplePos x="0" y="0"/>
                      <wp:positionH relativeFrom="column">
                        <wp:posOffset>0</wp:posOffset>
                      </wp:positionH>
                      <wp:positionV relativeFrom="paragraph">
                        <wp:posOffset>323850</wp:posOffset>
                      </wp:positionV>
                      <wp:extent cx="304800" cy="304800"/>
                      <wp:effectExtent l="3175" t="0" r="0" b="635"/>
                      <wp:wrapNone/>
                      <wp:docPr id="1195" name="AutoShape 735">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2C5ED" id="AutoShape 735" o:spid="_x0000_s1026" href="" style="position:absolute;margin-left:0;margin-top:25.5pt;width:24pt;height:24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55584" behindDoc="0" locked="0" layoutInCell="1" allowOverlap="1" wp14:anchorId="5BD00E20" wp14:editId="09A19C8A">
                      <wp:simplePos x="0" y="0"/>
                      <wp:positionH relativeFrom="column">
                        <wp:posOffset>0</wp:posOffset>
                      </wp:positionH>
                      <wp:positionV relativeFrom="paragraph">
                        <wp:posOffset>323850</wp:posOffset>
                      </wp:positionV>
                      <wp:extent cx="304800" cy="304800"/>
                      <wp:effectExtent l="3175" t="0" r="0" b="635"/>
                      <wp:wrapNone/>
                      <wp:docPr id="1194" name="AutoShape 736"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98C34" id="AutoShape 736" o:spid="_x0000_s1026" alt="Selecting an example from Help" style="position:absolute;margin-left:0;margin-top:25.5pt;width:24pt;height:24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" filled="f" stroked="f">
                      <o:lock v:ext="edit" aspectratio="t"/>
                    </v:rect>
                  </w:pict>
                </mc:Fallback>
              </mc:AlternateContent>
            </w:r>
            <w:r>
              <w:rPr>
                <w:noProof/>
                <w:sz w:val="20"/>
                <w:lang w:val="en-US"/>
              </w:rPr>
              <mc:AlternateContent>
                <mc:Choice Requires="wps">
                  <w:drawing>
                    <wp:anchor distT="0" distB="0" distL="114300" distR="114300" simplePos="0" relativeHeight="252356608" behindDoc="0" locked="0" layoutInCell="1" allowOverlap="1" wp14:anchorId="57BAC521" wp14:editId="79073FF5">
                      <wp:simplePos x="0" y="0"/>
                      <wp:positionH relativeFrom="column">
                        <wp:posOffset>0</wp:posOffset>
                      </wp:positionH>
                      <wp:positionV relativeFrom="paragraph">
                        <wp:posOffset>323850</wp:posOffset>
                      </wp:positionV>
                      <wp:extent cx="304800" cy="314325"/>
                      <wp:effectExtent l="3175" t="0" r="0" b="635"/>
                      <wp:wrapNone/>
                      <wp:docPr id="1193" name="AutoShape 737">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B9EE3" id="AutoShape 737" o:spid="_x0000_s1026" href="" style="position:absolute;margin-left:0;margin-top:25.5pt;width:24pt;height:24.7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57632" behindDoc="0" locked="0" layoutInCell="1" allowOverlap="1" wp14:anchorId="33296538" wp14:editId="2F78B932">
                      <wp:simplePos x="0" y="0"/>
                      <wp:positionH relativeFrom="column">
                        <wp:posOffset>0</wp:posOffset>
                      </wp:positionH>
                      <wp:positionV relativeFrom="paragraph">
                        <wp:posOffset>323850</wp:posOffset>
                      </wp:positionV>
                      <wp:extent cx="304800" cy="314325"/>
                      <wp:effectExtent l="3175" t="0" r="0" b="635"/>
                      <wp:wrapNone/>
                      <wp:docPr id="1192" name="AutoShape 738">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3F105" id="AutoShape 738" o:spid="_x0000_s1026" href="" style="position:absolute;margin-left:0;margin-top:25.5pt;width:24pt;height:24.7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58656" behindDoc="0" locked="0" layoutInCell="1" allowOverlap="1" wp14:anchorId="561CF434" wp14:editId="5A671A1A">
                      <wp:simplePos x="0" y="0"/>
                      <wp:positionH relativeFrom="column">
                        <wp:posOffset>0</wp:posOffset>
                      </wp:positionH>
                      <wp:positionV relativeFrom="paragraph">
                        <wp:posOffset>323850</wp:posOffset>
                      </wp:positionV>
                      <wp:extent cx="304800" cy="314325"/>
                      <wp:effectExtent l="3175" t="0" r="0" b="635"/>
                      <wp:wrapNone/>
                      <wp:docPr id="1191" name="AutoShape 739">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CE5DC" id="AutoShape 739" o:spid="_x0000_s1026" href="" style="position:absolute;margin-left:0;margin-top:25.5pt;width:24pt;height:24.7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59680" behindDoc="0" locked="0" layoutInCell="1" allowOverlap="1" wp14:anchorId="2FD14715" wp14:editId="4695228C">
                      <wp:simplePos x="0" y="0"/>
                      <wp:positionH relativeFrom="column">
                        <wp:posOffset>0</wp:posOffset>
                      </wp:positionH>
                      <wp:positionV relativeFrom="paragraph">
                        <wp:posOffset>323850</wp:posOffset>
                      </wp:positionV>
                      <wp:extent cx="304800" cy="314325"/>
                      <wp:effectExtent l="3175" t="0" r="0" b="635"/>
                      <wp:wrapNone/>
                      <wp:docPr id="1190" name="AutoShape 740">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C87C9" id="AutoShape 740" o:spid="_x0000_s1026" href="" style="position:absolute;margin-left:0;margin-top:25.5pt;width:24pt;height:24.7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60704" behindDoc="0" locked="0" layoutInCell="1" allowOverlap="1" wp14:anchorId="0AA0C274" wp14:editId="419CB086">
                      <wp:simplePos x="0" y="0"/>
                      <wp:positionH relativeFrom="column">
                        <wp:posOffset>0</wp:posOffset>
                      </wp:positionH>
                      <wp:positionV relativeFrom="paragraph">
                        <wp:posOffset>323850</wp:posOffset>
                      </wp:positionV>
                      <wp:extent cx="304800" cy="314325"/>
                      <wp:effectExtent l="3175" t="0" r="0" b="635"/>
                      <wp:wrapNone/>
                      <wp:docPr id="1189" name="AutoShape 741">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016AB" id="AutoShape 741" o:spid="_x0000_s1026" href="" style="position:absolute;margin-left:0;margin-top:25.5pt;width:24pt;height:24.7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61728" behindDoc="0" locked="0" layoutInCell="1" allowOverlap="1" wp14:anchorId="54509D1A" wp14:editId="13EADBA9">
                      <wp:simplePos x="0" y="0"/>
                      <wp:positionH relativeFrom="column">
                        <wp:posOffset>0</wp:posOffset>
                      </wp:positionH>
                      <wp:positionV relativeFrom="paragraph">
                        <wp:posOffset>323850</wp:posOffset>
                      </wp:positionV>
                      <wp:extent cx="304800" cy="304800"/>
                      <wp:effectExtent l="3175" t="0" r="0" b="635"/>
                      <wp:wrapNone/>
                      <wp:docPr id="1188" name="AutoShape 742">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E39D6" id="AutoShape 742" o:spid="_x0000_s1026" href="" style="position:absolute;margin-left:0;margin-top:25.5pt;width:24pt;height:24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62752" behindDoc="0" locked="0" layoutInCell="1" allowOverlap="1" wp14:anchorId="33A7DACB" wp14:editId="21B975F9">
                      <wp:simplePos x="0" y="0"/>
                      <wp:positionH relativeFrom="column">
                        <wp:posOffset>0</wp:posOffset>
                      </wp:positionH>
                      <wp:positionV relativeFrom="paragraph">
                        <wp:posOffset>323850</wp:posOffset>
                      </wp:positionV>
                      <wp:extent cx="304800" cy="304800"/>
                      <wp:effectExtent l="3175" t="0" r="0" b="635"/>
                      <wp:wrapNone/>
                      <wp:docPr id="1187" name="AutoShape 743"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115B8" id="AutoShape 743" o:spid="_x0000_s1026" alt="Selecting an example from Help" style="position:absolute;margin-left:0;margin-top:25.5pt;width:24pt;height:24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" filled="f" stroked="f">
                      <o:lock v:ext="edit" aspectratio="t"/>
                    </v:rect>
                  </w:pict>
                </mc:Fallback>
              </mc:AlternateContent>
            </w:r>
            <w:r>
              <w:rPr>
                <w:noProof/>
                <w:sz w:val="20"/>
                <w:lang w:val="en-US"/>
              </w:rPr>
              <mc:AlternateContent>
                <mc:Choice Requires="wps">
                  <w:drawing>
                    <wp:anchor distT="0" distB="0" distL="114300" distR="114300" simplePos="0" relativeHeight="252363776" behindDoc="0" locked="0" layoutInCell="1" allowOverlap="1" wp14:anchorId="49816A3F" wp14:editId="5D97A614">
                      <wp:simplePos x="0" y="0"/>
                      <wp:positionH relativeFrom="column">
                        <wp:posOffset>0</wp:posOffset>
                      </wp:positionH>
                      <wp:positionV relativeFrom="paragraph">
                        <wp:posOffset>323850</wp:posOffset>
                      </wp:positionV>
                      <wp:extent cx="304800" cy="314325"/>
                      <wp:effectExtent l="3175" t="0" r="0" b="635"/>
                      <wp:wrapNone/>
                      <wp:docPr id="1186" name="AutoShape 744">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0ADAA" id="AutoShape 744" o:spid="_x0000_s1026" href="" style="position:absolute;margin-left:0;margin-top:25.5pt;width:24pt;height:24.7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64800" behindDoc="0" locked="0" layoutInCell="1" allowOverlap="1" wp14:anchorId="04D5DE30" wp14:editId="5220FF3A">
                      <wp:simplePos x="0" y="0"/>
                      <wp:positionH relativeFrom="column">
                        <wp:posOffset>0</wp:posOffset>
                      </wp:positionH>
                      <wp:positionV relativeFrom="paragraph">
                        <wp:posOffset>323850</wp:posOffset>
                      </wp:positionV>
                      <wp:extent cx="304800" cy="314325"/>
                      <wp:effectExtent l="3175" t="0" r="0" b="635"/>
                      <wp:wrapNone/>
                      <wp:docPr id="1185" name="AutoShape 745">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F0E3E" id="AutoShape 745" o:spid="_x0000_s1026" href="" style="position:absolute;margin-left:0;margin-top:25.5pt;width:24pt;height:24.7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65824" behindDoc="0" locked="0" layoutInCell="1" allowOverlap="1" wp14:anchorId="1BB98F1D" wp14:editId="3EBFA042">
                      <wp:simplePos x="0" y="0"/>
                      <wp:positionH relativeFrom="column">
                        <wp:posOffset>0</wp:posOffset>
                      </wp:positionH>
                      <wp:positionV relativeFrom="paragraph">
                        <wp:posOffset>323850</wp:posOffset>
                      </wp:positionV>
                      <wp:extent cx="304800" cy="314325"/>
                      <wp:effectExtent l="3175" t="0" r="0" b="635"/>
                      <wp:wrapNone/>
                      <wp:docPr id="1184" name="AutoShape 746">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F0529" id="AutoShape 746" o:spid="_x0000_s1026" href="" style="position:absolute;margin-left:0;margin-top:25.5pt;width:24pt;height:24.7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66848" behindDoc="0" locked="0" layoutInCell="1" allowOverlap="1" wp14:anchorId="38B3FD70" wp14:editId="72AE0FD1">
                      <wp:simplePos x="0" y="0"/>
                      <wp:positionH relativeFrom="column">
                        <wp:posOffset>0</wp:posOffset>
                      </wp:positionH>
                      <wp:positionV relativeFrom="paragraph">
                        <wp:posOffset>323850</wp:posOffset>
                      </wp:positionV>
                      <wp:extent cx="304800" cy="314325"/>
                      <wp:effectExtent l="3175" t="0" r="0" b="635"/>
                      <wp:wrapNone/>
                      <wp:docPr id="1183" name="AutoShape 747">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B924D" id="AutoShape 747" o:spid="_x0000_s1026" href="" style="position:absolute;margin-left:0;margin-top:25.5pt;width:24pt;height:24.7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67872" behindDoc="0" locked="0" layoutInCell="1" allowOverlap="1" wp14:anchorId="6C0E8A7A" wp14:editId="32672C74">
                      <wp:simplePos x="0" y="0"/>
                      <wp:positionH relativeFrom="column">
                        <wp:posOffset>0</wp:posOffset>
                      </wp:positionH>
                      <wp:positionV relativeFrom="paragraph">
                        <wp:posOffset>323850</wp:posOffset>
                      </wp:positionV>
                      <wp:extent cx="304800" cy="314325"/>
                      <wp:effectExtent l="3175" t="0" r="0" b="635"/>
                      <wp:wrapNone/>
                      <wp:docPr id="1182" name="AutoShape 748">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BF8FB" id="AutoShape 748" o:spid="_x0000_s1026" href="" style="position:absolute;margin-left:0;margin-top:25.5pt;width:24pt;height:24.7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68896" behindDoc="0" locked="0" layoutInCell="1" allowOverlap="1" wp14:anchorId="04E34D88" wp14:editId="3677D62F">
                      <wp:simplePos x="0" y="0"/>
                      <wp:positionH relativeFrom="column">
                        <wp:posOffset>0</wp:posOffset>
                      </wp:positionH>
                      <wp:positionV relativeFrom="paragraph">
                        <wp:posOffset>485775</wp:posOffset>
                      </wp:positionV>
                      <wp:extent cx="304800" cy="333375"/>
                      <wp:effectExtent l="3175" t="0" r="0" b="635"/>
                      <wp:wrapNone/>
                      <wp:docPr id="1181" name="AutoShape 749">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93A36" id="AutoShape 749" o:spid="_x0000_s1026" href="" style="position:absolute;margin-left:0;margin-top:38.25pt;width:24pt;height:26.2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69920" behindDoc="0" locked="0" layoutInCell="1" allowOverlap="1" wp14:anchorId="1F21FA67" wp14:editId="78E2E7FC">
                      <wp:simplePos x="0" y="0"/>
                      <wp:positionH relativeFrom="column">
                        <wp:posOffset>0</wp:posOffset>
                      </wp:positionH>
                      <wp:positionV relativeFrom="paragraph">
                        <wp:posOffset>485775</wp:posOffset>
                      </wp:positionV>
                      <wp:extent cx="304800" cy="333375"/>
                      <wp:effectExtent l="3175" t="0" r="0" b="635"/>
                      <wp:wrapNone/>
                      <wp:docPr id="1180" name="AutoShape 750"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6B98A" id="AutoShape 750" o:spid="_x0000_s1026" alt="Selecting an example from Help" style="position:absolute;margin-left:0;margin-top:38.25pt;width:24pt;height:26.2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" filled="f" stroked="f">
                      <o:lock v:ext="edit" aspectratio="t"/>
                    </v:rect>
                  </w:pict>
                </mc:Fallback>
              </mc:AlternateContent>
            </w:r>
            <w:r>
              <w:rPr>
                <w:noProof/>
                <w:sz w:val="20"/>
                <w:lang w:val="en-US"/>
              </w:rPr>
              <mc:AlternateContent>
                <mc:Choice Requires="wps">
                  <w:drawing>
                    <wp:anchor distT="0" distB="0" distL="114300" distR="114300" simplePos="0" relativeHeight="252370944" behindDoc="0" locked="0" layoutInCell="1" allowOverlap="1" wp14:anchorId="75900A65" wp14:editId="4CBEDCF4">
                      <wp:simplePos x="0" y="0"/>
                      <wp:positionH relativeFrom="column">
                        <wp:posOffset>0</wp:posOffset>
                      </wp:positionH>
                      <wp:positionV relativeFrom="paragraph">
                        <wp:posOffset>485775</wp:posOffset>
                      </wp:positionV>
                      <wp:extent cx="304800" cy="333375"/>
                      <wp:effectExtent l="3175" t="0" r="0" b="635"/>
                      <wp:wrapNone/>
                      <wp:docPr id="1179" name="AutoShape 751">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B7B8F" id="AutoShape 751" o:spid="_x0000_s1026" href="" style="position:absolute;margin-left:0;margin-top:38.25pt;width:24pt;height:26.2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71968" behindDoc="0" locked="0" layoutInCell="1" allowOverlap="1" wp14:anchorId="31EBC1BF" wp14:editId="594B0F51">
                      <wp:simplePos x="0" y="0"/>
                      <wp:positionH relativeFrom="column">
                        <wp:posOffset>0</wp:posOffset>
                      </wp:positionH>
                      <wp:positionV relativeFrom="paragraph">
                        <wp:posOffset>485775</wp:posOffset>
                      </wp:positionV>
                      <wp:extent cx="304800" cy="333375"/>
                      <wp:effectExtent l="3175" t="0" r="0" b="635"/>
                      <wp:wrapNone/>
                      <wp:docPr id="1178" name="AutoShape 752">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58459" id="AutoShape 752" o:spid="_x0000_s1026" href="" style="position:absolute;margin-left:0;margin-top:38.25pt;width:24pt;height:26.2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72992" behindDoc="0" locked="0" layoutInCell="1" allowOverlap="1" wp14:anchorId="3C749C5F" wp14:editId="62153196">
                      <wp:simplePos x="0" y="0"/>
                      <wp:positionH relativeFrom="column">
                        <wp:posOffset>0</wp:posOffset>
                      </wp:positionH>
                      <wp:positionV relativeFrom="paragraph">
                        <wp:posOffset>485775</wp:posOffset>
                      </wp:positionV>
                      <wp:extent cx="304800" cy="333375"/>
                      <wp:effectExtent l="3175" t="0" r="0" b="635"/>
                      <wp:wrapNone/>
                      <wp:docPr id="1177" name="AutoShape 753">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0EE27" id="AutoShape 753" o:spid="_x0000_s1026" href="" style="position:absolute;margin-left:0;margin-top:38.25pt;width:24pt;height:26.2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74016" behindDoc="0" locked="0" layoutInCell="1" allowOverlap="1" wp14:anchorId="609FB623" wp14:editId="451EC677">
                      <wp:simplePos x="0" y="0"/>
                      <wp:positionH relativeFrom="column">
                        <wp:posOffset>0</wp:posOffset>
                      </wp:positionH>
                      <wp:positionV relativeFrom="paragraph">
                        <wp:posOffset>485775</wp:posOffset>
                      </wp:positionV>
                      <wp:extent cx="304800" cy="333375"/>
                      <wp:effectExtent l="3175" t="0" r="0" b="635"/>
                      <wp:wrapNone/>
                      <wp:docPr id="1176" name="AutoShape 754">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1559D" id="AutoShape 754" o:spid="_x0000_s1026" href="" style="position:absolute;margin-left:0;margin-top:38.25pt;width:24pt;height:26.2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75040" behindDoc="0" locked="0" layoutInCell="1" allowOverlap="1" wp14:anchorId="6A1B3D72" wp14:editId="432EC939">
                      <wp:simplePos x="0" y="0"/>
                      <wp:positionH relativeFrom="column">
                        <wp:posOffset>0</wp:posOffset>
                      </wp:positionH>
                      <wp:positionV relativeFrom="paragraph">
                        <wp:posOffset>485775</wp:posOffset>
                      </wp:positionV>
                      <wp:extent cx="304800" cy="333375"/>
                      <wp:effectExtent l="3175" t="0" r="0" b="635"/>
                      <wp:wrapNone/>
                      <wp:docPr id="1175" name="AutoShape 755">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3499D" id="AutoShape 755" o:spid="_x0000_s1026" href="" style="position:absolute;margin-left:0;margin-top:38.25pt;width:24pt;height:26.2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76064" behindDoc="0" locked="0" layoutInCell="1" allowOverlap="1" wp14:anchorId="32112B5C" wp14:editId="3610D4EE">
                      <wp:simplePos x="0" y="0"/>
                      <wp:positionH relativeFrom="column">
                        <wp:posOffset>0</wp:posOffset>
                      </wp:positionH>
                      <wp:positionV relativeFrom="paragraph">
                        <wp:posOffset>485775</wp:posOffset>
                      </wp:positionV>
                      <wp:extent cx="304800" cy="333375"/>
                      <wp:effectExtent l="3175" t="0" r="0" b="635"/>
                      <wp:wrapNone/>
                      <wp:docPr id="1174" name="AutoShape 756">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7F905" id="AutoShape 756" o:spid="_x0000_s1026" href="" style="position:absolute;margin-left:0;margin-top:38.25pt;width:24pt;height:26.2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77088" behindDoc="0" locked="0" layoutInCell="1" allowOverlap="1" wp14:anchorId="57B9464E" wp14:editId="5332EB34">
                      <wp:simplePos x="0" y="0"/>
                      <wp:positionH relativeFrom="column">
                        <wp:posOffset>0</wp:posOffset>
                      </wp:positionH>
                      <wp:positionV relativeFrom="paragraph">
                        <wp:posOffset>485775</wp:posOffset>
                      </wp:positionV>
                      <wp:extent cx="304800" cy="333375"/>
                      <wp:effectExtent l="3175" t="0" r="0" b="635"/>
                      <wp:wrapNone/>
                      <wp:docPr id="1173" name="AutoShape 757"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D4BEB" id="AutoShape 757" o:spid="_x0000_s1026" alt="Selecting an example from Help" style="position:absolute;margin-left:0;margin-top:38.25pt;width:24pt;height:26.2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" filled="f" stroked="f">
                      <o:lock v:ext="edit" aspectratio="t"/>
                    </v:rect>
                  </w:pict>
                </mc:Fallback>
              </mc:AlternateContent>
            </w:r>
            <w:r>
              <w:rPr>
                <w:noProof/>
                <w:sz w:val="20"/>
                <w:lang w:val="en-US"/>
              </w:rPr>
              <mc:AlternateContent>
                <mc:Choice Requires="wps">
                  <w:drawing>
                    <wp:anchor distT="0" distB="0" distL="114300" distR="114300" simplePos="0" relativeHeight="252378112" behindDoc="0" locked="0" layoutInCell="1" allowOverlap="1" wp14:anchorId="79CB0F06" wp14:editId="728595CB">
                      <wp:simplePos x="0" y="0"/>
                      <wp:positionH relativeFrom="column">
                        <wp:posOffset>0</wp:posOffset>
                      </wp:positionH>
                      <wp:positionV relativeFrom="paragraph">
                        <wp:posOffset>485775</wp:posOffset>
                      </wp:positionV>
                      <wp:extent cx="304800" cy="333375"/>
                      <wp:effectExtent l="3175" t="0" r="0" b="635"/>
                      <wp:wrapNone/>
                      <wp:docPr id="1172" name="AutoShape 758">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9F8D4" id="AutoShape 758" o:spid="_x0000_s1026" href="" style="position:absolute;margin-left:0;margin-top:38.25pt;width:24pt;height:26.2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79136" behindDoc="0" locked="0" layoutInCell="1" allowOverlap="1" wp14:anchorId="7E0C6092" wp14:editId="0D9AEB22">
                      <wp:simplePos x="0" y="0"/>
                      <wp:positionH relativeFrom="column">
                        <wp:posOffset>0</wp:posOffset>
                      </wp:positionH>
                      <wp:positionV relativeFrom="paragraph">
                        <wp:posOffset>485775</wp:posOffset>
                      </wp:positionV>
                      <wp:extent cx="304800" cy="333375"/>
                      <wp:effectExtent l="3175" t="0" r="0" b="635"/>
                      <wp:wrapNone/>
                      <wp:docPr id="1171" name="AutoShape 759">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D3690" id="AutoShape 759" o:spid="_x0000_s1026" href="" style="position:absolute;margin-left:0;margin-top:38.25pt;width:24pt;height:26.2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80160" behindDoc="0" locked="0" layoutInCell="1" allowOverlap="1" wp14:anchorId="3BE1C9EF" wp14:editId="03ECA146">
                      <wp:simplePos x="0" y="0"/>
                      <wp:positionH relativeFrom="column">
                        <wp:posOffset>0</wp:posOffset>
                      </wp:positionH>
                      <wp:positionV relativeFrom="paragraph">
                        <wp:posOffset>485775</wp:posOffset>
                      </wp:positionV>
                      <wp:extent cx="304800" cy="333375"/>
                      <wp:effectExtent l="3175" t="0" r="0" b="635"/>
                      <wp:wrapNone/>
                      <wp:docPr id="1170" name="AutoShape 760">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C473E" id="AutoShape 760" o:spid="_x0000_s1026" href="" style="position:absolute;margin-left:0;margin-top:38.25pt;width:24pt;height:26.2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81184" behindDoc="0" locked="0" layoutInCell="1" allowOverlap="1" wp14:anchorId="600CAA44" wp14:editId="10B1D88F">
                      <wp:simplePos x="0" y="0"/>
                      <wp:positionH relativeFrom="column">
                        <wp:posOffset>0</wp:posOffset>
                      </wp:positionH>
                      <wp:positionV relativeFrom="paragraph">
                        <wp:posOffset>485775</wp:posOffset>
                      </wp:positionV>
                      <wp:extent cx="304800" cy="333375"/>
                      <wp:effectExtent l="3175" t="0" r="0" b="635"/>
                      <wp:wrapNone/>
                      <wp:docPr id="1169" name="AutoShape 761">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EADFD" id="AutoShape 761" o:spid="_x0000_s1026" href="" style="position:absolute;margin-left:0;margin-top:38.25pt;width:24pt;height:26.2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82208" behindDoc="0" locked="0" layoutInCell="1" allowOverlap="1" wp14:anchorId="60ECE7BD" wp14:editId="7074365E">
                      <wp:simplePos x="0" y="0"/>
                      <wp:positionH relativeFrom="column">
                        <wp:posOffset>0</wp:posOffset>
                      </wp:positionH>
                      <wp:positionV relativeFrom="paragraph">
                        <wp:posOffset>485775</wp:posOffset>
                      </wp:positionV>
                      <wp:extent cx="304800" cy="333375"/>
                      <wp:effectExtent l="3175" t="0" r="0" b="635"/>
                      <wp:wrapNone/>
                      <wp:docPr id="1168" name="AutoShape 762">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144E4" id="AutoShape 762" o:spid="_x0000_s1026" href="" style="position:absolute;margin-left:0;margin-top:38.25pt;width:24pt;height:26.2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83232" behindDoc="0" locked="0" layoutInCell="1" allowOverlap="1" wp14:anchorId="7B833338" wp14:editId="2F9DDD53">
                      <wp:simplePos x="0" y="0"/>
                      <wp:positionH relativeFrom="column">
                        <wp:posOffset>0</wp:posOffset>
                      </wp:positionH>
                      <wp:positionV relativeFrom="paragraph">
                        <wp:posOffset>647700</wp:posOffset>
                      </wp:positionV>
                      <wp:extent cx="304800" cy="314325"/>
                      <wp:effectExtent l="3175" t="0" r="0" b="635"/>
                      <wp:wrapNone/>
                      <wp:docPr id="1167" name="AutoShape 763">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173CB" id="AutoShape 763" o:spid="_x0000_s1026" href="" style="position:absolute;margin-left:0;margin-top:51pt;width:24pt;height:24.7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84256" behindDoc="0" locked="0" layoutInCell="1" allowOverlap="1" wp14:anchorId="7350EB52" wp14:editId="5B8967A9">
                      <wp:simplePos x="0" y="0"/>
                      <wp:positionH relativeFrom="column">
                        <wp:posOffset>0</wp:posOffset>
                      </wp:positionH>
                      <wp:positionV relativeFrom="paragraph">
                        <wp:posOffset>647700</wp:posOffset>
                      </wp:positionV>
                      <wp:extent cx="304800" cy="314325"/>
                      <wp:effectExtent l="3175" t="0" r="0" b="635"/>
                      <wp:wrapNone/>
                      <wp:docPr id="1166" name="AutoShape 764"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7B5AA" id="AutoShape 764" o:spid="_x0000_s1026" alt="Selecting an example from Help" style="position:absolute;margin-left:0;margin-top:51pt;width:24pt;height:24.7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" filled="f" stroked="f">
                      <o:lock v:ext="edit" aspectratio="t"/>
                    </v:rect>
                  </w:pict>
                </mc:Fallback>
              </mc:AlternateContent>
            </w:r>
            <w:r>
              <w:rPr>
                <w:noProof/>
                <w:sz w:val="20"/>
                <w:lang w:val="en-US"/>
              </w:rPr>
              <mc:AlternateContent>
                <mc:Choice Requires="wps">
                  <w:drawing>
                    <wp:anchor distT="0" distB="0" distL="114300" distR="114300" simplePos="0" relativeHeight="252385280" behindDoc="0" locked="0" layoutInCell="1" allowOverlap="1" wp14:anchorId="02608BEC" wp14:editId="41ADF01F">
                      <wp:simplePos x="0" y="0"/>
                      <wp:positionH relativeFrom="column">
                        <wp:posOffset>0</wp:posOffset>
                      </wp:positionH>
                      <wp:positionV relativeFrom="paragraph">
                        <wp:posOffset>647700</wp:posOffset>
                      </wp:positionV>
                      <wp:extent cx="304800" cy="314325"/>
                      <wp:effectExtent l="3175" t="0" r="0" b="635"/>
                      <wp:wrapNone/>
                      <wp:docPr id="1165" name="AutoShape 765">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9D4F2" id="AutoShape 765" o:spid="_x0000_s1026" href="" style="position:absolute;margin-left:0;margin-top:51pt;width:24pt;height:24.7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86304" behindDoc="0" locked="0" layoutInCell="1" allowOverlap="1" wp14:anchorId="4CE49C33" wp14:editId="28C819E8">
                      <wp:simplePos x="0" y="0"/>
                      <wp:positionH relativeFrom="column">
                        <wp:posOffset>0</wp:posOffset>
                      </wp:positionH>
                      <wp:positionV relativeFrom="paragraph">
                        <wp:posOffset>647700</wp:posOffset>
                      </wp:positionV>
                      <wp:extent cx="304800" cy="314325"/>
                      <wp:effectExtent l="3175" t="0" r="0" b="635"/>
                      <wp:wrapNone/>
                      <wp:docPr id="1164" name="AutoShape 766"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2FE6D" id="AutoShape 766" o:spid="_x0000_s1026" alt="Selecting an example from Help" style="position:absolute;margin-left:0;margin-top:51pt;width:24pt;height:24.7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" filled="f" stroked="f">
                      <o:lock v:ext="edit" aspectratio="t"/>
                    </v:rect>
                  </w:pict>
                </mc:Fallback>
              </mc:AlternateContent>
            </w:r>
            <w:r>
              <w:rPr>
                <w:noProof/>
                <w:sz w:val="20"/>
                <w:lang w:val="en-US"/>
              </w:rPr>
              <mc:AlternateContent>
                <mc:Choice Requires="wps">
                  <w:drawing>
                    <wp:anchor distT="0" distB="0" distL="114300" distR="114300" simplePos="0" relativeHeight="252387328" behindDoc="0" locked="0" layoutInCell="1" allowOverlap="1" wp14:anchorId="79492499" wp14:editId="6E31307F">
                      <wp:simplePos x="0" y="0"/>
                      <wp:positionH relativeFrom="column">
                        <wp:posOffset>0</wp:posOffset>
                      </wp:positionH>
                      <wp:positionV relativeFrom="paragraph">
                        <wp:posOffset>485775</wp:posOffset>
                      </wp:positionV>
                      <wp:extent cx="304800" cy="333375"/>
                      <wp:effectExtent l="3175" t="0" r="0" b="635"/>
                      <wp:wrapNone/>
                      <wp:docPr id="1163" name="AutoShape 767">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5C618" id="AutoShape 767" o:spid="_x0000_s1026" href="" style="position:absolute;margin-left:0;margin-top:38.25pt;width:24pt;height:26.2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88352" behindDoc="0" locked="0" layoutInCell="1" allowOverlap="1" wp14:anchorId="060DEAC9" wp14:editId="4A09F51C">
                      <wp:simplePos x="0" y="0"/>
                      <wp:positionH relativeFrom="column">
                        <wp:posOffset>0</wp:posOffset>
                      </wp:positionH>
                      <wp:positionV relativeFrom="paragraph">
                        <wp:posOffset>485775</wp:posOffset>
                      </wp:positionV>
                      <wp:extent cx="304800" cy="333375"/>
                      <wp:effectExtent l="3175" t="0" r="0" b="635"/>
                      <wp:wrapNone/>
                      <wp:docPr id="1162" name="AutoShape 768"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363F1" id="AutoShape 768" o:spid="_x0000_s1026" alt="Selecting an example from Help" style="position:absolute;margin-left:0;margin-top:38.25pt;width:24pt;height:26.2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" filled="f" stroked="f">
                      <o:lock v:ext="edit" aspectratio="t"/>
                    </v:rect>
                  </w:pict>
                </mc:Fallback>
              </mc:AlternateContent>
            </w:r>
            <w:r>
              <w:rPr>
                <w:noProof/>
                <w:sz w:val="20"/>
                <w:lang w:val="en-US"/>
              </w:rPr>
              <mc:AlternateContent>
                <mc:Choice Requires="wps">
                  <w:drawing>
                    <wp:anchor distT="0" distB="0" distL="114300" distR="114300" simplePos="0" relativeHeight="252389376" behindDoc="0" locked="0" layoutInCell="1" allowOverlap="1" wp14:anchorId="5EF4D565" wp14:editId="71F66180">
                      <wp:simplePos x="0" y="0"/>
                      <wp:positionH relativeFrom="column">
                        <wp:posOffset>0</wp:posOffset>
                      </wp:positionH>
                      <wp:positionV relativeFrom="paragraph">
                        <wp:posOffset>485775</wp:posOffset>
                      </wp:positionV>
                      <wp:extent cx="304800" cy="333375"/>
                      <wp:effectExtent l="3175" t="0" r="0" b="635"/>
                      <wp:wrapNone/>
                      <wp:docPr id="1161" name="AutoShape 769">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B65DD" id="AutoShape 769" o:spid="_x0000_s1026" href="" style="position:absolute;margin-left:0;margin-top:38.25pt;width:24pt;height:26.2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90400" behindDoc="0" locked="0" layoutInCell="1" allowOverlap="1" wp14:anchorId="71AB5C41" wp14:editId="4E29107A">
                      <wp:simplePos x="0" y="0"/>
                      <wp:positionH relativeFrom="column">
                        <wp:posOffset>0</wp:posOffset>
                      </wp:positionH>
                      <wp:positionV relativeFrom="paragraph">
                        <wp:posOffset>485775</wp:posOffset>
                      </wp:positionV>
                      <wp:extent cx="304800" cy="333375"/>
                      <wp:effectExtent l="3175" t="0" r="0" b="635"/>
                      <wp:wrapNone/>
                      <wp:docPr id="1160" name="AutoShape 770">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3C835" id="AutoShape 770" o:spid="_x0000_s1026" href="" style="position:absolute;margin-left:0;margin-top:38.25pt;width:24pt;height:26.2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91424" behindDoc="0" locked="0" layoutInCell="1" allowOverlap="1" wp14:anchorId="55FF1E47" wp14:editId="13F4A9F4">
                      <wp:simplePos x="0" y="0"/>
                      <wp:positionH relativeFrom="column">
                        <wp:posOffset>0</wp:posOffset>
                      </wp:positionH>
                      <wp:positionV relativeFrom="paragraph">
                        <wp:posOffset>485775</wp:posOffset>
                      </wp:positionV>
                      <wp:extent cx="304800" cy="333375"/>
                      <wp:effectExtent l="3175" t="0" r="0" b="635"/>
                      <wp:wrapNone/>
                      <wp:docPr id="1159" name="AutoShape 771">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313DC" id="AutoShape 771" o:spid="_x0000_s1026" href="" style="position:absolute;margin-left:0;margin-top:38.25pt;width:24pt;height:26.2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92448" behindDoc="0" locked="0" layoutInCell="1" allowOverlap="1" wp14:anchorId="37395C97" wp14:editId="31BED9BA">
                      <wp:simplePos x="0" y="0"/>
                      <wp:positionH relativeFrom="column">
                        <wp:posOffset>0</wp:posOffset>
                      </wp:positionH>
                      <wp:positionV relativeFrom="paragraph">
                        <wp:posOffset>485775</wp:posOffset>
                      </wp:positionV>
                      <wp:extent cx="304800" cy="333375"/>
                      <wp:effectExtent l="3175" t="0" r="0" b="635"/>
                      <wp:wrapNone/>
                      <wp:docPr id="1158" name="AutoShape 772">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9A1C5" id="AutoShape 772" o:spid="_x0000_s1026" href="" style="position:absolute;margin-left:0;margin-top:38.25pt;width:24pt;height:26.2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93472" behindDoc="0" locked="0" layoutInCell="1" allowOverlap="1" wp14:anchorId="2EA1DBAE" wp14:editId="3F1F13DD">
                      <wp:simplePos x="0" y="0"/>
                      <wp:positionH relativeFrom="column">
                        <wp:posOffset>0</wp:posOffset>
                      </wp:positionH>
                      <wp:positionV relativeFrom="paragraph">
                        <wp:posOffset>485775</wp:posOffset>
                      </wp:positionV>
                      <wp:extent cx="304800" cy="333375"/>
                      <wp:effectExtent l="3175" t="0" r="0" b="635"/>
                      <wp:wrapNone/>
                      <wp:docPr id="1157" name="AutoShape 773">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3571A" id="AutoShape 773" o:spid="_x0000_s1026" href="" style="position:absolute;margin-left:0;margin-top:38.25pt;width:24pt;height:26.2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94496" behindDoc="0" locked="0" layoutInCell="1" allowOverlap="1" wp14:anchorId="12757F5A" wp14:editId="69B16A67">
                      <wp:simplePos x="0" y="0"/>
                      <wp:positionH relativeFrom="column">
                        <wp:posOffset>0</wp:posOffset>
                      </wp:positionH>
                      <wp:positionV relativeFrom="paragraph">
                        <wp:posOffset>485775</wp:posOffset>
                      </wp:positionV>
                      <wp:extent cx="304800" cy="333375"/>
                      <wp:effectExtent l="3175" t="0" r="0" b="635"/>
                      <wp:wrapNone/>
                      <wp:docPr id="1156" name="AutoShape 774">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2464F" id="AutoShape 774" o:spid="_x0000_s1026" href="" style="position:absolute;margin-left:0;margin-top:38.25pt;width:24pt;height:26.2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95520" behindDoc="0" locked="0" layoutInCell="1" allowOverlap="1" wp14:anchorId="40A34AB4" wp14:editId="637CB7C5">
                      <wp:simplePos x="0" y="0"/>
                      <wp:positionH relativeFrom="column">
                        <wp:posOffset>0</wp:posOffset>
                      </wp:positionH>
                      <wp:positionV relativeFrom="paragraph">
                        <wp:posOffset>485775</wp:posOffset>
                      </wp:positionV>
                      <wp:extent cx="304800" cy="333375"/>
                      <wp:effectExtent l="3175" t="0" r="0" b="635"/>
                      <wp:wrapNone/>
                      <wp:docPr id="1155" name="AutoShape 775"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7A132" id="AutoShape 775" o:spid="_x0000_s1026" alt="Selecting an example from Help" style="position:absolute;margin-left:0;margin-top:38.25pt;width:24pt;height:26.2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" filled="f" stroked="f">
                      <o:lock v:ext="edit" aspectratio="t"/>
                    </v:rect>
                  </w:pict>
                </mc:Fallback>
              </mc:AlternateContent>
            </w:r>
            <w:r>
              <w:rPr>
                <w:noProof/>
                <w:sz w:val="20"/>
                <w:lang w:val="en-US"/>
              </w:rPr>
              <mc:AlternateContent>
                <mc:Choice Requires="wps">
                  <w:drawing>
                    <wp:anchor distT="0" distB="0" distL="114300" distR="114300" simplePos="0" relativeHeight="252396544" behindDoc="0" locked="0" layoutInCell="1" allowOverlap="1" wp14:anchorId="5375BF45" wp14:editId="68BB9B0D">
                      <wp:simplePos x="0" y="0"/>
                      <wp:positionH relativeFrom="column">
                        <wp:posOffset>0</wp:posOffset>
                      </wp:positionH>
                      <wp:positionV relativeFrom="paragraph">
                        <wp:posOffset>485775</wp:posOffset>
                      </wp:positionV>
                      <wp:extent cx="304800" cy="333375"/>
                      <wp:effectExtent l="3175" t="0" r="0" b="635"/>
                      <wp:wrapNone/>
                      <wp:docPr id="1154" name="AutoShape 776">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0A726" id="AutoShape 776" o:spid="_x0000_s1026" href="" style="position:absolute;margin-left:0;margin-top:38.25pt;width:24pt;height:26.2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97568" behindDoc="0" locked="0" layoutInCell="1" allowOverlap="1" wp14:anchorId="673798C6" wp14:editId="1C2AF376">
                      <wp:simplePos x="0" y="0"/>
                      <wp:positionH relativeFrom="column">
                        <wp:posOffset>0</wp:posOffset>
                      </wp:positionH>
                      <wp:positionV relativeFrom="paragraph">
                        <wp:posOffset>485775</wp:posOffset>
                      </wp:positionV>
                      <wp:extent cx="304800" cy="333375"/>
                      <wp:effectExtent l="3175" t="0" r="0" b="635"/>
                      <wp:wrapNone/>
                      <wp:docPr id="1153" name="AutoShape 777">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2B331" id="AutoShape 777" o:spid="_x0000_s1026" href="" style="position:absolute;margin-left:0;margin-top:38.25pt;width:24pt;height:26.2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98592" behindDoc="0" locked="0" layoutInCell="1" allowOverlap="1" wp14:anchorId="5AECD48C" wp14:editId="7ECB2F08">
                      <wp:simplePos x="0" y="0"/>
                      <wp:positionH relativeFrom="column">
                        <wp:posOffset>0</wp:posOffset>
                      </wp:positionH>
                      <wp:positionV relativeFrom="paragraph">
                        <wp:posOffset>485775</wp:posOffset>
                      </wp:positionV>
                      <wp:extent cx="304800" cy="333375"/>
                      <wp:effectExtent l="3175" t="0" r="0" b="635"/>
                      <wp:wrapNone/>
                      <wp:docPr id="1152" name="AutoShape 778">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378EF" id="AutoShape 778" o:spid="_x0000_s1026" href="" style="position:absolute;margin-left:0;margin-top:38.25pt;width:24pt;height:26.2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399616" behindDoc="0" locked="0" layoutInCell="1" allowOverlap="1" wp14:anchorId="4AA2D8EC" wp14:editId="6620EA31">
                      <wp:simplePos x="0" y="0"/>
                      <wp:positionH relativeFrom="column">
                        <wp:posOffset>0</wp:posOffset>
                      </wp:positionH>
                      <wp:positionV relativeFrom="paragraph">
                        <wp:posOffset>485775</wp:posOffset>
                      </wp:positionV>
                      <wp:extent cx="304800" cy="333375"/>
                      <wp:effectExtent l="3175" t="0" r="0" b="635"/>
                      <wp:wrapNone/>
                      <wp:docPr id="1151" name="AutoShape 779">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F3237" id="AutoShape 779" o:spid="_x0000_s1026" href="" style="position:absolute;margin-left:0;margin-top:38.25pt;width:24pt;height:26.2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00640" behindDoc="0" locked="0" layoutInCell="1" allowOverlap="1" wp14:anchorId="6468BC4F" wp14:editId="56B5F801">
                      <wp:simplePos x="0" y="0"/>
                      <wp:positionH relativeFrom="column">
                        <wp:posOffset>0</wp:posOffset>
                      </wp:positionH>
                      <wp:positionV relativeFrom="paragraph">
                        <wp:posOffset>485775</wp:posOffset>
                      </wp:positionV>
                      <wp:extent cx="304800" cy="333375"/>
                      <wp:effectExtent l="3175" t="0" r="0" b="635"/>
                      <wp:wrapNone/>
                      <wp:docPr id="1150" name="AutoShape 780">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88713" id="AutoShape 780" o:spid="_x0000_s1026" href="" style="position:absolute;margin-left:0;margin-top:38.25pt;width:24pt;height:26.2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01664" behindDoc="0" locked="0" layoutInCell="1" allowOverlap="1" wp14:anchorId="210D1617" wp14:editId="60902E48">
                      <wp:simplePos x="0" y="0"/>
                      <wp:positionH relativeFrom="column">
                        <wp:posOffset>0</wp:posOffset>
                      </wp:positionH>
                      <wp:positionV relativeFrom="paragraph">
                        <wp:posOffset>647700</wp:posOffset>
                      </wp:positionV>
                      <wp:extent cx="304800" cy="304800"/>
                      <wp:effectExtent l="3175" t="0" r="0" b="635"/>
                      <wp:wrapNone/>
                      <wp:docPr id="1149" name="AutoShape 781">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80B5E" id="AutoShape 781" o:spid="_x0000_s1026" href="" style="position:absolute;margin-left:0;margin-top:51pt;width:24pt;height:24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02688" behindDoc="0" locked="0" layoutInCell="1" allowOverlap="1" wp14:anchorId="0E153FB5" wp14:editId="142A592A">
                      <wp:simplePos x="0" y="0"/>
                      <wp:positionH relativeFrom="column">
                        <wp:posOffset>0</wp:posOffset>
                      </wp:positionH>
                      <wp:positionV relativeFrom="paragraph">
                        <wp:posOffset>647700</wp:posOffset>
                      </wp:positionV>
                      <wp:extent cx="304800" cy="304800"/>
                      <wp:effectExtent l="3175" t="0" r="0" b="635"/>
                      <wp:wrapNone/>
                      <wp:docPr id="1148" name="AutoShape 782"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FA941" id="AutoShape 782" o:spid="_x0000_s1026" alt="Selecting an example from Help" style="position:absolute;margin-left:0;margin-top:51pt;width:24pt;height:24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" filled="f" stroked="f">
                      <o:lock v:ext="edit" aspectratio="t"/>
                    </v:rect>
                  </w:pict>
                </mc:Fallback>
              </mc:AlternateContent>
            </w:r>
            <w:r>
              <w:rPr>
                <w:noProof/>
                <w:sz w:val="20"/>
                <w:lang w:val="en-US"/>
              </w:rPr>
              <mc:AlternateContent>
                <mc:Choice Requires="wps">
                  <w:drawing>
                    <wp:anchor distT="0" distB="0" distL="114300" distR="114300" simplePos="0" relativeHeight="252403712" behindDoc="0" locked="0" layoutInCell="1" allowOverlap="1" wp14:anchorId="6039C3F1" wp14:editId="1E45AA7B">
                      <wp:simplePos x="0" y="0"/>
                      <wp:positionH relativeFrom="column">
                        <wp:posOffset>0</wp:posOffset>
                      </wp:positionH>
                      <wp:positionV relativeFrom="paragraph">
                        <wp:posOffset>647700</wp:posOffset>
                      </wp:positionV>
                      <wp:extent cx="304800" cy="314325"/>
                      <wp:effectExtent l="3175" t="0" r="0" b="635"/>
                      <wp:wrapNone/>
                      <wp:docPr id="1147" name="AutoShape 783">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1786C" id="AutoShape 783" o:spid="_x0000_s1026" href="" style="position:absolute;margin-left:0;margin-top:51pt;width:24pt;height:24.7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04736" behindDoc="0" locked="0" layoutInCell="1" allowOverlap="1" wp14:anchorId="231ECF71" wp14:editId="27CB1DE0">
                      <wp:simplePos x="0" y="0"/>
                      <wp:positionH relativeFrom="column">
                        <wp:posOffset>0</wp:posOffset>
                      </wp:positionH>
                      <wp:positionV relativeFrom="paragraph">
                        <wp:posOffset>647700</wp:posOffset>
                      </wp:positionV>
                      <wp:extent cx="304800" cy="314325"/>
                      <wp:effectExtent l="3175" t="0" r="0" b="635"/>
                      <wp:wrapNone/>
                      <wp:docPr id="1146" name="AutoShape 784">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3BA19" id="AutoShape 784" o:spid="_x0000_s1026" href="" style="position:absolute;margin-left:0;margin-top:51pt;width:24pt;height:24.7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05760" behindDoc="0" locked="0" layoutInCell="1" allowOverlap="1" wp14:anchorId="7008E230" wp14:editId="69F0E09E">
                      <wp:simplePos x="0" y="0"/>
                      <wp:positionH relativeFrom="column">
                        <wp:posOffset>0</wp:posOffset>
                      </wp:positionH>
                      <wp:positionV relativeFrom="paragraph">
                        <wp:posOffset>647700</wp:posOffset>
                      </wp:positionV>
                      <wp:extent cx="304800" cy="314325"/>
                      <wp:effectExtent l="3175" t="0" r="0" b="635"/>
                      <wp:wrapNone/>
                      <wp:docPr id="1145" name="AutoShape 785">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DA99A" id="AutoShape 785" o:spid="_x0000_s1026" href="" style="position:absolute;margin-left:0;margin-top:51pt;width:24pt;height:24.7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06784" behindDoc="0" locked="0" layoutInCell="1" allowOverlap="1" wp14:anchorId="1FDA37DC" wp14:editId="179CDCF9">
                      <wp:simplePos x="0" y="0"/>
                      <wp:positionH relativeFrom="column">
                        <wp:posOffset>0</wp:posOffset>
                      </wp:positionH>
                      <wp:positionV relativeFrom="paragraph">
                        <wp:posOffset>647700</wp:posOffset>
                      </wp:positionV>
                      <wp:extent cx="304800" cy="314325"/>
                      <wp:effectExtent l="3175" t="0" r="0" b="635"/>
                      <wp:wrapNone/>
                      <wp:docPr id="1144" name="AutoShape 786">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21063" id="AutoShape 786" o:spid="_x0000_s1026" href="" style="position:absolute;margin-left:0;margin-top:51pt;width:24pt;height:24.7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07808" behindDoc="0" locked="0" layoutInCell="1" allowOverlap="1" wp14:anchorId="119DC678" wp14:editId="3A2D1908">
                      <wp:simplePos x="0" y="0"/>
                      <wp:positionH relativeFrom="column">
                        <wp:posOffset>0</wp:posOffset>
                      </wp:positionH>
                      <wp:positionV relativeFrom="paragraph">
                        <wp:posOffset>647700</wp:posOffset>
                      </wp:positionV>
                      <wp:extent cx="304800" cy="314325"/>
                      <wp:effectExtent l="3175" t="0" r="0" b="635"/>
                      <wp:wrapNone/>
                      <wp:docPr id="1143" name="AutoShape 787">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8503F" id="AutoShape 787" o:spid="_x0000_s1026" href="" style="position:absolute;margin-left:0;margin-top:51pt;width:24pt;height:24.7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28288" behindDoc="0" locked="0" layoutInCell="1" allowOverlap="1" wp14:anchorId="6CD3B15F" wp14:editId="64BBE05B">
                      <wp:simplePos x="0" y="0"/>
                      <wp:positionH relativeFrom="column">
                        <wp:posOffset>0</wp:posOffset>
                      </wp:positionH>
                      <wp:positionV relativeFrom="paragraph">
                        <wp:posOffset>809625</wp:posOffset>
                      </wp:positionV>
                      <wp:extent cx="304800" cy="314325"/>
                      <wp:effectExtent l="3175" t="0" r="0" b="635"/>
                      <wp:wrapNone/>
                      <wp:docPr id="1142" name="AutoShape 807">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54B0C" id="AutoShape 807" o:spid="_x0000_s1026" href="" style="position:absolute;margin-left:0;margin-top:63.75pt;width:24pt;height:24.7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29312" behindDoc="0" locked="0" layoutInCell="1" allowOverlap="1" wp14:anchorId="10488A2B" wp14:editId="468DA3E1">
                      <wp:simplePos x="0" y="0"/>
                      <wp:positionH relativeFrom="column">
                        <wp:posOffset>0</wp:posOffset>
                      </wp:positionH>
                      <wp:positionV relativeFrom="paragraph">
                        <wp:posOffset>809625</wp:posOffset>
                      </wp:positionV>
                      <wp:extent cx="304800" cy="314325"/>
                      <wp:effectExtent l="3175" t="0" r="0" b="635"/>
                      <wp:wrapNone/>
                      <wp:docPr id="1141" name="AutoShape 808"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C1821" id="AutoShape 808" o:spid="_x0000_s1026" alt="Selecting an example from Help" style="position:absolute;margin-left:0;margin-top:63.75pt;width:24pt;height:24.7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" filled="f" stroked="f">
                      <o:lock v:ext="edit" aspectratio="t"/>
                    </v:rect>
                  </w:pict>
                </mc:Fallback>
              </mc:AlternateContent>
            </w:r>
            <w:r>
              <w:rPr>
                <w:noProof/>
                <w:sz w:val="20"/>
                <w:lang w:val="en-US"/>
              </w:rPr>
              <mc:AlternateContent>
                <mc:Choice Requires="wps">
                  <w:drawing>
                    <wp:anchor distT="0" distB="0" distL="114300" distR="114300" simplePos="0" relativeHeight="252430336" behindDoc="0" locked="0" layoutInCell="1" allowOverlap="1" wp14:anchorId="49E94273" wp14:editId="3A699496">
                      <wp:simplePos x="0" y="0"/>
                      <wp:positionH relativeFrom="column">
                        <wp:posOffset>0</wp:posOffset>
                      </wp:positionH>
                      <wp:positionV relativeFrom="paragraph">
                        <wp:posOffset>809625</wp:posOffset>
                      </wp:positionV>
                      <wp:extent cx="304800" cy="314325"/>
                      <wp:effectExtent l="3175" t="0" r="0" b="635"/>
                      <wp:wrapNone/>
                      <wp:docPr id="1140" name="AutoShape 809">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3AFED" id="AutoShape 809" o:spid="_x0000_s1026" href="" style="position:absolute;margin-left:0;margin-top:63.75pt;width:24pt;height:24.7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31360" behindDoc="0" locked="0" layoutInCell="1" allowOverlap="1" wp14:anchorId="14A723C6" wp14:editId="13C7E570">
                      <wp:simplePos x="0" y="0"/>
                      <wp:positionH relativeFrom="column">
                        <wp:posOffset>0</wp:posOffset>
                      </wp:positionH>
                      <wp:positionV relativeFrom="paragraph">
                        <wp:posOffset>809625</wp:posOffset>
                      </wp:positionV>
                      <wp:extent cx="304800" cy="314325"/>
                      <wp:effectExtent l="3175" t="0" r="0" b="635"/>
                      <wp:wrapNone/>
                      <wp:docPr id="1139" name="AutoShape 810"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05075" id="AutoShape 810" o:spid="_x0000_s1026" alt="Selecting an example from Help" style="position:absolute;margin-left:0;margin-top:63.75pt;width:24pt;height:24.7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" filled="f" stroked="f">
                      <o:lock v:ext="edit" aspectratio="t"/>
                    </v:rect>
                  </w:pict>
                </mc:Fallback>
              </mc:AlternateContent>
            </w:r>
            <w:r>
              <w:rPr>
                <w:noProof/>
                <w:sz w:val="20"/>
                <w:lang w:val="en-US"/>
              </w:rPr>
              <mc:AlternateContent>
                <mc:Choice Requires="wps">
                  <w:drawing>
                    <wp:anchor distT="0" distB="0" distL="114300" distR="114300" simplePos="0" relativeHeight="252432384" behindDoc="0" locked="0" layoutInCell="1" allowOverlap="1" wp14:anchorId="6B142F48" wp14:editId="4072C22B">
                      <wp:simplePos x="0" y="0"/>
                      <wp:positionH relativeFrom="column">
                        <wp:posOffset>0</wp:posOffset>
                      </wp:positionH>
                      <wp:positionV relativeFrom="paragraph">
                        <wp:posOffset>809625</wp:posOffset>
                      </wp:positionV>
                      <wp:extent cx="304800" cy="304800"/>
                      <wp:effectExtent l="3175" t="0" r="0" b="635"/>
                      <wp:wrapNone/>
                      <wp:docPr id="1138" name="AutoShape 811">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E2925" id="AutoShape 811" o:spid="_x0000_s1026" href="" style="position:absolute;margin-left:0;margin-top:63.75pt;width:24pt;height:24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33408" behindDoc="0" locked="0" layoutInCell="1" allowOverlap="1" wp14:anchorId="0066BA85" wp14:editId="265A5CDA">
                      <wp:simplePos x="0" y="0"/>
                      <wp:positionH relativeFrom="column">
                        <wp:posOffset>0</wp:posOffset>
                      </wp:positionH>
                      <wp:positionV relativeFrom="paragraph">
                        <wp:posOffset>809625</wp:posOffset>
                      </wp:positionV>
                      <wp:extent cx="304800" cy="304800"/>
                      <wp:effectExtent l="3175" t="0" r="0" b="635"/>
                      <wp:wrapNone/>
                      <wp:docPr id="1137" name="AutoShape 812"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D2D60" id="AutoShape 812" o:spid="_x0000_s1026" alt="Selecting an example from Help" style="position:absolute;margin-left:0;margin-top:63.75pt;width:24pt;height:24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" filled="f" stroked="f">
                      <o:lock v:ext="edit" aspectratio="t"/>
                    </v:rect>
                  </w:pict>
                </mc:Fallback>
              </mc:AlternateContent>
            </w:r>
            <w:r>
              <w:rPr>
                <w:noProof/>
                <w:sz w:val="20"/>
                <w:lang w:val="en-US"/>
              </w:rPr>
              <mc:AlternateContent>
                <mc:Choice Requires="wps">
                  <w:drawing>
                    <wp:anchor distT="0" distB="0" distL="114300" distR="114300" simplePos="0" relativeHeight="252434432" behindDoc="0" locked="0" layoutInCell="1" allowOverlap="1" wp14:anchorId="000E4062" wp14:editId="5AC9DDE2">
                      <wp:simplePos x="0" y="0"/>
                      <wp:positionH relativeFrom="column">
                        <wp:posOffset>0</wp:posOffset>
                      </wp:positionH>
                      <wp:positionV relativeFrom="paragraph">
                        <wp:posOffset>809625</wp:posOffset>
                      </wp:positionV>
                      <wp:extent cx="304800" cy="314325"/>
                      <wp:effectExtent l="3175" t="0" r="0" b="635"/>
                      <wp:wrapNone/>
                      <wp:docPr id="1136" name="AutoShape 813">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3DF81" id="AutoShape 813" o:spid="_x0000_s1026" href="" style="position:absolute;margin-left:0;margin-top:63.75pt;width:24pt;height:24.7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35456" behindDoc="0" locked="0" layoutInCell="1" allowOverlap="1" wp14:anchorId="3DC8AEB1" wp14:editId="44E6F21E">
                      <wp:simplePos x="0" y="0"/>
                      <wp:positionH relativeFrom="column">
                        <wp:posOffset>0</wp:posOffset>
                      </wp:positionH>
                      <wp:positionV relativeFrom="paragraph">
                        <wp:posOffset>809625</wp:posOffset>
                      </wp:positionV>
                      <wp:extent cx="304800" cy="314325"/>
                      <wp:effectExtent l="3175" t="0" r="0" b="635"/>
                      <wp:wrapNone/>
                      <wp:docPr id="1135" name="AutoShape 814">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3FD6E" id="AutoShape 814" o:spid="_x0000_s1026" href="" style="position:absolute;margin-left:0;margin-top:63.75pt;width:24pt;height:24.7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36480" behindDoc="0" locked="0" layoutInCell="1" allowOverlap="1" wp14:anchorId="56E2A244" wp14:editId="3199951C">
                      <wp:simplePos x="0" y="0"/>
                      <wp:positionH relativeFrom="column">
                        <wp:posOffset>0</wp:posOffset>
                      </wp:positionH>
                      <wp:positionV relativeFrom="paragraph">
                        <wp:posOffset>809625</wp:posOffset>
                      </wp:positionV>
                      <wp:extent cx="304800" cy="314325"/>
                      <wp:effectExtent l="3175" t="0" r="0" b="635"/>
                      <wp:wrapNone/>
                      <wp:docPr id="1134" name="AutoShape 815">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442FD" id="AutoShape 815" o:spid="_x0000_s1026" href="" style="position:absolute;margin-left:0;margin-top:63.75pt;width:24pt;height:24.7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37504" behindDoc="0" locked="0" layoutInCell="1" allowOverlap="1" wp14:anchorId="4F77E657" wp14:editId="51018251">
                      <wp:simplePos x="0" y="0"/>
                      <wp:positionH relativeFrom="column">
                        <wp:posOffset>0</wp:posOffset>
                      </wp:positionH>
                      <wp:positionV relativeFrom="paragraph">
                        <wp:posOffset>809625</wp:posOffset>
                      </wp:positionV>
                      <wp:extent cx="304800" cy="314325"/>
                      <wp:effectExtent l="3175" t="0" r="0" b="635"/>
                      <wp:wrapNone/>
                      <wp:docPr id="1133" name="AutoShape 816">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33E3D" id="AutoShape 816" o:spid="_x0000_s1026" href="" style="position:absolute;margin-left:0;margin-top:63.75pt;width:24pt;height:24.7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438528" behindDoc="0" locked="0" layoutInCell="1" allowOverlap="1" wp14:anchorId="45CC7710" wp14:editId="1037E3D6">
                      <wp:simplePos x="0" y="0"/>
                      <wp:positionH relativeFrom="column">
                        <wp:posOffset>0</wp:posOffset>
                      </wp:positionH>
                      <wp:positionV relativeFrom="paragraph">
                        <wp:posOffset>809625</wp:posOffset>
                      </wp:positionV>
                      <wp:extent cx="304800" cy="314325"/>
                      <wp:effectExtent l="3175" t="0" r="0" b="635"/>
                      <wp:wrapNone/>
                      <wp:docPr id="1132" name="AutoShape 817">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A32BF" id="AutoShape 817" o:spid="_x0000_s1026" href="" style="position:absolute;margin-left:0;margin-top:63.75pt;width:24pt;height:24.7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" o:button="t" filled="f" stroked="f">
                      <v:fill o:detectmouseclick="t"/>
                      <o:lock v:ext="edit" aspectratio="t"/>
                    </v:rect>
                  </w:pict>
                </mc:Fallback>
              </mc:AlternateContent>
            </w:r>
            <w:r w:rsidR="000923BB">
              <w:rPr>
                <w:rFonts w:cs="Arial"/>
                <w:sz w:val="20"/>
                <w:szCs w:val="20"/>
                <w:lang w:val="en-US"/>
              </w:rPr>
              <w:t>21</w:t>
            </w:r>
          </w:p>
        </w:tc>
      </w:tr>
      <w:tr w:rsidR="000923BB" w14:paraId="03210194" w14:textId="77777777" w:rsidTr="009148F2">
        <w:trPr>
          <w:trHeight w:val="255"/>
        </w:trPr>
        <w:tc>
          <w:tcPr>
            <w:tcW w:w="663" w:type="dxa"/>
            <w:tcBorders>
              <w:top w:val="nil"/>
              <w:left w:val="single" w:sz="4" w:space="0" w:color="auto"/>
              <w:bottom w:val="nil"/>
              <w:right w:val="single" w:sz="4" w:space="0" w:color="auto"/>
            </w:tcBorders>
          </w:tcPr>
          <w:p w14:paraId="5FDC0C4E" w14:textId="77777777" w:rsidR="000923BB" w:rsidRDefault="000923BB" w:rsidP="003A385F">
            <w:pPr>
              <w:rPr>
                <w:rFonts w:cs="Arial"/>
                <w:sz w:val="20"/>
                <w:szCs w:val="20"/>
                <w:lang w:val="en-US"/>
              </w:rPr>
            </w:pPr>
            <w:r>
              <w:rPr>
                <w:rFonts w:cs="Arial"/>
                <w:sz w:val="20"/>
                <w:szCs w:val="20"/>
                <w:lang w:val="en-US"/>
              </w:rPr>
              <w:t> </w:t>
            </w:r>
          </w:p>
        </w:tc>
        <w:tc>
          <w:tcPr>
            <w:tcW w:w="1701" w:type="dxa"/>
            <w:tcBorders>
              <w:top w:val="nil"/>
              <w:left w:val="nil"/>
              <w:bottom w:val="nil"/>
              <w:right w:val="single" w:sz="4" w:space="0" w:color="999999"/>
            </w:tcBorders>
            <w:tcMar>
              <w:top w:w="11" w:type="dxa"/>
              <w:left w:w="57" w:type="dxa"/>
              <w:bottom w:w="11" w:type="dxa"/>
              <w:right w:w="57" w:type="dxa"/>
            </w:tcMar>
          </w:tcPr>
          <w:p w14:paraId="17D107AC" w14:textId="77777777" w:rsidR="000923BB" w:rsidRDefault="000923BB" w:rsidP="003A385F">
            <w:pPr>
              <w:rPr>
                <w:rFonts w:cs="Arial"/>
                <w:sz w:val="20"/>
                <w:szCs w:val="20"/>
                <w:lang w:val="en-US"/>
              </w:rPr>
            </w:pPr>
            <w:r>
              <w:rPr>
                <w:rFonts w:cs="Arial"/>
                <w:sz w:val="20"/>
                <w:szCs w:val="20"/>
                <w:lang w:val="en-US"/>
              </w:rPr>
              <w:t>Nurse / other clinical</w:t>
            </w:r>
          </w:p>
        </w:tc>
        <w:tc>
          <w:tcPr>
            <w:tcW w:w="851" w:type="dxa"/>
            <w:tcBorders>
              <w:top w:val="nil"/>
              <w:left w:val="single" w:sz="4" w:space="0" w:color="999999"/>
              <w:bottom w:val="nil"/>
              <w:right w:val="single" w:sz="4" w:space="0" w:color="999999"/>
            </w:tcBorders>
            <w:tcMar>
              <w:left w:w="57" w:type="dxa"/>
              <w:right w:w="57" w:type="dxa"/>
            </w:tcMar>
          </w:tcPr>
          <w:p w14:paraId="49200436" w14:textId="77777777" w:rsidR="000923BB" w:rsidRDefault="000923BB" w:rsidP="003A385F">
            <w:pPr>
              <w:jc w:val="center"/>
              <w:rPr>
                <w:rFonts w:cs="Arial"/>
                <w:sz w:val="20"/>
                <w:szCs w:val="20"/>
                <w:lang w:val="en-US"/>
              </w:rPr>
            </w:pPr>
            <w:r>
              <w:rPr>
                <w:rFonts w:cs="Arial"/>
                <w:sz w:val="20"/>
                <w:szCs w:val="20"/>
                <w:lang w:val="en-US"/>
              </w:rPr>
              <w:t>50</w:t>
            </w:r>
          </w:p>
        </w:tc>
        <w:tc>
          <w:tcPr>
            <w:tcW w:w="992" w:type="dxa"/>
            <w:tcBorders>
              <w:top w:val="nil"/>
              <w:left w:val="single" w:sz="4" w:space="0" w:color="999999"/>
              <w:bottom w:val="nil"/>
              <w:right w:val="single" w:sz="4" w:space="0" w:color="auto"/>
            </w:tcBorders>
            <w:tcMar>
              <w:left w:w="57" w:type="dxa"/>
              <w:right w:w="57" w:type="dxa"/>
            </w:tcMar>
          </w:tcPr>
          <w:p w14:paraId="6C4E6454" w14:textId="77777777" w:rsidR="000923BB" w:rsidRDefault="000923BB" w:rsidP="003A385F">
            <w:pPr>
              <w:jc w:val="center"/>
              <w:rPr>
                <w:rFonts w:cs="Arial"/>
                <w:sz w:val="20"/>
                <w:szCs w:val="20"/>
                <w:lang w:val="en-US"/>
              </w:rPr>
            </w:pPr>
            <w:r>
              <w:rPr>
                <w:rFonts w:cs="Arial"/>
                <w:sz w:val="20"/>
                <w:szCs w:val="20"/>
                <w:lang w:val="en-US"/>
              </w:rPr>
              <w:t>50</w:t>
            </w:r>
          </w:p>
        </w:tc>
        <w:tc>
          <w:tcPr>
            <w:tcW w:w="1984" w:type="dxa"/>
            <w:tcBorders>
              <w:top w:val="nil"/>
              <w:left w:val="nil"/>
              <w:bottom w:val="nil"/>
              <w:right w:val="single" w:sz="4" w:space="0" w:color="999999"/>
            </w:tcBorders>
            <w:tcMar>
              <w:left w:w="57" w:type="dxa"/>
              <w:right w:w="57" w:type="dxa"/>
            </w:tcMar>
          </w:tcPr>
          <w:p w14:paraId="166BED1E" w14:textId="77777777" w:rsidR="000923BB" w:rsidRDefault="000923BB" w:rsidP="003A385F">
            <w:pPr>
              <w:rPr>
                <w:rFonts w:cs="Arial"/>
                <w:sz w:val="20"/>
                <w:szCs w:val="20"/>
                <w:lang w:val="en-US"/>
              </w:rPr>
            </w:pPr>
            <w:r>
              <w:rPr>
                <w:rFonts w:cs="Arial"/>
                <w:sz w:val="20"/>
                <w:szCs w:val="20"/>
                <w:lang w:val="en-US"/>
              </w:rPr>
              <w:t>Nurse / other clinical</w:t>
            </w:r>
          </w:p>
        </w:tc>
        <w:tc>
          <w:tcPr>
            <w:tcW w:w="851" w:type="dxa"/>
            <w:tcBorders>
              <w:top w:val="nil"/>
              <w:left w:val="single" w:sz="4" w:space="0" w:color="999999"/>
              <w:bottom w:val="nil"/>
              <w:right w:val="single" w:sz="4" w:space="0" w:color="999999"/>
            </w:tcBorders>
            <w:tcMar>
              <w:left w:w="57" w:type="dxa"/>
              <w:right w:w="57" w:type="dxa"/>
            </w:tcMar>
          </w:tcPr>
          <w:p w14:paraId="45746274" w14:textId="77777777" w:rsidR="000923BB" w:rsidRDefault="000923BB" w:rsidP="003A385F">
            <w:pPr>
              <w:jc w:val="center"/>
              <w:rPr>
                <w:rFonts w:cs="Arial"/>
                <w:sz w:val="20"/>
                <w:szCs w:val="20"/>
                <w:lang w:val="en-US"/>
              </w:rPr>
            </w:pPr>
            <w:r>
              <w:rPr>
                <w:rFonts w:cs="Arial"/>
                <w:sz w:val="20"/>
                <w:szCs w:val="20"/>
                <w:lang w:val="en-US"/>
              </w:rPr>
              <w:t>21</w:t>
            </w:r>
          </w:p>
        </w:tc>
        <w:tc>
          <w:tcPr>
            <w:tcW w:w="1134" w:type="dxa"/>
            <w:tcBorders>
              <w:top w:val="nil"/>
              <w:left w:val="single" w:sz="4" w:space="0" w:color="999999"/>
              <w:bottom w:val="nil"/>
              <w:right w:val="single" w:sz="4" w:space="0" w:color="auto"/>
            </w:tcBorders>
            <w:tcMar>
              <w:left w:w="57" w:type="dxa"/>
              <w:right w:w="57" w:type="dxa"/>
            </w:tcMar>
          </w:tcPr>
          <w:p w14:paraId="1CF1CBB8" w14:textId="77777777" w:rsidR="000923BB" w:rsidRDefault="000923BB" w:rsidP="003A385F">
            <w:pPr>
              <w:jc w:val="center"/>
              <w:rPr>
                <w:rFonts w:cs="Arial"/>
                <w:sz w:val="20"/>
                <w:szCs w:val="20"/>
                <w:lang w:val="en-US"/>
              </w:rPr>
            </w:pPr>
            <w:r>
              <w:rPr>
                <w:rFonts w:cs="Arial"/>
                <w:sz w:val="20"/>
                <w:szCs w:val="20"/>
                <w:lang w:val="en-US"/>
              </w:rPr>
              <w:t>21</w:t>
            </w:r>
          </w:p>
        </w:tc>
      </w:tr>
      <w:tr w:rsidR="000923BB" w14:paraId="1A4BA762" w14:textId="77777777" w:rsidTr="009148F2">
        <w:trPr>
          <w:trHeight w:val="255"/>
        </w:trPr>
        <w:tc>
          <w:tcPr>
            <w:tcW w:w="663" w:type="dxa"/>
            <w:tcBorders>
              <w:top w:val="nil"/>
              <w:left w:val="single" w:sz="4" w:space="0" w:color="auto"/>
              <w:bottom w:val="single" w:sz="4" w:space="0" w:color="auto"/>
              <w:right w:val="single" w:sz="4" w:space="0" w:color="auto"/>
            </w:tcBorders>
          </w:tcPr>
          <w:p w14:paraId="244632EE" w14:textId="77777777" w:rsidR="000923BB" w:rsidRDefault="000923BB" w:rsidP="003A385F">
            <w:pPr>
              <w:rPr>
                <w:rFonts w:cs="Arial"/>
                <w:sz w:val="20"/>
                <w:szCs w:val="20"/>
                <w:lang w:val="en-US"/>
              </w:rPr>
            </w:pPr>
            <w:r>
              <w:rPr>
                <w:rFonts w:cs="Arial"/>
                <w:sz w:val="20"/>
                <w:szCs w:val="20"/>
                <w:lang w:val="en-US"/>
              </w:rPr>
              <w:t> </w:t>
            </w:r>
          </w:p>
        </w:tc>
        <w:tc>
          <w:tcPr>
            <w:tcW w:w="1701" w:type="dxa"/>
            <w:tcBorders>
              <w:top w:val="nil"/>
              <w:left w:val="nil"/>
              <w:bottom w:val="single" w:sz="4" w:space="0" w:color="auto"/>
              <w:right w:val="single" w:sz="4" w:space="0" w:color="999999"/>
            </w:tcBorders>
            <w:tcMar>
              <w:top w:w="11" w:type="dxa"/>
              <w:left w:w="57" w:type="dxa"/>
              <w:bottom w:w="11" w:type="dxa"/>
              <w:right w:w="57" w:type="dxa"/>
            </w:tcMar>
          </w:tcPr>
          <w:p w14:paraId="341C95BA" w14:textId="77777777" w:rsidR="000923BB" w:rsidRDefault="000923BB" w:rsidP="003A385F">
            <w:pPr>
              <w:rPr>
                <w:rFonts w:cs="Arial"/>
                <w:sz w:val="20"/>
                <w:szCs w:val="20"/>
                <w:lang w:val="en-US"/>
              </w:rPr>
            </w:pPr>
            <w:r>
              <w:rPr>
                <w:rFonts w:cs="Arial"/>
                <w:sz w:val="20"/>
                <w:szCs w:val="20"/>
                <w:lang w:val="en-US"/>
              </w:rPr>
              <w:t>Doctor</w:t>
            </w:r>
          </w:p>
        </w:tc>
        <w:tc>
          <w:tcPr>
            <w:tcW w:w="851" w:type="dxa"/>
            <w:tcBorders>
              <w:top w:val="nil"/>
              <w:left w:val="single" w:sz="4" w:space="0" w:color="999999"/>
              <w:bottom w:val="single" w:sz="4" w:space="0" w:color="auto"/>
              <w:right w:val="single" w:sz="4" w:space="0" w:color="999999"/>
            </w:tcBorders>
            <w:tcMar>
              <w:left w:w="57" w:type="dxa"/>
              <w:right w:w="57" w:type="dxa"/>
            </w:tcMar>
          </w:tcPr>
          <w:p w14:paraId="47A8D311" w14:textId="77777777" w:rsidR="000923BB" w:rsidRDefault="000923BB" w:rsidP="003A385F">
            <w:pPr>
              <w:jc w:val="center"/>
              <w:rPr>
                <w:rFonts w:cs="Arial"/>
                <w:sz w:val="20"/>
                <w:szCs w:val="20"/>
                <w:lang w:val="en-US"/>
              </w:rPr>
            </w:pPr>
            <w:r>
              <w:rPr>
                <w:rFonts w:cs="Arial"/>
                <w:sz w:val="20"/>
                <w:szCs w:val="20"/>
                <w:lang w:val="en-US"/>
              </w:rPr>
              <w:t>34</w:t>
            </w:r>
          </w:p>
        </w:tc>
        <w:tc>
          <w:tcPr>
            <w:tcW w:w="992" w:type="dxa"/>
            <w:tcBorders>
              <w:top w:val="nil"/>
              <w:left w:val="single" w:sz="4" w:space="0" w:color="999999"/>
              <w:bottom w:val="single" w:sz="4" w:space="0" w:color="auto"/>
              <w:right w:val="single" w:sz="4" w:space="0" w:color="auto"/>
            </w:tcBorders>
            <w:tcMar>
              <w:left w:w="57" w:type="dxa"/>
              <w:right w:w="57" w:type="dxa"/>
            </w:tcMar>
          </w:tcPr>
          <w:p w14:paraId="32B60C7E" w14:textId="77777777" w:rsidR="000923BB" w:rsidRDefault="000923BB" w:rsidP="003A385F">
            <w:pPr>
              <w:jc w:val="center"/>
              <w:rPr>
                <w:rFonts w:cs="Arial"/>
                <w:sz w:val="20"/>
                <w:szCs w:val="20"/>
                <w:lang w:val="en-US"/>
              </w:rPr>
            </w:pPr>
            <w:r>
              <w:rPr>
                <w:rFonts w:cs="Arial"/>
                <w:sz w:val="20"/>
                <w:szCs w:val="20"/>
                <w:lang w:val="en-US"/>
              </w:rPr>
              <w:t>34</w:t>
            </w:r>
          </w:p>
        </w:tc>
        <w:tc>
          <w:tcPr>
            <w:tcW w:w="1984" w:type="dxa"/>
            <w:tcBorders>
              <w:top w:val="nil"/>
              <w:left w:val="nil"/>
              <w:bottom w:val="single" w:sz="4" w:space="0" w:color="auto"/>
              <w:right w:val="single" w:sz="4" w:space="0" w:color="999999"/>
            </w:tcBorders>
            <w:noWrap/>
            <w:tcMar>
              <w:left w:w="57" w:type="dxa"/>
              <w:right w:w="57" w:type="dxa"/>
            </w:tcMar>
          </w:tcPr>
          <w:p w14:paraId="0D0A0509" w14:textId="77777777" w:rsidR="000923BB" w:rsidRDefault="000923BB" w:rsidP="003A385F">
            <w:pPr>
              <w:rPr>
                <w:rFonts w:cs="Arial"/>
                <w:sz w:val="20"/>
                <w:szCs w:val="20"/>
                <w:lang w:val="en-US"/>
              </w:rPr>
            </w:pPr>
            <w:r>
              <w:rPr>
                <w:rFonts w:cs="Arial"/>
                <w:sz w:val="20"/>
                <w:szCs w:val="20"/>
                <w:lang w:val="en-US"/>
              </w:rPr>
              <w:t> </w:t>
            </w:r>
          </w:p>
        </w:tc>
        <w:tc>
          <w:tcPr>
            <w:tcW w:w="851" w:type="dxa"/>
            <w:tcBorders>
              <w:top w:val="nil"/>
              <w:left w:val="single" w:sz="4" w:space="0" w:color="999999"/>
              <w:bottom w:val="single" w:sz="4" w:space="0" w:color="auto"/>
              <w:right w:val="single" w:sz="4" w:space="0" w:color="999999"/>
            </w:tcBorders>
            <w:noWrap/>
            <w:tcMar>
              <w:left w:w="57" w:type="dxa"/>
              <w:right w:w="57" w:type="dxa"/>
            </w:tcMar>
          </w:tcPr>
          <w:p w14:paraId="546FD3C7" w14:textId="77777777" w:rsidR="000923BB" w:rsidRDefault="000923BB" w:rsidP="003A385F">
            <w:pPr>
              <w:jc w:val="center"/>
              <w:rPr>
                <w:rFonts w:cs="Arial"/>
                <w:sz w:val="20"/>
                <w:szCs w:val="20"/>
                <w:lang w:val="en-US"/>
              </w:rPr>
            </w:pPr>
          </w:p>
        </w:tc>
        <w:tc>
          <w:tcPr>
            <w:tcW w:w="1134" w:type="dxa"/>
            <w:tcBorders>
              <w:top w:val="nil"/>
              <w:left w:val="single" w:sz="4" w:space="0" w:color="999999"/>
              <w:bottom w:val="single" w:sz="4" w:space="0" w:color="auto"/>
              <w:right w:val="single" w:sz="4" w:space="0" w:color="auto"/>
            </w:tcBorders>
            <w:noWrap/>
            <w:tcMar>
              <w:left w:w="57" w:type="dxa"/>
              <w:right w:w="57" w:type="dxa"/>
            </w:tcMar>
          </w:tcPr>
          <w:p w14:paraId="611C6B42" w14:textId="77777777" w:rsidR="000923BB" w:rsidRDefault="000923BB" w:rsidP="003A385F">
            <w:pPr>
              <w:jc w:val="center"/>
              <w:rPr>
                <w:rFonts w:cs="Arial"/>
                <w:sz w:val="20"/>
                <w:szCs w:val="20"/>
                <w:lang w:val="en-US"/>
              </w:rPr>
            </w:pPr>
          </w:p>
        </w:tc>
      </w:tr>
      <w:tr w:rsidR="000923BB" w14:paraId="02BC4D70" w14:textId="77777777" w:rsidTr="009148F2">
        <w:trPr>
          <w:trHeight w:val="255"/>
        </w:trPr>
        <w:tc>
          <w:tcPr>
            <w:tcW w:w="663" w:type="dxa"/>
            <w:tcBorders>
              <w:top w:val="single" w:sz="4" w:space="0" w:color="auto"/>
              <w:left w:val="single" w:sz="4" w:space="0" w:color="auto"/>
              <w:bottom w:val="nil"/>
              <w:right w:val="single" w:sz="4" w:space="0" w:color="auto"/>
            </w:tcBorders>
          </w:tcPr>
          <w:p w14:paraId="63611D5C" w14:textId="77777777" w:rsidR="000923BB" w:rsidRDefault="000923BB" w:rsidP="003A385F">
            <w:pPr>
              <w:rPr>
                <w:rFonts w:cs="Arial"/>
                <w:sz w:val="20"/>
                <w:szCs w:val="20"/>
                <w:lang w:val="en-US"/>
              </w:rPr>
            </w:pPr>
            <w:r>
              <w:rPr>
                <w:rFonts w:cs="Arial"/>
                <w:sz w:val="20"/>
                <w:szCs w:val="20"/>
                <w:lang w:val="en-US"/>
              </w:rPr>
              <w:t>E</w:t>
            </w:r>
          </w:p>
        </w:tc>
        <w:tc>
          <w:tcPr>
            <w:tcW w:w="1701" w:type="dxa"/>
            <w:tcBorders>
              <w:top w:val="single" w:sz="4" w:space="0" w:color="auto"/>
              <w:left w:val="nil"/>
              <w:bottom w:val="nil"/>
              <w:right w:val="single" w:sz="4" w:space="0" w:color="999999"/>
            </w:tcBorders>
            <w:tcMar>
              <w:top w:w="11" w:type="dxa"/>
              <w:left w:w="57" w:type="dxa"/>
              <w:bottom w:w="11" w:type="dxa"/>
              <w:right w:w="57" w:type="dxa"/>
            </w:tcMar>
          </w:tcPr>
          <w:p w14:paraId="1FB04C8F" w14:textId="77777777" w:rsidR="000923BB" w:rsidRDefault="000923BB" w:rsidP="003A385F">
            <w:pPr>
              <w:rPr>
                <w:rFonts w:cs="Arial"/>
                <w:sz w:val="20"/>
                <w:szCs w:val="20"/>
                <w:lang w:val="en-US"/>
              </w:rPr>
            </w:pPr>
            <w:r>
              <w:rPr>
                <w:rFonts w:cs="Arial"/>
                <w:sz w:val="20"/>
                <w:szCs w:val="20"/>
                <w:lang w:val="en-US"/>
              </w:rPr>
              <w:t>Non-clinical audit</w:t>
            </w:r>
          </w:p>
        </w:tc>
        <w:tc>
          <w:tcPr>
            <w:tcW w:w="851" w:type="dxa"/>
            <w:tcBorders>
              <w:top w:val="single" w:sz="4" w:space="0" w:color="auto"/>
              <w:left w:val="single" w:sz="4" w:space="0" w:color="999999"/>
              <w:bottom w:val="nil"/>
              <w:right w:val="single" w:sz="4" w:space="0" w:color="999999"/>
            </w:tcBorders>
            <w:tcMar>
              <w:left w:w="57" w:type="dxa"/>
              <w:right w:w="57" w:type="dxa"/>
            </w:tcMar>
          </w:tcPr>
          <w:p w14:paraId="4975C046" w14:textId="77777777" w:rsidR="000923BB" w:rsidRDefault="000923BB" w:rsidP="003A385F">
            <w:pPr>
              <w:jc w:val="center"/>
              <w:rPr>
                <w:rFonts w:cs="Arial"/>
                <w:sz w:val="20"/>
                <w:szCs w:val="20"/>
                <w:lang w:val="en-US"/>
              </w:rPr>
            </w:pPr>
            <w:r>
              <w:rPr>
                <w:rFonts w:cs="Arial"/>
                <w:sz w:val="20"/>
                <w:szCs w:val="20"/>
                <w:lang w:val="en-US"/>
              </w:rPr>
              <w:t>42</w:t>
            </w:r>
          </w:p>
        </w:tc>
        <w:tc>
          <w:tcPr>
            <w:tcW w:w="992" w:type="dxa"/>
            <w:tcBorders>
              <w:top w:val="single" w:sz="4" w:space="0" w:color="auto"/>
              <w:left w:val="single" w:sz="4" w:space="0" w:color="999999"/>
              <w:bottom w:val="nil"/>
              <w:right w:val="single" w:sz="4" w:space="0" w:color="auto"/>
            </w:tcBorders>
            <w:tcMar>
              <w:left w:w="57" w:type="dxa"/>
              <w:right w:w="57" w:type="dxa"/>
            </w:tcMar>
          </w:tcPr>
          <w:p w14:paraId="455E0B5B" w14:textId="77777777" w:rsidR="000923BB" w:rsidRDefault="000923BB" w:rsidP="003A385F">
            <w:pPr>
              <w:jc w:val="center"/>
              <w:rPr>
                <w:rFonts w:cs="Arial"/>
                <w:sz w:val="20"/>
                <w:szCs w:val="20"/>
                <w:lang w:val="en-US"/>
              </w:rPr>
            </w:pPr>
            <w:r>
              <w:rPr>
                <w:rFonts w:cs="Arial"/>
                <w:sz w:val="20"/>
                <w:szCs w:val="20"/>
                <w:lang w:val="en-US"/>
              </w:rPr>
              <w:t>41</w:t>
            </w:r>
          </w:p>
        </w:tc>
        <w:tc>
          <w:tcPr>
            <w:tcW w:w="1984" w:type="dxa"/>
            <w:tcBorders>
              <w:top w:val="single" w:sz="4" w:space="0" w:color="auto"/>
              <w:left w:val="nil"/>
              <w:bottom w:val="nil"/>
              <w:right w:val="single" w:sz="4" w:space="0" w:color="999999"/>
            </w:tcBorders>
            <w:tcMar>
              <w:left w:w="57" w:type="dxa"/>
              <w:right w:w="57" w:type="dxa"/>
            </w:tcMar>
          </w:tcPr>
          <w:p w14:paraId="43E6784D" w14:textId="77777777" w:rsidR="000923BB" w:rsidRDefault="000923BB" w:rsidP="003A385F">
            <w:pPr>
              <w:rPr>
                <w:rFonts w:cs="Arial"/>
                <w:sz w:val="20"/>
                <w:szCs w:val="20"/>
                <w:lang w:val="en-US"/>
              </w:rPr>
            </w:pPr>
            <w:r>
              <w:rPr>
                <w:rFonts w:cs="Arial"/>
                <w:sz w:val="20"/>
                <w:szCs w:val="20"/>
                <w:lang w:val="en-US"/>
              </w:rPr>
              <w:t>Doctor</w:t>
            </w:r>
          </w:p>
        </w:tc>
        <w:tc>
          <w:tcPr>
            <w:tcW w:w="851" w:type="dxa"/>
            <w:tcBorders>
              <w:top w:val="single" w:sz="4" w:space="0" w:color="auto"/>
              <w:left w:val="single" w:sz="4" w:space="0" w:color="999999"/>
              <w:bottom w:val="nil"/>
              <w:right w:val="single" w:sz="4" w:space="0" w:color="999999"/>
            </w:tcBorders>
            <w:tcMar>
              <w:left w:w="57" w:type="dxa"/>
              <w:right w:w="57" w:type="dxa"/>
            </w:tcMar>
          </w:tcPr>
          <w:p w14:paraId="7BA1FE6E" w14:textId="77777777" w:rsidR="000923BB" w:rsidRDefault="000923BB" w:rsidP="003A385F">
            <w:pPr>
              <w:jc w:val="center"/>
              <w:rPr>
                <w:rFonts w:cs="Arial"/>
                <w:sz w:val="20"/>
                <w:szCs w:val="20"/>
                <w:lang w:val="en-US"/>
              </w:rPr>
            </w:pPr>
            <w:r>
              <w:rPr>
                <w:rFonts w:cs="Arial"/>
                <w:sz w:val="20"/>
                <w:szCs w:val="20"/>
                <w:lang w:val="en-US"/>
              </w:rPr>
              <w:t>14</w:t>
            </w:r>
          </w:p>
        </w:tc>
        <w:tc>
          <w:tcPr>
            <w:tcW w:w="1134" w:type="dxa"/>
            <w:tcBorders>
              <w:top w:val="single" w:sz="4" w:space="0" w:color="auto"/>
              <w:left w:val="single" w:sz="4" w:space="0" w:color="999999"/>
              <w:bottom w:val="nil"/>
              <w:right w:val="single" w:sz="4" w:space="0" w:color="auto"/>
            </w:tcBorders>
            <w:tcMar>
              <w:left w:w="57" w:type="dxa"/>
              <w:right w:w="57" w:type="dxa"/>
            </w:tcMar>
          </w:tcPr>
          <w:p w14:paraId="10AAC7B6" w14:textId="77777777" w:rsidR="000923BB" w:rsidRDefault="000923BB" w:rsidP="003A385F">
            <w:pPr>
              <w:jc w:val="center"/>
              <w:rPr>
                <w:rFonts w:cs="Arial"/>
                <w:sz w:val="20"/>
                <w:szCs w:val="20"/>
                <w:lang w:val="en-US"/>
              </w:rPr>
            </w:pPr>
            <w:r>
              <w:rPr>
                <w:rFonts w:cs="Arial"/>
                <w:sz w:val="20"/>
                <w:szCs w:val="20"/>
                <w:lang w:val="en-US"/>
              </w:rPr>
              <w:t>14</w:t>
            </w:r>
          </w:p>
        </w:tc>
      </w:tr>
      <w:tr w:rsidR="000923BB" w14:paraId="09B8EE8E" w14:textId="77777777" w:rsidTr="009148F2">
        <w:trPr>
          <w:trHeight w:val="255"/>
        </w:trPr>
        <w:tc>
          <w:tcPr>
            <w:tcW w:w="663" w:type="dxa"/>
            <w:tcBorders>
              <w:top w:val="nil"/>
              <w:left w:val="single" w:sz="4" w:space="0" w:color="auto"/>
              <w:bottom w:val="nil"/>
              <w:right w:val="single" w:sz="4" w:space="0" w:color="auto"/>
            </w:tcBorders>
          </w:tcPr>
          <w:p w14:paraId="0CF37DA2" w14:textId="77777777" w:rsidR="000923BB" w:rsidRDefault="000923BB" w:rsidP="003A385F">
            <w:pPr>
              <w:rPr>
                <w:rFonts w:cs="Arial"/>
                <w:sz w:val="20"/>
                <w:szCs w:val="20"/>
                <w:lang w:val="en-US"/>
              </w:rPr>
            </w:pPr>
            <w:r>
              <w:rPr>
                <w:rFonts w:cs="Arial"/>
                <w:sz w:val="20"/>
                <w:szCs w:val="20"/>
                <w:lang w:val="en-US"/>
              </w:rPr>
              <w:t> </w:t>
            </w:r>
          </w:p>
        </w:tc>
        <w:tc>
          <w:tcPr>
            <w:tcW w:w="1701" w:type="dxa"/>
            <w:tcBorders>
              <w:top w:val="nil"/>
              <w:left w:val="nil"/>
              <w:bottom w:val="nil"/>
              <w:right w:val="single" w:sz="4" w:space="0" w:color="999999"/>
            </w:tcBorders>
            <w:tcMar>
              <w:top w:w="11" w:type="dxa"/>
              <w:left w:w="57" w:type="dxa"/>
              <w:bottom w:w="11" w:type="dxa"/>
              <w:right w:w="57" w:type="dxa"/>
            </w:tcMar>
          </w:tcPr>
          <w:p w14:paraId="74276F51" w14:textId="77777777" w:rsidR="000923BB" w:rsidRDefault="000923BB" w:rsidP="003A385F">
            <w:pPr>
              <w:rPr>
                <w:rFonts w:cs="Arial"/>
                <w:sz w:val="20"/>
                <w:szCs w:val="20"/>
                <w:lang w:val="en-US"/>
              </w:rPr>
            </w:pPr>
            <w:r>
              <w:rPr>
                <w:rFonts w:cs="Arial"/>
                <w:sz w:val="20"/>
                <w:szCs w:val="20"/>
                <w:lang w:val="en-US"/>
              </w:rPr>
              <w:t>Non-clinical audit</w:t>
            </w:r>
          </w:p>
        </w:tc>
        <w:tc>
          <w:tcPr>
            <w:tcW w:w="851" w:type="dxa"/>
            <w:tcBorders>
              <w:top w:val="nil"/>
              <w:left w:val="single" w:sz="4" w:space="0" w:color="999999"/>
              <w:bottom w:val="nil"/>
              <w:right w:val="single" w:sz="4" w:space="0" w:color="999999"/>
            </w:tcBorders>
            <w:tcMar>
              <w:left w:w="57" w:type="dxa"/>
              <w:right w:w="57" w:type="dxa"/>
            </w:tcMar>
          </w:tcPr>
          <w:p w14:paraId="27E6617E" w14:textId="77777777" w:rsidR="000923BB" w:rsidRDefault="000923BB" w:rsidP="003A385F">
            <w:pPr>
              <w:jc w:val="center"/>
              <w:rPr>
                <w:rFonts w:cs="Arial"/>
                <w:sz w:val="20"/>
                <w:szCs w:val="20"/>
                <w:lang w:val="en-US"/>
              </w:rPr>
            </w:pPr>
            <w:r>
              <w:rPr>
                <w:rFonts w:cs="Arial"/>
                <w:sz w:val="20"/>
                <w:szCs w:val="20"/>
                <w:lang w:val="en-US"/>
              </w:rPr>
              <w:t>43</w:t>
            </w:r>
          </w:p>
        </w:tc>
        <w:tc>
          <w:tcPr>
            <w:tcW w:w="992" w:type="dxa"/>
            <w:tcBorders>
              <w:top w:val="nil"/>
              <w:left w:val="single" w:sz="4" w:space="0" w:color="999999"/>
              <w:bottom w:val="nil"/>
              <w:right w:val="single" w:sz="4" w:space="0" w:color="auto"/>
            </w:tcBorders>
            <w:tcMar>
              <w:left w:w="57" w:type="dxa"/>
              <w:right w:w="57" w:type="dxa"/>
            </w:tcMar>
          </w:tcPr>
          <w:p w14:paraId="4C36D8B1" w14:textId="77777777" w:rsidR="000923BB" w:rsidRDefault="000923BB" w:rsidP="003A385F">
            <w:pPr>
              <w:jc w:val="center"/>
              <w:rPr>
                <w:rFonts w:cs="Arial"/>
                <w:sz w:val="20"/>
                <w:szCs w:val="20"/>
                <w:lang w:val="en-US"/>
              </w:rPr>
            </w:pPr>
            <w:r>
              <w:rPr>
                <w:rFonts w:cs="Arial"/>
                <w:sz w:val="20"/>
                <w:szCs w:val="20"/>
                <w:lang w:val="en-US"/>
              </w:rPr>
              <w:t>43</w:t>
            </w:r>
          </w:p>
        </w:tc>
        <w:tc>
          <w:tcPr>
            <w:tcW w:w="1984" w:type="dxa"/>
            <w:tcBorders>
              <w:top w:val="nil"/>
              <w:left w:val="nil"/>
              <w:bottom w:val="nil"/>
              <w:right w:val="single" w:sz="4" w:space="0" w:color="999999"/>
            </w:tcBorders>
            <w:tcMar>
              <w:left w:w="57" w:type="dxa"/>
              <w:right w:w="57" w:type="dxa"/>
            </w:tcMar>
          </w:tcPr>
          <w:p w14:paraId="6F23E7CC" w14:textId="77777777" w:rsidR="000923BB" w:rsidRDefault="000923BB" w:rsidP="003A385F">
            <w:pPr>
              <w:rPr>
                <w:rFonts w:cs="Arial"/>
                <w:sz w:val="20"/>
                <w:szCs w:val="20"/>
                <w:lang w:val="en-US"/>
              </w:rPr>
            </w:pPr>
            <w:r>
              <w:rPr>
                <w:rFonts w:cs="Arial"/>
                <w:sz w:val="20"/>
                <w:szCs w:val="20"/>
                <w:lang w:val="en-US"/>
              </w:rPr>
              <w:t>Doctor</w:t>
            </w:r>
          </w:p>
        </w:tc>
        <w:tc>
          <w:tcPr>
            <w:tcW w:w="851" w:type="dxa"/>
            <w:tcBorders>
              <w:top w:val="nil"/>
              <w:left w:val="single" w:sz="4" w:space="0" w:color="999999"/>
              <w:bottom w:val="nil"/>
              <w:right w:val="single" w:sz="4" w:space="0" w:color="999999"/>
            </w:tcBorders>
            <w:tcMar>
              <w:left w:w="57" w:type="dxa"/>
              <w:right w:w="57" w:type="dxa"/>
            </w:tcMar>
          </w:tcPr>
          <w:p w14:paraId="4F8073B8" w14:textId="77777777" w:rsidR="000923BB" w:rsidRDefault="000923BB" w:rsidP="003A385F">
            <w:pPr>
              <w:jc w:val="center"/>
              <w:rPr>
                <w:rFonts w:cs="Arial"/>
                <w:sz w:val="20"/>
                <w:szCs w:val="20"/>
                <w:lang w:val="en-US"/>
              </w:rPr>
            </w:pPr>
            <w:r>
              <w:rPr>
                <w:rFonts w:cs="Arial"/>
                <w:sz w:val="20"/>
                <w:szCs w:val="20"/>
                <w:lang w:val="en-US"/>
              </w:rPr>
              <w:t>14</w:t>
            </w:r>
          </w:p>
        </w:tc>
        <w:tc>
          <w:tcPr>
            <w:tcW w:w="1134" w:type="dxa"/>
            <w:tcBorders>
              <w:top w:val="nil"/>
              <w:left w:val="single" w:sz="4" w:space="0" w:color="999999"/>
              <w:bottom w:val="nil"/>
              <w:right w:val="single" w:sz="4" w:space="0" w:color="auto"/>
            </w:tcBorders>
            <w:tcMar>
              <w:left w:w="57" w:type="dxa"/>
              <w:right w:w="57" w:type="dxa"/>
            </w:tcMar>
          </w:tcPr>
          <w:p w14:paraId="0DE4485E" w14:textId="77777777" w:rsidR="000923BB" w:rsidRDefault="000923BB" w:rsidP="003A385F">
            <w:pPr>
              <w:jc w:val="center"/>
              <w:rPr>
                <w:rFonts w:cs="Arial"/>
                <w:sz w:val="20"/>
                <w:szCs w:val="20"/>
                <w:lang w:val="en-US"/>
              </w:rPr>
            </w:pPr>
            <w:r>
              <w:rPr>
                <w:rFonts w:cs="Arial"/>
                <w:sz w:val="20"/>
                <w:szCs w:val="20"/>
                <w:lang w:val="en-US"/>
              </w:rPr>
              <w:t>14</w:t>
            </w:r>
          </w:p>
        </w:tc>
      </w:tr>
      <w:tr w:rsidR="000923BB" w14:paraId="7F423619" w14:textId="77777777" w:rsidTr="009148F2">
        <w:trPr>
          <w:trHeight w:val="255"/>
        </w:trPr>
        <w:tc>
          <w:tcPr>
            <w:tcW w:w="663" w:type="dxa"/>
            <w:tcBorders>
              <w:top w:val="nil"/>
              <w:left w:val="single" w:sz="4" w:space="0" w:color="auto"/>
              <w:bottom w:val="single" w:sz="4" w:space="0" w:color="auto"/>
              <w:right w:val="single" w:sz="4" w:space="0" w:color="auto"/>
            </w:tcBorders>
          </w:tcPr>
          <w:p w14:paraId="16A47E1A" w14:textId="77777777" w:rsidR="000923BB" w:rsidRDefault="000923BB" w:rsidP="003A385F">
            <w:pPr>
              <w:rPr>
                <w:rFonts w:cs="Arial"/>
                <w:sz w:val="20"/>
                <w:szCs w:val="20"/>
                <w:lang w:val="en-US"/>
              </w:rPr>
            </w:pPr>
            <w:r>
              <w:rPr>
                <w:rFonts w:cs="Arial"/>
                <w:sz w:val="20"/>
                <w:szCs w:val="20"/>
                <w:lang w:val="en-US"/>
              </w:rPr>
              <w:t> </w:t>
            </w:r>
          </w:p>
        </w:tc>
        <w:tc>
          <w:tcPr>
            <w:tcW w:w="1701" w:type="dxa"/>
            <w:tcBorders>
              <w:top w:val="nil"/>
              <w:left w:val="nil"/>
              <w:bottom w:val="single" w:sz="4" w:space="0" w:color="auto"/>
              <w:right w:val="single" w:sz="4" w:space="0" w:color="999999"/>
            </w:tcBorders>
            <w:tcMar>
              <w:top w:w="11" w:type="dxa"/>
              <w:left w:w="57" w:type="dxa"/>
              <w:bottom w:w="11" w:type="dxa"/>
              <w:right w:w="57" w:type="dxa"/>
            </w:tcMar>
          </w:tcPr>
          <w:p w14:paraId="3F866DFB" w14:textId="77777777" w:rsidR="000923BB" w:rsidRDefault="000923BB" w:rsidP="003A385F">
            <w:pPr>
              <w:rPr>
                <w:rFonts w:cs="Arial"/>
                <w:sz w:val="20"/>
                <w:szCs w:val="20"/>
                <w:lang w:val="en-US"/>
              </w:rPr>
            </w:pPr>
            <w:r>
              <w:rPr>
                <w:rFonts w:cs="Arial"/>
                <w:sz w:val="20"/>
                <w:szCs w:val="20"/>
                <w:lang w:val="en-US"/>
              </w:rPr>
              <w:t>Doctor</w:t>
            </w:r>
          </w:p>
        </w:tc>
        <w:tc>
          <w:tcPr>
            <w:tcW w:w="851" w:type="dxa"/>
            <w:tcBorders>
              <w:top w:val="nil"/>
              <w:left w:val="single" w:sz="4" w:space="0" w:color="999999"/>
              <w:bottom w:val="single" w:sz="4" w:space="0" w:color="auto"/>
              <w:right w:val="single" w:sz="4" w:space="0" w:color="999999"/>
            </w:tcBorders>
            <w:tcMar>
              <w:left w:w="57" w:type="dxa"/>
              <w:right w:w="57" w:type="dxa"/>
            </w:tcMar>
          </w:tcPr>
          <w:p w14:paraId="23361B6A" w14:textId="055D9B45" w:rsidR="000923BB" w:rsidRDefault="00003011" w:rsidP="003A385F">
            <w:pPr>
              <w:jc w:val="center"/>
              <w:rPr>
                <w:rFonts w:cs="Arial"/>
                <w:sz w:val="20"/>
                <w:szCs w:val="20"/>
                <w:lang w:val="en-US"/>
              </w:rPr>
            </w:pPr>
            <w:r>
              <w:rPr>
                <w:noProof/>
                <w:sz w:val="20"/>
                <w:lang w:val="en-US"/>
              </w:rPr>
              <mc:AlternateContent>
                <mc:Choice Requires="wps">
                  <w:drawing>
                    <wp:anchor distT="0" distB="0" distL="114300" distR="114300" simplePos="0" relativeHeight="252148736" behindDoc="0" locked="0" layoutInCell="1" allowOverlap="1" wp14:anchorId="50008A63" wp14:editId="644D525D">
                      <wp:simplePos x="0" y="0"/>
                      <wp:positionH relativeFrom="column">
                        <wp:posOffset>0</wp:posOffset>
                      </wp:positionH>
                      <wp:positionV relativeFrom="paragraph">
                        <wp:posOffset>0</wp:posOffset>
                      </wp:positionV>
                      <wp:extent cx="304800" cy="466725"/>
                      <wp:effectExtent l="4445" t="0" r="0" b="0"/>
                      <wp:wrapNone/>
                      <wp:docPr id="1131" name="AutoShape 534">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667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57833" id="AutoShape 534" o:spid="_x0000_s1026" href="" style="position:absolute;margin-left:0;margin-top:0;width:24pt;height:36.7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149760" behindDoc="0" locked="0" layoutInCell="1" allowOverlap="1" wp14:anchorId="3FC9CF2F" wp14:editId="29C5D750">
                      <wp:simplePos x="0" y="0"/>
                      <wp:positionH relativeFrom="column">
                        <wp:posOffset>0</wp:posOffset>
                      </wp:positionH>
                      <wp:positionV relativeFrom="paragraph">
                        <wp:posOffset>161925</wp:posOffset>
                      </wp:positionV>
                      <wp:extent cx="304800" cy="552450"/>
                      <wp:effectExtent l="4445" t="0" r="0" b="0"/>
                      <wp:wrapNone/>
                      <wp:docPr id="1130" name="AutoShape 535"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5524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C8EB4" id="AutoShape 535" o:spid="_x0000_s1026" alt="Selecting an example from Help" style="position:absolute;margin-left:0;margin-top:12.75pt;width:24pt;height:43.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" filled="f" stroked="f">
                      <o:lock v:ext="edit" aspectratio="t"/>
                    </v:rect>
                  </w:pict>
                </mc:Fallback>
              </mc:AlternateContent>
            </w:r>
            <w:r>
              <w:rPr>
                <w:noProof/>
                <w:sz w:val="20"/>
                <w:lang w:val="en-US"/>
              </w:rPr>
              <mc:AlternateContent>
                <mc:Choice Requires="wps">
                  <w:drawing>
                    <wp:anchor distT="0" distB="0" distL="114300" distR="114300" simplePos="0" relativeHeight="252150784" behindDoc="0" locked="0" layoutInCell="1" allowOverlap="1" wp14:anchorId="3C1E0209" wp14:editId="686B52F9">
                      <wp:simplePos x="0" y="0"/>
                      <wp:positionH relativeFrom="column">
                        <wp:posOffset>0</wp:posOffset>
                      </wp:positionH>
                      <wp:positionV relativeFrom="paragraph">
                        <wp:posOffset>0</wp:posOffset>
                      </wp:positionV>
                      <wp:extent cx="304800" cy="466725"/>
                      <wp:effectExtent l="4445" t="0" r="0" b="0"/>
                      <wp:wrapNone/>
                      <wp:docPr id="1129" name="AutoShape 536">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667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A0572" id="AutoShape 536" o:spid="_x0000_s1026" href="" style="position:absolute;margin-left:0;margin-top:0;width:24pt;height:36.7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151808" behindDoc="0" locked="0" layoutInCell="1" allowOverlap="1" wp14:anchorId="6640E371" wp14:editId="25D5E750">
                      <wp:simplePos x="0" y="0"/>
                      <wp:positionH relativeFrom="column">
                        <wp:posOffset>0</wp:posOffset>
                      </wp:positionH>
                      <wp:positionV relativeFrom="paragraph">
                        <wp:posOffset>161925</wp:posOffset>
                      </wp:positionV>
                      <wp:extent cx="304800" cy="552450"/>
                      <wp:effectExtent l="4445" t="0" r="0" b="0"/>
                      <wp:wrapNone/>
                      <wp:docPr id="1128" name="AutoShape 537"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5524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9F10D" id="AutoShape 537" o:spid="_x0000_s1026" alt="Selecting an example from Help" style="position:absolute;margin-left:0;margin-top:12.75pt;width:24pt;height:43.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" filled="f" stroked="f">
                      <o:lock v:ext="edit" aspectratio="t"/>
                    </v:rect>
                  </w:pict>
                </mc:Fallback>
              </mc:AlternateContent>
            </w:r>
            <w:r>
              <w:rPr>
                <w:noProof/>
                <w:sz w:val="20"/>
                <w:lang w:val="en-US"/>
              </w:rPr>
              <mc:AlternateContent>
                <mc:Choice Requires="wps">
                  <w:drawing>
                    <wp:anchor distT="0" distB="0" distL="114300" distR="114300" simplePos="0" relativeHeight="252152832" behindDoc="0" locked="0" layoutInCell="1" allowOverlap="1" wp14:anchorId="62624D86" wp14:editId="6AF6C5EE">
                      <wp:simplePos x="0" y="0"/>
                      <wp:positionH relativeFrom="column">
                        <wp:posOffset>0</wp:posOffset>
                      </wp:positionH>
                      <wp:positionV relativeFrom="paragraph">
                        <wp:posOffset>771525</wp:posOffset>
                      </wp:positionV>
                      <wp:extent cx="304800" cy="285750"/>
                      <wp:effectExtent l="4445" t="0" r="0" b="0"/>
                      <wp:wrapNone/>
                      <wp:docPr id="1127" name="AutoShape 538"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857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FDF9E" id="AutoShape 538" o:spid="_x0000_s1026" alt="Selecting an example from Help" style="position:absolute;margin-left:0;margin-top:60.75pt;width:24pt;height:22.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" filled="f" stroked="f">
                      <o:lock v:ext="edit" aspectratio="t"/>
                    </v:rect>
                  </w:pict>
                </mc:Fallback>
              </mc:AlternateContent>
            </w:r>
            <w:r>
              <w:rPr>
                <w:noProof/>
                <w:sz w:val="20"/>
                <w:lang w:val="en-US"/>
              </w:rPr>
              <mc:AlternateContent>
                <mc:Choice Requires="wps">
                  <w:drawing>
                    <wp:anchor distT="0" distB="0" distL="114300" distR="114300" simplePos="0" relativeHeight="252153856" behindDoc="0" locked="0" layoutInCell="1" allowOverlap="1" wp14:anchorId="704507F6" wp14:editId="34FBF7B3">
                      <wp:simplePos x="0" y="0"/>
                      <wp:positionH relativeFrom="column">
                        <wp:posOffset>0</wp:posOffset>
                      </wp:positionH>
                      <wp:positionV relativeFrom="paragraph">
                        <wp:posOffset>771525</wp:posOffset>
                      </wp:positionV>
                      <wp:extent cx="304800" cy="266700"/>
                      <wp:effectExtent l="4445" t="0" r="0" b="0"/>
                      <wp:wrapNone/>
                      <wp:docPr id="1126" name="AutoShape 539"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32A4A" id="AutoShape 539" o:spid="_x0000_s1026" alt="Selecting an example from Help" style="position:absolute;margin-left:0;margin-top:60.75pt;width:24pt;height:21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" filled="f" stroked="f">
                      <o:lock v:ext="edit" aspectratio="t"/>
                    </v:rect>
                  </w:pict>
                </mc:Fallback>
              </mc:AlternateContent>
            </w:r>
            <w:r>
              <w:rPr>
                <w:noProof/>
                <w:sz w:val="20"/>
                <w:lang w:val="en-US"/>
              </w:rPr>
              <mc:AlternateContent>
                <mc:Choice Requires="wps">
                  <w:drawing>
                    <wp:anchor distT="0" distB="0" distL="114300" distR="114300" simplePos="0" relativeHeight="252154880" behindDoc="0" locked="0" layoutInCell="1" allowOverlap="1" wp14:anchorId="234F52FE" wp14:editId="1C229976">
                      <wp:simplePos x="0" y="0"/>
                      <wp:positionH relativeFrom="column">
                        <wp:posOffset>0</wp:posOffset>
                      </wp:positionH>
                      <wp:positionV relativeFrom="paragraph">
                        <wp:posOffset>952500</wp:posOffset>
                      </wp:positionV>
                      <wp:extent cx="304800" cy="323850"/>
                      <wp:effectExtent l="4445" t="0" r="0" b="0"/>
                      <wp:wrapNone/>
                      <wp:docPr id="1125" name="AutoShape 540"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238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4C3FF" id="AutoShape 540" o:spid="_x0000_s1026" alt="Selecting an example from Help" style="position:absolute;margin-left:0;margin-top:75pt;width:24pt;height:25.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" filled="f" stroked="f">
                      <o:lock v:ext="edit" aspectratio="t"/>
                    </v:rect>
                  </w:pict>
                </mc:Fallback>
              </mc:AlternateContent>
            </w:r>
            <w:r>
              <w:rPr>
                <w:noProof/>
                <w:sz w:val="20"/>
                <w:lang w:val="en-US"/>
              </w:rPr>
              <mc:AlternateContent>
                <mc:Choice Requires="wps">
                  <w:drawing>
                    <wp:anchor distT="0" distB="0" distL="114300" distR="114300" simplePos="0" relativeHeight="252155904" behindDoc="0" locked="0" layoutInCell="1" allowOverlap="1" wp14:anchorId="352FA008" wp14:editId="735C7ED8">
                      <wp:simplePos x="0" y="0"/>
                      <wp:positionH relativeFrom="column">
                        <wp:posOffset>0</wp:posOffset>
                      </wp:positionH>
                      <wp:positionV relativeFrom="paragraph">
                        <wp:posOffset>952500</wp:posOffset>
                      </wp:positionV>
                      <wp:extent cx="304800" cy="304800"/>
                      <wp:effectExtent l="4445" t="0" r="0" b="0"/>
                      <wp:wrapNone/>
                      <wp:docPr id="1124" name="AutoShape 541"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28BB1" id="AutoShape 541" o:spid="_x0000_s1026" alt="Selecting an example from Help" style="position:absolute;margin-left:0;margin-top:75pt;width:24pt;height:24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" filled="f" stroked="f">
                      <o:lock v:ext="edit" aspectratio="t"/>
                    </v:rect>
                  </w:pict>
                </mc:Fallback>
              </mc:AlternateContent>
            </w:r>
            <w:r>
              <w:rPr>
                <w:noProof/>
                <w:sz w:val="20"/>
                <w:lang w:val="en-US"/>
              </w:rPr>
              <mc:AlternateContent>
                <mc:Choice Requires="wps">
                  <w:drawing>
                    <wp:anchor distT="0" distB="0" distL="114300" distR="114300" simplePos="0" relativeHeight="252156928" behindDoc="0" locked="0" layoutInCell="1" allowOverlap="1" wp14:anchorId="7F1B30DD" wp14:editId="5B57D5BC">
                      <wp:simplePos x="0" y="0"/>
                      <wp:positionH relativeFrom="column">
                        <wp:posOffset>0</wp:posOffset>
                      </wp:positionH>
                      <wp:positionV relativeFrom="paragraph">
                        <wp:posOffset>1133475</wp:posOffset>
                      </wp:positionV>
                      <wp:extent cx="304800" cy="238125"/>
                      <wp:effectExtent l="4445" t="0" r="0" b="0"/>
                      <wp:wrapNone/>
                      <wp:docPr id="1123" name="AutoShape 542">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381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F6F55" id="AutoShape 542" o:spid="_x0000_s1026" href="" style="position:absolute;margin-left:0;margin-top:89.25pt;width:24pt;height:18.7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157952" behindDoc="0" locked="0" layoutInCell="1" allowOverlap="1" wp14:anchorId="512E85F2" wp14:editId="43316E17">
                      <wp:simplePos x="0" y="0"/>
                      <wp:positionH relativeFrom="column">
                        <wp:posOffset>0</wp:posOffset>
                      </wp:positionH>
                      <wp:positionV relativeFrom="paragraph">
                        <wp:posOffset>1133475</wp:posOffset>
                      </wp:positionV>
                      <wp:extent cx="304800" cy="238125"/>
                      <wp:effectExtent l="4445" t="0" r="0" b="0"/>
                      <wp:wrapNone/>
                      <wp:docPr id="1122" name="AutoShape 543"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381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435C1" id="AutoShape 543" o:spid="_x0000_s1026" alt="Selecting an example from Help" style="position:absolute;margin-left:0;margin-top:89.25pt;width:24pt;height:18.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" filled="f" stroked="f">
                      <o:lock v:ext="edit" aspectratio="t"/>
                    </v:rect>
                  </w:pict>
                </mc:Fallback>
              </mc:AlternateContent>
            </w:r>
            <w:r>
              <w:rPr>
                <w:noProof/>
                <w:sz w:val="20"/>
                <w:lang w:val="en-US"/>
              </w:rPr>
              <mc:AlternateContent>
                <mc:Choice Requires="wps">
                  <w:drawing>
                    <wp:anchor distT="0" distB="0" distL="114300" distR="114300" simplePos="0" relativeHeight="252158976" behindDoc="0" locked="0" layoutInCell="1" allowOverlap="1" wp14:anchorId="00D571E7" wp14:editId="72074DC2">
                      <wp:simplePos x="0" y="0"/>
                      <wp:positionH relativeFrom="column">
                        <wp:posOffset>0</wp:posOffset>
                      </wp:positionH>
                      <wp:positionV relativeFrom="paragraph">
                        <wp:posOffset>0</wp:posOffset>
                      </wp:positionV>
                      <wp:extent cx="304800" cy="466725"/>
                      <wp:effectExtent l="4445" t="0" r="0" b="0"/>
                      <wp:wrapNone/>
                      <wp:docPr id="1121" name="AutoShape 544">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667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06140" id="AutoShape 544" o:spid="_x0000_s1026" href="" style="position:absolute;margin-left:0;margin-top:0;width:24pt;height:36.7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160000" behindDoc="0" locked="0" layoutInCell="1" allowOverlap="1" wp14:anchorId="177F6E5B" wp14:editId="1617756C">
                      <wp:simplePos x="0" y="0"/>
                      <wp:positionH relativeFrom="column">
                        <wp:posOffset>0</wp:posOffset>
                      </wp:positionH>
                      <wp:positionV relativeFrom="paragraph">
                        <wp:posOffset>0</wp:posOffset>
                      </wp:positionV>
                      <wp:extent cx="304800" cy="466725"/>
                      <wp:effectExtent l="4445" t="0" r="0" b="0"/>
                      <wp:wrapNone/>
                      <wp:docPr id="1120" name="AutoShape 545">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667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0DD7A" id="AutoShape 545" o:spid="_x0000_s1026" href="" style="position:absolute;margin-left:0;margin-top:0;width:24pt;height:36.7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161024" behindDoc="0" locked="0" layoutInCell="1" allowOverlap="1" wp14:anchorId="0EB95ED2" wp14:editId="0A58EDAA">
                      <wp:simplePos x="0" y="0"/>
                      <wp:positionH relativeFrom="column">
                        <wp:posOffset>0</wp:posOffset>
                      </wp:positionH>
                      <wp:positionV relativeFrom="paragraph">
                        <wp:posOffset>809625</wp:posOffset>
                      </wp:positionV>
                      <wp:extent cx="304800" cy="476250"/>
                      <wp:effectExtent l="4445" t="0" r="0" b="0"/>
                      <wp:wrapNone/>
                      <wp:docPr id="1119" name="AutoShape 546">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76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3406A" id="AutoShape 546" o:spid="_x0000_s1026" href="" style="position:absolute;margin-left:0;margin-top:63.75pt;width:24pt;height:3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162048" behindDoc="0" locked="0" layoutInCell="1" allowOverlap="1" wp14:anchorId="78776162" wp14:editId="65E70B2B">
                      <wp:simplePos x="0" y="0"/>
                      <wp:positionH relativeFrom="column">
                        <wp:posOffset>0</wp:posOffset>
                      </wp:positionH>
                      <wp:positionV relativeFrom="paragraph">
                        <wp:posOffset>809625</wp:posOffset>
                      </wp:positionV>
                      <wp:extent cx="304800" cy="476250"/>
                      <wp:effectExtent l="4445" t="0" r="0" b="0"/>
                      <wp:wrapNone/>
                      <wp:docPr id="1118" name="AutoShape 547"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76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4E630" id="AutoShape 547" o:spid="_x0000_s1026" alt="Selecting an example from Help" style="position:absolute;margin-left:0;margin-top:63.75pt;width:24pt;height:37.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" filled="f" stroked="f">
                      <o:lock v:ext="edit" aspectratio="t"/>
                    </v:rect>
                  </w:pict>
                </mc:Fallback>
              </mc:AlternateContent>
            </w:r>
            <w:r>
              <w:rPr>
                <w:noProof/>
                <w:sz w:val="20"/>
                <w:lang w:val="en-US"/>
              </w:rPr>
              <mc:AlternateContent>
                <mc:Choice Requires="wps">
                  <w:drawing>
                    <wp:anchor distT="0" distB="0" distL="114300" distR="114300" simplePos="0" relativeHeight="252163072" behindDoc="0" locked="0" layoutInCell="1" allowOverlap="1" wp14:anchorId="16DFF2EA" wp14:editId="73C57975">
                      <wp:simplePos x="0" y="0"/>
                      <wp:positionH relativeFrom="column">
                        <wp:posOffset>0</wp:posOffset>
                      </wp:positionH>
                      <wp:positionV relativeFrom="paragraph">
                        <wp:posOffset>971550</wp:posOffset>
                      </wp:positionV>
                      <wp:extent cx="304800" cy="314325"/>
                      <wp:effectExtent l="4445" t="0" r="0" b="0"/>
                      <wp:wrapNone/>
                      <wp:docPr id="1117" name="AutoShape 548">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E3235" id="AutoShape 548" o:spid="_x0000_s1026" href="" style="position:absolute;margin-left:0;margin-top:76.5pt;width:24pt;height:24.7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164096" behindDoc="0" locked="0" layoutInCell="1" allowOverlap="1" wp14:anchorId="2876B215" wp14:editId="5995367F">
                      <wp:simplePos x="0" y="0"/>
                      <wp:positionH relativeFrom="column">
                        <wp:posOffset>0</wp:posOffset>
                      </wp:positionH>
                      <wp:positionV relativeFrom="paragraph">
                        <wp:posOffset>971550</wp:posOffset>
                      </wp:positionV>
                      <wp:extent cx="304800" cy="314325"/>
                      <wp:effectExtent l="4445" t="0" r="0" b="0"/>
                      <wp:wrapNone/>
                      <wp:docPr id="1116" name="AutoShape 549"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F12FA" id="AutoShape 549" o:spid="_x0000_s1026" alt="Selecting an example from Help" style="position:absolute;margin-left:0;margin-top:76.5pt;width:24pt;height:24.7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" filled="f" stroked="f">
                      <o:lock v:ext="edit" aspectratio="t"/>
                    </v:rect>
                  </w:pict>
                </mc:Fallback>
              </mc:AlternateContent>
            </w:r>
            <w:r>
              <w:rPr>
                <w:noProof/>
                <w:sz w:val="20"/>
                <w:lang w:val="en-US"/>
              </w:rPr>
              <mc:AlternateContent>
                <mc:Choice Requires="wps">
                  <w:drawing>
                    <wp:anchor distT="0" distB="0" distL="114300" distR="114300" simplePos="0" relativeHeight="252165120" behindDoc="0" locked="0" layoutInCell="1" allowOverlap="1" wp14:anchorId="6C9A9682" wp14:editId="215FA214">
                      <wp:simplePos x="0" y="0"/>
                      <wp:positionH relativeFrom="column">
                        <wp:posOffset>0</wp:posOffset>
                      </wp:positionH>
                      <wp:positionV relativeFrom="paragraph">
                        <wp:posOffset>771525</wp:posOffset>
                      </wp:positionV>
                      <wp:extent cx="304800" cy="285750"/>
                      <wp:effectExtent l="4445" t="0" r="0" b="0"/>
                      <wp:wrapNone/>
                      <wp:docPr id="1115" name="AutoShape 550"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857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F5EA9" id="AutoShape 550" o:spid="_x0000_s1026" alt="Selecting an example from Help" style="position:absolute;margin-left:0;margin-top:60.75pt;width:24pt;height:22.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" filled="f" stroked="f">
                      <o:lock v:ext="edit" aspectratio="t"/>
                    </v:rect>
                  </w:pict>
                </mc:Fallback>
              </mc:AlternateContent>
            </w:r>
            <w:r>
              <w:rPr>
                <w:noProof/>
                <w:sz w:val="20"/>
                <w:lang w:val="en-US"/>
              </w:rPr>
              <mc:AlternateContent>
                <mc:Choice Requires="wps">
                  <w:drawing>
                    <wp:anchor distT="0" distB="0" distL="114300" distR="114300" simplePos="0" relativeHeight="252166144" behindDoc="0" locked="0" layoutInCell="1" allowOverlap="1" wp14:anchorId="018CF2FD" wp14:editId="649C8AF0">
                      <wp:simplePos x="0" y="0"/>
                      <wp:positionH relativeFrom="column">
                        <wp:posOffset>0</wp:posOffset>
                      </wp:positionH>
                      <wp:positionV relativeFrom="paragraph">
                        <wp:posOffset>771525</wp:posOffset>
                      </wp:positionV>
                      <wp:extent cx="304800" cy="266700"/>
                      <wp:effectExtent l="4445" t="0" r="0" b="0"/>
                      <wp:wrapNone/>
                      <wp:docPr id="1114" name="AutoShape 551"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614E3" id="AutoShape 551" o:spid="_x0000_s1026" alt="Selecting an example from Help" style="position:absolute;margin-left:0;margin-top:60.75pt;width:24pt;height:21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" filled="f" stroked="f">
                      <o:lock v:ext="edit" aspectratio="t"/>
                    </v:rect>
                  </w:pict>
                </mc:Fallback>
              </mc:AlternateContent>
            </w:r>
            <w:r>
              <w:rPr>
                <w:noProof/>
                <w:sz w:val="20"/>
                <w:lang w:val="en-US"/>
              </w:rPr>
              <mc:AlternateContent>
                <mc:Choice Requires="wps">
                  <w:drawing>
                    <wp:anchor distT="0" distB="0" distL="114300" distR="114300" simplePos="0" relativeHeight="252167168" behindDoc="0" locked="0" layoutInCell="1" allowOverlap="1" wp14:anchorId="17528DD5" wp14:editId="3032E6D9">
                      <wp:simplePos x="0" y="0"/>
                      <wp:positionH relativeFrom="column">
                        <wp:posOffset>0</wp:posOffset>
                      </wp:positionH>
                      <wp:positionV relativeFrom="paragraph">
                        <wp:posOffset>952500</wp:posOffset>
                      </wp:positionV>
                      <wp:extent cx="304800" cy="323850"/>
                      <wp:effectExtent l="4445" t="0" r="0" b="0"/>
                      <wp:wrapNone/>
                      <wp:docPr id="1113" name="AutoShape 552"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238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8048E" id="AutoShape 552" o:spid="_x0000_s1026" alt="Selecting an example from Help" style="position:absolute;margin-left:0;margin-top:75pt;width:24pt;height:25.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" filled="f" stroked="f">
                      <o:lock v:ext="edit" aspectratio="t"/>
                    </v:rect>
                  </w:pict>
                </mc:Fallback>
              </mc:AlternateContent>
            </w:r>
            <w:r>
              <w:rPr>
                <w:noProof/>
                <w:sz w:val="20"/>
                <w:lang w:val="en-US"/>
              </w:rPr>
              <mc:AlternateContent>
                <mc:Choice Requires="wps">
                  <w:drawing>
                    <wp:anchor distT="0" distB="0" distL="114300" distR="114300" simplePos="0" relativeHeight="252168192" behindDoc="0" locked="0" layoutInCell="1" allowOverlap="1" wp14:anchorId="5517E784" wp14:editId="2BB8908E">
                      <wp:simplePos x="0" y="0"/>
                      <wp:positionH relativeFrom="column">
                        <wp:posOffset>0</wp:posOffset>
                      </wp:positionH>
                      <wp:positionV relativeFrom="paragraph">
                        <wp:posOffset>952500</wp:posOffset>
                      </wp:positionV>
                      <wp:extent cx="304800" cy="304800"/>
                      <wp:effectExtent l="4445" t="0" r="0" b="0"/>
                      <wp:wrapNone/>
                      <wp:docPr id="1112" name="AutoShape 553"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B19A3" id="AutoShape 553" o:spid="_x0000_s1026" alt="Selecting an example from Help" style="position:absolute;margin-left:0;margin-top:75pt;width:24pt;height:24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" filled="f" stroked="f">
                      <o:lock v:ext="edit" aspectratio="t"/>
                    </v:rect>
                  </w:pict>
                </mc:Fallback>
              </mc:AlternateContent>
            </w:r>
            <w:r>
              <w:rPr>
                <w:noProof/>
                <w:sz w:val="20"/>
                <w:lang w:val="en-US"/>
              </w:rPr>
              <mc:AlternateContent>
                <mc:Choice Requires="wps">
                  <w:drawing>
                    <wp:anchor distT="0" distB="0" distL="114300" distR="114300" simplePos="0" relativeHeight="252169216" behindDoc="0" locked="0" layoutInCell="1" allowOverlap="1" wp14:anchorId="11198EB5" wp14:editId="774CE377">
                      <wp:simplePos x="0" y="0"/>
                      <wp:positionH relativeFrom="column">
                        <wp:posOffset>0</wp:posOffset>
                      </wp:positionH>
                      <wp:positionV relativeFrom="paragraph">
                        <wp:posOffset>1133475</wp:posOffset>
                      </wp:positionV>
                      <wp:extent cx="304800" cy="238125"/>
                      <wp:effectExtent l="4445" t="0" r="0" b="0"/>
                      <wp:wrapNone/>
                      <wp:docPr id="1111" name="AutoShape 554">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381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25057" id="AutoShape 554" o:spid="_x0000_s1026" href="" style="position:absolute;margin-left:0;margin-top:89.25pt;width:24pt;height:18.7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170240" behindDoc="0" locked="0" layoutInCell="1" allowOverlap="1" wp14:anchorId="1C846629" wp14:editId="5BC3BB1E">
                      <wp:simplePos x="0" y="0"/>
                      <wp:positionH relativeFrom="column">
                        <wp:posOffset>0</wp:posOffset>
                      </wp:positionH>
                      <wp:positionV relativeFrom="paragraph">
                        <wp:posOffset>1133475</wp:posOffset>
                      </wp:positionV>
                      <wp:extent cx="304800" cy="238125"/>
                      <wp:effectExtent l="4445" t="0" r="0" b="0"/>
                      <wp:wrapNone/>
                      <wp:docPr id="1110" name="AutoShape 555"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381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D5A01" id="AutoShape 555" o:spid="_x0000_s1026" alt="Selecting an example from Help" style="position:absolute;margin-left:0;margin-top:89.25pt;width:24pt;height:18.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" filled="f" stroked="f">
                      <o:lock v:ext="edit" aspectratio="t"/>
                    </v:rect>
                  </w:pict>
                </mc:Fallback>
              </mc:AlternateContent>
            </w:r>
            <w:r>
              <w:rPr>
                <w:noProof/>
                <w:sz w:val="20"/>
                <w:lang w:val="en-US"/>
              </w:rPr>
              <mc:AlternateContent>
                <mc:Choice Requires="wps">
                  <w:drawing>
                    <wp:anchor distT="0" distB="0" distL="114300" distR="114300" simplePos="0" relativeHeight="252171264" behindDoc="0" locked="0" layoutInCell="1" allowOverlap="1" wp14:anchorId="1E4FF369" wp14:editId="36BB3B41">
                      <wp:simplePos x="0" y="0"/>
                      <wp:positionH relativeFrom="column">
                        <wp:posOffset>0</wp:posOffset>
                      </wp:positionH>
                      <wp:positionV relativeFrom="paragraph">
                        <wp:posOffset>647700</wp:posOffset>
                      </wp:positionV>
                      <wp:extent cx="304800" cy="409575"/>
                      <wp:effectExtent l="4445" t="0" r="0" b="0"/>
                      <wp:wrapNone/>
                      <wp:docPr id="1109" name="AutoShape 556">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095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D09E8" id="AutoShape 556" o:spid="_x0000_s1026" href="" style="position:absolute;margin-left:0;margin-top:51pt;width:24pt;height:32.2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172288" behindDoc="0" locked="0" layoutInCell="1" allowOverlap="1" wp14:anchorId="7C39C5AD" wp14:editId="1EB3BA26">
                      <wp:simplePos x="0" y="0"/>
                      <wp:positionH relativeFrom="column">
                        <wp:posOffset>0</wp:posOffset>
                      </wp:positionH>
                      <wp:positionV relativeFrom="paragraph">
                        <wp:posOffset>647700</wp:posOffset>
                      </wp:positionV>
                      <wp:extent cx="304800" cy="409575"/>
                      <wp:effectExtent l="4445" t="0" r="0" b="0"/>
                      <wp:wrapNone/>
                      <wp:docPr id="1108" name="AutoShape 557"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095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466DE" id="AutoShape 557" o:spid="_x0000_s1026" alt="Selecting an example from Help" style="position:absolute;margin-left:0;margin-top:51pt;width:24pt;height:32.2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" filled="f" stroked="f">
                      <o:lock v:ext="edit" aspectratio="t"/>
                    </v:rect>
                  </w:pict>
                </mc:Fallback>
              </mc:AlternateContent>
            </w:r>
            <w:r>
              <w:rPr>
                <w:noProof/>
                <w:sz w:val="20"/>
                <w:lang w:val="en-US"/>
              </w:rPr>
              <mc:AlternateContent>
                <mc:Choice Requires="wps">
                  <w:drawing>
                    <wp:anchor distT="0" distB="0" distL="114300" distR="114300" simplePos="0" relativeHeight="252173312" behindDoc="0" locked="0" layoutInCell="1" allowOverlap="1" wp14:anchorId="4F618970" wp14:editId="5B69638E">
                      <wp:simplePos x="0" y="0"/>
                      <wp:positionH relativeFrom="column">
                        <wp:posOffset>0</wp:posOffset>
                      </wp:positionH>
                      <wp:positionV relativeFrom="paragraph">
                        <wp:posOffset>809625</wp:posOffset>
                      </wp:positionV>
                      <wp:extent cx="304800" cy="314325"/>
                      <wp:effectExtent l="4445" t="0" r="0" b="0"/>
                      <wp:wrapNone/>
                      <wp:docPr id="1107" name="AutoShape 558">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3D9B9" id="AutoShape 558" o:spid="_x0000_s1026" href="" style="position:absolute;margin-left:0;margin-top:63.75pt;width:24pt;height:24.7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174336" behindDoc="0" locked="0" layoutInCell="1" allowOverlap="1" wp14:anchorId="6BE276CF" wp14:editId="095E9906">
                      <wp:simplePos x="0" y="0"/>
                      <wp:positionH relativeFrom="column">
                        <wp:posOffset>0</wp:posOffset>
                      </wp:positionH>
                      <wp:positionV relativeFrom="paragraph">
                        <wp:posOffset>809625</wp:posOffset>
                      </wp:positionV>
                      <wp:extent cx="304800" cy="314325"/>
                      <wp:effectExtent l="4445" t="0" r="0" b="0"/>
                      <wp:wrapNone/>
                      <wp:docPr id="1106" name="AutoShape 559"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28654" id="AutoShape 559" o:spid="_x0000_s1026" alt="Selecting an example from Help" style="position:absolute;margin-left:0;margin-top:63.75pt;width:24pt;height:24.7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" filled="f" stroked="f">
                      <o:lock v:ext="edit" aspectratio="t"/>
                    </v:rect>
                  </w:pict>
                </mc:Fallback>
              </mc:AlternateContent>
            </w:r>
            <w:r>
              <w:rPr>
                <w:noProof/>
                <w:sz w:val="20"/>
                <w:lang w:val="en-US"/>
              </w:rPr>
              <mc:AlternateContent>
                <mc:Choice Requires="wps">
                  <w:drawing>
                    <wp:anchor distT="0" distB="0" distL="114300" distR="114300" simplePos="0" relativeHeight="252175360" behindDoc="0" locked="0" layoutInCell="1" allowOverlap="1" wp14:anchorId="69F4DD55" wp14:editId="689BECF6">
                      <wp:simplePos x="0" y="0"/>
                      <wp:positionH relativeFrom="column">
                        <wp:posOffset>0</wp:posOffset>
                      </wp:positionH>
                      <wp:positionV relativeFrom="paragraph">
                        <wp:posOffset>971550</wp:posOffset>
                      </wp:positionV>
                      <wp:extent cx="304800" cy="323850"/>
                      <wp:effectExtent l="4445" t="0" r="0" b="0"/>
                      <wp:wrapNone/>
                      <wp:docPr id="1105" name="AutoShape 560">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238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F8FC7" id="AutoShape 560" o:spid="_x0000_s1026" href="" style="position:absolute;margin-left:0;margin-top:76.5pt;width:24pt;height:25.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176384" behindDoc="0" locked="0" layoutInCell="1" allowOverlap="1" wp14:anchorId="71DBE2B6" wp14:editId="783505B3">
                      <wp:simplePos x="0" y="0"/>
                      <wp:positionH relativeFrom="column">
                        <wp:posOffset>0</wp:posOffset>
                      </wp:positionH>
                      <wp:positionV relativeFrom="paragraph">
                        <wp:posOffset>971550</wp:posOffset>
                      </wp:positionV>
                      <wp:extent cx="304800" cy="323850"/>
                      <wp:effectExtent l="4445" t="0" r="0" b="0"/>
                      <wp:wrapNone/>
                      <wp:docPr id="1104" name="AutoShape 561"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238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490FE" id="AutoShape 561" o:spid="_x0000_s1026" alt="Selecting an example from Help" style="position:absolute;margin-left:0;margin-top:76.5pt;width:24pt;height:25.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" filled="f" stroked="f">
                      <o:lock v:ext="edit" aspectratio="t"/>
                    </v:rect>
                  </w:pict>
                </mc:Fallback>
              </mc:AlternateContent>
            </w:r>
            <w:r>
              <w:rPr>
                <w:noProof/>
                <w:sz w:val="20"/>
                <w:lang w:val="en-US"/>
              </w:rPr>
              <mc:AlternateContent>
                <mc:Choice Requires="wps">
                  <w:drawing>
                    <wp:anchor distT="0" distB="0" distL="114300" distR="114300" simplePos="0" relativeHeight="252177408" behindDoc="0" locked="0" layoutInCell="1" allowOverlap="1" wp14:anchorId="1B956258" wp14:editId="470FB698">
                      <wp:simplePos x="0" y="0"/>
                      <wp:positionH relativeFrom="column">
                        <wp:posOffset>0</wp:posOffset>
                      </wp:positionH>
                      <wp:positionV relativeFrom="paragraph">
                        <wp:posOffset>1133475</wp:posOffset>
                      </wp:positionV>
                      <wp:extent cx="304800" cy="238125"/>
                      <wp:effectExtent l="4445" t="0" r="0" b="0"/>
                      <wp:wrapNone/>
                      <wp:docPr id="1103" name="AutoShape 562">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381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2D7D8" id="AutoShape 562" o:spid="_x0000_s1026" href="" style="position:absolute;margin-left:0;margin-top:89.25pt;width:24pt;height:18.7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178432" behindDoc="0" locked="0" layoutInCell="1" allowOverlap="1" wp14:anchorId="4CEA981E" wp14:editId="5C73CD39">
                      <wp:simplePos x="0" y="0"/>
                      <wp:positionH relativeFrom="column">
                        <wp:posOffset>0</wp:posOffset>
                      </wp:positionH>
                      <wp:positionV relativeFrom="paragraph">
                        <wp:posOffset>1133475</wp:posOffset>
                      </wp:positionV>
                      <wp:extent cx="304800" cy="238125"/>
                      <wp:effectExtent l="4445" t="0" r="0" b="0"/>
                      <wp:wrapNone/>
                      <wp:docPr id="1102" name="AutoShape 563"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381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8ECE0" id="AutoShape 563" o:spid="_x0000_s1026" alt="Selecting an example from Help" style="position:absolute;margin-left:0;margin-top:89.25pt;width:24pt;height:18.7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" filled="f" stroked="f">
                      <o:lock v:ext="edit" aspectratio="t"/>
                    </v:rect>
                  </w:pict>
                </mc:Fallback>
              </mc:AlternateContent>
            </w:r>
            <w:r>
              <w:rPr>
                <w:noProof/>
                <w:sz w:val="20"/>
                <w:lang w:val="en-US"/>
              </w:rPr>
              <mc:AlternateContent>
                <mc:Choice Requires="wps">
                  <w:drawing>
                    <wp:anchor distT="0" distB="0" distL="114300" distR="114300" simplePos="0" relativeHeight="252179456" behindDoc="0" locked="0" layoutInCell="1" allowOverlap="1" wp14:anchorId="5EDAA20B" wp14:editId="1A2DF206">
                      <wp:simplePos x="0" y="0"/>
                      <wp:positionH relativeFrom="column">
                        <wp:posOffset>0</wp:posOffset>
                      </wp:positionH>
                      <wp:positionV relativeFrom="paragraph">
                        <wp:posOffset>647700</wp:posOffset>
                      </wp:positionV>
                      <wp:extent cx="304800" cy="390525"/>
                      <wp:effectExtent l="4445" t="0" r="0" b="0"/>
                      <wp:wrapNone/>
                      <wp:docPr id="1101" name="AutoShape 564">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905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372A5" id="AutoShape 564" o:spid="_x0000_s1026" href="" style="position:absolute;margin-left:0;margin-top:51pt;width:24pt;height:30.7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180480" behindDoc="0" locked="0" layoutInCell="1" allowOverlap="1" wp14:anchorId="04877676" wp14:editId="4401BF5A">
                      <wp:simplePos x="0" y="0"/>
                      <wp:positionH relativeFrom="column">
                        <wp:posOffset>0</wp:posOffset>
                      </wp:positionH>
                      <wp:positionV relativeFrom="paragraph">
                        <wp:posOffset>647700</wp:posOffset>
                      </wp:positionV>
                      <wp:extent cx="304800" cy="390525"/>
                      <wp:effectExtent l="4445" t="0" r="0" b="0"/>
                      <wp:wrapNone/>
                      <wp:docPr id="1100" name="AutoShape 565"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905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772FF" id="AutoShape 565" o:spid="_x0000_s1026" alt="Selecting an example from Help" style="position:absolute;margin-left:0;margin-top:51pt;width:24pt;height:30.7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" filled="f" stroked="f">
                      <o:lock v:ext="edit" aspectratio="t"/>
                    </v:rect>
                  </w:pict>
                </mc:Fallback>
              </mc:AlternateContent>
            </w:r>
            <w:r>
              <w:rPr>
                <w:noProof/>
                <w:sz w:val="20"/>
                <w:lang w:val="en-US"/>
              </w:rPr>
              <mc:AlternateContent>
                <mc:Choice Requires="wps">
                  <w:drawing>
                    <wp:anchor distT="0" distB="0" distL="114300" distR="114300" simplePos="0" relativeHeight="252181504" behindDoc="0" locked="0" layoutInCell="1" allowOverlap="1" wp14:anchorId="5BD84703" wp14:editId="685B04A0">
                      <wp:simplePos x="0" y="0"/>
                      <wp:positionH relativeFrom="column">
                        <wp:posOffset>0</wp:posOffset>
                      </wp:positionH>
                      <wp:positionV relativeFrom="paragraph">
                        <wp:posOffset>647700</wp:posOffset>
                      </wp:positionV>
                      <wp:extent cx="304800" cy="390525"/>
                      <wp:effectExtent l="4445" t="0" r="0" b="0"/>
                      <wp:wrapNone/>
                      <wp:docPr id="1099" name="AutoShape 566">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905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3A524" id="AutoShape 566" o:spid="_x0000_s1026" href="" style="position:absolute;margin-left:0;margin-top:51pt;width:24pt;height:30.7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182528" behindDoc="0" locked="0" layoutInCell="1" allowOverlap="1" wp14:anchorId="13291622" wp14:editId="587A46FB">
                      <wp:simplePos x="0" y="0"/>
                      <wp:positionH relativeFrom="column">
                        <wp:posOffset>0</wp:posOffset>
                      </wp:positionH>
                      <wp:positionV relativeFrom="paragraph">
                        <wp:posOffset>647700</wp:posOffset>
                      </wp:positionV>
                      <wp:extent cx="304800" cy="390525"/>
                      <wp:effectExtent l="4445" t="0" r="0" b="0"/>
                      <wp:wrapNone/>
                      <wp:docPr id="1098" name="AutoShape 567"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905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F3D8A" id="AutoShape 567" o:spid="_x0000_s1026" alt="Selecting an example from Help" style="position:absolute;margin-left:0;margin-top:51pt;width:24pt;height:30.7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" filled="f" stroked="f">
                      <o:lock v:ext="edit" aspectratio="t"/>
                    </v:rect>
                  </w:pict>
                </mc:Fallback>
              </mc:AlternateContent>
            </w:r>
            <w:r w:rsidR="000923BB">
              <w:rPr>
                <w:rFonts w:cs="Arial"/>
                <w:sz w:val="20"/>
                <w:szCs w:val="20"/>
                <w:lang w:val="en-US"/>
              </w:rPr>
              <w:t>41</w:t>
            </w:r>
          </w:p>
        </w:tc>
        <w:tc>
          <w:tcPr>
            <w:tcW w:w="992" w:type="dxa"/>
            <w:tcBorders>
              <w:top w:val="nil"/>
              <w:left w:val="single" w:sz="4" w:space="0" w:color="999999"/>
              <w:bottom w:val="single" w:sz="4" w:space="0" w:color="auto"/>
              <w:right w:val="single" w:sz="4" w:space="0" w:color="auto"/>
            </w:tcBorders>
            <w:tcMar>
              <w:left w:w="57" w:type="dxa"/>
              <w:right w:w="57" w:type="dxa"/>
            </w:tcMar>
          </w:tcPr>
          <w:p w14:paraId="6DC67431" w14:textId="77777777" w:rsidR="000923BB" w:rsidRDefault="000923BB" w:rsidP="003A385F">
            <w:pPr>
              <w:jc w:val="center"/>
              <w:rPr>
                <w:rFonts w:cs="Arial"/>
                <w:sz w:val="20"/>
                <w:szCs w:val="20"/>
                <w:lang w:val="en-US"/>
              </w:rPr>
            </w:pPr>
            <w:r>
              <w:rPr>
                <w:rFonts w:cs="Arial"/>
                <w:sz w:val="20"/>
                <w:szCs w:val="20"/>
                <w:lang w:val="en-US"/>
              </w:rPr>
              <w:t>37</w:t>
            </w:r>
          </w:p>
        </w:tc>
        <w:tc>
          <w:tcPr>
            <w:tcW w:w="1984" w:type="dxa"/>
            <w:tcBorders>
              <w:top w:val="nil"/>
              <w:left w:val="nil"/>
              <w:bottom w:val="single" w:sz="4" w:space="0" w:color="auto"/>
              <w:right w:val="single" w:sz="4" w:space="0" w:color="999999"/>
            </w:tcBorders>
            <w:noWrap/>
            <w:tcMar>
              <w:left w:w="57" w:type="dxa"/>
              <w:right w:w="57" w:type="dxa"/>
            </w:tcMar>
          </w:tcPr>
          <w:p w14:paraId="71646EF6" w14:textId="77777777" w:rsidR="000923BB" w:rsidRDefault="000923BB" w:rsidP="003A385F">
            <w:pPr>
              <w:rPr>
                <w:rFonts w:cs="Arial"/>
                <w:sz w:val="20"/>
                <w:szCs w:val="20"/>
                <w:lang w:val="en-US"/>
              </w:rPr>
            </w:pPr>
            <w:r>
              <w:rPr>
                <w:rFonts w:cs="Arial"/>
                <w:sz w:val="20"/>
                <w:szCs w:val="20"/>
                <w:lang w:val="en-US"/>
              </w:rPr>
              <w:t> </w:t>
            </w:r>
          </w:p>
        </w:tc>
        <w:tc>
          <w:tcPr>
            <w:tcW w:w="851" w:type="dxa"/>
            <w:tcBorders>
              <w:top w:val="nil"/>
              <w:left w:val="single" w:sz="4" w:space="0" w:color="999999"/>
              <w:bottom w:val="single" w:sz="4" w:space="0" w:color="auto"/>
              <w:right w:val="single" w:sz="4" w:space="0" w:color="999999"/>
            </w:tcBorders>
            <w:noWrap/>
            <w:tcMar>
              <w:left w:w="57" w:type="dxa"/>
              <w:right w:w="57" w:type="dxa"/>
            </w:tcMar>
          </w:tcPr>
          <w:p w14:paraId="3501DA9D" w14:textId="77777777" w:rsidR="000923BB" w:rsidRDefault="000923BB" w:rsidP="003A385F">
            <w:pPr>
              <w:jc w:val="center"/>
              <w:rPr>
                <w:rFonts w:cs="Arial"/>
                <w:sz w:val="20"/>
                <w:szCs w:val="20"/>
                <w:lang w:val="en-US"/>
              </w:rPr>
            </w:pPr>
          </w:p>
        </w:tc>
        <w:tc>
          <w:tcPr>
            <w:tcW w:w="1134" w:type="dxa"/>
            <w:tcBorders>
              <w:top w:val="nil"/>
              <w:left w:val="single" w:sz="4" w:space="0" w:color="999999"/>
              <w:bottom w:val="single" w:sz="4" w:space="0" w:color="auto"/>
              <w:right w:val="single" w:sz="4" w:space="0" w:color="auto"/>
            </w:tcBorders>
            <w:noWrap/>
            <w:tcMar>
              <w:left w:w="57" w:type="dxa"/>
              <w:right w:w="57" w:type="dxa"/>
            </w:tcMar>
          </w:tcPr>
          <w:p w14:paraId="232C8DA2" w14:textId="77777777" w:rsidR="000923BB" w:rsidRDefault="000923BB" w:rsidP="003A385F">
            <w:pPr>
              <w:jc w:val="center"/>
              <w:rPr>
                <w:rFonts w:cs="Arial"/>
                <w:sz w:val="20"/>
                <w:szCs w:val="20"/>
                <w:lang w:val="en-US"/>
              </w:rPr>
            </w:pPr>
          </w:p>
        </w:tc>
      </w:tr>
      <w:tr w:rsidR="000923BB" w14:paraId="515EBA27" w14:textId="77777777" w:rsidTr="009148F2">
        <w:trPr>
          <w:trHeight w:val="255"/>
        </w:trPr>
        <w:tc>
          <w:tcPr>
            <w:tcW w:w="663" w:type="dxa"/>
            <w:tcBorders>
              <w:top w:val="single" w:sz="4" w:space="0" w:color="auto"/>
              <w:left w:val="single" w:sz="4" w:space="0" w:color="auto"/>
              <w:bottom w:val="nil"/>
              <w:right w:val="single" w:sz="4" w:space="0" w:color="auto"/>
            </w:tcBorders>
          </w:tcPr>
          <w:p w14:paraId="2A224A67" w14:textId="77777777" w:rsidR="000923BB" w:rsidRDefault="000923BB" w:rsidP="003A385F">
            <w:pPr>
              <w:rPr>
                <w:rFonts w:cs="Arial"/>
                <w:sz w:val="20"/>
                <w:szCs w:val="20"/>
                <w:lang w:val="en-US"/>
              </w:rPr>
            </w:pPr>
            <w:r>
              <w:rPr>
                <w:rFonts w:cs="Arial"/>
                <w:sz w:val="20"/>
                <w:szCs w:val="20"/>
                <w:lang w:val="en-US"/>
              </w:rPr>
              <w:t>F</w:t>
            </w:r>
          </w:p>
        </w:tc>
        <w:tc>
          <w:tcPr>
            <w:tcW w:w="1701" w:type="dxa"/>
            <w:tcBorders>
              <w:top w:val="single" w:sz="4" w:space="0" w:color="auto"/>
              <w:left w:val="single" w:sz="4" w:space="0" w:color="auto"/>
              <w:bottom w:val="nil"/>
              <w:right w:val="single" w:sz="4" w:space="0" w:color="999999"/>
            </w:tcBorders>
            <w:tcMar>
              <w:top w:w="11" w:type="dxa"/>
              <w:left w:w="57" w:type="dxa"/>
              <w:bottom w:w="11" w:type="dxa"/>
              <w:right w:w="57" w:type="dxa"/>
            </w:tcMar>
          </w:tcPr>
          <w:p w14:paraId="008D2BDC" w14:textId="77777777" w:rsidR="000923BB" w:rsidRDefault="000923BB" w:rsidP="003A385F">
            <w:pPr>
              <w:rPr>
                <w:rFonts w:cs="Arial"/>
                <w:sz w:val="20"/>
                <w:szCs w:val="20"/>
                <w:lang w:val="en-US"/>
              </w:rPr>
            </w:pPr>
            <w:r>
              <w:rPr>
                <w:rFonts w:cs="Arial"/>
                <w:sz w:val="20"/>
                <w:szCs w:val="20"/>
                <w:lang w:val="en-US"/>
              </w:rPr>
              <w:t>Nurse / other clinical</w:t>
            </w:r>
          </w:p>
        </w:tc>
        <w:tc>
          <w:tcPr>
            <w:tcW w:w="851" w:type="dxa"/>
            <w:tcBorders>
              <w:top w:val="single" w:sz="4" w:space="0" w:color="auto"/>
              <w:left w:val="single" w:sz="4" w:space="0" w:color="999999"/>
              <w:bottom w:val="nil"/>
              <w:right w:val="single" w:sz="4" w:space="0" w:color="999999"/>
            </w:tcBorders>
            <w:tcMar>
              <w:left w:w="57" w:type="dxa"/>
              <w:right w:w="57" w:type="dxa"/>
            </w:tcMar>
          </w:tcPr>
          <w:p w14:paraId="42D8539D" w14:textId="77777777" w:rsidR="000923BB" w:rsidRDefault="000923BB" w:rsidP="003A385F">
            <w:pPr>
              <w:jc w:val="center"/>
              <w:rPr>
                <w:rFonts w:cs="Arial"/>
                <w:sz w:val="20"/>
                <w:szCs w:val="20"/>
                <w:lang w:val="en-US"/>
              </w:rPr>
            </w:pPr>
            <w:r>
              <w:rPr>
                <w:rFonts w:cs="Arial"/>
                <w:sz w:val="20"/>
                <w:szCs w:val="20"/>
                <w:lang w:val="en-US"/>
              </w:rPr>
              <w:t>46</w:t>
            </w:r>
          </w:p>
        </w:tc>
        <w:tc>
          <w:tcPr>
            <w:tcW w:w="992" w:type="dxa"/>
            <w:tcBorders>
              <w:top w:val="single" w:sz="4" w:space="0" w:color="auto"/>
              <w:left w:val="single" w:sz="4" w:space="0" w:color="999999"/>
              <w:bottom w:val="nil"/>
              <w:right w:val="single" w:sz="4" w:space="0" w:color="auto"/>
            </w:tcBorders>
            <w:tcMar>
              <w:left w:w="57" w:type="dxa"/>
              <w:right w:w="57" w:type="dxa"/>
            </w:tcMar>
          </w:tcPr>
          <w:p w14:paraId="000C8CD3" w14:textId="77777777" w:rsidR="000923BB" w:rsidRDefault="000923BB" w:rsidP="003A385F">
            <w:pPr>
              <w:jc w:val="center"/>
              <w:rPr>
                <w:rFonts w:cs="Arial"/>
                <w:sz w:val="20"/>
                <w:szCs w:val="20"/>
                <w:lang w:val="en-US"/>
              </w:rPr>
            </w:pPr>
            <w:r>
              <w:rPr>
                <w:rFonts w:cs="Arial"/>
                <w:sz w:val="20"/>
                <w:szCs w:val="20"/>
                <w:lang w:val="en-US"/>
              </w:rPr>
              <w:t>46</w:t>
            </w:r>
          </w:p>
        </w:tc>
        <w:tc>
          <w:tcPr>
            <w:tcW w:w="1984" w:type="dxa"/>
            <w:tcBorders>
              <w:top w:val="single" w:sz="4" w:space="0" w:color="auto"/>
              <w:left w:val="single" w:sz="4" w:space="0" w:color="auto"/>
              <w:bottom w:val="nil"/>
              <w:right w:val="single" w:sz="4" w:space="0" w:color="999999"/>
            </w:tcBorders>
            <w:noWrap/>
            <w:tcMar>
              <w:left w:w="57" w:type="dxa"/>
              <w:right w:w="57" w:type="dxa"/>
            </w:tcMar>
          </w:tcPr>
          <w:p w14:paraId="7C8330F9" w14:textId="77777777" w:rsidR="000923BB" w:rsidRDefault="000923BB" w:rsidP="003A385F">
            <w:pPr>
              <w:rPr>
                <w:rFonts w:cs="Arial"/>
                <w:sz w:val="20"/>
                <w:szCs w:val="20"/>
                <w:lang w:val="en-US"/>
              </w:rPr>
            </w:pPr>
            <w:r>
              <w:rPr>
                <w:rFonts w:cs="Arial"/>
                <w:sz w:val="20"/>
                <w:szCs w:val="20"/>
                <w:lang w:val="en-US"/>
              </w:rPr>
              <w:t>Non-clinical audit</w:t>
            </w:r>
          </w:p>
        </w:tc>
        <w:tc>
          <w:tcPr>
            <w:tcW w:w="851" w:type="dxa"/>
            <w:tcBorders>
              <w:top w:val="single" w:sz="4" w:space="0" w:color="auto"/>
              <w:left w:val="single" w:sz="4" w:space="0" w:color="999999"/>
              <w:bottom w:val="nil"/>
              <w:right w:val="single" w:sz="4" w:space="0" w:color="999999"/>
            </w:tcBorders>
            <w:tcMar>
              <w:left w:w="57" w:type="dxa"/>
              <w:right w:w="57" w:type="dxa"/>
            </w:tcMar>
          </w:tcPr>
          <w:p w14:paraId="4FFAB4BF" w14:textId="77777777" w:rsidR="000923BB" w:rsidRDefault="000923BB" w:rsidP="003A385F">
            <w:pPr>
              <w:jc w:val="center"/>
              <w:rPr>
                <w:rFonts w:cs="Arial"/>
                <w:sz w:val="20"/>
                <w:szCs w:val="20"/>
                <w:lang w:val="en-US"/>
              </w:rPr>
            </w:pPr>
            <w:r>
              <w:rPr>
                <w:rFonts w:cs="Arial"/>
                <w:sz w:val="20"/>
                <w:szCs w:val="20"/>
                <w:lang w:val="en-US"/>
              </w:rPr>
              <w:t>9</w:t>
            </w:r>
          </w:p>
        </w:tc>
        <w:tc>
          <w:tcPr>
            <w:tcW w:w="1134" w:type="dxa"/>
            <w:tcBorders>
              <w:top w:val="single" w:sz="4" w:space="0" w:color="auto"/>
              <w:left w:val="single" w:sz="4" w:space="0" w:color="999999"/>
              <w:bottom w:val="nil"/>
              <w:right w:val="single" w:sz="4" w:space="0" w:color="auto"/>
            </w:tcBorders>
            <w:tcMar>
              <w:left w:w="57" w:type="dxa"/>
              <w:right w:w="57" w:type="dxa"/>
            </w:tcMar>
          </w:tcPr>
          <w:p w14:paraId="5FF4E76A" w14:textId="77777777" w:rsidR="000923BB" w:rsidRDefault="000923BB" w:rsidP="003A385F">
            <w:pPr>
              <w:jc w:val="center"/>
              <w:rPr>
                <w:rFonts w:cs="Arial"/>
                <w:sz w:val="20"/>
                <w:szCs w:val="20"/>
                <w:lang w:val="en-US"/>
              </w:rPr>
            </w:pPr>
            <w:r>
              <w:rPr>
                <w:rFonts w:cs="Arial"/>
                <w:sz w:val="20"/>
                <w:szCs w:val="20"/>
                <w:lang w:val="en-US"/>
              </w:rPr>
              <w:t>10</w:t>
            </w:r>
          </w:p>
        </w:tc>
      </w:tr>
      <w:tr w:rsidR="000923BB" w14:paraId="4FCB6AA7" w14:textId="77777777" w:rsidTr="009148F2">
        <w:trPr>
          <w:trHeight w:val="255"/>
        </w:trPr>
        <w:tc>
          <w:tcPr>
            <w:tcW w:w="663" w:type="dxa"/>
            <w:tcBorders>
              <w:top w:val="nil"/>
              <w:left w:val="single" w:sz="4" w:space="0" w:color="auto"/>
              <w:bottom w:val="nil"/>
              <w:right w:val="single" w:sz="4" w:space="0" w:color="auto"/>
            </w:tcBorders>
          </w:tcPr>
          <w:p w14:paraId="3A18528B" w14:textId="77777777" w:rsidR="000923BB" w:rsidRDefault="000923BB" w:rsidP="003A385F">
            <w:pPr>
              <w:rPr>
                <w:rFonts w:cs="Arial"/>
                <w:sz w:val="20"/>
                <w:szCs w:val="20"/>
                <w:lang w:val="en-US"/>
              </w:rPr>
            </w:pPr>
            <w:r>
              <w:rPr>
                <w:rFonts w:cs="Arial"/>
                <w:sz w:val="20"/>
                <w:szCs w:val="20"/>
                <w:lang w:val="en-US"/>
              </w:rPr>
              <w:t> </w:t>
            </w:r>
          </w:p>
        </w:tc>
        <w:tc>
          <w:tcPr>
            <w:tcW w:w="1701" w:type="dxa"/>
            <w:tcBorders>
              <w:top w:val="nil"/>
              <w:left w:val="nil"/>
              <w:bottom w:val="nil"/>
              <w:right w:val="single" w:sz="4" w:space="0" w:color="999999"/>
            </w:tcBorders>
            <w:tcMar>
              <w:top w:w="11" w:type="dxa"/>
              <w:left w:w="57" w:type="dxa"/>
              <w:bottom w:w="11" w:type="dxa"/>
              <w:right w:w="57" w:type="dxa"/>
            </w:tcMar>
          </w:tcPr>
          <w:p w14:paraId="5223794F" w14:textId="77777777" w:rsidR="000923BB" w:rsidRDefault="000923BB" w:rsidP="003A385F">
            <w:pPr>
              <w:rPr>
                <w:rFonts w:cs="Arial"/>
                <w:sz w:val="20"/>
                <w:szCs w:val="20"/>
                <w:lang w:val="en-US"/>
              </w:rPr>
            </w:pPr>
            <w:r>
              <w:rPr>
                <w:rFonts w:cs="Arial"/>
                <w:sz w:val="20"/>
                <w:szCs w:val="20"/>
                <w:lang w:val="en-US"/>
              </w:rPr>
              <w:t> </w:t>
            </w:r>
          </w:p>
        </w:tc>
        <w:tc>
          <w:tcPr>
            <w:tcW w:w="851" w:type="dxa"/>
            <w:tcBorders>
              <w:top w:val="nil"/>
              <w:left w:val="single" w:sz="4" w:space="0" w:color="999999"/>
              <w:bottom w:val="nil"/>
              <w:right w:val="single" w:sz="4" w:space="0" w:color="999999"/>
            </w:tcBorders>
            <w:tcMar>
              <w:left w:w="57" w:type="dxa"/>
              <w:right w:w="57" w:type="dxa"/>
            </w:tcMar>
          </w:tcPr>
          <w:p w14:paraId="35F1AB3C" w14:textId="77777777" w:rsidR="000923BB" w:rsidRDefault="000923BB" w:rsidP="003A385F">
            <w:pPr>
              <w:jc w:val="center"/>
              <w:rPr>
                <w:rFonts w:cs="Arial"/>
                <w:sz w:val="20"/>
                <w:szCs w:val="20"/>
                <w:lang w:val="en-US"/>
              </w:rPr>
            </w:pPr>
          </w:p>
        </w:tc>
        <w:tc>
          <w:tcPr>
            <w:tcW w:w="992" w:type="dxa"/>
            <w:tcBorders>
              <w:top w:val="nil"/>
              <w:left w:val="single" w:sz="4" w:space="0" w:color="999999"/>
              <w:bottom w:val="nil"/>
              <w:right w:val="single" w:sz="4" w:space="0" w:color="auto"/>
            </w:tcBorders>
            <w:tcMar>
              <w:left w:w="57" w:type="dxa"/>
              <w:right w:w="57" w:type="dxa"/>
            </w:tcMar>
          </w:tcPr>
          <w:p w14:paraId="1342E6FB" w14:textId="77777777" w:rsidR="000923BB" w:rsidRDefault="000923BB" w:rsidP="003A385F">
            <w:pPr>
              <w:jc w:val="center"/>
              <w:rPr>
                <w:rFonts w:cs="Arial"/>
                <w:sz w:val="20"/>
                <w:szCs w:val="20"/>
                <w:lang w:val="en-US"/>
              </w:rPr>
            </w:pPr>
          </w:p>
        </w:tc>
        <w:tc>
          <w:tcPr>
            <w:tcW w:w="1984" w:type="dxa"/>
            <w:tcBorders>
              <w:top w:val="nil"/>
              <w:left w:val="nil"/>
              <w:bottom w:val="nil"/>
              <w:right w:val="single" w:sz="4" w:space="0" w:color="999999"/>
            </w:tcBorders>
            <w:tcMar>
              <w:left w:w="57" w:type="dxa"/>
              <w:right w:w="57" w:type="dxa"/>
            </w:tcMar>
          </w:tcPr>
          <w:p w14:paraId="08A3D7EB" w14:textId="77777777" w:rsidR="000923BB" w:rsidRDefault="000923BB" w:rsidP="003A385F">
            <w:pPr>
              <w:rPr>
                <w:rFonts w:cs="Arial"/>
                <w:sz w:val="20"/>
                <w:szCs w:val="20"/>
                <w:lang w:val="en-US"/>
              </w:rPr>
            </w:pPr>
            <w:r>
              <w:rPr>
                <w:rFonts w:cs="Arial"/>
                <w:sz w:val="20"/>
                <w:szCs w:val="20"/>
                <w:lang w:val="en-US"/>
              </w:rPr>
              <w:t>Doctor</w:t>
            </w:r>
          </w:p>
        </w:tc>
        <w:tc>
          <w:tcPr>
            <w:tcW w:w="851" w:type="dxa"/>
            <w:tcBorders>
              <w:top w:val="nil"/>
              <w:left w:val="single" w:sz="4" w:space="0" w:color="999999"/>
              <w:bottom w:val="nil"/>
              <w:right w:val="single" w:sz="4" w:space="0" w:color="999999"/>
            </w:tcBorders>
            <w:tcMar>
              <w:left w:w="57" w:type="dxa"/>
              <w:right w:w="57" w:type="dxa"/>
            </w:tcMar>
          </w:tcPr>
          <w:p w14:paraId="109F16B5" w14:textId="77777777" w:rsidR="000923BB" w:rsidRDefault="000923BB" w:rsidP="003A385F">
            <w:pPr>
              <w:jc w:val="center"/>
              <w:rPr>
                <w:rFonts w:cs="Arial"/>
                <w:sz w:val="20"/>
                <w:szCs w:val="20"/>
                <w:lang w:val="en-US"/>
              </w:rPr>
            </w:pPr>
            <w:r>
              <w:rPr>
                <w:rFonts w:cs="Arial"/>
                <w:sz w:val="20"/>
                <w:szCs w:val="20"/>
                <w:lang w:val="en-US"/>
              </w:rPr>
              <w:t>22</w:t>
            </w:r>
          </w:p>
        </w:tc>
        <w:tc>
          <w:tcPr>
            <w:tcW w:w="1134" w:type="dxa"/>
            <w:tcBorders>
              <w:top w:val="nil"/>
              <w:left w:val="single" w:sz="4" w:space="0" w:color="999999"/>
              <w:bottom w:val="nil"/>
              <w:right w:val="single" w:sz="4" w:space="0" w:color="auto"/>
            </w:tcBorders>
            <w:tcMar>
              <w:left w:w="57" w:type="dxa"/>
              <w:right w:w="57" w:type="dxa"/>
            </w:tcMar>
          </w:tcPr>
          <w:p w14:paraId="4236EA68" w14:textId="77777777" w:rsidR="000923BB" w:rsidRDefault="000923BB" w:rsidP="003A385F">
            <w:pPr>
              <w:jc w:val="center"/>
              <w:rPr>
                <w:rFonts w:cs="Arial"/>
                <w:sz w:val="20"/>
                <w:szCs w:val="20"/>
                <w:lang w:val="en-US"/>
              </w:rPr>
            </w:pPr>
            <w:r>
              <w:rPr>
                <w:rFonts w:cs="Arial"/>
                <w:sz w:val="20"/>
                <w:szCs w:val="20"/>
                <w:lang w:val="en-US"/>
              </w:rPr>
              <w:t>14</w:t>
            </w:r>
          </w:p>
        </w:tc>
      </w:tr>
      <w:tr w:rsidR="000923BB" w14:paraId="2501B51E" w14:textId="77777777" w:rsidTr="009148F2">
        <w:trPr>
          <w:trHeight w:val="255"/>
        </w:trPr>
        <w:tc>
          <w:tcPr>
            <w:tcW w:w="663" w:type="dxa"/>
            <w:tcBorders>
              <w:top w:val="nil"/>
              <w:left w:val="single" w:sz="4" w:space="0" w:color="auto"/>
              <w:bottom w:val="single" w:sz="4" w:space="0" w:color="auto"/>
              <w:right w:val="single" w:sz="4" w:space="0" w:color="auto"/>
            </w:tcBorders>
          </w:tcPr>
          <w:p w14:paraId="49C75E76" w14:textId="77777777" w:rsidR="000923BB" w:rsidRDefault="000923BB" w:rsidP="003A385F">
            <w:pPr>
              <w:rPr>
                <w:rFonts w:cs="Arial"/>
                <w:sz w:val="20"/>
                <w:szCs w:val="20"/>
                <w:lang w:val="en-US"/>
              </w:rPr>
            </w:pPr>
            <w:r>
              <w:rPr>
                <w:rFonts w:cs="Arial"/>
                <w:sz w:val="20"/>
                <w:szCs w:val="20"/>
                <w:lang w:val="en-US"/>
              </w:rPr>
              <w:t> </w:t>
            </w:r>
          </w:p>
        </w:tc>
        <w:tc>
          <w:tcPr>
            <w:tcW w:w="1701" w:type="dxa"/>
            <w:tcBorders>
              <w:top w:val="nil"/>
              <w:left w:val="nil"/>
              <w:bottom w:val="single" w:sz="4" w:space="0" w:color="auto"/>
              <w:right w:val="single" w:sz="4" w:space="0" w:color="999999"/>
            </w:tcBorders>
            <w:tcMar>
              <w:top w:w="11" w:type="dxa"/>
              <w:left w:w="57" w:type="dxa"/>
              <w:bottom w:w="11" w:type="dxa"/>
              <w:right w:w="57" w:type="dxa"/>
            </w:tcMar>
          </w:tcPr>
          <w:p w14:paraId="007FADE3" w14:textId="77777777" w:rsidR="000923BB" w:rsidRDefault="000923BB" w:rsidP="003A385F">
            <w:pPr>
              <w:rPr>
                <w:rFonts w:cs="Arial"/>
                <w:sz w:val="20"/>
                <w:szCs w:val="20"/>
                <w:lang w:val="en-US"/>
              </w:rPr>
            </w:pPr>
            <w:r>
              <w:rPr>
                <w:rFonts w:cs="Arial"/>
                <w:sz w:val="20"/>
                <w:szCs w:val="20"/>
                <w:lang w:val="en-US"/>
              </w:rPr>
              <w:t> </w:t>
            </w:r>
          </w:p>
        </w:tc>
        <w:tc>
          <w:tcPr>
            <w:tcW w:w="851" w:type="dxa"/>
            <w:tcBorders>
              <w:top w:val="nil"/>
              <w:left w:val="single" w:sz="4" w:space="0" w:color="999999"/>
              <w:bottom w:val="single" w:sz="4" w:space="0" w:color="auto"/>
              <w:right w:val="single" w:sz="4" w:space="0" w:color="999999"/>
            </w:tcBorders>
            <w:tcMar>
              <w:left w:w="57" w:type="dxa"/>
              <w:right w:w="57" w:type="dxa"/>
            </w:tcMar>
          </w:tcPr>
          <w:p w14:paraId="3D3E88D9" w14:textId="77777777" w:rsidR="000923BB" w:rsidRDefault="000923BB" w:rsidP="003A385F">
            <w:pPr>
              <w:jc w:val="center"/>
              <w:rPr>
                <w:rFonts w:cs="Arial"/>
                <w:sz w:val="20"/>
                <w:szCs w:val="20"/>
                <w:lang w:val="en-US"/>
              </w:rPr>
            </w:pPr>
          </w:p>
        </w:tc>
        <w:tc>
          <w:tcPr>
            <w:tcW w:w="992" w:type="dxa"/>
            <w:tcBorders>
              <w:top w:val="nil"/>
              <w:left w:val="single" w:sz="4" w:space="0" w:color="999999"/>
              <w:bottom w:val="single" w:sz="4" w:space="0" w:color="auto"/>
              <w:right w:val="single" w:sz="4" w:space="0" w:color="auto"/>
            </w:tcBorders>
            <w:tcMar>
              <w:left w:w="57" w:type="dxa"/>
              <w:right w:w="57" w:type="dxa"/>
            </w:tcMar>
          </w:tcPr>
          <w:p w14:paraId="2314CD31" w14:textId="77777777" w:rsidR="000923BB" w:rsidRDefault="000923BB" w:rsidP="003A385F">
            <w:pPr>
              <w:jc w:val="center"/>
              <w:rPr>
                <w:rFonts w:cs="Arial"/>
                <w:sz w:val="20"/>
                <w:szCs w:val="20"/>
                <w:lang w:val="en-US"/>
              </w:rPr>
            </w:pPr>
          </w:p>
        </w:tc>
        <w:tc>
          <w:tcPr>
            <w:tcW w:w="1984" w:type="dxa"/>
            <w:tcBorders>
              <w:top w:val="nil"/>
              <w:left w:val="nil"/>
              <w:bottom w:val="single" w:sz="4" w:space="0" w:color="auto"/>
              <w:right w:val="single" w:sz="4" w:space="0" w:color="999999"/>
            </w:tcBorders>
            <w:tcMar>
              <w:left w:w="57" w:type="dxa"/>
              <w:right w:w="57" w:type="dxa"/>
            </w:tcMar>
          </w:tcPr>
          <w:p w14:paraId="7010A65E" w14:textId="77777777" w:rsidR="000923BB" w:rsidRDefault="000923BB" w:rsidP="003A385F">
            <w:pPr>
              <w:rPr>
                <w:rFonts w:cs="Arial"/>
                <w:sz w:val="20"/>
                <w:szCs w:val="20"/>
                <w:lang w:val="en-US"/>
              </w:rPr>
            </w:pPr>
            <w:r>
              <w:rPr>
                <w:rFonts w:cs="Arial"/>
                <w:sz w:val="20"/>
                <w:szCs w:val="20"/>
                <w:lang w:val="en-US"/>
              </w:rPr>
              <w:t>Doctor</w:t>
            </w:r>
          </w:p>
        </w:tc>
        <w:tc>
          <w:tcPr>
            <w:tcW w:w="851" w:type="dxa"/>
            <w:tcBorders>
              <w:top w:val="nil"/>
              <w:left w:val="single" w:sz="4" w:space="0" w:color="999999"/>
              <w:bottom w:val="single" w:sz="4" w:space="0" w:color="auto"/>
              <w:right w:val="single" w:sz="4" w:space="0" w:color="999999"/>
            </w:tcBorders>
            <w:tcMar>
              <w:left w:w="57" w:type="dxa"/>
              <w:right w:w="57" w:type="dxa"/>
            </w:tcMar>
          </w:tcPr>
          <w:p w14:paraId="49CB4E9F" w14:textId="77777777" w:rsidR="000923BB" w:rsidRDefault="000923BB" w:rsidP="003A385F">
            <w:pPr>
              <w:jc w:val="center"/>
              <w:rPr>
                <w:rFonts w:cs="Arial"/>
                <w:sz w:val="20"/>
                <w:szCs w:val="20"/>
                <w:lang w:val="en-US"/>
              </w:rPr>
            </w:pPr>
            <w:r>
              <w:rPr>
                <w:rFonts w:cs="Arial"/>
                <w:sz w:val="20"/>
                <w:szCs w:val="20"/>
                <w:lang w:val="en-US"/>
              </w:rPr>
              <w:t>48</w:t>
            </w:r>
          </w:p>
        </w:tc>
        <w:tc>
          <w:tcPr>
            <w:tcW w:w="1134" w:type="dxa"/>
            <w:tcBorders>
              <w:top w:val="nil"/>
              <w:left w:val="single" w:sz="4" w:space="0" w:color="999999"/>
              <w:bottom w:val="single" w:sz="4" w:space="0" w:color="auto"/>
              <w:right w:val="single" w:sz="4" w:space="0" w:color="auto"/>
            </w:tcBorders>
            <w:tcMar>
              <w:left w:w="57" w:type="dxa"/>
              <w:right w:w="57" w:type="dxa"/>
            </w:tcMar>
          </w:tcPr>
          <w:p w14:paraId="179407F3" w14:textId="77777777" w:rsidR="000923BB" w:rsidRDefault="000923BB" w:rsidP="003A385F">
            <w:pPr>
              <w:jc w:val="center"/>
              <w:rPr>
                <w:rFonts w:cs="Arial"/>
                <w:sz w:val="20"/>
                <w:szCs w:val="20"/>
                <w:lang w:val="en-US"/>
              </w:rPr>
            </w:pPr>
            <w:r>
              <w:rPr>
                <w:rFonts w:cs="Arial"/>
                <w:sz w:val="20"/>
                <w:szCs w:val="20"/>
                <w:lang w:val="en-US"/>
              </w:rPr>
              <w:t>47</w:t>
            </w:r>
          </w:p>
        </w:tc>
      </w:tr>
      <w:tr w:rsidR="000923BB" w14:paraId="5871DA85" w14:textId="77777777" w:rsidTr="009148F2">
        <w:trPr>
          <w:trHeight w:val="255"/>
        </w:trPr>
        <w:tc>
          <w:tcPr>
            <w:tcW w:w="663" w:type="dxa"/>
            <w:tcBorders>
              <w:top w:val="single" w:sz="4" w:space="0" w:color="auto"/>
              <w:left w:val="single" w:sz="4" w:space="0" w:color="auto"/>
              <w:bottom w:val="nil"/>
              <w:right w:val="single" w:sz="4" w:space="0" w:color="auto"/>
            </w:tcBorders>
          </w:tcPr>
          <w:p w14:paraId="4D8E1072" w14:textId="65BAA328" w:rsidR="000923BB" w:rsidRDefault="00003011" w:rsidP="003A385F">
            <w:pPr>
              <w:rPr>
                <w:rFonts w:cs="Arial"/>
                <w:sz w:val="20"/>
                <w:szCs w:val="20"/>
                <w:lang w:val="en-US"/>
              </w:rPr>
            </w:pPr>
            <w:r>
              <w:rPr>
                <w:noProof/>
                <w:sz w:val="20"/>
                <w:lang w:val="en-US"/>
              </w:rPr>
              <mc:AlternateContent>
                <mc:Choice Requires="wps">
                  <w:drawing>
                    <wp:anchor distT="0" distB="0" distL="114300" distR="114300" simplePos="0" relativeHeight="252504064" behindDoc="0" locked="0" layoutInCell="1" allowOverlap="1" wp14:anchorId="2A42DA3D" wp14:editId="4449FEA4">
                      <wp:simplePos x="0" y="0"/>
                      <wp:positionH relativeFrom="column">
                        <wp:posOffset>0</wp:posOffset>
                      </wp:positionH>
                      <wp:positionV relativeFrom="paragraph">
                        <wp:posOffset>123825</wp:posOffset>
                      </wp:positionV>
                      <wp:extent cx="304800" cy="285750"/>
                      <wp:effectExtent l="0" t="0" r="1270" b="3175"/>
                      <wp:wrapNone/>
                      <wp:docPr id="1097" name="AutoShape 881"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857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56E42" id="AutoShape 881" o:spid="_x0000_s1026" alt="Selecting an example from Help" style="position:absolute;margin-left:0;margin-top:9.75pt;width:24pt;height:22.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" filled="f" stroked="f">
                      <o:lock v:ext="edit" aspectratio="t"/>
                    </v:rect>
                  </w:pict>
                </mc:Fallback>
              </mc:AlternateContent>
            </w:r>
            <w:r>
              <w:rPr>
                <w:noProof/>
                <w:sz w:val="20"/>
                <w:lang w:val="en-US"/>
              </w:rPr>
              <mc:AlternateContent>
                <mc:Choice Requires="wps">
                  <w:drawing>
                    <wp:anchor distT="0" distB="0" distL="114300" distR="114300" simplePos="0" relativeHeight="252505088" behindDoc="0" locked="0" layoutInCell="1" allowOverlap="1" wp14:anchorId="61BB1F5D" wp14:editId="3233FCC4">
                      <wp:simplePos x="0" y="0"/>
                      <wp:positionH relativeFrom="column">
                        <wp:posOffset>0</wp:posOffset>
                      </wp:positionH>
                      <wp:positionV relativeFrom="paragraph">
                        <wp:posOffset>123825</wp:posOffset>
                      </wp:positionV>
                      <wp:extent cx="304800" cy="266700"/>
                      <wp:effectExtent l="0" t="0" r="1270" b="3175"/>
                      <wp:wrapNone/>
                      <wp:docPr id="1096" name="AutoShape 882"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B75AE" id="AutoShape 882" o:spid="_x0000_s1026" alt="Selecting an example from Help" style="position:absolute;margin-left:0;margin-top:9.75pt;width:24pt;height:21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" filled="f" stroked="f">
                      <o:lock v:ext="edit" aspectratio="t"/>
                    </v:rect>
                  </w:pict>
                </mc:Fallback>
              </mc:AlternateContent>
            </w:r>
            <w:r>
              <w:rPr>
                <w:noProof/>
                <w:sz w:val="20"/>
                <w:lang w:val="en-US"/>
              </w:rPr>
              <mc:AlternateContent>
                <mc:Choice Requires="wps">
                  <w:drawing>
                    <wp:anchor distT="0" distB="0" distL="114300" distR="114300" simplePos="0" relativeHeight="252506112" behindDoc="0" locked="0" layoutInCell="1" allowOverlap="1" wp14:anchorId="62AF1E61" wp14:editId="5BE7C5FD">
                      <wp:simplePos x="0" y="0"/>
                      <wp:positionH relativeFrom="column">
                        <wp:posOffset>0</wp:posOffset>
                      </wp:positionH>
                      <wp:positionV relativeFrom="paragraph">
                        <wp:posOffset>304800</wp:posOffset>
                      </wp:positionV>
                      <wp:extent cx="304800" cy="323850"/>
                      <wp:effectExtent l="0" t="0" r="1270" b="3175"/>
                      <wp:wrapNone/>
                      <wp:docPr id="1095" name="AutoShape 883"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238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55093" id="AutoShape 883" o:spid="_x0000_s1026" alt="Selecting an example from Help" style="position:absolute;margin-left:0;margin-top:24pt;width:24pt;height:25.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" filled="f" stroked="f">
                      <o:lock v:ext="edit" aspectratio="t"/>
                    </v:rect>
                  </w:pict>
                </mc:Fallback>
              </mc:AlternateContent>
            </w:r>
            <w:r>
              <w:rPr>
                <w:noProof/>
                <w:sz w:val="20"/>
                <w:lang w:val="en-US"/>
              </w:rPr>
              <mc:AlternateContent>
                <mc:Choice Requires="wps">
                  <w:drawing>
                    <wp:anchor distT="0" distB="0" distL="114300" distR="114300" simplePos="0" relativeHeight="252507136" behindDoc="0" locked="0" layoutInCell="1" allowOverlap="1" wp14:anchorId="732D6925" wp14:editId="72A64885">
                      <wp:simplePos x="0" y="0"/>
                      <wp:positionH relativeFrom="column">
                        <wp:posOffset>0</wp:posOffset>
                      </wp:positionH>
                      <wp:positionV relativeFrom="paragraph">
                        <wp:posOffset>304800</wp:posOffset>
                      </wp:positionV>
                      <wp:extent cx="304800" cy="304800"/>
                      <wp:effectExtent l="0" t="0" r="1270" b="3175"/>
                      <wp:wrapNone/>
                      <wp:docPr id="1094" name="AutoShape 884"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81409" id="AutoShape 884" o:spid="_x0000_s1026" alt="Selecting an example from Help" style="position:absolute;margin-left:0;margin-top:24pt;width:24pt;height:24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" filled="f" stroked="f">
                      <o:lock v:ext="edit" aspectratio="t"/>
                    </v:rect>
                  </w:pict>
                </mc:Fallback>
              </mc:AlternateContent>
            </w:r>
            <w:r>
              <w:rPr>
                <w:noProof/>
                <w:sz w:val="20"/>
                <w:lang w:val="en-US"/>
              </w:rPr>
              <mc:AlternateContent>
                <mc:Choice Requires="wps">
                  <w:drawing>
                    <wp:anchor distT="0" distB="0" distL="114300" distR="114300" simplePos="0" relativeHeight="252508160" behindDoc="0" locked="0" layoutInCell="1" allowOverlap="1" wp14:anchorId="30279E96" wp14:editId="198702F5">
                      <wp:simplePos x="0" y="0"/>
                      <wp:positionH relativeFrom="column">
                        <wp:posOffset>0</wp:posOffset>
                      </wp:positionH>
                      <wp:positionV relativeFrom="paragraph">
                        <wp:posOffset>485775</wp:posOffset>
                      </wp:positionV>
                      <wp:extent cx="304800" cy="238125"/>
                      <wp:effectExtent l="0" t="0" r="1270" b="3175"/>
                      <wp:wrapNone/>
                      <wp:docPr id="1093" name="AutoShape 885">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381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91894" id="AutoShape 885" o:spid="_x0000_s1026" href="" style="position:absolute;margin-left:0;margin-top:38.25pt;width:24pt;height:18.7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09184" behindDoc="0" locked="0" layoutInCell="1" allowOverlap="1" wp14:anchorId="7AFBBAED" wp14:editId="6118A43D">
                      <wp:simplePos x="0" y="0"/>
                      <wp:positionH relativeFrom="column">
                        <wp:posOffset>0</wp:posOffset>
                      </wp:positionH>
                      <wp:positionV relativeFrom="paragraph">
                        <wp:posOffset>485775</wp:posOffset>
                      </wp:positionV>
                      <wp:extent cx="304800" cy="238125"/>
                      <wp:effectExtent l="0" t="0" r="1270" b="3175"/>
                      <wp:wrapNone/>
                      <wp:docPr id="1092" name="AutoShape 886"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381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B294C" id="AutoShape 886" o:spid="_x0000_s1026" alt="Selecting an example from Help" style="position:absolute;margin-left:0;margin-top:38.25pt;width:24pt;height:18.7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" filled="f" stroked="f">
                      <o:lock v:ext="edit" aspectratio="t"/>
                    </v:rect>
                  </w:pict>
                </mc:Fallback>
              </mc:AlternateContent>
            </w:r>
            <w:r>
              <w:rPr>
                <w:noProof/>
                <w:sz w:val="20"/>
                <w:lang w:val="en-US"/>
              </w:rPr>
              <mc:AlternateContent>
                <mc:Choice Requires="wps">
                  <w:drawing>
                    <wp:anchor distT="0" distB="0" distL="114300" distR="114300" simplePos="0" relativeHeight="252510208" behindDoc="0" locked="0" layoutInCell="1" allowOverlap="1" wp14:anchorId="263F1F85" wp14:editId="6E1CACB4">
                      <wp:simplePos x="0" y="0"/>
                      <wp:positionH relativeFrom="column">
                        <wp:posOffset>0</wp:posOffset>
                      </wp:positionH>
                      <wp:positionV relativeFrom="paragraph">
                        <wp:posOffset>0</wp:posOffset>
                      </wp:positionV>
                      <wp:extent cx="304800" cy="409575"/>
                      <wp:effectExtent l="0" t="0" r="1270" b="3175"/>
                      <wp:wrapNone/>
                      <wp:docPr id="1091" name="AutoShape 887">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095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5F948" id="AutoShape 887" o:spid="_x0000_s1026" href="" style="position:absolute;margin-left:0;margin-top:0;width:24pt;height:32.2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11232" behindDoc="0" locked="0" layoutInCell="1" allowOverlap="1" wp14:anchorId="5EA8E9E3" wp14:editId="13A0F135">
                      <wp:simplePos x="0" y="0"/>
                      <wp:positionH relativeFrom="column">
                        <wp:posOffset>0</wp:posOffset>
                      </wp:positionH>
                      <wp:positionV relativeFrom="paragraph">
                        <wp:posOffset>0</wp:posOffset>
                      </wp:positionV>
                      <wp:extent cx="304800" cy="409575"/>
                      <wp:effectExtent l="0" t="0" r="1270" b="3175"/>
                      <wp:wrapNone/>
                      <wp:docPr id="1090" name="AutoShape 888"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095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CDC35" id="AutoShape 888" o:spid="_x0000_s1026" alt="Selecting an example from Help" style="position:absolute;margin-left:0;margin-top:0;width:24pt;height:32.2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" filled="f" stroked="f">
                      <o:lock v:ext="edit" aspectratio="t"/>
                    </v:rect>
                  </w:pict>
                </mc:Fallback>
              </mc:AlternateContent>
            </w:r>
            <w:r>
              <w:rPr>
                <w:noProof/>
                <w:sz w:val="20"/>
                <w:lang w:val="en-US"/>
              </w:rPr>
              <mc:AlternateContent>
                <mc:Choice Requires="wps">
                  <w:drawing>
                    <wp:anchor distT="0" distB="0" distL="114300" distR="114300" simplePos="0" relativeHeight="252512256" behindDoc="0" locked="0" layoutInCell="1" allowOverlap="1" wp14:anchorId="112188A1" wp14:editId="3A90FCF8">
                      <wp:simplePos x="0" y="0"/>
                      <wp:positionH relativeFrom="column">
                        <wp:posOffset>0</wp:posOffset>
                      </wp:positionH>
                      <wp:positionV relativeFrom="paragraph">
                        <wp:posOffset>161925</wp:posOffset>
                      </wp:positionV>
                      <wp:extent cx="304800" cy="314325"/>
                      <wp:effectExtent l="0" t="0" r="1270" b="3175"/>
                      <wp:wrapNone/>
                      <wp:docPr id="1089" name="AutoShape 889">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392CB" id="AutoShape 889" o:spid="_x0000_s1026" href="" style="position:absolute;margin-left:0;margin-top:12.75pt;width:24pt;height:24.7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13280" behindDoc="0" locked="0" layoutInCell="1" allowOverlap="1" wp14:anchorId="4E832FD3" wp14:editId="36DDFE05">
                      <wp:simplePos x="0" y="0"/>
                      <wp:positionH relativeFrom="column">
                        <wp:posOffset>0</wp:posOffset>
                      </wp:positionH>
                      <wp:positionV relativeFrom="paragraph">
                        <wp:posOffset>161925</wp:posOffset>
                      </wp:positionV>
                      <wp:extent cx="304800" cy="314325"/>
                      <wp:effectExtent l="0" t="0" r="1270" b="3175"/>
                      <wp:wrapNone/>
                      <wp:docPr id="1088" name="AutoShape 890"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514FB" id="AutoShape 890" o:spid="_x0000_s1026" alt="Selecting an example from Help" style="position:absolute;margin-left:0;margin-top:12.75pt;width:24pt;height:24.7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" filled="f" stroked="f">
                      <o:lock v:ext="edit" aspectratio="t"/>
                    </v:rect>
                  </w:pict>
                </mc:Fallback>
              </mc:AlternateContent>
            </w:r>
            <w:r>
              <w:rPr>
                <w:noProof/>
                <w:sz w:val="20"/>
                <w:lang w:val="en-US"/>
              </w:rPr>
              <mc:AlternateContent>
                <mc:Choice Requires="wps">
                  <w:drawing>
                    <wp:anchor distT="0" distB="0" distL="114300" distR="114300" simplePos="0" relativeHeight="252514304" behindDoc="0" locked="0" layoutInCell="1" allowOverlap="1" wp14:anchorId="19CE995B" wp14:editId="571BDD0B">
                      <wp:simplePos x="0" y="0"/>
                      <wp:positionH relativeFrom="column">
                        <wp:posOffset>0</wp:posOffset>
                      </wp:positionH>
                      <wp:positionV relativeFrom="paragraph">
                        <wp:posOffset>323850</wp:posOffset>
                      </wp:positionV>
                      <wp:extent cx="304800" cy="323850"/>
                      <wp:effectExtent l="0" t="0" r="1270" b="3175"/>
                      <wp:wrapNone/>
                      <wp:docPr id="1087" name="AutoShape 891">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238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3761F" id="AutoShape 891" o:spid="_x0000_s1026" href="" style="position:absolute;margin-left:0;margin-top:25.5pt;width:24pt;height:25.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15328" behindDoc="0" locked="0" layoutInCell="1" allowOverlap="1" wp14:anchorId="25DDFA86" wp14:editId="2959734F">
                      <wp:simplePos x="0" y="0"/>
                      <wp:positionH relativeFrom="column">
                        <wp:posOffset>0</wp:posOffset>
                      </wp:positionH>
                      <wp:positionV relativeFrom="paragraph">
                        <wp:posOffset>323850</wp:posOffset>
                      </wp:positionV>
                      <wp:extent cx="304800" cy="323850"/>
                      <wp:effectExtent l="0" t="0" r="1270" b="3175"/>
                      <wp:wrapNone/>
                      <wp:docPr id="1086" name="AutoShape 892"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238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41C50" id="AutoShape 892" o:spid="_x0000_s1026" alt="Selecting an example from Help" style="position:absolute;margin-left:0;margin-top:25.5pt;width:24pt;height:25.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" filled="f" stroked="f">
                      <o:lock v:ext="edit" aspectratio="t"/>
                    </v:rect>
                  </w:pict>
                </mc:Fallback>
              </mc:AlternateContent>
            </w:r>
            <w:r>
              <w:rPr>
                <w:noProof/>
                <w:sz w:val="20"/>
                <w:lang w:val="en-US"/>
              </w:rPr>
              <mc:AlternateContent>
                <mc:Choice Requires="wps">
                  <w:drawing>
                    <wp:anchor distT="0" distB="0" distL="114300" distR="114300" simplePos="0" relativeHeight="252516352" behindDoc="0" locked="0" layoutInCell="1" allowOverlap="1" wp14:anchorId="4FE09E93" wp14:editId="0F43B99F">
                      <wp:simplePos x="0" y="0"/>
                      <wp:positionH relativeFrom="column">
                        <wp:posOffset>0</wp:posOffset>
                      </wp:positionH>
                      <wp:positionV relativeFrom="paragraph">
                        <wp:posOffset>0</wp:posOffset>
                      </wp:positionV>
                      <wp:extent cx="304800" cy="409575"/>
                      <wp:effectExtent l="0" t="0" r="1270" b="3175"/>
                      <wp:wrapNone/>
                      <wp:docPr id="1085" name="AutoShape 893">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095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3488C" id="AutoShape 893" o:spid="_x0000_s1026" href="" style="position:absolute;margin-left:0;margin-top:0;width:24pt;height:32.2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17376" behindDoc="0" locked="0" layoutInCell="1" allowOverlap="1" wp14:anchorId="77305A92" wp14:editId="78A9B376">
                      <wp:simplePos x="0" y="0"/>
                      <wp:positionH relativeFrom="column">
                        <wp:posOffset>0</wp:posOffset>
                      </wp:positionH>
                      <wp:positionV relativeFrom="paragraph">
                        <wp:posOffset>0</wp:posOffset>
                      </wp:positionV>
                      <wp:extent cx="304800" cy="409575"/>
                      <wp:effectExtent l="0" t="0" r="1270" b="3175"/>
                      <wp:wrapNone/>
                      <wp:docPr id="1084" name="AutoShape 894"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095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13ADD" id="AutoShape 894" o:spid="_x0000_s1026" alt="Selecting an example from Help" style="position:absolute;margin-left:0;margin-top:0;width:24pt;height:32.2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" filled="f" stroked="f">
                      <o:lock v:ext="edit" aspectratio="t"/>
                    </v:rect>
                  </w:pict>
                </mc:Fallback>
              </mc:AlternateContent>
            </w:r>
            <w:r>
              <w:rPr>
                <w:noProof/>
                <w:sz w:val="20"/>
                <w:lang w:val="en-US"/>
              </w:rPr>
              <mc:AlternateContent>
                <mc:Choice Requires="wps">
                  <w:drawing>
                    <wp:anchor distT="0" distB="0" distL="114300" distR="114300" simplePos="0" relativeHeight="252518400" behindDoc="0" locked="0" layoutInCell="1" allowOverlap="1" wp14:anchorId="150F85D5" wp14:editId="03219731">
                      <wp:simplePos x="0" y="0"/>
                      <wp:positionH relativeFrom="column">
                        <wp:posOffset>0</wp:posOffset>
                      </wp:positionH>
                      <wp:positionV relativeFrom="paragraph">
                        <wp:posOffset>161925</wp:posOffset>
                      </wp:positionV>
                      <wp:extent cx="304800" cy="314325"/>
                      <wp:effectExtent l="0" t="0" r="1270" b="3175"/>
                      <wp:wrapNone/>
                      <wp:docPr id="1083" name="AutoShape 895">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F93C5" id="AutoShape 895" o:spid="_x0000_s1026" href="" style="position:absolute;margin-left:0;margin-top:12.75pt;width:24pt;height:24.7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19424" behindDoc="0" locked="0" layoutInCell="1" allowOverlap="1" wp14:anchorId="0F8DFA59" wp14:editId="39E7B4CB">
                      <wp:simplePos x="0" y="0"/>
                      <wp:positionH relativeFrom="column">
                        <wp:posOffset>0</wp:posOffset>
                      </wp:positionH>
                      <wp:positionV relativeFrom="paragraph">
                        <wp:posOffset>161925</wp:posOffset>
                      </wp:positionV>
                      <wp:extent cx="304800" cy="314325"/>
                      <wp:effectExtent l="0" t="0" r="1270" b="3175"/>
                      <wp:wrapNone/>
                      <wp:docPr id="1082" name="AutoShape 896"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357A9" id="AutoShape 896" o:spid="_x0000_s1026" alt="Selecting an example from Help" style="position:absolute;margin-left:0;margin-top:12.75pt;width:24pt;height:24.7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" filled="f" stroked="f">
                      <o:lock v:ext="edit" aspectratio="t"/>
                    </v:rect>
                  </w:pict>
                </mc:Fallback>
              </mc:AlternateContent>
            </w:r>
            <w:r>
              <w:rPr>
                <w:noProof/>
                <w:sz w:val="20"/>
                <w:lang w:val="en-US"/>
              </w:rPr>
              <mc:AlternateContent>
                <mc:Choice Requires="wps">
                  <w:drawing>
                    <wp:anchor distT="0" distB="0" distL="114300" distR="114300" simplePos="0" relativeHeight="252520448" behindDoc="0" locked="0" layoutInCell="1" allowOverlap="1" wp14:anchorId="54C9E420" wp14:editId="4984DBD7">
                      <wp:simplePos x="0" y="0"/>
                      <wp:positionH relativeFrom="column">
                        <wp:posOffset>0</wp:posOffset>
                      </wp:positionH>
                      <wp:positionV relativeFrom="paragraph">
                        <wp:posOffset>485775</wp:posOffset>
                      </wp:positionV>
                      <wp:extent cx="304800" cy="238125"/>
                      <wp:effectExtent l="0" t="0" r="1270" b="3175"/>
                      <wp:wrapNone/>
                      <wp:docPr id="1081" name="AutoShape 897">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381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FC013" id="AutoShape 897" o:spid="_x0000_s1026" href="" style="position:absolute;margin-left:0;margin-top:38.25pt;width:24pt;height:18.7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21472" behindDoc="0" locked="0" layoutInCell="1" allowOverlap="1" wp14:anchorId="60417784" wp14:editId="726C5663">
                      <wp:simplePos x="0" y="0"/>
                      <wp:positionH relativeFrom="column">
                        <wp:posOffset>0</wp:posOffset>
                      </wp:positionH>
                      <wp:positionV relativeFrom="paragraph">
                        <wp:posOffset>485775</wp:posOffset>
                      </wp:positionV>
                      <wp:extent cx="304800" cy="238125"/>
                      <wp:effectExtent l="0" t="0" r="1270" b="3175"/>
                      <wp:wrapNone/>
                      <wp:docPr id="1080" name="AutoShape 898"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381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EC0EC" id="AutoShape 898" o:spid="_x0000_s1026" alt="Selecting an example from Help" style="position:absolute;margin-left:0;margin-top:38.25pt;width:24pt;height:18.7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" filled="f" stroked="f">
                      <o:lock v:ext="edit" aspectratio="t"/>
                    </v:rect>
                  </w:pict>
                </mc:Fallback>
              </mc:AlternateContent>
            </w:r>
            <w:r>
              <w:rPr>
                <w:noProof/>
                <w:sz w:val="20"/>
                <w:lang w:val="en-US"/>
              </w:rPr>
              <mc:AlternateContent>
                <mc:Choice Requires="wps">
                  <w:drawing>
                    <wp:anchor distT="0" distB="0" distL="114300" distR="114300" simplePos="0" relativeHeight="252522496" behindDoc="0" locked="0" layoutInCell="1" allowOverlap="1" wp14:anchorId="4A92DF44" wp14:editId="4E4057E4">
                      <wp:simplePos x="0" y="0"/>
                      <wp:positionH relativeFrom="column">
                        <wp:posOffset>0</wp:posOffset>
                      </wp:positionH>
                      <wp:positionV relativeFrom="paragraph">
                        <wp:posOffset>0</wp:posOffset>
                      </wp:positionV>
                      <wp:extent cx="304800" cy="390525"/>
                      <wp:effectExtent l="0" t="0" r="1270" b="3175"/>
                      <wp:wrapNone/>
                      <wp:docPr id="1079" name="AutoShape 899">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905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80006" id="AutoShape 899" o:spid="_x0000_s1026" href="" style="position:absolute;margin-left:0;margin-top:0;width:24pt;height:30.7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23520" behindDoc="0" locked="0" layoutInCell="1" allowOverlap="1" wp14:anchorId="7F8C0526" wp14:editId="79CF2539">
                      <wp:simplePos x="0" y="0"/>
                      <wp:positionH relativeFrom="column">
                        <wp:posOffset>0</wp:posOffset>
                      </wp:positionH>
                      <wp:positionV relativeFrom="paragraph">
                        <wp:posOffset>0</wp:posOffset>
                      </wp:positionV>
                      <wp:extent cx="304800" cy="390525"/>
                      <wp:effectExtent l="0" t="0" r="1270" b="3175"/>
                      <wp:wrapNone/>
                      <wp:docPr id="1078" name="AutoShape 900"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905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6D1A3" id="AutoShape 900" o:spid="_x0000_s1026" alt="Selecting an example from Help" style="position:absolute;margin-left:0;margin-top:0;width:24pt;height:30.7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" filled="f" stroked="f">
                      <o:lock v:ext="edit" aspectratio="t"/>
                    </v:rect>
                  </w:pict>
                </mc:Fallback>
              </mc:AlternateContent>
            </w:r>
            <w:r>
              <w:rPr>
                <w:noProof/>
                <w:sz w:val="20"/>
                <w:lang w:val="en-US"/>
              </w:rPr>
              <mc:AlternateContent>
                <mc:Choice Requires="wps">
                  <w:drawing>
                    <wp:anchor distT="0" distB="0" distL="114300" distR="114300" simplePos="0" relativeHeight="252524544" behindDoc="0" locked="0" layoutInCell="1" allowOverlap="1" wp14:anchorId="39AE6DA7" wp14:editId="2226479A">
                      <wp:simplePos x="0" y="0"/>
                      <wp:positionH relativeFrom="column">
                        <wp:posOffset>0</wp:posOffset>
                      </wp:positionH>
                      <wp:positionV relativeFrom="paragraph">
                        <wp:posOffset>0</wp:posOffset>
                      </wp:positionV>
                      <wp:extent cx="304800" cy="390525"/>
                      <wp:effectExtent l="0" t="0" r="1270" b="3175"/>
                      <wp:wrapNone/>
                      <wp:docPr id="1077" name="AutoShape 901">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905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060F2" id="AutoShape 901" o:spid="_x0000_s1026" href="" style="position:absolute;margin-left:0;margin-top:0;width:24pt;height:30.7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25568" behindDoc="0" locked="0" layoutInCell="1" allowOverlap="1" wp14:anchorId="73B17A67" wp14:editId="627D2CD2">
                      <wp:simplePos x="0" y="0"/>
                      <wp:positionH relativeFrom="column">
                        <wp:posOffset>0</wp:posOffset>
                      </wp:positionH>
                      <wp:positionV relativeFrom="paragraph">
                        <wp:posOffset>0</wp:posOffset>
                      </wp:positionV>
                      <wp:extent cx="304800" cy="390525"/>
                      <wp:effectExtent l="0" t="0" r="1270" b="3175"/>
                      <wp:wrapNone/>
                      <wp:docPr id="1076" name="AutoShape 902"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905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B8592" id="AutoShape 902" o:spid="_x0000_s1026" alt="Selecting an example from Help" style="position:absolute;margin-left:0;margin-top:0;width:24pt;height:30.7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" filled="f" stroked="f">
                      <o:lock v:ext="edit" aspectratio="t"/>
                    </v:rect>
                  </w:pict>
                </mc:Fallback>
              </mc:AlternateContent>
            </w:r>
            <w:r w:rsidR="000923BB">
              <w:rPr>
                <w:rFonts w:cs="Arial"/>
                <w:sz w:val="20"/>
                <w:szCs w:val="20"/>
                <w:lang w:val="en-US"/>
              </w:rPr>
              <w:t>G</w:t>
            </w:r>
          </w:p>
        </w:tc>
        <w:tc>
          <w:tcPr>
            <w:tcW w:w="1701" w:type="dxa"/>
            <w:tcBorders>
              <w:top w:val="single" w:sz="4" w:space="0" w:color="auto"/>
              <w:left w:val="nil"/>
              <w:bottom w:val="nil"/>
              <w:right w:val="single" w:sz="4" w:space="0" w:color="999999"/>
            </w:tcBorders>
            <w:tcMar>
              <w:top w:w="11" w:type="dxa"/>
              <w:left w:w="57" w:type="dxa"/>
              <w:bottom w:w="11" w:type="dxa"/>
              <w:right w:w="57" w:type="dxa"/>
            </w:tcMar>
          </w:tcPr>
          <w:p w14:paraId="5E19C95E" w14:textId="77777777" w:rsidR="000923BB" w:rsidRDefault="000923BB" w:rsidP="003A385F">
            <w:pPr>
              <w:rPr>
                <w:rFonts w:cs="Arial"/>
                <w:sz w:val="20"/>
                <w:szCs w:val="20"/>
                <w:lang w:val="en-US"/>
              </w:rPr>
            </w:pPr>
            <w:r>
              <w:rPr>
                <w:rFonts w:cs="Arial"/>
                <w:sz w:val="20"/>
                <w:szCs w:val="20"/>
                <w:lang w:val="en-US"/>
              </w:rPr>
              <w:t>Nurse / other clinical</w:t>
            </w:r>
          </w:p>
        </w:tc>
        <w:tc>
          <w:tcPr>
            <w:tcW w:w="851" w:type="dxa"/>
            <w:tcBorders>
              <w:top w:val="single" w:sz="4" w:space="0" w:color="auto"/>
              <w:left w:val="single" w:sz="4" w:space="0" w:color="999999"/>
              <w:bottom w:val="nil"/>
              <w:right w:val="single" w:sz="4" w:space="0" w:color="999999"/>
            </w:tcBorders>
            <w:tcMar>
              <w:left w:w="57" w:type="dxa"/>
              <w:right w:w="57" w:type="dxa"/>
            </w:tcMar>
          </w:tcPr>
          <w:p w14:paraId="1E4F00D4" w14:textId="77777777" w:rsidR="000923BB" w:rsidRDefault="000923BB" w:rsidP="003A385F">
            <w:pPr>
              <w:jc w:val="center"/>
              <w:rPr>
                <w:rFonts w:cs="Arial"/>
                <w:sz w:val="20"/>
                <w:szCs w:val="20"/>
                <w:lang w:val="en-US"/>
              </w:rPr>
            </w:pPr>
            <w:r>
              <w:rPr>
                <w:rFonts w:cs="Arial"/>
                <w:sz w:val="20"/>
                <w:szCs w:val="20"/>
                <w:lang w:val="en-US"/>
              </w:rPr>
              <w:t>35</w:t>
            </w:r>
          </w:p>
        </w:tc>
        <w:tc>
          <w:tcPr>
            <w:tcW w:w="992" w:type="dxa"/>
            <w:tcBorders>
              <w:top w:val="single" w:sz="4" w:space="0" w:color="auto"/>
              <w:left w:val="single" w:sz="4" w:space="0" w:color="999999"/>
              <w:bottom w:val="nil"/>
              <w:right w:val="single" w:sz="4" w:space="0" w:color="auto"/>
            </w:tcBorders>
            <w:tcMar>
              <w:left w:w="57" w:type="dxa"/>
              <w:right w:w="57" w:type="dxa"/>
            </w:tcMar>
          </w:tcPr>
          <w:p w14:paraId="57DF8B26" w14:textId="142F1E77" w:rsidR="000923BB" w:rsidRDefault="00003011" w:rsidP="003A385F">
            <w:pPr>
              <w:jc w:val="center"/>
              <w:rPr>
                <w:rFonts w:cs="Arial"/>
                <w:sz w:val="20"/>
                <w:szCs w:val="20"/>
                <w:lang w:val="en-US"/>
              </w:rPr>
            </w:pPr>
            <w:r>
              <w:rPr>
                <w:noProof/>
                <w:sz w:val="20"/>
                <w:lang w:val="en-US"/>
              </w:rPr>
              <mc:AlternateContent>
                <mc:Choice Requires="wps">
                  <w:drawing>
                    <wp:anchor distT="0" distB="0" distL="114300" distR="114300" simplePos="0" relativeHeight="252526592" behindDoc="0" locked="0" layoutInCell="1" allowOverlap="1" wp14:anchorId="7AB1C058" wp14:editId="0A37A7DA">
                      <wp:simplePos x="0" y="0"/>
                      <wp:positionH relativeFrom="column">
                        <wp:posOffset>0</wp:posOffset>
                      </wp:positionH>
                      <wp:positionV relativeFrom="paragraph">
                        <wp:posOffset>0</wp:posOffset>
                      </wp:positionV>
                      <wp:extent cx="304800" cy="390525"/>
                      <wp:effectExtent l="1905" t="0" r="0" b="3175"/>
                      <wp:wrapNone/>
                      <wp:docPr id="1075" name="AutoShape 903">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905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853AB" id="AutoShape 903" o:spid="_x0000_s1026" href="" style="position:absolute;margin-left:0;margin-top:0;width:24pt;height:30.7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27616" behindDoc="0" locked="0" layoutInCell="1" allowOverlap="1" wp14:anchorId="102CE4C9" wp14:editId="7C1C1466">
                      <wp:simplePos x="0" y="0"/>
                      <wp:positionH relativeFrom="column">
                        <wp:posOffset>0</wp:posOffset>
                      </wp:positionH>
                      <wp:positionV relativeFrom="paragraph">
                        <wp:posOffset>0</wp:posOffset>
                      </wp:positionV>
                      <wp:extent cx="304800" cy="390525"/>
                      <wp:effectExtent l="1905" t="0" r="0" b="3175"/>
                      <wp:wrapNone/>
                      <wp:docPr id="1074" name="AutoShape 904"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905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C8C5D" id="AutoShape 904" o:spid="_x0000_s1026" alt="Selecting an example from Help" style="position:absolute;margin-left:0;margin-top:0;width:24pt;height:30.7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" filled="f" stroked="f">
                      <o:lock v:ext="edit" aspectratio="t"/>
                    </v:rect>
                  </w:pict>
                </mc:Fallback>
              </mc:AlternateContent>
            </w:r>
            <w:r>
              <w:rPr>
                <w:noProof/>
                <w:sz w:val="20"/>
                <w:lang w:val="en-US"/>
              </w:rPr>
              <mc:AlternateContent>
                <mc:Choice Requires="wps">
                  <w:drawing>
                    <wp:anchor distT="0" distB="0" distL="114300" distR="114300" simplePos="0" relativeHeight="252528640" behindDoc="0" locked="0" layoutInCell="1" allowOverlap="1" wp14:anchorId="2551AD64" wp14:editId="24090F24">
                      <wp:simplePos x="0" y="0"/>
                      <wp:positionH relativeFrom="column">
                        <wp:posOffset>0</wp:posOffset>
                      </wp:positionH>
                      <wp:positionV relativeFrom="paragraph">
                        <wp:posOffset>0</wp:posOffset>
                      </wp:positionV>
                      <wp:extent cx="304800" cy="390525"/>
                      <wp:effectExtent l="1905" t="0" r="0" b="3175"/>
                      <wp:wrapNone/>
                      <wp:docPr id="1073" name="AutoShape 905">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905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8BB7D" id="AutoShape 905" o:spid="_x0000_s1026" href="" style="position:absolute;margin-left:0;margin-top:0;width:24pt;height:30.7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29664" behindDoc="0" locked="0" layoutInCell="1" allowOverlap="1" wp14:anchorId="49759BE9" wp14:editId="3A3D9F9A">
                      <wp:simplePos x="0" y="0"/>
                      <wp:positionH relativeFrom="column">
                        <wp:posOffset>0</wp:posOffset>
                      </wp:positionH>
                      <wp:positionV relativeFrom="paragraph">
                        <wp:posOffset>0</wp:posOffset>
                      </wp:positionV>
                      <wp:extent cx="304800" cy="390525"/>
                      <wp:effectExtent l="1905" t="0" r="0" b="3175"/>
                      <wp:wrapNone/>
                      <wp:docPr id="1072" name="AutoShape 906"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905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2BBBA" id="AutoShape 906" o:spid="_x0000_s1026" alt="Selecting an example from Help" style="position:absolute;margin-left:0;margin-top:0;width:24pt;height:30.7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" filled="f" stroked="f">
                      <o:lock v:ext="edit" aspectratio="t"/>
                    </v:rect>
                  </w:pict>
                </mc:Fallback>
              </mc:AlternateContent>
            </w:r>
            <w:r>
              <w:rPr>
                <w:noProof/>
                <w:sz w:val="20"/>
                <w:lang w:val="en-US"/>
              </w:rPr>
              <mc:AlternateContent>
                <mc:Choice Requires="wps">
                  <w:drawing>
                    <wp:anchor distT="0" distB="0" distL="114300" distR="114300" simplePos="0" relativeHeight="252530688" behindDoc="0" locked="0" layoutInCell="1" allowOverlap="1" wp14:anchorId="3FEB1788" wp14:editId="6CB5ED70">
                      <wp:simplePos x="0" y="0"/>
                      <wp:positionH relativeFrom="column">
                        <wp:posOffset>0</wp:posOffset>
                      </wp:positionH>
                      <wp:positionV relativeFrom="paragraph">
                        <wp:posOffset>123825</wp:posOffset>
                      </wp:positionV>
                      <wp:extent cx="304800" cy="285750"/>
                      <wp:effectExtent l="1905" t="0" r="0" b="3175"/>
                      <wp:wrapNone/>
                      <wp:docPr id="1071" name="AutoShape 907"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857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5D331" id="AutoShape 907" o:spid="_x0000_s1026" alt="Selecting an example from Help" style="position:absolute;margin-left:0;margin-top:9.75pt;width:24pt;height:22.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" filled="f" stroked="f">
                      <o:lock v:ext="edit" aspectratio="t"/>
                    </v:rect>
                  </w:pict>
                </mc:Fallback>
              </mc:AlternateContent>
            </w:r>
            <w:r>
              <w:rPr>
                <w:noProof/>
                <w:sz w:val="20"/>
                <w:lang w:val="en-US"/>
              </w:rPr>
              <mc:AlternateContent>
                <mc:Choice Requires="wps">
                  <w:drawing>
                    <wp:anchor distT="0" distB="0" distL="114300" distR="114300" simplePos="0" relativeHeight="252531712" behindDoc="0" locked="0" layoutInCell="1" allowOverlap="1" wp14:anchorId="38F286BC" wp14:editId="36E80AB4">
                      <wp:simplePos x="0" y="0"/>
                      <wp:positionH relativeFrom="column">
                        <wp:posOffset>0</wp:posOffset>
                      </wp:positionH>
                      <wp:positionV relativeFrom="paragraph">
                        <wp:posOffset>123825</wp:posOffset>
                      </wp:positionV>
                      <wp:extent cx="304800" cy="266700"/>
                      <wp:effectExtent l="1905" t="0" r="0" b="3175"/>
                      <wp:wrapNone/>
                      <wp:docPr id="1070" name="AutoShape 908"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CEFBF" id="AutoShape 908" o:spid="_x0000_s1026" alt="Selecting an example from Help" style="position:absolute;margin-left:0;margin-top:9.75pt;width:24pt;height:21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" filled="f" stroked="f">
                      <o:lock v:ext="edit" aspectratio="t"/>
                    </v:rect>
                  </w:pict>
                </mc:Fallback>
              </mc:AlternateContent>
            </w:r>
            <w:r>
              <w:rPr>
                <w:noProof/>
                <w:sz w:val="20"/>
                <w:lang w:val="en-US"/>
              </w:rPr>
              <mc:AlternateContent>
                <mc:Choice Requires="wps">
                  <w:drawing>
                    <wp:anchor distT="0" distB="0" distL="114300" distR="114300" simplePos="0" relativeHeight="252532736" behindDoc="0" locked="0" layoutInCell="1" allowOverlap="1" wp14:anchorId="4B27BB54" wp14:editId="5DD15D4B">
                      <wp:simplePos x="0" y="0"/>
                      <wp:positionH relativeFrom="column">
                        <wp:posOffset>0</wp:posOffset>
                      </wp:positionH>
                      <wp:positionV relativeFrom="paragraph">
                        <wp:posOffset>123825</wp:posOffset>
                      </wp:positionV>
                      <wp:extent cx="304800" cy="285750"/>
                      <wp:effectExtent l="1905" t="0" r="0" b="3175"/>
                      <wp:wrapNone/>
                      <wp:docPr id="1069" name="AutoShape 909"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857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EED59" id="AutoShape 909" o:spid="_x0000_s1026" alt="Selecting an example from Help" style="position:absolute;margin-left:0;margin-top:9.75pt;width:24pt;height:22.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" filled="f" stroked="f">
                      <o:lock v:ext="edit" aspectratio="t"/>
                    </v:rect>
                  </w:pict>
                </mc:Fallback>
              </mc:AlternateContent>
            </w:r>
            <w:r>
              <w:rPr>
                <w:noProof/>
                <w:sz w:val="20"/>
                <w:lang w:val="en-US"/>
              </w:rPr>
              <mc:AlternateContent>
                <mc:Choice Requires="wps">
                  <w:drawing>
                    <wp:anchor distT="0" distB="0" distL="114300" distR="114300" simplePos="0" relativeHeight="252533760" behindDoc="0" locked="0" layoutInCell="1" allowOverlap="1" wp14:anchorId="4E4A67F9" wp14:editId="16FA5F3D">
                      <wp:simplePos x="0" y="0"/>
                      <wp:positionH relativeFrom="column">
                        <wp:posOffset>0</wp:posOffset>
                      </wp:positionH>
                      <wp:positionV relativeFrom="paragraph">
                        <wp:posOffset>123825</wp:posOffset>
                      </wp:positionV>
                      <wp:extent cx="304800" cy="266700"/>
                      <wp:effectExtent l="1905" t="0" r="0" b="3175"/>
                      <wp:wrapNone/>
                      <wp:docPr id="1068" name="AutoShape 910"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F0909" id="AutoShape 910" o:spid="_x0000_s1026" alt="Selecting an example from Help" style="position:absolute;margin-left:0;margin-top:9.75pt;width:24pt;height:21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" filled="f" stroked="f">
                      <o:lock v:ext="edit" aspectratio="t"/>
                    </v:rect>
                  </w:pict>
                </mc:Fallback>
              </mc:AlternateContent>
            </w:r>
            <w:r>
              <w:rPr>
                <w:noProof/>
                <w:sz w:val="20"/>
                <w:lang w:val="en-US"/>
              </w:rPr>
              <mc:AlternateContent>
                <mc:Choice Requires="wps">
                  <w:drawing>
                    <wp:anchor distT="0" distB="0" distL="114300" distR="114300" simplePos="0" relativeHeight="252534784" behindDoc="0" locked="0" layoutInCell="1" allowOverlap="1" wp14:anchorId="178388DC" wp14:editId="0B7DBC8F">
                      <wp:simplePos x="0" y="0"/>
                      <wp:positionH relativeFrom="column">
                        <wp:posOffset>0</wp:posOffset>
                      </wp:positionH>
                      <wp:positionV relativeFrom="paragraph">
                        <wp:posOffset>0</wp:posOffset>
                      </wp:positionV>
                      <wp:extent cx="304800" cy="409575"/>
                      <wp:effectExtent l="1905" t="0" r="0" b="3175"/>
                      <wp:wrapNone/>
                      <wp:docPr id="1067" name="AutoShape 911">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095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2767F" id="AutoShape 911" o:spid="_x0000_s1026" href="" style="position:absolute;margin-left:0;margin-top:0;width:24pt;height:32.2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35808" behindDoc="0" locked="0" layoutInCell="1" allowOverlap="1" wp14:anchorId="2C262BC0" wp14:editId="5527FD75">
                      <wp:simplePos x="0" y="0"/>
                      <wp:positionH relativeFrom="column">
                        <wp:posOffset>0</wp:posOffset>
                      </wp:positionH>
                      <wp:positionV relativeFrom="paragraph">
                        <wp:posOffset>0</wp:posOffset>
                      </wp:positionV>
                      <wp:extent cx="304800" cy="409575"/>
                      <wp:effectExtent l="1905" t="0" r="0" b="3175"/>
                      <wp:wrapNone/>
                      <wp:docPr id="1066" name="AutoShape 912"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095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2F57B" id="AutoShape 912" o:spid="_x0000_s1026" alt="Selecting an example from Help" style="position:absolute;margin-left:0;margin-top:0;width:24pt;height:32.2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" filled="f" stroked="f">
                      <o:lock v:ext="edit" aspectratio="t"/>
                    </v:rect>
                  </w:pict>
                </mc:Fallback>
              </mc:AlternateContent>
            </w:r>
            <w:r>
              <w:rPr>
                <w:noProof/>
                <w:sz w:val="20"/>
                <w:lang w:val="en-US"/>
              </w:rPr>
              <mc:AlternateContent>
                <mc:Choice Requires="wps">
                  <w:drawing>
                    <wp:anchor distT="0" distB="0" distL="114300" distR="114300" simplePos="0" relativeHeight="252536832" behindDoc="0" locked="0" layoutInCell="1" allowOverlap="1" wp14:anchorId="4F6937B2" wp14:editId="31D70A53">
                      <wp:simplePos x="0" y="0"/>
                      <wp:positionH relativeFrom="column">
                        <wp:posOffset>0</wp:posOffset>
                      </wp:positionH>
                      <wp:positionV relativeFrom="paragraph">
                        <wp:posOffset>161925</wp:posOffset>
                      </wp:positionV>
                      <wp:extent cx="304800" cy="314325"/>
                      <wp:effectExtent l="1905" t="0" r="0" b="3175"/>
                      <wp:wrapNone/>
                      <wp:docPr id="1065" name="AutoShape 913">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0D478" id="AutoShape 913" o:spid="_x0000_s1026" href="" style="position:absolute;margin-left:0;margin-top:12.75pt;width:24pt;height:24.7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37856" behindDoc="0" locked="0" layoutInCell="1" allowOverlap="1" wp14:anchorId="128A846E" wp14:editId="4E61F2C8">
                      <wp:simplePos x="0" y="0"/>
                      <wp:positionH relativeFrom="column">
                        <wp:posOffset>0</wp:posOffset>
                      </wp:positionH>
                      <wp:positionV relativeFrom="paragraph">
                        <wp:posOffset>161925</wp:posOffset>
                      </wp:positionV>
                      <wp:extent cx="304800" cy="314325"/>
                      <wp:effectExtent l="1905" t="0" r="0" b="3175"/>
                      <wp:wrapNone/>
                      <wp:docPr id="1064" name="AutoShape 914"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7336C" id="AutoShape 914" o:spid="_x0000_s1026" alt="Selecting an example from Help" style="position:absolute;margin-left:0;margin-top:12.75pt;width:24pt;height:24.7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" filled="f" stroked="f">
                      <o:lock v:ext="edit" aspectratio="t"/>
                    </v:rect>
                  </w:pict>
                </mc:Fallback>
              </mc:AlternateContent>
            </w:r>
            <w:r>
              <w:rPr>
                <w:noProof/>
                <w:sz w:val="20"/>
                <w:lang w:val="en-US"/>
              </w:rPr>
              <mc:AlternateContent>
                <mc:Choice Requires="wps">
                  <w:drawing>
                    <wp:anchor distT="0" distB="0" distL="114300" distR="114300" simplePos="0" relativeHeight="252538880" behindDoc="0" locked="0" layoutInCell="1" allowOverlap="1" wp14:anchorId="67071E7D" wp14:editId="58C39454">
                      <wp:simplePos x="0" y="0"/>
                      <wp:positionH relativeFrom="column">
                        <wp:posOffset>0</wp:posOffset>
                      </wp:positionH>
                      <wp:positionV relativeFrom="paragraph">
                        <wp:posOffset>0</wp:posOffset>
                      </wp:positionV>
                      <wp:extent cx="304800" cy="390525"/>
                      <wp:effectExtent l="1905" t="0" r="0" b="3175"/>
                      <wp:wrapNone/>
                      <wp:docPr id="1063" name="AutoShape 915">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905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7B769" id="AutoShape 915" o:spid="_x0000_s1026" href="" style="position:absolute;margin-left:0;margin-top:0;width:24pt;height:30.7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39904" behindDoc="0" locked="0" layoutInCell="1" allowOverlap="1" wp14:anchorId="172999E6" wp14:editId="7FC807FD">
                      <wp:simplePos x="0" y="0"/>
                      <wp:positionH relativeFrom="column">
                        <wp:posOffset>0</wp:posOffset>
                      </wp:positionH>
                      <wp:positionV relativeFrom="paragraph">
                        <wp:posOffset>0</wp:posOffset>
                      </wp:positionV>
                      <wp:extent cx="304800" cy="390525"/>
                      <wp:effectExtent l="1905" t="0" r="0" b="3175"/>
                      <wp:wrapNone/>
                      <wp:docPr id="1062" name="AutoShape 916"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905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384C9" id="AutoShape 916" o:spid="_x0000_s1026" alt="Selecting an example from Help" style="position:absolute;margin-left:0;margin-top:0;width:24pt;height:30.7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" filled="f" stroked="f">
                      <o:lock v:ext="edit" aspectratio="t"/>
                    </v:rect>
                  </w:pict>
                </mc:Fallback>
              </mc:AlternateContent>
            </w:r>
            <w:r>
              <w:rPr>
                <w:noProof/>
                <w:sz w:val="20"/>
                <w:lang w:val="en-US"/>
              </w:rPr>
              <mc:AlternateContent>
                <mc:Choice Requires="wps">
                  <w:drawing>
                    <wp:anchor distT="0" distB="0" distL="114300" distR="114300" simplePos="0" relativeHeight="252540928" behindDoc="0" locked="0" layoutInCell="1" allowOverlap="1" wp14:anchorId="3201C307" wp14:editId="6304DFB6">
                      <wp:simplePos x="0" y="0"/>
                      <wp:positionH relativeFrom="column">
                        <wp:posOffset>0</wp:posOffset>
                      </wp:positionH>
                      <wp:positionV relativeFrom="paragraph">
                        <wp:posOffset>0</wp:posOffset>
                      </wp:positionV>
                      <wp:extent cx="304800" cy="390525"/>
                      <wp:effectExtent l="1905" t="0" r="0" b="3175"/>
                      <wp:wrapNone/>
                      <wp:docPr id="1061" name="AutoShape 917">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905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368F5" id="AutoShape 917" o:spid="_x0000_s1026" href="" style="position:absolute;margin-left:0;margin-top:0;width:24pt;height:30.7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41952" behindDoc="0" locked="0" layoutInCell="1" allowOverlap="1" wp14:anchorId="08A3BF69" wp14:editId="3742B497">
                      <wp:simplePos x="0" y="0"/>
                      <wp:positionH relativeFrom="column">
                        <wp:posOffset>0</wp:posOffset>
                      </wp:positionH>
                      <wp:positionV relativeFrom="paragraph">
                        <wp:posOffset>0</wp:posOffset>
                      </wp:positionV>
                      <wp:extent cx="304800" cy="390525"/>
                      <wp:effectExtent l="1905" t="0" r="0" b="3175"/>
                      <wp:wrapNone/>
                      <wp:docPr id="1060" name="AutoShape 918"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905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1AFD4" id="AutoShape 918" o:spid="_x0000_s1026" alt="Selecting an example from Help" style="position:absolute;margin-left:0;margin-top:0;width:24pt;height:30.7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" filled="f" stroked="f">
                      <o:lock v:ext="edit" aspectratio="t"/>
                    </v:rect>
                  </w:pict>
                </mc:Fallback>
              </mc:AlternateContent>
            </w:r>
            <w:r>
              <w:rPr>
                <w:noProof/>
                <w:sz w:val="20"/>
                <w:lang w:val="en-US"/>
              </w:rPr>
              <mc:AlternateContent>
                <mc:Choice Requires="wps">
                  <w:drawing>
                    <wp:anchor distT="0" distB="0" distL="114300" distR="114300" simplePos="0" relativeHeight="252542976" behindDoc="0" locked="0" layoutInCell="1" allowOverlap="1" wp14:anchorId="0CF2C6C9" wp14:editId="2E2E24EA">
                      <wp:simplePos x="0" y="0"/>
                      <wp:positionH relativeFrom="column">
                        <wp:posOffset>0</wp:posOffset>
                      </wp:positionH>
                      <wp:positionV relativeFrom="paragraph">
                        <wp:posOffset>304800</wp:posOffset>
                      </wp:positionV>
                      <wp:extent cx="304800" cy="323850"/>
                      <wp:effectExtent l="1905" t="0" r="0" b="3175"/>
                      <wp:wrapNone/>
                      <wp:docPr id="1059" name="AutoShape 919"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238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D3A53" id="AutoShape 919" o:spid="_x0000_s1026" alt="Selecting an example from Help" style="position:absolute;margin-left:0;margin-top:24pt;width:24pt;height:25.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" filled="f" stroked="f">
                      <o:lock v:ext="edit" aspectratio="t"/>
                    </v:rect>
                  </w:pict>
                </mc:Fallback>
              </mc:AlternateContent>
            </w:r>
            <w:r>
              <w:rPr>
                <w:noProof/>
                <w:sz w:val="20"/>
                <w:lang w:val="en-US"/>
              </w:rPr>
              <mc:AlternateContent>
                <mc:Choice Requires="wps">
                  <w:drawing>
                    <wp:anchor distT="0" distB="0" distL="114300" distR="114300" simplePos="0" relativeHeight="252544000" behindDoc="0" locked="0" layoutInCell="1" allowOverlap="1" wp14:anchorId="58C0C3DE" wp14:editId="5E227844">
                      <wp:simplePos x="0" y="0"/>
                      <wp:positionH relativeFrom="column">
                        <wp:posOffset>0</wp:posOffset>
                      </wp:positionH>
                      <wp:positionV relativeFrom="paragraph">
                        <wp:posOffset>304800</wp:posOffset>
                      </wp:positionV>
                      <wp:extent cx="304800" cy="304800"/>
                      <wp:effectExtent l="1905" t="0" r="0" b="3175"/>
                      <wp:wrapNone/>
                      <wp:docPr id="1058" name="AutoShape 920"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28873" id="AutoShape 920" o:spid="_x0000_s1026" alt="Selecting an example from Help" style="position:absolute;margin-left:0;margin-top:24pt;width:24pt;height:24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" filled="f" stroked="f">
                      <o:lock v:ext="edit" aspectratio="t"/>
                    </v:rect>
                  </w:pict>
                </mc:Fallback>
              </mc:AlternateContent>
            </w:r>
            <w:r>
              <w:rPr>
                <w:noProof/>
                <w:sz w:val="20"/>
                <w:lang w:val="en-US"/>
              </w:rPr>
              <mc:AlternateContent>
                <mc:Choice Requires="wps">
                  <w:drawing>
                    <wp:anchor distT="0" distB="0" distL="114300" distR="114300" simplePos="0" relativeHeight="252545024" behindDoc="0" locked="0" layoutInCell="1" allowOverlap="1" wp14:anchorId="7626F3FC" wp14:editId="18CB051C">
                      <wp:simplePos x="0" y="0"/>
                      <wp:positionH relativeFrom="column">
                        <wp:posOffset>0</wp:posOffset>
                      </wp:positionH>
                      <wp:positionV relativeFrom="paragraph">
                        <wp:posOffset>161925</wp:posOffset>
                      </wp:positionV>
                      <wp:extent cx="304800" cy="476250"/>
                      <wp:effectExtent l="1905" t="0" r="0" b="3175"/>
                      <wp:wrapNone/>
                      <wp:docPr id="1057" name="AutoShape 921">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76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4ACCB" id="AutoShape 921" o:spid="_x0000_s1026" href="" style="position:absolute;margin-left:0;margin-top:12.75pt;width:24pt;height:37.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46048" behindDoc="0" locked="0" layoutInCell="1" allowOverlap="1" wp14:anchorId="4F6B10AB" wp14:editId="3E31760D">
                      <wp:simplePos x="0" y="0"/>
                      <wp:positionH relativeFrom="column">
                        <wp:posOffset>0</wp:posOffset>
                      </wp:positionH>
                      <wp:positionV relativeFrom="paragraph">
                        <wp:posOffset>161925</wp:posOffset>
                      </wp:positionV>
                      <wp:extent cx="304800" cy="476250"/>
                      <wp:effectExtent l="1905" t="0" r="0" b="3175"/>
                      <wp:wrapNone/>
                      <wp:docPr id="1056" name="AutoShape 922"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76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C7BBE" id="AutoShape 922" o:spid="_x0000_s1026" alt="Selecting an example from Help" style="position:absolute;margin-left:0;margin-top:12.75pt;width:24pt;height:37.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" filled="f" stroked="f">
                      <o:lock v:ext="edit" aspectratio="t"/>
                    </v:rect>
                  </w:pict>
                </mc:Fallback>
              </mc:AlternateContent>
            </w:r>
            <w:r>
              <w:rPr>
                <w:noProof/>
                <w:sz w:val="20"/>
                <w:lang w:val="en-US"/>
              </w:rPr>
              <mc:AlternateContent>
                <mc:Choice Requires="wps">
                  <w:drawing>
                    <wp:anchor distT="0" distB="0" distL="114300" distR="114300" simplePos="0" relativeHeight="252547072" behindDoc="0" locked="0" layoutInCell="1" allowOverlap="1" wp14:anchorId="596B4F5B" wp14:editId="4CDCB4E8">
                      <wp:simplePos x="0" y="0"/>
                      <wp:positionH relativeFrom="column">
                        <wp:posOffset>0</wp:posOffset>
                      </wp:positionH>
                      <wp:positionV relativeFrom="paragraph">
                        <wp:posOffset>323850</wp:posOffset>
                      </wp:positionV>
                      <wp:extent cx="304800" cy="314325"/>
                      <wp:effectExtent l="1905" t="0" r="0" b="3175"/>
                      <wp:wrapNone/>
                      <wp:docPr id="1055" name="AutoShape 923">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48B25" id="AutoShape 923" o:spid="_x0000_s1026" href="" style="position:absolute;margin-left:0;margin-top:25.5pt;width:24pt;height:24.7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48096" behindDoc="0" locked="0" layoutInCell="1" allowOverlap="1" wp14:anchorId="04D02ABB" wp14:editId="4DE4AEA1">
                      <wp:simplePos x="0" y="0"/>
                      <wp:positionH relativeFrom="column">
                        <wp:posOffset>0</wp:posOffset>
                      </wp:positionH>
                      <wp:positionV relativeFrom="paragraph">
                        <wp:posOffset>323850</wp:posOffset>
                      </wp:positionV>
                      <wp:extent cx="304800" cy="314325"/>
                      <wp:effectExtent l="1905" t="0" r="0" b="3175"/>
                      <wp:wrapNone/>
                      <wp:docPr id="1054" name="AutoShape 924"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C2C97" id="AutoShape 924" o:spid="_x0000_s1026" alt="Selecting an example from Help" style="position:absolute;margin-left:0;margin-top:25.5pt;width:24pt;height:24.7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" filled="f" stroked="f">
                      <o:lock v:ext="edit" aspectratio="t"/>
                    </v:rect>
                  </w:pict>
                </mc:Fallback>
              </mc:AlternateContent>
            </w:r>
            <w:r>
              <w:rPr>
                <w:noProof/>
                <w:sz w:val="20"/>
                <w:lang w:val="en-US"/>
              </w:rPr>
              <mc:AlternateContent>
                <mc:Choice Requires="wps">
                  <w:drawing>
                    <wp:anchor distT="0" distB="0" distL="114300" distR="114300" simplePos="0" relativeHeight="252549120" behindDoc="0" locked="0" layoutInCell="1" allowOverlap="1" wp14:anchorId="41040526" wp14:editId="2B6B446F">
                      <wp:simplePos x="0" y="0"/>
                      <wp:positionH relativeFrom="column">
                        <wp:posOffset>0</wp:posOffset>
                      </wp:positionH>
                      <wp:positionV relativeFrom="paragraph">
                        <wp:posOffset>304800</wp:posOffset>
                      </wp:positionV>
                      <wp:extent cx="304800" cy="323850"/>
                      <wp:effectExtent l="1905" t="0" r="0" b="3175"/>
                      <wp:wrapNone/>
                      <wp:docPr id="1053" name="AutoShape 925"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238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A85F2" id="AutoShape 925" o:spid="_x0000_s1026" alt="Selecting an example from Help" style="position:absolute;margin-left:0;margin-top:24pt;width:24pt;height:25.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" filled="f" stroked="f">
                      <o:lock v:ext="edit" aspectratio="t"/>
                    </v:rect>
                  </w:pict>
                </mc:Fallback>
              </mc:AlternateContent>
            </w:r>
            <w:r>
              <w:rPr>
                <w:noProof/>
                <w:sz w:val="20"/>
                <w:lang w:val="en-US"/>
              </w:rPr>
              <mc:AlternateContent>
                <mc:Choice Requires="wps">
                  <w:drawing>
                    <wp:anchor distT="0" distB="0" distL="114300" distR="114300" simplePos="0" relativeHeight="252550144" behindDoc="0" locked="0" layoutInCell="1" allowOverlap="1" wp14:anchorId="52466C01" wp14:editId="07F0714C">
                      <wp:simplePos x="0" y="0"/>
                      <wp:positionH relativeFrom="column">
                        <wp:posOffset>0</wp:posOffset>
                      </wp:positionH>
                      <wp:positionV relativeFrom="paragraph">
                        <wp:posOffset>304800</wp:posOffset>
                      </wp:positionV>
                      <wp:extent cx="304800" cy="304800"/>
                      <wp:effectExtent l="1905" t="0" r="0" b="3175"/>
                      <wp:wrapNone/>
                      <wp:docPr id="1052" name="AutoShape 926"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BB3D8" id="AutoShape 926" o:spid="_x0000_s1026" alt="Selecting an example from Help" style="position:absolute;margin-left:0;margin-top:24pt;width:24pt;height:24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" filled="f" stroked="f">
                      <o:lock v:ext="edit" aspectratio="t"/>
                    </v:rect>
                  </w:pict>
                </mc:Fallback>
              </mc:AlternateContent>
            </w:r>
            <w:r>
              <w:rPr>
                <w:noProof/>
                <w:sz w:val="20"/>
                <w:lang w:val="en-US"/>
              </w:rPr>
              <mc:AlternateContent>
                <mc:Choice Requires="wps">
                  <w:drawing>
                    <wp:anchor distT="0" distB="0" distL="114300" distR="114300" simplePos="0" relativeHeight="252551168" behindDoc="0" locked="0" layoutInCell="1" allowOverlap="1" wp14:anchorId="72AA3D19" wp14:editId="7E23D8F3">
                      <wp:simplePos x="0" y="0"/>
                      <wp:positionH relativeFrom="column">
                        <wp:posOffset>0</wp:posOffset>
                      </wp:positionH>
                      <wp:positionV relativeFrom="paragraph">
                        <wp:posOffset>161925</wp:posOffset>
                      </wp:positionV>
                      <wp:extent cx="304800" cy="314325"/>
                      <wp:effectExtent l="1905" t="0" r="0" b="3175"/>
                      <wp:wrapNone/>
                      <wp:docPr id="1051" name="AutoShape 927">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2A6D5" id="AutoShape 927" o:spid="_x0000_s1026" href="" style="position:absolute;margin-left:0;margin-top:12.75pt;width:24pt;height:24.7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52192" behindDoc="0" locked="0" layoutInCell="1" allowOverlap="1" wp14:anchorId="07F6E704" wp14:editId="42E96C8C">
                      <wp:simplePos x="0" y="0"/>
                      <wp:positionH relativeFrom="column">
                        <wp:posOffset>0</wp:posOffset>
                      </wp:positionH>
                      <wp:positionV relativeFrom="paragraph">
                        <wp:posOffset>161925</wp:posOffset>
                      </wp:positionV>
                      <wp:extent cx="304800" cy="314325"/>
                      <wp:effectExtent l="1905" t="0" r="0" b="3175"/>
                      <wp:wrapNone/>
                      <wp:docPr id="1050" name="AutoShape 928"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99DE0" id="AutoShape 928" o:spid="_x0000_s1026" alt="Selecting an example from Help" style="position:absolute;margin-left:0;margin-top:12.75pt;width:24pt;height:24.7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" filled="f" stroked="f">
                      <o:lock v:ext="edit" aspectratio="t"/>
                    </v:rect>
                  </w:pict>
                </mc:Fallback>
              </mc:AlternateContent>
            </w:r>
            <w:r>
              <w:rPr>
                <w:noProof/>
                <w:sz w:val="20"/>
                <w:lang w:val="en-US"/>
              </w:rPr>
              <mc:AlternateContent>
                <mc:Choice Requires="wps">
                  <w:drawing>
                    <wp:anchor distT="0" distB="0" distL="114300" distR="114300" simplePos="0" relativeHeight="252553216" behindDoc="0" locked="0" layoutInCell="1" allowOverlap="1" wp14:anchorId="26092C8B" wp14:editId="592AA14F">
                      <wp:simplePos x="0" y="0"/>
                      <wp:positionH relativeFrom="column">
                        <wp:posOffset>0</wp:posOffset>
                      </wp:positionH>
                      <wp:positionV relativeFrom="paragraph">
                        <wp:posOffset>323850</wp:posOffset>
                      </wp:positionV>
                      <wp:extent cx="304800" cy="323850"/>
                      <wp:effectExtent l="1905" t="0" r="0" b="3175"/>
                      <wp:wrapNone/>
                      <wp:docPr id="1049" name="AutoShape 929">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238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6D4A9" id="AutoShape 929" o:spid="_x0000_s1026" href="" style="position:absolute;margin-left:0;margin-top:25.5pt;width:24pt;height:25.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54240" behindDoc="0" locked="0" layoutInCell="1" allowOverlap="1" wp14:anchorId="48FE8ACA" wp14:editId="14711AD9">
                      <wp:simplePos x="0" y="0"/>
                      <wp:positionH relativeFrom="column">
                        <wp:posOffset>0</wp:posOffset>
                      </wp:positionH>
                      <wp:positionV relativeFrom="paragraph">
                        <wp:posOffset>323850</wp:posOffset>
                      </wp:positionV>
                      <wp:extent cx="304800" cy="323850"/>
                      <wp:effectExtent l="1905" t="0" r="0" b="3175"/>
                      <wp:wrapNone/>
                      <wp:docPr id="1048" name="AutoShape 930"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238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7956F" id="AutoShape 930" o:spid="_x0000_s1026" alt="Selecting an example from Help" style="position:absolute;margin-left:0;margin-top:25.5pt;width:24pt;height:25.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" filled="f" stroked="f">
                      <o:lock v:ext="edit" aspectratio="t"/>
                    </v:rect>
                  </w:pict>
                </mc:Fallback>
              </mc:AlternateContent>
            </w:r>
            <w:r>
              <w:rPr>
                <w:noProof/>
                <w:sz w:val="20"/>
                <w:lang w:val="en-US"/>
              </w:rPr>
              <mc:AlternateContent>
                <mc:Choice Requires="wps">
                  <w:drawing>
                    <wp:anchor distT="0" distB="0" distL="114300" distR="114300" simplePos="0" relativeHeight="252555264" behindDoc="0" locked="0" layoutInCell="1" allowOverlap="1" wp14:anchorId="681F4D5C" wp14:editId="35B4E32C">
                      <wp:simplePos x="0" y="0"/>
                      <wp:positionH relativeFrom="column">
                        <wp:posOffset>0</wp:posOffset>
                      </wp:positionH>
                      <wp:positionV relativeFrom="paragraph">
                        <wp:posOffset>485775</wp:posOffset>
                      </wp:positionV>
                      <wp:extent cx="304800" cy="238125"/>
                      <wp:effectExtent l="1905" t="0" r="0" b="3175"/>
                      <wp:wrapNone/>
                      <wp:docPr id="1047" name="AutoShape 931">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381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94F5C" id="AutoShape 931" o:spid="_x0000_s1026" href="" style="position:absolute;margin-left:0;margin-top:38.25pt;width:24pt;height:18.7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56288" behindDoc="0" locked="0" layoutInCell="1" allowOverlap="1" wp14:anchorId="13E7A46E" wp14:editId="50069658">
                      <wp:simplePos x="0" y="0"/>
                      <wp:positionH relativeFrom="column">
                        <wp:posOffset>0</wp:posOffset>
                      </wp:positionH>
                      <wp:positionV relativeFrom="paragraph">
                        <wp:posOffset>485775</wp:posOffset>
                      </wp:positionV>
                      <wp:extent cx="304800" cy="238125"/>
                      <wp:effectExtent l="1905" t="0" r="0" b="3175"/>
                      <wp:wrapNone/>
                      <wp:docPr id="1046" name="AutoShape 932"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381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9E193" id="AutoShape 932" o:spid="_x0000_s1026" alt="Selecting an example from Help" style="position:absolute;margin-left:0;margin-top:38.25pt;width:24pt;height:18.7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" filled="f" stroked="f">
                      <o:lock v:ext="edit" aspectratio="t"/>
                    </v:rect>
                  </w:pict>
                </mc:Fallback>
              </mc:AlternateContent>
            </w:r>
            <w:r>
              <w:rPr>
                <w:noProof/>
                <w:sz w:val="20"/>
                <w:lang w:val="en-US"/>
              </w:rPr>
              <mc:AlternateContent>
                <mc:Choice Requires="wps">
                  <w:drawing>
                    <wp:anchor distT="0" distB="0" distL="114300" distR="114300" simplePos="0" relativeHeight="252557312" behindDoc="0" locked="0" layoutInCell="1" allowOverlap="1" wp14:anchorId="389BD9EA" wp14:editId="19210AA4">
                      <wp:simplePos x="0" y="0"/>
                      <wp:positionH relativeFrom="column">
                        <wp:posOffset>0</wp:posOffset>
                      </wp:positionH>
                      <wp:positionV relativeFrom="paragraph">
                        <wp:posOffset>485775</wp:posOffset>
                      </wp:positionV>
                      <wp:extent cx="304800" cy="238125"/>
                      <wp:effectExtent l="1905" t="0" r="0" b="3175"/>
                      <wp:wrapNone/>
                      <wp:docPr id="1045" name="AutoShape 933">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381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7700A" id="AutoShape 933" o:spid="_x0000_s1026" href="" style="position:absolute;margin-left:0;margin-top:38.25pt;width:24pt;height:18.7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58336" behindDoc="0" locked="0" layoutInCell="1" allowOverlap="1" wp14:anchorId="4E03CA90" wp14:editId="5141CB9D">
                      <wp:simplePos x="0" y="0"/>
                      <wp:positionH relativeFrom="column">
                        <wp:posOffset>0</wp:posOffset>
                      </wp:positionH>
                      <wp:positionV relativeFrom="paragraph">
                        <wp:posOffset>485775</wp:posOffset>
                      </wp:positionV>
                      <wp:extent cx="304800" cy="238125"/>
                      <wp:effectExtent l="1905" t="0" r="0" b="3175"/>
                      <wp:wrapNone/>
                      <wp:docPr id="1044" name="AutoShape 934"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381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7B4CD" id="AutoShape 934" o:spid="_x0000_s1026" alt="Selecting an example from Help" style="position:absolute;margin-left:0;margin-top:38.25pt;width:24pt;height:18.7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" filled="f" stroked="f">
                      <o:lock v:ext="edit" aspectratio="t"/>
                    </v:rect>
                  </w:pict>
                </mc:Fallback>
              </mc:AlternateContent>
            </w:r>
            <w:r>
              <w:rPr>
                <w:noProof/>
                <w:sz w:val="20"/>
                <w:lang w:val="en-US"/>
              </w:rPr>
              <mc:AlternateContent>
                <mc:Choice Requires="wps">
                  <w:drawing>
                    <wp:anchor distT="0" distB="0" distL="114300" distR="114300" simplePos="0" relativeHeight="252559360" behindDoc="0" locked="0" layoutInCell="1" allowOverlap="1" wp14:anchorId="027EC704" wp14:editId="1C433FC2">
                      <wp:simplePos x="0" y="0"/>
                      <wp:positionH relativeFrom="column">
                        <wp:posOffset>0</wp:posOffset>
                      </wp:positionH>
                      <wp:positionV relativeFrom="paragraph">
                        <wp:posOffset>485775</wp:posOffset>
                      </wp:positionV>
                      <wp:extent cx="304800" cy="238125"/>
                      <wp:effectExtent l="1905" t="0" r="0" b="3175"/>
                      <wp:wrapNone/>
                      <wp:docPr id="1043" name="AutoShape 935">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381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60FB9" id="AutoShape 935" o:spid="_x0000_s1026" href="" style="position:absolute;margin-left:0;margin-top:38.25pt;width:24pt;height:18.7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60384" behindDoc="0" locked="0" layoutInCell="1" allowOverlap="1" wp14:anchorId="54A5899E" wp14:editId="1548102C">
                      <wp:simplePos x="0" y="0"/>
                      <wp:positionH relativeFrom="column">
                        <wp:posOffset>0</wp:posOffset>
                      </wp:positionH>
                      <wp:positionV relativeFrom="paragraph">
                        <wp:posOffset>485775</wp:posOffset>
                      </wp:positionV>
                      <wp:extent cx="304800" cy="238125"/>
                      <wp:effectExtent l="1905" t="0" r="0" b="3175"/>
                      <wp:wrapNone/>
                      <wp:docPr id="1042" name="AutoShape 936"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381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7FF57" id="AutoShape 936" o:spid="_x0000_s1026" alt="Selecting an example from Help" style="position:absolute;margin-left:0;margin-top:38.25pt;width:24pt;height:18.7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" filled="f" stroked="f">
                      <o:lock v:ext="edit" aspectratio="t"/>
                    </v:rect>
                  </w:pict>
                </mc:Fallback>
              </mc:AlternateContent>
            </w:r>
            <w:r w:rsidR="000923BB">
              <w:rPr>
                <w:rFonts w:cs="Arial"/>
                <w:sz w:val="20"/>
                <w:szCs w:val="20"/>
                <w:lang w:val="en-US"/>
              </w:rPr>
              <w:t>35</w:t>
            </w:r>
          </w:p>
        </w:tc>
        <w:tc>
          <w:tcPr>
            <w:tcW w:w="1984" w:type="dxa"/>
            <w:tcBorders>
              <w:top w:val="single" w:sz="4" w:space="0" w:color="auto"/>
              <w:left w:val="nil"/>
              <w:bottom w:val="nil"/>
              <w:right w:val="single" w:sz="4" w:space="0" w:color="999999"/>
            </w:tcBorders>
            <w:tcMar>
              <w:left w:w="57" w:type="dxa"/>
              <w:right w:w="57" w:type="dxa"/>
            </w:tcMar>
          </w:tcPr>
          <w:p w14:paraId="35EA0B3E" w14:textId="77777777" w:rsidR="000923BB" w:rsidRDefault="000923BB" w:rsidP="003A385F">
            <w:pPr>
              <w:rPr>
                <w:rFonts w:cs="Arial"/>
                <w:sz w:val="20"/>
                <w:szCs w:val="20"/>
                <w:lang w:val="en-US"/>
              </w:rPr>
            </w:pPr>
          </w:p>
        </w:tc>
        <w:tc>
          <w:tcPr>
            <w:tcW w:w="851" w:type="dxa"/>
            <w:tcBorders>
              <w:top w:val="single" w:sz="4" w:space="0" w:color="auto"/>
              <w:left w:val="single" w:sz="4" w:space="0" w:color="999999"/>
              <w:bottom w:val="nil"/>
              <w:right w:val="single" w:sz="4" w:space="0" w:color="999999"/>
            </w:tcBorders>
            <w:tcMar>
              <w:left w:w="57" w:type="dxa"/>
              <w:right w:w="57" w:type="dxa"/>
            </w:tcMar>
          </w:tcPr>
          <w:p w14:paraId="6EBE2C93" w14:textId="77777777" w:rsidR="000923BB" w:rsidRDefault="000923BB" w:rsidP="003A385F">
            <w:pPr>
              <w:jc w:val="center"/>
              <w:rPr>
                <w:rFonts w:cs="Arial"/>
                <w:sz w:val="20"/>
                <w:szCs w:val="20"/>
                <w:lang w:val="en-US"/>
              </w:rPr>
            </w:pPr>
          </w:p>
        </w:tc>
        <w:tc>
          <w:tcPr>
            <w:tcW w:w="1134" w:type="dxa"/>
            <w:tcBorders>
              <w:top w:val="single" w:sz="4" w:space="0" w:color="auto"/>
              <w:left w:val="single" w:sz="4" w:space="0" w:color="999999"/>
              <w:bottom w:val="nil"/>
              <w:right w:val="single" w:sz="4" w:space="0" w:color="auto"/>
            </w:tcBorders>
            <w:tcMar>
              <w:left w:w="57" w:type="dxa"/>
              <w:right w:w="57" w:type="dxa"/>
            </w:tcMar>
          </w:tcPr>
          <w:p w14:paraId="10C1088E" w14:textId="77777777" w:rsidR="000923BB" w:rsidRDefault="000923BB" w:rsidP="003A385F">
            <w:pPr>
              <w:jc w:val="center"/>
              <w:rPr>
                <w:rFonts w:cs="Arial"/>
                <w:sz w:val="20"/>
                <w:szCs w:val="20"/>
                <w:lang w:val="en-US"/>
              </w:rPr>
            </w:pPr>
          </w:p>
        </w:tc>
      </w:tr>
      <w:tr w:rsidR="000923BB" w14:paraId="3CFFBB7A" w14:textId="77777777" w:rsidTr="009148F2">
        <w:trPr>
          <w:trHeight w:val="255"/>
        </w:trPr>
        <w:tc>
          <w:tcPr>
            <w:tcW w:w="663" w:type="dxa"/>
            <w:tcBorders>
              <w:top w:val="nil"/>
              <w:left w:val="single" w:sz="4" w:space="0" w:color="auto"/>
              <w:bottom w:val="nil"/>
              <w:right w:val="single" w:sz="4" w:space="0" w:color="auto"/>
            </w:tcBorders>
          </w:tcPr>
          <w:p w14:paraId="22D8FD3B" w14:textId="77777777" w:rsidR="000923BB" w:rsidRDefault="000923BB" w:rsidP="003A385F">
            <w:pPr>
              <w:rPr>
                <w:rFonts w:cs="Arial"/>
                <w:sz w:val="20"/>
                <w:szCs w:val="20"/>
                <w:lang w:val="en-US"/>
              </w:rPr>
            </w:pPr>
            <w:r>
              <w:rPr>
                <w:rFonts w:cs="Arial"/>
                <w:sz w:val="20"/>
                <w:szCs w:val="20"/>
                <w:lang w:val="en-US"/>
              </w:rPr>
              <w:t> </w:t>
            </w:r>
          </w:p>
        </w:tc>
        <w:tc>
          <w:tcPr>
            <w:tcW w:w="1701" w:type="dxa"/>
            <w:tcBorders>
              <w:top w:val="nil"/>
              <w:left w:val="nil"/>
              <w:bottom w:val="nil"/>
              <w:right w:val="single" w:sz="4" w:space="0" w:color="999999"/>
            </w:tcBorders>
            <w:tcMar>
              <w:top w:w="11" w:type="dxa"/>
              <w:left w:w="57" w:type="dxa"/>
              <w:bottom w:w="11" w:type="dxa"/>
              <w:right w:w="57" w:type="dxa"/>
            </w:tcMar>
          </w:tcPr>
          <w:p w14:paraId="79777CE6" w14:textId="77777777" w:rsidR="000923BB" w:rsidRDefault="000923BB" w:rsidP="003A385F">
            <w:pPr>
              <w:rPr>
                <w:rFonts w:cs="Arial"/>
                <w:sz w:val="20"/>
                <w:szCs w:val="20"/>
                <w:lang w:val="en-US"/>
              </w:rPr>
            </w:pPr>
            <w:r>
              <w:rPr>
                <w:rFonts w:cs="Arial"/>
                <w:sz w:val="20"/>
                <w:szCs w:val="20"/>
                <w:lang w:val="en-US"/>
              </w:rPr>
              <w:t>Non-clinical audit</w:t>
            </w:r>
          </w:p>
        </w:tc>
        <w:tc>
          <w:tcPr>
            <w:tcW w:w="851" w:type="dxa"/>
            <w:tcBorders>
              <w:top w:val="nil"/>
              <w:left w:val="single" w:sz="4" w:space="0" w:color="999999"/>
              <w:bottom w:val="nil"/>
              <w:right w:val="single" w:sz="4" w:space="0" w:color="999999"/>
            </w:tcBorders>
            <w:tcMar>
              <w:left w:w="57" w:type="dxa"/>
              <w:right w:w="57" w:type="dxa"/>
            </w:tcMar>
          </w:tcPr>
          <w:p w14:paraId="77FF73CB" w14:textId="77777777" w:rsidR="000923BB" w:rsidRDefault="000923BB" w:rsidP="003A385F">
            <w:pPr>
              <w:jc w:val="center"/>
              <w:rPr>
                <w:rFonts w:cs="Arial"/>
                <w:sz w:val="20"/>
                <w:szCs w:val="20"/>
                <w:lang w:val="en-US"/>
              </w:rPr>
            </w:pPr>
            <w:r>
              <w:rPr>
                <w:rFonts w:cs="Arial"/>
                <w:sz w:val="20"/>
                <w:szCs w:val="20"/>
                <w:lang w:val="en-US"/>
              </w:rPr>
              <w:t>38</w:t>
            </w:r>
          </w:p>
        </w:tc>
        <w:tc>
          <w:tcPr>
            <w:tcW w:w="992" w:type="dxa"/>
            <w:tcBorders>
              <w:top w:val="nil"/>
              <w:left w:val="single" w:sz="4" w:space="0" w:color="999999"/>
              <w:bottom w:val="nil"/>
              <w:right w:val="single" w:sz="4" w:space="0" w:color="auto"/>
            </w:tcBorders>
            <w:tcMar>
              <w:left w:w="57" w:type="dxa"/>
              <w:right w:w="57" w:type="dxa"/>
            </w:tcMar>
          </w:tcPr>
          <w:p w14:paraId="1E0A36D9" w14:textId="77777777" w:rsidR="000923BB" w:rsidRDefault="000923BB" w:rsidP="003A385F">
            <w:pPr>
              <w:jc w:val="center"/>
              <w:rPr>
                <w:rFonts w:cs="Arial"/>
                <w:sz w:val="20"/>
                <w:szCs w:val="20"/>
                <w:lang w:val="en-US"/>
              </w:rPr>
            </w:pPr>
            <w:r>
              <w:rPr>
                <w:rFonts w:cs="Arial"/>
                <w:sz w:val="20"/>
                <w:szCs w:val="20"/>
                <w:lang w:val="en-US"/>
              </w:rPr>
              <w:t>36</w:t>
            </w:r>
          </w:p>
        </w:tc>
        <w:tc>
          <w:tcPr>
            <w:tcW w:w="1984" w:type="dxa"/>
            <w:tcBorders>
              <w:top w:val="nil"/>
              <w:left w:val="nil"/>
              <w:bottom w:val="nil"/>
              <w:right w:val="single" w:sz="4" w:space="0" w:color="999999"/>
            </w:tcBorders>
            <w:noWrap/>
            <w:tcMar>
              <w:left w:w="57" w:type="dxa"/>
              <w:right w:w="57" w:type="dxa"/>
            </w:tcMar>
          </w:tcPr>
          <w:p w14:paraId="08E6DF4E" w14:textId="77777777" w:rsidR="000923BB" w:rsidRDefault="000923BB" w:rsidP="003A385F">
            <w:pPr>
              <w:rPr>
                <w:rFonts w:cs="Arial"/>
                <w:sz w:val="20"/>
                <w:szCs w:val="20"/>
                <w:lang w:val="en-US"/>
              </w:rPr>
            </w:pPr>
            <w:r>
              <w:rPr>
                <w:rFonts w:cs="Arial"/>
                <w:sz w:val="20"/>
                <w:szCs w:val="20"/>
                <w:lang w:val="en-US"/>
              </w:rPr>
              <w:t> </w:t>
            </w:r>
          </w:p>
        </w:tc>
        <w:tc>
          <w:tcPr>
            <w:tcW w:w="851" w:type="dxa"/>
            <w:tcBorders>
              <w:top w:val="nil"/>
              <w:left w:val="single" w:sz="4" w:space="0" w:color="999999"/>
              <w:bottom w:val="nil"/>
              <w:right w:val="single" w:sz="4" w:space="0" w:color="999999"/>
            </w:tcBorders>
            <w:noWrap/>
            <w:tcMar>
              <w:left w:w="57" w:type="dxa"/>
              <w:right w:w="57" w:type="dxa"/>
            </w:tcMar>
          </w:tcPr>
          <w:p w14:paraId="1C1156DB" w14:textId="77777777" w:rsidR="000923BB" w:rsidRDefault="000923BB" w:rsidP="003A385F">
            <w:pPr>
              <w:jc w:val="center"/>
              <w:rPr>
                <w:rFonts w:cs="Arial"/>
                <w:sz w:val="20"/>
                <w:szCs w:val="20"/>
                <w:lang w:val="en-US"/>
              </w:rPr>
            </w:pPr>
          </w:p>
        </w:tc>
        <w:tc>
          <w:tcPr>
            <w:tcW w:w="1134" w:type="dxa"/>
            <w:tcBorders>
              <w:top w:val="nil"/>
              <w:left w:val="single" w:sz="4" w:space="0" w:color="999999"/>
              <w:bottom w:val="nil"/>
              <w:right w:val="single" w:sz="4" w:space="0" w:color="auto"/>
            </w:tcBorders>
            <w:noWrap/>
            <w:tcMar>
              <w:left w:w="57" w:type="dxa"/>
              <w:right w:w="57" w:type="dxa"/>
            </w:tcMar>
          </w:tcPr>
          <w:p w14:paraId="603DC6C7" w14:textId="77777777" w:rsidR="000923BB" w:rsidRDefault="000923BB" w:rsidP="003A385F">
            <w:pPr>
              <w:jc w:val="center"/>
              <w:rPr>
                <w:rFonts w:cs="Arial"/>
                <w:sz w:val="20"/>
                <w:szCs w:val="20"/>
                <w:lang w:val="en-US"/>
              </w:rPr>
            </w:pPr>
          </w:p>
        </w:tc>
      </w:tr>
      <w:tr w:rsidR="000923BB" w14:paraId="0224D7EB" w14:textId="77777777" w:rsidTr="009148F2">
        <w:trPr>
          <w:trHeight w:val="255"/>
        </w:trPr>
        <w:tc>
          <w:tcPr>
            <w:tcW w:w="663" w:type="dxa"/>
            <w:tcBorders>
              <w:top w:val="nil"/>
              <w:left w:val="single" w:sz="4" w:space="0" w:color="auto"/>
              <w:bottom w:val="nil"/>
              <w:right w:val="single" w:sz="4" w:space="0" w:color="auto"/>
            </w:tcBorders>
          </w:tcPr>
          <w:p w14:paraId="39C80279" w14:textId="77777777" w:rsidR="000923BB" w:rsidRDefault="000923BB" w:rsidP="003A385F">
            <w:pPr>
              <w:rPr>
                <w:rFonts w:cs="Arial"/>
                <w:sz w:val="20"/>
                <w:szCs w:val="20"/>
                <w:lang w:val="en-US"/>
              </w:rPr>
            </w:pPr>
            <w:r>
              <w:rPr>
                <w:rFonts w:cs="Arial"/>
                <w:sz w:val="20"/>
                <w:szCs w:val="20"/>
                <w:lang w:val="en-US"/>
              </w:rPr>
              <w:t> </w:t>
            </w:r>
          </w:p>
        </w:tc>
        <w:tc>
          <w:tcPr>
            <w:tcW w:w="1701" w:type="dxa"/>
            <w:tcBorders>
              <w:top w:val="nil"/>
              <w:left w:val="nil"/>
              <w:bottom w:val="nil"/>
              <w:right w:val="single" w:sz="4" w:space="0" w:color="999999"/>
            </w:tcBorders>
            <w:tcMar>
              <w:top w:w="11" w:type="dxa"/>
              <w:left w:w="57" w:type="dxa"/>
              <w:bottom w:w="11" w:type="dxa"/>
              <w:right w:w="57" w:type="dxa"/>
            </w:tcMar>
          </w:tcPr>
          <w:p w14:paraId="4913BCEA" w14:textId="77777777" w:rsidR="000923BB" w:rsidRDefault="000923BB" w:rsidP="003A385F">
            <w:pPr>
              <w:rPr>
                <w:rFonts w:cs="Arial"/>
                <w:sz w:val="20"/>
                <w:szCs w:val="20"/>
                <w:lang w:val="en-US"/>
              </w:rPr>
            </w:pPr>
            <w:r>
              <w:rPr>
                <w:rFonts w:cs="Arial"/>
                <w:sz w:val="20"/>
                <w:szCs w:val="20"/>
                <w:lang w:val="en-US"/>
              </w:rPr>
              <w:t>Doctor</w:t>
            </w:r>
          </w:p>
        </w:tc>
        <w:tc>
          <w:tcPr>
            <w:tcW w:w="851" w:type="dxa"/>
            <w:tcBorders>
              <w:top w:val="nil"/>
              <w:left w:val="single" w:sz="4" w:space="0" w:color="999999"/>
              <w:bottom w:val="nil"/>
              <w:right w:val="single" w:sz="4" w:space="0" w:color="999999"/>
            </w:tcBorders>
            <w:tcMar>
              <w:left w:w="57" w:type="dxa"/>
              <w:right w:w="57" w:type="dxa"/>
            </w:tcMar>
          </w:tcPr>
          <w:p w14:paraId="15433880" w14:textId="77777777" w:rsidR="000923BB" w:rsidRDefault="000923BB" w:rsidP="003A385F">
            <w:pPr>
              <w:jc w:val="center"/>
              <w:rPr>
                <w:rFonts w:cs="Arial"/>
                <w:sz w:val="20"/>
                <w:szCs w:val="20"/>
                <w:lang w:val="en-US"/>
              </w:rPr>
            </w:pPr>
            <w:r>
              <w:rPr>
                <w:rFonts w:cs="Arial"/>
                <w:sz w:val="20"/>
                <w:szCs w:val="20"/>
                <w:lang w:val="en-US"/>
              </w:rPr>
              <w:t>50</w:t>
            </w:r>
          </w:p>
        </w:tc>
        <w:tc>
          <w:tcPr>
            <w:tcW w:w="992" w:type="dxa"/>
            <w:tcBorders>
              <w:top w:val="nil"/>
              <w:left w:val="single" w:sz="4" w:space="0" w:color="999999"/>
              <w:bottom w:val="nil"/>
              <w:right w:val="single" w:sz="4" w:space="0" w:color="auto"/>
            </w:tcBorders>
            <w:tcMar>
              <w:left w:w="57" w:type="dxa"/>
              <w:right w:w="57" w:type="dxa"/>
            </w:tcMar>
          </w:tcPr>
          <w:p w14:paraId="4EDB31A8" w14:textId="77777777" w:rsidR="000923BB" w:rsidRDefault="000923BB" w:rsidP="003A385F">
            <w:pPr>
              <w:jc w:val="center"/>
              <w:rPr>
                <w:rFonts w:cs="Arial"/>
                <w:sz w:val="20"/>
                <w:szCs w:val="20"/>
                <w:lang w:val="en-US"/>
              </w:rPr>
            </w:pPr>
            <w:r>
              <w:rPr>
                <w:rFonts w:cs="Arial"/>
                <w:sz w:val="20"/>
                <w:szCs w:val="20"/>
                <w:lang w:val="en-US"/>
              </w:rPr>
              <w:t>50</w:t>
            </w:r>
          </w:p>
        </w:tc>
        <w:tc>
          <w:tcPr>
            <w:tcW w:w="1984" w:type="dxa"/>
            <w:tcBorders>
              <w:top w:val="nil"/>
              <w:left w:val="nil"/>
              <w:bottom w:val="nil"/>
              <w:right w:val="single" w:sz="4" w:space="0" w:color="999999"/>
            </w:tcBorders>
            <w:noWrap/>
            <w:tcMar>
              <w:left w:w="57" w:type="dxa"/>
              <w:right w:w="57" w:type="dxa"/>
            </w:tcMar>
          </w:tcPr>
          <w:p w14:paraId="4A0CEBD9" w14:textId="77777777" w:rsidR="000923BB" w:rsidRDefault="000923BB" w:rsidP="003A385F">
            <w:pPr>
              <w:rPr>
                <w:rFonts w:cs="Arial"/>
                <w:sz w:val="20"/>
                <w:szCs w:val="20"/>
                <w:lang w:val="en-US"/>
              </w:rPr>
            </w:pPr>
            <w:r>
              <w:rPr>
                <w:rFonts w:cs="Arial"/>
                <w:sz w:val="20"/>
                <w:szCs w:val="20"/>
                <w:lang w:val="en-US"/>
              </w:rPr>
              <w:t> </w:t>
            </w:r>
          </w:p>
        </w:tc>
        <w:tc>
          <w:tcPr>
            <w:tcW w:w="851" w:type="dxa"/>
            <w:tcBorders>
              <w:top w:val="nil"/>
              <w:left w:val="single" w:sz="4" w:space="0" w:color="999999"/>
              <w:bottom w:val="nil"/>
              <w:right w:val="single" w:sz="4" w:space="0" w:color="999999"/>
            </w:tcBorders>
            <w:noWrap/>
            <w:tcMar>
              <w:left w:w="57" w:type="dxa"/>
              <w:right w:w="57" w:type="dxa"/>
            </w:tcMar>
          </w:tcPr>
          <w:p w14:paraId="6CC0BA4C" w14:textId="77777777" w:rsidR="000923BB" w:rsidRDefault="000923BB" w:rsidP="003A385F">
            <w:pPr>
              <w:jc w:val="center"/>
              <w:rPr>
                <w:rFonts w:cs="Arial"/>
                <w:sz w:val="20"/>
                <w:szCs w:val="20"/>
                <w:lang w:val="en-US"/>
              </w:rPr>
            </w:pPr>
          </w:p>
        </w:tc>
        <w:tc>
          <w:tcPr>
            <w:tcW w:w="1134" w:type="dxa"/>
            <w:tcBorders>
              <w:top w:val="nil"/>
              <w:left w:val="single" w:sz="4" w:space="0" w:color="999999"/>
              <w:bottom w:val="nil"/>
              <w:right w:val="single" w:sz="4" w:space="0" w:color="auto"/>
            </w:tcBorders>
            <w:noWrap/>
            <w:tcMar>
              <w:left w:w="57" w:type="dxa"/>
              <w:right w:w="57" w:type="dxa"/>
            </w:tcMar>
          </w:tcPr>
          <w:p w14:paraId="38B7E6FA" w14:textId="77777777" w:rsidR="000923BB" w:rsidRDefault="000923BB" w:rsidP="003A385F">
            <w:pPr>
              <w:jc w:val="center"/>
              <w:rPr>
                <w:rFonts w:cs="Arial"/>
                <w:sz w:val="20"/>
                <w:szCs w:val="20"/>
                <w:lang w:val="en-US"/>
              </w:rPr>
            </w:pPr>
          </w:p>
        </w:tc>
      </w:tr>
      <w:tr w:rsidR="000923BB" w14:paraId="04D996ED" w14:textId="77777777" w:rsidTr="009148F2">
        <w:trPr>
          <w:trHeight w:val="255"/>
        </w:trPr>
        <w:tc>
          <w:tcPr>
            <w:tcW w:w="663" w:type="dxa"/>
            <w:tcBorders>
              <w:top w:val="nil"/>
              <w:left w:val="single" w:sz="4" w:space="0" w:color="auto"/>
              <w:bottom w:val="single" w:sz="4" w:space="0" w:color="auto"/>
              <w:right w:val="single" w:sz="4" w:space="0" w:color="auto"/>
            </w:tcBorders>
          </w:tcPr>
          <w:p w14:paraId="5A7C16B4" w14:textId="77777777" w:rsidR="000923BB" w:rsidRDefault="000923BB" w:rsidP="003A385F">
            <w:pPr>
              <w:rPr>
                <w:rFonts w:cs="Arial"/>
                <w:sz w:val="20"/>
                <w:szCs w:val="20"/>
                <w:lang w:val="en-US"/>
              </w:rPr>
            </w:pPr>
          </w:p>
        </w:tc>
        <w:tc>
          <w:tcPr>
            <w:tcW w:w="1701" w:type="dxa"/>
            <w:tcBorders>
              <w:top w:val="nil"/>
              <w:left w:val="single" w:sz="4" w:space="0" w:color="auto"/>
              <w:bottom w:val="single" w:sz="4" w:space="0" w:color="auto"/>
              <w:right w:val="single" w:sz="4" w:space="0" w:color="999999"/>
            </w:tcBorders>
            <w:tcMar>
              <w:top w:w="11" w:type="dxa"/>
              <w:left w:w="57" w:type="dxa"/>
              <w:bottom w:w="11" w:type="dxa"/>
              <w:right w:w="57" w:type="dxa"/>
            </w:tcMar>
          </w:tcPr>
          <w:p w14:paraId="657FEA68" w14:textId="77777777" w:rsidR="000923BB" w:rsidRDefault="000923BB" w:rsidP="003A385F">
            <w:pPr>
              <w:rPr>
                <w:rFonts w:cs="Arial"/>
                <w:sz w:val="20"/>
                <w:szCs w:val="20"/>
                <w:lang w:val="en-US"/>
              </w:rPr>
            </w:pPr>
            <w:r>
              <w:rPr>
                <w:rFonts w:cs="Arial"/>
                <w:sz w:val="20"/>
                <w:szCs w:val="20"/>
                <w:lang w:val="en-US"/>
              </w:rPr>
              <w:t>Doctor</w:t>
            </w:r>
          </w:p>
        </w:tc>
        <w:tc>
          <w:tcPr>
            <w:tcW w:w="851" w:type="dxa"/>
            <w:tcBorders>
              <w:top w:val="nil"/>
              <w:left w:val="single" w:sz="4" w:space="0" w:color="999999"/>
              <w:bottom w:val="single" w:sz="4" w:space="0" w:color="auto"/>
              <w:right w:val="single" w:sz="4" w:space="0" w:color="999999"/>
            </w:tcBorders>
            <w:tcMar>
              <w:left w:w="57" w:type="dxa"/>
              <w:right w:w="57" w:type="dxa"/>
            </w:tcMar>
          </w:tcPr>
          <w:p w14:paraId="775081A7" w14:textId="77777777" w:rsidR="000923BB" w:rsidRDefault="000923BB" w:rsidP="003A385F">
            <w:pPr>
              <w:jc w:val="center"/>
              <w:rPr>
                <w:rFonts w:cs="Arial"/>
                <w:sz w:val="20"/>
                <w:szCs w:val="20"/>
                <w:lang w:val="en-US"/>
              </w:rPr>
            </w:pPr>
            <w:r>
              <w:rPr>
                <w:rFonts w:cs="Arial"/>
                <w:sz w:val="20"/>
                <w:szCs w:val="20"/>
                <w:lang w:val="en-US"/>
              </w:rPr>
              <w:t>50</w:t>
            </w:r>
          </w:p>
        </w:tc>
        <w:tc>
          <w:tcPr>
            <w:tcW w:w="992" w:type="dxa"/>
            <w:tcBorders>
              <w:top w:val="nil"/>
              <w:left w:val="single" w:sz="4" w:space="0" w:color="999999"/>
              <w:bottom w:val="single" w:sz="4" w:space="0" w:color="auto"/>
              <w:right w:val="single" w:sz="4" w:space="0" w:color="auto"/>
            </w:tcBorders>
            <w:tcMar>
              <w:left w:w="57" w:type="dxa"/>
              <w:right w:w="57" w:type="dxa"/>
            </w:tcMar>
          </w:tcPr>
          <w:p w14:paraId="668AD6C1" w14:textId="77777777" w:rsidR="000923BB" w:rsidRDefault="000923BB" w:rsidP="003A385F">
            <w:pPr>
              <w:jc w:val="center"/>
              <w:rPr>
                <w:rFonts w:cs="Arial"/>
                <w:sz w:val="20"/>
                <w:szCs w:val="20"/>
                <w:lang w:val="en-US"/>
              </w:rPr>
            </w:pPr>
            <w:r>
              <w:rPr>
                <w:rFonts w:cs="Arial"/>
                <w:sz w:val="20"/>
                <w:szCs w:val="20"/>
                <w:lang w:val="en-US"/>
              </w:rPr>
              <w:t>50</w:t>
            </w:r>
          </w:p>
        </w:tc>
        <w:tc>
          <w:tcPr>
            <w:tcW w:w="1984" w:type="dxa"/>
            <w:tcBorders>
              <w:top w:val="nil"/>
              <w:left w:val="single" w:sz="4" w:space="0" w:color="auto"/>
              <w:bottom w:val="single" w:sz="4" w:space="0" w:color="auto"/>
              <w:right w:val="single" w:sz="4" w:space="0" w:color="999999"/>
            </w:tcBorders>
            <w:noWrap/>
            <w:tcMar>
              <w:left w:w="57" w:type="dxa"/>
              <w:right w:w="57" w:type="dxa"/>
            </w:tcMar>
          </w:tcPr>
          <w:p w14:paraId="775DAA50" w14:textId="77777777" w:rsidR="000923BB" w:rsidRDefault="000923BB" w:rsidP="003A385F">
            <w:pPr>
              <w:rPr>
                <w:rFonts w:cs="Arial"/>
                <w:sz w:val="20"/>
                <w:szCs w:val="20"/>
                <w:lang w:val="en-US"/>
              </w:rPr>
            </w:pPr>
          </w:p>
        </w:tc>
        <w:tc>
          <w:tcPr>
            <w:tcW w:w="851" w:type="dxa"/>
            <w:tcBorders>
              <w:top w:val="nil"/>
              <w:left w:val="single" w:sz="4" w:space="0" w:color="999999"/>
              <w:bottom w:val="single" w:sz="4" w:space="0" w:color="auto"/>
              <w:right w:val="single" w:sz="4" w:space="0" w:color="999999"/>
            </w:tcBorders>
            <w:noWrap/>
            <w:tcMar>
              <w:left w:w="57" w:type="dxa"/>
              <w:right w:w="57" w:type="dxa"/>
            </w:tcMar>
          </w:tcPr>
          <w:p w14:paraId="5F5BB719" w14:textId="77777777" w:rsidR="000923BB" w:rsidRDefault="000923BB" w:rsidP="003A385F">
            <w:pPr>
              <w:jc w:val="center"/>
              <w:rPr>
                <w:rFonts w:cs="Arial"/>
                <w:sz w:val="20"/>
                <w:szCs w:val="20"/>
                <w:lang w:val="en-US"/>
              </w:rPr>
            </w:pPr>
          </w:p>
        </w:tc>
        <w:tc>
          <w:tcPr>
            <w:tcW w:w="1134" w:type="dxa"/>
            <w:tcBorders>
              <w:top w:val="nil"/>
              <w:left w:val="single" w:sz="4" w:space="0" w:color="999999"/>
              <w:bottom w:val="single" w:sz="4" w:space="0" w:color="auto"/>
              <w:right w:val="single" w:sz="4" w:space="0" w:color="auto"/>
            </w:tcBorders>
            <w:noWrap/>
            <w:tcMar>
              <w:left w:w="57" w:type="dxa"/>
              <w:right w:w="57" w:type="dxa"/>
            </w:tcMar>
          </w:tcPr>
          <w:p w14:paraId="5C8C139F" w14:textId="77777777" w:rsidR="000923BB" w:rsidRDefault="000923BB" w:rsidP="003A385F">
            <w:pPr>
              <w:jc w:val="center"/>
              <w:rPr>
                <w:rFonts w:cs="Arial"/>
                <w:sz w:val="20"/>
                <w:szCs w:val="20"/>
                <w:lang w:val="en-US"/>
              </w:rPr>
            </w:pPr>
          </w:p>
        </w:tc>
      </w:tr>
      <w:tr w:rsidR="000923BB" w14:paraId="4DCD5087" w14:textId="77777777" w:rsidTr="009148F2">
        <w:trPr>
          <w:trHeight w:val="255"/>
        </w:trPr>
        <w:tc>
          <w:tcPr>
            <w:tcW w:w="663" w:type="dxa"/>
            <w:tcBorders>
              <w:top w:val="single" w:sz="4" w:space="0" w:color="auto"/>
              <w:left w:val="single" w:sz="4" w:space="0" w:color="auto"/>
              <w:bottom w:val="nil"/>
              <w:right w:val="single" w:sz="4" w:space="0" w:color="auto"/>
            </w:tcBorders>
          </w:tcPr>
          <w:p w14:paraId="2A7FC59C" w14:textId="77777777" w:rsidR="000923BB" w:rsidRDefault="000923BB" w:rsidP="003A385F">
            <w:pPr>
              <w:rPr>
                <w:rFonts w:cs="Arial"/>
                <w:sz w:val="20"/>
                <w:szCs w:val="20"/>
                <w:lang w:val="en-US"/>
              </w:rPr>
            </w:pPr>
            <w:r>
              <w:rPr>
                <w:rFonts w:cs="Arial"/>
                <w:sz w:val="20"/>
                <w:szCs w:val="20"/>
                <w:lang w:val="en-US"/>
              </w:rPr>
              <w:lastRenderedPageBreak/>
              <w:t>H</w:t>
            </w:r>
          </w:p>
        </w:tc>
        <w:tc>
          <w:tcPr>
            <w:tcW w:w="1701" w:type="dxa"/>
            <w:tcBorders>
              <w:top w:val="single" w:sz="4" w:space="0" w:color="auto"/>
              <w:left w:val="nil"/>
              <w:bottom w:val="nil"/>
              <w:right w:val="single" w:sz="4" w:space="0" w:color="999999"/>
            </w:tcBorders>
            <w:tcMar>
              <w:top w:w="11" w:type="dxa"/>
              <w:left w:w="57" w:type="dxa"/>
              <w:bottom w:w="11" w:type="dxa"/>
              <w:right w:w="57" w:type="dxa"/>
            </w:tcMar>
          </w:tcPr>
          <w:p w14:paraId="02CCBE67" w14:textId="77777777" w:rsidR="000923BB" w:rsidRDefault="000923BB" w:rsidP="003A385F">
            <w:pPr>
              <w:rPr>
                <w:rFonts w:cs="Arial"/>
                <w:sz w:val="20"/>
                <w:szCs w:val="20"/>
                <w:lang w:val="en-US"/>
              </w:rPr>
            </w:pPr>
            <w:r>
              <w:rPr>
                <w:rFonts w:cs="Arial"/>
                <w:sz w:val="20"/>
                <w:szCs w:val="20"/>
                <w:lang w:val="en-US"/>
              </w:rPr>
              <w:t>Nurse / other clinical</w:t>
            </w:r>
          </w:p>
        </w:tc>
        <w:tc>
          <w:tcPr>
            <w:tcW w:w="851" w:type="dxa"/>
            <w:tcBorders>
              <w:top w:val="single" w:sz="4" w:space="0" w:color="auto"/>
              <w:left w:val="single" w:sz="4" w:space="0" w:color="999999"/>
              <w:bottom w:val="nil"/>
              <w:right w:val="single" w:sz="4" w:space="0" w:color="999999"/>
            </w:tcBorders>
            <w:tcMar>
              <w:left w:w="57" w:type="dxa"/>
              <w:right w:w="57" w:type="dxa"/>
            </w:tcMar>
          </w:tcPr>
          <w:p w14:paraId="03B128E6" w14:textId="77777777" w:rsidR="000923BB" w:rsidRDefault="000923BB" w:rsidP="003A385F">
            <w:pPr>
              <w:jc w:val="center"/>
              <w:rPr>
                <w:rFonts w:cs="Arial"/>
                <w:sz w:val="20"/>
                <w:szCs w:val="20"/>
                <w:lang w:val="en-US"/>
              </w:rPr>
            </w:pPr>
            <w:r>
              <w:rPr>
                <w:rFonts w:cs="Arial"/>
                <w:sz w:val="20"/>
                <w:szCs w:val="20"/>
                <w:lang w:val="en-US"/>
              </w:rPr>
              <w:t>49</w:t>
            </w:r>
          </w:p>
        </w:tc>
        <w:tc>
          <w:tcPr>
            <w:tcW w:w="992" w:type="dxa"/>
            <w:tcBorders>
              <w:top w:val="single" w:sz="4" w:space="0" w:color="auto"/>
              <w:left w:val="single" w:sz="4" w:space="0" w:color="999999"/>
              <w:bottom w:val="nil"/>
              <w:right w:val="single" w:sz="4" w:space="0" w:color="auto"/>
            </w:tcBorders>
            <w:tcMar>
              <w:left w:w="57" w:type="dxa"/>
              <w:right w:w="57" w:type="dxa"/>
            </w:tcMar>
          </w:tcPr>
          <w:p w14:paraId="3E7AAADE" w14:textId="77777777" w:rsidR="000923BB" w:rsidRDefault="000923BB" w:rsidP="003A385F">
            <w:pPr>
              <w:jc w:val="center"/>
              <w:rPr>
                <w:rFonts w:cs="Arial"/>
                <w:sz w:val="20"/>
                <w:szCs w:val="20"/>
                <w:lang w:val="en-US"/>
              </w:rPr>
            </w:pPr>
            <w:r>
              <w:rPr>
                <w:rFonts w:cs="Arial"/>
                <w:sz w:val="20"/>
                <w:szCs w:val="20"/>
                <w:lang w:val="en-US"/>
              </w:rPr>
              <w:t>50</w:t>
            </w:r>
          </w:p>
        </w:tc>
        <w:tc>
          <w:tcPr>
            <w:tcW w:w="1984" w:type="dxa"/>
            <w:tcBorders>
              <w:top w:val="single" w:sz="4" w:space="0" w:color="auto"/>
              <w:left w:val="nil"/>
              <w:bottom w:val="nil"/>
              <w:right w:val="single" w:sz="4" w:space="0" w:color="999999"/>
            </w:tcBorders>
            <w:tcMar>
              <w:left w:w="57" w:type="dxa"/>
              <w:right w:w="57" w:type="dxa"/>
            </w:tcMar>
          </w:tcPr>
          <w:p w14:paraId="02F9D0AC" w14:textId="77777777" w:rsidR="000923BB" w:rsidRDefault="000923BB" w:rsidP="003A385F">
            <w:pPr>
              <w:rPr>
                <w:rFonts w:cs="Arial"/>
                <w:sz w:val="20"/>
                <w:szCs w:val="20"/>
                <w:lang w:val="en-US"/>
              </w:rPr>
            </w:pPr>
            <w:r>
              <w:rPr>
                <w:rFonts w:cs="Arial"/>
                <w:sz w:val="20"/>
                <w:szCs w:val="20"/>
                <w:lang w:val="en-US"/>
              </w:rPr>
              <w:t>Nurse / other clinical</w:t>
            </w:r>
          </w:p>
        </w:tc>
        <w:tc>
          <w:tcPr>
            <w:tcW w:w="851" w:type="dxa"/>
            <w:tcBorders>
              <w:top w:val="single" w:sz="4" w:space="0" w:color="auto"/>
              <w:left w:val="single" w:sz="4" w:space="0" w:color="999999"/>
              <w:bottom w:val="nil"/>
              <w:right w:val="single" w:sz="4" w:space="0" w:color="999999"/>
            </w:tcBorders>
            <w:tcMar>
              <w:left w:w="57" w:type="dxa"/>
              <w:right w:w="57" w:type="dxa"/>
            </w:tcMar>
          </w:tcPr>
          <w:p w14:paraId="44C70C5C" w14:textId="77777777" w:rsidR="000923BB" w:rsidRDefault="000923BB" w:rsidP="003A385F">
            <w:pPr>
              <w:jc w:val="center"/>
              <w:rPr>
                <w:rFonts w:cs="Arial"/>
                <w:sz w:val="20"/>
                <w:szCs w:val="20"/>
                <w:lang w:val="en-US"/>
              </w:rPr>
            </w:pPr>
            <w:r>
              <w:rPr>
                <w:rFonts w:cs="Arial"/>
                <w:sz w:val="20"/>
                <w:szCs w:val="20"/>
                <w:lang w:val="en-US"/>
              </w:rPr>
              <w:t>50</w:t>
            </w:r>
          </w:p>
        </w:tc>
        <w:tc>
          <w:tcPr>
            <w:tcW w:w="1134" w:type="dxa"/>
            <w:tcBorders>
              <w:top w:val="single" w:sz="4" w:space="0" w:color="auto"/>
              <w:left w:val="single" w:sz="4" w:space="0" w:color="999999"/>
              <w:bottom w:val="nil"/>
              <w:right w:val="single" w:sz="4" w:space="0" w:color="auto"/>
            </w:tcBorders>
            <w:tcMar>
              <w:left w:w="57" w:type="dxa"/>
              <w:right w:w="57" w:type="dxa"/>
            </w:tcMar>
          </w:tcPr>
          <w:p w14:paraId="2331EFE8" w14:textId="77777777" w:rsidR="000923BB" w:rsidRDefault="000923BB" w:rsidP="003A385F">
            <w:pPr>
              <w:jc w:val="center"/>
              <w:rPr>
                <w:rFonts w:cs="Arial"/>
                <w:sz w:val="20"/>
                <w:szCs w:val="20"/>
                <w:lang w:val="en-US"/>
              </w:rPr>
            </w:pPr>
            <w:r>
              <w:rPr>
                <w:rFonts w:cs="Arial"/>
                <w:sz w:val="20"/>
                <w:szCs w:val="20"/>
                <w:lang w:val="en-US"/>
              </w:rPr>
              <w:t>50</w:t>
            </w:r>
          </w:p>
        </w:tc>
      </w:tr>
      <w:tr w:rsidR="000923BB" w14:paraId="62A3569B" w14:textId="77777777" w:rsidTr="009148F2">
        <w:trPr>
          <w:trHeight w:val="255"/>
        </w:trPr>
        <w:tc>
          <w:tcPr>
            <w:tcW w:w="663" w:type="dxa"/>
            <w:tcBorders>
              <w:top w:val="nil"/>
              <w:left w:val="single" w:sz="4" w:space="0" w:color="auto"/>
              <w:bottom w:val="nil"/>
              <w:right w:val="single" w:sz="4" w:space="0" w:color="auto"/>
            </w:tcBorders>
          </w:tcPr>
          <w:p w14:paraId="58971C30" w14:textId="77777777" w:rsidR="000923BB" w:rsidRDefault="000923BB" w:rsidP="003A385F">
            <w:pPr>
              <w:rPr>
                <w:rFonts w:cs="Arial"/>
                <w:sz w:val="20"/>
                <w:szCs w:val="20"/>
                <w:lang w:val="en-US"/>
              </w:rPr>
            </w:pPr>
            <w:r>
              <w:rPr>
                <w:rFonts w:cs="Arial"/>
                <w:sz w:val="20"/>
                <w:szCs w:val="20"/>
                <w:lang w:val="en-US"/>
              </w:rPr>
              <w:t> </w:t>
            </w:r>
          </w:p>
        </w:tc>
        <w:tc>
          <w:tcPr>
            <w:tcW w:w="1701" w:type="dxa"/>
            <w:tcBorders>
              <w:top w:val="nil"/>
              <w:left w:val="nil"/>
              <w:bottom w:val="nil"/>
              <w:right w:val="single" w:sz="4" w:space="0" w:color="999999"/>
            </w:tcBorders>
            <w:tcMar>
              <w:top w:w="11" w:type="dxa"/>
              <w:left w:w="57" w:type="dxa"/>
              <w:bottom w:w="11" w:type="dxa"/>
              <w:right w:w="57" w:type="dxa"/>
            </w:tcMar>
          </w:tcPr>
          <w:p w14:paraId="382152C7" w14:textId="77777777" w:rsidR="000923BB" w:rsidRDefault="000923BB" w:rsidP="003A385F">
            <w:pPr>
              <w:rPr>
                <w:rFonts w:cs="Arial"/>
                <w:sz w:val="20"/>
                <w:szCs w:val="20"/>
                <w:lang w:val="en-US"/>
              </w:rPr>
            </w:pPr>
            <w:r>
              <w:rPr>
                <w:rFonts w:cs="Arial"/>
                <w:sz w:val="20"/>
                <w:szCs w:val="20"/>
                <w:lang w:val="en-US"/>
              </w:rPr>
              <w:t> </w:t>
            </w:r>
          </w:p>
        </w:tc>
        <w:tc>
          <w:tcPr>
            <w:tcW w:w="851" w:type="dxa"/>
            <w:tcBorders>
              <w:top w:val="nil"/>
              <w:left w:val="single" w:sz="4" w:space="0" w:color="999999"/>
              <w:bottom w:val="nil"/>
              <w:right w:val="single" w:sz="4" w:space="0" w:color="999999"/>
            </w:tcBorders>
            <w:tcMar>
              <w:left w:w="57" w:type="dxa"/>
              <w:right w:w="57" w:type="dxa"/>
            </w:tcMar>
          </w:tcPr>
          <w:p w14:paraId="71716100" w14:textId="77777777" w:rsidR="000923BB" w:rsidRDefault="000923BB" w:rsidP="003A385F">
            <w:pPr>
              <w:jc w:val="center"/>
              <w:rPr>
                <w:rFonts w:cs="Arial"/>
                <w:sz w:val="20"/>
                <w:szCs w:val="20"/>
                <w:lang w:val="en-US"/>
              </w:rPr>
            </w:pPr>
          </w:p>
        </w:tc>
        <w:tc>
          <w:tcPr>
            <w:tcW w:w="992" w:type="dxa"/>
            <w:tcBorders>
              <w:top w:val="nil"/>
              <w:left w:val="single" w:sz="4" w:space="0" w:color="999999"/>
              <w:bottom w:val="nil"/>
              <w:right w:val="single" w:sz="4" w:space="0" w:color="auto"/>
            </w:tcBorders>
            <w:tcMar>
              <w:left w:w="57" w:type="dxa"/>
              <w:right w:w="57" w:type="dxa"/>
            </w:tcMar>
          </w:tcPr>
          <w:p w14:paraId="25A32C7F" w14:textId="77777777" w:rsidR="000923BB" w:rsidRDefault="000923BB" w:rsidP="003A385F">
            <w:pPr>
              <w:jc w:val="center"/>
              <w:rPr>
                <w:rFonts w:cs="Arial"/>
                <w:sz w:val="20"/>
                <w:szCs w:val="20"/>
                <w:lang w:val="en-US"/>
              </w:rPr>
            </w:pPr>
          </w:p>
        </w:tc>
        <w:tc>
          <w:tcPr>
            <w:tcW w:w="1984" w:type="dxa"/>
            <w:tcBorders>
              <w:top w:val="nil"/>
              <w:left w:val="nil"/>
              <w:bottom w:val="nil"/>
              <w:right w:val="single" w:sz="4" w:space="0" w:color="999999"/>
            </w:tcBorders>
            <w:tcMar>
              <w:left w:w="57" w:type="dxa"/>
              <w:right w:w="57" w:type="dxa"/>
            </w:tcMar>
          </w:tcPr>
          <w:p w14:paraId="7FEEC266" w14:textId="77777777" w:rsidR="000923BB" w:rsidRDefault="000923BB" w:rsidP="003A385F">
            <w:pPr>
              <w:rPr>
                <w:rFonts w:cs="Arial"/>
                <w:sz w:val="20"/>
                <w:szCs w:val="20"/>
                <w:lang w:val="en-US"/>
              </w:rPr>
            </w:pPr>
            <w:r>
              <w:rPr>
                <w:rFonts w:cs="Arial"/>
                <w:sz w:val="20"/>
                <w:szCs w:val="20"/>
                <w:lang w:val="en-US"/>
              </w:rPr>
              <w:t>Nurse / other clinical</w:t>
            </w:r>
          </w:p>
        </w:tc>
        <w:tc>
          <w:tcPr>
            <w:tcW w:w="851" w:type="dxa"/>
            <w:tcBorders>
              <w:top w:val="nil"/>
              <w:left w:val="single" w:sz="4" w:space="0" w:color="999999"/>
              <w:bottom w:val="nil"/>
              <w:right w:val="single" w:sz="4" w:space="0" w:color="999999"/>
            </w:tcBorders>
            <w:tcMar>
              <w:left w:w="57" w:type="dxa"/>
              <w:right w:w="57" w:type="dxa"/>
            </w:tcMar>
          </w:tcPr>
          <w:p w14:paraId="05A4C117" w14:textId="77777777" w:rsidR="000923BB" w:rsidRDefault="000923BB" w:rsidP="003A385F">
            <w:pPr>
              <w:jc w:val="center"/>
              <w:rPr>
                <w:rFonts w:cs="Arial"/>
                <w:sz w:val="20"/>
                <w:szCs w:val="20"/>
                <w:lang w:val="en-US"/>
              </w:rPr>
            </w:pPr>
            <w:r>
              <w:rPr>
                <w:rFonts w:cs="Arial"/>
                <w:sz w:val="20"/>
                <w:szCs w:val="20"/>
                <w:lang w:val="en-US"/>
              </w:rPr>
              <w:t>50</w:t>
            </w:r>
          </w:p>
        </w:tc>
        <w:tc>
          <w:tcPr>
            <w:tcW w:w="1134" w:type="dxa"/>
            <w:tcBorders>
              <w:top w:val="nil"/>
              <w:left w:val="single" w:sz="4" w:space="0" w:color="999999"/>
              <w:bottom w:val="nil"/>
              <w:right w:val="single" w:sz="4" w:space="0" w:color="auto"/>
            </w:tcBorders>
            <w:tcMar>
              <w:left w:w="57" w:type="dxa"/>
              <w:right w:w="57" w:type="dxa"/>
            </w:tcMar>
          </w:tcPr>
          <w:p w14:paraId="1C90308D" w14:textId="77777777" w:rsidR="000923BB" w:rsidRDefault="000923BB" w:rsidP="003A385F">
            <w:pPr>
              <w:jc w:val="center"/>
              <w:rPr>
                <w:rFonts w:cs="Arial"/>
                <w:sz w:val="20"/>
                <w:szCs w:val="20"/>
                <w:lang w:val="en-US"/>
              </w:rPr>
            </w:pPr>
            <w:r>
              <w:rPr>
                <w:rFonts w:cs="Arial"/>
                <w:sz w:val="20"/>
                <w:szCs w:val="20"/>
                <w:lang w:val="en-US"/>
              </w:rPr>
              <w:t>50</w:t>
            </w:r>
          </w:p>
        </w:tc>
      </w:tr>
      <w:tr w:rsidR="000923BB" w14:paraId="06A58AAF" w14:textId="77777777" w:rsidTr="009148F2">
        <w:trPr>
          <w:trHeight w:val="255"/>
        </w:trPr>
        <w:tc>
          <w:tcPr>
            <w:tcW w:w="663" w:type="dxa"/>
            <w:tcBorders>
              <w:top w:val="nil"/>
              <w:left w:val="single" w:sz="4" w:space="0" w:color="auto"/>
              <w:bottom w:val="single" w:sz="4" w:space="0" w:color="auto"/>
              <w:right w:val="single" w:sz="4" w:space="0" w:color="auto"/>
            </w:tcBorders>
          </w:tcPr>
          <w:p w14:paraId="2F3E59CB" w14:textId="77777777" w:rsidR="000923BB" w:rsidRDefault="000923BB" w:rsidP="003A385F">
            <w:pPr>
              <w:rPr>
                <w:rFonts w:cs="Arial"/>
                <w:sz w:val="20"/>
                <w:szCs w:val="20"/>
                <w:lang w:val="en-US"/>
              </w:rPr>
            </w:pPr>
            <w:r>
              <w:rPr>
                <w:rFonts w:cs="Arial"/>
                <w:sz w:val="20"/>
                <w:szCs w:val="20"/>
                <w:lang w:val="en-US"/>
              </w:rPr>
              <w:t> </w:t>
            </w:r>
          </w:p>
        </w:tc>
        <w:tc>
          <w:tcPr>
            <w:tcW w:w="1701" w:type="dxa"/>
            <w:tcBorders>
              <w:top w:val="nil"/>
              <w:left w:val="nil"/>
              <w:bottom w:val="single" w:sz="4" w:space="0" w:color="auto"/>
              <w:right w:val="single" w:sz="4" w:space="0" w:color="999999"/>
            </w:tcBorders>
            <w:tcMar>
              <w:top w:w="11" w:type="dxa"/>
              <w:left w:w="57" w:type="dxa"/>
              <w:bottom w:w="11" w:type="dxa"/>
              <w:right w:w="57" w:type="dxa"/>
            </w:tcMar>
          </w:tcPr>
          <w:p w14:paraId="0607804A" w14:textId="77777777" w:rsidR="000923BB" w:rsidRDefault="000923BB" w:rsidP="003A385F">
            <w:pPr>
              <w:rPr>
                <w:rFonts w:cs="Arial"/>
                <w:sz w:val="20"/>
                <w:szCs w:val="20"/>
                <w:lang w:val="en-US"/>
              </w:rPr>
            </w:pPr>
            <w:r>
              <w:rPr>
                <w:rFonts w:cs="Arial"/>
                <w:sz w:val="20"/>
                <w:szCs w:val="20"/>
                <w:lang w:val="en-US"/>
              </w:rPr>
              <w:t> </w:t>
            </w:r>
          </w:p>
        </w:tc>
        <w:tc>
          <w:tcPr>
            <w:tcW w:w="851" w:type="dxa"/>
            <w:tcBorders>
              <w:top w:val="nil"/>
              <w:left w:val="single" w:sz="4" w:space="0" w:color="999999"/>
              <w:bottom w:val="single" w:sz="4" w:space="0" w:color="auto"/>
              <w:right w:val="single" w:sz="4" w:space="0" w:color="999999"/>
            </w:tcBorders>
            <w:tcMar>
              <w:left w:w="57" w:type="dxa"/>
              <w:right w:w="57" w:type="dxa"/>
            </w:tcMar>
          </w:tcPr>
          <w:p w14:paraId="68D14B8E" w14:textId="77777777" w:rsidR="000923BB" w:rsidRDefault="000923BB" w:rsidP="003A385F">
            <w:pPr>
              <w:jc w:val="center"/>
              <w:rPr>
                <w:rFonts w:cs="Arial"/>
                <w:sz w:val="20"/>
                <w:szCs w:val="20"/>
                <w:lang w:val="en-US"/>
              </w:rPr>
            </w:pPr>
          </w:p>
        </w:tc>
        <w:tc>
          <w:tcPr>
            <w:tcW w:w="992" w:type="dxa"/>
            <w:tcBorders>
              <w:top w:val="nil"/>
              <w:left w:val="single" w:sz="4" w:space="0" w:color="999999"/>
              <w:bottom w:val="single" w:sz="4" w:space="0" w:color="auto"/>
              <w:right w:val="single" w:sz="4" w:space="0" w:color="auto"/>
            </w:tcBorders>
            <w:tcMar>
              <w:left w:w="57" w:type="dxa"/>
              <w:right w:w="57" w:type="dxa"/>
            </w:tcMar>
          </w:tcPr>
          <w:p w14:paraId="404C7B06" w14:textId="77777777" w:rsidR="000923BB" w:rsidRDefault="000923BB" w:rsidP="003A385F">
            <w:pPr>
              <w:jc w:val="center"/>
              <w:rPr>
                <w:rFonts w:cs="Arial"/>
                <w:sz w:val="20"/>
                <w:szCs w:val="20"/>
                <w:lang w:val="en-US"/>
              </w:rPr>
            </w:pPr>
          </w:p>
        </w:tc>
        <w:tc>
          <w:tcPr>
            <w:tcW w:w="1984" w:type="dxa"/>
            <w:tcBorders>
              <w:top w:val="nil"/>
              <w:left w:val="nil"/>
              <w:bottom w:val="single" w:sz="4" w:space="0" w:color="auto"/>
              <w:right w:val="single" w:sz="4" w:space="0" w:color="999999"/>
            </w:tcBorders>
            <w:tcMar>
              <w:left w:w="57" w:type="dxa"/>
              <w:right w:w="57" w:type="dxa"/>
            </w:tcMar>
          </w:tcPr>
          <w:p w14:paraId="5118795C" w14:textId="77777777" w:rsidR="000923BB" w:rsidRDefault="000923BB" w:rsidP="003A385F">
            <w:pPr>
              <w:rPr>
                <w:rFonts w:cs="Arial"/>
                <w:sz w:val="20"/>
                <w:szCs w:val="20"/>
                <w:lang w:val="en-US"/>
              </w:rPr>
            </w:pPr>
            <w:r>
              <w:rPr>
                <w:rFonts w:cs="Arial"/>
                <w:sz w:val="20"/>
                <w:szCs w:val="20"/>
                <w:lang w:val="en-US"/>
              </w:rPr>
              <w:t>Doctor</w:t>
            </w:r>
          </w:p>
        </w:tc>
        <w:tc>
          <w:tcPr>
            <w:tcW w:w="851" w:type="dxa"/>
            <w:tcBorders>
              <w:top w:val="nil"/>
              <w:left w:val="single" w:sz="4" w:space="0" w:color="999999"/>
              <w:bottom w:val="single" w:sz="4" w:space="0" w:color="auto"/>
              <w:right w:val="single" w:sz="4" w:space="0" w:color="999999"/>
            </w:tcBorders>
            <w:tcMar>
              <w:left w:w="57" w:type="dxa"/>
              <w:right w:w="57" w:type="dxa"/>
            </w:tcMar>
          </w:tcPr>
          <w:p w14:paraId="32F492A4" w14:textId="77777777" w:rsidR="000923BB" w:rsidRDefault="000923BB" w:rsidP="003A385F">
            <w:pPr>
              <w:jc w:val="center"/>
              <w:rPr>
                <w:rFonts w:cs="Arial"/>
                <w:sz w:val="20"/>
                <w:szCs w:val="20"/>
                <w:lang w:val="en-US"/>
              </w:rPr>
            </w:pPr>
            <w:r>
              <w:rPr>
                <w:rFonts w:cs="Arial"/>
                <w:sz w:val="20"/>
                <w:szCs w:val="20"/>
                <w:lang w:val="en-US"/>
              </w:rPr>
              <w:t>49</w:t>
            </w:r>
          </w:p>
        </w:tc>
        <w:tc>
          <w:tcPr>
            <w:tcW w:w="1134" w:type="dxa"/>
            <w:tcBorders>
              <w:top w:val="nil"/>
              <w:left w:val="single" w:sz="4" w:space="0" w:color="999999"/>
              <w:bottom w:val="single" w:sz="4" w:space="0" w:color="auto"/>
              <w:right w:val="single" w:sz="4" w:space="0" w:color="auto"/>
            </w:tcBorders>
            <w:tcMar>
              <w:left w:w="57" w:type="dxa"/>
              <w:right w:w="57" w:type="dxa"/>
            </w:tcMar>
          </w:tcPr>
          <w:p w14:paraId="6BAA7DB5" w14:textId="77777777" w:rsidR="000923BB" w:rsidRDefault="000923BB" w:rsidP="003A385F">
            <w:pPr>
              <w:jc w:val="center"/>
              <w:rPr>
                <w:rFonts w:cs="Arial"/>
                <w:sz w:val="20"/>
                <w:szCs w:val="20"/>
                <w:lang w:val="en-US"/>
              </w:rPr>
            </w:pPr>
            <w:r>
              <w:rPr>
                <w:rFonts w:cs="Arial"/>
                <w:sz w:val="20"/>
                <w:szCs w:val="20"/>
                <w:lang w:val="en-US"/>
              </w:rPr>
              <w:t>50</w:t>
            </w:r>
          </w:p>
        </w:tc>
      </w:tr>
      <w:tr w:rsidR="000923BB" w14:paraId="565F5D71" w14:textId="77777777" w:rsidTr="009148F2">
        <w:trPr>
          <w:trHeight w:val="255"/>
        </w:trPr>
        <w:tc>
          <w:tcPr>
            <w:tcW w:w="663" w:type="dxa"/>
            <w:tcBorders>
              <w:top w:val="single" w:sz="4" w:space="0" w:color="auto"/>
              <w:left w:val="single" w:sz="4" w:space="0" w:color="auto"/>
              <w:bottom w:val="nil"/>
              <w:right w:val="single" w:sz="4" w:space="0" w:color="auto"/>
            </w:tcBorders>
          </w:tcPr>
          <w:p w14:paraId="17C60DDB" w14:textId="5F676A1E" w:rsidR="000923BB" w:rsidRDefault="00003011" w:rsidP="003A385F">
            <w:pPr>
              <w:rPr>
                <w:rFonts w:cs="Arial"/>
                <w:sz w:val="20"/>
                <w:szCs w:val="20"/>
                <w:lang w:val="en-US"/>
              </w:rPr>
            </w:pPr>
            <w:r>
              <w:rPr>
                <w:noProof/>
                <w:sz w:val="20"/>
                <w:lang w:val="en-US"/>
              </w:rPr>
              <mc:AlternateContent>
                <mc:Choice Requires="wps">
                  <w:drawing>
                    <wp:anchor distT="0" distB="0" distL="114300" distR="114300" simplePos="0" relativeHeight="252561408" behindDoc="0" locked="0" layoutInCell="1" allowOverlap="1" wp14:anchorId="6D9D4FD5" wp14:editId="371C9AB2">
                      <wp:simplePos x="0" y="0"/>
                      <wp:positionH relativeFrom="column">
                        <wp:posOffset>0</wp:posOffset>
                      </wp:positionH>
                      <wp:positionV relativeFrom="paragraph">
                        <wp:posOffset>142875</wp:posOffset>
                      </wp:positionV>
                      <wp:extent cx="304800" cy="161925"/>
                      <wp:effectExtent l="0" t="0" r="1270" b="0"/>
                      <wp:wrapNone/>
                      <wp:docPr id="1041" name="AutoShape 937"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B75C4" id="AutoShape 937" o:spid="_x0000_s1026" alt="Selecting an example from Help" style="position:absolute;margin-left:0;margin-top:11.25pt;width:24pt;height:12.7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" filled="f" stroked="f">
                      <o:lock v:ext="edit" aspectratio="t"/>
                    </v:rect>
                  </w:pict>
                </mc:Fallback>
              </mc:AlternateContent>
            </w:r>
            <w:r>
              <w:rPr>
                <w:noProof/>
                <w:sz w:val="20"/>
                <w:lang w:val="en-US"/>
              </w:rPr>
              <mc:AlternateContent>
                <mc:Choice Requires="wps">
                  <w:drawing>
                    <wp:anchor distT="0" distB="0" distL="114300" distR="114300" simplePos="0" relativeHeight="252562432" behindDoc="0" locked="0" layoutInCell="1" allowOverlap="1" wp14:anchorId="470CA2A1" wp14:editId="1E339155">
                      <wp:simplePos x="0" y="0"/>
                      <wp:positionH relativeFrom="column">
                        <wp:posOffset>0</wp:posOffset>
                      </wp:positionH>
                      <wp:positionV relativeFrom="paragraph">
                        <wp:posOffset>142875</wp:posOffset>
                      </wp:positionV>
                      <wp:extent cx="304800" cy="161925"/>
                      <wp:effectExtent l="0" t="0" r="1270" b="0"/>
                      <wp:wrapNone/>
                      <wp:docPr id="1040" name="AutoShape 938"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C6F55" id="AutoShape 938" o:spid="_x0000_s1026" alt="Selecting an example from Help" style="position:absolute;margin-left:0;margin-top:11.25pt;width:24pt;height:12.7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" filled="f" stroked="f">
                      <o:lock v:ext="edit" aspectratio="t"/>
                    </v:rect>
                  </w:pict>
                </mc:Fallback>
              </mc:AlternateContent>
            </w:r>
            <w:r>
              <w:rPr>
                <w:noProof/>
                <w:sz w:val="20"/>
                <w:lang w:val="en-US"/>
              </w:rPr>
              <mc:AlternateContent>
                <mc:Choice Requires="wps">
                  <w:drawing>
                    <wp:anchor distT="0" distB="0" distL="114300" distR="114300" simplePos="0" relativeHeight="252563456" behindDoc="0" locked="0" layoutInCell="1" allowOverlap="1" wp14:anchorId="4AC7C4E4" wp14:editId="16461776">
                      <wp:simplePos x="0" y="0"/>
                      <wp:positionH relativeFrom="column">
                        <wp:posOffset>0</wp:posOffset>
                      </wp:positionH>
                      <wp:positionV relativeFrom="paragraph">
                        <wp:posOffset>161925</wp:posOffset>
                      </wp:positionV>
                      <wp:extent cx="304800" cy="323850"/>
                      <wp:effectExtent l="0" t="0" r="1270" b="0"/>
                      <wp:wrapNone/>
                      <wp:docPr id="1039" name="AutoShape 939">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238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8FB6C" id="AutoShape 939" o:spid="_x0000_s1026" href="" style="position:absolute;margin-left:0;margin-top:12.75pt;width:24pt;height:25.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64480" behindDoc="0" locked="0" layoutInCell="1" allowOverlap="1" wp14:anchorId="6CD946D4" wp14:editId="40E9436B">
                      <wp:simplePos x="0" y="0"/>
                      <wp:positionH relativeFrom="column">
                        <wp:posOffset>0</wp:posOffset>
                      </wp:positionH>
                      <wp:positionV relativeFrom="paragraph">
                        <wp:posOffset>161925</wp:posOffset>
                      </wp:positionV>
                      <wp:extent cx="304800" cy="323850"/>
                      <wp:effectExtent l="0" t="0" r="1270" b="0"/>
                      <wp:wrapNone/>
                      <wp:docPr id="1038" name="AutoShape 940">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238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CF862" id="AutoShape 940" o:spid="_x0000_s1026" href="" style="position:absolute;margin-left:0;margin-top:12.75pt;width:24pt;height:25.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65504" behindDoc="0" locked="0" layoutInCell="1" allowOverlap="1" wp14:anchorId="667F1159" wp14:editId="79B9C5AE">
                      <wp:simplePos x="0" y="0"/>
                      <wp:positionH relativeFrom="column">
                        <wp:posOffset>0</wp:posOffset>
                      </wp:positionH>
                      <wp:positionV relativeFrom="paragraph">
                        <wp:posOffset>142875</wp:posOffset>
                      </wp:positionV>
                      <wp:extent cx="304800" cy="161925"/>
                      <wp:effectExtent l="0" t="0" r="1270" b="0"/>
                      <wp:wrapNone/>
                      <wp:docPr id="1037" name="AutoShape 941"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BB8D3" id="AutoShape 941" o:spid="_x0000_s1026" alt="Selecting an example from Help" style="position:absolute;margin-left:0;margin-top:11.25pt;width:24pt;height:12.7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" filled="f" stroked="f">
                      <o:lock v:ext="edit" aspectratio="t"/>
                    </v:rect>
                  </w:pict>
                </mc:Fallback>
              </mc:AlternateContent>
            </w:r>
            <w:r>
              <w:rPr>
                <w:noProof/>
                <w:sz w:val="20"/>
                <w:lang w:val="en-US"/>
              </w:rPr>
              <mc:AlternateContent>
                <mc:Choice Requires="wps">
                  <w:drawing>
                    <wp:anchor distT="0" distB="0" distL="114300" distR="114300" simplePos="0" relativeHeight="252566528" behindDoc="0" locked="0" layoutInCell="1" allowOverlap="1" wp14:anchorId="33C9778C" wp14:editId="45A1098F">
                      <wp:simplePos x="0" y="0"/>
                      <wp:positionH relativeFrom="column">
                        <wp:posOffset>0</wp:posOffset>
                      </wp:positionH>
                      <wp:positionV relativeFrom="paragraph">
                        <wp:posOffset>142875</wp:posOffset>
                      </wp:positionV>
                      <wp:extent cx="304800" cy="161925"/>
                      <wp:effectExtent l="0" t="0" r="1270" b="0"/>
                      <wp:wrapNone/>
                      <wp:docPr id="1036" name="AutoShape 942"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A3560" id="AutoShape 942" o:spid="_x0000_s1026" alt="Selecting an example from Help" style="position:absolute;margin-left:0;margin-top:11.25pt;width:24pt;height:12.7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" filled="f" stroked="f">
                      <o:lock v:ext="edit" aspectratio="t"/>
                    </v:rect>
                  </w:pict>
                </mc:Fallback>
              </mc:AlternateContent>
            </w:r>
            <w:r>
              <w:rPr>
                <w:noProof/>
                <w:sz w:val="20"/>
                <w:lang w:val="en-US"/>
              </w:rPr>
              <mc:AlternateContent>
                <mc:Choice Requires="wps">
                  <w:drawing>
                    <wp:anchor distT="0" distB="0" distL="114300" distR="114300" simplePos="0" relativeHeight="252567552" behindDoc="0" locked="0" layoutInCell="1" allowOverlap="1" wp14:anchorId="52FC0522" wp14:editId="1423C4F1">
                      <wp:simplePos x="0" y="0"/>
                      <wp:positionH relativeFrom="column">
                        <wp:posOffset>0</wp:posOffset>
                      </wp:positionH>
                      <wp:positionV relativeFrom="paragraph">
                        <wp:posOffset>142875</wp:posOffset>
                      </wp:positionV>
                      <wp:extent cx="304800" cy="161925"/>
                      <wp:effectExtent l="0" t="0" r="1270" b="0"/>
                      <wp:wrapNone/>
                      <wp:docPr id="1035" name="AutoShape 943"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CB8A1" id="AutoShape 943" o:spid="_x0000_s1026" alt="Selecting an example from Help" style="position:absolute;margin-left:0;margin-top:11.25pt;width:24pt;height:12.7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" filled="f" stroked="f">
                      <o:lock v:ext="edit" aspectratio="t"/>
                    </v:rect>
                  </w:pict>
                </mc:Fallback>
              </mc:AlternateContent>
            </w:r>
            <w:r>
              <w:rPr>
                <w:noProof/>
                <w:sz w:val="20"/>
                <w:lang w:val="en-US"/>
              </w:rPr>
              <mc:AlternateContent>
                <mc:Choice Requires="wps">
                  <w:drawing>
                    <wp:anchor distT="0" distB="0" distL="114300" distR="114300" simplePos="0" relativeHeight="252568576" behindDoc="0" locked="0" layoutInCell="1" allowOverlap="1" wp14:anchorId="295DC9F0" wp14:editId="67686995">
                      <wp:simplePos x="0" y="0"/>
                      <wp:positionH relativeFrom="column">
                        <wp:posOffset>0</wp:posOffset>
                      </wp:positionH>
                      <wp:positionV relativeFrom="paragraph">
                        <wp:posOffset>161925</wp:posOffset>
                      </wp:positionV>
                      <wp:extent cx="304800" cy="323850"/>
                      <wp:effectExtent l="0" t="0" r="1270" b="0"/>
                      <wp:wrapNone/>
                      <wp:docPr id="1034" name="AutoShape 944">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238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EDD57" id="AutoShape 944" o:spid="_x0000_s1026" href="" style="position:absolute;margin-left:0;margin-top:12.75pt;width:24pt;height:25.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69600" behindDoc="0" locked="0" layoutInCell="1" allowOverlap="1" wp14:anchorId="0E18B4D6" wp14:editId="4E9482A1">
                      <wp:simplePos x="0" y="0"/>
                      <wp:positionH relativeFrom="column">
                        <wp:posOffset>0</wp:posOffset>
                      </wp:positionH>
                      <wp:positionV relativeFrom="paragraph">
                        <wp:posOffset>304800</wp:posOffset>
                      </wp:positionV>
                      <wp:extent cx="304800" cy="266700"/>
                      <wp:effectExtent l="0" t="0" r="1270" b="0"/>
                      <wp:wrapNone/>
                      <wp:docPr id="1033" name="AutoShape 945"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42C31" id="AutoShape 945" o:spid="_x0000_s1026" alt="Selecting an example from Help" style="position:absolute;margin-left:0;margin-top:24pt;width:24pt;height:21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" filled="f" stroked="f">
                      <o:lock v:ext="edit" aspectratio="t"/>
                    </v:rect>
                  </w:pict>
                </mc:Fallback>
              </mc:AlternateContent>
            </w:r>
            <w:r>
              <w:rPr>
                <w:noProof/>
                <w:sz w:val="20"/>
                <w:lang w:val="en-US"/>
              </w:rPr>
              <mc:AlternateContent>
                <mc:Choice Requires="wps">
                  <w:drawing>
                    <wp:anchor distT="0" distB="0" distL="114300" distR="114300" simplePos="0" relativeHeight="252570624" behindDoc="0" locked="0" layoutInCell="1" allowOverlap="1" wp14:anchorId="64DE3581" wp14:editId="55956BF1">
                      <wp:simplePos x="0" y="0"/>
                      <wp:positionH relativeFrom="column">
                        <wp:posOffset>0</wp:posOffset>
                      </wp:positionH>
                      <wp:positionV relativeFrom="paragraph">
                        <wp:posOffset>161925</wp:posOffset>
                      </wp:positionV>
                      <wp:extent cx="304800" cy="323850"/>
                      <wp:effectExtent l="0" t="0" r="1270" b="0"/>
                      <wp:wrapNone/>
                      <wp:docPr id="1032" name="AutoShape 946">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238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C7F8A" id="AutoShape 946" o:spid="_x0000_s1026" href="" style="position:absolute;margin-left:0;margin-top:12.75pt;width:24pt;height:25.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71648" behindDoc="0" locked="0" layoutInCell="1" allowOverlap="1" wp14:anchorId="3BB785CF" wp14:editId="1960DD45">
                      <wp:simplePos x="0" y="0"/>
                      <wp:positionH relativeFrom="column">
                        <wp:posOffset>0</wp:posOffset>
                      </wp:positionH>
                      <wp:positionV relativeFrom="paragraph">
                        <wp:posOffset>161925</wp:posOffset>
                      </wp:positionV>
                      <wp:extent cx="304800" cy="323850"/>
                      <wp:effectExtent l="0" t="0" r="1270" b="0"/>
                      <wp:wrapNone/>
                      <wp:docPr id="1031" name="AutoShape 947">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238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350E5" id="AutoShape 947" o:spid="_x0000_s1026" href="" style="position:absolute;margin-left:0;margin-top:12.75pt;width:24pt;height:25.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72672" behindDoc="0" locked="0" layoutInCell="1" allowOverlap="1" wp14:anchorId="0A9517EA" wp14:editId="7BE994C0">
                      <wp:simplePos x="0" y="0"/>
                      <wp:positionH relativeFrom="column">
                        <wp:posOffset>0</wp:posOffset>
                      </wp:positionH>
                      <wp:positionV relativeFrom="paragraph">
                        <wp:posOffset>161925</wp:posOffset>
                      </wp:positionV>
                      <wp:extent cx="304800" cy="323850"/>
                      <wp:effectExtent l="0" t="0" r="1270" b="0"/>
                      <wp:wrapNone/>
                      <wp:docPr id="1026" name="AutoShape 948">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238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AB086" id="AutoShape 948" o:spid="_x0000_s1026" href="" style="position:absolute;margin-left:0;margin-top:12.75pt;width:24pt;height:25.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73696" behindDoc="0" locked="0" layoutInCell="1" allowOverlap="1" wp14:anchorId="14C32AF3" wp14:editId="45BC4EFD">
                      <wp:simplePos x="0" y="0"/>
                      <wp:positionH relativeFrom="column">
                        <wp:posOffset>0</wp:posOffset>
                      </wp:positionH>
                      <wp:positionV relativeFrom="paragraph">
                        <wp:posOffset>304800</wp:posOffset>
                      </wp:positionV>
                      <wp:extent cx="304800" cy="266700"/>
                      <wp:effectExtent l="0" t="0" r="1270" b="0"/>
                      <wp:wrapNone/>
                      <wp:docPr id="1025" name="AutoShape 949"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296FB" id="AutoShape 949" o:spid="_x0000_s1026" alt="Selecting an example from Help" style="position:absolute;margin-left:0;margin-top:24pt;width:24pt;height:21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" filled="f" stroked="f">
                      <o:lock v:ext="edit" aspectratio="t"/>
                    </v:rect>
                  </w:pict>
                </mc:Fallback>
              </mc:AlternateContent>
            </w:r>
            <w:r w:rsidR="000923BB">
              <w:rPr>
                <w:rFonts w:cs="Arial"/>
                <w:sz w:val="20"/>
                <w:szCs w:val="20"/>
                <w:lang w:val="en-US"/>
              </w:rPr>
              <w:t>J</w:t>
            </w:r>
          </w:p>
        </w:tc>
        <w:tc>
          <w:tcPr>
            <w:tcW w:w="1701" w:type="dxa"/>
            <w:tcBorders>
              <w:top w:val="single" w:sz="4" w:space="0" w:color="auto"/>
              <w:left w:val="nil"/>
              <w:bottom w:val="nil"/>
              <w:right w:val="single" w:sz="4" w:space="0" w:color="999999"/>
            </w:tcBorders>
            <w:tcMar>
              <w:top w:w="11" w:type="dxa"/>
              <w:left w:w="57" w:type="dxa"/>
              <w:bottom w:w="11" w:type="dxa"/>
              <w:right w:w="57" w:type="dxa"/>
            </w:tcMar>
          </w:tcPr>
          <w:p w14:paraId="240E3977" w14:textId="77777777" w:rsidR="000923BB" w:rsidRDefault="000923BB" w:rsidP="003A385F">
            <w:pPr>
              <w:rPr>
                <w:rFonts w:cs="Arial"/>
                <w:sz w:val="20"/>
                <w:szCs w:val="20"/>
                <w:lang w:val="en-US"/>
              </w:rPr>
            </w:pPr>
            <w:r>
              <w:rPr>
                <w:rFonts w:cs="Arial"/>
                <w:sz w:val="20"/>
                <w:szCs w:val="20"/>
                <w:lang w:val="en-US"/>
              </w:rPr>
              <w:t>Nurse / other clinical</w:t>
            </w:r>
          </w:p>
        </w:tc>
        <w:tc>
          <w:tcPr>
            <w:tcW w:w="851" w:type="dxa"/>
            <w:tcBorders>
              <w:top w:val="single" w:sz="4" w:space="0" w:color="auto"/>
              <w:left w:val="single" w:sz="4" w:space="0" w:color="999999"/>
              <w:bottom w:val="nil"/>
              <w:right w:val="single" w:sz="4" w:space="0" w:color="999999"/>
            </w:tcBorders>
            <w:tcMar>
              <w:left w:w="57" w:type="dxa"/>
              <w:right w:w="57" w:type="dxa"/>
            </w:tcMar>
          </w:tcPr>
          <w:p w14:paraId="50BF58D4" w14:textId="0912CB62" w:rsidR="000923BB" w:rsidRDefault="00003011" w:rsidP="003A385F">
            <w:pPr>
              <w:jc w:val="center"/>
              <w:rPr>
                <w:rFonts w:cs="Arial"/>
                <w:sz w:val="20"/>
                <w:szCs w:val="20"/>
                <w:lang w:val="en-US"/>
              </w:rPr>
            </w:pPr>
            <w:r>
              <w:rPr>
                <w:noProof/>
                <w:sz w:val="20"/>
                <w:lang w:val="en-US"/>
              </w:rPr>
              <mc:AlternateContent>
                <mc:Choice Requires="wps">
                  <w:drawing>
                    <wp:anchor distT="0" distB="0" distL="114300" distR="114300" simplePos="0" relativeHeight="252574720" behindDoc="0" locked="0" layoutInCell="1" allowOverlap="1" wp14:anchorId="1E5375EF" wp14:editId="798F49E5">
                      <wp:simplePos x="0" y="0"/>
                      <wp:positionH relativeFrom="column">
                        <wp:posOffset>0</wp:posOffset>
                      </wp:positionH>
                      <wp:positionV relativeFrom="paragraph">
                        <wp:posOffset>0</wp:posOffset>
                      </wp:positionV>
                      <wp:extent cx="304800" cy="600075"/>
                      <wp:effectExtent l="4445" t="0" r="0" b="0"/>
                      <wp:wrapNone/>
                      <wp:docPr id="1024" name="AutoShape 950">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6000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0FA4E" id="AutoShape 950" o:spid="_x0000_s1026" href="" style="position:absolute;margin-left:0;margin-top:0;width:24pt;height:47.2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75744" behindDoc="0" locked="0" layoutInCell="1" allowOverlap="1" wp14:anchorId="02E01A82" wp14:editId="33E1EDED">
                      <wp:simplePos x="0" y="0"/>
                      <wp:positionH relativeFrom="column">
                        <wp:posOffset>0</wp:posOffset>
                      </wp:positionH>
                      <wp:positionV relativeFrom="paragraph">
                        <wp:posOffset>161925</wp:posOffset>
                      </wp:positionV>
                      <wp:extent cx="304800" cy="533400"/>
                      <wp:effectExtent l="4445" t="0" r="0" b="0"/>
                      <wp:wrapNone/>
                      <wp:docPr id="127" name="AutoShape 951"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5334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0E478" id="AutoShape 951" o:spid="_x0000_s1026" alt="Selecting an example from Help" style="position:absolute;margin-left:0;margin-top:12.75pt;width:24pt;height:42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" filled="f" stroked="f">
                      <o:lock v:ext="edit" aspectratio="t"/>
                    </v:rect>
                  </w:pict>
                </mc:Fallback>
              </mc:AlternateContent>
            </w:r>
            <w:r>
              <w:rPr>
                <w:noProof/>
                <w:sz w:val="20"/>
                <w:lang w:val="en-US"/>
              </w:rPr>
              <mc:AlternateContent>
                <mc:Choice Requires="wps">
                  <w:drawing>
                    <wp:anchor distT="0" distB="0" distL="114300" distR="114300" simplePos="0" relativeHeight="252576768" behindDoc="0" locked="0" layoutInCell="1" allowOverlap="1" wp14:anchorId="6A65A80B" wp14:editId="4863BAF1">
                      <wp:simplePos x="0" y="0"/>
                      <wp:positionH relativeFrom="column">
                        <wp:posOffset>0</wp:posOffset>
                      </wp:positionH>
                      <wp:positionV relativeFrom="paragraph">
                        <wp:posOffset>0</wp:posOffset>
                      </wp:positionV>
                      <wp:extent cx="304800" cy="333375"/>
                      <wp:effectExtent l="4445" t="0" r="0" b="0"/>
                      <wp:wrapNone/>
                      <wp:docPr id="126" name="AutoShape 952">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252B9" id="AutoShape 952" o:spid="_x0000_s1026" href="" style="position:absolute;margin-left:0;margin-top:0;width:24pt;height:26.2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77792" behindDoc="0" locked="0" layoutInCell="1" allowOverlap="1" wp14:anchorId="58EC9E64" wp14:editId="5259ABE3">
                      <wp:simplePos x="0" y="0"/>
                      <wp:positionH relativeFrom="column">
                        <wp:posOffset>0</wp:posOffset>
                      </wp:positionH>
                      <wp:positionV relativeFrom="paragraph">
                        <wp:posOffset>0</wp:posOffset>
                      </wp:positionV>
                      <wp:extent cx="304800" cy="333375"/>
                      <wp:effectExtent l="4445" t="0" r="0" b="0"/>
                      <wp:wrapNone/>
                      <wp:docPr id="125" name="AutoShape 953"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333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EDB19" id="AutoShape 953" o:spid="_x0000_s1026" alt="Selecting an example from Help" style="position:absolute;margin-left:0;margin-top:0;width:24pt;height:26.2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" filled="f" stroked="f">
                      <o:lock v:ext="edit" aspectratio="t"/>
                    </v:rect>
                  </w:pict>
                </mc:Fallback>
              </mc:AlternateContent>
            </w:r>
            <w:r>
              <w:rPr>
                <w:noProof/>
                <w:sz w:val="20"/>
                <w:lang w:val="en-US"/>
              </w:rPr>
              <mc:AlternateContent>
                <mc:Choice Requires="wps">
                  <w:drawing>
                    <wp:anchor distT="0" distB="0" distL="114300" distR="114300" simplePos="0" relativeHeight="252578816" behindDoc="0" locked="0" layoutInCell="1" allowOverlap="1" wp14:anchorId="08853E7E" wp14:editId="36233BF6">
                      <wp:simplePos x="0" y="0"/>
                      <wp:positionH relativeFrom="column">
                        <wp:posOffset>0</wp:posOffset>
                      </wp:positionH>
                      <wp:positionV relativeFrom="paragraph">
                        <wp:posOffset>0</wp:posOffset>
                      </wp:positionV>
                      <wp:extent cx="304800" cy="352425"/>
                      <wp:effectExtent l="4445" t="0" r="0" b="0"/>
                      <wp:wrapNone/>
                      <wp:docPr id="124" name="AutoShape 954">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524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5D482" id="AutoShape 954" o:spid="_x0000_s1026" href="" style="position:absolute;margin-left:0;margin-top:0;width:24pt;height:27.7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79840" behindDoc="0" locked="0" layoutInCell="1" allowOverlap="1" wp14:anchorId="7ABB2B48" wp14:editId="421DC83A">
                      <wp:simplePos x="0" y="0"/>
                      <wp:positionH relativeFrom="column">
                        <wp:posOffset>0</wp:posOffset>
                      </wp:positionH>
                      <wp:positionV relativeFrom="paragraph">
                        <wp:posOffset>161925</wp:posOffset>
                      </wp:positionV>
                      <wp:extent cx="304800" cy="533400"/>
                      <wp:effectExtent l="4445" t="0" r="0" b="0"/>
                      <wp:wrapNone/>
                      <wp:docPr id="123" name="AutoShape 955">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5334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3BBE8" id="AutoShape 955" o:spid="_x0000_s1026" href="" style="position:absolute;margin-left:0;margin-top:12.75pt;width:24pt;height:42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80864" behindDoc="0" locked="0" layoutInCell="1" allowOverlap="1" wp14:anchorId="79785C3E" wp14:editId="10AAE922">
                      <wp:simplePos x="0" y="0"/>
                      <wp:positionH relativeFrom="column">
                        <wp:posOffset>0</wp:posOffset>
                      </wp:positionH>
                      <wp:positionV relativeFrom="paragraph">
                        <wp:posOffset>161925</wp:posOffset>
                      </wp:positionV>
                      <wp:extent cx="304800" cy="533400"/>
                      <wp:effectExtent l="4445" t="0" r="0" b="0"/>
                      <wp:wrapNone/>
                      <wp:docPr id="122" name="AutoShape 956">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5334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D4C56" id="AutoShape 956" o:spid="_x0000_s1026" href="" style="position:absolute;margin-left:0;margin-top:12.75pt;width:24pt;height:42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81888" behindDoc="0" locked="0" layoutInCell="1" allowOverlap="1" wp14:anchorId="1977B6BA" wp14:editId="40A4D0C7">
                      <wp:simplePos x="0" y="0"/>
                      <wp:positionH relativeFrom="column">
                        <wp:posOffset>0</wp:posOffset>
                      </wp:positionH>
                      <wp:positionV relativeFrom="paragraph">
                        <wp:posOffset>161925</wp:posOffset>
                      </wp:positionV>
                      <wp:extent cx="304800" cy="304800"/>
                      <wp:effectExtent l="4445" t="0" r="0" b="0"/>
                      <wp:wrapNone/>
                      <wp:docPr id="121" name="AutoShape 957"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B098D" id="AutoShape 957" o:spid="_x0000_s1026" alt="Selecting an example from Help" style="position:absolute;margin-left:0;margin-top:12.75pt;width:24pt;height:24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" filled="f" stroked="f">
                      <o:lock v:ext="edit" aspectratio="t"/>
                    </v:rect>
                  </w:pict>
                </mc:Fallback>
              </mc:AlternateContent>
            </w:r>
            <w:r>
              <w:rPr>
                <w:noProof/>
                <w:sz w:val="20"/>
                <w:lang w:val="en-US"/>
              </w:rPr>
              <mc:AlternateContent>
                <mc:Choice Requires="wps">
                  <w:drawing>
                    <wp:anchor distT="0" distB="0" distL="114300" distR="114300" simplePos="0" relativeHeight="252582912" behindDoc="0" locked="0" layoutInCell="1" allowOverlap="1" wp14:anchorId="20A9CF52" wp14:editId="1A23F2CE">
                      <wp:simplePos x="0" y="0"/>
                      <wp:positionH relativeFrom="column">
                        <wp:posOffset>0</wp:posOffset>
                      </wp:positionH>
                      <wp:positionV relativeFrom="paragraph">
                        <wp:posOffset>161925</wp:posOffset>
                      </wp:positionV>
                      <wp:extent cx="304800" cy="304800"/>
                      <wp:effectExtent l="4445" t="0" r="0" b="0"/>
                      <wp:wrapNone/>
                      <wp:docPr id="120" name="AutoShape 958"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45F35" id="AutoShape 958" o:spid="_x0000_s1026" alt="Selecting an example from Help" style="position:absolute;margin-left:0;margin-top:12.75pt;width:24pt;height:24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" filled="f" stroked="f">
                      <o:lock v:ext="edit" aspectratio="t"/>
                    </v:rect>
                  </w:pict>
                </mc:Fallback>
              </mc:AlternateContent>
            </w:r>
            <w:r>
              <w:rPr>
                <w:noProof/>
                <w:sz w:val="20"/>
                <w:lang w:val="en-US"/>
              </w:rPr>
              <mc:AlternateContent>
                <mc:Choice Requires="wps">
                  <w:drawing>
                    <wp:anchor distT="0" distB="0" distL="114300" distR="114300" simplePos="0" relativeHeight="252583936" behindDoc="0" locked="0" layoutInCell="1" allowOverlap="1" wp14:anchorId="2D8336C9" wp14:editId="46AE0B71">
                      <wp:simplePos x="0" y="0"/>
                      <wp:positionH relativeFrom="column">
                        <wp:posOffset>0</wp:posOffset>
                      </wp:positionH>
                      <wp:positionV relativeFrom="paragraph">
                        <wp:posOffset>0</wp:posOffset>
                      </wp:positionV>
                      <wp:extent cx="304800" cy="352425"/>
                      <wp:effectExtent l="4445" t="0" r="0" b="0"/>
                      <wp:wrapNone/>
                      <wp:docPr id="119" name="AutoShape 959">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524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FDED0" id="AutoShape 959" o:spid="_x0000_s1026" href="" style="position:absolute;margin-left:0;margin-top:0;width:24pt;height:27.7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84960" behindDoc="0" locked="0" layoutInCell="1" allowOverlap="1" wp14:anchorId="1DD98720" wp14:editId="0C1061CB">
                      <wp:simplePos x="0" y="0"/>
                      <wp:positionH relativeFrom="column">
                        <wp:posOffset>0</wp:posOffset>
                      </wp:positionH>
                      <wp:positionV relativeFrom="paragraph">
                        <wp:posOffset>0</wp:posOffset>
                      </wp:positionV>
                      <wp:extent cx="304800" cy="352425"/>
                      <wp:effectExtent l="4445" t="0" r="0" b="0"/>
                      <wp:wrapNone/>
                      <wp:docPr id="118" name="AutoShape 960">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524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04402" id="AutoShape 960" o:spid="_x0000_s1026" href="" style="position:absolute;margin-left:0;margin-top:0;width:24pt;height:27.7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85984" behindDoc="0" locked="0" layoutInCell="1" allowOverlap="1" wp14:anchorId="3D21A2C1" wp14:editId="5BE2137C">
                      <wp:simplePos x="0" y="0"/>
                      <wp:positionH relativeFrom="column">
                        <wp:posOffset>0</wp:posOffset>
                      </wp:positionH>
                      <wp:positionV relativeFrom="paragraph">
                        <wp:posOffset>0</wp:posOffset>
                      </wp:positionV>
                      <wp:extent cx="304800" cy="352425"/>
                      <wp:effectExtent l="4445" t="0" r="0" b="0"/>
                      <wp:wrapNone/>
                      <wp:docPr id="117" name="AutoShape 961">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524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10E71" id="AutoShape 961" o:spid="_x0000_s1026" href="" style="position:absolute;margin-left:0;margin-top:0;width:24pt;height:27.7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87008" behindDoc="0" locked="0" layoutInCell="1" allowOverlap="1" wp14:anchorId="4E6D8E92" wp14:editId="3EDE2D04">
                      <wp:simplePos x="0" y="0"/>
                      <wp:positionH relativeFrom="column">
                        <wp:posOffset>0</wp:posOffset>
                      </wp:positionH>
                      <wp:positionV relativeFrom="paragraph">
                        <wp:posOffset>0</wp:posOffset>
                      </wp:positionV>
                      <wp:extent cx="304800" cy="352425"/>
                      <wp:effectExtent l="4445" t="0" r="0" b="0"/>
                      <wp:wrapNone/>
                      <wp:docPr id="105" name="AutoShape 962">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524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C3CA5" id="AutoShape 962" o:spid="_x0000_s1026" href="" style="position:absolute;margin-left:0;margin-top:0;width:24pt;height:27.7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88032" behindDoc="0" locked="0" layoutInCell="1" allowOverlap="1" wp14:anchorId="5C034351" wp14:editId="2BFE5B01">
                      <wp:simplePos x="0" y="0"/>
                      <wp:positionH relativeFrom="column">
                        <wp:posOffset>0</wp:posOffset>
                      </wp:positionH>
                      <wp:positionV relativeFrom="paragraph">
                        <wp:posOffset>142875</wp:posOffset>
                      </wp:positionV>
                      <wp:extent cx="304800" cy="161925"/>
                      <wp:effectExtent l="4445" t="0" r="0" b="0"/>
                      <wp:wrapNone/>
                      <wp:docPr id="104" name="AutoShape 963"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44FC4" id="AutoShape 963" o:spid="_x0000_s1026" alt="Selecting an example from Help" style="position:absolute;margin-left:0;margin-top:11.25pt;width:24pt;height:12.7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" filled="f" stroked="f">
                      <o:lock v:ext="edit" aspectratio="t"/>
                    </v:rect>
                  </w:pict>
                </mc:Fallback>
              </mc:AlternateContent>
            </w:r>
            <w:r>
              <w:rPr>
                <w:noProof/>
                <w:sz w:val="20"/>
                <w:lang w:val="en-US"/>
              </w:rPr>
              <mc:AlternateContent>
                <mc:Choice Requires="wps">
                  <w:drawing>
                    <wp:anchor distT="0" distB="0" distL="114300" distR="114300" simplePos="0" relativeHeight="252589056" behindDoc="0" locked="0" layoutInCell="1" allowOverlap="1" wp14:anchorId="043A50D2" wp14:editId="0B642D1A">
                      <wp:simplePos x="0" y="0"/>
                      <wp:positionH relativeFrom="column">
                        <wp:posOffset>0</wp:posOffset>
                      </wp:positionH>
                      <wp:positionV relativeFrom="paragraph">
                        <wp:posOffset>142875</wp:posOffset>
                      </wp:positionV>
                      <wp:extent cx="304800" cy="161925"/>
                      <wp:effectExtent l="4445" t="0" r="0" b="0"/>
                      <wp:wrapNone/>
                      <wp:docPr id="103" name="AutoShape 964"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FC02F" id="AutoShape 964" o:spid="_x0000_s1026" alt="Selecting an example from Help" style="position:absolute;margin-left:0;margin-top:11.25pt;width:24pt;height:12.7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" filled="f" stroked="f">
                      <o:lock v:ext="edit" aspectratio="t"/>
                    </v:rect>
                  </w:pict>
                </mc:Fallback>
              </mc:AlternateContent>
            </w:r>
            <w:r>
              <w:rPr>
                <w:noProof/>
                <w:sz w:val="20"/>
                <w:lang w:val="en-US"/>
              </w:rPr>
              <mc:AlternateContent>
                <mc:Choice Requires="wps">
                  <w:drawing>
                    <wp:anchor distT="0" distB="0" distL="114300" distR="114300" simplePos="0" relativeHeight="252590080" behindDoc="0" locked="0" layoutInCell="1" allowOverlap="1" wp14:anchorId="4C3B4C53" wp14:editId="54C2BC5A">
                      <wp:simplePos x="0" y="0"/>
                      <wp:positionH relativeFrom="column">
                        <wp:posOffset>0</wp:posOffset>
                      </wp:positionH>
                      <wp:positionV relativeFrom="paragraph">
                        <wp:posOffset>161925</wp:posOffset>
                      </wp:positionV>
                      <wp:extent cx="304800" cy="323850"/>
                      <wp:effectExtent l="4445" t="0" r="0" b="0"/>
                      <wp:wrapNone/>
                      <wp:docPr id="102" name="AutoShape 965">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238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07AB9" id="AutoShape 965" o:spid="_x0000_s1026" href="" style="position:absolute;margin-left:0;margin-top:12.75pt;width:24pt;height:25.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91104" behindDoc="0" locked="0" layoutInCell="1" allowOverlap="1" wp14:anchorId="19EBE34C" wp14:editId="17A68D83">
                      <wp:simplePos x="0" y="0"/>
                      <wp:positionH relativeFrom="column">
                        <wp:posOffset>0</wp:posOffset>
                      </wp:positionH>
                      <wp:positionV relativeFrom="paragraph">
                        <wp:posOffset>161925</wp:posOffset>
                      </wp:positionV>
                      <wp:extent cx="304800" cy="323850"/>
                      <wp:effectExtent l="4445" t="0" r="0" b="0"/>
                      <wp:wrapNone/>
                      <wp:docPr id="101" name="AutoShape 966">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238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6D639" id="AutoShape 966" o:spid="_x0000_s1026" href="" style="position:absolute;margin-left:0;margin-top:12.75pt;width:24pt;height:25.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92128" behindDoc="0" locked="0" layoutInCell="1" allowOverlap="1" wp14:anchorId="097B979B" wp14:editId="44BE024C">
                      <wp:simplePos x="0" y="0"/>
                      <wp:positionH relativeFrom="column">
                        <wp:posOffset>0</wp:posOffset>
                      </wp:positionH>
                      <wp:positionV relativeFrom="paragraph">
                        <wp:posOffset>142875</wp:posOffset>
                      </wp:positionV>
                      <wp:extent cx="304800" cy="161925"/>
                      <wp:effectExtent l="4445" t="0" r="0" b="0"/>
                      <wp:wrapNone/>
                      <wp:docPr id="100" name="AutoShape 967"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6D943" id="AutoShape 967" o:spid="_x0000_s1026" alt="Selecting an example from Help" style="position:absolute;margin-left:0;margin-top:11.25pt;width:24pt;height:12.7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" filled="f" stroked="f">
                      <o:lock v:ext="edit" aspectratio="t"/>
                    </v:rect>
                  </w:pict>
                </mc:Fallback>
              </mc:AlternateContent>
            </w:r>
            <w:r>
              <w:rPr>
                <w:noProof/>
                <w:sz w:val="20"/>
                <w:lang w:val="en-US"/>
              </w:rPr>
              <mc:AlternateContent>
                <mc:Choice Requires="wps">
                  <w:drawing>
                    <wp:anchor distT="0" distB="0" distL="114300" distR="114300" simplePos="0" relativeHeight="252593152" behindDoc="0" locked="0" layoutInCell="1" allowOverlap="1" wp14:anchorId="6573C33D" wp14:editId="4D9B7432">
                      <wp:simplePos x="0" y="0"/>
                      <wp:positionH relativeFrom="column">
                        <wp:posOffset>0</wp:posOffset>
                      </wp:positionH>
                      <wp:positionV relativeFrom="paragraph">
                        <wp:posOffset>142875</wp:posOffset>
                      </wp:positionV>
                      <wp:extent cx="304800" cy="161925"/>
                      <wp:effectExtent l="4445" t="0" r="0" b="0"/>
                      <wp:wrapNone/>
                      <wp:docPr id="99" name="AutoShape 968"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8A960" id="AutoShape 968" o:spid="_x0000_s1026" alt="Selecting an example from Help" style="position:absolute;margin-left:0;margin-top:11.25pt;width:24pt;height:12.7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" filled="f" stroked="f">
                      <o:lock v:ext="edit" aspectratio="t"/>
                    </v:rect>
                  </w:pict>
                </mc:Fallback>
              </mc:AlternateContent>
            </w:r>
            <w:r>
              <w:rPr>
                <w:noProof/>
                <w:sz w:val="20"/>
                <w:lang w:val="en-US"/>
              </w:rPr>
              <mc:AlternateContent>
                <mc:Choice Requires="wps">
                  <w:drawing>
                    <wp:anchor distT="0" distB="0" distL="114300" distR="114300" simplePos="0" relativeHeight="252594176" behindDoc="0" locked="0" layoutInCell="1" allowOverlap="1" wp14:anchorId="2515E243" wp14:editId="225117ED">
                      <wp:simplePos x="0" y="0"/>
                      <wp:positionH relativeFrom="column">
                        <wp:posOffset>0</wp:posOffset>
                      </wp:positionH>
                      <wp:positionV relativeFrom="paragraph">
                        <wp:posOffset>161925</wp:posOffset>
                      </wp:positionV>
                      <wp:extent cx="304800" cy="323850"/>
                      <wp:effectExtent l="4445" t="0" r="0" b="0"/>
                      <wp:wrapNone/>
                      <wp:docPr id="98" name="AutoShape 969">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238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B6782" id="AutoShape 969" o:spid="_x0000_s1026" href="" style="position:absolute;margin-left:0;margin-top:12.75pt;width:24pt;height:25.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95200" behindDoc="0" locked="0" layoutInCell="1" allowOverlap="1" wp14:anchorId="5395FBC8" wp14:editId="4A35C467">
                      <wp:simplePos x="0" y="0"/>
                      <wp:positionH relativeFrom="column">
                        <wp:posOffset>0</wp:posOffset>
                      </wp:positionH>
                      <wp:positionV relativeFrom="paragraph">
                        <wp:posOffset>161925</wp:posOffset>
                      </wp:positionV>
                      <wp:extent cx="304800" cy="323850"/>
                      <wp:effectExtent l="4445" t="0" r="0" b="0"/>
                      <wp:wrapNone/>
                      <wp:docPr id="97" name="AutoShape 970">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238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36808" id="AutoShape 970" o:spid="_x0000_s1026" href="" style="position:absolute;margin-left:0;margin-top:12.75pt;width:24pt;height:25.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96224" behindDoc="0" locked="0" layoutInCell="1" allowOverlap="1" wp14:anchorId="3BE90086" wp14:editId="5F7BAFC1">
                      <wp:simplePos x="0" y="0"/>
                      <wp:positionH relativeFrom="column">
                        <wp:posOffset>0</wp:posOffset>
                      </wp:positionH>
                      <wp:positionV relativeFrom="paragraph">
                        <wp:posOffset>161925</wp:posOffset>
                      </wp:positionV>
                      <wp:extent cx="304800" cy="323850"/>
                      <wp:effectExtent l="4445" t="0" r="0" b="0"/>
                      <wp:wrapNone/>
                      <wp:docPr id="96" name="AutoShape 971">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238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638CE" id="AutoShape 971" o:spid="_x0000_s1026" href="" style="position:absolute;margin-left:0;margin-top:12.75pt;width:24pt;height:25.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97248" behindDoc="0" locked="0" layoutInCell="1" allowOverlap="1" wp14:anchorId="74C5D87D" wp14:editId="5EBB7983">
                      <wp:simplePos x="0" y="0"/>
                      <wp:positionH relativeFrom="column">
                        <wp:posOffset>0</wp:posOffset>
                      </wp:positionH>
                      <wp:positionV relativeFrom="paragraph">
                        <wp:posOffset>304800</wp:posOffset>
                      </wp:positionV>
                      <wp:extent cx="304800" cy="266700"/>
                      <wp:effectExtent l="4445" t="0" r="0" b="0"/>
                      <wp:wrapNone/>
                      <wp:docPr id="95" name="AutoShape 972"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E862B" id="AutoShape 972" o:spid="_x0000_s1026" alt="Selecting an example from Help" style="position:absolute;margin-left:0;margin-top:24pt;width:24pt;height:21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" filled="f" stroked="f">
                      <o:lock v:ext="edit" aspectratio="t"/>
                    </v:rect>
                  </w:pict>
                </mc:Fallback>
              </mc:AlternateContent>
            </w:r>
            <w:r w:rsidR="000923BB">
              <w:rPr>
                <w:rFonts w:cs="Arial"/>
                <w:sz w:val="20"/>
                <w:szCs w:val="20"/>
                <w:lang w:val="en-US"/>
              </w:rPr>
              <w:t>30</w:t>
            </w:r>
          </w:p>
        </w:tc>
        <w:tc>
          <w:tcPr>
            <w:tcW w:w="992" w:type="dxa"/>
            <w:tcBorders>
              <w:top w:val="single" w:sz="4" w:space="0" w:color="auto"/>
              <w:left w:val="single" w:sz="4" w:space="0" w:color="999999"/>
              <w:bottom w:val="nil"/>
              <w:right w:val="single" w:sz="4" w:space="0" w:color="auto"/>
            </w:tcBorders>
            <w:tcMar>
              <w:left w:w="57" w:type="dxa"/>
              <w:right w:w="57" w:type="dxa"/>
            </w:tcMar>
          </w:tcPr>
          <w:p w14:paraId="57BFAB9C" w14:textId="77777777" w:rsidR="000923BB" w:rsidRDefault="000923BB" w:rsidP="003A385F">
            <w:pPr>
              <w:jc w:val="center"/>
              <w:rPr>
                <w:rFonts w:cs="Arial"/>
                <w:sz w:val="20"/>
                <w:szCs w:val="20"/>
                <w:lang w:val="en-US"/>
              </w:rPr>
            </w:pPr>
            <w:r>
              <w:rPr>
                <w:rFonts w:cs="Arial"/>
                <w:sz w:val="20"/>
                <w:szCs w:val="20"/>
                <w:lang w:val="en-US"/>
              </w:rPr>
              <w:t>29</w:t>
            </w:r>
          </w:p>
        </w:tc>
        <w:tc>
          <w:tcPr>
            <w:tcW w:w="1984" w:type="dxa"/>
            <w:tcBorders>
              <w:top w:val="single" w:sz="4" w:space="0" w:color="auto"/>
              <w:left w:val="nil"/>
              <w:bottom w:val="nil"/>
              <w:right w:val="single" w:sz="4" w:space="0" w:color="999999"/>
            </w:tcBorders>
            <w:tcMar>
              <w:left w:w="57" w:type="dxa"/>
              <w:right w:w="57" w:type="dxa"/>
            </w:tcMar>
          </w:tcPr>
          <w:p w14:paraId="6F275D68" w14:textId="77777777" w:rsidR="000923BB" w:rsidRDefault="000923BB" w:rsidP="003A385F">
            <w:pPr>
              <w:rPr>
                <w:rFonts w:cs="Arial"/>
                <w:sz w:val="20"/>
                <w:szCs w:val="20"/>
                <w:lang w:val="en-US"/>
              </w:rPr>
            </w:pPr>
            <w:r>
              <w:rPr>
                <w:rFonts w:cs="Arial"/>
                <w:sz w:val="20"/>
                <w:szCs w:val="20"/>
                <w:lang w:val="en-US"/>
              </w:rPr>
              <w:t>Nurse / other clinical</w:t>
            </w:r>
          </w:p>
        </w:tc>
        <w:tc>
          <w:tcPr>
            <w:tcW w:w="851" w:type="dxa"/>
            <w:tcBorders>
              <w:top w:val="single" w:sz="4" w:space="0" w:color="auto"/>
              <w:left w:val="single" w:sz="4" w:space="0" w:color="999999"/>
              <w:bottom w:val="nil"/>
              <w:right w:val="single" w:sz="4" w:space="0" w:color="999999"/>
            </w:tcBorders>
            <w:tcMar>
              <w:left w:w="57" w:type="dxa"/>
              <w:right w:w="57" w:type="dxa"/>
            </w:tcMar>
          </w:tcPr>
          <w:p w14:paraId="54374189" w14:textId="690E11D1" w:rsidR="000923BB" w:rsidRDefault="00003011" w:rsidP="003A385F">
            <w:pPr>
              <w:jc w:val="center"/>
              <w:rPr>
                <w:rFonts w:cs="Arial"/>
                <w:sz w:val="20"/>
                <w:szCs w:val="20"/>
                <w:lang w:val="en-US"/>
              </w:rPr>
            </w:pPr>
            <w:r>
              <w:rPr>
                <w:noProof/>
                <w:sz w:val="20"/>
                <w:lang w:val="en-US"/>
              </w:rPr>
              <mc:AlternateContent>
                <mc:Choice Requires="wps">
                  <w:drawing>
                    <wp:anchor distT="0" distB="0" distL="114300" distR="114300" simplePos="0" relativeHeight="252604416" behindDoc="0" locked="0" layoutInCell="1" allowOverlap="1" wp14:anchorId="650F1C02" wp14:editId="5B8A7096">
                      <wp:simplePos x="0" y="0"/>
                      <wp:positionH relativeFrom="column">
                        <wp:posOffset>0</wp:posOffset>
                      </wp:positionH>
                      <wp:positionV relativeFrom="paragraph">
                        <wp:posOffset>0</wp:posOffset>
                      </wp:positionV>
                      <wp:extent cx="304800" cy="228600"/>
                      <wp:effectExtent l="0" t="0" r="3810" b="0"/>
                      <wp:wrapNone/>
                      <wp:docPr id="94" name="AutoShape 979">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286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348E6" id="AutoShape 979" o:spid="_x0000_s1026" href="" style="position:absolute;margin-left:0;margin-top:0;width:24pt;height:18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" o:button="t" filled="f" stroked="f">
                      <v:fill o:detectmouseclick="t"/>
                      <o:lock v:ext="edit" aspectratio="t"/>
                    </v:rect>
                  </w:pict>
                </mc:Fallback>
              </mc:AlternateContent>
            </w:r>
            <w:r w:rsidR="000923BB">
              <w:rPr>
                <w:rFonts w:cs="Arial"/>
                <w:sz w:val="20"/>
                <w:szCs w:val="20"/>
                <w:lang w:val="en-US"/>
              </w:rPr>
              <w:t>30</w:t>
            </w:r>
          </w:p>
        </w:tc>
        <w:tc>
          <w:tcPr>
            <w:tcW w:w="1134" w:type="dxa"/>
            <w:tcBorders>
              <w:top w:val="single" w:sz="4" w:space="0" w:color="auto"/>
              <w:left w:val="single" w:sz="4" w:space="0" w:color="999999"/>
              <w:bottom w:val="nil"/>
              <w:right w:val="single" w:sz="4" w:space="0" w:color="auto"/>
            </w:tcBorders>
            <w:tcMar>
              <w:left w:w="57" w:type="dxa"/>
              <w:right w:w="57" w:type="dxa"/>
            </w:tcMar>
          </w:tcPr>
          <w:p w14:paraId="66DA0E31" w14:textId="18F62984" w:rsidR="000923BB" w:rsidRDefault="00003011" w:rsidP="003A385F">
            <w:pPr>
              <w:jc w:val="center"/>
              <w:rPr>
                <w:rFonts w:cs="Arial"/>
                <w:sz w:val="20"/>
                <w:szCs w:val="20"/>
                <w:lang w:val="en-US"/>
              </w:rPr>
            </w:pPr>
            <w:r>
              <w:rPr>
                <w:noProof/>
                <w:sz w:val="20"/>
                <w:lang w:val="en-US"/>
              </w:rPr>
              <mc:AlternateContent>
                <mc:Choice Requires="wps">
                  <w:drawing>
                    <wp:anchor distT="0" distB="0" distL="114300" distR="114300" simplePos="0" relativeHeight="252605440" behindDoc="0" locked="0" layoutInCell="1" allowOverlap="1" wp14:anchorId="0FB26873" wp14:editId="76398D7F">
                      <wp:simplePos x="0" y="0"/>
                      <wp:positionH relativeFrom="column">
                        <wp:posOffset>0</wp:posOffset>
                      </wp:positionH>
                      <wp:positionV relativeFrom="paragraph">
                        <wp:posOffset>0</wp:posOffset>
                      </wp:positionV>
                      <wp:extent cx="304800" cy="228600"/>
                      <wp:effectExtent l="3175" t="0" r="0" b="0"/>
                      <wp:wrapNone/>
                      <wp:docPr id="93" name="AutoShape 980">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286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DAA65" id="AutoShape 980" o:spid="_x0000_s1026" href="" style="position:absolute;margin-left:0;margin-top:0;width:24pt;height:18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" o:button="t" filled="f" stroked="f">
                      <v:fill o:detectmouseclick="t"/>
                      <o:lock v:ext="edit" aspectratio="t"/>
                    </v:rect>
                  </w:pict>
                </mc:Fallback>
              </mc:AlternateContent>
            </w:r>
            <w:r w:rsidR="000923BB">
              <w:rPr>
                <w:rFonts w:cs="Arial"/>
                <w:sz w:val="20"/>
                <w:szCs w:val="20"/>
                <w:lang w:val="en-US"/>
              </w:rPr>
              <w:t>29</w:t>
            </w:r>
          </w:p>
        </w:tc>
      </w:tr>
      <w:tr w:rsidR="000923BB" w14:paraId="23F9510C" w14:textId="77777777" w:rsidTr="009148F2">
        <w:trPr>
          <w:trHeight w:val="255"/>
        </w:trPr>
        <w:tc>
          <w:tcPr>
            <w:tcW w:w="663" w:type="dxa"/>
            <w:tcBorders>
              <w:top w:val="nil"/>
              <w:left w:val="single" w:sz="4" w:space="0" w:color="auto"/>
              <w:bottom w:val="nil"/>
              <w:right w:val="single" w:sz="4" w:space="0" w:color="auto"/>
            </w:tcBorders>
          </w:tcPr>
          <w:p w14:paraId="2390AA9E" w14:textId="77777777" w:rsidR="000923BB" w:rsidRDefault="000923BB" w:rsidP="003A385F">
            <w:pPr>
              <w:rPr>
                <w:rFonts w:cs="Arial"/>
                <w:sz w:val="20"/>
                <w:szCs w:val="20"/>
                <w:lang w:val="en-US"/>
              </w:rPr>
            </w:pPr>
            <w:r>
              <w:rPr>
                <w:rFonts w:cs="Arial"/>
                <w:sz w:val="20"/>
                <w:szCs w:val="20"/>
                <w:lang w:val="en-US"/>
              </w:rPr>
              <w:t> </w:t>
            </w:r>
          </w:p>
        </w:tc>
        <w:tc>
          <w:tcPr>
            <w:tcW w:w="1701" w:type="dxa"/>
            <w:tcBorders>
              <w:top w:val="nil"/>
              <w:left w:val="nil"/>
              <w:bottom w:val="nil"/>
              <w:right w:val="single" w:sz="4" w:space="0" w:color="999999"/>
            </w:tcBorders>
            <w:tcMar>
              <w:top w:w="11" w:type="dxa"/>
              <w:left w:w="57" w:type="dxa"/>
              <w:bottom w:w="11" w:type="dxa"/>
              <w:right w:w="57" w:type="dxa"/>
            </w:tcMar>
          </w:tcPr>
          <w:p w14:paraId="7FEE3ED2" w14:textId="77777777" w:rsidR="000923BB" w:rsidRDefault="000923BB" w:rsidP="003A385F">
            <w:pPr>
              <w:rPr>
                <w:rFonts w:cs="Arial"/>
                <w:sz w:val="20"/>
                <w:szCs w:val="20"/>
                <w:lang w:val="en-US"/>
              </w:rPr>
            </w:pPr>
            <w:r>
              <w:rPr>
                <w:rFonts w:cs="Arial"/>
                <w:sz w:val="20"/>
                <w:szCs w:val="20"/>
                <w:lang w:val="en-US"/>
              </w:rPr>
              <w:t>Nurse / other clinical</w:t>
            </w:r>
          </w:p>
        </w:tc>
        <w:tc>
          <w:tcPr>
            <w:tcW w:w="851" w:type="dxa"/>
            <w:tcBorders>
              <w:top w:val="nil"/>
              <w:left w:val="single" w:sz="4" w:space="0" w:color="999999"/>
              <w:bottom w:val="nil"/>
              <w:right w:val="single" w:sz="4" w:space="0" w:color="999999"/>
            </w:tcBorders>
            <w:tcMar>
              <w:left w:w="57" w:type="dxa"/>
              <w:right w:w="57" w:type="dxa"/>
            </w:tcMar>
          </w:tcPr>
          <w:p w14:paraId="71ECECCE" w14:textId="77777777" w:rsidR="000923BB" w:rsidRDefault="000923BB" w:rsidP="003A385F">
            <w:pPr>
              <w:jc w:val="center"/>
              <w:rPr>
                <w:rFonts w:cs="Arial"/>
                <w:sz w:val="20"/>
                <w:szCs w:val="20"/>
                <w:lang w:val="en-US"/>
              </w:rPr>
            </w:pPr>
            <w:r>
              <w:rPr>
                <w:rFonts w:cs="Arial"/>
                <w:sz w:val="20"/>
                <w:szCs w:val="20"/>
                <w:lang w:val="en-US"/>
              </w:rPr>
              <w:t>49</w:t>
            </w:r>
          </w:p>
        </w:tc>
        <w:tc>
          <w:tcPr>
            <w:tcW w:w="992" w:type="dxa"/>
            <w:tcBorders>
              <w:top w:val="nil"/>
              <w:left w:val="single" w:sz="4" w:space="0" w:color="999999"/>
              <w:bottom w:val="nil"/>
              <w:right w:val="single" w:sz="4" w:space="0" w:color="auto"/>
            </w:tcBorders>
            <w:tcMar>
              <w:left w:w="57" w:type="dxa"/>
              <w:right w:w="57" w:type="dxa"/>
            </w:tcMar>
          </w:tcPr>
          <w:p w14:paraId="2945980B" w14:textId="246385A6" w:rsidR="000923BB" w:rsidRDefault="00003011" w:rsidP="003A385F">
            <w:pPr>
              <w:jc w:val="center"/>
              <w:rPr>
                <w:rFonts w:cs="Arial"/>
                <w:sz w:val="20"/>
                <w:szCs w:val="20"/>
                <w:lang w:val="en-US"/>
              </w:rPr>
            </w:pPr>
            <w:r>
              <w:rPr>
                <w:noProof/>
                <w:sz w:val="20"/>
                <w:lang w:val="en-US"/>
              </w:rPr>
              <mc:AlternateContent>
                <mc:Choice Requires="wps">
                  <w:drawing>
                    <wp:anchor distT="0" distB="0" distL="114300" distR="114300" simplePos="0" relativeHeight="252598272" behindDoc="0" locked="0" layoutInCell="1" allowOverlap="1" wp14:anchorId="4A5DB096" wp14:editId="4E0802E2">
                      <wp:simplePos x="0" y="0"/>
                      <wp:positionH relativeFrom="column">
                        <wp:posOffset>0</wp:posOffset>
                      </wp:positionH>
                      <wp:positionV relativeFrom="paragraph">
                        <wp:posOffset>0</wp:posOffset>
                      </wp:positionV>
                      <wp:extent cx="304800" cy="323850"/>
                      <wp:effectExtent l="1905" t="635" r="0" b="0"/>
                      <wp:wrapNone/>
                      <wp:docPr id="92" name="AutoShape 973">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238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04DC1" id="AutoShape 973" o:spid="_x0000_s1026" href="" style="position:absolute;margin-left:0;margin-top:0;width:24pt;height:25.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599296" behindDoc="0" locked="0" layoutInCell="1" allowOverlap="1" wp14:anchorId="074C35CD" wp14:editId="2CD37911">
                      <wp:simplePos x="0" y="0"/>
                      <wp:positionH relativeFrom="column">
                        <wp:posOffset>0</wp:posOffset>
                      </wp:positionH>
                      <wp:positionV relativeFrom="paragraph">
                        <wp:posOffset>0</wp:posOffset>
                      </wp:positionV>
                      <wp:extent cx="304800" cy="323850"/>
                      <wp:effectExtent l="1905" t="635" r="0" b="0"/>
                      <wp:wrapNone/>
                      <wp:docPr id="91" name="AutoShape 974">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238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BF82A" id="AutoShape 974" o:spid="_x0000_s1026" href="" style="position:absolute;margin-left:0;margin-top:0;width:24pt;height:25.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600320" behindDoc="0" locked="0" layoutInCell="1" allowOverlap="1" wp14:anchorId="11B89BA5" wp14:editId="50C5F0B3">
                      <wp:simplePos x="0" y="0"/>
                      <wp:positionH relativeFrom="column">
                        <wp:posOffset>0</wp:posOffset>
                      </wp:positionH>
                      <wp:positionV relativeFrom="paragraph">
                        <wp:posOffset>0</wp:posOffset>
                      </wp:positionV>
                      <wp:extent cx="304800" cy="323850"/>
                      <wp:effectExtent l="1905" t="635" r="0" b="0"/>
                      <wp:wrapNone/>
                      <wp:docPr id="90" name="AutoShape 975">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238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8AD10" id="AutoShape 975" o:spid="_x0000_s1026" href="" style="position:absolute;margin-left:0;margin-top:0;width:24pt;height:25.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601344" behindDoc="0" locked="0" layoutInCell="1" allowOverlap="1" wp14:anchorId="7237B5D2" wp14:editId="7FBDE7A5">
                      <wp:simplePos x="0" y="0"/>
                      <wp:positionH relativeFrom="column">
                        <wp:posOffset>0</wp:posOffset>
                      </wp:positionH>
                      <wp:positionV relativeFrom="paragraph">
                        <wp:posOffset>0</wp:posOffset>
                      </wp:positionV>
                      <wp:extent cx="304800" cy="323850"/>
                      <wp:effectExtent l="1905" t="635" r="0" b="0"/>
                      <wp:wrapNone/>
                      <wp:docPr id="89" name="AutoShape 976">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238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BBD85" id="AutoShape 976" o:spid="_x0000_s1026" href="" style="position:absolute;margin-left:0;margin-top:0;width:24pt;height:25.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602368" behindDoc="0" locked="0" layoutInCell="1" allowOverlap="1" wp14:anchorId="5E4731EC" wp14:editId="11102F4C">
                      <wp:simplePos x="0" y="0"/>
                      <wp:positionH relativeFrom="column">
                        <wp:posOffset>0</wp:posOffset>
                      </wp:positionH>
                      <wp:positionV relativeFrom="paragraph">
                        <wp:posOffset>0</wp:posOffset>
                      </wp:positionV>
                      <wp:extent cx="304800" cy="323850"/>
                      <wp:effectExtent l="1905" t="635" r="0" b="0"/>
                      <wp:wrapNone/>
                      <wp:docPr id="88" name="AutoShape 977">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238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075CA" id="AutoShape 977" o:spid="_x0000_s1026" href="" style="position:absolute;margin-left:0;margin-top:0;width:24pt;height:25.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" o:button="t" filled="f" stroked="f">
                      <v:fill o:detectmouseclick="t"/>
                      <o:lock v:ext="edit" aspectratio="t"/>
                    </v:rect>
                  </w:pict>
                </mc:Fallback>
              </mc:AlternateContent>
            </w:r>
            <w:r>
              <w:rPr>
                <w:noProof/>
                <w:sz w:val="20"/>
                <w:lang w:val="en-US"/>
              </w:rPr>
              <mc:AlternateContent>
                <mc:Choice Requires="wps">
                  <w:drawing>
                    <wp:anchor distT="0" distB="0" distL="114300" distR="114300" simplePos="0" relativeHeight="252603392" behindDoc="0" locked="0" layoutInCell="1" allowOverlap="1" wp14:anchorId="6C5315A8" wp14:editId="7A5DF6A5">
                      <wp:simplePos x="0" y="0"/>
                      <wp:positionH relativeFrom="column">
                        <wp:posOffset>0</wp:posOffset>
                      </wp:positionH>
                      <wp:positionV relativeFrom="paragraph">
                        <wp:posOffset>142875</wp:posOffset>
                      </wp:positionV>
                      <wp:extent cx="304800" cy="266700"/>
                      <wp:effectExtent l="1905" t="635" r="0" b="0"/>
                      <wp:wrapNone/>
                      <wp:docPr id="87" name="AutoShape 978" descr="Selecting an example from Hel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667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A3DA0" id="AutoShape 978" o:spid="_x0000_s1026" alt="Selecting an example from Help" style="position:absolute;margin-left:0;margin-top:11.25pt;width:24pt;height:21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" filled="f" stroked="f">
                      <o:lock v:ext="edit" aspectratio="t"/>
                    </v:rect>
                  </w:pict>
                </mc:Fallback>
              </mc:AlternateContent>
            </w:r>
            <w:r w:rsidR="000923BB">
              <w:rPr>
                <w:rFonts w:cs="Arial"/>
                <w:sz w:val="20"/>
                <w:szCs w:val="20"/>
                <w:lang w:val="en-US"/>
              </w:rPr>
              <w:t>29</w:t>
            </w:r>
          </w:p>
        </w:tc>
        <w:tc>
          <w:tcPr>
            <w:tcW w:w="1984" w:type="dxa"/>
            <w:tcBorders>
              <w:top w:val="nil"/>
              <w:left w:val="nil"/>
              <w:bottom w:val="nil"/>
              <w:right w:val="single" w:sz="4" w:space="0" w:color="999999"/>
            </w:tcBorders>
            <w:tcMar>
              <w:left w:w="57" w:type="dxa"/>
              <w:right w:w="57" w:type="dxa"/>
            </w:tcMar>
          </w:tcPr>
          <w:p w14:paraId="6DE6A58D" w14:textId="77777777" w:rsidR="000923BB" w:rsidRDefault="000923BB" w:rsidP="003A385F">
            <w:pPr>
              <w:rPr>
                <w:rFonts w:cs="Arial"/>
                <w:sz w:val="20"/>
                <w:szCs w:val="20"/>
                <w:lang w:val="en-US"/>
              </w:rPr>
            </w:pPr>
            <w:r>
              <w:rPr>
                <w:rFonts w:cs="Arial"/>
                <w:sz w:val="20"/>
                <w:szCs w:val="20"/>
                <w:lang w:val="en-US"/>
              </w:rPr>
              <w:t>Doctor</w:t>
            </w:r>
          </w:p>
        </w:tc>
        <w:tc>
          <w:tcPr>
            <w:tcW w:w="851" w:type="dxa"/>
            <w:tcBorders>
              <w:top w:val="nil"/>
              <w:left w:val="single" w:sz="4" w:space="0" w:color="999999"/>
              <w:bottom w:val="nil"/>
              <w:right w:val="single" w:sz="4" w:space="0" w:color="999999"/>
            </w:tcBorders>
            <w:tcMar>
              <w:left w:w="57" w:type="dxa"/>
              <w:right w:w="57" w:type="dxa"/>
            </w:tcMar>
          </w:tcPr>
          <w:p w14:paraId="4469FDF8" w14:textId="77777777" w:rsidR="000923BB" w:rsidRDefault="000923BB" w:rsidP="003A385F">
            <w:pPr>
              <w:jc w:val="center"/>
              <w:rPr>
                <w:rFonts w:cs="Arial"/>
                <w:sz w:val="20"/>
                <w:szCs w:val="20"/>
                <w:lang w:val="en-US"/>
              </w:rPr>
            </w:pPr>
            <w:r>
              <w:rPr>
                <w:rFonts w:cs="Arial"/>
                <w:sz w:val="20"/>
                <w:szCs w:val="20"/>
                <w:lang w:val="en-US"/>
              </w:rPr>
              <w:t>25</w:t>
            </w:r>
          </w:p>
        </w:tc>
        <w:tc>
          <w:tcPr>
            <w:tcW w:w="1134" w:type="dxa"/>
            <w:tcBorders>
              <w:top w:val="nil"/>
              <w:left w:val="single" w:sz="4" w:space="0" w:color="999999"/>
              <w:bottom w:val="nil"/>
              <w:right w:val="single" w:sz="4" w:space="0" w:color="auto"/>
            </w:tcBorders>
            <w:tcMar>
              <w:left w:w="57" w:type="dxa"/>
              <w:right w:w="57" w:type="dxa"/>
            </w:tcMar>
          </w:tcPr>
          <w:p w14:paraId="3140F4BA" w14:textId="77777777" w:rsidR="000923BB" w:rsidRDefault="000923BB" w:rsidP="003A385F">
            <w:pPr>
              <w:jc w:val="center"/>
              <w:rPr>
                <w:rFonts w:cs="Arial"/>
                <w:sz w:val="20"/>
                <w:szCs w:val="20"/>
                <w:lang w:val="en-US"/>
              </w:rPr>
            </w:pPr>
            <w:r>
              <w:rPr>
                <w:rFonts w:cs="Arial"/>
                <w:sz w:val="20"/>
                <w:szCs w:val="20"/>
                <w:lang w:val="en-US"/>
              </w:rPr>
              <w:t>24</w:t>
            </w:r>
          </w:p>
        </w:tc>
      </w:tr>
      <w:tr w:rsidR="000923BB" w14:paraId="714FFED1" w14:textId="77777777" w:rsidTr="009148F2">
        <w:trPr>
          <w:trHeight w:val="255"/>
        </w:trPr>
        <w:tc>
          <w:tcPr>
            <w:tcW w:w="663" w:type="dxa"/>
            <w:tcBorders>
              <w:top w:val="nil"/>
              <w:left w:val="single" w:sz="4" w:space="0" w:color="auto"/>
              <w:bottom w:val="single" w:sz="4" w:space="0" w:color="auto"/>
              <w:right w:val="single" w:sz="4" w:space="0" w:color="auto"/>
            </w:tcBorders>
          </w:tcPr>
          <w:p w14:paraId="2EA70C28" w14:textId="77777777" w:rsidR="000923BB" w:rsidRDefault="000923BB" w:rsidP="003A385F">
            <w:pPr>
              <w:rPr>
                <w:rFonts w:cs="Arial"/>
                <w:sz w:val="20"/>
                <w:szCs w:val="20"/>
                <w:lang w:val="en-US"/>
              </w:rPr>
            </w:pPr>
            <w:r>
              <w:rPr>
                <w:rFonts w:cs="Arial"/>
                <w:sz w:val="20"/>
                <w:szCs w:val="20"/>
                <w:lang w:val="en-US"/>
              </w:rPr>
              <w:t> </w:t>
            </w:r>
          </w:p>
        </w:tc>
        <w:tc>
          <w:tcPr>
            <w:tcW w:w="1701" w:type="dxa"/>
            <w:tcBorders>
              <w:top w:val="nil"/>
              <w:left w:val="nil"/>
              <w:bottom w:val="single" w:sz="4" w:space="0" w:color="auto"/>
              <w:right w:val="single" w:sz="4" w:space="0" w:color="999999"/>
            </w:tcBorders>
            <w:tcMar>
              <w:top w:w="11" w:type="dxa"/>
              <w:left w:w="57" w:type="dxa"/>
              <w:bottom w:w="11" w:type="dxa"/>
              <w:right w:w="57" w:type="dxa"/>
            </w:tcMar>
          </w:tcPr>
          <w:p w14:paraId="598A295B" w14:textId="77777777" w:rsidR="000923BB" w:rsidRDefault="000923BB" w:rsidP="003A385F">
            <w:pPr>
              <w:rPr>
                <w:rFonts w:cs="Arial"/>
                <w:sz w:val="20"/>
                <w:szCs w:val="20"/>
                <w:lang w:val="en-US"/>
              </w:rPr>
            </w:pPr>
            <w:r>
              <w:rPr>
                <w:rFonts w:cs="Arial"/>
                <w:sz w:val="20"/>
                <w:szCs w:val="20"/>
                <w:lang w:val="en-US"/>
              </w:rPr>
              <w:t>Doctor</w:t>
            </w:r>
          </w:p>
        </w:tc>
        <w:tc>
          <w:tcPr>
            <w:tcW w:w="851" w:type="dxa"/>
            <w:tcBorders>
              <w:top w:val="nil"/>
              <w:left w:val="single" w:sz="4" w:space="0" w:color="999999"/>
              <w:bottom w:val="single" w:sz="4" w:space="0" w:color="auto"/>
              <w:right w:val="single" w:sz="4" w:space="0" w:color="999999"/>
            </w:tcBorders>
            <w:tcMar>
              <w:left w:w="57" w:type="dxa"/>
              <w:right w:w="57" w:type="dxa"/>
            </w:tcMar>
          </w:tcPr>
          <w:p w14:paraId="24616532" w14:textId="77777777" w:rsidR="000923BB" w:rsidRDefault="000923BB" w:rsidP="003A385F">
            <w:pPr>
              <w:jc w:val="center"/>
              <w:rPr>
                <w:rFonts w:cs="Arial"/>
                <w:sz w:val="20"/>
                <w:szCs w:val="20"/>
                <w:lang w:val="en-US"/>
              </w:rPr>
            </w:pPr>
            <w:r>
              <w:rPr>
                <w:rFonts w:cs="Arial"/>
                <w:sz w:val="20"/>
                <w:szCs w:val="20"/>
                <w:lang w:val="en-US"/>
              </w:rPr>
              <w:t>50</w:t>
            </w:r>
          </w:p>
        </w:tc>
        <w:tc>
          <w:tcPr>
            <w:tcW w:w="992" w:type="dxa"/>
            <w:tcBorders>
              <w:top w:val="nil"/>
              <w:left w:val="single" w:sz="4" w:space="0" w:color="999999"/>
              <w:bottom w:val="single" w:sz="4" w:space="0" w:color="auto"/>
              <w:right w:val="single" w:sz="4" w:space="0" w:color="auto"/>
            </w:tcBorders>
            <w:tcMar>
              <w:left w:w="57" w:type="dxa"/>
              <w:right w:w="57" w:type="dxa"/>
            </w:tcMar>
          </w:tcPr>
          <w:p w14:paraId="47740089" w14:textId="77777777" w:rsidR="000923BB" w:rsidRDefault="000923BB" w:rsidP="003A385F">
            <w:pPr>
              <w:jc w:val="center"/>
              <w:rPr>
                <w:rFonts w:cs="Arial"/>
                <w:sz w:val="20"/>
                <w:szCs w:val="20"/>
                <w:lang w:val="en-US"/>
              </w:rPr>
            </w:pPr>
            <w:r>
              <w:rPr>
                <w:rFonts w:cs="Arial"/>
                <w:sz w:val="20"/>
                <w:szCs w:val="20"/>
                <w:lang w:val="en-US"/>
              </w:rPr>
              <w:t>50</w:t>
            </w:r>
          </w:p>
        </w:tc>
        <w:tc>
          <w:tcPr>
            <w:tcW w:w="1984" w:type="dxa"/>
            <w:tcBorders>
              <w:top w:val="nil"/>
              <w:left w:val="nil"/>
              <w:bottom w:val="single" w:sz="4" w:space="0" w:color="auto"/>
              <w:right w:val="single" w:sz="4" w:space="0" w:color="999999"/>
            </w:tcBorders>
            <w:noWrap/>
            <w:tcMar>
              <w:left w:w="57" w:type="dxa"/>
              <w:right w:w="57" w:type="dxa"/>
            </w:tcMar>
          </w:tcPr>
          <w:p w14:paraId="48456BA6" w14:textId="77777777" w:rsidR="000923BB" w:rsidRDefault="000923BB" w:rsidP="003A385F">
            <w:pPr>
              <w:rPr>
                <w:rFonts w:cs="Arial"/>
                <w:sz w:val="20"/>
                <w:szCs w:val="20"/>
                <w:lang w:val="en-US"/>
              </w:rPr>
            </w:pPr>
            <w:r>
              <w:rPr>
                <w:rFonts w:cs="Arial"/>
                <w:sz w:val="20"/>
                <w:szCs w:val="20"/>
                <w:lang w:val="en-US"/>
              </w:rPr>
              <w:t> </w:t>
            </w:r>
          </w:p>
        </w:tc>
        <w:tc>
          <w:tcPr>
            <w:tcW w:w="851" w:type="dxa"/>
            <w:tcBorders>
              <w:top w:val="nil"/>
              <w:left w:val="single" w:sz="4" w:space="0" w:color="999999"/>
              <w:bottom w:val="single" w:sz="4" w:space="0" w:color="auto"/>
              <w:right w:val="single" w:sz="4" w:space="0" w:color="999999"/>
            </w:tcBorders>
            <w:noWrap/>
            <w:tcMar>
              <w:left w:w="57" w:type="dxa"/>
              <w:right w:w="57" w:type="dxa"/>
            </w:tcMar>
          </w:tcPr>
          <w:p w14:paraId="2A3F9E04" w14:textId="77777777" w:rsidR="000923BB" w:rsidRDefault="000923BB" w:rsidP="003A385F">
            <w:pPr>
              <w:jc w:val="center"/>
              <w:rPr>
                <w:rFonts w:cs="Arial"/>
                <w:sz w:val="20"/>
                <w:szCs w:val="20"/>
                <w:lang w:val="en-US"/>
              </w:rPr>
            </w:pPr>
          </w:p>
        </w:tc>
        <w:tc>
          <w:tcPr>
            <w:tcW w:w="1134" w:type="dxa"/>
            <w:tcBorders>
              <w:top w:val="nil"/>
              <w:left w:val="single" w:sz="4" w:space="0" w:color="999999"/>
              <w:bottom w:val="single" w:sz="4" w:space="0" w:color="auto"/>
              <w:right w:val="single" w:sz="4" w:space="0" w:color="auto"/>
            </w:tcBorders>
            <w:noWrap/>
            <w:tcMar>
              <w:left w:w="57" w:type="dxa"/>
              <w:right w:w="57" w:type="dxa"/>
            </w:tcMar>
          </w:tcPr>
          <w:p w14:paraId="659DC9B5" w14:textId="77777777" w:rsidR="000923BB" w:rsidRDefault="000923BB" w:rsidP="003A385F">
            <w:pPr>
              <w:jc w:val="center"/>
              <w:rPr>
                <w:rFonts w:cs="Arial"/>
                <w:sz w:val="20"/>
                <w:szCs w:val="20"/>
                <w:lang w:val="en-US"/>
              </w:rPr>
            </w:pPr>
          </w:p>
        </w:tc>
      </w:tr>
      <w:tr w:rsidR="000923BB" w14:paraId="5F2DAA91" w14:textId="77777777" w:rsidTr="009148F2">
        <w:trPr>
          <w:trHeight w:val="255"/>
        </w:trPr>
        <w:tc>
          <w:tcPr>
            <w:tcW w:w="663" w:type="dxa"/>
            <w:tcBorders>
              <w:top w:val="nil"/>
              <w:left w:val="single" w:sz="4" w:space="0" w:color="auto"/>
              <w:bottom w:val="single" w:sz="4" w:space="0" w:color="auto"/>
              <w:right w:val="single" w:sz="4" w:space="0" w:color="auto"/>
            </w:tcBorders>
          </w:tcPr>
          <w:p w14:paraId="24EF7E81" w14:textId="77777777" w:rsidR="000923BB" w:rsidRDefault="000923BB" w:rsidP="003A385F">
            <w:pPr>
              <w:rPr>
                <w:rFonts w:cs="Arial"/>
                <w:b/>
                <w:bCs/>
                <w:sz w:val="20"/>
                <w:szCs w:val="20"/>
                <w:lang w:val="en-US"/>
              </w:rPr>
            </w:pPr>
            <w:r>
              <w:rPr>
                <w:rFonts w:cs="Arial"/>
                <w:b/>
                <w:bCs/>
                <w:sz w:val="20"/>
                <w:szCs w:val="20"/>
                <w:lang w:val="en-US"/>
              </w:rPr>
              <w:t>Total</w:t>
            </w:r>
          </w:p>
        </w:tc>
        <w:tc>
          <w:tcPr>
            <w:tcW w:w="1701" w:type="dxa"/>
            <w:tcBorders>
              <w:top w:val="nil"/>
              <w:left w:val="nil"/>
              <w:bottom w:val="single" w:sz="4" w:space="0" w:color="auto"/>
              <w:right w:val="single" w:sz="4" w:space="0" w:color="999999"/>
            </w:tcBorders>
            <w:tcMar>
              <w:top w:w="11" w:type="dxa"/>
              <w:left w:w="57" w:type="dxa"/>
              <w:bottom w:w="11" w:type="dxa"/>
              <w:right w:w="57" w:type="dxa"/>
            </w:tcMar>
          </w:tcPr>
          <w:p w14:paraId="12D4E7F8" w14:textId="77777777" w:rsidR="000923BB" w:rsidRDefault="000923BB" w:rsidP="003A385F">
            <w:pPr>
              <w:rPr>
                <w:rFonts w:cs="Arial"/>
                <w:b/>
                <w:bCs/>
                <w:sz w:val="20"/>
                <w:szCs w:val="20"/>
                <w:lang w:val="en-US"/>
              </w:rPr>
            </w:pPr>
            <w:r>
              <w:rPr>
                <w:rFonts w:cs="Arial"/>
                <w:b/>
                <w:bCs/>
                <w:sz w:val="20"/>
                <w:szCs w:val="20"/>
                <w:lang w:val="en-US"/>
              </w:rPr>
              <w:t>20 review staff</w:t>
            </w:r>
          </w:p>
        </w:tc>
        <w:tc>
          <w:tcPr>
            <w:tcW w:w="851" w:type="dxa"/>
            <w:tcBorders>
              <w:top w:val="nil"/>
              <w:left w:val="single" w:sz="4" w:space="0" w:color="999999"/>
              <w:bottom w:val="single" w:sz="4" w:space="0" w:color="auto"/>
              <w:right w:val="single" w:sz="4" w:space="0" w:color="999999"/>
            </w:tcBorders>
            <w:tcMar>
              <w:left w:w="57" w:type="dxa"/>
              <w:right w:w="57" w:type="dxa"/>
            </w:tcMar>
          </w:tcPr>
          <w:p w14:paraId="0CD3C50D" w14:textId="77777777" w:rsidR="000923BB" w:rsidRDefault="000923BB" w:rsidP="003A385F">
            <w:pPr>
              <w:jc w:val="center"/>
              <w:rPr>
                <w:rFonts w:cs="Arial"/>
                <w:b/>
                <w:bCs/>
                <w:sz w:val="20"/>
                <w:szCs w:val="20"/>
                <w:lang w:val="en-US"/>
              </w:rPr>
            </w:pPr>
            <w:r>
              <w:rPr>
                <w:rFonts w:cs="Arial"/>
                <w:b/>
                <w:bCs/>
                <w:sz w:val="20"/>
                <w:szCs w:val="20"/>
                <w:lang w:val="en-US"/>
              </w:rPr>
              <w:t>901</w:t>
            </w:r>
          </w:p>
        </w:tc>
        <w:tc>
          <w:tcPr>
            <w:tcW w:w="992" w:type="dxa"/>
            <w:tcBorders>
              <w:top w:val="nil"/>
              <w:left w:val="single" w:sz="4" w:space="0" w:color="999999"/>
              <w:bottom w:val="single" w:sz="4" w:space="0" w:color="auto"/>
              <w:right w:val="single" w:sz="4" w:space="0" w:color="auto"/>
            </w:tcBorders>
            <w:tcMar>
              <w:left w:w="57" w:type="dxa"/>
              <w:right w:w="57" w:type="dxa"/>
            </w:tcMar>
          </w:tcPr>
          <w:p w14:paraId="333B40CA" w14:textId="77777777" w:rsidR="000923BB" w:rsidRDefault="000923BB" w:rsidP="003A385F">
            <w:pPr>
              <w:jc w:val="center"/>
              <w:rPr>
                <w:rFonts w:cs="Arial"/>
                <w:b/>
                <w:bCs/>
                <w:sz w:val="20"/>
                <w:szCs w:val="20"/>
                <w:lang w:val="en-US"/>
              </w:rPr>
            </w:pPr>
            <w:r>
              <w:rPr>
                <w:rFonts w:cs="Arial"/>
                <w:b/>
                <w:bCs/>
                <w:sz w:val="20"/>
                <w:szCs w:val="20"/>
                <w:lang w:val="en-US"/>
              </w:rPr>
              <w:t>834</w:t>
            </w:r>
          </w:p>
        </w:tc>
        <w:tc>
          <w:tcPr>
            <w:tcW w:w="1984" w:type="dxa"/>
            <w:tcBorders>
              <w:top w:val="nil"/>
              <w:left w:val="nil"/>
              <w:bottom w:val="single" w:sz="4" w:space="0" w:color="auto"/>
              <w:right w:val="single" w:sz="4" w:space="0" w:color="999999"/>
            </w:tcBorders>
            <w:tcMar>
              <w:left w:w="57" w:type="dxa"/>
              <w:right w:w="57" w:type="dxa"/>
            </w:tcMar>
          </w:tcPr>
          <w:p w14:paraId="033160A6" w14:textId="77777777" w:rsidR="000923BB" w:rsidRDefault="000923BB" w:rsidP="003A385F">
            <w:pPr>
              <w:rPr>
                <w:rFonts w:cs="Arial"/>
                <w:b/>
                <w:bCs/>
                <w:sz w:val="20"/>
                <w:szCs w:val="20"/>
                <w:lang w:val="en-US"/>
              </w:rPr>
            </w:pPr>
            <w:r>
              <w:rPr>
                <w:rFonts w:cs="Arial"/>
                <w:b/>
                <w:bCs/>
                <w:sz w:val="20"/>
                <w:szCs w:val="20"/>
                <w:lang w:val="en-US"/>
              </w:rPr>
              <w:t>18 review staff</w:t>
            </w:r>
          </w:p>
        </w:tc>
        <w:tc>
          <w:tcPr>
            <w:tcW w:w="851" w:type="dxa"/>
            <w:tcBorders>
              <w:top w:val="nil"/>
              <w:left w:val="single" w:sz="4" w:space="0" w:color="999999"/>
              <w:bottom w:val="single" w:sz="4" w:space="0" w:color="auto"/>
              <w:right w:val="single" w:sz="4" w:space="0" w:color="999999"/>
            </w:tcBorders>
            <w:tcMar>
              <w:left w:w="57" w:type="dxa"/>
              <w:right w:w="57" w:type="dxa"/>
            </w:tcMar>
          </w:tcPr>
          <w:p w14:paraId="18557CED" w14:textId="77777777" w:rsidR="000923BB" w:rsidRDefault="000923BB" w:rsidP="003A385F">
            <w:pPr>
              <w:jc w:val="center"/>
              <w:rPr>
                <w:rFonts w:cs="Arial"/>
                <w:b/>
                <w:bCs/>
                <w:sz w:val="20"/>
                <w:szCs w:val="20"/>
                <w:lang w:val="en-US"/>
              </w:rPr>
            </w:pPr>
            <w:r>
              <w:rPr>
                <w:rFonts w:cs="Arial"/>
                <w:b/>
                <w:bCs/>
                <w:sz w:val="20"/>
                <w:szCs w:val="20"/>
                <w:lang w:val="en-US"/>
              </w:rPr>
              <w:t>572</w:t>
            </w:r>
          </w:p>
        </w:tc>
        <w:tc>
          <w:tcPr>
            <w:tcW w:w="1134" w:type="dxa"/>
            <w:tcBorders>
              <w:top w:val="nil"/>
              <w:left w:val="single" w:sz="4" w:space="0" w:color="999999"/>
              <w:bottom w:val="single" w:sz="4" w:space="0" w:color="auto"/>
              <w:right w:val="single" w:sz="4" w:space="0" w:color="auto"/>
            </w:tcBorders>
            <w:tcMar>
              <w:left w:w="57" w:type="dxa"/>
              <w:right w:w="57" w:type="dxa"/>
            </w:tcMar>
          </w:tcPr>
          <w:p w14:paraId="22A6418E" w14:textId="77777777" w:rsidR="000923BB" w:rsidRDefault="000923BB" w:rsidP="003A385F">
            <w:pPr>
              <w:jc w:val="center"/>
              <w:rPr>
                <w:rFonts w:cs="Arial"/>
                <w:b/>
                <w:bCs/>
                <w:sz w:val="20"/>
                <w:szCs w:val="20"/>
                <w:lang w:val="en-US"/>
              </w:rPr>
            </w:pPr>
            <w:r>
              <w:rPr>
                <w:rFonts w:cs="Arial"/>
                <w:b/>
                <w:bCs/>
                <w:sz w:val="20"/>
                <w:szCs w:val="20"/>
                <w:lang w:val="en-US"/>
              </w:rPr>
              <w:t>555</w:t>
            </w:r>
          </w:p>
        </w:tc>
      </w:tr>
    </w:tbl>
    <w:p w14:paraId="75F56F8A" w14:textId="77777777" w:rsidR="000923BB" w:rsidRDefault="000923BB" w:rsidP="000923BB">
      <w:pPr>
        <w:jc w:val="both"/>
        <w:rPr>
          <w:rFonts w:cs="Arial"/>
          <w:i/>
          <w:iCs/>
          <w:sz w:val="22"/>
          <w:szCs w:val="22"/>
        </w:rPr>
      </w:pPr>
    </w:p>
    <w:p w14:paraId="63C4EC6E" w14:textId="77777777" w:rsidR="000923BB" w:rsidRDefault="000923BB" w:rsidP="000923BB">
      <w:pPr>
        <w:rPr>
          <w:rFonts w:cs="Arial"/>
          <w:b/>
          <w:i/>
          <w:sz w:val="22"/>
          <w:szCs w:val="22"/>
        </w:rPr>
      </w:pPr>
    </w:p>
    <w:p w14:paraId="14AF1600" w14:textId="77777777" w:rsidR="000923BB" w:rsidRPr="00CC4A9C" w:rsidRDefault="000923BB" w:rsidP="000923BB">
      <w:pPr>
        <w:rPr>
          <w:rFonts w:cs="Arial"/>
          <w:b/>
          <w:i/>
          <w:sz w:val="22"/>
          <w:szCs w:val="22"/>
        </w:rPr>
      </w:pPr>
      <w:r w:rsidRPr="00CC4A9C">
        <w:rPr>
          <w:rFonts w:cs="Arial"/>
          <w:b/>
          <w:i/>
          <w:sz w:val="22"/>
          <w:szCs w:val="22"/>
        </w:rPr>
        <w:t>Quality of case note recording</w:t>
      </w:r>
    </w:p>
    <w:p w14:paraId="1BEBAFE8" w14:textId="77777777" w:rsidR="000923BB" w:rsidRPr="00CC4A9C" w:rsidRDefault="000923BB" w:rsidP="000923BB">
      <w:pPr>
        <w:rPr>
          <w:rFonts w:cs="Arial"/>
          <w:i/>
          <w:sz w:val="22"/>
          <w:szCs w:val="22"/>
        </w:rPr>
      </w:pPr>
    </w:p>
    <w:p w14:paraId="3BC809B5" w14:textId="77777777" w:rsidR="000923BB" w:rsidRDefault="000923BB" w:rsidP="000923BB">
      <w:pPr>
        <w:jc w:val="both"/>
        <w:rPr>
          <w:rFonts w:cs="Arial"/>
          <w:sz w:val="22"/>
          <w:szCs w:val="22"/>
        </w:rPr>
      </w:pPr>
      <w:r>
        <w:rPr>
          <w:rFonts w:cs="Arial"/>
          <w:sz w:val="22"/>
          <w:szCs w:val="22"/>
        </w:rPr>
        <w:t>T</w:t>
      </w:r>
      <w:r w:rsidRPr="007D2C6C">
        <w:rPr>
          <w:rFonts w:cs="Arial"/>
          <w:sz w:val="22"/>
          <w:szCs w:val="22"/>
        </w:rPr>
        <w:t xml:space="preserve">he mean quality of </w:t>
      </w:r>
      <w:r>
        <w:rPr>
          <w:rFonts w:cs="Arial"/>
          <w:sz w:val="22"/>
          <w:szCs w:val="22"/>
        </w:rPr>
        <w:t>case notes</w:t>
      </w:r>
      <w:r w:rsidRPr="007D2C6C">
        <w:rPr>
          <w:rFonts w:cs="Arial"/>
          <w:sz w:val="22"/>
          <w:szCs w:val="22"/>
        </w:rPr>
        <w:t xml:space="preserve"> rating for COPD and Heart Failure were 4.3 (SD 1.2) and 4.7 (SD 0.9) respectively</w:t>
      </w:r>
      <w:r>
        <w:rPr>
          <w:rFonts w:cs="Arial"/>
          <w:sz w:val="22"/>
          <w:szCs w:val="22"/>
        </w:rPr>
        <w:t>, on a scale of 1 – 6, indicating a reasonable overall quality of recording in the paper-based notes</w:t>
      </w:r>
      <w:r w:rsidRPr="007D2C6C">
        <w:rPr>
          <w:rFonts w:cs="Arial"/>
          <w:sz w:val="22"/>
          <w:szCs w:val="22"/>
        </w:rPr>
        <w:t xml:space="preserve">. </w:t>
      </w:r>
    </w:p>
    <w:p w14:paraId="042947F7" w14:textId="77777777" w:rsidR="000923BB" w:rsidRDefault="000923BB" w:rsidP="000923BB">
      <w:pPr>
        <w:pStyle w:val="Heading7"/>
        <w:spacing w:line="240" w:lineRule="auto"/>
      </w:pPr>
    </w:p>
    <w:p w14:paraId="3EBA6EBA" w14:textId="77777777" w:rsidR="000923BB" w:rsidRDefault="000923BB" w:rsidP="000923BB">
      <w:pPr>
        <w:pStyle w:val="Heading7"/>
        <w:spacing w:line="240" w:lineRule="auto"/>
      </w:pPr>
    </w:p>
    <w:p w14:paraId="11369E8E" w14:textId="77777777" w:rsidR="000923BB" w:rsidRPr="00823691" w:rsidRDefault="000923BB" w:rsidP="00823691">
      <w:pPr>
        <w:pStyle w:val="BodyText"/>
        <w:rPr>
          <w:b/>
          <w:i/>
          <w:sz w:val="22"/>
          <w:szCs w:val="22"/>
        </w:rPr>
      </w:pPr>
      <w:r w:rsidRPr="00823691">
        <w:rPr>
          <w:b/>
          <w:i/>
          <w:sz w:val="22"/>
          <w:szCs w:val="22"/>
        </w:rPr>
        <w:t>Analysis of holistic review scale scores</w:t>
      </w:r>
    </w:p>
    <w:p w14:paraId="776D5DE9" w14:textId="77777777" w:rsidR="000923BB" w:rsidRDefault="000923BB" w:rsidP="000923BB">
      <w:pPr>
        <w:jc w:val="both"/>
        <w:rPr>
          <w:rFonts w:cs="Arial"/>
          <w:b/>
          <w:bCs/>
          <w:sz w:val="22"/>
          <w:szCs w:val="22"/>
        </w:rPr>
      </w:pPr>
    </w:p>
    <w:p w14:paraId="39B8B9EB" w14:textId="77777777" w:rsidR="000923BB" w:rsidRDefault="000923BB" w:rsidP="000923BB">
      <w:pPr>
        <w:jc w:val="both"/>
        <w:rPr>
          <w:rFonts w:cs="Arial"/>
          <w:sz w:val="22"/>
          <w:szCs w:val="22"/>
          <w:u w:val="single"/>
        </w:rPr>
      </w:pPr>
      <w:r>
        <w:rPr>
          <w:rFonts w:cs="Arial"/>
          <w:sz w:val="22"/>
          <w:szCs w:val="22"/>
          <w:u w:val="single"/>
        </w:rPr>
        <w:t>Completion rates for scale scores</w:t>
      </w:r>
    </w:p>
    <w:p w14:paraId="7EC13306" w14:textId="77777777" w:rsidR="000923BB" w:rsidRDefault="000923BB" w:rsidP="000923BB">
      <w:pPr>
        <w:jc w:val="both"/>
        <w:rPr>
          <w:rFonts w:cs="Arial"/>
          <w:sz w:val="22"/>
          <w:szCs w:val="22"/>
        </w:rPr>
      </w:pPr>
    </w:p>
    <w:p w14:paraId="54CF7865" w14:textId="77777777" w:rsidR="000923BB" w:rsidRDefault="000923BB" w:rsidP="000923BB">
      <w:pPr>
        <w:jc w:val="both"/>
        <w:rPr>
          <w:rFonts w:cs="Arial"/>
          <w:sz w:val="22"/>
          <w:szCs w:val="22"/>
        </w:rPr>
      </w:pPr>
      <w:r>
        <w:rPr>
          <w:rFonts w:cs="Arial"/>
          <w:sz w:val="22"/>
          <w:szCs w:val="22"/>
        </w:rPr>
        <w:t>Data returned by reviewers was checked for completion rates.  Tables 3 and 4 show completion rates in excess of 90% for all phases of care, save for the overall phase assessment completion rate for COPD reviews by non-clinical audit staff.</w:t>
      </w:r>
    </w:p>
    <w:p w14:paraId="364AA76A" w14:textId="77777777" w:rsidR="009148F2" w:rsidRDefault="009148F2" w:rsidP="000923BB">
      <w:pPr>
        <w:tabs>
          <w:tab w:val="center" w:pos="3614"/>
        </w:tabs>
        <w:autoSpaceDE w:val="0"/>
        <w:autoSpaceDN w:val="0"/>
        <w:adjustRightInd w:val="0"/>
        <w:rPr>
          <w:rFonts w:cs="Arial"/>
          <w:b/>
          <w:bCs/>
          <w:color w:val="000000"/>
          <w:sz w:val="22"/>
          <w:szCs w:val="22"/>
        </w:rPr>
      </w:pPr>
    </w:p>
    <w:p w14:paraId="6905567C" w14:textId="77777777" w:rsidR="009148F2" w:rsidRDefault="009148F2" w:rsidP="000923BB">
      <w:pPr>
        <w:tabs>
          <w:tab w:val="center" w:pos="3614"/>
        </w:tabs>
        <w:autoSpaceDE w:val="0"/>
        <w:autoSpaceDN w:val="0"/>
        <w:adjustRightInd w:val="0"/>
        <w:rPr>
          <w:rFonts w:cs="Arial"/>
          <w:b/>
          <w:bCs/>
          <w:color w:val="000000"/>
          <w:sz w:val="22"/>
          <w:szCs w:val="22"/>
        </w:rPr>
      </w:pPr>
    </w:p>
    <w:p w14:paraId="0CD3D01B" w14:textId="77777777" w:rsidR="009148F2" w:rsidRDefault="009148F2" w:rsidP="000923BB">
      <w:pPr>
        <w:tabs>
          <w:tab w:val="center" w:pos="3614"/>
        </w:tabs>
        <w:autoSpaceDE w:val="0"/>
        <w:autoSpaceDN w:val="0"/>
        <w:adjustRightInd w:val="0"/>
        <w:rPr>
          <w:rFonts w:cs="Arial"/>
          <w:b/>
          <w:bCs/>
          <w:color w:val="000000"/>
          <w:sz w:val="22"/>
          <w:szCs w:val="22"/>
        </w:rPr>
      </w:pPr>
    </w:p>
    <w:p w14:paraId="34E3555B" w14:textId="77777777" w:rsidR="009148F2" w:rsidRDefault="009148F2" w:rsidP="000923BB">
      <w:pPr>
        <w:tabs>
          <w:tab w:val="center" w:pos="3614"/>
        </w:tabs>
        <w:autoSpaceDE w:val="0"/>
        <w:autoSpaceDN w:val="0"/>
        <w:adjustRightInd w:val="0"/>
        <w:rPr>
          <w:rFonts w:cs="Arial"/>
          <w:b/>
          <w:bCs/>
          <w:color w:val="000000"/>
          <w:sz w:val="22"/>
          <w:szCs w:val="22"/>
        </w:rPr>
      </w:pPr>
    </w:p>
    <w:p w14:paraId="104E4AB8" w14:textId="77777777" w:rsidR="009148F2" w:rsidRDefault="009148F2" w:rsidP="000923BB">
      <w:pPr>
        <w:tabs>
          <w:tab w:val="center" w:pos="3614"/>
        </w:tabs>
        <w:autoSpaceDE w:val="0"/>
        <w:autoSpaceDN w:val="0"/>
        <w:adjustRightInd w:val="0"/>
        <w:rPr>
          <w:rFonts w:cs="Arial"/>
          <w:b/>
          <w:bCs/>
          <w:color w:val="000000"/>
          <w:sz w:val="22"/>
          <w:szCs w:val="22"/>
        </w:rPr>
      </w:pPr>
    </w:p>
    <w:p w14:paraId="26953356" w14:textId="77777777" w:rsidR="009148F2" w:rsidRDefault="009148F2" w:rsidP="000923BB">
      <w:pPr>
        <w:tabs>
          <w:tab w:val="center" w:pos="3614"/>
        </w:tabs>
        <w:autoSpaceDE w:val="0"/>
        <w:autoSpaceDN w:val="0"/>
        <w:adjustRightInd w:val="0"/>
        <w:rPr>
          <w:rFonts w:cs="Arial"/>
          <w:b/>
          <w:bCs/>
          <w:color w:val="000000"/>
          <w:sz w:val="22"/>
          <w:szCs w:val="22"/>
        </w:rPr>
      </w:pPr>
    </w:p>
    <w:p w14:paraId="44DF3073" w14:textId="77777777" w:rsidR="009148F2" w:rsidRDefault="009148F2" w:rsidP="000923BB">
      <w:pPr>
        <w:tabs>
          <w:tab w:val="center" w:pos="3614"/>
        </w:tabs>
        <w:autoSpaceDE w:val="0"/>
        <w:autoSpaceDN w:val="0"/>
        <w:adjustRightInd w:val="0"/>
        <w:rPr>
          <w:rFonts w:cs="Arial"/>
          <w:b/>
          <w:bCs/>
          <w:color w:val="000000"/>
          <w:sz w:val="22"/>
          <w:szCs w:val="22"/>
        </w:rPr>
      </w:pPr>
    </w:p>
    <w:p w14:paraId="41528D2F" w14:textId="77777777" w:rsidR="000923BB" w:rsidRPr="00823691" w:rsidRDefault="000923BB" w:rsidP="000923BB">
      <w:pPr>
        <w:tabs>
          <w:tab w:val="center" w:pos="3614"/>
        </w:tabs>
        <w:autoSpaceDE w:val="0"/>
        <w:autoSpaceDN w:val="0"/>
        <w:adjustRightInd w:val="0"/>
        <w:rPr>
          <w:rFonts w:cs="Arial"/>
          <w:b/>
          <w:bCs/>
          <w:color w:val="000000"/>
          <w:sz w:val="22"/>
          <w:szCs w:val="22"/>
        </w:rPr>
      </w:pPr>
      <w:r w:rsidRPr="00823691">
        <w:rPr>
          <w:rFonts w:cs="Arial"/>
          <w:b/>
          <w:bCs/>
          <w:color w:val="000000"/>
          <w:sz w:val="22"/>
          <w:szCs w:val="22"/>
        </w:rPr>
        <w:lastRenderedPageBreak/>
        <w:t>Table 3:  Completion rates for COPD holistic reviews</w:t>
      </w:r>
    </w:p>
    <w:p w14:paraId="16FF2303" w14:textId="77777777" w:rsidR="000923BB" w:rsidRDefault="000923BB" w:rsidP="000923BB">
      <w:pPr>
        <w:tabs>
          <w:tab w:val="center" w:pos="3614"/>
        </w:tabs>
        <w:autoSpaceDE w:val="0"/>
        <w:autoSpaceDN w:val="0"/>
        <w:adjustRightInd w:val="0"/>
        <w:rPr>
          <w:rFonts w:cs="Arial"/>
          <w:b/>
          <w:bCs/>
          <w:color w:val="000000"/>
          <w:sz w:val="22"/>
          <w:szCs w:val="22"/>
        </w:rPr>
      </w:pPr>
    </w:p>
    <w:tbl>
      <w:tblPr>
        <w:tblW w:w="82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559"/>
        <w:gridCol w:w="1418"/>
        <w:gridCol w:w="1134"/>
        <w:gridCol w:w="1275"/>
        <w:gridCol w:w="993"/>
      </w:tblGrid>
      <w:tr w:rsidR="000923BB" w14:paraId="676E9D1F" w14:textId="77777777" w:rsidTr="00823691">
        <w:trPr>
          <w:trHeight w:val="975"/>
        </w:trPr>
        <w:tc>
          <w:tcPr>
            <w:tcW w:w="1843" w:type="dxa"/>
            <w:tcBorders>
              <w:top w:val="single" w:sz="4" w:space="0" w:color="auto"/>
              <w:left w:val="single" w:sz="4" w:space="0" w:color="auto"/>
              <w:bottom w:val="single" w:sz="4" w:space="0" w:color="auto"/>
              <w:right w:val="single" w:sz="4" w:space="0" w:color="auto"/>
            </w:tcBorders>
          </w:tcPr>
          <w:p w14:paraId="54EEE2E2" w14:textId="77777777" w:rsidR="000923BB" w:rsidRDefault="000923BB" w:rsidP="003A385F">
            <w:pPr>
              <w:rPr>
                <w:rFonts w:cs="Arial"/>
                <w:b/>
                <w:bCs/>
                <w:color w:val="000000"/>
                <w:sz w:val="18"/>
                <w:szCs w:val="18"/>
              </w:rPr>
            </w:pPr>
            <w:r>
              <w:rPr>
                <w:rFonts w:cs="Arial"/>
                <w:b/>
                <w:bCs/>
                <w:color w:val="000000"/>
                <w:sz w:val="18"/>
                <w:szCs w:val="18"/>
              </w:rPr>
              <w:t> </w:t>
            </w:r>
          </w:p>
        </w:tc>
        <w:tc>
          <w:tcPr>
            <w:tcW w:w="1559" w:type="dxa"/>
            <w:tcBorders>
              <w:top w:val="single" w:sz="4" w:space="0" w:color="auto"/>
              <w:left w:val="single" w:sz="4" w:space="0" w:color="auto"/>
              <w:bottom w:val="single" w:sz="4" w:space="0" w:color="auto"/>
              <w:right w:val="single" w:sz="4" w:space="0" w:color="auto"/>
            </w:tcBorders>
          </w:tcPr>
          <w:p w14:paraId="6B82EC2A" w14:textId="77777777" w:rsidR="000923BB" w:rsidRDefault="000923BB" w:rsidP="003A385F">
            <w:pPr>
              <w:jc w:val="center"/>
              <w:rPr>
                <w:rFonts w:cs="Arial"/>
                <w:b/>
                <w:bCs/>
                <w:color w:val="000000"/>
                <w:sz w:val="18"/>
                <w:szCs w:val="18"/>
              </w:rPr>
            </w:pPr>
            <w:r>
              <w:rPr>
                <w:rFonts w:cs="Arial"/>
                <w:b/>
                <w:bCs/>
                <w:color w:val="000000"/>
                <w:sz w:val="18"/>
                <w:szCs w:val="18"/>
              </w:rPr>
              <w:t>Admission  and investigations phase</w:t>
            </w:r>
          </w:p>
          <w:p w14:paraId="18AAEEF6" w14:textId="77777777" w:rsidR="000923BB" w:rsidRDefault="000923BB" w:rsidP="003A385F">
            <w:pPr>
              <w:jc w:val="center"/>
              <w:rPr>
                <w:rFonts w:cs="Arial"/>
                <w:b/>
                <w:bCs/>
                <w:color w:val="000000"/>
                <w:sz w:val="18"/>
                <w:szCs w:val="18"/>
              </w:rPr>
            </w:pPr>
            <w:r>
              <w:rPr>
                <w:rFonts w:cs="Arial"/>
                <w:b/>
                <w:bCs/>
                <w:color w:val="000000"/>
                <w:sz w:val="18"/>
                <w:szCs w:val="18"/>
              </w:rPr>
              <w:t xml:space="preserve">(%) </w:t>
            </w:r>
          </w:p>
        </w:tc>
        <w:tc>
          <w:tcPr>
            <w:tcW w:w="1418" w:type="dxa"/>
            <w:tcBorders>
              <w:top w:val="single" w:sz="4" w:space="0" w:color="auto"/>
              <w:left w:val="single" w:sz="4" w:space="0" w:color="auto"/>
              <w:bottom w:val="single" w:sz="4" w:space="0" w:color="auto"/>
              <w:right w:val="single" w:sz="4" w:space="0" w:color="auto"/>
            </w:tcBorders>
          </w:tcPr>
          <w:p w14:paraId="709E15D3" w14:textId="77777777" w:rsidR="000923BB" w:rsidRDefault="000923BB" w:rsidP="003A385F">
            <w:pPr>
              <w:jc w:val="center"/>
              <w:rPr>
                <w:rFonts w:cs="Arial"/>
                <w:b/>
                <w:bCs/>
                <w:color w:val="000000"/>
                <w:sz w:val="18"/>
                <w:szCs w:val="18"/>
              </w:rPr>
            </w:pPr>
            <w:r>
              <w:rPr>
                <w:rFonts w:cs="Arial"/>
                <w:b/>
                <w:bCs/>
                <w:color w:val="000000"/>
                <w:sz w:val="18"/>
                <w:szCs w:val="18"/>
              </w:rPr>
              <w:t xml:space="preserve">Initial management  phase </w:t>
            </w:r>
          </w:p>
          <w:p w14:paraId="7BB84446" w14:textId="77777777" w:rsidR="000923BB" w:rsidRDefault="000923BB" w:rsidP="003A385F">
            <w:pPr>
              <w:jc w:val="center"/>
              <w:rPr>
                <w:rFonts w:cs="Arial"/>
                <w:b/>
                <w:bCs/>
                <w:color w:val="000000"/>
                <w:sz w:val="18"/>
                <w:szCs w:val="18"/>
              </w:rPr>
            </w:pPr>
            <w:r>
              <w:rPr>
                <w:rFonts w:cs="Arial"/>
                <w:b/>
                <w:bCs/>
                <w:color w:val="000000"/>
                <w:sz w:val="18"/>
                <w:szCs w:val="18"/>
              </w:rPr>
              <w:t xml:space="preserve"> (%)</w:t>
            </w:r>
          </w:p>
        </w:tc>
        <w:tc>
          <w:tcPr>
            <w:tcW w:w="1134" w:type="dxa"/>
            <w:tcBorders>
              <w:top w:val="single" w:sz="4" w:space="0" w:color="auto"/>
              <w:left w:val="single" w:sz="4" w:space="0" w:color="auto"/>
              <w:bottom w:val="single" w:sz="4" w:space="0" w:color="auto"/>
              <w:right w:val="single" w:sz="4" w:space="0" w:color="auto"/>
            </w:tcBorders>
          </w:tcPr>
          <w:p w14:paraId="67201EBF" w14:textId="77777777" w:rsidR="000923BB" w:rsidRDefault="000923BB" w:rsidP="003A385F">
            <w:pPr>
              <w:jc w:val="center"/>
              <w:rPr>
                <w:rFonts w:cs="Arial"/>
                <w:b/>
                <w:bCs/>
                <w:color w:val="000000"/>
                <w:sz w:val="18"/>
                <w:szCs w:val="18"/>
              </w:rPr>
            </w:pPr>
            <w:r>
              <w:rPr>
                <w:rFonts w:cs="Arial"/>
                <w:b/>
                <w:bCs/>
                <w:color w:val="000000"/>
                <w:sz w:val="18"/>
                <w:szCs w:val="18"/>
              </w:rPr>
              <w:t xml:space="preserve">Pre-discharge phase </w:t>
            </w:r>
          </w:p>
          <w:p w14:paraId="56488630" w14:textId="77777777" w:rsidR="000923BB" w:rsidRDefault="000923BB" w:rsidP="003A385F">
            <w:pPr>
              <w:jc w:val="center"/>
              <w:rPr>
                <w:rFonts w:cs="Arial"/>
                <w:b/>
                <w:bCs/>
                <w:color w:val="000000"/>
                <w:sz w:val="18"/>
                <w:szCs w:val="18"/>
              </w:rPr>
            </w:pPr>
            <w:r>
              <w:rPr>
                <w:rFonts w:cs="Arial"/>
                <w:b/>
                <w:bCs/>
                <w:color w:val="000000"/>
                <w:sz w:val="18"/>
                <w:szCs w:val="18"/>
              </w:rPr>
              <w:t xml:space="preserve">(%)   </w:t>
            </w:r>
          </w:p>
        </w:tc>
        <w:tc>
          <w:tcPr>
            <w:tcW w:w="1275" w:type="dxa"/>
            <w:tcBorders>
              <w:top w:val="single" w:sz="4" w:space="0" w:color="auto"/>
              <w:left w:val="single" w:sz="4" w:space="0" w:color="auto"/>
              <w:bottom w:val="single" w:sz="4" w:space="0" w:color="auto"/>
              <w:right w:val="single" w:sz="4" w:space="0" w:color="auto"/>
            </w:tcBorders>
          </w:tcPr>
          <w:p w14:paraId="3750C27E" w14:textId="77777777" w:rsidR="000923BB" w:rsidRDefault="000923BB" w:rsidP="003A385F">
            <w:pPr>
              <w:jc w:val="center"/>
              <w:rPr>
                <w:rFonts w:cs="Arial"/>
                <w:b/>
                <w:bCs/>
                <w:color w:val="000000"/>
                <w:sz w:val="18"/>
                <w:szCs w:val="18"/>
              </w:rPr>
            </w:pPr>
            <w:r>
              <w:rPr>
                <w:rFonts w:cs="Arial"/>
                <w:b/>
                <w:bCs/>
                <w:color w:val="000000"/>
                <w:sz w:val="18"/>
                <w:szCs w:val="18"/>
              </w:rPr>
              <w:t>Overall phase</w:t>
            </w:r>
          </w:p>
          <w:p w14:paraId="30423A8F" w14:textId="77777777" w:rsidR="000923BB" w:rsidRDefault="000923BB" w:rsidP="003A385F">
            <w:pPr>
              <w:jc w:val="center"/>
              <w:rPr>
                <w:rFonts w:cs="Arial"/>
                <w:b/>
                <w:bCs/>
                <w:color w:val="000000"/>
                <w:sz w:val="18"/>
                <w:szCs w:val="18"/>
              </w:rPr>
            </w:pPr>
            <w:r>
              <w:rPr>
                <w:rFonts w:cs="Arial"/>
                <w:b/>
                <w:bCs/>
                <w:color w:val="000000"/>
                <w:sz w:val="18"/>
                <w:szCs w:val="18"/>
              </w:rPr>
              <w:t xml:space="preserve"> (%)</w:t>
            </w:r>
          </w:p>
        </w:tc>
        <w:tc>
          <w:tcPr>
            <w:tcW w:w="993" w:type="dxa"/>
            <w:tcBorders>
              <w:top w:val="single" w:sz="4" w:space="0" w:color="auto"/>
              <w:left w:val="single" w:sz="4" w:space="0" w:color="auto"/>
              <w:bottom w:val="single" w:sz="4" w:space="0" w:color="auto"/>
              <w:right w:val="single" w:sz="4" w:space="0" w:color="auto"/>
            </w:tcBorders>
          </w:tcPr>
          <w:p w14:paraId="77CD512B" w14:textId="77777777" w:rsidR="000923BB" w:rsidRDefault="000923BB" w:rsidP="003A385F">
            <w:pPr>
              <w:jc w:val="center"/>
              <w:rPr>
                <w:rFonts w:cs="Arial"/>
                <w:b/>
                <w:bCs/>
                <w:color w:val="000000"/>
                <w:sz w:val="18"/>
                <w:szCs w:val="18"/>
              </w:rPr>
            </w:pPr>
            <w:r>
              <w:rPr>
                <w:rFonts w:cs="Arial"/>
                <w:b/>
                <w:bCs/>
                <w:color w:val="000000"/>
                <w:sz w:val="18"/>
                <w:szCs w:val="18"/>
              </w:rPr>
              <w:t xml:space="preserve">Total </w:t>
            </w:r>
          </w:p>
          <w:p w14:paraId="1AAFDAEE" w14:textId="77777777" w:rsidR="000923BB" w:rsidRDefault="000923BB" w:rsidP="003A385F">
            <w:pPr>
              <w:jc w:val="center"/>
              <w:rPr>
                <w:rFonts w:cs="Arial"/>
                <w:b/>
                <w:bCs/>
                <w:color w:val="000000"/>
                <w:sz w:val="18"/>
                <w:szCs w:val="18"/>
              </w:rPr>
            </w:pPr>
            <w:r>
              <w:rPr>
                <w:rFonts w:cs="Arial"/>
                <w:b/>
                <w:bCs/>
                <w:color w:val="000000"/>
                <w:sz w:val="18"/>
                <w:szCs w:val="18"/>
              </w:rPr>
              <w:t>(%)</w:t>
            </w:r>
          </w:p>
        </w:tc>
      </w:tr>
      <w:tr w:rsidR="000923BB" w14:paraId="1E53C6C8" w14:textId="77777777" w:rsidTr="00823691">
        <w:trPr>
          <w:trHeight w:val="270"/>
        </w:trPr>
        <w:tc>
          <w:tcPr>
            <w:tcW w:w="1843" w:type="dxa"/>
            <w:tcBorders>
              <w:top w:val="single" w:sz="4" w:space="0" w:color="auto"/>
              <w:left w:val="single" w:sz="4" w:space="0" w:color="auto"/>
              <w:bottom w:val="single" w:sz="4" w:space="0" w:color="auto"/>
              <w:right w:val="single" w:sz="4" w:space="0" w:color="auto"/>
            </w:tcBorders>
            <w:shd w:val="clear" w:color="auto" w:fill="E0E0E0"/>
          </w:tcPr>
          <w:p w14:paraId="198EA51A" w14:textId="77777777" w:rsidR="000923BB" w:rsidRDefault="000923BB" w:rsidP="003A385F">
            <w:pPr>
              <w:rPr>
                <w:rFonts w:cs="Arial"/>
                <w:b/>
                <w:bCs/>
                <w:color w:val="000000"/>
                <w:sz w:val="18"/>
                <w:szCs w:val="18"/>
              </w:rPr>
            </w:pPr>
            <w:r>
              <w:rPr>
                <w:rFonts w:cs="Arial"/>
                <w:b/>
                <w:bCs/>
                <w:color w:val="000000"/>
                <w:sz w:val="18"/>
                <w:szCs w:val="18"/>
              </w:rPr>
              <w:t xml:space="preserve">Doctors </w:t>
            </w:r>
          </w:p>
          <w:p w14:paraId="10608D12" w14:textId="77777777" w:rsidR="000923BB" w:rsidRDefault="000923BB" w:rsidP="003A385F">
            <w:pPr>
              <w:rPr>
                <w:rFonts w:cs="Arial"/>
                <w:b/>
                <w:bCs/>
                <w:color w:val="000000"/>
                <w:sz w:val="18"/>
                <w:szCs w:val="18"/>
              </w:rPr>
            </w:pPr>
            <w:r>
              <w:rPr>
                <w:rFonts w:cs="Arial"/>
                <w:b/>
                <w:bCs/>
                <w:color w:val="000000"/>
                <w:sz w:val="18"/>
                <w:szCs w:val="18"/>
              </w:rPr>
              <w:t>(n = 273 reviews)</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6310AEF9" w14:textId="77777777" w:rsidR="000923BB" w:rsidRDefault="000923BB" w:rsidP="003A385F">
            <w:pPr>
              <w:jc w:val="right"/>
              <w:rPr>
                <w:rFonts w:cs="Arial"/>
                <w:color w:val="000000"/>
                <w:sz w:val="18"/>
                <w:szCs w:val="18"/>
              </w:rPr>
            </w:pPr>
            <w:r>
              <w:rPr>
                <w:rFonts w:cs="Arial"/>
                <w:color w:val="000000"/>
                <w:sz w:val="18"/>
                <w:szCs w:val="18"/>
              </w:rPr>
              <w:t> </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14:paraId="12157295" w14:textId="77777777" w:rsidR="000923BB" w:rsidRDefault="000923BB" w:rsidP="003A385F">
            <w:pPr>
              <w:jc w:val="right"/>
              <w:rPr>
                <w:rFonts w:cs="Arial"/>
                <w:color w:val="000000"/>
                <w:sz w:val="18"/>
                <w:szCs w:val="18"/>
              </w:rPr>
            </w:pPr>
            <w:r>
              <w:rPr>
                <w:rFonts w:cs="Arial"/>
                <w:color w:val="000000"/>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E0E0E0"/>
          </w:tcPr>
          <w:p w14:paraId="5BD975B9" w14:textId="77777777" w:rsidR="000923BB" w:rsidRDefault="000923BB" w:rsidP="003A385F">
            <w:pPr>
              <w:jc w:val="right"/>
              <w:rPr>
                <w:rFonts w:cs="Arial"/>
                <w:color w:val="000000"/>
                <w:sz w:val="18"/>
                <w:szCs w:val="18"/>
              </w:rPr>
            </w:pPr>
            <w:r>
              <w:rPr>
                <w:rFonts w:cs="Arial"/>
                <w:color w:val="000000"/>
                <w:sz w:val="18"/>
                <w:szCs w:val="18"/>
              </w:rPr>
              <w:t> </w:t>
            </w:r>
          </w:p>
        </w:tc>
        <w:tc>
          <w:tcPr>
            <w:tcW w:w="1275" w:type="dxa"/>
            <w:tcBorders>
              <w:top w:val="single" w:sz="4" w:space="0" w:color="auto"/>
              <w:left w:val="single" w:sz="4" w:space="0" w:color="auto"/>
              <w:bottom w:val="single" w:sz="4" w:space="0" w:color="auto"/>
              <w:right w:val="single" w:sz="4" w:space="0" w:color="auto"/>
            </w:tcBorders>
            <w:shd w:val="clear" w:color="auto" w:fill="E0E0E0"/>
          </w:tcPr>
          <w:p w14:paraId="408631DE" w14:textId="77777777" w:rsidR="000923BB" w:rsidRDefault="000923BB" w:rsidP="003A385F">
            <w:pPr>
              <w:rPr>
                <w:rFonts w:cs="Arial"/>
                <w:color w:val="000000"/>
                <w:sz w:val="18"/>
                <w:szCs w:val="18"/>
              </w:rPr>
            </w:pPr>
            <w:r>
              <w:rPr>
                <w:rFonts w:cs="Arial"/>
                <w:color w:val="000000"/>
                <w:sz w:val="18"/>
                <w:szCs w:val="18"/>
              </w:rPr>
              <w:t> </w:t>
            </w:r>
          </w:p>
        </w:tc>
        <w:tc>
          <w:tcPr>
            <w:tcW w:w="993" w:type="dxa"/>
            <w:tcBorders>
              <w:top w:val="single" w:sz="4" w:space="0" w:color="auto"/>
              <w:left w:val="single" w:sz="4" w:space="0" w:color="auto"/>
              <w:bottom w:val="single" w:sz="4" w:space="0" w:color="auto"/>
              <w:right w:val="single" w:sz="4" w:space="0" w:color="auto"/>
            </w:tcBorders>
            <w:shd w:val="clear" w:color="auto" w:fill="E0E0E0"/>
          </w:tcPr>
          <w:p w14:paraId="7733EE8E" w14:textId="77777777" w:rsidR="000923BB" w:rsidRDefault="000923BB" w:rsidP="003A385F">
            <w:pPr>
              <w:rPr>
                <w:rFonts w:cs="Arial"/>
                <w:color w:val="000000"/>
                <w:sz w:val="18"/>
                <w:szCs w:val="18"/>
              </w:rPr>
            </w:pPr>
          </w:p>
        </w:tc>
      </w:tr>
      <w:tr w:rsidR="000923BB" w14:paraId="2E3ACB72" w14:textId="77777777" w:rsidTr="00823691">
        <w:trPr>
          <w:trHeight w:val="611"/>
        </w:trPr>
        <w:tc>
          <w:tcPr>
            <w:tcW w:w="1843" w:type="dxa"/>
            <w:tcBorders>
              <w:top w:val="single" w:sz="4" w:space="0" w:color="auto"/>
              <w:left w:val="single" w:sz="4" w:space="0" w:color="auto"/>
              <w:bottom w:val="single" w:sz="4" w:space="0" w:color="auto"/>
              <w:right w:val="single" w:sz="4" w:space="0" w:color="auto"/>
            </w:tcBorders>
          </w:tcPr>
          <w:p w14:paraId="0EFDB09D" w14:textId="77777777" w:rsidR="000923BB" w:rsidRDefault="000923BB" w:rsidP="003A385F">
            <w:pPr>
              <w:rPr>
                <w:rFonts w:cs="Arial"/>
                <w:b/>
                <w:bCs/>
                <w:color w:val="000000"/>
                <w:sz w:val="18"/>
                <w:szCs w:val="18"/>
              </w:rPr>
            </w:pPr>
            <w:r>
              <w:rPr>
                <w:rFonts w:cs="Arial"/>
                <w:b/>
                <w:bCs/>
                <w:color w:val="000000"/>
                <w:sz w:val="18"/>
                <w:szCs w:val="18"/>
              </w:rPr>
              <w:t>Number of completed rating scales</w:t>
            </w:r>
          </w:p>
        </w:tc>
        <w:tc>
          <w:tcPr>
            <w:tcW w:w="1559" w:type="dxa"/>
            <w:tcBorders>
              <w:top w:val="single" w:sz="4" w:space="0" w:color="auto"/>
              <w:left w:val="single" w:sz="4" w:space="0" w:color="auto"/>
              <w:bottom w:val="single" w:sz="4" w:space="0" w:color="auto"/>
              <w:right w:val="single" w:sz="4" w:space="0" w:color="auto"/>
            </w:tcBorders>
          </w:tcPr>
          <w:p w14:paraId="356D353A" w14:textId="77777777" w:rsidR="000923BB" w:rsidRDefault="000923BB" w:rsidP="003A385F">
            <w:pPr>
              <w:jc w:val="center"/>
              <w:rPr>
                <w:rFonts w:cs="Arial"/>
                <w:color w:val="000000"/>
                <w:sz w:val="18"/>
                <w:szCs w:val="18"/>
              </w:rPr>
            </w:pPr>
            <w:r>
              <w:rPr>
                <w:rFonts w:cs="Arial"/>
                <w:color w:val="000000"/>
                <w:sz w:val="18"/>
                <w:szCs w:val="18"/>
              </w:rPr>
              <w:t>269</w:t>
            </w:r>
          </w:p>
          <w:p w14:paraId="399FC2C5" w14:textId="77777777" w:rsidR="000923BB" w:rsidRDefault="000923BB" w:rsidP="003A385F">
            <w:pPr>
              <w:jc w:val="center"/>
              <w:rPr>
                <w:rFonts w:cs="Arial"/>
                <w:color w:val="000000"/>
                <w:sz w:val="18"/>
                <w:szCs w:val="18"/>
              </w:rPr>
            </w:pPr>
            <w:r>
              <w:rPr>
                <w:rFonts w:cs="Arial"/>
                <w:color w:val="000000"/>
                <w:sz w:val="18"/>
                <w:szCs w:val="18"/>
              </w:rPr>
              <w:t>(98.5)</w:t>
            </w:r>
          </w:p>
        </w:tc>
        <w:tc>
          <w:tcPr>
            <w:tcW w:w="1418" w:type="dxa"/>
            <w:tcBorders>
              <w:top w:val="single" w:sz="4" w:space="0" w:color="auto"/>
              <w:left w:val="single" w:sz="4" w:space="0" w:color="auto"/>
              <w:bottom w:val="single" w:sz="4" w:space="0" w:color="auto"/>
              <w:right w:val="single" w:sz="4" w:space="0" w:color="auto"/>
            </w:tcBorders>
          </w:tcPr>
          <w:p w14:paraId="40FFCB18" w14:textId="77777777" w:rsidR="000923BB" w:rsidRDefault="000923BB" w:rsidP="003A385F">
            <w:pPr>
              <w:jc w:val="center"/>
              <w:rPr>
                <w:rFonts w:cs="Arial"/>
                <w:color w:val="000000"/>
                <w:sz w:val="18"/>
                <w:szCs w:val="18"/>
              </w:rPr>
            </w:pPr>
            <w:r>
              <w:rPr>
                <w:rFonts w:cs="Arial"/>
                <w:color w:val="000000"/>
                <w:sz w:val="18"/>
                <w:szCs w:val="18"/>
              </w:rPr>
              <w:t>265</w:t>
            </w:r>
          </w:p>
          <w:p w14:paraId="301F3528" w14:textId="77777777" w:rsidR="000923BB" w:rsidRDefault="000923BB" w:rsidP="003A385F">
            <w:pPr>
              <w:jc w:val="center"/>
              <w:rPr>
                <w:rFonts w:cs="Arial"/>
                <w:color w:val="000000"/>
                <w:sz w:val="18"/>
                <w:szCs w:val="18"/>
              </w:rPr>
            </w:pPr>
            <w:r>
              <w:rPr>
                <w:rFonts w:cs="Arial"/>
                <w:color w:val="000000"/>
                <w:sz w:val="18"/>
                <w:szCs w:val="18"/>
              </w:rPr>
              <w:t>(97)</w:t>
            </w:r>
          </w:p>
        </w:tc>
        <w:tc>
          <w:tcPr>
            <w:tcW w:w="1134" w:type="dxa"/>
            <w:tcBorders>
              <w:top w:val="single" w:sz="4" w:space="0" w:color="auto"/>
              <w:left w:val="single" w:sz="4" w:space="0" w:color="auto"/>
              <w:bottom w:val="single" w:sz="4" w:space="0" w:color="auto"/>
              <w:right w:val="single" w:sz="4" w:space="0" w:color="auto"/>
            </w:tcBorders>
          </w:tcPr>
          <w:p w14:paraId="3847066A" w14:textId="77777777" w:rsidR="000923BB" w:rsidRDefault="000923BB" w:rsidP="003A385F">
            <w:pPr>
              <w:jc w:val="center"/>
              <w:rPr>
                <w:rFonts w:cs="Arial"/>
                <w:color w:val="000000"/>
                <w:sz w:val="18"/>
                <w:szCs w:val="18"/>
              </w:rPr>
            </w:pPr>
            <w:r>
              <w:rPr>
                <w:rFonts w:cs="Arial"/>
                <w:color w:val="000000"/>
                <w:sz w:val="18"/>
                <w:szCs w:val="18"/>
              </w:rPr>
              <w:t>267</w:t>
            </w:r>
          </w:p>
          <w:p w14:paraId="17CDE3E8" w14:textId="77777777" w:rsidR="000923BB" w:rsidRDefault="000923BB" w:rsidP="003A385F">
            <w:pPr>
              <w:jc w:val="center"/>
              <w:rPr>
                <w:rFonts w:cs="Arial"/>
                <w:color w:val="000000"/>
                <w:sz w:val="18"/>
                <w:szCs w:val="18"/>
              </w:rPr>
            </w:pPr>
            <w:r>
              <w:rPr>
                <w:rFonts w:cs="Arial"/>
                <w:color w:val="000000"/>
                <w:sz w:val="18"/>
                <w:szCs w:val="18"/>
              </w:rPr>
              <w:t>(97.8)</w:t>
            </w:r>
          </w:p>
        </w:tc>
        <w:tc>
          <w:tcPr>
            <w:tcW w:w="1275" w:type="dxa"/>
            <w:tcBorders>
              <w:top w:val="single" w:sz="4" w:space="0" w:color="auto"/>
              <w:left w:val="single" w:sz="4" w:space="0" w:color="auto"/>
              <w:bottom w:val="single" w:sz="4" w:space="0" w:color="auto"/>
              <w:right w:val="single" w:sz="4" w:space="0" w:color="auto"/>
            </w:tcBorders>
          </w:tcPr>
          <w:p w14:paraId="50ACF520" w14:textId="77777777" w:rsidR="000923BB" w:rsidRDefault="000923BB" w:rsidP="003A385F">
            <w:pPr>
              <w:jc w:val="center"/>
              <w:rPr>
                <w:rFonts w:cs="Arial"/>
                <w:color w:val="000000"/>
                <w:sz w:val="18"/>
                <w:szCs w:val="18"/>
              </w:rPr>
            </w:pPr>
            <w:r>
              <w:rPr>
                <w:rFonts w:cs="Arial"/>
                <w:color w:val="000000"/>
                <w:sz w:val="18"/>
                <w:szCs w:val="18"/>
              </w:rPr>
              <w:t>272</w:t>
            </w:r>
          </w:p>
          <w:p w14:paraId="1644AF29" w14:textId="77777777" w:rsidR="000923BB" w:rsidRDefault="000923BB" w:rsidP="003A385F">
            <w:pPr>
              <w:jc w:val="center"/>
              <w:rPr>
                <w:rFonts w:cs="Arial"/>
                <w:color w:val="000000"/>
                <w:sz w:val="18"/>
                <w:szCs w:val="18"/>
              </w:rPr>
            </w:pPr>
            <w:r>
              <w:rPr>
                <w:rFonts w:cs="Arial"/>
                <w:color w:val="000000"/>
                <w:sz w:val="18"/>
                <w:szCs w:val="18"/>
              </w:rPr>
              <w:t>(99.6)</w:t>
            </w:r>
          </w:p>
        </w:tc>
        <w:tc>
          <w:tcPr>
            <w:tcW w:w="993" w:type="dxa"/>
            <w:tcBorders>
              <w:top w:val="single" w:sz="4" w:space="0" w:color="auto"/>
              <w:left w:val="single" w:sz="4" w:space="0" w:color="auto"/>
              <w:bottom w:val="single" w:sz="4" w:space="0" w:color="auto"/>
              <w:right w:val="single" w:sz="4" w:space="0" w:color="auto"/>
            </w:tcBorders>
          </w:tcPr>
          <w:p w14:paraId="640065E6" w14:textId="77777777" w:rsidR="000923BB" w:rsidRDefault="000923BB" w:rsidP="003A385F">
            <w:pPr>
              <w:jc w:val="center"/>
              <w:rPr>
                <w:rFonts w:cs="Arial"/>
                <w:color w:val="000000"/>
                <w:sz w:val="18"/>
                <w:szCs w:val="18"/>
              </w:rPr>
            </w:pPr>
            <w:r>
              <w:rPr>
                <w:rFonts w:cs="Arial"/>
                <w:color w:val="000000"/>
                <w:sz w:val="18"/>
                <w:szCs w:val="18"/>
              </w:rPr>
              <w:t>1073</w:t>
            </w:r>
          </w:p>
          <w:p w14:paraId="7E52169F" w14:textId="77777777" w:rsidR="000923BB" w:rsidRDefault="000923BB" w:rsidP="003A385F">
            <w:pPr>
              <w:jc w:val="center"/>
              <w:rPr>
                <w:rFonts w:cs="Arial"/>
                <w:color w:val="000000"/>
                <w:sz w:val="18"/>
                <w:szCs w:val="18"/>
              </w:rPr>
            </w:pPr>
            <w:r>
              <w:rPr>
                <w:rFonts w:cs="Arial"/>
                <w:color w:val="000000"/>
                <w:sz w:val="18"/>
                <w:szCs w:val="18"/>
              </w:rPr>
              <w:t>(97.4)</w:t>
            </w:r>
          </w:p>
        </w:tc>
      </w:tr>
      <w:tr w:rsidR="000923BB" w14:paraId="3150FAF3" w14:textId="77777777" w:rsidTr="00823691">
        <w:trPr>
          <w:trHeight w:val="535"/>
        </w:trPr>
        <w:tc>
          <w:tcPr>
            <w:tcW w:w="1843" w:type="dxa"/>
            <w:tcBorders>
              <w:top w:val="single" w:sz="4" w:space="0" w:color="auto"/>
              <w:left w:val="single" w:sz="4" w:space="0" w:color="auto"/>
              <w:bottom w:val="single" w:sz="4" w:space="0" w:color="auto"/>
              <w:right w:val="single" w:sz="4" w:space="0" w:color="auto"/>
            </w:tcBorders>
          </w:tcPr>
          <w:p w14:paraId="209BADA8" w14:textId="77777777" w:rsidR="000923BB" w:rsidRDefault="000923BB" w:rsidP="003A385F">
            <w:pPr>
              <w:rPr>
                <w:rFonts w:cs="Arial"/>
                <w:b/>
                <w:bCs/>
                <w:color w:val="000000"/>
                <w:sz w:val="18"/>
                <w:szCs w:val="18"/>
              </w:rPr>
            </w:pPr>
            <w:r>
              <w:rPr>
                <w:rFonts w:cs="Arial"/>
                <w:b/>
                <w:bCs/>
                <w:color w:val="000000"/>
                <w:sz w:val="18"/>
                <w:szCs w:val="18"/>
              </w:rPr>
              <w:t>Missing  data</w:t>
            </w:r>
          </w:p>
        </w:tc>
        <w:tc>
          <w:tcPr>
            <w:tcW w:w="1559" w:type="dxa"/>
            <w:tcBorders>
              <w:top w:val="single" w:sz="4" w:space="0" w:color="auto"/>
              <w:left w:val="single" w:sz="4" w:space="0" w:color="auto"/>
              <w:bottom w:val="single" w:sz="4" w:space="0" w:color="auto"/>
              <w:right w:val="single" w:sz="4" w:space="0" w:color="auto"/>
            </w:tcBorders>
          </w:tcPr>
          <w:p w14:paraId="0F61C653" w14:textId="77777777" w:rsidR="000923BB" w:rsidRDefault="000923BB" w:rsidP="003A385F">
            <w:pPr>
              <w:jc w:val="center"/>
              <w:rPr>
                <w:rFonts w:cs="Arial"/>
                <w:color w:val="000000"/>
                <w:sz w:val="18"/>
                <w:szCs w:val="18"/>
              </w:rPr>
            </w:pPr>
            <w:r>
              <w:rPr>
                <w:rFonts w:cs="Arial"/>
                <w:color w:val="000000"/>
                <w:sz w:val="18"/>
                <w:szCs w:val="18"/>
              </w:rPr>
              <w:t>4</w:t>
            </w:r>
          </w:p>
          <w:p w14:paraId="35020BC9" w14:textId="77777777" w:rsidR="000923BB" w:rsidRDefault="000923BB" w:rsidP="003A385F">
            <w:pPr>
              <w:jc w:val="center"/>
              <w:rPr>
                <w:rFonts w:cs="Arial"/>
                <w:color w:val="000000"/>
                <w:sz w:val="18"/>
                <w:szCs w:val="18"/>
              </w:rPr>
            </w:pPr>
            <w:r>
              <w:rPr>
                <w:rFonts w:cs="Arial"/>
                <w:color w:val="000000"/>
                <w:sz w:val="18"/>
                <w:szCs w:val="18"/>
              </w:rPr>
              <w:t>(1.5)</w:t>
            </w:r>
          </w:p>
        </w:tc>
        <w:tc>
          <w:tcPr>
            <w:tcW w:w="1418" w:type="dxa"/>
            <w:tcBorders>
              <w:top w:val="single" w:sz="4" w:space="0" w:color="auto"/>
              <w:left w:val="single" w:sz="4" w:space="0" w:color="auto"/>
              <w:bottom w:val="single" w:sz="4" w:space="0" w:color="auto"/>
              <w:right w:val="single" w:sz="4" w:space="0" w:color="auto"/>
            </w:tcBorders>
          </w:tcPr>
          <w:p w14:paraId="2A8AE940" w14:textId="77777777" w:rsidR="000923BB" w:rsidRDefault="000923BB" w:rsidP="003A385F">
            <w:pPr>
              <w:jc w:val="center"/>
              <w:rPr>
                <w:rFonts w:cs="Arial"/>
                <w:color w:val="000000"/>
                <w:sz w:val="18"/>
                <w:szCs w:val="18"/>
              </w:rPr>
            </w:pPr>
            <w:r>
              <w:rPr>
                <w:rFonts w:cs="Arial"/>
                <w:color w:val="000000"/>
                <w:sz w:val="18"/>
                <w:szCs w:val="18"/>
              </w:rPr>
              <w:t>8</w:t>
            </w:r>
          </w:p>
          <w:p w14:paraId="2E22FDD0" w14:textId="77777777" w:rsidR="000923BB" w:rsidRDefault="000923BB" w:rsidP="003A385F">
            <w:pPr>
              <w:jc w:val="center"/>
              <w:rPr>
                <w:rFonts w:cs="Arial"/>
                <w:color w:val="000000"/>
                <w:sz w:val="18"/>
                <w:szCs w:val="18"/>
              </w:rPr>
            </w:pPr>
            <w:r>
              <w:rPr>
                <w:rFonts w:cs="Arial"/>
                <w:color w:val="000000"/>
                <w:sz w:val="18"/>
                <w:szCs w:val="18"/>
              </w:rPr>
              <w:t>(3)</w:t>
            </w:r>
          </w:p>
        </w:tc>
        <w:tc>
          <w:tcPr>
            <w:tcW w:w="1134" w:type="dxa"/>
            <w:tcBorders>
              <w:top w:val="single" w:sz="4" w:space="0" w:color="auto"/>
              <w:left w:val="single" w:sz="4" w:space="0" w:color="auto"/>
              <w:bottom w:val="single" w:sz="4" w:space="0" w:color="auto"/>
              <w:right w:val="single" w:sz="4" w:space="0" w:color="auto"/>
            </w:tcBorders>
          </w:tcPr>
          <w:p w14:paraId="0F6FEBEF" w14:textId="77777777" w:rsidR="000923BB" w:rsidRDefault="000923BB" w:rsidP="003A385F">
            <w:pPr>
              <w:jc w:val="center"/>
              <w:rPr>
                <w:rFonts w:cs="Arial"/>
                <w:color w:val="000000"/>
                <w:sz w:val="18"/>
                <w:szCs w:val="18"/>
              </w:rPr>
            </w:pPr>
            <w:r>
              <w:rPr>
                <w:rFonts w:cs="Arial"/>
                <w:color w:val="000000"/>
                <w:sz w:val="18"/>
                <w:szCs w:val="18"/>
              </w:rPr>
              <w:t>6</w:t>
            </w:r>
          </w:p>
          <w:p w14:paraId="53BADB5B" w14:textId="77777777" w:rsidR="000923BB" w:rsidRDefault="000923BB" w:rsidP="003A385F">
            <w:pPr>
              <w:jc w:val="center"/>
              <w:rPr>
                <w:rFonts w:cs="Arial"/>
                <w:color w:val="000000"/>
                <w:sz w:val="18"/>
                <w:szCs w:val="18"/>
              </w:rPr>
            </w:pPr>
            <w:r>
              <w:rPr>
                <w:rFonts w:cs="Arial"/>
                <w:color w:val="000000"/>
                <w:sz w:val="18"/>
                <w:szCs w:val="18"/>
              </w:rPr>
              <w:t>(2.2)</w:t>
            </w:r>
          </w:p>
        </w:tc>
        <w:tc>
          <w:tcPr>
            <w:tcW w:w="1275" w:type="dxa"/>
            <w:tcBorders>
              <w:top w:val="single" w:sz="4" w:space="0" w:color="auto"/>
              <w:left w:val="single" w:sz="4" w:space="0" w:color="auto"/>
              <w:bottom w:val="single" w:sz="4" w:space="0" w:color="auto"/>
              <w:right w:val="single" w:sz="4" w:space="0" w:color="auto"/>
            </w:tcBorders>
          </w:tcPr>
          <w:p w14:paraId="427E205A" w14:textId="77777777" w:rsidR="000923BB" w:rsidRDefault="000923BB" w:rsidP="003A385F">
            <w:pPr>
              <w:jc w:val="center"/>
              <w:rPr>
                <w:rFonts w:cs="Arial"/>
                <w:color w:val="000000"/>
                <w:sz w:val="18"/>
                <w:szCs w:val="18"/>
              </w:rPr>
            </w:pPr>
            <w:r>
              <w:rPr>
                <w:rFonts w:cs="Arial"/>
                <w:color w:val="000000"/>
                <w:sz w:val="18"/>
                <w:szCs w:val="18"/>
              </w:rPr>
              <w:t>1</w:t>
            </w:r>
          </w:p>
          <w:p w14:paraId="7BAC04EB" w14:textId="77777777" w:rsidR="000923BB" w:rsidRDefault="000923BB" w:rsidP="003A385F">
            <w:pPr>
              <w:jc w:val="center"/>
              <w:rPr>
                <w:rFonts w:cs="Arial"/>
                <w:color w:val="000000"/>
                <w:sz w:val="18"/>
                <w:szCs w:val="18"/>
              </w:rPr>
            </w:pPr>
            <w:r>
              <w:rPr>
                <w:rFonts w:cs="Arial"/>
                <w:color w:val="000000"/>
                <w:sz w:val="18"/>
                <w:szCs w:val="18"/>
              </w:rPr>
              <w:t>(0.4)</w:t>
            </w:r>
          </w:p>
        </w:tc>
        <w:tc>
          <w:tcPr>
            <w:tcW w:w="993" w:type="dxa"/>
            <w:tcBorders>
              <w:top w:val="single" w:sz="4" w:space="0" w:color="auto"/>
              <w:left w:val="single" w:sz="4" w:space="0" w:color="auto"/>
              <w:bottom w:val="single" w:sz="4" w:space="0" w:color="auto"/>
              <w:right w:val="single" w:sz="4" w:space="0" w:color="auto"/>
            </w:tcBorders>
          </w:tcPr>
          <w:p w14:paraId="11459E9D" w14:textId="77777777" w:rsidR="000923BB" w:rsidRDefault="000923BB" w:rsidP="003A385F">
            <w:pPr>
              <w:jc w:val="center"/>
              <w:rPr>
                <w:rFonts w:cs="Arial"/>
                <w:color w:val="000000"/>
                <w:sz w:val="18"/>
                <w:szCs w:val="18"/>
              </w:rPr>
            </w:pPr>
            <w:r>
              <w:rPr>
                <w:rFonts w:cs="Arial"/>
                <w:color w:val="000000"/>
                <w:sz w:val="18"/>
                <w:szCs w:val="18"/>
              </w:rPr>
              <w:t>19</w:t>
            </w:r>
          </w:p>
          <w:p w14:paraId="36E2AE99" w14:textId="77777777" w:rsidR="000923BB" w:rsidRDefault="000923BB" w:rsidP="003A385F">
            <w:pPr>
              <w:jc w:val="center"/>
              <w:rPr>
                <w:rFonts w:cs="Arial"/>
                <w:color w:val="000000"/>
                <w:sz w:val="18"/>
                <w:szCs w:val="18"/>
              </w:rPr>
            </w:pPr>
            <w:r>
              <w:rPr>
                <w:rFonts w:cs="Arial"/>
                <w:color w:val="000000"/>
                <w:sz w:val="18"/>
                <w:szCs w:val="18"/>
              </w:rPr>
              <w:t>2.6</w:t>
            </w:r>
          </w:p>
        </w:tc>
      </w:tr>
      <w:tr w:rsidR="000923BB" w14:paraId="38C400CE" w14:textId="77777777" w:rsidTr="00823691">
        <w:trPr>
          <w:trHeight w:val="270"/>
        </w:trPr>
        <w:tc>
          <w:tcPr>
            <w:tcW w:w="1843" w:type="dxa"/>
            <w:tcBorders>
              <w:top w:val="single" w:sz="4" w:space="0" w:color="auto"/>
              <w:left w:val="single" w:sz="4" w:space="0" w:color="auto"/>
              <w:bottom w:val="single" w:sz="4" w:space="0" w:color="auto"/>
              <w:right w:val="single" w:sz="4" w:space="0" w:color="auto"/>
            </w:tcBorders>
            <w:shd w:val="clear" w:color="auto" w:fill="E0E0E0"/>
          </w:tcPr>
          <w:p w14:paraId="0AB80E2D" w14:textId="77777777" w:rsidR="000923BB" w:rsidRDefault="000923BB" w:rsidP="003A385F">
            <w:pPr>
              <w:rPr>
                <w:rFonts w:cs="Arial"/>
                <w:b/>
                <w:bCs/>
                <w:color w:val="000000"/>
                <w:sz w:val="18"/>
                <w:szCs w:val="18"/>
              </w:rPr>
            </w:pPr>
            <w:r>
              <w:rPr>
                <w:rFonts w:cs="Arial"/>
                <w:b/>
                <w:bCs/>
                <w:color w:val="000000"/>
                <w:sz w:val="18"/>
                <w:szCs w:val="18"/>
              </w:rPr>
              <w:t>Non-clinical audit (n = 271 reviews)</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52049C47" w14:textId="77777777" w:rsidR="000923BB" w:rsidRDefault="000923BB" w:rsidP="003A385F">
            <w:pPr>
              <w:rPr>
                <w:rFonts w:cs="Arial"/>
                <w:b/>
                <w:bCs/>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E0E0E0"/>
          </w:tcPr>
          <w:p w14:paraId="15EC3805" w14:textId="77777777" w:rsidR="000923BB" w:rsidRDefault="000923BB" w:rsidP="003A385F">
            <w:pPr>
              <w:rPr>
                <w:rFonts w:cs="Arial"/>
                <w:b/>
                <w:bCs/>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E0E0E0"/>
          </w:tcPr>
          <w:p w14:paraId="222DE4B2" w14:textId="77777777" w:rsidR="000923BB" w:rsidRDefault="000923BB" w:rsidP="003A385F">
            <w:pPr>
              <w:rPr>
                <w:rFonts w:cs="Arial"/>
                <w:b/>
                <w:bCs/>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E0E0E0"/>
          </w:tcPr>
          <w:p w14:paraId="55AB4213" w14:textId="77777777" w:rsidR="000923BB" w:rsidRDefault="000923BB" w:rsidP="003A385F">
            <w:pPr>
              <w:rPr>
                <w:rFonts w:cs="Arial"/>
                <w:b/>
                <w:bCs/>
                <w:color w:val="000000"/>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0E0E0"/>
          </w:tcPr>
          <w:p w14:paraId="2612C2B2" w14:textId="77777777" w:rsidR="000923BB" w:rsidRDefault="000923BB" w:rsidP="003A385F">
            <w:pPr>
              <w:rPr>
                <w:rFonts w:cs="Arial"/>
                <w:b/>
                <w:bCs/>
                <w:color w:val="000000"/>
                <w:sz w:val="18"/>
                <w:szCs w:val="18"/>
              </w:rPr>
            </w:pPr>
          </w:p>
        </w:tc>
      </w:tr>
      <w:tr w:rsidR="000923BB" w14:paraId="39FF66D2" w14:textId="77777777" w:rsidTr="00823691">
        <w:trPr>
          <w:trHeight w:val="270"/>
        </w:trPr>
        <w:tc>
          <w:tcPr>
            <w:tcW w:w="1843" w:type="dxa"/>
            <w:tcBorders>
              <w:top w:val="single" w:sz="4" w:space="0" w:color="auto"/>
              <w:left w:val="single" w:sz="4" w:space="0" w:color="auto"/>
              <w:bottom w:val="single" w:sz="4" w:space="0" w:color="auto"/>
              <w:right w:val="single" w:sz="4" w:space="0" w:color="auto"/>
            </w:tcBorders>
          </w:tcPr>
          <w:p w14:paraId="525FA604" w14:textId="77777777" w:rsidR="000923BB" w:rsidRDefault="000923BB" w:rsidP="003A385F">
            <w:pPr>
              <w:rPr>
                <w:rFonts w:cs="Arial"/>
                <w:b/>
                <w:bCs/>
                <w:color w:val="000000"/>
                <w:sz w:val="18"/>
                <w:szCs w:val="18"/>
              </w:rPr>
            </w:pPr>
            <w:r>
              <w:rPr>
                <w:rFonts w:cs="Arial"/>
                <w:b/>
                <w:bCs/>
                <w:color w:val="000000"/>
                <w:sz w:val="18"/>
                <w:szCs w:val="18"/>
              </w:rPr>
              <w:t>Number of completed rating scales</w:t>
            </w:r>
          </w:p>
        </w:tc>
        <w:tc>
          <w:tcPr>
            <w:tcW w:w="1559" w:type="dxa"/>
            <w:tcBorders>
              <w:top w:val="single" w:sz="4" w:space="0" w:color="auto"/>
              <w:left w:val="single" w:sz="4" w:space="0" w:color="auto"/>
              <w:bottom w:val="single" w:sz="4" w:space="0" w:color="auto"/>
              <w:right w:val="single" w:sz="4" w:space="0" w:color="auto"/>
            </w:tcBorders>
          </w:tcPr>
          <w:p w14:paraId="3A70D6B9" w14:textId="77777777" w:rsidR="000923BB" w:rsidRDefault="000923BB" w:rsidP="003A385F">
            <w:pPr>
              <w:jc w:val="center"/>
              <w:rPr>
                <w:rFonts w:cs="Arial"/>
                <w:color w:val="000000"/>
                <w:sz w:val="18"/>
                <w:szCs w:val="18"/>
              </w:rPr>
            </w:pPr>
            <w:r>
              <w:rPr>
                <w:rFonts w:cs="Arial"/>
                <w:color w:val="000000"/>
                <w:sz w:val="18"/>
                <w:szCs w:val="18"/>
              </w:rPr>
              <w:t>260</w:t>
            </w:r>
          </w:p>
          <w:p w14:paraId="15EA46EF" w14:textId="77777777" w:rsidR="000923BB" w:rsidRDefault="000923BB" w:rsidP="003A385F">
            <w:pPr>
              <w:jc w:val="center"/>
              <w:rPr>
                <w:rFonts w:cs="Arial"/>
                <w:color w:val="000000"/>
                <w:sz w:val="18"/>
                <w:szCs w:val="18"/>
              </w:rPr>
            </w:pPr>
            <w:r>
              <w:rPr>
                <w:rFonts w:cs="Arial"/>
                <w:color w:val="000000"/>
                <w:sz w:val="18"/>
                <w:szCs w:val="18"/>
              </w:rPr>
              <w:t>(96)</w:t>
            </w:r>
          </w:p>
        </w:tc>
        <w:tc>
          <w:tcPr>
            <w:tcW w:w="1418" w:type="dxa"/>
            <w:tcBorders>
              <w:top w:val="single" w:sz="4" w:space="0" w:color="auto"/>
              <w:left w:val="single" w:sz="4" w:space="0" w:color="auto"/>
              <w:bottom w:val="single" w:sz="4" w:space="0" w:color="auto"/>
              <w:right w:val="single" w:sz="4" w:space="0" w:color="auto"/>
            </w:tcBorders>
          </w:tcPr>
          <w:p w14:paraId="57AFFC7D" w14:textId="77777777" w:rsidR="000923BB" w:rsidRDefault="000923BB" w:rsidP="003A385F">
            <w:pPr>
              <w:jc w:val="center"/>
              <w:rPr>
                <w:rFonts w:cs="Arial"/>
                <w:color w:val="000000"/>
                <w:sz w:val="18"/>
                <w:szCs w:val="18"/>
              </w:rPr>
            </w:pPr>
            <w:r>
              <w:rPr>
                <w:rFonts w:cs="Arial"/>
                <w:color w:val="000000"/>
                <w:sz w:val="18"/>
                <w:szCs w:val="18"/>
              </w:rPr>
              <w:t>261</w:t>
            </w:r>
          </w:p>
          <w:p w14:paraId="1576340F" w14:textId="77777777" w:rsidR="000923BB" w:rsidRDefault="000923BB" w:rsidP="003A385F">
            <w:pPr>
              <w:jc w:val="center"/>
              <w:rPr>
                <w:rFonts w:cs="Arial"/>
                <w:color w:val="000000"/>
                <w:sz w:val="18"/>
                <w:szCs w:val="18"/>
              </w:rPr>
            </w:pPr>
            <w:r>
              <w:rPr>
                <w:rFonts w:cs="Arial"/>
                <w:color w:val="000000"/>
                <w:sz w:val="18"/>
                <w:szCs w:val="18"/>
              </w:rPr>
              <w:t>(96.3)</w:t>
            </w:r>
          </w:p>
          <w:p w14:paraId="72B7E575" w14:textId="77777777" w:rsidR="000923BB" w:rsidRDefault="000923BB" w:rsidP="003A385F">
            <w:pPr>
              <w:jc w:val="center"/>
              <w:rPr>
                <w:rFonts w:cs="Arial"/>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13EABAAF" w14:textId="77777777" w:rsidR="000923BB" w:rsidRDefault="000923BB" w:rsidP="003A385F">
            <w:pPr>
              <w:jc w:val="center"/>
              <w:rPr>
                <w:rFonts w:cs="Arial"/>
                <w:color w:val="000000"/>
                <w:sz w:val="18"/>
                <w:szCs w:val="18"/>
              </w:rPr>
            </w:pPr>
            <w:r>
              <w:rPr>
                <w:rFonts w:cs="Arial"/>
                <w:color w:val="000000"/>
                <w:sz w:val="18"/>
                <w:szCs w:val="18"/>
              </w:rPr>
              <w:t>263</w:t>
            </w:r>
          </w:p>
          <w:p w14:paraId="2F0884BF" w14:textId="77777777" w:rsidR="000923BB" w:rsidRDefault="000923BB" w:rsidP="003A385F">
            <w:pPr>
              <w:jc w:val="center"/>
              <w:rPr>
                <w:rFonts w:cs="Arial"/>
                <w:color w:val="000000"/>
                <w:sz w:val="18"/>
                <w:szCs w:val="18"/>
              </w:rPr>
            </w:pPr>
            <w:r>
              <w:rPr>
                <w:rFonts w:cs="Arial"/>
                <w:color w:val="000000"/>
                <w:sz w:val="18"/>
                <w:szCs w:val="18"/>
              </w:rPr>
              <w:t>(97)</w:t>
            </w:r>
          </w:p>
        </w:tc>
        <w:tc>
          <w:tcPr>
            <w:tcW w:w="1275" w:type="dxa"/>
            <w:tcBorders>
              <w:top w:val="single" w:sz="4" w:space="0" w:color="auto"/>
              <w:left w:val="single" w:sz="4" w:space="0" w:color="auto"/>
              <w:bottom w:val="single" w:sz="4" w:space="0" w:color="auto"/>
              <w:right w:val="single" w:sz="4" w:space="0" w:color="auto"/>
            </w:tcBorders>
          </w:tcPr>
          <w:p w14:paraId="74D95D90" w14:textId="77777777" w:rsidR="000923BB" w:rsidRDefault="000923BB" w:rsidP="003A385F">
            <w:pPr>
              <w:jc w:val="center"/>
              <w:rPr>
                <w:rFonts w:cs="Arial"/>
                <w:color w:val="000000"/>
                <w:sz w:val="18"/>
                <w:szCs w:val="18"/>
              </w:rPr>
            </w:pPr>
            <w:r>
              <w:rPr>
                <w:rFonts w:cs="Arial"/>
                <w:color w:val="000000"/>
                <w:sz w:val="18"/>
                <w:szCs w:val="18"/>
              </w:rPr>
              <w:t>227</w:t>
            </w:r>
          </w:p>
          <w:p w14:paraId="51E756C5" w14:textId="77777777" w:rsidR="000923BB" w:rsidRDefault="000923BB" w:rsidP="003A385F">
            <w:pPr>
              <w:jc w:val="center"/>
              <w:rPr>
                <w:rFonts w:cs="Arial"/>
                <w:color w:val="000000"/>
                <w:sz w:val="18"/>
                <w:szCs w:val="18"/>
              </w:rPr>
            </w:pPr>
            <w:r>
              <w:rPr>
                <w:rFonts w:cs="Arial"/>
                <w:color w:val="000000"/>
                <w:sz w:val="18"/>
                <w:szCs w:val="18"/>
              </w:rPr>
              <w:t>(83.8)</w:t>
            </w:r>
          </w:p>
        </w:tc>
        <w:tc>
          <w:tcPr>
            <w:tcW w:w="993" w:type="dxa"/>
            <w:tcBorders>
              <w:top w:val="single" w:sz="4" w:space="0" w:color="auto"/>
              <w:left w:val="single" w:sz="4" w:space="0" w:color="auto"/>
              <w:bottom w:val="single" w:sz="4" w:space="0" w:color="auto"/>
              <w:right w:val="single" w:sz="4" w:space="0" w:color="auto"/>
            </w:tcBorders>
          </w:tcPr>
          <w:p w14:paraId="32F8AE57" w14:textId="77777777" w:rsidR="000923BB" w:rsidRDefault="000923BB" w:rsidP="003A385F">
            <w:pPr>
              <w:jc w:val="center"/>
              <w:rPr>
                <w:rFonts w:cs="Arial"/>
                <w:color w:val="000000"/>
                <w:sz w:val="18"/>
                <w:szCs w:val="18"/>
              </w:rPr>
            </w:pPr>
            <w:r>
              <w:rPr>
                <w:rFonts w:cs="Arial"/>
                <w:color w:val="000000"/>
                <w:sz w:val="18"/>
                <w:szCs w:val="18"/>
              </w:rPr>
              <w:t>1011</w:t>
            </w:r>
          </w:p>
          <w:p w14:paraId="0945133B" w14:textId="77777777" w:rsidR="000923BB" w:rsidRDefault="000923BB" w:rsidP="003A385F">
            <w:pPr>
              <w:jc w:val="center"/>
              <w:rPr>
                <w:rFonts w:cs="Arial"/>
                <w:color w:val="000000"/>
                <w:sz w:val="18"/>
                <w:szCs w:val="18"/>
              </w:rPr>
            </w:pPr>
            <w:r>
              <w:rPr>
                <w:rFonts w:cs="Arial"/>
                <w:color w:val="000000"/>
                <w:sz w:val="18"/>
                <w:szCs w:val="18"/>
              </w:rPr>
              <w:t>(93.3)</w:t>
            </w:r>
          </w:p>
        </w:tc>
      </w:tr>
      <w:tr w:rsidR="000923BB" w14:paraId="76CEB7CC" w14:textId="77777777" w:rsidTr="00823691">
        <w:trPr>
          <w:trHeight w:val="270"/>
        </w:trPr>
        <w:tc>
          <w:tcPr>
            <w:tcW w:w="1843" w:type="dxa"/>
            <w:tcBorders>
              <w:top w:val="single" w:sz="4" w:space="0" w:color="auto"/>
              <w:left w:val="single" w:sz="4" w:space="0" w:color="auto"/>
              <w:bottom w:val="single" w:sz="4" w:space="0" w:color="auto"/>
              <w:right w:val="single" w:sz="4" w:space="0" w:color="auto"/>
            </w:tcBorders>
          </w:tcPr>
          <w:p w14:paraId="16185C76" w14:textId="77777777" w:rsidR="000923BB" w:rsidRDefault="000923BB" w:rsidP="003A385F">
            <w:pPr>
              <w:rPr>
                <w:rFonts w:cs="Arial"/>
                <w:b/>
                <w:bCs/>
                <w:color w:val="000000"/>
                <w:sz w:val="18"/>
                <w:szCs w:val="18"/>
              </w:rPr>
            </w:pPr>
            <w:r>
              <w:rPr>
                <w:rFonts w:cs="Arial"/>
                <w:b/>
                <w:bCs/>
                <w:color w:val="000000"/>
                <w:sz w:val="18"/>
                <w:szCs w:val="18"/>
              </w:rPr>
              <w:t>Missing  data</w:t>
            </w:r>
          </w:p>
        </w:tc>
        <w:tc>
          <w:tcPr>
            <w:tcW w:w="1559" w:type="dxa"/>
            <w:tcBorders>
              <w:top w:val="single" w:sz="4" w:space="0" w:color="auto"/>
              <w:left w:val="single" w:sz="4" w:space="0" w:color="auto"/>
              <w:bottom w:val="single" w:sz="4" w:space="0" w:color="auto"/>
              <w:right w:val="single" w:sz="4" w:space="0" w:color="auto"/>
            </w:tcBorders>
          </w:tcPr>
          <w:p w14:paraId="3F9FC9FF" w14:textId="77777777" w:rsidR="000923BB" w:rsidRDefault="000923BB" w:rsidP="003A385F">
            <w:pPr>
              <w:jc w:val="center"/>
              <w:rPr>
                <w:rFonts w:cs="Arial"/>
                <w:color w:val="000000"/>
                <w:sz w:val="18"/>
                <w:szCs w:val="18"/>
              </w:rPr>
            </w:pPr>
            <w:r>
              <w:rPr>
                <w:rFonts w:cs="Arial"/>
                <w:color w:val="000000"/>
                <w:sz w:val="18"/>
                <w:szCs w:val="18"/>
              </w:rPr>
              <w:t>11</w:t>
            </w:r>
          </w:p>
          <w:p w14:paraId="70151F24" w14:textId="77777777" w:rsidR="000923BB" w:rsidRDefault="000923BB" w:rsidP="003A385F">
            <w:pPr>
              <w:jc w:val="center"/>
              <w:rPr>
                <w:rFonts w:cs="Arial"/>
                <w:color w:val="000000"/>
                <w:sz w:val="18"/>
                <w:szCs w:val="18"/>
              </w:rPr>
            </w:pPr>
            <w:r>
              <w:rPr>
                <w:rFonts w:cs="Arial"/>
                <w:color w:val="000000"/>
                <w:sz w:val="18"/>
                <w:szCs w:val="18"/>
              </w:rPr>
              <w:t>(4)</w:t>
            </w:r>
          </w:p>
        </w:tc>
        <w:tc>
          <w:tcPr>
            <w:tcW w:w="1418" w:type="dxa"/>
            <w:tcBorders>
              <w:top w:val="single" w:sz="4" w:space="0" w:color="auto"/>
              <w:left w:val="single" w:sz="4" w:space="0" w:color="auto"/>
              <w:bottom w:val="single" w:sz="4" w:space="0" w:color="auto"/>
              <w:right w:val="single" w:sz="4" w:space="0" w:color="auto"/>
            </w:tcBorders>
          </w:tcPr>
          <w:p w14:paraId="75588A4E" w14:textId="77777777" w:rsidR="000923BB" w:rsidRDefault="000923BB" w:rsidP="003A385F">
            <w:pPr>
              <w:jc w:val="center"/>
              <w:rPr>
                <w:rFonts w:cs="Arial"/>
                <w:color w:val="000000"/>
                <w:sz w:val="18"/>
                <w:szCs w:val="18"/>
              </w:rPr>
            </w:pPr>
            <w:r>
              <w:rPr>
                <w:rFonts w:cs="Arial"/>
                <w:color w:val="000000"/>
                <w:sz w:val="18"/>
                <w:szCs w:val="18"/>
              </w:rPr>
              <w:t>10</w:t>
            </w:r>
          </w:p>
          <w:p w14:paraId="60BED7A2" w14:textId="77777777" w:rsidR="000923BB" w:rsidRDefault="000923BB" w:rsidP="003A385F">
            <w:pPr>
              <w:jc w:val="center"/>
              <w:rPr>
                <w:rFonts w:cs="Arial"/>
                <w:color w:val="000000"/>
                <w:sz w:val="18"/>
                <w:szCs w:val="18"/>
              </w:rPr>
            </w:pPr>
            <w:r>
              <w:rPr>
                <w:rFonts w:cs="Arial"/>
                <w:color w:val="000000"/>
                <w:sz w:val="18"/>
                <w:szCs w:val="18"/>
              </w:rPr>
              <w:t>(3.7)</w:t>
            </w:r>
          </w:p>
        </w:tc>
        <w:tc>
          <w:tcPr>
            <w:tcW w:w="1134" w:type="dxa"/>
            <w:tcBorders>
              <w:top w:val="single" w:sz="4" w:space="0" w:color="auto"/>
              <w:left w:val="single" w:sz="4" w:space="0" w:color="auto"/>
              <w:bottom w:val="single" w:sz="4" w:space="0" w:color="auto"/>
              <w:right w:val="single" w:sz="4" w:space="0" w:color="auto"/>
            </w:tcBorders>
          </w:tcPr>
          <w:p w14:paraId="14634117" w14:textId="77777777" w:rsidR="000923BB" w:rsidRDefault="000923BB" w:rsidP="003A385F">
            <w:pPr>
              <w:jc w:val="center"/>
              <w:rPr>
                <w:rFonts w:cs="Arial"/>
                <w:color w:val="000000"/>
                <w:sz w:val="18"/>
                <w:szCs w:val="18"/>
              </w:rPr>
            </w:pPr>
            <w:r>
              <w:rPr>
                <w:rFonts w:cs="Arial"/>
                <w:color w:val="000000"/>
                <w:sz w:val="18"/>
                <w:szCs w:val="18"/>
              </w:rPr>
              <w:t>8</w:t>
            </w:r>
          </w:p>
          <w:p w14:paraId="3EC4BDA9" w14:textId="77777777" w:rsidR="000923BB" w:rsidRDefault="000923BB" w:rsidP="003A385F">
            <w:pPr>
              <w:jc w:val="center"/>
              <w:rPr>
                <w:rFonts w:cs="Arial"/>
                <w:color w:val="000000"/>
                <w:sz w:val="18"/>
                <w:szCs w:val="18"/>
              </w:rPr>
            </w:pPr>
            <w:r>
              <w:rPr>
                <w:rFonts w:cs="Arial"/>
                <w:color w:val="000000"/>
                <w:sz w:val="18"/>
                <w:szCs w:val="18"/>
              </w:rPr>
              <w:t>(3)</w:t>
            </w:r>
          </w:p>
        </w:tc>
        <w:tc>
          <w:tcPr>
            <w:tcW w:w="1275" w:type="dxa"/>
            <w:tcBorders>
              <w:top w:val="single" w:sz="4" w:space="0" w:color="auto"/>
              <w:left w:val="single" w:sz="4" w:space="0" w:color="auto"/>
              <w:bottom w:val="single" w:sz="4" w:space="0" w:color="auto"/>
              <w:right w:val="single" w:sz="4" w:space="0" w:color="auto"/>
            </w:tcBorders>
          </w:tcPr>
          <w:p w14:paraId="1CACDFFA" w14:textId="77777777" w:rsidR="000923BB" w:rsidRDefault="000923BB" w:rsidP="003A385F">
            <w:pPr>
              <w:jc w:val="center"/>
              <w:rPr>
                <w:rFonts w:cs="Arial"/>
                <w:color w:val="000000"/>
                <w:sz w:val="18"/>
                <w:szCs w:val="18"/>
              </w:rPr>
            </w:pPr>
            <w:r>
              <w:rPr>
                <w:rFonts w:cs="Arial"/>
                <w:color w:val="000000"/>
                <w:sz w:val="18"/>
                <w:szCs w:val="18"/>
              </w:rPr>
              <w:t>44</w:t>
            </w:r>
          </w:p>
          <w:p w14:paraId="2F193CA8" w14:textId="77777777" w:rsidR="000923BB" w:rsidRDefault="000923BB" w:rsidP="003A385F">
            <w:pPr>
              <w:jc w:val="center"/>
              <w:rPr>
                <w:rFonts w:cs="Arial"/>
                <w:color w:val="000000"/>
                <w:sz w:val="18"/>
                <w:szCs w:val="18"/>
              </w:rPr>
            </w:pPr>
            <w:r>
              <w:rPr>
                <w:rFonts w:cs="Arial"/>
                <w:color w:val="000000"/>
                <w:sz w:val="18"/>
                <w:szCs w:val="18"/>
              </w:rPr>
              <w:t>(16.2)</w:t>
            </w:r>
          </w:p>
        </w:tc>
        <w:tc>
          <w:tcPr>
            <w:tcW w:w="993" w:type="dxa"/>
            <w:tcBorders>
              <w:top w:val="single" w:sz="4" w:space="0" w:color="auto"/>
              <w:left w:val="single" w:sz="4" w:space="0" w:color="auto"/>
              <w:bottom w:val="single" w:sz="4" w:space="0" w:color="auto"/>
              <w:right w:val="single" w:sz="4" w:space="0" w:color="auto"/>
            </w:tcBorders>
          </w:tcPr>
          <w:p w14:paraId="7638D3C4" w14:textId="77777777" w:rsidR="000923BB" w:rsidRDefault="000923BB" w:rsidP="003A385F">
            <w:pPr>
              <w:jc w:val="center"/>
              <w:rPr>
                <w:rFonts w:cs="Arial"/>
                <w:color w:val="000000"/>
                <w:sz w:val="18"/>
                <w:szCs w:val="18"/>
              </w:rPr>
            </w:pPr>
            <w:r>
              <w:rPr>
                <w:rFonts w:cs="Arial"/>
                <w:color w:val="000000"/>
                <w:sz w:val="18"/>
                <w:szCs w:val="18"/>
              </w:rPr>
              <w:t>73</w:t>
            </w:r>
          </w:p>
          <w:p w14:paraId="7D210521" w14:textId="77777777" w:rsidR="000923BB" w:rsidRDefault="000923BB" w:rsidP="003A385F">
            <w:pPr>
              <w:jc w:val="center"/>
              <w:rPr>
                <w:rFonts w:cs="Arial"/>
                <w:color w:val="000000"/>
                <w:sz w:val="18"/>
                <w:szCs w:val="18"/>
              </w:rPr>
            </w:pPr>
            <w:r>
              <w:rPr>
                <w:rFonts w:cs="Arial"/>
                <w:color w:val="000000"/>
                <w:sz w:val="18"/>
                <w:szCs w:val="18"/>
              </w:rPr>
              <w:t>(6.7)</w:t>
            </w:r>
          </w:p>
        </w:tc>
      </w:tr>
      <w:tr w:rsidR="000923BB" w14:paraId="7D301D07" w14:textId="77777777" w:rsidTr="00823691">
        <w:trPr>
          <w:trHeight w:val="270"/>
        </w:trPr>
        <w:tc>
          <w:tcPr>
            <w:tcW w:w="1843" w:type="dxa"/>
            <w:tcBorders>
              <w:top w:val="single" w:sz="4" w:space="0" w:color="auto"/>
              <w:left w:val="single" w:sz="4" w:space="0" w:color="auto"/>
              <w:bottom w:val="single" w:sz="4" w:space="0" w:color="auto"/>
              <w:right w:val="single" w:sz="4" w:space="0" w:color="auto"/>
            </w:tcBorders>
            <w:shd w:val="clear" w:color="auto" w:fill="E0E0E0"/>
          </w:tcPr>
          <w:p w14:paraId="736E1434" w14:textId="77777777" w:rsidR="000923BB" w:rsidRDefault="000923BB" w:rsidP="003A385F">
            <w:pPr>
              <w:rPr>
                <w:rFonts w:cs="Arial"/>
                <w:b/>
                <w:bCs/>
                <w:color w:val="000000"/>
                <w:sz w:val="18"/>
                <w:szCs w:val="18"/>
              </w:rPr>
            </w:pPr>
            <w:r>
              <w:rPr>
                <w:rFonts w:cs="Arial"/>
                <w:b/>
                <w:bCs/>
                <w:color w:val="000000"/>
                <w:sz w:val="18"/>
                <w:szCs w:val="18"/>
              </w:rPr>
              <w:t>Clinical</w:t>
            </w:r>
          </w:p>
          <w:p w14:paraId="6109FBE9" w14:textId="77777777" w:rsidR="000923BB" w:rsidRDefault="000923BB" w:rsidP="003A385F">
            <w:pPr>
              <w:rPr>
                <w:rFonts w:cs="Arial"/>
                <w:b/>
                <w:bCs/>
                <w:color w:val="000000"/>
                <w:sz w:val="18"/>
                <w:szCs w:val="18"/>
              </w:rPr>
            </w:pPr>
            <w:r>
              <w:rPr>
                <w:rFonts w:cs="Arial"/>
                <w:b/>
                <w:bCs/>
                <w:color w:val="000000"/>
                <w:sz w:val="18"/>
                <w:szCs w:val="18"/>
              </w:rPr>
              <w:t xml:space="preserve"> (n = 357 reviews)</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5711FE92" w14:textId="77777777" w:rsidR="000923BB" w:rsidRDefault="000923BB" w:rsidP="003A385F">
            <w:pPr>
              <w:rPr>
                <w:rFonts w:cs="Arial"/>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E0E0E0"/>
          </w:tcPr>
          <w:p w14:paraId="68601A94" w14:textId="77777777" w:rsidR="000923BB" w:rsidRDefault="000923BB" w:rsidP="003A385F">
            <w:pPr>
              <w:rPr>
                <w:rFonts w:cs="Arial"/>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E0E0E0"/>
          </w:tcPr>
          <w:p w14:paraId="49E87D0D" w14:textId="77777777" w:rsidR="000923BB" w:rsidRDefault="000923BB" w:rsidP="003A385F">
            <w:pPr>
              <w:rPr>
                <w:rFonts w:cs="Arial"/>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E0E0E0"/>
          </w:tcPr>
          <w:p w14:paraId="77123B07" w14:textId="77777777" w:rsidR="000923BB" w:rsidRDefault="000923BB" w:rsidP="003A385F">
            <w:pPr>
              <w:rPr>
                <w:rFonts w:cs="Arial"/>
                <w:color w:val="000000"/>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0E0E0"/>
          </w:tcPr>
          <w:p w14:paraId="116F7D8C" w14:textId="77777777" w:rsidR="000923BB" w:rsidRDefault="000923BB" w:rsidP="003A385F">
            <w:pPr>
              <w:rPr>
                <w:rFonts w:cs="Arial"/>
                <w:color w:val="000000"/>
                <w:sz w:val="18"/>
                <w:szCs w:val="18"/>
              </w:rPr>
            </w:pPr>
          </w:p>
        </w:tc>
      </w:tr>
      <w:tr w:rsidR="000923BB" w14:paraId="49BD07A0" w14:textId="77777777" w:rsidTr="00823691">
        <w:trPr>
          <w:trHeight w:val="270"/>
        </w:trPr>
        <w:tc>
          <w:tcPr>
            <w:tcW w:w="1843" w:type="dxa"/>
            <w:tcBorders>
              <w:top w:val="single" w:sz="4" w:space="0" w:color="auto"/>
              <w:left w:val="single" w:sz="4" w:space="0" w:color="auto"/>
              <w:bottom w:val="single" w:sz="4" w:space="0" w:color="auto"/>
              <w:right w:val="single" w:sz="4" w:space="0" w:color="auto"/>
            </w:tcBorders>
          </w:tcPr>
          <w:p w14:paraId="39D68616" w14:textId="77777777" w:rsidR="000923BB" w:rsidRDefault="000923BB" w:rsidP="003A385F">
            <w:pPr>
              <w:rPr>
                <w:rFonts w:cs="Arial"/>
                <w:b/>
                <w:bCs/>
                <w:color w:val="000000"/>
                <w:sz w:val="18"/>
                <w:szCs w:val="18"/>
              </w:rPr>
            </w:pPr>
            <w:r>
              <w:rPr>
                <w:rFonts w:cs="Arial"/>
                <w:b/>
                <w:bCs/>
                <w:color w:val="000000"/>
                <w:sz w:val="18"/>
                <w:szCs w:val="18"/>
              </w:rPr>
              <w:t>Number of completed rating scales</w:t>
            </w:r>
          </w:p>
        </w:tc>
        <w:tc>
          <w:tcPr>
            <w:tcW w:w="1559" w:type="dxa"/>
            <w:tcBorders>
              <w:top w:val="single" w:sz="4" w:space="0" w:color="auto"/>
              <w:left w:val="single" w:sz="4" w:space="0" w:color="auto"/>
              <w:bottom w:val="single" w:sz="4" w:space="0" w:color="auto"/>
              <w:right w:val="single" w:sz="4" w:space="0" w:color="auto"/>
            </w:tcBorders>
          </w:tcPr>
          <w:p w14:paraId="75E2CD3C" w14:textId="77777777" w:rsidR="000923BB" w:rsidRDefault="000923BB" w:rsidP="003A385F">
            <w:pPr>
              <w:jc w:val="center"/>
              <w:rPr>
                <w:rFonts w:cs="Arial"/>
                <w:color w:val="000000"/>
                <w:sz w:val="18"/>
                <w:szCs w:val="18"/>
              </w:rPr>
            </w:pPr>
            <w:r>
              <w:rPr>
                <w:rFonts w:cs="Arial"/>
                <w:color w:val="000000"/>
                <w:sz w:val="18"/>
                <w:szCs w:val="18"/>
              </w:rPr>
              <w:t>341</w:t>
            </w:r>
          </w:p>
          <w:p w14:paraId="18E86F6F" w14:textId="77777777" w:rsidR="000923BB" w:rsidRDefault="000923BB" w:rsidP="003A385F">
            <w:pPr>
              <w:jc w:val="center"/>
              <w:rPr>
                <w:rFonts w:cs="Arial"/>
                <w:color w:val="000000"/>
                <w:sz w:val="18"/>
                <w:szCs w:val="18"/>
              </w:rPr>
            </w:pPr>
            <w:r>
              <w:rPr>
                <w:rFonts w:cs="Arial"/>
                <w:color w:val="000000"/>
                <w:sz w:val="18"/>
                <w:szCs w:val="18"/>
              </w:rPr>
              <w:t>(95.5)</w:t>
            </w:r>
          </w:p>
        </w:tc>
        <w:tc>
          <w:tcPr>
            <w:tcW w:w="1418" w:type="dxa"/>
            <w:tcBorders>
              <w:top w:val="single" w:sz="4" w:space="0" w:color="auto"/>
              <w:left w:val="single" w:sz="4" w:space="0" w:color="auto"/>
              <w:bottom w:val="single" w:sz="4" w:space="0" w:color="auto"/>
              <w:right w:val="single" w:sz="4" w:space="0" w:color="auto"/>
            </w:tcBorders>
          </w:tcPr>
          <w:p w14:paraId="2807B9E3" w14:textId="77777777" w:rsidR="000923BB" w:rsidRDefault="000923BB" w:rsidP="003A385F">
            <w:pPr>
              <w:jc w:val="center"/>
              <w:rPr>
                <w:rFonts w:cs="Arial"/>
                <w:color w:val="000000"/>
                <w:sz w:val="18"/>
                <w:szCs w:val="18"/>
              </w:rPr>
            </w:pPr>
            <w:r>
              <w:rPr>
                <w:rFonts w:cs="Arial"/>
                <w:color w:val="000000"/>
                <w:sz w:val="18"/>
                <w:szCs w:val="18"/>
              </w:rPr>
              <w:t>332</w:t>
            </w:r>
          </w:p>
          <w:p w14:paraId="4B72F4A8" w14:textId="77777777" w:rsidR="000923BB" w:rsidRDefault="000923BB" w:rsidP="003A385F">
            <w:pPr>
              <w:jc w:val="center"/>
              <w:rPr>
                <w:rFonts w:cs="Arial"/>
                <w:color w:val="000000"/>
                <w:sz w:val="18"/>
                <w:szCs w:val="18"/>
              </w:rPr>
            </w:pPr>
            <w:r>
              <w:rPr>
                <w:rFonts w:cs="Arial"/>
                <w:color w:val="000000"/>
                <w:sz w:val="18"/>
                <w:szCs w:val="18"/>
              </w:rPr>
              <w:t>(93)</w:t>
            </w:r>
          </w:p>
        </w:tc>
        <w:tc>
          <w:tcPr>
            <w:tcW w:w="1134" w:type="dxa"/>
            <w:tcBorders>
              <w:top w:val="single" w:sz="4" w:space="0" w:color="auto"/>
              <w:left w:val="single" w:sz="4" w:space="0" w:color="auto"/>
              <w:bottom w:val="single" w:sz="4" w:space="0" w:color="auto"/>
              <w:right w:val="single" w:sz="4" w:space="0" w:color="auto"/>
            </w:tcBorders>
          </w:tcPr>
          <w:p w14:paraId="1420BDE8" w14:textId="77777777" w:rsidR="000923BB" w:rsidRDefault="000923BB" w:rsidP="003A385F">
            <w:pPr>
              <w:jc w:val="center"/>
              <w:rPr>
                <w:rFonts w:cs="Arial"/>
                <w:color w:val="000000"/>
                <w:sz w:val="18"/>
                <w:szCs w:val="18"/>
              </w:rPr>
            </w:pPr>
            <w:r>
              <w:rPr>
                <w:rFonts w:cs="Arial"/>
                <w:color w:val="000000"/>
                <w:sz w:val="18"/>
                <w:szCs w:val="18"/>
              </w:rPr>
              <w:t>326</w:t>
            </w:r>
          </w:p>
          <w:p w14:paraId="47221DD6" w14:textId="77777777" w:rsidR="000923BB" w:rsidRDefault="000923BB" w:rsidP="003A385F">
            <w:pPr>
              <w:jc w:val="center"/>
              <w:rPr>
                <w:rFonts w:cs="Arial"/>
                <w:color w:val="000000"/>
                <w:sz w:val="18"/>
                <w:szCs w:val="18"/>
              </w:rPr>
            </w:pPr>
            <w:r>
              <w:rPr>
                <w:rFonts w:cs="Arial"/>
                <w:color w:val="000000"/>
                <w:sz w:val="18"/>
                <w:szCs w:val="18"/>
              </w:rPr>
              <w:t>(91.3)</w:t>
            </w:r>
          </w:p>
        </w:tc>
        <w:tc>
          <w:tcPr>
            <w:tcW w:w="1275" w:type="dxa"/>
            <w:tcBorders>
              <w:top w:val="single" w:sz="4" w:space="0" w:color="auto"/>
              <w:left w:val="single" w:sz="4" w:space="0" w:color="auto"/>
              <w:bottom w:val="single" w:sz="4" w:space="0" w:color="auto"/>
              <w:right w:val="single" w:sz="4" w:space="0" w:color="auto"/>
            </w:tcBorders>
          </w:tcPr>
          <w:p w14:paraId="02DF6932" w14:textId="77777777" w:rsidR="000923BB" w:rsidRDefault="000923BB" w:rsidP="003A385F">
            <w:pPr>
              <w:jc w:val="center"/>
              <w:rPr>
                <w:rFonts w:cs="Arial"/>
                <w:color w:val="000000"/>
                <w:sz w:val="18"/>
                <w:szCs w:val="18"/>
              </w:rPr>
            </w:pPr>
            <w:r>
              <w:rPr>
                <w:rFonts w:cs="Arial"/>
                <w:color w:val="000000"/>
                <w:sz w:val="18"/>
                <w:szCs w:val="18"/>
              </w:rPr>
              <w:t>353</w:t>
            </w:r>
          </w:p>
          <w:p w14:paraId="4FD35D75" w14:textId="77777777" w:rsidR="000923BB" w:rsidRDefault="000923BB" w:rsidP="003A385F">
            <w:pPr>
              <w:jc w:val="center"/>
              <w:rPr>
                <w:rFonts w:cs="Arial"/>
                <w:color w:val="000000"/>
                <w:sz w:val="18"/>
                <w:szCs w:val="18"/>
              </w:rPr>
            </w:pPr>
            <w:r>
              <w:rPr>
                <w:rFonts w:cs="Arial"/>
                <w:color w:val="000000"/>
                <w:sz w:val="18"/>
                <w:szCs w:val="18"/>
              </w:rPr>
              <w:t>(98.9)</w:t>
            </w:r>
          </w:p>
        </w:tc>
        <w:tc>
          <w:tcPr>
            <w:tcW w:w="993" w:type="dxa"/>
            <w:tcBorders>
              <w:top w:val="single" w:sz="4" w:space="0" w:color="auto"/>
              <w:left w:val="single" w:sz="4" w:space="0" w:color="auto"/>
              <w:bottom w:val="single" w:sz="4" w:space="0" w:color="auto"/>
              <w:right w:val="single" w:sz="4" w:space="0" w:color="auto"/>
            </w:tcBorders>
          </w:tcPr>
          <w:p w14:paraId="7AB5377B" w14:textId="77777777" w:rsidR="000923BB" w:rsidRDefault="000923BB" w:rsidP="003A385F">
            <w:pPr>
              <w:jc w:val="center"/>
              <w:rPr>
                <w:rFonts w:cs="Arial"/>
                <w:color w:val="000000"/>
                <w:sz w:val="18"/>
                <w:szCs w:val="18"/>
              </w:rPr>
            </w:pPr>
            <w:r>
              <w:rPr>
                <w:rFonts w:cs="Arial"/>
                <w:color w:val="000000"/>
                <w:sz w:val="18"/>
                <w:szCs w:val="18"/>
              </w:rPr>
              <w:t>1352</w:t>
            </w:r>
          </w:p>
          <w:p w14:paraId="151E62B2" w14:textId="77777777" w:rsidR="000923BB" w:rsidRDefault="000923BB" w:rsidP="003A385F">
            <w:pPr>
              <w:jc w:val="center"/>
              <w:rPr>
                <w:rFonts w:cs="Arial"/>
                <w:color w:val="000000"/>
                <w:sz w:val="18"/>
                <w:szCs w:val="18"/>
              </w:rPr>
            </w:pPr>
            <w:r>
              <w:rPr>
                <w:rFonts w:cs="Arial"/>
                <w:color w:val="000000"/>
                <w:sz w:val="18"/>
                <w:szCs w:val="18"/>
              </w:rPr>
              <w:t>(94.7)</w:t>
            </w:r>
          </w:p>
        </w:tc>
      </w:tr>
      <w:tr w:rsidR="000923BB" w14:paraId="0B658577" w14:textId="77777777" w:rsidTr="00823691">
        <w:trPr>
          <w:trHeight w:val="270"/>
        </w:trPr>
        <w:tc>
          <w:tcPr>
            <w:tcW w:w="1843" w:type="dxa"/>
            <w:tcBorders>
              <w:top w:val="single" w:sz="4" w:space="0" w:color="auto"/>
              <w:left w:val="single" w:sz="4" w:space="0" w:color="auto"/>
              <w:bottom w:val="single" w:sz="4" w:space="0" w:color="auto"/>
              <w:right w:val="single" w:sz="4" w:space="0" w:color="auto"/>
            </w:tcBorders>
          </w:tcPr>
          <w:p w14:paraId="73DA7178" w14:textId="77777777" w:rsidR="000923BB" w:rsidRDefault="000923BB" w:rsidP="003A385F">
            <w:pPr>
              <w:rPr>
                <w:rFonts w:cs="Arial"/>
                <w:b/>
                <w:bCs/>
                <w:color w:val="000000"/>
                <w:sz w:val="18"/>
                <w:szCs w:val="18"/>
              </w:rPr>
            </w:pPr>
            <w:r>
              <w:rPr>
                <w:rFonts w:cs="Arial"/>
                <w:b/>
                <w:bCs/>
                <w:color w:val="000000"/>
                <w:sz w:val="18"/>
                <w:szCs w:val="18"/>
              </w:rPr>
              <w:t>Missing  data</w:t>
            </w:r>
          </w:p>
          <w:p w14:paraId="1E3FFB76" w14:textId="77777777" w:rsidR="000923BB" w:rsidRDefault="000923BB" w:rsidP="003A385F">
            <w:pPr>
              <w:rPr>
                <w:rFonts w:cs="Arial"/>
                <w:b/>
                <w:bCs/>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tcPr>
          <w:p w14:paraId="179EA2E1" w14:textId="77777777" w:rsidR="000923BB" w:rsidRDefault="000923BB" w:rsidP="003A385F">
            <w:pPr>
              <w:jc w:val="center"/>
              <w:rPr>
                <w:rFonts w:cs="Arial"/>
                <w:color w:val="000000"/>
                <w:sz w:val="18"/>
                <w:szCs w:val="18"/>
              </w:rPr>
            </w:pPr>
            <w:r>
              <w:rPr>
                <w:rFonts w:cs="Arial"/>
                <w:color w:val="000000"/>
                <w:sz w:val="18"/>
                <w:szCs w:val="18"/>
              </w:rPr>
              <w:t>16</w:t>
            </w:r>
          </w:p>
          <w:p w14:paraId="3BDB5061" w14:textId="77777777" w:rsidR="000923BB" w:rsidRDefault="000923BB" w:rsidP="003A385F">
            <w:pPr>
              <w:jc w:val="center"/>
              <w:rPr>
                <w:rFonts w:cs="Arial"/>
                <w:color w:val="000000"/>
                <w:sz w:val="18"/>
                <w:szCs w:val="18"/>
              </w:rPr>
            </w:pPr>
            <w:r>
              <w:rPr>
                <w:rFonts w:cs="Arial"/>
                <w:color w:val="000000"/>
                <w:sz w:val="18"/>
                <w:szCs w:val="18"/>
              </w:rPr>
              <w:t>(4.5)</w:t>
            </w:r>
          </w:p>
        </w:tc>
        <w:tc>
          <w:tcPr>
            <w:tcW w:w="1418" w:type="dxa"/>
            <w:tcBorders>
              <w:top w:val="single" w:sz="4" w:space="0" w:color="auto"/>
              <w:left w:val="single" w:sz="4" w:space="0" w:color="auto"/>
              <w:bottom w:val="single" w:sz="4" w:space="0" w:color="auto"/>
              <w:right w:val="single" w:sz="4" w:space="0" w:color="auto"/>
            </w:tcBorders>
          </w:tcPr>
          <w:p w14:paraId="67A76D61" w14:textId="77777777" w:rsidR="000923BB" w:rsidRDefault="000923BB" w:rsidP="003A385F">
            <w:pPr>
              <w:jc w:val="center"/>
              <w:rPr>
                <w:rFonts w:cs="Arial"/>
                <w:color w:val="000000"/>
                <w:sz w:val="18"/>
                <w:szCs w:val="18"/>
              </w:rPr>
            </w:pPr>
            <w:r>
              <w:rPr>
                <w:rFonts w:cs="Arial"/>
                <w:color w:val="000000"/>
                <w:sz w:val="18"/>
                <w:szCs w:val="18"/>
              </w:rPr>
              <w:t>25</w:t>
            </w:r>
          </w:p>
          <w:p w14:paraId="1D1C21C5" w14:textId="77777777" w:rsidR="000923BB" w:rsidRDefault="000923BB" w:rsidP="003A385F">
            <w:pPr>
              <w:jc w:val="center"/>
              <w:rPr>
                <w:rFonts w:cs="Arial"/>
                <w:color w:val="000000"/>
                <w:sz w:val="18"/>
                <w:szCs w:val="18"/>
              </w:rPr>
            </w:pPr>
            <w:r>
              <w:rPr>
                <w:rFonts w:cs="Arial"/>
                <w:color w:val="000000"/>
                <w:sz w:val="18"/>
                <w:szCs w:val="18"/>
              </w:rPr>
              <w:t>(7)</w:t>
            </w:r>
          </w:p>
        </w:tc>
        <w:tc>
          <w:tcPr>
            <w:tcW w:w="1134" w:type="dxa"/>
            <w:tcBorders>
              <w:top w:val="single" w:sz="4" w:space="0" w:color="auto"/>
              <w:left w:val="single" w:sz="4" w:space="0" w:color="auto"/>
              <w:bottom w:val="single" w:sz="4" w:space="0" w:color="auto"/>
              <w:right w:val="single" w:sz="4" w:space="0" w:color="auto"/>
            </w:tcBorders>
          </w:tcPr>
          <w:p w14:paraId="5B483BE3" w14:textId="77777777" w:rsidR="000923BB" w:rsidRDefault="000923BB" w:rsidP="003A385F">
            <w:pPr>
              <w:jc w:val="center"/>
              <w:rPr>
                <w:rFonts w:cs="Arial"/>
                <w:color w:val="000000"/>
                <w:sz w:val="18"/>
                <w:szCs w:val="18"/>
              </w:rPr>
            </w:pPr>
            <w:r>
              <w:rPr>
                <w:rFonts w:cs="Arial"/>
                <w:color w:val="000000"/>
                <w:sz w:val="18"/>
                <w:szCs w:val="18"/>
              </w:rPr>
              <w:t>31</w:t>
            </w:r>
          </w:p>
          <w:p w14:paraId="7D2E4B94" w14:textId="77777777" w:rsidR="000923BB" w:rsidRDefault="000923BB" w:rsidP="003A385F">
            <w:pPr>
              <w:jc w:val="center"/>
              <w:rPr>
                <w:rFonts w:cs="Arial"/>
                <w:color w:val="000000"/>
                <w:sz w:val="18"/>
                <w:szCs w:val="18"/>
              </w:rPr>
            </w:pPr>
            <w:r>
              <w:rPr>
                <w:rFonts w:cs="Arial"/>
                <w:color w:val="000000"/>
                <w:sz w:val="18"/>
                <w:szCs w:val="18"/>
              </w:rPr>
              <w:t>(8.7)</w:t>
            </w:r>
          </w:p>
        </w:tc>
        <w:tc>
          <w:tcPr>
            <w:tcW w:w="1275" w:type="dxa"/>
            <w:tcBorders>
              <w:top w:val="single" w:sz="4" w:space="0" w:color="auto"/>
              <w:left w:val="single" w:sz="4" w:space="0" w:color="auto"/>
              <w:bottom w:val="single" w:sz="4" w:space="0" w:color="auto"/>
              <w:right w:val="single" w:sz="4" w:space="0" w:color="auto"/>
            </w:tcBorders>
          </w:tcPr>
          <w:p w14:paraId="74165DFB" w14:textId="77777777" w:rsidR="000923BB" w:rsidRDefault="000923BB" w:rsidP="003A385F">
            <w:pPr>
              <w:jc w:val="center"/>
              <w:rPr>
                <w:rFonts w:cs="Arial"/>
                <w:color w:val="000000"/>
                <w:sz w:val="18"/>
                <w:szCs w:val="18"/>
              </w:rPr>
            </w:pPr>
            <w:r>
              <w:rPr>
                <w:rFonts w:cs="Arial"/>
                <w:color w:val="000000"/>
                <w:sz w:val="18"/>
                <w:szCs w:val="18"/>
              </w:rPr>
              <w:t>4</w:t>
            </w:r>
          </w:p>
          <w:p w14:paraId="192051B5" w14:textId="77777777" w:rsidR="000923BB" w:rsidRDefault="000923BB" w:rsidP="003A385F">
            <w:pPr>
              <w:jc w:val="center"/>
              <w:rPr>
                <w:rFonts w:cs="Arial"/>
                <w:color w:val="000000"/>
                <w:sz w:val="18"/>
                <w:szCs w:val="18"/>
              </w:rPr>
            </w:pPr>
            <w:r>
              <w:rPr>
                <w:rFonts w:cs="Arial"/>
                <w:color w:val="000000"/>
                <w:sz w:val="18"/>
                <w:szCs w:val="18"/>
              </w:rPr>
              <w:t>(1.1)</w:t>
            </w:r>
          </w:p>
        </w:tc>
        <w:tc>
          <w:tcPr>
            <w:tcW w:w="993" w:type="dxa"/>
            <w:tcBorders>
              <w:top w:val="single" w:sz="4" w:space="0" w:color="auto"/>
              <w:left w:val="single" w:sz="4" w:space="0" w:color="auto"/>
              <w:bottom w:val="single" w:sz="4" w:space="0" w:color="auto"/>
              <w:right w:val="single" w:sz="4" w:space="0" w:color="auto"/>
            </w:tcBorders>
          </w:tcPr>
          <w:p w14:paraId="07EB5969" w14:textId="77777777" w:rsidR="000923BB" w:rsidRDefault="000923BB" w:rsidP="003A385F">
            <w:pPr>
              <w:jc w:val="center"/>
              <w:rPr>
                <w:rFonts w:cs="Arial"/>
                <w:color w:val="000000"/>
                <w:sz w:val="18"/>
                <w:szCs w:val="18"/>
              </w:rPr>
            </w:pPr>
            <w:r>
              <w:rPr>
                <w:rFonts w:cs="Arial"/>
                <w:color w:val="000000"/>
                <w:sz w:val="18"/>
                <w:szCs w:val="18"/>
              </w:rPr>
              <w:t>76</w:t>
            </w:r>
          </w:p>
          <w:p w14:paraId="6AD1BDA6" w14:textId="77777777" w:rsidR="000923BB" w:rsidRDefault="000923BB" w:rsidP="003A385F">
            <w:pPr>
              <w:jc w:val="center"/>
              <w:rPr>
                <w:rFonts w:cs="Arial"/>
                <w:color w:val="000000"/>
                <w:sz w:val="18"/>
                <w:szCs w:val="18"/>
              </w:rPr>
            </w:pPr>
            <w:r>
              <w:rPr>
                <w:rFonts w:cs="Arial"/>
                <w:color w:val="000000"/>
                <w:sz w:val="18"/>
                <w:szCs w:val="18"/>
              </w:rPr>
              <w:t>(5.3)</w:t>
            </w:r>
          </w:p>
        </w:tc>
      </w:tr>
    </w:tbl>
    <w:p w14:paraId="50BDD8F5" w14:textId="77777777" w:rsidR="000923BB" w:rsidRDefault="000923BB" w:rsidP="000923BB">
      <w:pPr>
        <w:tabs>
          <w:tab w:val="center" w:pos="3614"/>
        </w:tabs>
        <w:autoSpaceDE w:val="0"/>
        <w:autoSpaceDN w:val="0"/>
        <w:adjustRightInd w:val="0"/>
        <w:rPr>
          <w:rFonts w:cs="Arial"/>
          <w:b/>
          <w:bCs/>
          <w:color w:val="000000"/>
          <w:sz w:val="18"/>
          <w:szCs w:val="18"/>
        </w:rPr>
      </w:pPr>
    </w:p>
    <w:p w14:paraId="1E3907B9" w14:textId="77777777" w:rsidR="000923BB" w:rsidRDefault="000923BB" w:rsidP="000923BB">
      <w:pPr>
        <w:tabs>
          <w:tab w:val="center" w:pos="3614"/>
        </w:tabs>
        <w:autoSpaceDE w:val="0"/>
        <w:autoSpaceDN w:val="0"/>
        <w:adjustRightInd w:val="0"/>
        <w:rPr>
          <w:rFonts w:cs="Arial"/>
          <w:b/>
          <w:bCs/>
          <w:sz w:val="20"/>
          <w:szCs w:val="20"/>
        </w:rPr>
      </w:pPr>
    </w:p>
    <w:p w14:paraId="0CE9FA15" w14:textId="77777777" w:rsidR="000923BB" w:rsidRDefault="000923BB" w:rsidP="000923BB">
      <w:pPr>
        <w:tabs>
          <w:tab w:val="center" w:pos="3614"/>
        </w:tabs>
        <w:autoSpaceDE w:val="0"/>
        <w:autoSpaceDN w:val="0"/>
        <w:adjustRightInd w:val="0"/>
        <w:rPr>
          <w:rFonts w:cs="Arial"/>
          <w:b/>
          <w:bCs/>
          <w:sz w:val="20"/>
          <w:szCs w:val="20"/>
        </w:rPr>
      </w:pPr>
    </w:p>
    <w:p w14:paraId="072BC21D" w14:textId="77777777" w:rsidR="000923BB" w:rsidRDefault="000923BB" w:rsidP="000923BB">
      <w:pPr>
        <w:tabs>
          <w:tab w:val="center" w:pos="3614"/>
        </w:tabs>
        <w:autoSpaceDE w:val="0"/>
        <w:autoSpaceDN w:val="0"/>
        <w:adjustRightInd w:val="0"/>
        <w:rPr>
          <w:rFonts w:cs="Arial"/>
          <w:b/>
          <w:bCs/>
          <w:sz w:val="20"/>
          <w:szCs w:val="20"/>
        </w:rPr>
      </w:pPr>
    </w:p>
    <w:p w14:paraId="34C274C7" w14:textId="77777777" w:rsidR="000923BB" w:rsidRDefault="000923BB" w:rsidP="000923BB">
      <w:pPr>
        <w:tabs>
          <w:tab w:val="center" w:pos="3614"/>
        </w:tabs>
        <w:autoSpaceDE w:val="0"/>
        <w:autoSpaceDN w:val="0"/>
        <w:adjustRightInd w:val="0"/>
        <w:rPr>
          <w:rFonts w:cs="Arial"/>
          <w:b/>
          <w:bCs/>
          <w:sz w:val="20"/>
          <w:szCs w:val="20"/>
        </w:rPr>
      </w:pPr>
    </w:p>
    <w:p w14:paraId="2306D082" w14:textId="77777777" w:rsidR="000923BB" w:rsidRDefault="000923BB" w:rsidP="000923BB">
      <w:pPr>
        <w:tabs>
          <w:tab w:val="center" w:pos="3614"/>
        </w:tabs>
        <w:autoSpaceDE w:val="0"/>
        <w:autoSpaceDN w:val="0"/>
        <w:adjustRightInd w:val="0"/>
        <w:rPr>
          <w:rFonts w:cs="Arial"/>
          <w:b/>
          <w:bCs/>
          <w:sz w:val="20"/>
          <w:szCs w:val="20"/>
        </w:rPr>
      </w:pPr>
    </w:p>
    <w:p w14:paraId="5779D960" w14:textId="77777777" w:rsidR="000923BB" w:rsidRDefault="000923BB" w:rsidP="000923BB">
      <w:pPr>
        <w:tabs>
          <w:tab w:val="center" w:pos="3614"/>
        </w:tabs>
        <w:autoSpaceDE w:val="0"/>
        <w:autoSpaceDN w:val="0"/>
        <w:adjustRightInd w:val="0"/>
        <w:rPr>
          <w:rFonts w:cs="Arial"/>
          <w:b/>
          <w:bCs/>
          <w:sz w:val="20"/>
          <w:szCs w:val="20"/>
        </w:rPr>
      </w:pPr>
    </w:p>
    <w:p w14:paraId="78952305" w14:textId="77777777" w:rsidR="000923BB" w:rsidRPr="00823691" w:rsidRDefault="000923BB" w:rsidP="000923BB">
      <w:pPr>
        <w:tabs>
          <w:tab w:val="center" w:pos="3614"/>
        </w:tabs>
        <w:autoSpaceDE w:val="0"/>
        <w:autoSpaceDN w:val="0"/>
        <w:adjustRightInd w:val="0"/>
        <w:rPr>
          <w:rFonts w:cs="Arial"/>
          <w:b/>
          <w:bCs/>
          <w:color w:val="000000"/>
          <w:sz w:val="22"/>
          <w:szCs w:val="22"/>
        </w:rPr>
      </w:pPr>
      <w:r w:rsidRPr="00823691">
        <w:rPr>
          <w:rFonts w:cs="Arial"/>
          <w:b/>
          <w:bCs/>
          <w:sz w:val="22"/>
          <w:szCs w:val="22"/>
        </w:rPr>
        <w:lastRenderedPageBreak/>
        <w:t>Table 4:  Completion rates for Heart Failure holistic reviews</w:t>
      </w:r>
    </w:p>
    <w:p w14:paraId="0C6D6D48" w14:textId="77777777" w:rsidR="000923BB" w:rsidRPr="00823691" w:rsidRDefault="000923BB" w:rsidP="000923BB">
      <w:pPr>
        <w:tabs>
          <w:tab w:val="center" w:pos="3614"/>
        </w:tabs>
        <w:autoSpaceDE w:val="0"/>
        <w:autoSpaceDN w:val="0"/>
        <w:adjustRightInd w:val="0"/>
        <w:rPr>
          <w:rFonts w:cs="Arial"/>
          <w:b/>
          <w:bCs/>
          <w:color w:val="000000"/>
          <w:sz w:val="22"/>
          <w:szCs w:val="22"/>
        </w:rPr>
      </w:pPr>
    </w:p>
    <w:p w14:paraId="5D061D60" w14:textId="77777777" w:rsidR="000923BB" w:rsidRDefault="000923BB" w:rsidP="000923BB">
      <w:pPr>
        <w:tabs>
          <w:tab w:val="center" w:pos="3614"/>
        </w:tabs>
        <w:autoSpaceDE w:val="0"/>
        <w:autoSpaceDN w:val="0"/>
        <w:adjustRightInd w:val="0"/>
        <w:rPr>
          <w:rFonts w:cs="Arial"/>
          <w:b/>
          <w:bCs/>
          <w:color w:val="000000"/>
          <w:sz w:val="18"/>
          <w:szCs w:val="18"/>
        </w:rPr>
      </w:pPr>
    </w:p>
    <w:tbl>
      <w:tblPr>
        <w:tblW w:w="85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559"/>
        <w:gridCol w:w="1418"/>
        <w:gridCol w:w="1276"/>
        <w:gridCol w:w="1275"/>
        <w:gridCol w:w="1276"/>
      </w:tblGrid>
      <w:tr w:rsidR="000923BB" w14:paraId="33FAF608" w14:textId="77777777" w:rsidTr="002C52B4">
        <w:trPr>
          <w:trHeight w:val="975"/>
        </w:trPr>
        <w:tc>
          <w:tcPr>
            <w:tcW w:w="1701" w:type="dxa"/>
            <w:tcBorders>
              <w:top w:val="single" w:sz="4" w:space="0" w:color="auto"/>
              <w:left w:val="single" w:sz="4" w:space="0" w:color="auto"/>
              <w:bottom w:val="single" w:sz="4" w:space="0" w:color="auto"/>
              <w:right w:val="single" w:sz="4" w:space="0" w:color="auto"/>
            </w:tcBorders>
          </w:tcPr>
          <w:p w14:paraId="4EA1CAE2" w14:textId="77777777" w:rsidR="000923BB" w:rsidRDefault="000923BB" w:rsidP="003A385F">
            <w:pPr>
              <w:rPr>
                <w:rFonts w:cs="Arial"/>
                <w:b/>
                <w:bCs/>
                <w:color w:val="000000"/>
                <w:sz w:val="18"/>
                <w:szCs w:val="18"/>
              </w:rPr>
            </w:pPr>
            <w:r>
              <w:rPr>
                <w:rFonts w:cs="Arial"/>
                <w:b/>
                <w:bCs/>
                <w:color w:val="000000"/>
                <w:sz w:val="18"/>
                <w:szCs w:val="18"/>
              </w:rPr>
              <w:t> </w:t>
            </w:r>
          </w:p>
        </w:tc>
        <w:tc>
          <w:tcPr>
            <w:tcW w:w="1559" w:type="dxa"/>
            <w:tcBorders>
              <w:top w:val="single" w:sz="4" w:space="0" w:color="auto"/>
              <w:left w:val="single" w:sz="4" w:space="0" w:color="auto"/>
              <w:bottom w:val="single" w:sz="4" w:space="0" w:color="auto"/>
              <w:right w:val="single" w:sz="4" w:space="0" w:color="auto"/>
            </w:tcBorders>
          </w:tcPr>
          <w:p w14:paraId="2FF1263B" w14:textId="77777777" w:rsidR="000923BB" w:rsidRDefault="000923BB" w:rsidP="003A385F">
            <w:pPr>
              <w:jc w:val="center"/>
              <w:rPr>
                <w:rFonts w:cs="Arial"/>
                <w:b/>
                <w:bCs/>
                <w:color w:val="000000"/>
                <w:sz w:val="18"/>
                <w:szCs w:val="18"/>
              </w:rPr>
            </w:pPr>
            <w:r>
              <w:rPr>
                <w:rFonts w:cs="Arial"/>
                <w:b/>
                <w:bCs/>
                <w:color w:val="000000"/>
                <w:sz w:val="18"/>
                <w:szCs w:val="18"/>
              </w:rPr>
              <w:t xml:space="preserve">Admission and Investigations phase </w:t>
            </w:r>
          </w:p>
          <w:p w14:paraId="51546F03" w14:textId="77777777" w:rsidR="000923BB" w:rsidRDefault="000923BB" w:rsidP="003A385F">
            <w:pPr>
              <w:jc w:val="center"/>
              <w:rPr>
                <w:rFonts w:cs="Arial"/>
                <w:b/>
                <w:bCs/>
                <w:color w:val="000000"/>
                <w:sz w:val="18"/>
                <w:szCs w:val="18"/>
              </w:rPr>
            </w:pPr>
            <w:r>
              <w:rPr>
                <w:rFonts w:cs="Arial"/>
                <w:b/>
                <w:bCs/>
                <w:color w:val="000000"/>
                <w:sz w:val="18"/>
                <w:szCs w:val="18"/>
              </w:rPr>
              <w:t xml:space="preserve">(%) </w:t>
            </w:r>
          </w:p>
        </w:tc>
        <w:tc>
          <w:tcPr>
            <w:tcW w:w="1418" w:type="dxa"/>
            <w:tcBorders>
              <w:top w:val="single" w:sz="4" w:space="0" w:color="auto"/>
              <w:left w:val="single" w:sz="4" w:space="0" w:color="auto"/>
              <w:bottom w:val="single" w:sz="4" w:space="0" w:color="auto"/>
              <w:right w:val="single" w:sz="4" w:space="0" w:color="auto"/>
            </w:tcBorders>
          </w:tcPr>
          <w:p w14:paraId="2F33AE2B" w14:textId="77777777" w:rsidR="000923BB" w:rsidRDefault="000923BB" w:rsidP="003A385F">
            <w:pPr>
              <w:jc w:val="center"/>
              <w:rPr>
                <w:rFonts w:cs="Arial"/>
                <w:b/>
                <w:bCs/>
                <w:color w:val="000000"/>
                <w:sz w:val="18"/>
                <w:szCs w:val="18"/>
              </w:rPr>
            </w:pPr>
            <w:r>
              <w:rPr>
                <w:rFonts w:cs="Arial"/>
                <w:b/>
                <w:bCs/>
                <w:color w:val="000000"/>
                <w:sz w:val="18"/>
                <w:szCs w:val="18"/>
              </w:rPr>
              <w:t xml:space="preserve">Initial management  phase </w:t>
            </w:r>
          </w:p>
          <w:p w14:paraId="6CAD668F" w14:textId="77777777" w:rsidR="000923BB" w:rsidRDefault="000923BB" w:rsidP="003A385F">
            <w:pPr>
              <w:jc w:val="center"/>
              <w:rPr>
                <w:rFonts w:cs="Arial"/>
                <w:b/>
                <w:bCs/>
                <w:color w:val="000000"/>
                <w:sz w:val="18"/>
                <w:szCs w:val="18"/>
              </w:rPr>
            </w:pPr>
            <w:r>
              <w:rPr>
                <w:rFonts w:cs="Arial"/>
                <w:b/>
                <w:bCs/>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tcPr>
          <w:p w14:paraId="53446BF7" w14:textId="77777777" w:rsidR="000923BB" w:rsidRDefault="000923BB" w:rsidP="003A385F">
            <w:pPr>
              <w:jc w:val="center"/>
              <w:rPr>
                <w:rFonts w:cs="Arial"/>
                <w:b/>
                <w:bCs/>
                <w:color w:val="000000"/>
                <w:sz w:val="18"/>
                <w:szCs w:val="18"/>
              </w:rPr>
            </w:pPr>
            <w:r>
              <w:rPr>
                <w:rFonts w:cs="Arial"/>
                <w:b/>
                <w:bCs/>
                <w:color w:val="000000"/>
                <w:sz w:val="18"/>
                <w:szCs w:val="18"/>
              </w:rPr>
              <w:t xml:space="preserve">Pre-discharge phase </w:t>
            </w:r>
          </w:p>
          <w:p w14:paraId="02EED1DA" w14:textId="77777777" w:rsidR="000923BB" w:rsidRDefault="000923BB" w:rsidP="003A385F">
            <w:pPr>
              <w:jc w:val="center"/>
              <w:rPr>
                <w:rFonts w:cs="Arial"/>
                <w:b/>
                <w:bCs/>
                <w:color w:val="000000"/>
                <w:sz w:val="18"/>
                <w:szCs w:val="18"/>
              </w:rPr>
            </w:pPr>
            <w:r>
              <w:rPr>
                <w:rFonts w:cs="Arial"/>
                <w:b/>
                <w:bCs/>
                <w:color w:val="000000"/>
                <w:sz w:val="18"/>
                <w:szCs w:val="18"/>
              </w:rPr>
              <w:t xml:space="preserve">(%)   </w:t>
            </w:r>
          </w:p>
        </w:tc>
        <w:tc>
          <w:tcPr>
            <w:tcW w:w="1275" w:type="dxa"/>
            <w:tcBorders>
              <w:top w:val="single" w:sz="4" w:space="0" w:color="auto"/>
              <w:left w:val="single" w:sz="4" w:space="0" w:color="auto"/>
              <w:bottom w:val="single" w:sz="4" w:space="0" w:color="auto"/>
              <w:right w:val="single" w:sz="4" w:space="0" w:color="auto"/>
            </w:tcBorders>
          </w:tcPr>
          <w:p w14:paraId="1EF559FC" w14:textId="77777777" w:rsidR="000923BB" w:rsidRDefault="000923BB" w:rsidP="003A385F">
            <w:pPr>
              <w:jc w:val="center"/>
              <w:rPr>
                <w:rFonts w:cs="Arial"/>
                <w:b/>
                <w:bCs/>
                <w:color w:val="000000"/>
                <w:sz w:val="18"/>
                <w:szCs w:val="18"/>
              </w:rPr>
            </w:pPr>
            <w:r>
              <w:rPr>
                <w:rFonts w:cs="Arial"/>
                <w:b/>
                <w:bCs/>
                <w:color w:val="000000"/>
                <w:sz w:val="18"/>
                <w:szCs w:val="18"/>
              </w:rPr>
              <w:t>Overall phase</w:t>
            </w:r>
          </w:p>
          <w:p w14:paraId="4589DE75" w14:textId="77777777" w:rsidR="000923BB" w:rsidRDefault="000923BB" w:rsidP="003A385F">
            <w:pPr>
              <w:jc w:val="center"/>
              <w:rPr>
                <w:rFonts w:cs="Arial"/>
                <w:b/>
                <w:bCs/>
                <w:color w:val="000000"/>
                <w:sz w:val="18"/>
                <w:szCs w:val="18"/>
              </w:rPr>
            </w:pPr>
            <w:r>
              <w:rPr>
                <w:rFonts w:cs="Arial"/>
                <w:b/>
                <w:bCs/>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tcPr>
          <w:p w14:paraId="55280B0A" w14:textId="77777777" w:rsidR="000923BB" w:rsidRDefault="000923BB" w:rsidP="003A385F">
            <w:pPr>
              <w:jc w:val="center"/>
              <w:rPr>
                <w:rFonts w:cs="Arial"/>
                <w:b/>
                <w:bCs/>
                <w:color w:val="000000"/>
                <w:sz w:val="18"/>
                <w:szCs w:val="18"/>
              </w:rPr>
            </w:pPr>
            <w:r>
              <w:rPr>
                <w:rFonts w:cs="Arial"/>
                <w:b/>
                <w:bCs/>
                <w:color w:val="000000"/>
                <w:sz w:val="18"/>
                <w:szCs w:val="18"/>
              </w:rPr>
              <w:t xml:space="preserve">Total </w:t>
            </w:r>
          </w:p>
          <w:p w14:paraId="7C3C64FB" w14:textId="77777777" w:rsidR="000923BB" w:rsidRDefault="000923BB" w:rsidP="003A385F">
            <w:pPr>
              <w:jc w:val="center"/>
              <w:rPr>
                <w:rFonts w:cs="Arial"/>
                <w:b/>
                <w:bCs/>
                <w:color w:val="000000"/>
                <w:sz w:val="18"/>
                <w:szCs w:val="18"/>
              </w:rPr>
            </w:pPr>
            <w:r>
              <w:rPr>
                <w:rFonts w:cs="Arial"/>
                <w:b/>
                <w:bCs/>
                <w:color w:val="000000"/>
                <w:sz w:val="18"/>
                <w:szCs w:val="18"/>
              </w:rPr>
              <w:t>(%)</w:t>
            </w:r>
          </w:p>
        </w:tc>
      </w:tr>
      <w:tr w:rsidR="000923BB" w14:paraId="74827012" w14:textId="77777777" w:rsidTr="002C52B4">
        <w:trPr>
          <w:trHeight w:val="270"/>
        </w:trPr>
        <w:tc>
          <w:tcPr>
            <w:tcW w:w="1701" w:type="dxa"/>
            <w:tcBorders>
              <w:top w:val="single" w:sz="4" w:space="0" w:color="auto"/>
              <w:left w:val="single" w:sz="4" w:space="0" w:color="auto"/>
              <w:bottom w:val="single" w:sz="4" w:space="0" w:color="auto"/>
              <w:right w:val="single" w:sz="4" w:space="0" w:color="auto"/>
            </w:tcBorders>
            <w:shd w:val="clear" w:color="auto" w:fill="E0E0E0"/>
          </w:tcPr>
          <w:p w14:paraId="3DBD6CB2" w14:textId="77777777" w:rsidR="000923BB" w:rsidRDefault="000923BB" w:rsidP="003A385F">
            <w:pPr>
              <w:rPr>
                <w:rFonts w:cs="Arial"/>
                <w:b/>
                <w:bCs/>
                <w:color w:val="000000"/>
                <w:sz w:val="18"/>
                <w:szCs w:val="18"/>
              </w:rPr>
            </w:pPr>
            <w:r>
              <w:rPr>
                <w:rFonts w:cs="Arial"/>
                <w:b/>
                <w:bCs/>
                <w:color w:val="000000"/>
                <w:sz w:val="18"/>
                <w:szCs w:val="18"/>
              </w:rPr>
              <w:t xml:space="preserve">Doctors </w:t>
            </w:r>
          </w:p>
          <w:p w14:paraId="26FFAFB3" w14:textId="77777777" w:rsidR="000923BB" w:rsidRDefault="000923BB" w:rsidP="003A385F">
            <w:pPr>
              <w:rPr>
                <w:rFonts w:cs="Arial"/>
                <w:b/>
                <w:bCs/>
                <w:color w:val="000000"/>
                <w:sz w:val="18"/>
                <w:szCs w:val="18"/>
              </w:rPr>
            </w:pPr>
            <w:r>
              <w:rPr>
                <w:rFonts w:cs="Arial"/>
                <w:b/>
                <w:bCs/>
                <w:color w:val="000000"/>
                <w:sz w:val="18"/>
                <w:szCs w:val="18"/>
              </w:rPr>
              <w:t>(n =  330 reviews)</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3A0420FF" w14:textId="77777777" w:rsidR="000923BB" w:rsidRDefault="000923BB" w:rsidP="003A385F">
            <w:pPr>
              <w:jc w:val="right"/>
              <w:rPr>
                <w:rFonts w:cs="Arial"/>
                <w:color w:val="000000"/>
                <w:sz w:val="18"/>
                <w:szCs w:val="18"/>
              </w:rPr>
            </w:pPr>
            <w:r>
              <w:rPr>
                <w:rFonts w:cs="Arial"/>
                <w:color w:val="000000"/>
                <w:sz w:val="18"/>
                <w:szCs w:val="18"/>
              </w:rPr>
              <w:t> </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14:paraId="4B72AE9A" w14:textId="77777777" w:rsidR="000923BB" w:rsidRDefault="000923BB" w:rsidP="003A385F">
            <w:pPr>
              <w:jc w:val="right"/>
              <w:rPr>
                <w:rFonts w:cs="Arial"/>
                <w:color w:val="000000"/>
                <w:sz w:val="18"/>
                <w:szCs w:val="18"/>
              </w:rPr>
            </w:pPr>
            <w:r>
              <w:rPr>
                <w:rFonts w:cs="Arial"/>
                <w:color w:val="000000"/>
                <w:sz w:val="18"/>
                <w:szCs w:val="18"/>
              </w:rPr>
              <w:t> </w:t>
            </w:r>
          </w:p>
        </w:tc>
        <w:tc>
          <w:tcPr>
            <w:tcW w:w="1276" w:type="dxa"/>
            <w:tcBorders>
              <w:top w:val="single" w:sz="4" w:space="0" w:color="auto"/>
              <w:left w:val="single" w:sz="4" w:space="0" w:color="auto"/>
              <w:bottom w:val="single" w:sz="4" w:space="0" w:color="auto"/>
              <w:right w:val="single" w:sz="4" w:space="0" w:color="auto"/>
            </w:tcBorders>
            <w:shd w:val="clear" w:color="auto" w:fill="E0E0E0"/>
          </w:tcPr>
          <w:p w14:paraId="09A12D3B" w14:textId="77777777" w:rsidR="000923BB" w:rsidRDefault="000923BB" w:rsidP="003A385F">
            <w:pPr>
              <w:jc w:val="right"/>
              <w:rPr>
                <w:rFonts w:cs="Arial"/>
                <w:color w:val="000000"/>
                <w:sz w:val="18"/>
                <w:szCs w:val="18"/>
              </w:rPr>
            </w:pPr>
            <w:r>
              <w:rPr>
                <w:rFonts w:cs="Arial"/>
                <w:color w:val="000000"/>
                <w:sz w:val="18"/>
                <w:szCs w:val="18"/>
              </w:rPr>
              <w:t> </w:t>
            </w:r>
          </w:p>
        </w:tc>
        <w:tc>
          <w:tcPr>
            <w:tcW w:w="1275" w:type="dxa"/>
            <w:tcBorders>
              <w:top w:val="single" w:sz="4" w:space="0" w:color="auto"/>
              <w:left w:val="single" w:sz="4" w:space="0" w:color="auto"/>
              <w:bottom w:val="single" w:sz="4" w:space="0" w:color="auto"/>
              <w:right w:val="single" w:sz="4" w:space="0" w:color="auto"/>
            </w:tcBorders>
            <w:shd w:val="clear" w:color="auto" w:fill="E0E0E0"/>
          </w:tcPr>
          <w:p w14:paraId="0750D766" w14:textId="77777777" w:rsidR="000923BB" w:rsidRDefault="000923BB" w:rsidP="003A385F">
            <w:pPr>
              <w:rPr>
                <w:rFonts w:cs="Arial"/>
                <w:color w:val="000000"/>
                <w:sz w:val="18"/>
                <w:szCs w:val="18"/>
              </w:rPr>
            </w:pPr>
            <w:r>
              <w:rPr>
                <w:rFonts w:cs="Arial"/>
                <w:color w:val="000000"/>
                <w:sz w:val="18"/>
                <w:szCs w:val="18"/>
              </w:rPr>
              <w:t> </w:t>
            </w:r>
          </w:p>
        </w:tc>
        <w:tc>
          <w:tcPr>
            <w:tcW w:w="1276" w:type="dxa"/>
            <w:tcBorders>
              <w:top w:val="single" w:sz="4" w:space="0" w:color="auto"/>
              <w:left w:val="single" w:sz="4" w:space="0" w:color="auto"/>
              <w:bottom w:val="single" w:sz="4" w:space="0" w:color="auto"/>
              <w:right w:val="single" w:sz="4" w:space="0" w:color="auto"/>
            </w:tcBorders>
            <w:shd w:val="clear" w:color="auto" w:fill="E0E0E0"/>
          </w:tcPr>
          <w:p w14:paraId="436428EA" w14:textId="77777777" w:rsidR="000923BB" w:rsidRDefault="000923BB" w:rsidP="003A385F">
            <w:pPr>
              <w:rPr>
                <w:rFonts w:cs="Arial"/>
                <w:color w:val="000000"/>
                <w:sz w:val="18"/>
                <w:szCs w:val="18"/>
              </w:rPr>
            </w:pPr>
          </w:p>
        </w:tc>
      </w:tr>
      <w:tr w:rsidR="000923BB" w14:paraId="4594CC63" w14:textId="77777777" w:rsidTr="002C52B4">
        <w:trPr>
          <w:trHeight w:val="611"/>
        </w:trPr>
        <w:tc>
          <w:tcPr>
            <w:tcW w:w="1701" w:type="dxa"/>
            <w:tcBorders>
              <w:top w:val="single" w:sz="4" w:space="0" w:color="auto"/>
              <w:left w:val="single" w:sz="4" w:space="0" w:color="auto"/>
              <w:bottom w:val="single" w:sz="4" w:space="0" w:color="auto"/>
              <w:right w:val="single" w:sz="4" w:space="0" w:color="auto"/>
            </w:tcBorders>
          </w:tcPr>
          <w:p w14:paraId="4B12654A" w14:textId="77777777" w:rsidR="000923BB" w:rsidRDefault="000923BB" w:rsidP="003A385F">
            <w:pPr>
              <w:rPr>
                <w:rFonts w:cs="Arial"/>
                <w:b/>
                <w:bCs/>
                <w:color w:val="000000"/>
                <w:sz w:val="18"/>
                <w:szCs w:val="18"/>
              </w:rPr>
            </w:pPr>
            <w:r>
              <w:rPr>
                <w:rFonts w:cs="Arial"/>
                <w:b/>
                <w:bCs/>
                <w:color w:val="000000"/>
                <w:sz w:val="18"/>
                <w:szCs w:val="18"/>
              </w:rPr>
              <w:t>Number of completed rating scales</w:t>
            </w:r>
          </w:p>
        </w:tc>
        <w:tc>
          <w:tcPr>
            <w:tcW w:w="1559" w:type="dxa"/>
            <w:tcBorders>
              <w:top w:val="single" w:sz="4" w:space="0" w:color="auto"/>
              <w:left w:val="single" w:sz="4" w:space="0" w:color="auto"/>
              <w:bottom w:val="single" w:sz="4" w:space="0" w:color="auto"/>
              <w:right w:val="single" w:sz="4" w:space="0" w:color="auto"/>
            </w:tcBorders>
          </w:tcPr>
          <w:p w14:paraId="1BC4A060" w14:textId="77777777" w:rsidR="000923BB" w:rsidRDefault="000923BB" w:rsidP="003A385F">
            <w:pPr>
              <w:jc w:val="center"/>
              <w:rPr>
                <w:rFonts w:cs="Arial"/>
                <w:color w:val="000000"/>
                <w:sz w:val="18"/>
                <w:szCs w:val="18"/>
              </w:rPr>
            </w:pPr>
            <w:r>
              <w:rPr>
                <w:rFonts w:cs="Arial"/>
                <w:color w:val="000000"/>
                <w:sz w:val="18"/>
                <w:szCs w:val="18"/>
              </w:rPr>
              <w:t>320</w:t>
            </w:r>
          </w:p>
          <w:p w14:paraId="61494A34" w14:textId="77777777" w:rsidR="000923BB" w:rsidRDefault="000923BB" w:rsidP="003A385F">
            <w:pPr>
              <w:jc w:val="center"/>
              <w:rPr>
                <w:rFonts w:cs="Arial"/>
                <w:color w:val="000000"/>
                <w:sz w:val="18"/>
                <w:szCs w:val="18"/>
              </w:rPr>
            </w:pPr>
            <w:r>
              <w:rPr>
                <w:rFonts w:cs="Arial"/>
                <w:color w:val="000000"/>
                <w:sz w:val="18"/>
                <w:szCs w:val="18"/>
              </w:rPr>
              <w:t>(97)</w:t>
            </w:r>
          </w:p>
        </w:tc>
        <w:tc>
          <w:tcPr>
            <w:tcW w:w="1418" w:type="dxa"/>
            <w:tcBorders>
              <w:top w:val="single" w:sz="4" w:space="0" w:color="auto"/>
              <w:left w:val="single" w:sz="4" w:space="0" w:color="auto"/>
              <w:bottom w:val="single" w:sz="4" w:space="0" w:color="auto"/>
              <w:right w:val="single" w:sz="4" w:space="0" w:color="auto"/>
            </w:tcBorders>
          </w:tcPr>
          <w:p w14:paraId="53B0AA18" w14:textId="77777777" w:rsidR="000923BB" w:rsidRDefault="000923BB" w:rsidP="003A385F">
            <w:pPr>
              <w:jc w:val="center"/>
              <w:rPr>
                <w:rFonts w:cs="Arial"/>
                <w:color w:val="000000"/>
                <w:sz w:val="18"/>
                <w:szCs w:val="18"/>
              </w:rPr>
            </w:pPr>
            <w:r>
              <w:rPr>
                <w:rFonts w:cs="Arial"/>
                <w:color w:val="000000"/>
                <w:sz w:val="18"/>
                <w:szCs w:val="18"/>
              </w:rPr>
              <w:t>323</w:t>
            </w:r>
          </w:p>
          <w:p w14:paraId="3B7A4890" w14:textId="77777777" w:rsidR="000923BB" w:rsidRDefault="000923BB" w:rsidP="003A385F">
            <w:pPr>
              <w:jc w:val="center"/>
              <w:rPr>
                <w:rFonts w:cs="Arial"/>
                <w:color w:val="000000"/>
                <w:sz w:val="18"/>
                <w:szCs w:val="18"/>
              </w:rPr>
            </w:pPr>
            <w:r>
              <w:rPr>
                <w:rFonts w:cs="Arial"/>
                <w:color w:val="000000"/>
                <w:sz w:val="18"/>
                <w:szCs w:val="18"/>
              </w:rPr>
              <w:t>(98)</w:t>
            </w:r>
          </w:p>
        </w:tc>
        <w:tc>
          <w:tcPr>
            <w:tcW w:w="1276" w:type="dxa"/>
            <w:tcBorders>
              <w:top w:val="single" w:sz="4" w:space="0" w:color="auto"/>
              <w:left w:val="single" w:sz="4" w:space="0" w:color="auto"/>
              <w:bottom w:val="single" w:sz="4" w:space="0" w:color="auto"/>
              <w:right w:val="single" w:sz="4" w:space="0" w:color="auto"/>
            </w:tcBorders>
          </w:tcPr>
          <w:p w14:paraId="5D3EA117" w14:textId="77777777" w:rsidR="000923BB" w:rsidRDefault="000923BB" w:rsidP="003A385F">
            <w:pPr>
              <w:jc w:val="center"/>
              <w:rPr>
                <w:rFonts w:cs="Arial"/>
                <w:color w:val="000000"/>
                <w:sz w:val="18"/>
                <w:szCs w:val="18"/>
              </w:rPr>
            </w:pPr>
            <w:r>
              <w:rPr>
                <w:rFonts w:cs="Arial"/>
                <w:color w:val="000000"/>
                <w:sz w:val="18"/>
                <w:szCs w:val="18"/>
              </w:rPr>
              <w:t>300</w:t>
            </w:r>
          </w:p>
          <w:p w14:paraId="46B6D4F5" w14:textId="77777777" w:rsidR="000923BB" w:rsidRDefault="000923BB" w:rsidP="003A385F">
            <w:pPr>
              <w:jc w:val="center"/>
              <w:rPr>
                <w:rFonts w:cs="Arial"/>
                <w:color w:val="000000"/>
                <w:sz w:val="18"/>
                <w:szCs w:val="18"/>
              </w:rPr>
            </w:pPr>
            <w:r>
              <w:rPr>
                <w:rFonts w:cs="Arial"/>
                <w:color w:val="000000"/>
                <w:sz w:val="18"/>
                <w:szCs w:val="18"/>
              </w:rPr>
              <w:t>(91)</w:t>
            </w:r>
          </w:p>
        </w:tc>
        <w:tc>
          <w:tcPr>
            <w:tcW w:w="1275" w:type="dxa"/>
            <w:tcBorders>
              <w:top w:val="single" w:sz="4" w:space="0" w:color="auto"/>
              <w:left w:val="single" w:sz="4" w:space="0" w:color="auto"/>
              <w:bottom w:val="single" w:sz="4" w:space="0" w:color="auto"/>
              <w:right w:val="single" w:sz="4" w:space="0" w:color="auto"/>
            </w:tcBorders>
          </w:tcPr>
          <w:p w14:paraId="6F14A087" w14:textId="77777777" w:rsidR="000923BB" w:rsidRDefault="000923BB" w:rsidP="003A385F">
            <w:pPr>
              <w:jc w:val="center"/>
              <w:rPr>
                <w:rFonts w:cs="Arial"/>
                <w:color w:val="000000"/>
                <w:sz w:val="18"/>
                <w:szCs w:val="18"/>
              </w:rPr>
            </w:pPr>
            <w:r>
              <w:rPr>
                <w:rFonts w:cs="Arial"/>
                <w:color w:val="000000"/>
                <w:sz w:val="18"/>
                <w:szCs w:val="18"/>
              </w:rPr>
              <w:t>322</w:t>
            </w:r>
          </w:p>
          <w:p w14:paraId="055F5FF8" w14:textId="77777777" w:rsidR="000923BB" w:rsidRDefault="000923BB" w:rsidP="003A385F">
            <w:pPr>
              <w:jc w:val="center"/>
              <w:rPr>
                <w:rFonts w:cs="Arial"/>
                <w:color w:val="000000"/>
                <w:sz w:val="18"/>
                <w:szCs w:val="18"/>
              </w:rPr>
            </w:pPr>
            <w:r>
              <w:rPr>
                <w:rFonts w:cs="Arial"/>
                <w:color w:val="000000"/>
                <w:sz w:val="18"/>
                <w:szCs w:val="18"/>
              </w:rPr>
              <w:t>(98)</w:t>
            </w:r>
          </w:p>
        </w:tc>
        <w:tc>
          <w:tcPr>
            <w:tcW w:w="1276" w:type="dxa"/>
            <w:tcBorders>
              <w:top w:val="single" w:sz="4" w:space="0" w:color="auto"/>
              <w:left w:val="single" w:sz="4" w:space="0" w:color="auto"/>
              <w:bottom w:val="single" w:sz="4" w:space="0" w:color="auto"/>
              <w:right w:val="single" w:sz="4" w:space="0" w:color="auto"/>
            </w:tcBorders>
          </w:tcPr>
          <w:p w14:paraId="36F16990" w14:textId="77777777" w:rsidR="000923BB" w:rsidRDefault="000923BB" w:rsidP="003A385F">
            <w:pPr>
              <w:jc w:val="center"/>
              <w:rPr>
                <w:rFonts w:cs="Arial"/>
                <w:color w:val="000000"/>
                <w:sz w:val="18"/>
                <w:szCs w:val="18"/>
              </w:rPr>
            </w:pPr>
            <w:r>
              <w:rPr>
                <w:rFonts w:cs="Arial"/>
                <w:color w:val="000000"/>
                <w:sz w:val="18"/>
                <w:szCs w:val="18"/>
              </w:rPr>
              <w:t>1265</w:t>
            </w:r>
          </w:p>
          <w:p w14:paraId="666B8331" w14:textId="77777777" w:rsidR="000923BB" w:rsidRDefault="000923BB" w:rsidP="003A385F">
            <w:pPr>
              <w:jc w:val="center"/>
              <w:rPr>
                <w:rFonts w:cs="Arial"/>
                <w:color w:val="000000"/>
                <w:sz w:val="18"/>
                <w:szCs w:val="18"/>
              </w:rPr>
            </w:pPr>
            <w:r>
              <w:rPr>
                <w:rFonts w:cs="Arial"/>
                <w:color w:val="000000"/>
                <w:sz w:val="18"/>
                <w:szCs w:val="18"/>
              </w:rPr>
              <w:t>(96)</w:t>
            </w:r>
          </w:p>
        </w:tc>
      </w:tr>
      <w:tr w:rsidR="000923BB" w14:paraId="5C6B766B" w14:textId="77777777" w:rsidTr="002C52B4">
        <w:trPr>
          <w:trHeight w:val="535"/>
        </w:trPr>
        <w:tc>
          <w:tcPr>
            <w:tcW w:w="1701" w:type="dxa"/>
            <w:tcBorders>
              <w:top w:val="single" w:sz="4" w:space="0" w:color="auto"/>
              <w:left w:val="single" w:sz="4" w:space="0" w:color="auto"/>
              <w:bottom w:val="single" w:sz="4" w:space="0" w:color="auto"/>
              <w:right w:val="single" w:sz="4" w:space="0" w:color="auto"/>
            </w:tcBorders>
          </w:tcPr>
          <w:p w14:paraId="7871C6C8" w14:textId="77777777" w:rsidR="000923BB" w:rsidRDefault="000923BB" w:rsidP="003A385F">
            <w:pPr>
              <w:rPr>
                <w:rFonts w:cs="Arial"/>
                <w:b/>
                <w:bCs/>
                <w:color w:val="000000"/>
                <w:sz w:val="18"/>
                <w:szCs w:val="18"/>
              </w:rPr>
            </w:pPr>
            <w:r>
              <w:rPr>
                <w:rFonts w:cs="Arial"/>
                <w:b/>
                <w:bCs/>
                <w:color w:val="000000"/>
                <w:sz w:val="18"/>
                <w:szCs w:val="18"/>
              </w:rPr>
              <w:t>Missing  data</w:t>
            </w:r>
          </w:p>
        </w:tc>
        <w:tc>
          <w:tcPr>
            <w:tcW w:w="1559" w:type="dxa"/>
            <w:tcBorders>
              <w:top w:val="single" w:sz="4" w:space="0" w:color="auto"/>
              <w:left w:val="single" w:sz="4" w:space="0" w:color="auto"/>
              <w:bottom w:val="single" w:sz="4" w:space="0" w:color="auto"/>
              <w:right w:val="single" w:sz="4" w:space="0" w:color="auto"/>
            </w:tcBorders>
          </w:tcPr>
          <w:p w14:paraId="3FE3D82C" w14:textId="77777777" w:rsidR="000923BB" w:rsidRDefault="000923BB" w:rsidP="003A385F">
            <w:pPr>
              <w:jc w:val="center"/>
              <w:rPr>
                <w:rFonts w:cs="Arial"/>
                <w:color w:val="000000"/>
                <w:sz w:val="18"/>
                <w:szCs w:val="18"/>
              </w:rPr>
            </w:pPr>
            <w:r>
              <w:rPr>
                <w:rFonts w:cs="Arial"/>
                <w:color w:val="000000"/>
                <w:sz w:val="18"/>
                <w:szCs w:val="18"/>
              </w:rPr>
              <w:t>10</w:t>
            </w:r>
          </w:p>
          <w:p w14:paraId="22E8F105" w14:textId="77777777" w:rsidR="000923BB" w:rsidRDefault="000923BB" w:rsidP="003A385F">
            <w:pPr>
              <w:jc w:val="center"/>
              <w:rPr>
                <w:rFonts w:cs="Arial"/>
                <w:color w:val="000000"/>
                <w:sz w:val="18"/>
                <w:szCs w:val="18"/>
              </w:rPr>
            </w:pPr>
            <w:r>
              <w:rPr>
                <w:rFonts w:cs="Arial"/>
                <w:color w:val="000000"/>
                <w:sz w:val="18"/>
                <w:szCs w:val="18"/>
              </w:rPr>
              <w:t>(3)</w:t>
            </w:r>
          </w:p>
        </w:tc>
        <w:tc>
          <w:tcPr>
            <w:tcW w:w="1418" w:type="dxa"/>
            <w:tcBorders>
              <w:top w:val="single" w:sz="4" w:space="0" w:color="auto"/>
              <w:left w:val="single" w:sz="4" w:space="0" w:color="auto"/>
              <w:bottom w:val="single" w:sz="4" w:space="0" w:color="auto"/>
              <w:right w:val="single" w:sz="4" w:space="0" w:color="auto"/>
            </w:tcBorders>
          </w:tcPr>
          <w:p w14:paraId="5D7308E8" w14:textId="77777777" w:rsidR="000923BB" w:rsidRDefault="000923BB" w:rsidP="003A385F">
            <w:pPr>
              <w:jc w:val="center"/>
              <w:rPr>
                <w:rFonts w:cs="Arial"/>
                <w:color w:val="000000"/>
                <w:sz w:val="18"/>
                <w:szCs w:val="18"/>
              </w:rPr>
            </w:pPr>
            <w:r>
              <w:rPr>
                <w:rFonts w:cs="Arial"/>
                <w:color w:val="000000"/>
                <w:sz w:val="18"/>
                <w:szCs w:val="18"/>
              </w:rPr>
              <w:t>7</w:t>
            </w:r>
          </w:p>
          <w:p w14:paraId="2129A00C" w14:textId="77777777" w:rsidR="000923BB" w:rsidRDefault="000923BB" w:rsidP="003A385F">
            <w:pPr>
              <w:jc w:val="center"/>
              <w:rPr>
                <w:rFonts w:cs="Arial"/>
                <w:color w:val="000000"/>
                <w:sz w:val="18"/>
                <w:szCs w:val="18"/>
              </w:rPr>
            </w:pPr>
            <w:r>
              <w:rPr>
                <w:rFonts w:cs="Arial"/>
                <w:color w:val="000000"/>
                <w:sz w:val="18"/>
                <w:szCs w:val="18"/>
              </w:rPr>
              <w:t>(2)</w:t>
            </w:r>
          </w:p>
        </w:tc>
        <w:tc>
          <w:tcPr>
            <w:tcW w:w="1276" w:type="dxa"/>
            <w:tcBorders>
              <w:top w:val="single" w:sz="4" w:space="0" w:color="auto"/>
              <w:left w:val="single" w:sz="4" w:space="0" w:color="auto"/>
              <w:bottom w:val="single" w:sz="4" w:space="0" w:color="auto"/>
              <w:right w:val="single" w:sz="4" w:space="0" w:color="auto"/>
            </w:tcBorders>
          </w:tcPr>
          <w:p w14:paraId="54EDB830" w14:textId="77777777" w:rsidR="000923BB" w:rsidRDefault="000923BB" w:rsidP="003A385F">
            <w:pPr>
              <w:jc w:val="center"/>
              <w:rPr>
                <w:rFonts w:cs="Arial"/>
                <w:color w:val="000000"/>
                <w:sz w:val="18"/>
                <w:szCs w:val="18"/>
              </w:rPr>
            </w:pPr>
            <w:r>
              <w:rPr>
                <w:rFonts w:cs="Arial"/>
                <w:color w:val="000000"/>
                <w:sz w:val="18"/>
                <w:szCs w:val="18"/>
              </w:rPr>
              <w:t>30</w:t>
            </w:r>
          </w:p>
          <w:p w14:paraId="3EBFDC62" w14:textId="77777777" w:rsidR="000923BB" w:rsidRDefault="000923BB" w:rsidP="003A385F">
            <w:pPr>
              <w:jc w:val="center"/>
              <w:rPr>
                <w:rFonts w:cs="Arial"/>
                <w:color w:val="000000"/>
                <w:sz w:val="18"/>
                <w:szCs w:val="18"/>
              </w:rPr>
            </w:pPr>
            <w:r>
              <w:rPr>
                <w:rFonts w:cs="Arial"/>
                <w:color w:val="000000"/>
                <w:sz w:val="18"/>
                <w:szCs w:val="18"/>
              </w:rPr>
              <w:t>(9)</w:t>
            </w:r>
          </w:p>
        </w:tc>
        <w:tc>
          <w:tcPr>
            <w:tcW w:w="1275" w:type="dxa"/>
            <w:tcBorders>
              <w:top w:val="single" w:sz="4" w:space="0" w:color="auto"/>
              <w:left w:val="single" w:sz="4" w:space="0" w:color="auto"/>
              <w:bottom w:val="single" w:sz="4" w:space="0" w:color="auto"/>
              <w:right w:val="single" w:sz="4" w:space="0" w:color="auto"/>
            </w:tcBorders>
          </w:tcPr>
          <w:p w14:paraId="6176785C" w14:textId="77777777" w:rsidR="000923BB" w:rsidRDefault="000923BB" w:rsidP="003A385F">
            <w:pPr>
              <w:jc w:val="center"/>
              <w:rPr>
                <w:rFonts w:cs="Arial"/>
                <w:color w:val="000000"/>
                <w:sz w:val="18"/>
                <w:szCs w:val="18"/>
              </w:rPr>
            </w:pPr>
            <w:r>
              <w:rPr>
                <w:rFonts w:cs="Arial"/>
                <w:color w:val="000000"/>
                <w:sz w:val="18"/>
                <w:szCs w:val="18"/>
              </w:rPr>
              <w:t>8</w:t>
            </w:r>
          </w:p>
          <w:p w14:paraId="18F45CAE" w14:textId="77777777" w:rsidR="000923BB" w:rsidRDefault="000923BB" w:rsidP="003A385F">
            <w:pPr>
              <w:jc w:val="center"/>
              <w:rPr>
                <w:rFonts w:cs="Arial"/>
                <w:color w:val="000000"/>
                <w:sz w:val="18"/>
                <w:szCs w:val="18"/>
              </w:rPr>
            </w:pPr>
            <w:r>
              <w:rPr>
                <w:rFonts w:cs="Arial"/>
                <w:color w:val="000000"/>
                <w:sz w:val="18"/>
                <w:szCs w:val="18"/>
              </w:rPr>
              <w:t>(2)</w:t>
            </w:r>
          </w:p>
        </w:tc>
        <w:tc>
          <w:tcPr>
            <w:tcW w:w="1276" w:type="dxa"/>
            <w:tcBorders>
              <w:top w:val="single" w:sz="4" w:space="0" w:color="auto"/>
              <w:left w:val="single" w:sz="4" w:space="0" w:color="auto"/>
              <w:bottom w:val="single" w:sz="4" w:space="0" w:color="auto"/>
              <w:right w:val="single" w:sz="4" w:space="0" w:color="auto"/>
            </w:tcBorders>
          </w:tcPr>
          <w:p w14:paraId="71945154" w14:textId="77777777" w:rsidR="000923BB" w:rsidRDefault="000923BB" w:rsidP="003A385F">
            <w:pPr>
              <w:jc w:val="center"/>
              <w:rPr>
                <w:rFonts w:cs="Arial"/>
                <w:color w:val="000000"/>
                <w:sz w:val="18"/>
                <w:szCs w:val="18"/>
              </w:rPr>
            </w:pPr>
            <w:r>
              <w:rPr>
                <w:rFonts w:cs="Arial"/>
                <w:color w:val="000000"/>
                <w:sz w:val="18"/>
                <w:szCs w:val="18"/>
              </w:rPr>
              <w:t>55</w:t>
            </w:r>
          </w:p>
          <w:p w14:paraId="620106B7" w14:textId="77777777" w:rsidR="000923BB" w:rsidRDefault="000923BB" w:rsidP="003A385F">
            <w:pPr>
              <w:jc w:val="center"/>
              <w:rPr>
                <w:rFonts w:cs="Arial"/>
                <w:color w:val="000000"/>
                <w:sz w:val="18"/>
                <w:szCs w:val="18"/>
              </w:rPr>
            </w:pPr>
            <w:r>
              <w:rPr>
                <w:rFonts w:cs="Arial"/>
                <w:color w:val="000000"/>
                <w:sz w:val="18"/>
                <w:szCs w:val="18"/>
              </w:rPr>
              <w:t>(4)</w:t>
            </w:r>
          </w:p>
        </w:tc>
      </w:tr>
      <w:tr w:rsidR="000923BB" w14:paraId="1862AFB9" w14:textId="77777777" w:rsidTr="002C52B4">
        <w:trPr>
          <w:trHeight w:val="270"/>
        </w:trPr>
        <w:tc>
          <w:tcPr>
            <w:tcW w:w="1701" w:type="dxa"/>
            <w:tcBorders>
              <w:top w:val="single" w:sz="4" w:space="0" w:color="auto"/>
              <w:left w:val="single" w:sz="4" w:space="0" w:color="auto"/>
              <w:bottom w:val="single" w:sz="4" w:space="0" w:color="auto"/>
              <w:right w:val="single" w:sz="4" w:space="0" w:color="auto"/>
            </w:tcBorders>
            <w:shd w:val="clear" w:color="auto" w:fill="E0E0E0"/>
          </w:tcPr>
          <w:p w14:paraId="21AABBD8" w14:textId="77777777" w:rsidR="000923BB" w:rsidRDefault="000923BB" w:rsidP="003A385F">
            <w:pPr>
              <w:rPr>
                <w:rFonts w:cs="Arial"/>
                <w:b/>
                <w:bCs/>
                <w:color w:val="000000"/>
                <w:sz w:val="18"/>
                <w:szCs w:val="18"/>
              </w:rPr>
            </w:pPr>
            <w:r>
              <w:rPr>
                <w:rFonts w:cs="Arial"/>
                <w:b/>
                <w:bCs/>
                <w:color w:val="000000"/>
                <w:sz w:val="18"/>
                <w:szCs w:val="18"/>
              </w:rPr>
              <w:t>Non-clinical audit (n =  70 reviews)</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2DF50032" w14:textId="77777777" w:rsidR="000923BB" w:rsidRDefault="000923BB" w:rsidP="003A385F">
            <w:pPr>
              <w:rPr>
                <w:rFonts w:cs="Arial"/>
                <w:b/>
                <w:bCs/>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E0E0E0"/>
          </w:tcPr>
          <w:p w14:paraId="2B1556E1" w14:textId="77777777" w:rsidR="000923BB" w:rsidRDefault="000923BB" w:rsidP="003A385F">
            <w:pPr>
              <w:rPr>
                <w:rFonts w:cs="Arial"/>
                <w:b/>
                <w:bCs/>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14:paraId="6CB2D1F9" w14:textId="77777777" w:rsidR="000923BB" w:rsidRDefault="000923BB" w:rsidP="003A385F">
            <w:pPr>
              <w:rPr>
                <w:rFonts w:cs="Arial"/>
                <w:b/>
                <w:bCs/>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E0E0E0"/>
          </w:tcPr>
          <w:p w14:paraId="232E2E4D" w14:textId="77777777" w:rsidR="000923BB" w:rsidRDefault="000923BB" w:rsidP="003A385F">
            <w:pPr>
              <w:rPr>
                <w:rFonts w:cs="Arial"/>
                <w:b/>
                <w:bCs/>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14:paraId="3DB308BA" w14:textId="77777777" w:rsidR="000923BB" w:rsidRDefault="000923BB" w:rsidP="003A385F">
            <w:pPr>
              <w:rPr>
                <w:rFonts w:cs="Arial"/>
                <w:b/>
                <w:bCs/>
                <w:color w:val="000000"/>
                <w:sz w:val="18"/>
                <w:szCs w:val="18"/>
              </w:rPr>
            </w:pPr>
          </w:p>
        </w:tc>
      </w:tr>
      <w:tr w:rsidR="000923BB" w14:paraId="50C3E295" w14:textId="77777777" w:rsidTr="002C52B4">
        <w:trPr>
          <w:trHeight w:val="270"/>
        </w:trPr>
        <w:tc>
          <w:tcPr>
            <w:tcW w:w="1701" w:type="dxa"/>
            <w:tcBorders>
              <w:top w:val="single" w:sz="4" w:space="0" w:color="auto"/>
              <w:left w:val="single" w:sz="4" w:space="0" w:color="auto"/>
              <w:bottom w:val="single" w:sz="4" w:space="0" w:color="auto"/>
              <w:right w:val="single" w:sz="4" w:space="0" w:color="auto"/>
            </w:tcBorders>
          </w:tcPr>
          <w:p w14:paraId="1CFC121E" w14:textId="77777777" w:rsidR="000923BB" w:rsidRDefault="000923BB" w:rsidP="003A385F">
            <w:pPr>
              <w:rPr>
                <w:rFonts w:cs="Arial"/>
                <w:b/>
                <w:bCs/>
                <w:color w:val="000000"/>
                <w:sz w:val="18"/>
                <w:szCs w:val="18"/>
              </w:rPr>
            </w:pPr>
            <w:r>
              <w:rPr>
                <w:rFonts w:cs="Arial"/>
                <w:b/>
                <w:bCs/>
                <w:color w:val="000000"/>
                <w:sz w:val="18"/>
                <w:szCs w:val="18"/>
              </w:rPr>
              <w:t>Number of completed rating scales</w:t>
            </w:r>
          </w:p>
        </w:tc>
        <w:tc>
          <w:tcPr>
            <w:tcW w:w="1559" w:type="dxa"/>
            <w:tcBorders>
              <w:top w:val="single" w:sz="4" w:space="0" w:color="auto"/>
              <w:left w:val="single" w:sz="4" w:space="0" w:color="auto"/>
              <w:bottom w:val="single" w:sz="4" w:space="0" w:color="auto"/>
              <w:right w:val="single" w:sz="4" w:space="0" w:color="auto"/>
            </w:tcBorders>
          </w:tcPr>
          <w:p w14:paraId="0D4FCE6F" w14:textId="77777777" w:rsidR="000923BB" w:rsidRDefault="000923BB" w:rsidP="003A385F">
            <w:pPr>
              <w:jc w:val="center"/>
              <w:rPr>
                <w:rFonts w:cs="Arial"/>
                <w:color w:val="000000"/>
                <w:sz w:val="18"/>
                <w:szCs w:val="18"/>
              </w:rPr>
            </w:pPr>
            <w:r>
              <w:rPr>
                <w:rFonts w:cs="Arial"/>
                <w:color w:val="000000"/>
                <w:sz w:val="18"/>
                <w:szCs w:val="18"/>
              </w:rPr>
              <w:t>69</w:t>
            </w:r>
          </w:p>
          <w:p w14:paraId="49AF4161" w14:textId="77777777" w:rsidR="000923BB" w:rsidRDefault="000923BB" w:rsidP="003A385F">
            <w:pPr>
              <w:jc w:val="center"/>
              <w:rPr>
                <w:rFonts w:cs="Arial"/>
                <w:color w:val="000000"/>
                <w:sz w:val="18"/>
                <w:szCs w:val="18"/>
              </w:rPr>
            </w:pPr>
            <w:r>
              <w:rPr>
                <w:rFonts w:cs="Arial"/>
                <w:color w:val="000000"/>
                <w:sz w:val="18"/>
                <w:szCs w:val="18"/>
              </w:rPr>
              <w:t>(99)</w:t>
            </w:r>
          </w:p>
        </w:tc>
        <w:tc>
          <w:tcPr>
            <w:tcW w:w="1418" w:type="dxa"/>
            <w:tcBorders>
              <w:top w:val="single" w:sz="4" w:space="0" w:color="auto"/>
              <w:left w:val="single" w:sz="4" w:space="0" w:color="auto"/>
              <w:bottom w:val="single" w:sz="4" w:space="0" w:color="auto"/>
              <w:right w:val="single" w:sz="4" w:space="0" w:color="auto"/>
            </w:tcBorders>
          </w:tcPr>
          <w:p w14:paraId="636C03E6" w14:textId="77777777" w:rsidR="000923BB" w:rsidRDefault="000923BB" w:rsidP="003A385F">
            <w:pPr>
              <w:jc w:val="center"/>
              <w:rPr>
                <w:rFonts w:cs="Arial"/>
                <w:color w:val="000000"/>
                <w:sz w:val="18"/>
                <w:szCs w:val="18"/>
              </w:rPr>
            </w:pPr>
            <w:r>
              <w:rPr>
                <w:rFonts w:cs="Arial"/>
                <w:color w:val="000000"/>
                <w:sz w:val="18"/>
                <w:szCs w:val="18"/>
              </w:rPr>
              <w:t>70</w:t>
            </w:r>
          </w:p>
          <w:p w14:paraId="41DE6A58" w14:textId="77777777" w:rsidR="000923BB" w:rsidRDefault="000923BB" w:rsidP="003A385F">
            <w:pPr>
              <w:jc w:val="center"/>
              <w:rPr>
                <w:rFonts w:cs="Arial"/>
                <w:color w:val="000000"/>
                <w:sz w:val="18"/>
                <w:szCs w:val="18"/>
              </w:rPr>
            </w:pPr>
            <w:r>
              <w:rPr>
                <w:rFonts w:cs="Arial"/>
                <w:color w:val="000000"/>
                <w:sz w:val="18"/>
                <w:szCs w:val="18"/>
              </w:rPr>
              <w:t>(100)</w:t>
            </w:r>
          </w:p>
        </w:tc>
        <w:tc>
          <w:tcPr>
            <w:tcW w:w="1276" w:type="dxa"/>
            <w:tcBorders>
              <w:top w:val="single" w:sz="4" w:space="0" w:color="auto"/>
              <w:left w:val="single" w:sz="4" w:space="0" w:color="auto"/>
              <w:bottom w:val="single" w:sz="4" w:space="0" w:color="auto"/>
              <w:right w:val="single" w:sz="4" w:space="0" w:color="auto"/>
            </w:tcBorders>
          </w:tcPr>
          <w:p w14:paraId="0CA27901" w14:textId="77777777" w:rsidR="000923BB" w:rsidRDefault="000923BB" w:rsidP="003A385F">
            <w:pPr>
              <w:jc w:val="center"/>
              <w:rPr>
                <w:rFonts w:cs="Arial"/>
                <w:color w:val="000000"/>
                <w:sz w:val="18"/>
                <w:szCs w:val="18"/>
              </w:rPr>
            </w:pPr>
            <w:r>
              <w:rPr>
                <w:rFonts w:cs="Arial"/>
                <w:color w:val="000000"/>
                <w:sz w:val="18"/>
                <w:szCs w:val="18"/>
              </w:rPr>
              <w:t>68</w:t>
            </w:r>
          </w:p>
          <w:p w14:paraId="5008D655" w14:textId="77777777" w:rsidR="000923BB" w:rsidRDefault="000923BB" w:rsidP="003A385F">
            <w:pPr>
              <w:jc w:val="center"/>
              <w:rPr>
                <w:rFonts w:cs="Arial"/>
                <w:color w:val="000000"/>
                <w:sz w:val="18"/>
                <w:szCs w:val="18"/>
              </w:rPr>
            </w:pPr>
            <w:r>
              <w:rPr>
                <w:rFonts w:cs="Arial"/>
                <w:color w:val="000000"/>
                <w:sz w:val="18"/>
                <w:szCs w:val="18"/>
              </w:rPr>
              <w:t>(97)</w:t>
            </w:r>
          </w:p>
        </w:tc>
        <w:tc>
          <w:tcPr>
            <w:tcW w:w="1275" w:type="dxa"/>
            <w:tcBorders>
              <w:top w:val="single" w:sz="4" w:space="0" w:color="auto"/>
              <w:left w:val="single" w:sz="4" w:space="0" w:color="auto"/>
              <w:bottom w:val="single" w:sz="4" w:space="0" w:color="auto"/>
              <w:right w:val="single" w:sz="4" w:space="0" w:color="auto"/>
            </w:tcBorders>
          </w:tcPr>
          <w:p w14:paraId="7E1352D7" w14:textId="77777777" w:rsidR="000923BB" w:rsidRDefault="000923BB" w:rsidP="003A385F">
            <w:pPr>
              <w:jc w:val="center"/>
              <w:rPr>
                <w:rFonts w:cs="Arial"/>
                <w:color w:val="000000"/>
                <w:sz w:val="18"/>
                <w:szCs w:val="18"/>
              </w:rPr>
            </w:pPr>
            <w:r>
              <w:rPr>
                <w:rFonts w:cs="Arial"/>
                <w:color w:val="000000"/>
                <w:sz w:val="18"/>
                <w:szCs w:val="18"/>
              </w:rPr>
              <w:t>70</w:t>
            </w:r>
          </w:p>
          <w:p w14:paraId="465E0BC0" w14:textId="77777777" w:rsidR="000923BB" w:rsidRDefault="000923BB" w:rsidP="003A385F">
            <w:pPr>
              <w:jc w:val="center"/>
              <w:rPr>
                <w:rFonts w:cs="Arial"/>
                <w:color w:val="000000"/>
                <w:sz w:val="18"/>
                <w:szCs w:val="18"/>
              </w:rPr>
            </w:pPr>
            <w:r>
              <w:rPr>
                <w:rFonts w:cs="Arial"/>
                <w:color w:val="000000"/>
                <w:sz w:val="18"/>
                <w:szCs w:val="18"/>
              </w:rPr>
              <w:t>(100)</w:t>
            </w:r>
          </w:p>
        </w:tc>
        <w:tc>
          <w:tcPr>
            <w:tcW w:w="1276" w:type="dxa"/>
            <w:tcBorders>
              <w:top w:val="single" w:sz="4" w:space="0" w:color="auto"/>
              <w:left w:val="single" w:sz="4" w:space="0" w:color="auto"/>
              <w:bottom w:val="single" w:sz="4" w:space="0" w:color="auto"/>
              <w:right w:val="single" w:sz="4" w:space="0" w:color="auto"/>
            </w:tcBorders>
          </w:tcPr>
          <w:p w14:paraId="20F59227" w14:textId="77777777" w:rsidR="000923BB" w:rsidRDefault="000923BB" w:rsidP="003A385F">
            <w:pPr>
              <w:jc w:val="center"/>
              <w:rPr>
                <w:rFonts w:cs="Arial"/>
                <w:color w:val="000000"/>
                <w:sz w:val="18"/>
                <w:szCs w:val="18"/>
              </w:rPr>
            </w:pPr>
            <w:r>
              <w:rPr>
                <w:rFonts w:cs="Arial"/>
                <w:color w:val="000000"/>
                <w:sz w:val="18"/>
                <w:szCs w:val="18"/>
              </w:rPr>
              <w:t>277</w:t>
            </w:r>
          </w:p>
          <w:p w14:paraId="07F4AE00" w14:textId="77777777" w:rsidR="000923BB" w:rsidRDefault="000923BB" w:rsidP="003A385F">
            <w:pPr>
              <w:jc w:val="center"/>
              <w:rPr>
                <w:rFonts w:cs="Arial"/>
                <w:color w:val="000000"/>
                <w:sz w:val="18"/>
                <w:szCs w:val="18"/>
              </w:rPr>
            </w:pPr>
            <w:r>
              <w:rPr>
                <w:rFonts w:cs="Arial"/>
                <w:color w:val="000000"/>
                <w:sz w:val="18"/>
                <w:szCs w:val="18"/>
              </w:rPr>
              <w:t>(99)</w:t>
            </w:r>
          </w:p>
        </w:tc>
      </w:tr>
      <w:tr w:rsidR="000923BB" w14:paraId="2BD5F291" w14:textId="77777777" w:rsidTr="002C52B4">
        <w:trPr>
          <w:trHeight w:val="270"/>
        </w:trPr>
        <w:tc>
          <w:tcPr>
            <w:tcW w:w="1701" w:type="dxa"/>
            <w:tcBorders>
              <w:top w:val="single" w:sz="4" w:space="0" w:color="auto"/>
              <w:left w:val="single" w:sz="4" w:space="0" w:color="auto"/>
              <w:bottom w:val="single" w:sz="4" w:space="0" w:color="auto"/>
              <w:right w:val="single" w:sz="4" w:space="0" w:color="auto"/>
            </w:tcBorders>
          </w:tcPr>
          <w:p w14:paraId="05D84AE5" w14:textId="77777777" w:rsidR="000923BB" w:rsidRDefault="000923BB" w:rsidP="003A385F">
            <w:pPr>
              <w:rPr>
                <w:rFonts w:cs="Arial"/>
                <w:b/>
                <w:bCs/>
                <w:color w:val="000000"/>
                <w:sz w:val="18"/>
                <w:szCs w:val="18"/>
              </w:rPr>
            </w:pPr>
            <w:r>
              <w:rPr>
                <w:rFonts w:cs="Arial"/>
                <w:b/>
                <w:bCs/>
                <w:color w:val="000000"/>
                <w:sz w:val="18"/>
                <w:szCs w:val="18"/>
              </w:rPr>
              <w:t>Missing  data</w:t>
            </w:r>
          </w:p>
        </w:tc>
        <w:tc>
          <w:tcPr>
            <w:tcW w:w="1559" w:type="dxa"/>
            <w:tcBorders>
              <w:top w:val="single" w:sz="4" w:space="0" w:color="auto"/>
              <w:left w:val="single" w:sz="4" w:space="0" w:color="auto"/>
              <w:bottom w:val="single" w:sz="4" w:space="0" w:color="auto"/>
              <w:right w:val="single" w:sz="4" w:space="0" w:color="auto"/>
            </w:tcBorders>
          </w:tcPr>
          <w:p w14:paraId="55BDE1B9" w14:textId="77777777" w:rsidR="000923BB" w:rsidRDefault="000923BB" w:rsidP="003A385F">
            <w:pPr>
              <w:jc w:val="center"/>
              <w:rPr>
                <w:rFonts w:cs="Arial"/>
                <w:color w:val="000000"/>
                <w:sz w:val="18"/>
                <w:szCs w:val="18"/>
              </w:rPr>
            </w:pPr>
            <w:r>
              <w:rPr>
                <w:rFonts w:cs="Arial"/>
                <w:color w:val="000000"/>
                <w:sz w:val="18"/>
                <w:szCs w:val="18"/>
              </w:rPr>
              <w:t>1</w:t>
            </w:r>
          </w:p>
          <w:p w14:paraId="70894853" w14:textId="77777777" w:rsidR="000923BB" w:rsidRDefault="000923BB" w:rsidP="003A385F">
            <w:pPr>
              <w:jc w:val="center"/>
              <w:rPr>
                <w:rFonts w:cs="Arial"/>
                <w:color w:val="000000"/>
                <w:sz w:val="18"/>
                <w:szCs w:val="18"/>
              </w:rPr>
            </w:pPr>
            <w:r>
              <w:rPr>
                <w:rFonts w:cs="Arial"/>
                <w:color w:val="000000"/>
                <w:sz w:val="18"/>
                <w:szCs w:val="18"/>
              </w:rPr>
              <w:t>(1)</w:t>
            </w:r>
          </w:p>
        </w:tc>
        <w:tc>
          <w:tcPr>
            <w:tcW w:w="1418" w:type="dxa"/>
            <w:tcBorders>
              <w:top w:val="single" w:sz="4" w:space="0" w:color="auto"/>
              <w:left w:val="single" w:sz="4" w:space="0" w:color="auto"/>
              <w:bottom w:val="single" w:sz="4" w:space="0" w:color="auto"/>
              <w:right w:val="single" w:sz="4" w:space="0" w:color="auto"/>
            </w:tcBorders>
          </w:tcPr>
          <w:p w14:paraId="5DA89B5A" w14:textId="77777777" w:rsidR="000923BB" w:rsidRDefault="000923BB" w:rsidP="003A385F">
            <w:pPr>
              <w:jc w:val="center"/>
              <w:rPr>
                <w:rFonts w:cs="Arial"/>
                <w:color w:val="000000"/>
                <w:sz w:val="18"/>
                <w:szCs w:val="18"/>
              </w:rPr>
            </w:pPr>
            <w:r>
              <w:rPr>
                <w:rFonts w:cs="Arial"/>
                <w:color w:val="000000"/>
                <w:sz w:val="18"/>
                <w:szCs w:val="18"/>
              </w:rPr>
              <w:t>0</w:t>
            </w:r>
          </w:p>
          <w:p w14:paraId="285CA7A2" w14:textId="77777777" w:rsidR="000923BB" w:rsidRDefault="000923BB" w:rsidP="003A385F">
            <w:pPr>
              <w:jc w:val="center"/>
              <w:rPr>
                <w:rFonts w:cs="Arial"/>
                <w:color w:val="000000"/>
                <w:sz w:val="18"/>
                <w:szCs w:val="18"/>
              </w:rPr>
            </w:pPr>
            <w:r>
              <w:rPr>
                <w:rFonts w:cs="Arial"/>
                <w:color w:val="000000"/>
                <w:sz w:val="18"/>
                <w:szCs w:val="18"/>
              </w:rPr>
              <w:t>(0)</w:t>
            </w:r>
          </w:p>
        </w:tc>
        <w:tc>
          <w:tcPr>
            <w:tcW w:w="1276" w:type="dxa"/>
            <w:tcBorders>
              <w:top w:val="single" w:sz="4" w:space="0" w:color="auto"/>
              <w:left w:val="single" w:sz="4" w:space="0" w:color="auto"/>
              <w:bottom w:val="single" w:sz="4" w:space="0" w:color="auto"/>
              <w:right w:val="single" w:sz="4" w:space="0" w:color="auto"/>
            </w:tcBorders>
          </w:tcPr>
          <w:p w14:paraId="0597C6D3" w14:textId="77777777" w:rsidR="000923BB" w:rsidRDefault="000923BB" w:rsidP="003A385F">
            <w:pPr>
              <w:jc w:val="center"/>
              <w:rPr>
                <w:rFonts w:cs="Arial"/>
                <w:color w:val="000000"/>
                <w:sz w:val="18"/>
                <w:szCs w:val="18"/>
              </w:rPr>
            </w:pPr>
            <w:r>
              <w:rPr>
                <w:rFonts w:cs="Arial"/>
                <w:color w:val="000000"/>
                <w:sz w:val="18"/>
                <w:szCs w:val="18"/>
              </w:rPr>
              <w:t>2</w:t>
            </w:r>
          </w:p>
          <w:p w14:paraId="2AB33F61" w14:textId="77777777" w:rsidR="000923BB" w:rsidRDefault="000923BB" w:rsidP="003A385F">
            <w:pPr>
              <w:jc w:val="center"/>
              <w:rPr>
                <w:rFonts w:cs="Arial"/>
                <w:color w:val="000000"/>
                <w:sz w:val="18"/>
                <w:szCs w:val="18"/>
              </w:rPr>
            </w:pPr>
            <w:r>
              <w:rPr>
                <w:rFonts w:cs="Arial"/>
                <w:color w:val="000000"/>
                <w:sz w:val="18"/>
                <w:szCs w:val="18"/>
              </w:rPr>
              <w:t>(3)</w:t>
            </w:r>
          </w:p>
        </w:tc>
        <w:tc>
          <w:tcPr>
            <w:tcW w:w="1275" w:type="dxa"/>
            <w:tcBorders>
              <w:top w:val="single" w:sz="4" w:space="0" w:color="auto"/>
              <w:left w:val="single" w:sz="4" w:space="0" w:color="auto"/>
              <w:bottom w:val="single" w:sz="4" w:space="0" w:color="auto"/>
              <w:right w:val="single" w:sz="4" w:space="0" w:color="auto"/>
            </w:tcBorders>
          </w:tcPr>
          <w:p w14:paraId="399344F4" w14:textId="77777777" w:rsidR="000923BB" w:rsidRDefault="000923BB" w:rsidP="003A385F">
            <w:pPr>
              <w:jc w:val="center"/>
              <w:rPr>
                <w:rFonts w:cs="Arial"/>
                <w:color w:val="000000"/>
                <w:sz w:val="18"/>
                <w:szCs w:val="18"/>
              </w:rPr>
            </w:pPr>
            <w:r>
              <w:rPr>
                <w:rFonts w:cs="Arial"/>
                <w:color w:val="000000"/>
                <w:sz w:val="18"/>
                <w:szCs w:val="18"/>
              </w:rPr>
              <w:t>0</w:t>
            </w:r>
          </w:p>
          <w:p w14:paraId="61C920E0" w14:textId="77777777" w:rsidR="000923BB" w:rsidRDefault="000923BB" w:rsidP="003A385F">
            <w:pPr>
              <w:jc w:val="center"/>
              <w:rPr>
                <w:rFonts w:cs="Arial"/>
                <w:color w:val="000000"/>
                <w:sz w:val="18"/>
                <w:szCs w:val="18"/>
              </w:rPr>
            </w:pPr>
            <w:r>
              <w:rPr>
                <w:rFonts w:cs="Arial"/>
                <w:color w:val="000000"/>
                <w:sz w:val="18"/>
                <w:szCs w:val="18"/>
              </w:rPr>
              <w:t>(0)</w:t>
            </w:r>
          </w:p>
        </w:tc>
        <w:tc>
          <w:tcPr>
            <w:tcW w:w="1276" w:type="dxa"/>
            <w:tcBorders>
              <w:top w:val="single" w:sz="4" w:space="0" w:color="auto"/>
              <w:left w:val="single" w:sz="4" w:space="0" w:color="auto"/>
              <w:bottom w:val="single" w:sz="4" w:space="0" w:color="auto"/>
              <w:right w:val="single" w:sz="4" w:space="0" w:color="auto"/>
            </w:tcBorders>
          </w:tcPr>
          <w:p w14:paraId="7BFF2237" w14:textId="77777777" w:rsidR="000923BB" w:rsidRDefault="000923BB" w:rsidP="003A385F">
            <w:pPr>
              <w:jc w:val="center"/>
              <w:rPr>
                <w:rFonts w:cs="Arial"/>
                <w:color w:val="000000"/>
                <w:sz w:val="18"/>
                <w:szCs w:val="18"/>
              </w:rPr>
            </w:pPr>
            <w:r>
              <w:rPr>
                <w:rFonts w:cs="Arial"/>
                <w:color w:val="000000"/>
                <w:sz w:val="18"/>
                <w:szCs w:val="18"/>
              </w:rPr>
              <w:t>3</w:t>
            </w:r>
          </w:p>
          <w:p w14:paraId="05D086F4" w14:textId="77777777" w:rsidR="000923BB" w:rsidRDefault="000923BB" w:rsidP="003A385F">
            <w:pPr>
              <w:jc w:val="center"/>
              <w:rPr>
                <w:rFonts w:cs="Arial"/>
                <w:color w:val="000000"/>
                <w:sz w:val="18"/>
                <w:szCs w:val="18"/>
              </w:rPr>
            </w:pPr>
            <w:r>
              <w:rPr>
                <w:rFonts w:cs="Arial"/>
                <w:color w:val="000000"/>
                <w:sz w:val="18"/>
                <w:szCs w:val="18"/>
              </w:rPr>
              <w:t>(1)</w:t>
            </w:r>
          </w:p>
        </w:tc>
      </w:tr>
      <w:tr w:rsidR="000923BB" w14:paraId="647F9BF2" w14:textId="77777777" w:rsidTr="002C52B4">
        <w:trPr>
          <w:trHeight w:val="270"/>
        </w:trPr>
        <w:tc>
          <w:tcPr>
            <w:tcW w:w="1701" w:type="dxa"/>
            <w:tcBorders>
              <w:top w:val="single" w:sz="4" w:space="0" w:color="auto"/>
              <w:left w:val="single" w:sz="4" w:space="0" w:color="auto"/>
              <w:bottom w:val="single" w:sz="4" w:space="0" w:color="auto"/>
              <w:right w:val="single" w:sz="4" w:space="0" w:color="auto"/>
            </w:tcBorders>
            <w:shd w:val="clear" w:color="auto" w:fill="E0E0E0"/>
          </w:tcPr>
          <w:p w14:paraId="49C779CB" w14:textId="77777777" w:rsidR="000923BB" w:rsidRDefault="000923BB" w:rsidP="003A385F">
            <w:pPr>
              <w:rPr>
                <w:rFonts w:cs="Arial"/>
                <w:b/>
                <w:bCs/>
                <w:color w:val="000000"/>
                <w:sz w:val="18"/>
                <w:szCs w:val="18"/>
              </w:rPr>
            </w:pPr>
            <w:r>
              <w:rPr>
                <w:rFonts w:cs="Arial"/>
                <w:b/>
                <w:bCs/>
                <w:color w:val="000000"/>
                <w:sz w:val="18"/>
                <w:szCs w:val="18"/>
              </w:rPr>
              <w:t>Clinical</w:t>
            </w:r>
          </w:p>
          <w:p w14:paraId="049847C7" w14:textId="77777777" w:rsidR="000923BB" w:rsidRDefault="000923BB" w:rsidP="003A385F">
            <w:pPr>
              <w:rPr>
                <w:rFonts w:cs="Arial"/>
                <w:b/>
                <w:bCs/>
                <w:color w:val="000000"/>
                <w:sz w:val="18"/>
                <w:szCs w:val="18"/>
              </w:rPr>
            </w:pPr>
            <w:r>
              <w:rPr>
                <w:rFonts w:cs="Arial"/>
                <w:b/>
                <w:bCs/>
                <w:color w:val="000000"/>
                <w:sz w:val="18"/>
                <w:szCs w:val="18"/>
              </w:rPr>
              <w:t xml:space="preserve"> (n = 180 reviews)</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61064767" w14:textId="77777777" w:rsidR="000923BB" w:rsidRDefault="000923BB" w:rsidP="003A385F">
            <w:pPr>
              <w:rPr>
                <w:rFonts w:cs="Arial"/>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E0E0E0"/>
          </w:tcPr>
          <w:p w14:paraId="48EE1767" w14:textId="77777777" w:rsidR="000923BB" w:rsidRDefault="000923BB" w:rsidP="003A385F">
            <w:pPr>
              <w:rPr>
                <w:rFonts w:cs="Arial"/>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14:paraId="7104B437" w14:textId="77777777" w:rsidR="000923BB" w:rsidRDefault="000923BB" w:rsidP="003A385F">
            <w:pPr>
              <w:rPr>
                <w:rFonts w:cs="Arial"/>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E0E0E0"/>
          </w:tcPr>
          <w:p w14:paraId="5C828E1A" w14:textId="77777777" w:rsidR="000923BB" w:rsidRDefault="000923BB" w:rsidP="003A385F">
            <w:pPr>
              <w:rPr>
                <w:rFonts w:cs="Arial"/>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14:paraId="1792597C" w14:textId="77777777" w:rsidR="000923BB" w:rsidRDefault="000923BB" w:rsidP="003A385F">
            <w:pPr>
              <w:rPr>
                <w:rFonts w:cs="Arial"/>
                <w:color w:val="000000"/>
                <w:sz w:val="18"/>
                <w:szCs w:val="18"/>
              </w:rPr>
            </w:pPr>
          </w:p>
        </w:tc>
      </w:tr>
      <w:tr w:rsidR="000923BB" w14:paraId="6BA23E66" w14:textId="77777777" w:rsidTr="002C52B4">
        <w:trPr>
          <w:trHeight w:val="270"/>
        </w:trPr>
        <w:tc>
          <w:tcPr>
            <w:tcW w:w="1701" w:type="dxa"/>
            <w:tcBorders>
              <w:top w:val="single" w:sz="4" w:space="0" w:color="auto"/>
              <w:left w:val="single" w:sz="4" w:space="0" w:color="auto"/>
              <w:bottom w:val="single" w:sz="4" w:space="0" w:color="auto"/>
              <w:right w:val="single" w:sz="4" w:space="0" w:color="auto"/>
            </w:tcBorders>
          </w:tcPr>
          <w:p w14:paraId="0E8E9212" w14:textId="77777777" w:rsidR="000923BB" w:rsidRDefault="000923BB" w:rsidP="003A385F">
            <w:pPr>
              <w:rPr>
                <w:rFonts w:cs="Arial"/>
                <w:b/>
                <w:bCs/>
                <w:color w:val="000000"/>
                <w:sz w:val="18"/>
                <w:szCs w:val="18"/>
              </w:rPr>
            </w:pPr>
            <w:r>
              <w:rPr>
                <w:rFonts w:cs="Arial"/>
                <w:b/>
                <w:bCs/>
                <w:color w:val="000000"/>
                <w:sz w:val="18"/>
                <w:szCs w:val="18"/>
              </w:rPr>
              <w:t>Number of completed rating scales</w:t>
            </w:r>
          </w:p>
        </w:tc>
        <w:tc>
          <w:tcPr>
            <w:tcW w:w="1559" w:type="dxa"/>
            <w:tcBorders>
              <w:top w:val="single" w:sz="4" w:space="0" w:color="auto"/>
              <w:left w:val="single" w:sz="4" w:space="0" w:color="auto"/>
              <w:bottom w:val="single" w:sz="4" w:space="0" w:color="auto"/>
              <w:right w:val="single" w:sz="4" w:space="0" w:color="auto"/>
            </w:tcBorders>
          </w:tcPr>
          <w:p w14:paraId="0E867962" w14:textId="77777777" w:rsidR="000923BB" w:rsidRDefault="000923BB" w:rsidP="003A385F">
            <w:pPr>
              <w:jc w:val="center"/>
              <w:rPr>
                <w:rFonts w:cs="Arial"/>
                <w:color w:val="000000"/>
                <w:sz w:val="18"/>
                <w:szCs w:val="18"/>
              </w:rPr>
            </w:pPr>
            <w:r>
              <w:rPr>
                <w:rFonts w:cs="Arial"/>
                <w:color w:val="000000"/>
                <w:sz w:val="18"/>
                <w:szCs w:val="18"/>
              </w:rPr>
              <w:t>170</w:t>
            </w:r>
          </w:p>
          <w:p w14:paraId="57EB6AF5" w14:textId="77777777" w:rsidR="000923BB" w:rsidRDefault="000923BB" w:rsidP="003A385F">
            <w:pPr>
              <w:jc w:val="center"/>
              <w:rPr>
                <w:rFonts w:cs="Arial"/>
                <w:color w:val="000000"/>
                <w:sz w:val="18"/>
                <w:szCs w:val="18"/>
              </w:rPr>
            </w:pPr>
            <w:r>
              <w:rPr>
                <w:rFonts w:cs="Arial"/>
                <w:color w:val="000000"/>
                <w:sz w:val="18"/>
                <w:szCs w:val="18"/>
              </w:rPr>
              <w:t>(99)</w:t>
            </w:r>
          </w:p>
        </w:tc>
        <w:tc>
          <w:tcPr>
            <w:tcW w:w="1418" w:type="dxa"/>
            <w:tcBorders>
              <w:top w:val="single" w:sz="4" w:space="0" w:color="auto"/>
              <w:left w:val="single" w:sz="4" w:space="0" w:color="auto"/>
              <w:bottom w:val="single" w:sz="4" w:space="0" w:color="auto"/>
              <w:right w:val="single" w:sz="4" w:space="0" w:color="auto"/>
            </w:tcBorders>
          </w:tcPr>
          <w:p w14:paraId="7D732858" w14:textId="77777777" w:rsidR="000923BB" w:rsidRDefault="000923BB" w:rsidP="003A385F">
            <w:pPr>
              <w:jc w:val="center"/>
              <w:rPr>
                <w:rFonts w:cs="Arial"/>
                <w:color w:val="000000"/>
                <w:sz w:val="18"/>
                <w:szCs w:val="18"/>
              </w:rPr>
            </w:pPr>
            <w:r>
              <w:rPr>
                <w:rFonts w:cs="Arial"/>
                <w:color w:val="000000"/>
                <w:sz w:val="18"/>
                <w:szCs w:val="18"/>
              </w:rPr>
              <w:t>172</w:t>
            </w:r>
          </w:p>
          <w:p w14:paraId="45DFB506" w14:textId="77777777" w:rsidR="000923BB" w:rsidRDefault="000923BB" w:rsidP="003A385F">
            <w:pPr>
              <w:jc w:val="center"/>
              <w:rPr>
                <w:rFonts w:cs="Arial"/>
                <w:color w:val="000000"/>
                <w:sz w:val="18"/>
                <w:szCs w:val="18"/>
              </w:rPr>
            </w:pPr>
            <w:r>
              <w:rPr>
                <w:rFonts w:cs="Arial"/>
                <w:color w:val="000000"/>
                <w:sz w:val="18"/>
                <w:szCs w:val="18"/>
              </w:rPr>
              <w:t>(100)</w:t>
            </w:r>
          </w:p>
        </w:tc>
        <w:tc>
          <w:tcPr>
            <w:tcW w:w="1276" w:type="dxa"/>
            <w:tcBorders>
              <w:top w:val="single" w:sz="4" w:space="0" w:color="auto"/>
              <w:left w:val="single" w:sz="4" w:space="0" w:color="auto"/>
              <w:bottom w:val="single" w:sz="4" w:space="0" w:color="auto"/>
              <w:right w:val="single" w:sz="4" w:space="0" w:color="auto"/>
            </w:tcBorders>
          </w:tcPr>
          <w:p w14:paraId="3230872A" w14:textId="77777777" w:rsidR="000923BB" w:rsidRDefault="000923BB" w:rsidP="003A385F">
            <w:pPr>
              <w:jc w:val="center"/>
              <w:rPr>
                <w:rFonts w:cs="Arial"/>
                <w:color w:val="000000"/>
                <w:sz w:val="18"/>
                <w:szCs w:val="18"/>
              </w:rPr>
            </w:pPr>
            <w:r>
              <w:rPr>
                <w:rFonts w:cs="Arial"/>
                <w:color w:val="000000"/>
                <w:sz w:val="18"/>
                <w:szCs w:val="18"/>
              </w:rPr>
              <w:t>170</w:t>
            </w:r>
          </w:p>
          <w:p w14:paraId="0ABE23E3" w14:textId="77777777" w:rsidR="000923BB" w:rsidRDefault="000923BB" w:rsidP="003A385F">
            <w:pPr>
              <w:jc w:val="center"/>
              <w:rPr>
                <w:rFonts w:cs="Arial"/>
                <w:color w:val="000000"/>
                <w:sz w:val="18"/>
                <w:szCs w:val="18"/>
              </w:rPr>
            </w:pPr>
            <w:r>
              <w:rPr>
                <w:rFonts w:cs="Arial"/>
                <w:color w:val="000000"/>
                <w:sz w:val="18"/>
                <w:szCs w:val="18"/>
              </w:rPr>
              <w:t>(99)</w:t>
            </w:r>
          </w:p>
        </w:tc>
        <w:tc>
          <w:tcPr>
            <w:tcW w:w="1275" w:type="dxa"/>
            <w:tcBorders>
              <w:top w:val="single" w:sz="4" w:space="0" w:color="auto"/>
              <w:left w:val="single" w:sz="4" w:space="0" w:color="auto"/>
              <w:bottom w:val="single" w:sz="4" w:space="0" w:color="auto"/>
              <w:right w:val="single" w:sz="4" w:space="0" w:color="auto"/>
            </w:tcBorders>
          </w:tcPr>
          <w:p w14:paraId="3B7375D6" w14:textId="77777777" w:rsidR="000923BB" w:rsidRDefault="000923BB" w:rsidP="003A385F">
            <w:pPr>
              <w:jc w:val="center"/>
              <w:rPr>
                <w:rFonts w:cs="Arial"/>
                <w:color w:val="000000"/>
                <w:sz w:val="18"/>
                <w:szCs w:val="18"/>
              </w:rPr>
            </w:pPr>
            <w:r>
              <w:rPr>
                <w:rFonts w:cs="Arial"/>
                <w:color w:val="000000"/>
                <w:sz w:val="18"/>
                <w:szCs w:val="18"/>
              </w:rPr>
              <w:t>171</w:t>
            </w:r>
          </w:p>
          <w:p w14:paraId="577C5953" w14:textId="77777777" w:rsidR="000923BB" w:rsidRDefault="000923BB" w:rsidP="003A385F">
            <w:pPr>
              <w:jc w:val="center"/>
              <w:rPr>
                <w:rFonts w:cs="Arial"/>
                <w:color w:val="000000"/>
                <w:sz w:val="18"/>
                <w:szCs w:val="18"/>
              </w:rPr>
            </w:pPr>
            <w:r>
              <w:rPr>
                <w:rFonts w:cs="Arial"/>
                <w:color w:val="000000"/>
                <w:sz w:val="18"/>
                <w:szCs w:val="18"/>
              </w:rPr>
              <w:t>(99)</w:t>
            </w:r>
          </w:p>
        </w:tc>
        <w:tc>
          <w:tcPr>
            <w:tcW w:w="1276" w:type="dxa"/>
            <w:tcBorders>
              <w:top w:val="single" w:sz="4" w:space="0" w:color="auto"/>
              <w:left w:val="single" w:sz="4" w:space="0" w:color="auto"/>
              <w:bottom w:val="single" w:sz="4" w:space="0" w:color="auto"/>
              <w:right w:val="single" w:sz="4" w:space="0" w:color="auto"/>
            </w:tcBorders>
          </w:tcPr>
          <w:p w14:paraId="587BA309" w14:textId="77777777" w:rsidR="000923BB" w:rsidRDefault="000923BB" w:rsidP="003A385F">
            <w:pPr>
              <w:jc w:val="center"/>
              <w:rPr>
                <w:rFonts w:cs="Arial"/>
                <w:color w:val="000000"/>
                <w:sz w:val="18"/>
                <w:szCs w:val="18"/>
              </w:rPr>
            </w:pPr>
            <w:r>
              <w:rPr>
                <w:rFonts w:cs="Arial"/>
                <w:color w:val="000000"/>
                <w:sz w:val="18"/>
                <w:szCs w:val="18"/>
              </w:rPr>
              <w:t>708</w:t>
            </w:r>
          </w:p>
          <w:p w14:paraId="1A2A80F7" w14:textId="77777777" w:rsidR="000923BB" w:rsidRDefault="000923BB" w:rsidP="003A385F">
            <w:pPr>
              <w:jc w:val="center"/>
              <w:rPr>
                <w:rFonts w:cs="Arial"/>
                <w:color w:val="000000"/>
                <w:sz w:val="18"/>
                <w:szCs w:val="18"/>
              </w:rPr>
            </w:pPr>
            <w:r>
              <w:rPr>
                <w:rFonts w:cs="Arial"/>
                <w:color w:val="000000"/>
                <w:sz w:val="18"/>
                <w:szCs w:val="18"/>
              </w:rPr>
              <w:t>(99)</w:t>
            </w:r>
          </w:p>
        </w:tc>
      </w:tr>
      <w:tr w:rsidR="000923BB" w14:paraId="2DB9FD38" w14:textId="77777777" w:rsidTr="002C52B4">
        <w:trPr>
          <w:trHeight w:val="270"/>
        </w:trPr>
        <w:tc>
          <w:tcPr>
            <w:tcW w:w="1701" w:type="dxa"/>
            <w:tcBorders>
              <w:top w:val="single" w:sz="4" w:space="0" w:color="auto"/>
              <w:left w:val="single" w:sz="4" w:space="0" w:color="auto"/>
              <w:bottom w:val="single" w:sz="4" w:space="0" w:color="auto"/>
              <w:right w:val="single" w:sz="4" w:space="0" w:color="auto"/>
            </w:tcBorders>
          </w:tcPr>
          <w:p w14:paraId="4A40B183" w14:textId="77777777" w:rsidR="000923BB" w:rsidRDefault="000923BB" w:rsidP="003A385F">
            <w:pPr>
              <w:rPr>
                <w:rFonts w:cs="Arial"/>
                <w:b/>
                <w:bCs/>
                <w:color w:val="000000"/>
                <w:sz w:val="18"/>
                <w:szCs w:val="18"/>
              </w:rPr>
            </w:pPr>
            <w:r>
              <w:rPr>
                <w:rFonts w:cs="Arial"/>
                <w:b/>
                <w:bCs/>
                <w:color w:val="000000"/>
                <w:sz w:val="18"/>
                <w:szCs w:val="18"/>
              </w:rPr>
              <w:t>Missing  data</w:t>
            </w:r>
          </w:p>
          <w:p w14:paraId="2EE6BC24" w14:textId="77777777" w:rsidR="000923BB" w:rsidRDefault="000923BB" w:rsidP="003A385F">
            <w:pPr>
              <w:rPr>
                <w:rFonts w:cs="Arial"/>
                <w:b/>
                <w:bCs/>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tcPr>
          <w:p w14:paraId="64CC8AD7" w14:textId="77777777" w:rsidR="000923BB" w:rsidRDefault="000923BB" w:rsidP="003A385F">
            <w:pPr>
              <w:jc w:val="center"/>
              <w:rPr>
                <w:rFonts w:cs="Arial"/>
                <w:color w:val="000000"/>
                <w:sz w:val="18"/>
                <w:szCs w:val="18"/>
              </w:rPr>
            </w:pPr>
            <w:r>
              <w:rPr>
                <w:rFonts w:cs="Arial"/>
                <w:color w:val="000000"/>
                <w:sz w:val="18"/>
                <w:szCs w:val="18"/>
              </w:rPr>
              <w:t>2</w:t>
            </w:r>
          </w:p>
          <w:p w14:paraId="15F74B2D" w14:textId="77777777" w:rsidR="000923BB" w:rsidRDefault="000923BB" w:rsidP="003A385F">
            <w:pPr>
              <w:jc w:val="center"/>
              <w:rPr>
                <w:rFonts w:cs="Arial"/>
                <w:color w:val="000000"/>
                <w:sz w:val="18"/>
                <w:szCs w:val="18"/>
              </w:rPr>
            </w:pPr>
            <w:r>
              <w:rPr>
                <w:rFonts w:cs="Arial"/>
                <w:color w:val="000000"/>
                <w:sz w:val="18"/>
                <w:szCs w:val="18"/>
              </w:rPr>
              <w:t>(1)</w:t>
            </w:r>
          </w:p>
        </w:tc>
        <w:tc>
          <w:tcPr>
            <w:tcW w:w="1418" w:type="dxa"/>
            <w:tcBorders>
              <w:top w:val="single" w:sz="4" w:space="0" w:color="auto"/>
              <w:left w:val="single" w:sz="4" w:space="0" w:color="auto"/>
              <w:bottom w:val="single" w:sz="4" w:space="0" w:color="auto"/>
              <w:right w:val="single" w:sz="4" w:space="0" w:color="auto"/>
            </w:tcBorders>
          </w:tcPr>
          <w:p w14:paraId="4B0BB47F" w14:textId="77777777" w:rsidR="000923BB" w:rsidRDefault="000923BB" w:rsidP="003A385F">
            <w:pPr>
              <w:jc w:val="center"/>
              <w:rPr>
                <w:rFonts w:cs="Arial"/>
                <w:color w:val="000000"/>
                <w:sz w:val="18"/>
                <w:szCs w:val="18"/>
              </w:rPr>
            </w:pPr>
            <w:r>
              <w:rPr>
                <w:rFonts w:cs="Arial"/>
                <w:color w:val="000000"/>
                <w:sz w:val="18"/>
                <w:szCs w:val="18"/>
              </w:rPr>
              <w:t>0</w:t>
            </w:r>
          </w:p>
          <w:p w14:paraId="1B1839FD" w14:textId="77777777" w:rsidR="000923BB" w:rsidRDefault="000923BB" w:rsidP="003A385F">
            <w:pPr>
              <w:jc w:val="center"/>
              <w:rPr>
                <w:rFonts w:cs="Arial"/>
                <w:color w:val="000000"/>
                <w:sz w:val="18"/>
                <w:szCs w:val="18"/>
              </w:rPr>
            </w:pPr>
            <w:r>
              <w:rPr>
                <w:rFonts w:cs="Arial"/>
                <w:color w:val="000000"/>
                <w:sz w:val="18"/>
                <w:szCs w:val="18"/>
              </w:rPr>
              <w:t>(0)</w:t>
            </w:r>
          </w:p>
        </w:tc>
        <w:tc>
          <w:tcPr>
            <w:tcW w:w="1276" w:type="dxa"/>
            <w:tcBorders>
              <w:top w:val="single" w:sz="4" w:space="0" w:color="auto"/>
              <w:left w:val="single" w:sz="4" w:space="0" w:color="auto"/>
              <w:bottom w:val="single" w:sz="4" w:space="0" w:color="auto"/>
              <w:right w:val="single" w:sz="4" w:space="0" w:color="auto"/>
            </w:tcBorders>
          </w:tcPr>
          <w:p w14:paraId="0B756E30" w14:textId="77777777" w:rsidR="000923BB" w:rsidRDefault="000923BB" w:rsidP="003A385F">
            <w:pPr>
              <w:jc w:val="center"/>
              <w:rPr>
                <w:rFonts w:cs="Arial"/>
                <w:color w:val="000000"/>
                <w:sz w:val="18"/>
                <w:szCs w:val="18"/>
              </w:rPr>
            </w:pPr>
            <w:r>
              <w:rPr>
                <w:rFonts w:cs="Arial"/>
                <w:color w:val="000000"/>
                <w:sz w:val="18"/>
                <w:szCs w:val="18"/>
              </w:rPr>
              <w:t>2</w:t>
            </w:r>
          </w:p>
          <w:p w14:paraId="3310E1A8" w14:textId="77777777" w:rsidR="000923BB" w:rsidRDefault="000923BB" w:rsidP="003A385F">
            <w:pPr>
              <w:jc w:val="center"/>
              <w:rPr>
                <w:rFonts w:cs="Arial"/>
                <w:color w:val="000000"/>
                <w:sz w:val="18"/>
                <w:szCs w:val="18"/>
              </w:rPr>
            </w:pPr>
            <w:r>
              <w:rPr>
                <w:rFonts w:cs="Arial"/>
                <w:color w:val="000000"/>
                <w:sz w:val="18"/>
                <w:szCs w:val="18"/>
              </w:rPr>
              <w:t>(1)</w:t>
            </w:r>
          </w:p>
        </w:tc>
        <w:tc>
          <w:tcPr>
            <w:tcW w:w="1275" w:type="dxa"/>
            <w:tcBorders>
              <w:top w:val="single" w:sz="4" w:space="0" w:color="auto"/>
              <w:left w:val="single" w:sz="4" w:space="0" w:color="auto"/>
              <w:bottom w:val="single" w:sz="4" w:space="0" w:color="auto"/>
              <w:right w:val="single" w:sz="4" w:space="0" w:color="auto"/>
            </w:tcBorders>
          </w:tcPr>
          <w:p w14:paraId="29ADC90B" w14:textId="77777777" w:rsidR="000923BB" w:rsidRDefault="000923BB" w:rsidP="003A385F">
            <w:pPr>
              <w:jc w:val="center"/>
              <w:rPr>
                <w:rFonts w:cs="Arial"/>
                <w:color w:val="000000"/>
                <w:sz w:val="18"/>
                <w:szCs w:val="18"/>
              </w:rPr>
            </w:pPr>
            <w:r>
              <w:rPr>
                <w:rFonts w:cs="Arial"/>
                <w:color w:val="000000"/>
                <w:sz w:val="18"/>
                <w:szCs w:val="18"/>
              </w:rPr>
              <w:t>1</w:t>
            </w:r>
          </w:p>
          <w:p w14:paraId="0B066AC3" w14:textId="77777777" w:rsidR="000923BB" w:rsidRDefault="000923BB" w:rsidP="003A385F">
            <w:pPr>
              <w:jc w:val="center"/>
              <w:rPr>
                <w:rFonts w:cs="Arial"/>
                <w:color w:val="000000"/>
                <w:sz w:val="18"/>
                <w:szCs w:val="18"/>
              </w:rPr>
            </w:pPr>
            <w:r>
              <w:rPr>
                <w:rFonts w:cs="Arial"/>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tcPr>
          <w:p w14:paraId="103A846C" w14:textId="77777777" w:rsidR="000923BB" w:rsidRDefault="000923BB" w:rsidP="003A385F">
            <w:pPr>
              <w:jc w:val="center"/>
              <w:rPr>
                <w:rFonts w:cs="Arial"/>
                <w:color w:val="000000"/>
                <w:sz w:val="18"/>
                <w:szCs w:val="18"/>
              </w:rPr>
            </w:pPr>
            <w:r>
              <w:rPr>
                <w:rFonts w:cs="Arial"/>
                <w:color w:val="000000"/>
                <w:sz w:val="18"/>
                <w:szCs w:val="18"/>
              </w:rPr>
              <w:t>4</w:t>
            </w:r>
          </w:p>
          <w:p w14:paraId="2FF6E4F3" w14:textId="77777777" w:rsidR="000923BB" w:rsidRDefault="000923BB" w:rsidP="003A385F">
            <w:pPr>
              <w:jc w:val="center"/>
              <w:rPr>
                <w:rFonts w:cs="Arial"/>
                <w:color w:val="000000"/>
                <w:sz w:val="18"/>
                <w:szCs w:val="18"/>
              </w:rPr>
            </w:pPr>
            <w:r>
              <w:rPr>
                <w:rFonts w:cs="Arial"/>
                <w:color w:val="000000"/>
                <w:sz w:val="18"/>
                <w:szCs w:val="18"/>
              </w:rPr>
              <w:t>(1)</w:t>
            </w:r>
          </w:p>
        </w:tc>
      </w:tr>
    </w:tbl>
    <w:p w14:paraId="533416FF" w14:textId="77777777" w:rsidR="000923BB" w:rsidRDefault="000923BB" w:rsidP="000923BB">
      <w:pPr>
        <w:tabs>
          <w:tab w:val="center" w:pos="3672"/>
        </w:tabs>
        <w:autoSpaceDE w:val="0"/>
        <w:autoSpaceDN w:val="0"/>
        <w:adjustRightInd w:val="0"/>
        <w:rPr>
          <w:rFonts w:cs="Arial"/>
          <w:b/>
          <w:bCs/>
          <w:color w:val="000000"/>
          <w:sz w:val="22"/>
          <w:szCs w:val="22"/>
        </w:rPr>
      </w:pPr>
    </w:p>
    <w:p w14:paraId="106323AF" w14:textId="77777777" w:rsidR="000923BB" w:rsidRDefault="000923BB" w:rsidP="000923BB">
      <w:pPr>
        <w:rPr>
          <w:sz w:val="22"/>
          <w:szCs w:val="22"/>
        </w:rPr>
      </w:pPr>
    </w:p>
    <w:p w14:paraId="465CAB65" w14:textId="77777777" w:rsidR="000923BB" w:rsidRDefault="000923BB" w:rsidP="000923BB">
      <w:pPr>
        <w:jc w:val="both"/>
        <w:rPr>
          <w:rFonts w:cs="Arial"/>
          <w:sz w:val="22"/>
          <w:szCs w:val="22"/>
          <w:u w:val="single"/>
        </w:rPr>
      </w:pPr>
      <w:r>
        <w:rPr>
          <w:rFonts w:cs="Arial"/>
          <w:sz w:val="22"/>
          <w:szCs w:val="22"/>
          <w:u w:val="single"/>
        </w:rPr>
        <w:t xml:space="preserve">Intra-rater consistency in holistic reviews </w:t>
      </w:r>
    </w:p>
    <w:p w14:paraId="6C280BB8" w14:textId="77777777" w:rsidR="000923BB" w:rsidRDefault="000923BB" w:rsidP="000923BB">
      <w:pPr>
        <w:jc w:val="both"/>
        <w:rPr>
          <w:rFonts w:cs="Arial"/>
          <w:sz w:val="22"/>
          <w:szCs w:val="22"/>
        </w:rPr>
      </w:pPr>
    </w:p>
    <w:p w14:paraId="57567D5D" w14:textId="77777777" w:rsidR="000923BB" w:rsidRDefault="000923BB" w:rsidP="000923BB">
      <w:pPr>
        <w:jc w:val="both"/>
        <w:rPr>
          <w:rFonts w:cs="Arial"/>
          <w:sz w:val="22"/>
          <w:szCs w:val="22"/>
        </w:rPr>
      </w:pPr>
      <w:r>
        <w:rPr>
          <w:rFonts w:cs="Arial"/>
          <w:sz w:val="22"/>
          <w:szCs w:val="22"/>
        </w:rPr>
        <w:t xml:space="preserve">Across all three staff types there were statistically significant correlations (r&gt;0.71, p&lt;0.001) between the mean scale score ratings that reviewers assigned to the </w:t>
      </w:r>
      <w:r>
        <w:rPr>
          <w:rFonts w:cs="Arial"/>
          <w:sz w:val="22"/>
          <w:szCs w:val="22"/>
        </w:rPr>
        <w:lastRenderedPageBreak/>
        <w:t xml:space="preserve">individual phases of care and their rating of the overall quality of care, indicating a fair to good level of intra-rater consistency in rating the quality of care using holistic review scale scores (Table 5).  Reviewers appeared to be relatively consistent in the way that they scored quality of care for the phases of care in a case and then gave an overall assessment score for the episode of care.  </w:t>
      </w:r>
    </w:p>
    <w:p w14:paraId="2C144BCD" w14:textId="77777777" w:rsidR="000923BB" w:rsidRDefault="000923BB" w:rsidP="000923BB">
      <w:pPr>
        <w:jc w:val="both"/>
        <w:rPr>
          <w:rFonts w:cs="Arial"/>
          <w:sz w:val="22"/>
          <w:szCs w:val="22"/>
        </w:rPr>
      </w:pPr>
    </w:p>
    <w:p w14:paraId="21ACCA58" w14:textId="77777777" w:rsidR="000923BB" w:rsidRDefault="000923BB" w:rsidP="000923BB">
      <w:pPr>
        <w:jc w:val="both"/>
        <w:rPr>
          <w:rFonts w:cs="Arial"/>
          <w:sz w:val="22"/>
          <w:szCs w:val="22"/>
          <w:u w:val="single"/>
        </w:rPr>
      </w:pPr>
      <w:r>
        <w:rPr>
          <w:rFonts w:cs="Arial"/>
          <w:sz w:val="22"/>
          <w:szCs w:val="22"/>
          <w:u w:val="single"/>
        </w:rPr>
        <w:t>Inter-rater reliability for holistic review</w:t>
      </w:r>
    </w:p>
    <w:p w14:paraId="7CDB67C2" w14:textId="77777777" w:rsidR="000923BB" w:rsidRDefault="000923BB" w:rsidP="000923BB">
      <w:pPr>
        <w:jc w:val="both"/>
        <w:rPr>
          <w:rFonts w:cs="Arial"/>
          <w:sz w:val="22"/>
          <w:szCs w:val="22"/>
        </w:rPr>
      </w:pPr>
      <w:r>
        <w:rPr>
          <w:rFonts w:cs="Arial"/>
          <w:sz w:val="22"/>
          <w:szCs w:val="22"/>
        </w:rPr>
        <w:t>Holistic review reliability between scale score ratings of the same record by pairs of reviewers was fair within all three staff types, although it varied from one reviewer pair to another and for some pairs was very poor (Table 6).  The overall weighted mean ICC was fair across all three types of reviewers, with no significant differences between staff types.  Table 6a displays the same analysis using kappa statistics.  The same trend occurs as in Table 6, that is, the doctor reviewers have a higher level of agreement than the other staff types, although the results for the nurse/clinical group and the non-clinical audit staff  are somewhat lower than for the ICC analysis.  This is likely to be due to differences in the two methods of analysis.</w:t>
      </w:r>
    </w:p>
    <w:p w14:paraId="08287CDC" w14:textId="77777777" w:rsidR="000923BB" w:rsidRDefault="000923BB" w:rsidP="000923BB">
      <w:pPr>
        <w:jc w:val="both"/>
        <w:rPr>
          <w:rFonts w:cs="Arial"/>
          <w:b/>
          <w:bCs/>
          <w:sz w:val="20"/>
          <w:szCs w:val="20"/>
        </w:rPr>
      </w:pPr>
    </w:p>
    <w:p w14:paraId="144AAF4F" w14:textId="77777777" w:rsidR="000923BB" w:rsidRDefault="000923BB" w:rsidP="000923BB">
      <w:pPr>
        <w:jc w:val="both"/>
        <w:rPr>
          <w:rFonts w:cs="Arial"/>
          <w:b/>
          <w:bCs/>
          <w:sz w:val="20"/>
          <w:szCs w:val="20"/>
        </w:rPr>
      </w:pPr>
    </w:p>
    <w:p w14:paraId="103423B2" w14:textId="77777777" w:rsidR="000923BB" w:rsidRDefault="000923BB" w:rsidP="000923BB">
      <w:pPr>
        <w:jc w:val="both"/>
        <w:rPr>
          <w:rFonts w:cs="Arial"/>
          <w:b/>
          <w:bCs/>
          <w:sz w:val="20"/>
          <w:szCs w:val="20"/>
        </w:rPr>
      </w:pPr>
      <w:r>
        <w:rPr>
          <w:rFonts w:cs="Arial"/>
          <w:b/>
          <w:bCs/>
          <w:sz w:val="20"/>
          <w:szCs w:val="20"/>
        </w:rPr>
        <w:t xml:space="preserve">Table 5: Intra-rater consistency between holistic scale score ratings for phases of care and for overall care </w:t>
      </w:r>
    </w:p>
    <w:p w14:paraId="3B4A2DC5" w14:textId="77777777" w:rsidR="000923BB" w:rsidRDefault="000923BB" w:rsidP="000923BB"/>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2"/>
        <w:gridCol w:w="966"/>
        <w:gridCol w:w="1211"/>
        <w:gridCol w:w="1799"/>
        <w:gridCol w:w="2735"/>
      </w:tblGrid>
      <w:tr w:rsidR="000923BB" w14:paraId="110B3969" w14:textId="77777777" w:rsidTr="002C52B4">
        <w:trPr>
          <w:trHeight w:val="1047"/>
        </w:trPr>
        <w:tc>
          <w:tcPr>
            <w:tcW w:w="949" w:type="pct"/>
            <w:tcBorders>
              <w:top w:val="single" w:sz="4" w:space="0" w:color="auto"/>
              <w:left w:val="single" w:sz="4" w:space="0" w:color="auto"/>
              <w:bottom w:val="single" w:sz="4" w:space="0" w:color="auto"/>
              <w:right w:val="single" w:sz="4" w:space="0" w:color="auto"/>
            </w:tcBorders>
            <w:vAlign w:val="center"/>
          </w:tcPr>
          <w:p w14:paraId="27CAAAB2" w14:textId="77777777" w:rsidR="000923BB" w:rsidRPr="00C57BF6" w:rsidRDefault="000923BB" w:rsidP="003A385F">
            <w:pPr>
              <w:rPr>
                <w:rFonts w:cs="Arial"/>
                <w:b/>
                <w:bCs/>
                <w:sz w:val="18"/>
                <w:szCs w:val="18"/>
              </w:rPr>
            </w:pPr>
            <w:r w:rsidRPr="00C57BF6">
              <w:rPr>
                <w:rFonts w:cs="Arial"/>
                <w:b/>
                <w:bCs/>
                <w:sz w:val="18"/>
                <w:szCs w:val="18"/>
                <w:lang w:val="en-US"/>
              </w:rPr>
              <w:t>Review staff type</w:t>
            </w:r>
            <w:r w:rsidRPr="00C57BF6">
              <w:rPr>
                <w:rFonts w:cs="Arial"/>
                <w:b/>
                <w:bCs/>
                <w:sz w:val="18"/>
                <w:szCs w:val="18"/>
              </w:rPr>
              <w:t xml:space="preserve"> (number of review staff)</w:t>
            </w:r>
          </w:p>
        </w:tc>
        <w:tc>
          <w:tcPr>
            <w:tcW w:w="583" w:type="pct"/>
            <w:tcBorders>
              <w:top w:val="single" w:sz="4" w:space="0" w:color="auto"/>
              <w:left w:val="single" w:sz="4" w:space="0" w:color="auto"/>
              <w:bottom w:val="single" w:sz="4" w:space="0" w:color="auto"/>
              <w:right w:val="single" w:sz="4" w:space="0" w:color="auto"/>
            </w:tcBorders>
            <w:vAlign w:val="center"/>
          </w:tcPr>
          <w:p w14:paraId="2503371F" w14:textId="77777777" w:rsidR="000923BB" w:rsidRPr="00C57BF6" w:rsidRDefault="000923BB" w:rsidP="003A385F">
            <w:pPr>
              <w:jc w:val="center"/>
              <w:rPr>
                <w:rFonts w:cs="Arial"/>
                <w:b/>
                <w:bCs/>
                <w:sz w:val="18"/>
                <w:szCs w:val="18"/>
              </w:rPr>
            </w:pPr>
            <w:r w:rsidRPr="00C57BF6">
              <w:rPr>
                <w:rFonts w:cs="Arial"/>
                <w:b/>
                <w:bCs/>
                <w:sz w:val="18"/>
                <w:szCs w:val="18"/>
              </w:rPr>
              <w:t>Number of reviews</w:t>
            </w:r>
            <w:r w:rsidRPr="00C57BF6">
              <w:rPr>
                <w:rFonts w:cs="Arial"/>
                <w:b/>
                <w:bCs/>
                <w:sz w:val="18"/>
                <w:szCs w:val="18"/>
                <w:vertAlign w:val="superscript"/>
              </w:rPr>
              <w:t xml:space="preserve"> </w:t>
            </w:r>
          </w:p>
        </w:tc>
        <w:tc>
          <w:tcPr>
            <w:tcW w:w="731" w:type="pct"/>
            <w:tcBorders>
              <w:top w:val="single" w:sz="4" w:space="0" w:color="auto"/>
              <w:left w:val="single" w:sz="4" w:space="0" w:color="auto"/>
              <w:bottom w:val="single" w:sz="4" w:space="0" w:color="auto"/>
              <w:right w:val="single" w:sz="4" w:space="0" w:color="auto"/>
            </w:tcBorders>
          </w:tcPr>
          <w:p w14:paraId="07666C8B" w14:textId="77777777" w:rsidR="000923BB" w:rsidRPr="00C57BF6" w:rsidRDefault="000923BB" w:rsidP="003A385F">
            <w:pPr>
              <w:jc w:val="center"/>
              <w:rPr>
                <w:rFonts w:cs="Arial"/>
                <w:b/>
                <w:bCs/>
                <w:sz w:val="18"/>
                <w:szCs w:val="18"/>
              </w:rPr>
            </w:pPr>
            <w:r w:rsidRPr="00C57BF6">
              <w:rPr>
                <w:rFonts w:cs="Arial"/>
                <w:b/>
                <w:bCs/>
                <w:sz w:val="18"/>
                <w:szCs w:val="18"/>
              </w:rPr>
              <w:t>Mean overall rating of quality of care  (SD)</w:t>
            </w:r>
          </w:p>
        </w:tc>
        <w:tc>
          <w:tcPr>
            <w:tcW w:w="1086" w:type="pct"/>
            <w:tcBorders>
              <w:top w:val="single" w:sz="4" w:space="0" w:color="auto"/>
              <w:left w:val="single" w:sz="4" w:space="0" w:color="auto"/>
              <w:bottom w:val="single" w:sz="4" w:space="0" w:color="auto"/>
              <w:right w:val="single" w:sz="4" w:space="0" w:color="auto"/>
            </w:tcBorders>
          </w:tcPr>
          <w:p w14:paraId="7F5EC086" w14:textId="77777777" w:rsidR="000923BB" w:rsidRPr="00C57BF6" w:rsidRDefault="000923BB" w:rsidP="003A385F">
            <w:pPr>
              <w:jc w:val="center"/>
              <w:rPr>
                <w:rFonts w:cs="Arial"/>
                <w:b/>
                <w:bCs/>
                <w:sz w:val="18"/>
                <w:szCs w:val="18"/>
              </w:rPr>
            </w:pPr>
            <w:r w:rsidRPr="00C57BF6">
              <w:rPr>
                <w:rFonts w:cs="Arial"/>
                <w:b/>
                <w:bCs/>
                <w:sz w:val="18"/>
                <w:szCs w:val="18"/>
              </w:rPr>
              <w:t xml:space="preserve">Mean rating of phase quality of care (based on the mean score across 3 phases of care) </w:t>
            </w:r>
          </w:p>
        </w:tc>
        <w:tc>
          <w:tcPr>
            <w:tcW w:w="1652" w:type="pct"/>
            <w:tcBorders>
              <w:top w:val="single" w:sz="4" w:space="0" w:color="auto"/>
              <w:left w:val="single" w:sz="4" w:space="0" w:color="auto"/>
              <w:bottom w:val="single" w:sz="4" w:space="0" w:color="auto"/>
              <w:right w:val="single" w:sz="4" w:space="0" w:color="auto"/>
            </w:tcBorders>
            <w:vAlign w:val="center"/>
          </w:tcPr>
          <w:p w14:paraId="710CBF13" w14:textId="77777777" w:rsidR="000923BB" w:rsidRPr="00C57BF6" w:rsidRDefault="000923BB" w:rsidP="003A385F">
            <w:pPr>
              <w:jc w:val="center"/>
              <w:rPr>
                <w:rFonts w:cs="Arial"/>
                <w:b/>
                <w:bCs/>
                <w:sz w:val="18"/>
                <w:szCs w:val="18"/>
              </w:rPr>
            </w:pPr>
            <w:r w:rsidRPr="00C57BF6">
              <w:rPr>
                <w:rFonts w:cs="Arial"/>
                <w:b/>
                <w:bCs/>
                <w:sz w:val="18"/>
                <w:szCs w:val="18"/>
              </w:rPr>
              <w:t>Pearson correlation between mean rating across three phases of care, and overall rating (p-value)</w:t>
            </w:r>
          </w:p>
        </w:tc>
      </w:tr>
      <w:tr w:rsidR="000923BB" w14:paraId="34DCB4A3" w14:textId="77777777" w:rsidTr="002C52B4">
        <w:trPr>
          <w:trHeight w:val="271"/>
        </w:trPr>
        <w:tc>
          <w:tcPr>
            <w:tcW w:w="949" w:type="pct"/>
            <w:tcBorders>
              <w:top w:val="single" w:sz="4" w:space="0" w:color="auto"/>
              <w:left w:val="single" w:sz="4" w:space="0" w:color="auto"/>
              <w:bottom w:val="single" w:sz="4" w:space="0" w:color="auto"/>
              <w:right w:val="single" w:sz="4" w:space="0" w:color="auto"/>
            </w:tcBorders>
            <w:vAlign w:val="center"/>
          </w:tcPr>
          <w:p w14:paraId="76A62E35" w14:textId="77777777" w:rsidR="000923BB" w:rsidRPr="00C57BF6" w:rsidRDefault="000923BB" w:rsidP="003A385F">
            <w:pPr>
              <w:rPr>
                <w:rFonts w:cs="Arial"/>
                <w:sz w:val="18"/>
                <w:szCs w:val="18"/>
              </w:rPr>
            </w:pPr>
            <w:r w:rsidRPr="00C57BF6">
              <w:rPr>
                <w:rFonts w:cs="Arial"/>
                <w:sz w:val="18"/>
                <w:szCs w:val="18"/>
              </w:rPr>
              <w:t>Doctors  (16)</w:t>
            </w:r>
          </w:p>
        </w:tc>
        <w:tc>
          <w:tcPr>
            <w:tcW w:w="583" w:type="pct"/>
            <w:tcBorders>
              <w:top w:val="nil"/>
              <w:left w:val="single" w:sz="4" w:space="0" w:color="auto"/>
              <w:bottom w:val="single" w:sz="4" w:space="0" w:color="auto"/>
              <w:right w:val="single" w:sz="4" w:space="0" w:color="auto"/>
            </w:tcBorders>
            <w:vAlign w:val="center"/>
          </w:tcPr>
          <w:p w14:paraId="6047A8E1" w14:textId="77777777" w:rsidR="000923BB" w:rsidRPr="00C57BF6" w:rsidRDefault="000923BB" w:rsidP="003A385F">
            <w:pPr>
              <w:jc w:val="center"/>
              <w:rPr>
                <w:rFonts w:cs="Arial"/>
                <w:sz w:val="18"/>
                <w:szCs w:val="18"/>
              </w:rPr>
            </w:pPr>
            <w:r w:rsidRPr="00C57BF6">
              <w:rPr>
                <w:rFonts w:cs="Arial"/>
                <w:sz w:val="18"/>
                <w:szCs w:val="18"/>
              </w:rPr>
              <w:t xml:space="preserve">593 </w:t>
            </w:r>
          </w:p>
        </w:tc>
        <w:tc>
          <w:tcPr>
            <w:tcW w:w="731" w:type="pct"/>
            <w:tcBorders>
              <w:top w:val="nil"/>
              <w:left w:val="single" w:sz="4" w:space="0" w:color="auto"/>
              <w:bottom w:val="single" w:sz="4" w:space="0" w:color="auto"/>
              <w:right w:val="single" w:sz="4" w:space="0" w:color="auto"/>
            </w:tcBorders>
          </w:tcPr>
          <w:p w14:paraId="3826A2DF" w14:textId="77777777" w:rsidR="000923BB" w:rsidRPr="00C57BF6" w:rsidRDefault="000923BB" w:rsidP="003A385F">
            <w:pPr>
              <w:jc w:val="center"/>
              <w:rPr>
                <w:rFonts w:cs="Arial"/>
                <w:sz w:val="18"/>
                <w:szCs w:val="18"/>
              </w:rPr>
            </w:pPr>
            <w:r w:rsidRPr="00C57BF6">
              <w:rPr>
                <w:rFonts w:cs="Arial"/>
                <w:sz w:val="18"/>
                <w:szCs w:val="18"/>
              </w:rPr>
              <w:t>7.8 (1.8)</w:t>
            </w:r>
          </w:p>
        </w:tc>
        <w:tc>
          <w:tcPr>
            <w:tcW w:w="1086" w:type="pct"/>
            <w:tcBorders>
              <w:top w:val="nil"/>
              <w:left w:val="single" w:sz="4" w:space="0" w:color="auto"/>
              <w:bottom w:val="single" w:sz="4" w:space="0" w:color="auto"/>
              <w:right w:val="single" w:sz="4" w:space="0" w:color="auto"/>
            </w:tcBorders>
          </w:tcPr>
          <w:p w14:paraId="3D430467" w14:textId="77777777" w:rsidR="000923BB" w:rsidRPr="00C57BF6" w:rsidRDefault="000923BB" w:rsidP="003A385F">
            <w:pPr>
              <w:jc w:val="center"/>
              <w:rPr>
                <w:rFonts w:cs="Arial"/>
                <w:sz w:val="18"/>
                <w:szCs w:val="18"/>
              </w:rPr>
            </w:pPr>
            <w:r w:rsidRPr="00C57BF6">
              <w:rPr>
                <w:rFonts w:cs="Arial"/>
                <w:sz w:val="18"/>
                <w:szCs w:val="18"/>
              </w:rPr>
              <w:t>4.7 (0.8)</w:t>
            </w:r>
          </w:p>
        </w:tc>
        <w:tc>
          <w:tcPr>
            <w:tcW w:w="1652" w:type="pct"/>
            <w:tcBorders>
              <w:top w:val="nil"/>
              <w:left w:val="single" w:sz="4" w:space="0" w:color="auto"/>
              <w:bottom w:val="single" w:sz="4" w:space="0" w:color="auto"/>
              <w:right w:val="single" w:sz="4" w:space="0" w:color="auto"/>
            </w:tcBorders>
            <w:vAlign w:val="center"/>
          </w:tcPr>
          <w:p w14:paraId="4F0CB085" w14:textId="77777777" w:rsidR="000923BB" w:rsidRPr="00C57BF6" w:rsidRDefault="000923BB" w:rsidP="003A385F">
            <w:pPr>
              <w:jc w:val="center"/>
              <w:rPr>
                <w:rFonts w:cs="Arial"/>
                <w:sz w:val="18"/>
                <w:szCs w:val="18"/>
              </w:rPr>
            </w:pPr>
            <w:r w:rsidRPr="00C57BF6">
              <w:rPr>
                <w:rFonts w:cs="Arial"/>
                <w:sz w:val="18"/>
                <w:szCs w:val="18"/>
              </w:rPr>
              <w:t>0.77  (&lt;0.001)</w:t>
            </w:r>
          </w:p>
        </w:tc>
      </w:tr>
      <w:tr w:rsidR="000923BB" w14:paraId="1EFA3CE5" w14:textId="77777777" w:rsidTr="002C52B4">
        <w:trPr>
          <w:trHeight w:val="265"/>
        </w:trPr>
        <w:tc>
          <w:tcPr>
            <w:tcW w:w="949" w:type="pct"/>
            <w:tcBorders>
              <w:top w:val="single" w:sz="4" w:space="0" w:color="auto"/>
              <w:left w:val="single" w:sz="4" w:space="0" w:color="auto"/>
              <w:bottom w:val="single" w:sz="4" w:space="0" w:color="auto"/>
              <w:right w:val="single" w:sz="4" w:space="0" w:color="auto"/>
            </w:tcBorders>
            <w:vAlign w:val="center"/>
          </w:tcPr>
          <w:p w14:paraId="120A8E49" w14:textId="77777777" w:rsidR="000923BB" w:rsidRPr="00C57BF6" w:rsidRDefault="000923BB" w:rsidP="003A385F">
            <w:pPr>
              <w:rPr>
                <w:rFonts w:cs="Arial"/>
                <w:sz w:val="18"/>
                <w:szCs w:val="18"/>
              </w:rPr>
            </w:pPr>
            <w:r w:rsidRPr="00C57BF6">
              <w:rPr>
                <w:rFonts w:cs="Arial"/>
                <w:sz w:val="18"/>
                <w:szCs w:val="18"/>
              </w:rPr>
              <w:t>Nurses/other clinical  (14)</w:t>
            </w:r>
          </w:p>
        </w:tc>
        <w:tc>
          <w:tcPr>
            <w:tcW w:w="583" w:type="pct"/>
            <w:tcBorders>
              <w:top w:val="nil"/>
              <w:left w:val="single" w:sz="4" w:space="0" w:color="auto"/>
              <w:bottom w:val="single" w:sz="4" w:space="0" w:color="auto"/>
              <w:right w:val="single" w:sz="4" w:space="0" w:color="auto"/>
            </w:tcBorders>
            <w:vAlign w:val="center"/>
          </w:tcPr>
          <w:p w14:paraId="3A013B6B" w14:textId="77777777" w:rsidR="000923BB" w:rsidRPr="00C57BF6" w:rsidRDefault="000923BB" w:rsidP="003A385F">
            <w:pPr>
              <w:jc w:val="center"/>
              <w:rPr>
                <w:rFonts w:cs="Arial"/>
                <w:sz w:val="18"/>
                <w:szCs w:val="18"/>
              </w:rPr>
            </w:pPr>
            <w:r w:rsidRPr="00C57BF6">
              <w:rPr>
                <w:rFonts w:cs="Arial"/>
                <w:sz w:val="18"/>
                <w:szCs w:val="18"/>
              </w:rPr>
              <w:t xml:space="preserve">529 </w:t>
            </w:r>
          </w:p>
        </w:tc>
        <w:tc>
          <w:tcPr>
            <w:tcW w:w="731" w:type="pct"/>
            <w:tcBorders>
              <w:top w:val="nil"/>
              <w:left w:val="single" w:sz="4" w:space="0" w:color="auto"/>
              <w:bottom w:val="single" w:sz="4" w:space="0" w:color="auto"/>
              <w:right w:val="single" w:sz="4" w:space="0" w:color="auto"/>
            </w:tcBorders>
          </w:tcPr>
          <w:p w14:paraId="5C515ADA" w14:textId="77777777" w:rsidR="000923BB" w:rsidRPr="00C57BF6" w:rsidRDefault="000923BB" w:rsidP="003A385F">
            <w:pPr>
              <w:jc w:val="center"/>
              <w:rPr>
                <w:rFonts w:cs="Arial"/>
                <w:sz w:val="18"/>
                <w:szCs w:val="18"/>
              </w:rPr>
            </w:pPr>
            <w:r w:rsidRPr="00C57BF6">
              <w:rPr>
                <w:rFonts w:cs="Arial"/>
                <w:sz w:val="18"/>
                <w:szCs w:val="18"/>
              </w:rPr>
              <w:t>7.0 (2.0)</w:t>
            </w:r>
          </w:p>
        </w:tc>
        <w:tc>
          <w:tcPr>
            <w:tcW w:w="1086" w:type="pct"/>
            <w:tcBorders>
              <w:top w:val="nil"/>
              <w:left w:val="single" w:sz="4" w:space="0" w:color="auto"/>
              <w:bottom w:val="single" w:sz="4" w:space="0" w:color="auto"/>
              <w:right w:val="single" w:sz="4" w:space="0" w:color="auto"/>
            </w:tcBorders>
          </w:tcPr>
          <w:p w14:paraId="38173503" w14:textId="77777777" w:rsidR="000923BB" w:rsidRPr="00C57BF6" w:rsidRDefault="000923BB" w:rsidP="003A385F">
            <w:pPr>
              <w:jc w:val="center"/>
              <w:rPr>
                <w:rFonts w:cs="Arial"/>
                <w:sz w:val="18"/>
                <w:szCs w:val="18"/>
              </w:rPr>
            </w:pPr>
            <w:r w:rsidRPr="00C57BF6">
              <w:rPr>
                <w:rFonts w:cs="Arial"/>
                <w:sz w:val="18"/>
                <w:szCs w:val="18"/>
              </w:rPr>
              <w:t>4.4 (1.0)</w:t>
            </w:r>
          </w:p>
        </w:tc>
        <w:tc>
          <w:tcPr>
            <w:tcW w:w="1652" w:type="pct"/>
            <w:tcBorders>
              <w:top w:val="nil"/>
              <w:left w:val="single" w:sz="4" w:space="0" w:color="auto"/>
              <w:bottom w:val="single" w:sz="4" w:space="0" w:color="auto"/>
              <w:right w:val="single" w:sz="4" w:space="0" w:color="auto"/>
            </w:tcBorders>
            <w:vAlign w:val="center"/>
          </w:tcPr>
          <w:p w14:paraId="6D59896E" w14:textId="77777777" w:rsidR="000923BB" w:rsidRPr="00C57BF6" w:rsidRDefault="000923BB" w:rsidP="003A385F">
            <w:pPr>
              <w:jc w:val="center"/>
              <w:rPr>
                <w:rFonts w:cs="Arial"/>
                <w:sz w:val="18"/>
                <w:szCs w:val="18"/>
              </w:rPr>
            </w:pPr>
            <w:r w:rsidRPr="00C57BF6">
              <w:rPr>
                <w:rFonts w:cs="Arial"/>
                <w:sz w:val="18"/>
                <w:szCs w:val="18"/>
              </w:rPr>
              <w:t>0.81  (&lt; 0.001)</w:t>
            </w:r>
          </w:p>
        </w:tc>
      </w:tr>
      <w:tr w:rsidR="000923BB" w14:paraId="6B4A8BA0" w14:textId="77777777" w:rsidTr="002C52B4">
        <w:trPr>
          <w:trHeight w:val="287"/>
        </w:trPr>
        <w:tc>
          <w:tcPr>
            <w:tcW w:w="949" w:type="pct"/>
            <w:tcBorders>
              <w:top w:val="single" w:sz="4" w:space="0" w:color="auto"/>
              <w:left w:val="single" w:sz="4" w:space="0" w:color="auto"/>
              <w:bottom w:val="single" w:sz="4" w:space="0" w:color="auto"/>
              <w:right w:val="single" w:sz="4" w:space="0" w:color="auto"/>
            </w:tcBorders>
            <w:vAlign w:val="center"/>
          </w:tcPr>
          <w:p w14:paraId="00FEE175" w14:textId="77777777" w:rsidR="000923BB" w:rsidRPr="00C57BF6" w:rsidRDefault="000923BB" w:rsidP="003A385F">
            <w:pPr>
              <w:rPr>
                <w:rFonts w:cs="Arial"/>
                <w:sz w:val="18"/>
                <w:szCs w:val="18"/>
              </w:rPr>
            </w:pPr>
            <w:r w:rsidRPr="00C57BF6">
              <w:rPr>
                <w:rFonts w:cs="Arial"/>
                <w:sz w:val="18"/>
                <w:szCs w:val="18"/>
              </w:rPr>
              <w:t>Non-clinical audit  (9)</w:t>
            </w:r>
          </w:p>
        </w:tc>
        <w:tc>
          <w:tcPr>
            <w:tcW w:w="583" w:type="pct"/>
            <w:tcBorders>
              <w:top w:val="nil"/>
              <w:left w:val="single" w:sz="4" w:space="0" w:color="auto"/>
              <w:bottom w:val="single" w:sz="4" w:space="0" w:color="auto"/>
              <w:right w:val="single" w:sz="4" w:space="0" w:color="auto"/>
            </w:tcBorders>
            <w:vAlign w:val="center"/>
          </w:tcPr>
          <w:p w14:paraId="4D1BE4D3" w14:textId="77777777" w:rsidR="000923BB" w:rsidRPr="00C57BF6" w:rsidRDefault="000923BB" w:rsidP="003A385F">
            <w:pPr>
              <w:jc w:val="center"/>
              <w:rPr>
                <w:rFonts w:cs="Arial"/>
                <w:sz w:val="18"/>
                <w:szCs w:val="18"/>
              </w:rPr>
            </w:pPr>
            <w:r w:rsidRPr="00C57BF6">
              <w:rPr>
                <w:rFonts w:cs="Arial"/>
                <w:sz w:val="18"/>
                <w:szCs w:val="18"/>
              </w:rPr>
              <w:t xml:space="preserve">296 </w:t>
            </w:r>
          </w:p>
        </w:tc>
        <w:tc>
          <w:tcPr>
            <w:tcW w:w="731" w:type="pct"/>
            <w:tcBorders>
              <w:top w:val="nil"/>
              <w:left w:val="single" w:sz="4" w:space="0" w:color="auto"/>
              <w:bottom w:val="single" w:sz="4" w:space="0" w:color="auto"/>
              <w:right w:val="single" w:sz="4" w:space="0" w:color="auto"/>
            </w:tcBorders>
          </w:tcPr>
          <w:p w14:paraId="422649A5" w14:textId="77777777" w:rsidR="000923BB" w:rsidRPr="00C57BF6" w:rsidRDefault="000923BB" w:rsidP="003A385F">
            <w:pPr>
              <w:jc w:val="center"/>
              <w:rPr>
                <w:rFonts w:cs="Arial"/>
                <w:sz w:val="18"/>
                <w:szCs w:val="18"/>
              </w:rPr>
            </w:pPr>
            <w:r w:rsidRPr="00C57BF6">
              <w:rPr>
                <w:rFonts w:cs="Arial"/>
                <w:sz w:val="18"/>
                <w:szCs w:val="18"/>
              </w:rPr>
              <w:t>7.9 (1.3)</w:t>
            </w:r>
          </w:p>
        </w:tc>
        <w:tc>
          <w:tcPr>
            <w:tcW w:w="1086" w:type="pct"/>
            <w:tcBorders>
              <w:top w:val="nil"/>
              <w:left w:val="single" w:sz="4" w:space="0" w:color="auto"/>
              <w:bottom w:val="single" w:sz="4" w:space="0" w:color="auto"/>
              <w:right w:val="single" w:sz="4" w:space="0" w:color="auto"/>
            </w:tcBorders>
          </w:tcPr>
          <w:p w14:paraId="51E41FD3" w14:textId="77777777" w:rsidR="000923BB" w:rsidRPr="00C57BF6" w:rsidRDefault="000923BB" w:rsidP="003A385F">
            <w:pPr>
              <w:jc w:val="center"/>
              <w:rPr>
                <w:rFonts w:cs="Arial"/>
                <w:sz w:val="18"/>
                <w:szCs w:val="18"/>
              </w:rPr>
            </w:pPr>
            <w:r w:rsidRPr="00C57BF6">
              <w:rPr>
                <w:rFonts w:cs="Arial"/>
                <w:sz w:val="18"/>
                <w:szCs w:val="18"/>
              </w:rPr>
              <w:t>4.6 (0.8)</w:t>
            </w:r>
          </w:p>
        </w:tc>
        <w:tc>
          <w:tcPr>
            <w:tcW w:w="1652" w:type="pct"/>
            <w:tcBorders>
              <w:top w:val="nil"/>
              <w:left w:val="single" w:sz="4" w:space="0" w:color="auto"/>
              <w:bottom w:val="single" w:sz="4" w:space="0" w:color="auto"/>
              <w:right w:val="single" w:sz="4" w:space="0" w:color="auto"/>
            </w:tcBorders>
            <w:vAlign w:val="center"/>
          </w:tcPr>
          <w:p w14:paraId="37A5B62C" w14:textId="77777777" w:rsidR="000923BB" w:rsidRPr="00C57BF6" w:rsidRDefault="000923BB" w:rsidP="003A385F">
            <w:pPr>
              <w:jc w:val="center"/>
              <w:rPr>
                <w:rFonts w:cs="Arial"/>
                <w:sz w:val="18"/>
                <w:szCs w:val="18"/>
              </w:rPr>
            </w:pPr>
            <w:r w:rsidRPr="00C57BF6">
              <w:rPr>
                <w:rFonts w:cs="Arial"/>
                <w:sz w:val="18"/>
                <w:szCs w:val="18"/>
              </w:rPr>
              <w:t>0.71  (&lt; 0.001)</w:t>
            </w:r>
          </w:p>
        </w:tc>
      </w:tr>
    </w:tbl>
    <w:p w14:paraId="25DB6A92" w14:textId="77777777" w:rsidR="000923BB" w:rsidRPr="00C57BF6" w:rsidRDefault="000923BB" w:rsidP="000923BB">
      <w:pPr>
        <w:rPr>
          <w:rFonts w:cs="Arial"/>
          <w:sz w:val="18"/>
          <w:szCs w:val="18"/>
        </w:rPr>
      </w:pPr>
    </w:p>
    <w:p w14:paraId="6D9416D0" w14:textId="77777777" w:rsidR="000923BB" w:rsidRPr="00C57BF6" w:rsidRDefault="000923BB" w:rsidP="000923BB">
      <w:pPr>
        <w:rPr>
          <w:rFonts w:cs="Arial"/>
          <w:sz w:val="18"/>
          <w:szCs w:val="18"/>
        </w:rPr>
      </w:pPr>
      <w:r>
        <w:rPr>
          <w:rFonts w:cs="Arial"/>
          <w:sz w:val="18"/>
          <w:szCs w:val="18"/>
        </w:rPr>
        <w:t>1</w:t>
      </w:r>
      <w:r w:rsidRPr="00C57BF6">
        <w:rPr>
          <w:rFonts w:cs="Arial"/>
          <w:sz w:val="18"/>
          <w:szCs w:val="18"/>
        </w:rPr>
        <w:t>. Overall quality of care was rated on a 1 (unsatisfactory) – 10 (very best care) scale.</w:t>
      </w:r>
    </w:p>
    <w:p w14:paraId="653C171B" w14:textId="77777777" w:rsidR="000923BB" w:rsidRPr="00C57BF6" w:rsidRDefault="000923BB" w:rsidP="000923BB">
      <w:pPr>
        <w:rPr>
          <w:rFonts w:cs="Arial"/>
          <w:sz w:val="18"/>
          <w:szCs w:val="18"/>
        </w:rPr>
      </w:pPr>
      <w:r>
        <w:rPr>
          <w:rFonts w:cs="Arial"/>
          <w:sz w:val="18"/>
          <w:szCs w:val="18"/>
        </w:rPr>
        <w:t>2</w:t>
      </w:r>
      <w:r w:rsidRPr="00C57BF6">
        <w:rPr>
          <w:rFonts w:cs="Arial"/>
          <w:sz w:val="18"/>
          <w:szCs w:val="18"/>
        </w:rPr>
        <w:t>. Quality of care in each of the three phases: (admission/investigations, initial management, and pre-discharge) was rated on a 1 (unsatisfactory) – 6 (very best care) scale.</w:t>
      </w:r>
    </w:p>
    <w:p w14:paraId="4D4F563A" w14:textId="77777777" w:rsidR="000923BB" w:rsidRDefault="000923BB" w:rsidP="000923BB">
      <w:pPr>
        <w:rPr>
          <w:rFonts w:cs="Arial"/>
          <w:sz w:val="20"/>
          <w:szCs w:val="20"/>
        </w:rPr>
      </w:pPr>
    </w:p>
    <w:p w14:paraId="77ABCCBA" w14:textId="77777777" w:rsidR="002C52B4" w:rsidRDefault="002C52B4" w:rsidP="000923BB">
      <w:pPr>
        <w:rPr>
          <w:rFonts w:cs="Arial"/>
          <w:sz w:val="20"/>
          <w:szCs w:val="20"/>
        </w:rPr>
      </w:pPr>
    </w:p>
    <w:p w14:paraId="14D9FDB9" w14:textId="77777777" w:rsidR="000923BB" w:rsidRDefault="000923BB" w:rsidP="000923BB">
      <w:pPr>
        <w:jc w:val="both"/>
        <w:rPr>
          <w:rFonts w:cs="Arial"/>
          <w:b/>
          <w:bCs/>
          <w:sz w:val="20"/>
          <w:szCs w:val="20"/>
        </w:rPr>
      </w:pPr>
    </w:p>
    <w:p w14:paraId="09E76951" w14:textId="77777777" w:rsidR="000923BB" w:rsidRDefault="000923BB" w:rsidP="000923BB">
      <w:pPr>
        <w:jc w:val="both"/>
        <w:rPr>
          <w:rFonts w:cs="Arial"/>
          <w:sz w:val="22"/>
          <w:szCs w:val="22"/>
        </w:rPr>
      </w:pPr>
      <w:r>
        <w:rPr>
          <w:rFonts w:cs="Arial"/>
          <w:b/>
          <w:bCs/>
          <w:sz w:val="20"/>
          <w:szCs w:val="20"/>
        </w:rPr>
        <w:lastRenderedPageBreak/>
        <w:t>Table 6: Inter-rater reliability (ICC) between holistic overall ratings of the same record by paired reviewers of the same staff type</w:t>
      </w:r>
    </w:p>
    <w:p w14:paraId="0DC00A5E" w14:textId="77777777" w:rsidR="000923BB" w:rsidRDefault="000923BB" w:rsidP="000923BB">
      <w:pPr>
        <w:rPr>
          <w:rFonts w:cs="Arial"/>
          <w:sz w:val="20"/>
          <w:szCs w:val="20"/>
        </w:rPr>
      </w:pPr>
    </w:p>
    <w:tbl>
      <w:tblPr>
        <w:tblW w:w="8080"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7"/>
        <w:gridCol w:w="983"/>
        <w:gridCol w:w="718"/>
        <w:gridCol w:w="2126"/>
        <w:gridCol w:w="1418"/>
      </w:tblGrid>
      <w:tr w:rsidR="000923BB" w:rsidRPr="00C57BF6" w14:paraId="4609CEB7" w14:textId="77777777" w:rsidTr="00282EAD">
        <w:trPr>
          <w:trHeight w:val="846"/>
        </w:trPr>
        <w:tc>
          <w:tcPr>
            <w:tcW w:w="1418" w:type="dxa"/>
            <w:tcBorders>
              <w:top w:val="single" w:sz="4" w:space="0" w:color="auto"/>
              <w:left w:val="single" w:sz="4" w:space="0" w:color="auto"/>
              <w:bottom w:val="single" w:sz="4" w:space="0" w:color="auto"/>
              <w:right w:val="single" w:sz="4" w:space="0" w:color="auto"/>
            </w:tcBorders>
            <w:tcMar>
              <w:left w:w="6" w:type="dxa"/>
              <w:right w:w="6" w:type="dxa"/>
            </w:tcMar>
            <w:vAlign w:val="center"/>
          </w:tcPr>
          <w:p w14:paraId="1B5A65A2" w14:textId="77777777" w:rsidR="000923BB" w:rsidRPr="00C57BF6" w:rsidRDefault="000923BB" w:rsidP="003A385F">
            <w:pPr>
              <w:jc w:val="center"/>
              <w:rPr>
                <w:rFonts w:cs="Arial"/>
                <w:b/>
                <w:bCs/>
                <w:sz w:val="18"/>
                <w:szCs w:val="18"/>
              </w:rPr>
            </w:pPr>
            <w:r w:rsidRPr="00C57BF6">
              <w:rPr>
                <w:rFonts w:cs="Arial"/>
                <w:b/>
                <w:bCs/>
                <w:sz w:val="18"/>
                <w:szCs w:val="18"/>
              </w:rPr>
              <w:t>Reviewer pairs</w:t>
            </w:r>
          </w:p>
        </w:tc>
        <w:tc>
          <w:tcPr>
            <w:tcW w:w="1417" w:type="dxa"/>
            <w:tcBorders>
              <w:top w:val="single" w:sz="4" w:space="0" w:color="auto"/>
              <w:left w:val="single" w:sz="4" w:space="0" w:color="auto"/>
              <w:bottom w:val="single" w:sz="4" w:space="0" w:color="auto"/>
              <w:right w:val="single" w:sz="4" w:space="0" w:color="auto"/>
            </w:tcBorders>
            <w:vAlign w:val="center"/>
          </w:tcPr>
          <w:p w14:paraId="75F9B524" w14:textId="77777777" w:rsidR="000923BB" w:rsidRPr="00C57BF6" w:rsidRDefault="000923BB" w:rsidP="003A385F">
            <w:pPr>
              <w:jc w:val="center"/>
              <w:rPr>
                <w:rFonts w:cs="Arial"/>
                <w:b/>
                <w:bCs/>
                <w:sz w:val="18"/>
                <w:szCs w:val="18"/>
              </w:rPr>
            </w:pPr>
            <w:r w:rsidRPr="00C57BF6">
              <w:rPr>
                <w:rFonts w:cs="Arial"/>
                <w:b/>
                <w:bCs/>
                <w:sz w:val="18"/>
                <w:szCs w:val="18"/>
              </w:rPr>
              <w:t>Condition</w:t>
            </w:r>
          </w:p>
        </w:tc>
        <w:tc>
          <w:tcPr>
            <w:tcW w:w="983" w:type="dxa"/>
            <w:tcBorders>
              <w:top w:val="single" w:sz="4" w:space="0" w:color="auto"/>
              <w:left w:val="single" w:sz="4" w:space="0" w:color="auto"/>
              <w:bottom w:val="single" w:sz="4" w:space="0" w:color="auto"/>
              <w:right w:val="nil"/>
            </w:tcBorders>
            <w:tcMar>
              <w:top w:w="6" w:type="dxa"/>
              <w:left w:w="6" w:type="dxa"/>
              <w:bottom w:w="6" w:type="dxa"/>
              <w:right w:w="6" w:type="dxa"/>
            </w:tcMar>
            <w:vAlign w:val="center"/>
          </w:tcPr>
          <w:p w14:paraId="07A71640" w14:textId="77777777" w:rsidR="000923BB" w:rsidRPr="00C57BF6" w:rsidRDefault="000923BB" w:rsidP="003A385F">
            <w:pPr>
              <w:jc w:val="center"/>
              <w:rPr>
                <w:rFonts w:cs="Arial"/>
                <w:b/>
                <w:bCs/>
                <w:sz w:val="18"/>
                <w:szCs w:val="18"/>
              </w:rPr>
            </w:pPr>
            <w:r w:rsidRPr="00C57BF6">
              <w:rPr>
                <w:rFonts w:cs="Arial"/>
                <w:b/>
                <w:bCs/>
                <w:sz w:val="18"/>
                <w:szCs w:val="18"/>
              </w:rPr>
              <w:t>Site</w:t>
            </w:r>
            <w:r w:rsidRPr="00C57BF6">
              <w:rPr>
                <w:rFonts w:cs="Arial"/>
                <w:b/>
                <w:bCs/>
                <w:sz w:val="18"/>
                <w:szCs w:val="18"/>
                <w:vertAlign w:val="superscript"/>
              </w:rPr>
              <w:t xml:space="preserve"> a</w:t>
            </w:r>
          </w:p>
        </w:tc>
        <w:tc>
          <w:tcPr>
            <w:tcW w:w="718" w:type="dxa"/>
            <w:tcBorders>
              <w:top w:val="single" w:sz="4" w:space="0" w:color="auto"/>
              <w:left w:val="nil"/>
              <w:bottom w:val="single" w:sz="4" w:space="0" w:color="auto"/>
              <w:right w:val="single" w:sz="4" w:space="0" w:color="auto"/>
            </w:tcBorders>
            <w:tcMar>
              <w:left w:w="6" w:type="dxa"/>
              <w:right w:w="6" w:type="dxa"/>
            </w:tcMar>
            <w:vAlign w:val="center"/>
          </w:tcPr>
          <w:p w14:paraId="300D4594" w14:textId="77777777" w:rsidR="000923BB" w:rsidRPr="00C57BF6" w:rsidRDefault="000923BB" w:rsidP="003A385F">
            <w:pPr>
              <w:jc w:val="center"/>
              <w:rPr>
                <w:rFonts w:cs="Arial"/>
                <w:b/>
                <w:bCs/>
                <w:sz w:val="18"/>
                <w:szCs w:val="18"/>
              </w:rPr>
            </w:pPr>
            <w:r w:rsidRPr="00C57BF6">
              <w:rPr>
                <w:rFonts w:cs="Arial"/>
                <w:b/>
                <w:bCs/>
                <w:sz w:val="18"/>
                <w:szCs w:val="18"/>
              </w:rPr>
              <w:t>No of paired reviews</w:t>
            </w:r>
          </w:p>
        </w:tc>
        <w:tc>
          <w:tcPr>
            <w:tcW w:w="2126" w:type="dxa"/>
            <w:tcBorders>
              <w:top w:val="single" w:sz="4" w:space="0" w:color="auto"/>
              <w:left w:val="single" w:sz="4" w:space="0" w:color="auto"/>
              <w:bottom w:val="single" w:sz="4" w:space="0" w:color="auto"/>
              <w:right w:val="single" w:sz="4" w:space="0" w:color="auto"/>
            </w:tcBorders>
            <w:tcMar>
              <w:left w:w="6" w:type="dxa"/>
              <w:right w:w="6" w:type="dxa"/>
            </w:tcMar>
            <w:vAlign w:val="center"/>
          </w:tcPr>
          <w:p w14:paraId="08331EAD" w14:textId="77777777" w:rsidR="000923BB" w:rsidRPr="00C57BF6" w:rsidRDefault="000923BB" w:rsidP="003A385F">
            <w:pPr>
              <w:jc w:val="center"/>
              <w:rPr>
                <w:rFonts w:cs="Arial"/>
                <w:b/>
                <w:bCs/>
                <w:sz w:val="18"/>
                <w:szCs w:val="18"/>
              </w:rPr>
            </w:pPr>
            <w:r w:rsidRPr="00C57BF6">
              <w:rPr>
                <w:rFonts w:cs="Arial"/>
                <w:b/>
                <w:bCs/>
                <w:sz w:val="18"/>
                <w:szCs w:val="18"/>
              </w:rPr>
              <w:t>Intra-class correlation (ICC) between ranked scores (95% CI)</w:t>
            </w:r>
          </w:p>
        </w:tc>
        <w:tc>
          <w:tcPr>
            <w:tcW w:w="1418" w:type="dxa"/>
            <w:tcBorders>
              <w:top w:val="single" w:sz="4" w:space="0" w:color="auto"/>
              <w:left w:val="single" w:sz="4" w:space="0" w:color="auto"/>
              <w:bottom w:val="single" w:sz="4" w:space="0" w:color="auto"/>
              <w:right w:val="single" w:sz="4" w:space="0" w:color="auto"/>
            </w:tcBorders>
            <w:tcMar>
              <w:left w:w="6" w:type="dxa"/>
              <w:right w:w="6" w:type="dxa"/>
            </w:tcMar>
            <w:vAlign w:val="center"/>
          </w:tcPr>
          <w:p w14:paraId="2C2C9982" w14:textId="77777777" w:rsidR="000923BB" w:rsidRPr="00C57BF6" w:rsidRDefault="000923BB" w:rsidP="003A385F">
            <w:pPr>
              <w:jc w:val="center"/>
              <w:rPr>
                <w:rFonts w:cs="Arial"/>
                <w:b/>
                <w:bCs/>
                <w:sz w:val="18"/>
                <w:szCs w:val="18"/>
              </w:rPr>
            </w:pPr>
            <w:r w:rsidRPr="00C57BF6">
              <w:rPr>
                <w:rFonts w:cs="Arial"/>
                <w:b/>
                <w:bCs/>
                <w:sz w:val="18"/>
                <w:szCs w:val="18"/>
              </w:rPr>
              <w:t>Weighted mean ICC</w:t>
            </w:r>
            <w:r w:rsidRPr="00C57BF6">
              <w:rPr>
                <w:rFonts w:cs="Arial"/>
                <w:b/>
                <w:bCs/>
                <w:sz w:val="18"/>
                <w:szCs w:val="18"/>
                <w:vertAlign w:val="superscript"/>
              </w:rPr>
              <w:t xml:space="preserve"> b</w:t>
            </w:r>
            <w:r w:rsidRPr="00C57BF6">
              <w:rPr>
                <w:rFonts w:cs="Arial"/>
                <w:b/>
                <w:bCs/>
                <w:sz w:val="18"/>
                <w:szCs w:val="18"/>
              </w:rPr>
              <w:t xml:space="preserve"> (95% CI)</w:t>
            </w:r>
          </w:p>
        </w:tc>
      </w:tr>
      <w:tr w:rsidR="000923BB" w:rsidRPr="00C57BF6" w14:paraId="03A7B492" w14:textId="77777777" w:rsidTr="00282EAD">
        <w:trPr>
          <w:cantSplit/>
          <w:trHeight w:val="284"/>
        </w:trPr>
        <w:tc>
          <w:tcPr>
            <w:tcW w:w="1418" w:type="dxa"/>
            <w:vMerge w:val="restart"/>
            <w:tcBorders>
              <w:top w:val="single" w:sz="4" w:space="0" w:color="auto"/>
              <w:left w:val="single" w:sz="4" w:space="0" w:color="auto"/>
              <w:bottom w:val="single" w:sz="4" w:space="0" w:color="auto"/>
              <w:right w:val="single" w:sz="4" w:space="0" w:color="auto"/>
            </w:tcBorders>
            <w:vAlign w:val="center"/>
          </w:tcPr>
          <w:p w14:paraId="014C2F0E" w14:textId="77777777" w:rsidR="000923BB" w:rsidRPr="00C57BF6" w:rsidRDefault="000923BB" w:rsidP="003A385F">
            <w:pPr>
              <w:rPr>
                <w:rFonts w:cs="Arial"/>
                <w:sz w:val="18"/>
                <w:szCs w:val="18"/>
              </w:rPr>
            </w:pPr>
            <w:r w:rsidRPr="00C57BF6">
              <w:rPr>
                <w:rFonts w:cs="Arial"/>
                <w:sz w:val="18"/>
                <w:szCs w:val="18"/>
              </w:rPr>
              <w:t>Doctor vs Doctor</w:t>
            </w:r>
          </w:p>
        </w:tc>
        <w:tc>
          <w:tcPr>
            <w:tcW w:w="1417" w:type="dxa"/>
            <w:tcBorders>
              <w:top w:val="single" w:sz="4" w:space="0" w:color="auto"/>
              <w:left w:val="single" w:sz="4" w:space="0" w:color="auto"/>
              <w:bottom w:val="nil"/>
              <w:right w:val="single" w:sz="4" w:space="0" w:color="auto"/>
            </w:tcBorders>
            <w:vAlign w:val="center"/>
          </w:tcPr>
          <w:p w14:paraId="62B5E721" w14:textId="77777777" w:rsidR="000923BB" w:rsidRPr="00C57BF6" w:rsidRDefault="000923BB" w:rsidP="003A385F">
            <w:pPr>
              <w:jc w:val="center"/>
              <w:rPr>
                <w:rFonts w:cs="Arial"/>
                <w:sz w:val="18"/>
                <w:szCs w:val="18"/>
              </w:rPr>
            </w:pPr>
            <w:r w:rsidRPr="00C57BF6">
              <w:rPr>
                <w:rFonts w:cs="Arial"/>
                <w:sz w:val="18"/>
                <w:szCs w:val="18"/>
              </w:rPr>
              <w:t>Heart Failure</w:t>
            </w:r>
          </w:p>
        </w:tc>
        <w:tc>
          <w:tcPr>
            <w:tcW w:w="983" w:type="dxa"/>
            <w:tcBorders>
              <w:top w:val="single" w:sz="4" w:space="0" w:color="auto"/>
              <w:left w:val="single" w:sz="4" w:space="0" w:color="auto"/>
              <w:bottom w:val="nil"/>
              <w:right w:val="nil"/>
            </w:tcBorders>
            <w:tcMar>
              <w:top w:w="6" w:type="dxa"/>
              <w:left w:w="108" w:type="dxa"/>
              <w:bottom w:w="6" w:type="dxa"/>
              <w:right w:w="108" w:type="dxa"/>
            </w:tcMar>
            <w:vAlign w:val="center"/>
          </w:tcPr>
          <w:p w14:paraId="7770BBEC" w14:textId="77777777" w:rsidR="000923BB" w:rsidRPr="00C57BF6" w:rsidRDefault="000923BB" w:rsidP="003A385F">
            <w:pPr>
              <w:jc w:val="center"/>
              <w:rPr>
                <w:rFonts w:cs="Arial"/>
                <w:sz w:val="18"/>
                <w:szCs w:val="18"/>
              </w:rPr>
            </w:pPr>
            <w:r w:rsidRPr="00C57BF6">
              <w:rPr>
                <w:rFonts w:cs="Arial"/>
                <w:sz w:val="18"/>
                <w:szCs w:val="18"/>
              </w:rPr>
              <w:t xml:space="preserve">  B</w:t>
            </w:r>
            <w:r w:rsidRPr="00C57BF6">
              <w:rPr>
                <w:rFonts w:cs="Arial"/>
                <w:b/>
                <w:bCs/>
                <w:sz w:val="18"/>
                <w:szCs w:val="18"/>
                <w:vertAlign w:val="superscript"/>
              </w:rPr>
              <w:t xml:space="preserve"> c</w:t>
            </w:r>
          </w:p>
        </w:tc>
        <w:tc>
          <w:tcPr>
            <w:tcW w:w="718" w:type="dxa"/>
            <w:tcBorders>
              <w:top w:val="single" w:sz="4" w:space="0" w:color="auto"/>
              <w:left w:val="nil"/>
              <w:bottom w:val="nil"/>
              <w:right w:val="single" w:sz="4" w:space="0" w:color="auto"/>
            </w:tcBorders>
            <w:tcMar>
              <w:top w:w="6" w:type="dxa"/>
              <w:left w:w="108" w:type="dxa"/>
              <w:bottom w:w="6" w:type="dxa"/>
              <w:right w:w="108" w:type="dxa"/>
            </w:tcMar>
            <w:vAlign w:val="center"/>
          </w:tcPr>
          <w:p w14:paraId="3AE6375C" w14:textId="77777777" w:rsidR="000923BB" w:rsidRPr="00C57BF6" w:rsidRDefault="000923BB" w:rsidP="003A385F">
            <w:pPr>
              <w:jc w:val="center"/>
              <w:rPr>
                <w:rFonts w:cs="Arial"/>
                <w:sz w:val="18"/>
                <w:szCs w:val="18"/>
              </w:rPr>
            </w:pPr>
            <w:r w:rsidRPr="00C57BF6">
              <w:rPr>
                <w:rFonts w:cs="Arial"/>
                <w:sz w:val="18"/>
                <w:szCs w:val="18"/>
              </w:rPr>
              <w:t>49</w:t>
            </w:r>
          </w:p>
        </w:tc>
        <w:tc>
          <w:tcPr>
            <w:tcW w:w="2126" w:type="dxa"/>
            <w:tcBorders>
              <w:top w:val="single" w:sz="4" w:space="0" w:color="auto"/>
              <w:left w:val="single" w:sz="4" w:space="0" w:color="auto"/>
              <w:bottom w:val="nil"/>
              <w:right w:val="single" w:sz="4" w:space="0" w:color="auto"/>
            </w:tcBorders>
            <w:tcMar>
              <w:top w:w="6" w:type="dxa"/>
              <w:left w:w="108" w:type="dxa"/>
              <w:bottom w:w="6" w:type="dxa"/>
              <w:right w:w="108" w:type="dxa"/>
            </w:tcMar>
            <w:vAlign w:val="center"/>
          </w:tcPr>
          <w:p w14:paraId="2CE68A2E" w14:textId="77777777" w:rsidR="000923BB" w:rsidRPr="00C57BF6" w:rsidRDefault="000923BB" w:rsidP="003A385F">
            <w:pPr>
              <w:jc w:val="center"/>
              <w:rPr>
                <w:rFonts w:cs="Arial"/>
                <w:sz w:val="18"/>
                <w:szCs w:val="18"/>
              </w:rPr>
            </w:pPr>
            <w:r w:rsidRPr="00C57BF6">
              <w:rPr>
                <w:rFonts w:cs="Arial"/>
                <w:sz w:val="18"/>
                <w:szCs w:val="18"/>
              </w:rPr>
              <w:t xml:space="preserve"> 0.67   ( 0.54 to 0.79)</w:t>
            </w:r>
          </w:p>
        </w:tc>
        <w:tc>
          <w:tcPr>
            <w:tcW w:w="1418" w:type="dxa"/>
            <w:vMerge w:val="restart"/>
            <w:tcBorders>
              <w:top w:val="single" w:sz="4" w:space="0" w:color="auto"/>
              <w:left w:val="single" w:sz="4" w:space="0" w:color="auto"/>
              <w:bottom w:val="single" w:sz="4" w:space="0" w:color="auto"/>
              <w:right w:val="single" w:sz="4" w:space="0" w:color="auto"/>
            </w:tcBorders>
            <w:tcMar>
              <w:top w:w="6" w:type="dxa"/>
              <w:left w:w="108" w:type="dxa"/>
              <w:bottom w:w="6" w:type="dxa"/>
              <w:right w:w="108" w:type="dxa"/>
            </w:tcMar>
            <w:vAlign w:val="center"/>
          </w:tcPr>
          <w:p w14:paraId="234FE4AC" w14:textId="77777777" w:rsidR="000923BB" w:rsidRPr="00C57BF6" w:rsidRDefault="000923BB" w:rsidP="003A385F">
            <w:pPr>
              <w:jc w:val="center"/>
              <w:rPr>
                <w:rFonts w:cs="Arial"/>
                <w:sz w:val="18"/>
                <w:szCs w:val="18"/>
              </w:rPr>
            </w:pPr>
            <w:r w:rsidRPr="00C57BF6">
              <w:rPr>
                <w:rFonts w:cs="Arial"/>
                <w:sz w:val="18"/>
                <w:szCs w:val="18"/>
              </w:rPr>
              <w:t>0.52</w:t>
            </w:r>
          </w:p>
          <w:p w14:paraId="4B046BC8" w14:textId="77777777" w:rsidR="000923BB" w:rsidRPr="00C57BF6" w:rsidRDefault="000923BB" w:rsidP="003A385F">
            <w:pPr>
              <w:jc w:val="center"/>
              <w:rPr>
                <w:rFonts w:cs="Arial"/>
                <w:sz w:val="18"/>
                <w:szCs w:val="18"/>
              </w:rPr>
            </w:pPr>
            <w:r w:rsidRPr="00C57BF6">
              <w:rPr>
                <w:rFonts w:cs="Arial"/>
                <w:sz w:val="18"/>
                <w:szCs w:val="18"/>
              </w:rPr>
              <w:t>(0.41 to 0.62)</w:t>
            </w:r>
          </w:p>
        </w:tc>
      </w:tr>
      <w:tr w:rsidR="000923BB" w:rsidRPr="00C57BF6" w14:paraId="027D7F8C" w14:textId="77777777" w:rsidTr="00282EAD">
        <w:trPr>
          <w:cantSplit/>
          <w:trHeight w:val="284"/>
        </w:trPr>
        <w:tc>
          <w:tcPr>
            <w:tcW w:w="1418" w:type="dxa"/>
            <w:vMerge/>
            <w:tcBorders>
              <w:top w:val="single" w:sz="4" w:space="0" w:color="auto"/>
              <w:left w:val="single" w:sz="4" w:space="0" w:color="auto"/>
              <w:bottom w:val="single" w:sz="4" w:space="0" w:color="auto"/>
              <w:right w:val="single" w:sz="4" w:space="0" w:color="auto"/>
            </w:tcBorders>
            <w:vAlign w:val="center"/>
          </w:tcPr>
          <w:p w14:paraId="53C70181" w14:textId="77777777" w:rsidR="000923BB" w:rsidRPr="00C57BF6" w:rsidRDefault="000923BB" w:rsidP="003A385F">
            <w:pPr>
              <w:rPr>
                <w:rFonts w:cs="Arial"/>
                <w:sz w:val="18"/>
                <w:szCs w:val="18"/>
              </w:rPr>
            </w:pPr>
          </w:p>
        </w:tc>
        <w:tc>
          <w:tcPr>
            <w:tcW w:w="1417" w:type="dxa"/>
            <w:tcBorders>
              <w:top w:val="nil"/>
              <w:left w:val="single" w:sz="4" w:space="0" w:color="auto"/>
              <w:bottom w:val="nil"/>
              <w:right w:val="single" w:sz="4" w:space="0" w:color="auto"/>
            </w:tcBorders>
            <w:vAlign w:val="center"/>
          </w:tcPr>
          <w:p w14:paraId="1491A21C" w14:textId="77777777" w:rsidR="000923BB" w:rsidRPr="00C57BF6" w:rsidRDefault="000923BB" w:rsidP="003A385F">
            <w:pPr>
              <w:jc w:val="center"/>
              <w:rPr>
                <w:rFonts w:cs="Arial"/>
                <w:sz w:val="18"/>
                <w:szCs w:val="18"/>
              </w:rPr>
            </w:pPr>
            <w:r w:rsidRPr="00C57BF6">
              <w:rPr>
                <w:rFonts w:cs="Arial"/>
                <w:sz w:val="18"/>
                <w:szCs w:val="18"/>
              </w:rPr>
              <w:t>COPD</w:t>
            </w:r>
          </w:p>
        </w:tc>
        <w:tc>
          <w:tcPr>
            <w:tcW w:w="983" w:type="dxa"/>
            <w:tcBorders>
              <w:top w:val="nil"/>
              <w:left w:val="single" w:sz="4" w:space="0" w:color="auto"/>
              <w:bottom w:val="nil"/>
              <w:right w:val="nil"/>
            </w:tcBorders>
            <w:tcMar>
              <w:top w:w="6" w:type="dxa"/>
              <w:left w:w="108" w:type="dxa"/>
              <w:bottom w:w="6" w:type="dxa"/>
              <w:right w:w="108" w:type="dxa"/>
            </w:tcMar>
            <w:vAlign w:val="center"/>
          </w:tcPr>
          <w:p w14:paraId="3204C365" w14:textId="77777777" w:rsidR="000923BB" w:rsidRPr="00C57BF6" w:rsidRDefault="000923BB" w:rsidP="003A385F">
            <w:pPr>
              <w:jc w:val="center"/>
              <w:rPr>
                <w:rFonts w:cs="Arial"/>
                <w:sz w:val="18"/>
                <w:szCs w:val="18"/>
              </w:rPr>
            </w:pPr>
            <w:r w:rsidRPr="00C57BF6">
              <w:rPr>
                <w:rFonts w:cs="Arial"/>
                <w:sz w:val="18"/>
                <w:szCs w:val="18"/>
              </w:rPr>
              <w:t>G</w:t>
            </w:r>
          </w:p>
        </w:tc>
        <w:tc>
          <w:tcPr>
            <w:tcW w:w="718" w:type="dxa"/>
            <w:tcBorders>
              <w:top w:val="nil"/>
              <w:left w:val="nil"/>
              <w:bottom w:val="nil"/>
              <w:right w:val="single" w:sz="4" w:space="0" w:color="auto"/>
            </w:tcBorders>
            <w:tcMar>
              <w:top w:w="6" w:type="dxa"/>
              <w:left w:w="108" w:type="dxa"/>
              <w:bottom w:w="6" w:type="dxa"/>
              <w:right w:w="108" w:type="dxa"/>
            </w:tcMar>
            <w:vAlign w:val="center"/>
          </w:tcPr>
          <w:p w14:paraId="7BC8CE82" w14:textId="77777777" w:rsidR="000923BB" w:rsidRPr="00C57BF6" w:rsidRDefault="000923BB" w:rsidP="003A385F">
            <w:pPr>
              <w:jc w:val="center"/>
              <w:rPr>
                <w:rFonts w:cs="Arial"/>
                <w:sz w:val="18"/>
                <w:szCs w:val="18"/>
              </w:rPr>
            </w:pPr>
            <w:r w:rsidRPr="00C57BF6">
              <w:rPr>
                <w:rFonts w:cs="Arial"/>
                <w:sz w:val="18"/>
                <w:szCs w:val="18"/>
              </w:rPr>
              <w:t>48</w:t>
            </w:r>
          </w:p>
        </w:tc>
        <w:tc>
          <w:tcPr>
            <w:tcW w:w="2126" w:type="dxa"/>
            <w:tcBorders>
              <w:top w:val="nil"/>
              <w:left w:val="single" w:sz="4" w:space="0" w:color="auto"/>
              <w:bottom w:val="nil"/>
              <w:right w:val="single" w:sz="4" w:space="0" w:color="auto"/>
            </w:tcBorders>
            <w:tcMar>
              <w:top w:w="6" w:type="dxa"/>
              <w:left w:w="108" w:type="dxa"/>
              <w:bottom w:w="6" w:type="dxa"/>
              <w:right w:w="108" w:type="dxa"/>
            </w:tcMar>
            <w:vAlign w:val="center"/>
          </w:tcPr>
          <w:p w14:paraId="61A742BE" w14:textId="77777777" w:rsidR="000923BB" w:rsidRPr="00C57BF6" w:rsidRDefault="000923BB" w:rsidP="003A385F">
            <w:pPr>
              <w:jc w:val="center"/>
              <w:rPr>
                <w:rFonts w:cs="Arial"/>
                <w:sz w:val="18"/>
                <w:szCs w:val="18"/>
              </w:rPr>
            </w:pPr>
            <w:r w:rsidRPr="00C57BF6">
              <w:rPr>
                <w:rFonts w:cs="Arial"/>
                <w:sz w:val="18"/>
                <w:szCs w:val="18"/>
              </w:rPr>
              <w:t xml:space="preserve"> 0.33   ( 0.05 to 0.56)</w:t>
            </w:r>
          </w:p>
        </w:tc>
        <w:tc>
          <w:tcPr>
            <w:tcW w:w="1418" w:type="dxa"/>
            <w:vMerge/>
            <w:tcBorders>
              <w:top w:val="single" w:sz="4" w:space="0" w:color="auto"/>
              <w:left w:val="single" w:sz="4" w:space="0" w:color="auto"/>
              <w:bottom w:val="single" w:sz="4" w:space="0" w:color="auto"/>
              <w:right w:val="single" w:sz="4" w:space="0" w:color="auto"/>
            </w:tcBorders>
            <w:tcMar>
              <w:top w:w="6" w:type="dxa"/>
              <w:left w:w="108" w:type="dxa"/>
              <w:bottom w:w="6" w:type="dxa"/>
              <w:right w:w="108" w:type="dxa"/>
            </w:tcMar>
            <w:vAlign w:val="center"/>
          </w:tcPr>
          <w:p w14:paraId="68B8540E" w14:textId="77777777" w:rsidR="000923BB" w:rsidRPr="00C57BF6" w:rsidRDefault="000923BB" w:rsidP="003A385F">
            <w:pPr>
              <w:jc w:val="center"/>
              <w:rPr>
                <w:rFonts w:cs="Arial"/>
                <w:sz w:val="18"/>
                <w:szCs w:val="18"/>
              </w:rPr>
            </w:pPr>
          </w:p>
        </w:tc>
      </w:tr>
      <w:tr w:rsidR="000923BB" w:rsidRPr="00C57BF6" w14:paraId="5C5B0649" w14:textId="77777777" w:rsidTr="00282EAD">
        <w:trPr>
          <w:cantSplit/>
          <w:trHeight w:val="284"/>
        </w:trPr>
        <w:tc>
          <w:tcPr>
            <w:tcW w:w="1418" w:type="dxa"/>
            <w:vMerge/>
            <w:tcBorders>
              <w:top w:val="single" w:sz="4" w:space="0" w:color="auto"/>
              <w:left w:val="single" w:sz="4" w:space="0" w:color="auto"/>
              <w:bottom w:val="single" w:sz="4" w:space="0" w:color="auto"/>
              <w:right w:val="single" w:sz="4" w:space="0" w:color="auto"/>
            </w:tcBorders>
            <w:vAlign w:val="center"/>
          </w:tcPr>
          <w:p w14:paraId="2392C4E6" w14:textId="77777777" w:rsidR="000923BB" w:rsidRPr="00C57BF6" w:rsidRDefault="000923BB" w:rsidP="003A385F">
            <w:pPr>
              <w:rPr>
                <w:rFonts w:cs="Arial"/>
                <w:sz w:val="18"/>
                <w:szCs w:val="18"/>
              </w:rPr>
            </w:pPr>
          </w:p>
        </w:tc>
        <w:tc>
          <w:tcPr>
            <w:tcW w:w="1417" w:type="dxa"/>
            <w:tcBorders>
              <w:top w:val="nil"/>
              <w:left w:val="single" w:sz="4" w:space="0" w:color="auto"/>
              <w:bottom w:val="nil"/>
              <w:right w:val="single" w:sz="4" w:space="0" w:color="auto"/>
            </w:tcBorders>
            <w:vAlign w:val="center"/>
          </w:tcPr>
          <w:p w14:paraId="50987762" w14:textId="77777777" w:rsidR="000923BB" w:rsidRPr="00C57BF6" w:rsidRDefault="000923BB" w:rsidP="003A385F">
            <w:pPr>
              <w:jc w:val="center"/>
              <w:rPr>
                <w:rFonts w:cs="Arial"/>
                <w:sz w:val="18"/>
                <w:szCs w:val="18"/>
              </w:rPr>
            </w:pPr>
            <w:r w:rsidRPr="00C57BF6">
              <w:rPr>
                <w:rFonts w:cs="Arial"/>
                <w:sz w:val="18"/>
                <w:szCs w:val="18"/>
              </w:rPr>
              <w:t>Heart Failure</w:t>
            </w:r>
          </w:p>
        </w:tc>
        <w:tc>
          <w:tcPr>
            <w:tcW w:w="983" w:type="dxa"/>
            <w:tcBorders>
              <w:top w:val="nil"/>
              <w:left w:val="single" w:sz="4" w:space="0" w:color="auto"/>
              <w:bottom w:val="nil"/>
              <w:right w:val="nil"/>
            </w:tcBorders>
            <w:tcMar>
              <w:top w:w="6" w:type="dxa"/>
              <w:left w:w="108" w:type="dxa"/>
              <w:bottom w:w="6" w:type="dxa"/>
              <w:right w:w="108" w:type="dxa"/>
            </w:tcMar>
            <w:vAlign w:val="center"/>
          </w:tcPr>
          <w:p w14:paraId="0428D48E" w14:textId="77777777" w:rsidR="000923BB" w:rsidRPr="00C57BF6" w:rsidRDefault="000923BB" w:rsidP="003A385F">
            <w:pPr>
              <w:jc w:val="center"/>
              <w:rPr>
                <w:rFonts w:cs="Arial"/>
                <w:sz w:val="18"/>
                <w:szCs w:val="18"/>
              </w:rPr>
            </w:pPr>
            <w:r w:rsidRPr="00C57BF6">
              <w:rPr>
                <w:rFonts w:cs="Arial"/>
                <w:sz w:val="18"/>
                <w:szCs w:val="18"/>
              </w:rPr>
              <w:t>F</w:t>
            </w:r>
          </w:p>
        </w:tc>
        <w:tc>
          <w:tcPr>
            <w:tcW w:w="718" w:type="dxa"/>
            <w:tcBorders>
              <w:top w:val="nil"/>
              <w:left w:val="nil"/>
              <w:bottom w:val="nil"/>
              <w:right w:val="single" w:sz="4" w:space="0" w:color="auto"/>
            </w:tcBorders>
            <w:tcMar>
              <w:top w:w="6" w:type="dxa"/>
              <w:left w:w="108" w:type="dxa"/>
              <w:bottom w:w="6" w:type="dxa"/>
              <w:right w:w="108" w:type="dxa"/>
            </w:tcMar>
            <w:vAlign w:val="center"/>
          </w:tcPr>
          <w:p w14:paraId="2D6EF8EB" w14:textId="77777777" w:rsidR="000923BB" w:rsidRPr="00C57BF6" w:rsidRDefault="000923BB" w:rsidP="003A385F">
            <w:pPr>
              <w:jc w:val="center"/>
              <w:rPr>
                <w:rFonts w:cs="Arial"/>
                <w:sz w:val="18"/>
                <w:szCs w:val="18"/>
              </w:rPr>
            </w:pPr>
            <w:r w:rsidRPr="00C57BF6">
              <w:rPr>
                <w:rFonts w:cs="Arial"/>
                <w:sz w:val="18"/>
                <w:szCs w:val="18"/>
              </w:rPr>
              <w:t>18</w:t>
            </w:r>
          </w:p>
        </w:tc>
        <w:tc>
          <w:tcPr>
            <w:tcW w:w="2126" w:type="dxa"/>
            <w:tcBorders>
              <w:top w:val="nil"/>
              <w:left w:val="single" w:sz="4" w:space="0" w:color="auto"/>
              <w:bottom w:val="nil"/>
              <w:right w:val="single" w:sz="4" w:space="0" w:color="auto"/>
            </w:tcBorders>
            <w:tcMar>
              <w:top w:w="6" w:type="dxa"/>
              <w:left w:w="108" w:type="dxa"/>
              <w:bottom w:w="6" w:type="dxa"/>
              <w:right w:w="108" w:type="dxa"/>
            </w:tcMar>
            <w:vAlign w:val="center"/>
          </w:tcPr>
          <w:p w14:paraId="15502518" w14:textId="77777777" w:rsidR="000923BB" w:rsidRPr="00C57BF6" w:rsidRDefault="000923BB" w:rsidP="003A385F">
            <w:pPr>
              <w:jc w:val="center"/>
              <w:rPr>
                <w:rFonts w:cs="Arial"/>
                <w:sz w:val="18"/>
                <w:szCs w:val="18"/>
              </w:rPr>
            </w:pPr>
            <w:r w:rsidRPr="00C57BF6">
              <w:rPr>
                <w:rFonts w:cs="Arial"/>
                <w:sz w:val="18"/>
                <w:szCs w:val="18"/>
              </w:rPr>
              <w:t>-0.03   (-0.48 to 0.43)</w:t>
            </w:r>
          </w:p>
        </w:tc>
        <w:tc>
          <w:tcPr>
            <w:tcW w:w="1418" w:type="dxa"/>
            <w:vMerge/>
            <w:tcBorders>
              <w:top w:val="single" w:sz="4" w:space="0" w:color="auto"/>
              <w:left w:val="single" w:sz="4" w:space="0" w:color="auto"/>
              <w:bottom w:val="single" w:sz="4" w:space="0" w:color="auto"/>
              <w:right w:val="single" w:sz="4" w:space="0" w:color="auto"/>
            </w:tcBorders>
            <w:tcMar>
              <w:top w:w="6" w:type="dxa"/>
              <w:left w:w="108" w:type="dxa"/>
              <w:bottom w:w="6" w:type="dxa"/>
              <w:right w:w="108" w:type="dxa"/>
            </w:tcMar>
            <w:vAlign w:val="center"/>
          </w:tcPr>
          <w:p w14:paraId="3EABB567" w14:textId="77777777" w:rsidR="000923BB" w:rsidRPr="00C57BF6" w:rsidRDefault="000923BB" w:rsidP="003A385F">
            <w:pPr>
              <w:jc w:val="center"/>
              <w:rPr>
                <w:rFonts w:cs="Arial"/>
                <w:sz w:val="18"/>
                <w:szCs w:val="18"/>
              </w:rPr>
            </w:pPr>
          </w:p>
        </w:tc>
      </w:tr>
      <w:tr w:rsidR="000923BB" w:rsidRPr="00C57BF6" w14:paraId="2E5395E6" w14:textId="77777777" w:rsidTr="00282EAD">
        <w:trPr>
          <w:cantSplit/>
          <w:trHeight w:val="284"/>
        </w:trPr>
        <w:tc>
          <w:tcPr>
            <w:tcW w:w="1418" w:type="dxa"/>
            <w:vMerge/>
            <w:tcBorders>
              <w:top w:val="single" w:sz="4" w:space="0" w:color="auto"/>
              <w:left w:val="single" w:sz="4" w:space="0" w:color="auto"/>
              <w:bottom w:val="single" w:sz="4" w:space="0" w:color="auto"/>
              <w:right w:val="single" w:sz="4" w:space="0" w:color="auto"/>
            </w:tcBorders>
            <w:vAlign w:val="center"/>
          </w:tcPr>
          <w:p w14:paraId="2B0CFE81" w14:textId="77777777" w:rsidR="000923BB" w:rsidRPr="00C57BF6" w:rsidRDefault="000923BB" w:rsidP="003A385F">
            <w:pPr>
              <w:rPr>
                <w:rFonts w:cs="Arial"/>
                <w:sz w:val="18"/>
                <w:szCs w:val="18"/>
              </w:rPr>
            </w:pPr>
          </w:p>
        </w:tc>
        <w:tc>
          <w:tcPr>
            <w:tcW w:w="1417" w:type="dxa"/>
            <w:tcBorders>
              <w:top w:val="nil"/>
              <w:left w:val="single" w:sz="4" w:space="0" w:color="auto"/>
              <w:bottom w:val="single" w:sz="4" w:space="0" w:color="auto"/>
              <w:right w:val="single" w:sz="4" w:space="0" w:color="auto"/>
            </w:tcBorders>
            <w:vAlign w:val="center"/>
          </w:tcPr>
          <w:p w14:paraId="2C8C687E" w14:textId="77777777" w:rsidR="000923BB" w:rsidRPr="00C57BF6" w:rsidRDefault="000923BB" w:rsidP="003A385F">
            <w:pPr>
              <w:jc w:val="center"/>
              <w:rPr>
                <w:rFonts w:cs="Arial"/>
                <w:sz w:val="18"/>
                <w:szCs w:val="18"/>
              </w:rPr>
            </w:pPr>
            <w:r w:rsidRPr="00C57BF6">
              <w:rPr>
                <w:rFonts w:cs="Arial"/>
                <w:sz w:val="18"/>
                <w:szCs w:val="18"/>
              </w:rPr>
              <w:t>Heart Failure</w:t>
            </w:r>
          </w:p>
        </w:tc>
        <w:tc>
          <w:tcPr>
            <w:tcW w:w="983" w:type="dxa"/>
            <w:tcBorders>
              <w:top w:val="nil"/>
              <w:left w:val="single" w:sz="4" w:space="0" w:color="auto"/>
              <w:bottom w:val="single" w:sz="4" w:space="0" w:color="auto"/>
              <w:right w:val="nil"/>
            </w:tcBorders>
            <w:tcMar>
              <w:top w:w="6" w:type="dxa"/>
              <w:left w:w="108" w:type="dxa"/>
              <w:bottom w:w="6" w:type="dxa"/>
              <w:right w:w="108" w:type="dxa"/>
            </w:tcMar>
            <w:vAlign w:val="center"/>
          </w:tcPr>
          <w:p w14:paraId="21916425" w14:textId="77777777" w:rsidR="000923BB" w:rsidRPr="00C57BF6" w:rsidRDefault="000923BB" w:rsidP="003A385F">
            <w:pPr>
              <w:jc w:val="center"/>
              <w:rPr>
                <w:rFonts w:cs="Arial"/>
                <w:sz w:val="18"/>
                <w:szCs w:val="18"/>
              </w:rPr>
            </w:pPr>
            <w:r w:rsidRPr="00C57BF6">
              <w:rPr>
                <w:rFonts w:cs="Arial"/>
                <w:sz w:val="18"/>
                <w:szCs w:val="18"/>
              </w:rPr>
              <w:t xml:space="preserve">  E</w:t>
            </w:r>
            <w:r w:rsidRPr="00C57BF6">
              <w:rPr>
                <w:rFonts w:cs="Arial"/>
                <w:b/>
                <w:bCs/>
                <w:sz w:val="18"/>
                <w:szCs w:val="18"/>
                <w:vertAlign w:val="superscript"/>
              </w:rPr>
              <w:t xml:space="preserve"> d</w:t>
            </w:r>
          </w:p>
        </w:tc>
        <w:tc>
          <w:tcPr>
            <w:tcW w:w="718" w:type="dxa"/>
            <w:tcBorders>
              <w:top w:val="nil"/>
              <w:left w:val="nil"/>
              <w:bottom w:val="single" w:sz="4" w:space="0" w:color="auto"/>
              <w:right w:val="single" w:sz="4" w:space="0" w:color="auto"/>
            </w:tcBorders>
            <w:tcMar>
              <w:top w:w="6" w:type="dxa"/>
              <w:left w:w="108" w:type="dxa"/>
              <w:bottom w:w="6" w:type="dxa"/>
              <w:right w:w="108" w:type="dxa"/>
            </w:tcMar>
            <w:vAlign w:val="center"/>
          </w:tcPr>
          <w:p w14:paraId="61BBA606" w14:textId="77777777" w:rsidR="000923BB" w:rsidRPr="00C57BF6" w:rsidRDefault="000923BB" w:rsidP="003A385F">
            <w:pPr>
              <w:jc w:val="center"/>
              <w:rPr>
                <w:rFonts w:cs="Arial"/>
                <w:sz w:val="18"/>
                <w:szCs w:val="18"/>
              </w:rPr>
            </w:pPr>
            <w:r w:rsidRPr="00C57BF6">
              <w:rPr>
                <w:rFonts w:cs="Arial"/>
                <w:sz w:val="18"/>
                <w:szCs w:val="18"/>
              </w:rPr>
              <w:t>12</w:t>
            </w:r>
          </w:p>
        </w:tc>
        <w:tc>
          <w:tcPr>
            <w:tcW w:w="2126" w:type="dxa"/>
            <w:tcBorders>
              <w:top w:val="nil"/>
              <w:left w:val="single" w:sz="4" w:space="0" w:color="auto"/>
              <w:bottom w:val="single" w:sz="4" w:space="0" w:color="auto"/>
              <w:right w:val="single" w:sz="4" w:space="0" w:color="auto"/>
            </w:tcBorders>
            <w:tcMar>
              <w:top w:w="6" w:type="dxa"/>
              <w:left w:w="108" w:type="dxa"/>
              <w:bottom w:w="6" w:type="dxa"/>
              <w:right w:w="108" w:type="dxa"/>
            </w:tcMar>
            <w:vAlign w:val="center"/>
          </w:tcPr>
          <w:p w14:paraId="76DD1210" w14:textId="77777777" w:rsidR="000923BB" w:rsidRPr="00C57BF6" w:rsidRDefault="000923BB" w:rsidP="003A385F">
            <w:pPr>
              <w:jc w:val="center"/>
              <w:rPr>
                <w:rFonts w:cs="Arial"/>
                <w:sz w:val="18"/>
                <w:szCs w:val="18"/>
              </w:rPr>
            </w:pPr>
            <w:r w:rsidRPr="00C57BF6">
              <w:rPr>
                <w:rFonts w:cs="Arial"/>
                <w:sz w:val="18"/>
                <w:szCs w:val="18"/>
              </w:rPr>
              <w:t>-0.44   (-0.80 to 0.15)</w:t>
            </w:r>
          </w:p>
        </w:tc>
        <w:tc>
          <w:tcPr>
            <w:tcW w:w="1418" w:type="dxa"/>
            <w:vMerge/>
            <w:tcBorders>
              <w:top w:val="single" w:sz="4" w:space="0" w:color="auto"/>
              <w:left w:val="single" w:sz="4" w:space="0" w:color="auto"/>
              <w:bottom w:val="single" w:sz="4" w:space="0" w:color="auto"/>
              <w:right w:val="single" w:sz="4" w:space="0" w:color="auto"/>
            </w:tcBorders>
            <w:tcMar>
              <w:top w:w="6" w:type="dxa"/>
              <w:left w:w="108" w:type="dxa"/>
              <w:bottom w:w="6" w:type="dxa"/>
              <w:right w:w="108" w:type="dxa"/>
            </w:tcMar>
            <w:vAlign w:val="center"/>
          </w:tcPr>
          <w:p w14:paraId="1A0AE082" w14:textId="77777777" w:rsidR="000923BB" w:rsidRPr="00C57BF6" w:rsidRDefault="000923BB" w:rsidP="003A385F">
            <w:pPr>
              <w:jc w:val="center"/>
              <w:rPr>
                <w:rFonts w:cs="Arial"/>
                <w:sz w:val="18"/>
                <w:szCs w:val="18"/>
              </w:rPr>
            </w:pPr>
          </w:p>
        </w:tc>
      </w:tr>
      <w:tr w:rsidR="000923BB" w:rsidRPr="00C57BF6" w14:paraId="1C6C7018" w14:textId="77777777" w:rsidTr="00282EAD">
        <w:trPr>
          <w:cantSplit/>
          <w:trHeight w:val="284"/>
        </w:trPr>
        <w:tc>
          <w:tcPr>
            <w:tcW w:w="1418" w:type="dxa"/>
            <w:vMerge w:val="restart"/>
            <w:tcBorders>
              <w:top w:val="single" w:sz="4" w:space="0" w:color="auto"/>
              <w:left w:val="single" w:sz="4" w:space="0" w:color="auto"/>
              <w:bottom w:val="single" w:sz="4" w:space="0" w:color="auto"/>
              <w:right w:val="single" w:sz="4" w:space="0" w:color="auto"/>
            </w:tcBorders>
            <w:vAlign w:val="center"/>
          </w:tcPr>
          <w:p w14:paraId="57AA54A5" w14:textId="77777777" w:rsidR="000923BB" w:rsidRPr="00C57BF6" w:rsidRDefault="000923BB" w:rsidP="003A385F">
            <w:pPr>
              <w:rPr>
                <w:rFonts w:cs="Arial"/>
                <w:sz w:val="18"/>
                <w:szCs w:val="18"/>
              </w:rPr>
            </w:pPr>
            <w:r w:rsidRPr="00C57BF6">
              <w:rPr>
                <w:rFonts w:cs="Arial"/>
                <w:sz w:val="18"/>
                <w:szCs w:val="18"/>
                <w:lang w:val="en-US"/>
              </w:rPr>
              <w:t>Nurse/clinical</w:t>
            </w:r>
            <w:r w:rsidRPr="00C57BF6">
              <w:rPr>
                <w:rFonts w:cs="Arial"/>
                <w:sz w:val="18"/>
                <w:szCs w:val="18"/>
              </w:rPr>
              <w:t xml:space="preserve"> vs </w:t>
            </w:r>
            <w:r w:rsidRPr="00C57BF6">
              <w:rPr>
                <w:rFonts w:cs="Arial"/>
                <w:sz w:val="18"/>
                <w:szCs w:val="18"/>
                <w:lang w:val="en-US"/>
              </w:rPr>
              <w:t>Nurse/clinical</w:t>
            </w:r>
          </w:p>
        </w:tc>
        <w:tc>
          <w:tcPr>
            <w:tcW w:w="1417" w:type="dxa"/>
            <w:tcBorders>
              <w:top w:val="single" w:sz="4" w:space="0" w:color="auto"/>
              <w:left w:val="single" w:sz="4" w:space="0" w:color="auto"/>
              <w:bottom w:val="nil"/>
              <w:right w:val="single" w:sz="4" w:space="0" w:color="auto"/>
            </w:tcBorders>
            <w:vAlign w:val="center"/>
          </w:tcPr>
          <w:p w14:paraId="3C7E31B5" w14:textId="77777777" w:rsidR="000923BB" w:rsidRPr="00C57BF6" w:rsidRDefault="000923BB" w:rsidP="003A385F">
            <w:pPr>
              <w:jc w:val="center"/>
              <w:rPr>
                <w:rFonts w:cs="Arial"/>
                <w:sz w:val="18"/>
                <w:szCs w:val="18"/>
              </w:rPr>
            </w:pPr>
            <w:r w:rsidRPr="00C57BF6">
              <w:rPr>
                <w:rFonts w:cs="Arial"/>
                <w:sz w:val="18"/>
                <w:szCs w:val="18"/>
              </w:rPr>
              <w:t>Heart Failure</w:t>
            </w:r>
          </w:p>
        </w:tc>
        <w:tc>
          <w:tcPr>
            <w:tcW w:w="983" w:type="dxa"/>
            <w:tcBorders>
              <w:top w:val="single" w:sz="4" w:space="0" w:color="auto"/>
              <w:left w:val="single" w:sz="4" w:space="0" w:color="auto"/>
              <w:bottom w:val="nil"/>
              <w:right w:val="nil"/>
            </w:tcBorders>
            <w:tcMar>
              <w:top w:w="6" w:type="dxa"/>
              <w:left w:w="108" w:type="dxa"/>
              <w:bottom w:w="6" w:type="dxa"/>
              <w:right w:w="108" w:type="dxa"/>
            </w:tcMar>
            <w:vAlign w:val="center"/>
          </w:tcPr>
          <w:p w14:paraId="5045B895" w14:textId="77777777" w:rsidR="000923BB" w:rsidRPr="00C57BF6" w:rsidRDefault="000923BB" w:rsidP="003A385F">
            <w:pPr>
              <w:jc w:val="center"/>
              <w:rPr>
                <w:rFonts w:cs="Arial"/>
                <w:sz w:val="18"/>
                <w:szCs w:val="18"/>
              </w:rPr>
            </w:pPr>
            <w:r w:rsidRPr="00C57BF6">
              <w:rPr>
                <w:rFonts w:cs="Arial"/>
                <w:sz w:val="18"/>
                <w:szCs w:val="18"/>
              </w:rPr>
              <w:t>D</w:t>
            </w:r>
          </w:p>
        </w:tc>
        <w:tc>
          <w:tcPr>
            <w:tcW w:w="718" w:type="dxa"/>
            <w:tcBorders>
              <w:top w:val="single" w:sz="4" w:space="0" w:color="auto"/>
              <w:left w:val="nil"/>
              <w:bottom w:val="nil"/>
              <w:right w:val="single" w:sz="4" w:space="0" w:color="auto"/>
            </w:tcBorders>
            <w:tcMar>
              <w:top w:w="6" w:type="dxa"/>
              <w:left w:w="108" w:type="dxa"/>
              <w:bottom w:w="6" w:type="dxa"/>
              <w:right w:w="108" w:type="dxa"/>
            </w:tcMar>
            <w:vAlign w:val="center"/>
          </w:tcPr>
          <w:p w14:paraId="1DC6FF14" w14:textId="77777777" w:rsidR="000923BB" w:rsidRPr="00C57BF6" w:rsidRDefault="000923BB" w:rsidP="003A385F">
            <w:pPr>
              <w:jc w:val="center"/>
              <w:rPr>
                <w:rFonts w:cs="Arial"/>
                <w:sz w:val="18"/>
                <w:szCs w:val="18"/>
              </w:rPr>
            </w:pPr>
            <w:r w:rsidRPr="00C57BF6">
              <w:rPr>
                <w:rFonts w:cs="Arial"/>
                <w:sz w:val="18"/>
                <w:szCs w:val="18"/>
              </w:rPr>
              <w:t>21</w:t>
            </w:r>
          </w:p>
        </w:tc>
        <w:tc>
          <w:tcPr>
            <w:tcW w:w="2126" w:type="dxa"/>
            <w:tcBorders>
              <w:top w:val="single" w:sz="4" w:space="0" w:color="auto"/>
              <w:left w:val="single" w:sz="4" w:space="0" w:color="auto"/>
              <w:bottom w:val="nil"/>
              <w:right w:val="single" w:sz="4" w:space="0" w:color="auto"/>
            </w:tcBorders>
            <w:tcMar>
              <w:top w:w="6" w:type="dxa"/>
              <w:left w:w="108" w:type="dxa"/>
              <w:bottom w:w="6" w:type="dxa"/>
              <w:right w:w="108" w:type="dxa"/>
            </w:tcMar>
            <w:vAlign w:val="center"/>
          </w:tcPr>
          <w:p w14:paraId="763458A9" w14:textId="77777777" w:rsidR="000923BB" w:rsidRPr="00C57BF6" w:rsidRDefault="000923BB" w:rsidP="003A385F">
            <w:pPr>
              <w:jc w:val="center"/>
              <w:rPr>
                <w:rFonts w:cs="Arial"/>
                <w:sz w:val="18"/>
                <w:szCs w:val="18"/>
              </w:rPr>
            </w:pPr>
            <w:r w:rsidRPr="00C57BF6">
              <w:rPr>
                <w:rFonts w:cs="Arial"/>
                <w:sz w:val="18"/>
                <w:szCs w:val="18"/>
              </w:rPr>
              <w:t xml:space="preserve">  0.74   ( 0.47 to 0.89)</w:t>
            </w:r>
          </w:p>
        </w:tc>
        <w:tc>
          <w:tcPr>
            <w:tcW w:w="1418" w:type="dxa"/>
            <w:vMerge w:val="restart"/>
            <w:tcBorders>
              <w:top w:val="single" w:sz="4" w:space="0" w:color="auto"/>
              <w:left w:val="single" w:sz="4" w:space="0" w:color="auto"/>
              <w:bottom w:val="single" w:sz="4" w:space="0" w:color="auto"/>
              <w:right w:val="single" w:sz="4" w:space="0" w:color="auto"/>
            </w:tcBorders>
            <w:tcMar>
              <w:top w:w="6" w:type="dxa"/>
              <w:left w:w="108" w:type="dxa"/>
              <w:bottom w:w="6" w:type="dxa"/>
              <w:right w:w="108" w:type="dxa"/>
            </w:tcMar>
            <w:vAlign w:val="center"/>
          </w:tcPr>
          <w:p w14:paraId="513A46A7" w14:textId="77777777" w:rsidR="000923BB" w:rsidRPr="00C57BF6" w:rsidRDefault="000923BB" w:rsidP="003A385F">
            <w:pPr>
              <w:jc w:val="center"/>
              <w:rPr>
                <w:rFonts w:cs="Arial"/>
                <w:sz w:val="18"/>
                <w:szCs w:val="18"/>
              </w:rPr>
            </w:pPr>
            <w:r w:rsidRPr="00C57BF6">
              <w:rPr>
                <w:rFonts w:cs="Arial"/>
                <w:sz w:val="18"/>
                <w:szCs w:val="18"/>
              </w:rPr>
              <w:t>0.46</w:t>
            </w:r>
          </w:p>
          <w:p w14:paraId="43B546DD" w14:textId="77777777" w:rsidR="000923BB" w:rsidRPr="00C57BF6" w:rsidRDefault="000923BB" w:rsidP="003A385F">
            <w:pPr>
              <w:jc w:val="center"/>
              <w:rPr>
                <w:rFonts w:cs="Arial"/>
                <w:sz w:val="18"/>
                <w:szCs w:val="18"/>
              </w:rPr>
            </w:pPr>
            <w:r w:rsidRPr="00C57BF6">
              <w:rPr>
                <w:rFonts w:cs="Arial"/>
                <w:sz w:val="18"/>
                <w:szCs w:val="18"/>
              </w:rPr>
              <w:t>(0.34 to 0.59)</w:t>
            </w:r>
          </w:p>
        </w:tc>
      </w:tr>
      <w:tr w:rsidR="000923BB" w:rsidRPr="00C57BF6" w14:paraId="517D44F4" w14:textId="77777777" w:rsidTr="00282EAD">
        <w:trPr>
          <w:cantSplit/>
          <w:trHeight w:val="284"/>
        </w:trPr>
        <w:tc>
          <w:tcPr>
            <w:tcW w:w="1418" w:type="dxa"/>
            <w:vMerge/>
            <w:tcBorders>
              <w:top w:val="single" w:sz="4" w:space="0" w:color="auto"/>
              <w:left w:val="single" w:sz="4" w:space="0" w:color="auto"/>
              <w:bottom w:val="single" w:sz="4" w:space="0" w:color="auto"/>
              <w:right w:val="single" w:sz="4" w:space="0" w:color="auto"/>
            </w:tcBorders>
            <w:vAlign w:val="center"/>
          </w:tcPr>
          <w:p w14:paraId="0714FA1A" w14:textId="77777777" w:rsidR="000923BB" w:rsidRPr="00C57BF6" w:rsidRDefault="000923BB" w:rsidP="003A385F">
            <w:pPr>
              <w:rPr>
                <w:rFonts w:cs="Arial"/>
                <w:sz w:val="18"/>
                <w:szCs w:val="18"/>
              </w:rPr>
            </w:pPr>
          </w:p>
        </w:tc>
        <w:tc>
          <w:tcPr>
            <w:tcW w:w="1417" w:type="dxa"/>
            <w:tcBorders>
              <w:top w:val="nil"/>
              <w:left w:val="single" w:sz="4" w:space="0" w:color="auto"/>
              <w:bottom w:val="nil"/>
              <w:right w:val="single" w:sz="4" w:space="0" w:color="auto"/>
            </w:tcBorders>
            <w:vAlign w:val="center"/>
          </w:tcPr>
          <w:p w14:paraId="4ACB5F75" w14:textId="77777777" w:rsidR="000923BB" w:rsidRPr="00C57BF6" w:rsidRDefault="000923BB" w:rsidP="003A385F">
            <w:pPr>
              <w:jc w:val="center"/>
              <w:rPr>
                <w:rFonts w:cs="Arial"/>
                <w:sz w:val="18"/>
                <w:szCs w:val="18"/>
              </w:rPr>
            </w:pPr>
            <w:r w:rsidRPr="00C57BF6">
              <w:rPr>
                <w:rFonts w:cs="Arial"/>
                <w:sz w:val="18"/>
                <w:szCs w:val="18"/>
              </w:rPr>
              <w:t>COPD</w:t>
            </w:r>
          </w:p>
        </w:tc>
        <w:tc>
          <w:tcPr>
            <w:tcW w:w="983" w:type="dxa"/>
            <w:tcBorders>
              <w:top w:val="nil"/>
              <w:left w:val="single" w:sz="4" w:space="0" w:color="auto"/>
              <w:bottom w:val="nil"/>
              <w:right w:val="nil"/>
            </w:tcBorders>
            <w:tcMar>
              <w:top w:w="6" w:type="dxa"/>
              <w:left w:w="108" w:type="dxa"/>
              <w:bottom w:w="6" w:type="dxa"/>
              <w:right w:w="108" w:type="dxa"/>
            </w:tcMar>
            <w:vAlign w:val="center"/>
          </w:tcPr>
          <w:p w14:paraId="7719E531" w14:textId="77777777" w:rsidR="000923BB" w:rsidRPr="00C57BF6" w:rsidRDefault="000923BB" w:rsidP="003A385F">
            <w:pPr>
              <w:jc w:val="center"/>
              <w:rPr>
                <w:rFonts w:cs="Arial"/>
                <w:sz w:val="18"/>
                <w:szCs w:val="18"/>
              </w:rPr>
            </w:pPr>
            <w:r w:rsidRPr="00C57BF6">
              <w:rPr>
                <w:rFonts w:cs="Arial"/>
                <w:sz w:val="18"/>
                <w:szCs w:val="18"/>
              </w:rPr>
              <w:t>D</w:t>
            </w:r>
          </w:p>
        </w:tc>
        <w:tc>
          <w:tcPr>
            <w:tcW w:w="718" w:type="dxa"/>
            <w:tcBorders>
              <w:top w:val="nil"/>
              <w:left w:val="nil"/>
              <w:bottom w:val="nil"/>
              <w:right w:val="single" w:sz="4" w:space="0" w:color="auto"/>
            </w:tcBorders>
            <w:tcMar>
              <w:top w:w="6" w:type="dxa"/>
              <w:left w:w="108" w:type="dxa"/>
              <w:bottom w:w="6" w:type="dxa"/>
              <w:right w:w="108" w:type="dxa"/>
            </w:tcMar>
            <w:vAlign w:val="center"/>
          </w:tcPr>
          <w:p w14:paraId="377A72E6" w14:textId="77777777" w:rsidR="000923BB" w:rsidRPr="00C57BF6" w:rsidRDefault="000923BB" w:rsidP="003A385F">
            <w:pPr>
              <w:jc w:val="center"/>
              <w:rPr>
                <w:rFonts w:cs="Arial"/>
                <w:sz w:val="18"/>
                <w:szCs w:val="18"/>
              </w:rPr>
            </w:pPr>
            <w:r w:rsidRPr="00C57BF6">
              <w:rPr>
                <w:rFonts w:cs="Arial"/>
                <w:sz w:val="18"/>
                <w:szCs w:val="18"/>
              </w:rPr>
              <w:t>49</w:t>
            </w:r>
          </w:p>
        </w:tc>
        <w:tc>
          <w:tcPr>
            <w:tcW w:w="2126" w:type="dxa"/>
            <w:tcBorders>
              <w:top w:val="nil"/>
              <w:left w:val="single" w:sz="4" w:space="0" w:color="auto"/>
              <w:bottom w:val="nil"/>
              <w:right w:val="single" w:sz="4" w:space="0" w:color="auto"/>
            </w:tcBorders>
            <w:tcMar>
              <w:top w:w="6" w:type="dxa"/>
              <w:left w:w="108" w:type="dxa"/>
              <w:bottom w:w="6" w:type="dxa"/>
              <w:right w:w="108" w:type="dxa"/>
            </w:tcMar>
            <w:vAlign w:val="center"/>
          </w:tcPr>
          <w:p w14:paraId="6F96C32F" w14:textId="77777777" w:rsidR="000923BB" w:rsidRPr="00C57BF6" w:rsidRDefault="000923BB" w:rsidP="003A385F">
            <w:pPr>
              <w:jc w:val="center"/>
              <w:rPr>
                <w:rFonts w:cs="Arial"/>
                <w:sz w:val="18"/>
                <w:szCs w:val="18"/>
              </w:rPr>
            </w:pPr>
            <w:r w:rsidRPr="00C57BF6">
              <w:rPr>
                <w:rFonts w:cs="Arial"/>
                <w:sz w:val="18"/>
                <w:szCs w:val="18"/>
              </w:rPr>
              <w:t xml:space="preserve">  0.37   ( 0.10 to 0.58)</w:t>
            </w:r>
          </w:p>
        </w:tc>
        <w:tc>
          <w:tcPr>
            <w:tcW w:w="1418" w:type="dxa"/>
            <w:vMerge/>
            <w:tcBorders>
              <w:top w:val="single" w:sz="4" w:space="0" w:color="auto"/>
              <w:left w:val="single" w:sz="4" w:space="0" w:color="auto"/>
              <w:bottom w:val="single" w:sz="4" w:space="0" w:color="auto"/>
              <w:right w:val="single" w:sz="4" w:space="0" w:color="auto"/>
            </w:tcBorders>
            <w:tcMar>
              <w:top w:w="6" w:type="dxa"/>
              <w:left w:w="108" w:type="dxa"/>
              <w:bottom w:w="6" w:type="dxa"/>
              <w:right w:w="108" w:type="dxa"/>
            </w:tcMar>
            <w:vAlign w:val="center"/>
          </w:tcPr>
          <w:p w14:paraId="05CAD5EB" w14:textId="77777777" w:rsidR="000923BB" w:rsidRPr="00C57BF6" w:rsidRDefault="000923BB" w:rsidP="003A385F">
            <w:pPr>
              <w:jc w:val="center"/>
              <w:rPr>
                <w:rFonts w:cs="Arial"/>
                <w:sz w:val="18"/>
                <w:szCs w:val="18"/>
              </w:rPr>
            </w:pPr>
          </w:p>
        </w:tc>
      </w:tr>
      <w:tr w:rsidR="000923BB" w:rsidRPr="00C57BF6" w14:paraId="6782F818" w14:textId="77777777" w:rsidTr="00282EAD">
        <w:trPr>
          <w:cantSplit/>
          <w:trHeight w:val="284"/>
        </w:trPr>
        <w:tc>
          <w:tcPr>
            <w:tcW w:w="1418" w:type="dxa"/>
            <w:vMerge/>
            <w:tcBorders>
              <w:top w:val="single" w:sz="4" w:space="0" w:color="auto"/>
              <w:left w:val="single" w:sz="4" w:space="0" w:color="auto"/>
              <w:bottom w:val="single" w:sz="4" w:space="0" w:color="auto"/>
              <w:right w:val="single" w:sz="4" w:space="0" w:color="auto"/>
            </w:tcBorders>
            <w:vAlign w:val="center"/>
          </w:tcPr>
          <w:p w14:paraId="4DCB2167" w14:textId="77777777" w:rsidR="000923BB" w:rsidRPr="00C57BF6" w:rsidRDefault="000923BB" w:rsidP="003A385F">
            <w:pPr>
              <w:rPr>
                <w:rFonts w:cs="Arial"/>
                <w:sz w:val="18"/>
                <w:szCs w:val="18"/>
              </w:rPr>
            </w:pPr>
          </w:p>
        </w:tc>
        <w:tc>
          <w:tcPr>
            <w:tcW w:w="1417" w:type="dxa"/>
            <w:tcBorders>
              <w:top w:val="nil"/>
              <w:left w:val="single" w:sz="4" w:space="0" w:color="auto"/>
              <w:bottom w:val="nil"/>
              <w:right w:val="single" w:sz="4" w:space="0" w:color="auto"/>
            </w:tcBorders>
            <w:vAlign w:val="center"/>
          </w:tcPr>
          <w:p w14:paraId="04CD4151" w14:textId="77777777" w:rsidR="000923BB" w:rsidRPr="00C57BF6" w:rsidRDefault="000923BB" w:rsidP="003A385F">
            <w:pPr>
              <w:jc w:val="center"/>
              <w:rPr>
                <w:rFonts w:cs="Arial"/>
                <w:sz w:val="18"/>
                <w:szCs w:val="18"/>
              </w:rPr>
            </w:pPr>
            <w:r w:rsidRPr="00C57BF6">
              <w:rPr>
                <w:rFonts w:cs="Arial"/>
                <w:sz w:val="18"/>
                <w:szCs w:val="18"/>
              </w:rPr>
              <w:t>COPD</w:t>
            </w:r>
          </w:p>
        </w:tc>
        <w:tc>
          <w:tcPr>
            <w:tcW w:w="983" w:type="dxa"/>
            <w:tcBorders>
              <w:top w:val="nil"/>
              <w:left w:val="single" w:sz="4" w:space="0" w:color="auto"/>
              <w:bottom w:val="nil"/>
              <w:right w:val="nil"/>
            </w:tcBorders>
            <w:tcMar>
              <w:top w:w="6" w:type="dxa"/>
              <w:left w:w="108" w:type="dxa"/>
              <w:bottom w:w="6" w:type="dxa"/>
              <w:right w:w="108" w:type="dxa"/>
            </w:tcMar>
            <w:vAlign w:val="center"/>
          </w:tcPr>
          <w:p w14:paraId="514F6C2F" w14:textId="77777777" w:rsidR="000923BB" w:rsidRPr="00C57BF6" w:rsidRDefault="000923BB" w:rsidP="003A385F">
            <w:pPr>
              <w:jc w:val="center"/>
              <w:rPr>
                <w:rFonts w:cs="Arial"/>
                <w:sz w:val="18"/>
                <w:szCs w:val="18"/>
              </w:rPr>
            </w:pPr>
            <w:r w:rsidRPr="00C57BF6">
              <w:rPr>
                <w:rFonts w:cs="Arial"/>
                <w:sz w:val="18"/>
                <w:szCs w:val="18"/>
              </w:rPr>
              <w:t>J</w:t>
            </w:r>
          </w:p>
        </w:tc>
        <w:tc>
          <w:tcPr>
            <w:tcW w:w="718" w:type="dxa"/>
            <w:tcBorders>
              <w:top w:val="nil"/>
              <w:left w:val="nil"/>
              <w:bottom w:val="nil"/>
              <w:right w:val="single" w:sz="4" w:space="0" w:color="auto"/>
            </w:tcBorders>
            <w:tcMar>
              <w:top w:w="6" w:type="dxa"/>
              <w:left w:w="108" w:type="dxa"/>
              <w:bottom w:w="6" w:type="dxa"/>
              <w:right w:w="108" w:type="dxa"/>
            </w:tcMar>
            <w:vAlign w:val="center"/>
          </w:tcPr>
          <w:p w14:paraId="6EF623E8" w14:textId="77777777" w:rsidR="000923BB" w:rsidRPr="00C57BF6" w:rsidRDefault="000923BB" w:rsidP="003A385F">
            <w:pPr>
              <w:jc w:val="center"/>
              <w:rPr>
                <w:rFonts w:cs="Arial"/>
                <w:sz w:val="18"/>
                <w:szCs w:val="18"/>
              </w:rPr>
            </w:pPr>
            <w:r w:rsidRPr="00C57BF6">
              <w:rPr>
                <w:rFonts w:cs="Arial"/>
                <w:sz w:val="18"/>
                <w:szCs w:val="18"/>
              </w:rPr>
              <w:t>26</w:t>
            </w:r>
          </w:p>
        </w:tc>
        <w:tc>
          <w:tcPr>
            <w:tcW w:w="2126" w:type="dxa"/>
            <w:tcBorders>
              <w:top w:val="nil"/>
              <w:left w:val="single" w:sz="4" w:space="0" w:color="auto"/>
              <w:bottom w:val="nil"/>
              <w:right w:val="single" w:sz="4" w:space="0" w:color="auto"/>
            </w:tcBorders>
            <w:tcMar>
              <w:top w:w="6" w:type="dxa"/>
              <w:left w:w="108" w:type="dxa"/>
              <w:bottom w:w="6" w:type="dxa"/>
              <w:right w:w="108" w:type="dxa"/>
            </w:tcMar>
            <w:vAlign w:val="center"/>
          </w:tcPr>
          <w:p w14:paraId="73CC7D81" w14:textId="77777777" w:rsidR="000923BB" w:rsidRPr="00C57BF6" w:rsidRDefault="000923BB" w:rsidP="003A385F">
            <w:pPr>
              <w:jc w:val="center"/>
              <w:rPr>
                <w:rFonts w:cs="Arial"/>
                <w:sz w:val="18"/>
                <w:szCs w:val="18"/>
              </w:rPr>
            </w:pPr>
            <w:r w:rsidRPr="00C57BF6">
              <w:rPr>
                <w:rFonts w:cs="Arial"/>
                <w:sz w:val="18"/>
                <w:szCs w:val="18"/>
              </w:rPr>
              <w:t xml:space="preserve">  0.27   (-0.12 to 0.59)</w:t>
            </w:r>
          </w:p>
        </w:tc>
        <w:tc>
          <w:tcPr>
            <w:tcW w:w="1418" w:type="dxa"/>
            <w:vMerge/>
            <w:tcBorders>
              <w:top w:val="single" w:sz="4" w:space="0" w:color="auto"/>
              <w:left w:val="single" w:sz="4" w:space="0" w:color="auto"/>
              <w:bottom w:val="single" w:sz="4" w:space="0" w:color="auto"/>
              <w:right w:val="single" w:sz="4" w:space="0" w:color="auto"/>
            </w:tcBorders>
            <w:tcMar>
              <w:top w:w="6" w:type="dxa"/>
              <w:left w:w="108" w:type="dxa"/>
              <w:bottom w:w="6" w:type="dxa"/>
              <w:right w:w="108" w:type="dxa"/>
            </w:tcMar>
            <w:vAlign w:val="center"/>
          </w:tcPr>
          <w:p w14:paraId="06F7B261" w14:textId="77777777" w:rsidR="000923BB" w:rsidRPr="00C57BF6" w:rsidRDefault="000923BB" w:rsidP="003A385F">
            <w:pPr>
              <w:jc w:val="center"/>
              <w:rPr>
                <w:rFonts w:cs="Arial"/>
                <w:sz w:val="18"/>
                <w:szCs w:val="18"/>
              </w:rPr>
            </w:pPr>
          </w:p>
        </w:tc>
      </w:tr>
      <w:tr w:rsidR="000923BB" w:rsidRPr="00C57BF6" w14:paraId="6D944993" w14:textId="77777777" w:rsidTr="00282EAD">
        <w:trPr>
          <w:cantSplit/>
          <w:trHeight w:val="284"/>
        </w:trPr>
        <w:tc>
          <w:tcPr>
            <w:tcW w:w="1418" w:type="dxa"/>
            <w:vMerge/>
            <w:tcBorders>
              <w:top w:val="single" w:sz="4" w:space="0" w:color="auto"/>
              <w:left w:val="single" w:sz="4" w:space="0" w:color="auto"/>
              <w:bottom w:val="single" w:sz="4" w:space="0" w:color="auto"/>
              <w:right w:val="single" w:sz="4" w:space="0" w:color="auto"/>
            </w:tcBorders>
            <w:vAlign w:val="center"/>
          </w:tcPr>
          <w:p w14:paraId="2674AE27" w14:textId="77777777" w:rsidR="000923BB" w:rsidRPr="00C57BF6" w:rsidRDefault="000923BB" w:rsidP="003A385F">
            <w:pPr>
              <w:rPr>
                <w:rFonts w:cs="Arial"/>
                <w:sz w:val="18"/>
                <w:szCs w:val="18"/>
              </w:rPr>
            </w:pPr>
          </w:p>
        </w:tc>
        <w:tc>
          <w:tcPr>
            <w:tcW w:w="1417" w:type="dxa"/>
            <w:tcBorders>
              <w:top w:val="nil"/>
              <w:left w:val="single" w:sz="4" w:space="0" w:color="auto"/>
              <w:bottom w:val="single" w:sz="4" w:space="0" w:color="auto"/>
              <w:right w:val="single" w:sz="4" w:space="0" w:color="auto"/>
            </w:tcBorders>
            <w:vAlign w:val="center"/>
          </w:tcPr>
          <w:p w14:paraId="6549C430" w14:textId="77777777" w:rsidR="000923BB" w:rsidRPr="00C57BF6" w:rsidRDefault="000923BB" w:rsidP="003A385F">
            <w:pPr>
              <w:jc w:val="center"/>
              <w:rPr>
                <w:rFonts w:cs="Arial"/>
                <w:sz w:val="18"/>
                <w:szCs w:val="18"/>
              </w:rPr>
            </w:pPr>
            <w:r w:rsidRPr="00C57BF6">
              <w:rPr>
                <w:rFonts w:cs="Arial"/>
                <w:sz w:val="18"/>
                <w:szCs w:val="18"/>
              </w:rPr>
              <w:t>Heart Failure</w:t>
            </w:r>
          </w:p>
        </w:tc>
        <w:tc>
          <w:tcPr>
            <w:tcW w:w="983" w:type="dxa"/>
            <w:tcBorders>
              <w:top w:val="nil"/>
              <w:left w:val="single" w:sz="4" w:space="0" w:color="auto"/>
              <w:bottom w:val="single" w:sz="4" w:space="0" w:color="auto"/>
              <w:right w:val="nil"/>
            </w:tcBorders>
            <w:tcMar>
              <w:top w:w="6" w:type="dxa"/>
              <w:left w:w="108" w:type="dxa"/>
              <w:bottom w:w="6" w:type="dxa"/>
              <w:right w:w="108" w:type="dxa"/>
            </w:tcMar>
            <w:vAlign w:val="center"/>
          </w:tcPr>
          <w:p w14:paraId="59F86437" w14:textId="77777777" w:rsidR="000923BB" w:rsidRPr="00C57BF6" w:rsidRDefault="000923BB" w:rsidP="003A385F">
            <w:pPr>
              <w:jc w:val="center"/>
              <w:rPr>
                <w:rFonts w:cs="Arial"/>
                <w:sz w:val="18"/>
                <w:szCs w:val="18"/>
              </w:rPr>
            </w:pPr>
            <w:r w:rsidRPr="00C57BF6">
              <w:rPr>
                <w:rFonts w:cs="Arial"/>
                <w:sz w:val="18"/>
                <w:szCs w:val="18"/>
              </w:rPr>
              <w:t>H</w:t>
            </w:r>
          </w:p>
        </w:tc>
        <w:tc>
          <w:tcPr>
            <w:tcW w:w="718" w:type="dxa"/>
            <w:tcBorders>
              <w:top w:val="nil"/>
              <w:left w:val="nil"/>
              <w:bottom w:val="single" w:sz="4" w:space="0" w:color="auto"/>
              <w:right w:val="single" w:sz="4" w:space="0" w:color="auto"/>
            </w:tcBorders>
            <w:tcMar>
              <w:top w:w="6" w:type="dxa"/>
              <w:left w:w="108" w:type="dxa"/>
              <w:bottom w:w="6" w:type="dxa"/>
              <w:right w:w="108" w:type="dxa"/>
            </w:tcMar>
            <w:vAlign w:val="center"/>
          </w:tcPr>
          <w:p w14:paraId="292978B5" w14:textId="77777777" w:rsidR="000923BB" w:rsidRPr="00C57BF6" w:rsidRDefault="000923BB" w:rsidP="003A385F">
            <w:pPr>
              <w:jc w:val="center"/>
              <w:rPr>
                <w:rFonts w:cs="Arial"/>
                <w:sz w:val="18"/>
                <w:szCs w:val="18"/>
              </w:rPr>
            </w:pPr>
            <w:r w:rsidRPr="00C57BF6">
              <w:rPr>
                <w:rFonts w:cs="Arial"/>
                <w:sz w:val="18"/>
                <w:szCs w:val="18"/>
              </w:rPr>
              <w:t>48</w:t>
            </w:r>
          </w:p>
        </w:tc>
        <w:tc>
          <w:tcPr>
            <w:tcW w:w="2126" w:type="dxa"/>
            <w:tcBorders>
              <w:top w:val="nil"/>
              <w:left w:val="single" w:sz="4" w:space="0" w:color="auto"/>
              <w:bottom w:val="single" w:sz="4" w:space="0" w:color="auto"/>
              <w:right w:val="single" w:sz="4" w:space="0" w:color="auto"/>
            </w:tcBorders>
            <w:tcMar>
              <w:top w:w="6" w:type="dxa"/>
              <w:left w:w="108" w:type="dxa"/>
              <w:bottom w:w="6" w:type="dxa"/>
              <w:right w:w="108" w:type="dxa"/>
            </w:tcMar>
            <w:vAlign w:val="center"/>
          </w:tcPr>
          <w:p w14:paraId="370892B8" w14:textId="77777777" w:rsidR="000923BB" w:rsidRPr="00C57BF6" w:rsidRDefault="000923BB" w:rsidP="003A385F">
            <w:pPr>
              <w:jc w:val="center"/>
              <w:rPr>
                <w:rFonts w:cs="Arial"/>
                <w:sz w:val="18"/>
                <w:szCs w:val="18"/>
              </w:rPr>
            </w:pPr>
            <w:r w:rsidRPr="00C57BF6">
              <w:rPr>
                <w:rFonts w:cs="Arial"/>
                <w:sz w:val="18"/>
                <w:szCs w:val="18"/>
              </w:rPr>
              <w:t xml:space="preserve">  0.22   (-0.07 to 0.47)</w:t>
            </w:r>
          </w:p>
        </w:tc>
        <w:tc>
          <w:tcPr>
            <w:tcW w:w="1418" w:type="dxa"/>
            <w:vMerge/>
            <w:tcBorders>
              <w:top w:val="single" w:sz="4" w:space="0" w:color="auto"/>
              <w:left w:val="single" w:sz="4" w:space="0" w:color="auto"/>
              <w:bottom w:val="single" w:sz="4" w:space="0" w:color="auto"/>
              <w:right w:val="single" w:sz="4" w:space="0" w:color="auto"/>
            </w:tcBorders>
            <w:tcMar>
              <w:top w:w="6" w:type="dxa"/>
              <w:left w:w="108" w:type="dxa"/>
              <w:bottom w:w="6" w:type="dxa"/>
              <w:right w:w="108" w:type="dxa"/>
            </w:tcMar>
            <w:vAlign w:val="center"/>
          </w:tcPr>
          <w:p w14:paraId="5EF163F3" w14:textId="77777777" w:rsidR="000923BB" w:rsidRPr="00C57BF6" w:rsidRDefault="000923BB" w:rsidP="003A385F">
            <w:pPr>
              <w:jc w:val="center"/>
              <w:rPr>
                <w:rFonts w:cs="Arial"/>
                <w:sz w:val="18"/>
                <w:szCs w:val="18"/>
              </w:rPr>
            </w:pPr>
          </w:p>
        </w:tc>
      </w:tr>
      <w:tr w:rsidR="000923BB" w:rsidRPr="00C57BF6" w14:paraId="3B178455" w14:textId="77777777" w:rsidTr="00282EAD">
        <w:trPr>
          <w:trHeight w:val="423"/>
        </w:trPr>
        <w:tc>
          <w:tcPr>
            <w:tcW w:w="1418" w:type="dxa"/>
            <w:tcBorders>
              <w:top w:val="single" w:sz="4" w:space="0" w:color="auto"/>
              <w:left w:val="single" w:sz="4" w:space="0" w:color="auto"/>
              <w:bottom w:val="single" w:sz="4" w:space="0" w:color="auto"/>
              <w:right w:val="single" w:sz="4" w:space="0" w:color="auto"/>
            </w:tcBorders>
            <w:vAlign w:val="center"/>
          </w:tcPr>
          <w:p w14:paraId="6CD7869C" w14:textId="77777777" w:rsidR="000923BB" w:rsidRPr="00C57BF6" w:rsidRDefault="000923BB" w:rsidP="003A385F">
            <w:pPr>
              <w:rPr>
                <w:rFonts w:cs="Arial"/>
                <w:sz w:val="18"/>
                <w:szCs w:val="18"/>
              </w:rPr>
            </w:pPr>
            <w:r w:rsidRPr="00C57BF6">
              <w:rPr>
                <w:rFonts w:cs="Arial"/>
                <w:sz w:val="18"/>
                <w:szCs w:val="18"/>
              </w:rPr>
              <w:t>Non-clinical audit staff vs Non-clinical audit staff</w:t>
            </w:r>
          </w:p>
        </w:tc>
        <w:tc>
          <w:tcPr>
            <w:tcW w:w="1417" w:type="dxa"/>
            <w:tcBorders>
              <w:top w:val="single" w:sz="4" w:space="0" w:color="auto"/>
              <w:left w:val="single" w:sz="4" w:space="0" w:color="auto"/>
              <w:bottom w:val="single" w:sz="4" w:space="0" w:color="auto"/>
              <w:right w:val="single" w:sz="4" w:space="0" w:color="auto"/>
            </w:tcBorders>
            <w:vAlign w:val="center"/>
          </w:tcPr>
          <w:p w14:paraId="2353F267" w14:textId="77777777" w:rsidR="000923BB" w:rsidRPr="00C57BF6" w:rsidRDefault="000923BB" w:rsidP="003A385F">
            <w:pPr>
              <w:jc w:val="center"/>
              <w:rPr>
                <w:rFonts w:cs="Arial"/>
                <w:sz w:val="18"/>
                <w:szCs w:val="18"/>
              </w:rPr>
            </w:pPr>
            <w:r w:rsidRPr="00C57BF6">
              <w:rPr>
                <w:rFonts w:cs="Arial"/>
                <w:sz w:val="18"/>
                <w:szCs w:val="18"/>
              </w:rPr>
              <w:t>COPD</w:t>
            </w:r>
          </w:p>
        </w:tc>
        <w:tc>
          <w:tcPr>
            <w:tcW w:w="983" w:type="dxa"/>
            <w:tcBorders>
              <w:top w:val="single" w:sz="4" w:space="0" w:color="auto"/>
              <w:left w:val="single" w:sz="4" w:space="0" w:color="auto"/>
              <w:bottom w:val="single" w:sz="4" w:space="0" w:color="auto"/>
              <w:right w:val="nil"/>
            </w:tcBorders>
            <w:tcMar>
              <w:top w:w="6" w:type="dxa"/>
              <w:left w:w="108" w:type="dxa"/>
              <w:bottom w:w="6" w:type="dxa"/>
              <w:right w:w="108" w:type="dxa"/>
            </w:tcMar>
            <w:vAlign w:val="center"/>
          </w:tcPr>
          <w:p w14:paraId="66872A43" w14:textId="77777777" w:rsidR="000923BB" w:rsidRPr="00C57BF6" w:rsidRDefault="000923BB" w:rsidP="003A385F">
            <w:pPr>
              <w:jc w:val="center"/>
              <w:rPr>
                <w:rFonts w:cs="Arial"/>
                <w:sz w:val="18"/>
                <w:szCs w:val="18"/>
              </w:rPr>
            </w:pPr>
            <w:r w:rsidRPr="00C57BF6">
              <w:rPr>
                <w:rFonts w:cs="Arial"/>
                <w:sz w:val="18"/>
                <w:szCs w:val="18"/>
              </w:rPr>
              <w:t>A</w:t>
            </w:r>
          </w:p>
        </w:tc>
        <w:tc>
          <w:tcPr>
            <w:tcW w:w="718" w:type="dxa"/>
            <w:tcBorders>
              <w:top w:val="single" w:sz="4" w:space="0" w:color="auto"/>
              <w:left w:val="nil"/>
              <w:bottom w:val="single" w:sz="4" w:space="0" w:color="auto"/>
              <w:right w:val="single" w:sz="4" w:space="0" w:color="auto"/>
            </w:tcBorders>
            <w:tcMar>
              <w:top w:w="6" w:type="dxa"/>
              <w:left w:w="108" w:type="dxa"/>
              <w:bottom w:w="6" w:type="dxa"/>
              <w:right w:w="108" w:type="dxa"/>
            </w:tcMar>
            <w:vAlign w:val="center"/>
          </w:tcPr>
          <w:p w14:paraId="6A6D4C2A" w14:textId="77777777" w:rsidR="000923BB" w:rsidRPr="00C57BF6" w:rsidRDefault="000923BB" w:rsidP="003A385F">
            <w:pPr>
              <w:jc w:val="center"/>
              <w:rPr>
                <w:rFonts w:cs="Arial"/>
                <w:sz w:val="18"/>
                <w:szCs w:val="18"/>
              </w:rPr>
            </w:pPr>
            <w:r w:rsidRPr="00C57BF6">
              <w:rPr>
                <w:rFonts w:cs="Arial"/>
                <w:sz w:val="18"/>
                <w:szCs w:val="18"/>
              </w:rPr>
              <w:t>48</w:t>
            </w:r>
          </w:p>
        </w:tc>
        <w:tc>
          <w:tcPr>
            <w:tcW w:w="2126" w:type="dxa"/>
            <w:tcBorders>
              <w:top w:val="single" w:sz="4" w:space="0" w:color="auto"/>
              <w:left w:val="single" w:sz="4" w:space="0" w:color="auto"/>
              <w:bottom w:val="single" w:sz="4" w:space="0" w:color="auto"/>
              <w:right w:val="single" w:sz="4" w:space="0" w:color="auto"/>
            </w:tcBorders>
            <w:tcMar>
              <w:top w:w="6" w:type="dxa"/>
              <w:left w:w="108" w:type="dxa"/>
              <w:bottom w:w="6" w:type="dxa"/>
              <w:right w:w="108" w:type="dxa"/>
            </w:tcMar>
            <w:vAlign w:val="center"/>
          </w:tcPr>
          <w:p w14:paraId="7E0FE2D0" w14:textId="77777777" w:rsidR="000923BB" w:rsidRPr="00C57BF6" w:rsidRDefault="000923BB" w:rsidP="003A385F">
            <w:pPr>
              <w:jc w:val="center"/>
              <w:rPr>
                <w:rFonts w:cs="Arial"/>
                <w:sz w:val="18"/>
                <w:szCs w:val="18"/>
              </w:rPr>
            </w:pPr>
            <w:r w:rsidRPr="00C57BF6">
              <w:rPr>
                <w:rFonts w:cs="Arial"/>
                <w:sz w:val="18"/>
                <w:szCs w:val="18"/>
              </w:rPr>
              <w:t xml:space="preserve">  0.47   ( 0.22 to 0.66)</w:t>
            </w:r>
          </w:p>
        </w:tc>
        <w:tc>
          <w:tcPr>
            <w:tcW w:w="1418" w:type="dxa"/>
            <w:tcBorders>
              <w:top w:val="single" w:sz="4" w:space="0" w:color="auto"/>
              <w:left w:val="single" w:sz="4" w:space="0" w:color="auto"/>
              <w:bottom w:val="single" w:sz="4" w:space="0" w:color="auto"/>
              <w:right w:val="single" w:sz="4" w:space="0" w:color="auto"/>
            </w:tcBorders>
            <w:tcMar>
              <w:top w:w="6" w:type="dxa"/>
              <w:left w:w="108" w:type="dxa"/>
              <w:bottom w:w="6" w:type="dxa"/>
              <w:right w:w="108" w:type="dxa"/>
            </w:tcMar>
            <w:vAlign w:val="center"/>
          </w:tcPr>
          <w:p w14:paraId="427D338F" w14:textId="77777777" w:rsidR="000923BB" w:rsidRPr="00C57BF6" w:rsidRDefault="000923BB" w:rsidP="003A385F">
            <w:pPr>
              <w:jc w:val="center"/>
              <w:rPr>
                <w:rFonts w:cs="Arial"/>
                <w:sz w:val="18"/>
                <w:szCs w:val="18"/>
              </w:rPr>
            </w:pPr>
            <w:r w:rsidRPr="00C57BF6">
              <w:rPr>
                <w:rFonts w:cs="Arial"/>
                <w:sz w:val="18"/>
                <w:szCs w:val="18"/>
              </w:rPr>
              <w:t>0.47</w:t>
            </w:r>
          </w:p>
          <w:p w14:paraId="582FC14D" w14:textId="77777777" w:rsidR="000923BB" w:rsidRPr="00C57BF6" w:rsidRDefault="000923BB" w:rsidP="003A385F">
            <w:pPr>
              <w:jc w:val="center"/>
              <w:rPr>
                <w:rFonts w:cs="Arial"/>
                <w:sz w:val="18"/>
                <w:szCs w:val="18"/>
              </w:rPr>
            </w:pPr>
            <w:r w:rsidRPr="00C57BF6">
              <w:rPr>
                <w:rFonts w:cs="Arial"/>
                <w:sz w:val="18"/>
                <w:szCs w:val="18"/>
              </w:rPr>
              <w:t>(0.22 to 0.66)</w:t>
            </w:r>
          </w:p>
        </w:tc>
      </w:tr>
    </w:tbl>
    <w:p w14:paraId="103C9729" w14:textId="77777777" w:rsidR="000923BB" w:rsidRPr="00C57BF6" w:rsidRDefault="000923BB" w:rsidP="000923BB">
      <w:pPr>
        <w:rPr>
          <w:rFonts w:cs="Arial"/>
          <w:sz w:val="18"/>
          <w:szCs w:val="18"/>
        </w:rPr>
      </w:pPr>
      <w:r w:rsidRPr="00C57BF6">
        <w:rPr>
          <w:rFonts w:cs="Arial"/>
          <w:b/>
          <w:bCs/>
          <w:sz w:val="18"/>
          <w:szCs w:val="18"/>
          <w:vertAlign w:val="superscript"/>
        </w:rPr>
        <w:t>a</w:t>
      </w:r>
      <w:r w:rsidRPr="00C57BF6">
        <w:rPr>
          <w:rFonts w:cs="Arial"/>
          <w:sz w:val="18"/>
          <w:szCs w:val="18"/>
        </w:rPr>
        <w:t xml:space="preserve"> Only sites with more than 1 reviewer of the same staff type are included in this table</w:t>
      </w:r>
    </w:p>
    <w:p w14:paraId="7F7FB10B" w14:textId="77777777" w:rsidR="000923BB" w:rsidRPr="00C57BF6" w:rsidRDefault="000923BB" w:rsidP="000923BB">
      <w:pPr>
        <w:rPr>
          <w:rFonts w:cs="Arial"/>
          <w:sz w:val="18"/>
          <w:szCs w:val="18"/>
        </w:rPr>
      </w:pPr>
      <w:r w:rsidRPr="00C57BF6">
        <w:rPr>
          <w:rFonts w:cs="Arial"/>
          <w:b/>
          <w:bCs/>
          <w:sz w:val="18"/>
          <w:szCs w:val="18"/>
          <w:vertAlign w:val="superscript"/>
        </w:rPr>
        <w:t>b</w:t>
      </w:r>
      <w:r w:rsidRPr="00C57BF6">
        <w:rPr>
          <w:rFonts w:cs="Arial"/>
          <w:sz w:val="18"/>
          <w:szCs w:val="18"/>
        </w:rPr>
        <w:t xml:space="preserve"> Mean ICC per staff type, weighted by inverse variances to account for differing numbers of paired reviews.</w:t>
      </w:r>
    </w:p>
    <w:p w14:paraId="60B7F931" w14:textId="77777777" w:rsidR="000923BB" w:rsidRPr="00C57BF6" w:rsidRDefault="000923BB" w:rsidP="000923BB">
      <w:pPr>
        <w:rPr>
          <w:rFonts w:cs="Arial"/>
          <w:sz w:val="18"/>
          <w:szCs w:val="18"/>
        </w:rPr>
      </w:pPr>
      <w:r w:rsidRPr="00C57BF6">
        <w:rPr>
          <w:rFonts w:cs="Arial"/>
          <w:b/>
          <w:bCs/>
          <w:sz w:val="18"/>
          <w:szCs w:val="18"/>
          <w:vertAlign w:val="superscript"/>
        </w:rPr>
        <w:t>c</w:t>
      </w:r>
      <w:r w:rsidRPr="00C57BF6">
        <w:rPr>
          <w:rFonts w:cs="Arial"/>
          <w:sz w:val="18"/>
          <w:szCs w:val="18"/>
        </w:rPr>
        <w:t xml:space="preserve"> A single ICC was calculated for the 3 doctors at site B</w:t>
      </w:r>
    </w:p>
    <w:p w14:paraId="0CDFB2EE" w14:textId="77777777" w:rsidR="000923BB" w:rsidRPr="00C57BF6" w:rsidRDefault="000923BB" w:rsidP="000923BB">
      <w:pPr>
        <w:rPr>
          <w:rFonts w:cs="Arial"/>
          <w:sz w:val="18"/>
          <w:szCs w:val="18"/>
        </w:rPr>
      </w:pPr>
      <w:r w:rsidRPr="00C57BF6">
        <w:rPr>
          <w:rFonts w:cs="Arial"/>
          <w:b/>
          <w:bCs/>
          <w:sz w:val="18"/>
          <w:szCs w:val="18"/>
          <w:vertAlign w:val="superscript"/>
        </w:rPr>
        <w:t>d</w:t>
      </w:r>
      <w:r w:rsidRPr="00C57BF6">
        <w:rPr>
          <w:rFonts w:cs="Arial"/>
          <w:sz w:val="18"/>
          <w:szCs w:val="18"/>
        </w:rPr>
        <w:t xml:space="preserve"> The doctors at site E were non-specialist doctors</w:t>
      </w:r>
    </w:p>
    <w:p w14:paraId="7CE01E0A" w14:textId="77777777" w:rsidR="000923BB" w:rsidRDefault="000923BB" w:rsidP="000923BB">
      <w:pPr>
        <w:rPr>
          <w:rFonts w:cs="Arial"/>
          <w:b/>
          <w:bCs/>
          <w:sz w:val="20"/>
          <w:szCs w:val="20"/>
        </w:rPr>
      </w:pPr>
    </w:p>
    <w:p w14:paraId="3CED4DB5" w14:textId="77777777" w:rsidR="000923BB" w:rsidRDefault="000923BB" w:rsidP="000923BB">
      <w:pPr>
        <w:rPr>
          <w:rFonts w:cs="Arial"/>
          <w:b/>
          <w:bCs/>
          <w:sz w:val="20"/>
          <w:szCs w:val="20"/>
        </w:rPr>
      </w:pPr>
    </w:p>
    <w:p w14:paraId="76CAFE21" w14:textId="77777777" w:rsidR="000923BB" w:rsidRDefault="000923BB" w:rsidP="000923BB">
      <w:pPr>
        <w:rPr>
          <w:rFonts w:cs="Arial"/>
          <w:b/>
          <w:bCs/>
          <w:sz w:val="20"/>
          <w:szCs w:val="20"/>
        </w:rPr>
      </w:pPr>
    </w:p>
    <w:p w14:paraId="64842EF9" w14:textId="77777777" w:rsidR="000923BB" w:rsidRDefault="000923BB" w:rsidP="000923BB">
      <w:pPr>
        <w:rPr>
          <w:rFonts w:cs="Arial"/>
          <w:b/>
          <w:bCs/>
          <w:sz w:val="20"/>
          <w:szCs w:val="20"/>
        </w:rPr>
      </w:pPr>
    </w:p>
    <w:p w14:paraId="3E0AF161" w14:textId="77777777" w:rsidR="000923BB" w:rsidRDefault="000923BB" w:rsidP="000923BB">
      <w:pPr>
        <w:rPr>
          <w:rFonts w:cs="Arial"/>
          <w:b/>
          <w:bCs/>
          <w:sz w:val="20"/>
          <w:szCs w:val="20"/>
        </w:rPr>
      </w:pPr>
    </w:p>
    <w:p w14:paraId="44DAF7CC" w14:textId="77777777" w:rsidR="000923BB" w:rsidRDefault="000923BB" w:rsidP="000923BB">
      <w:pPr>
        <w:rPr>
          <w:rFonts w:cs="Arial"/>
          <w:b/>
          <w:bCs/>
          <w:sz w:val="20"/>
          <w:szCs w:val="20"/>
        </w:rPr>
      </w:pPr>
    </w:p>
    <w:p w14:paraId="1F61139F" w14:textId="77777777" w:rsidR="000923BB" w:rsidRDefault="000923BB" w:rsidP="000923BB">
      <w:pPr>
        <w:rPr>
          <w:rFonts w:cs="Arial"/>
          <w:b/>
          <w:bCs/>
          <w:sz w:val="20"/>
          <w:szCs w:val="20"/>
        </w:rPr>
      </w:pPr>
    </w:p>
    <w:p w14:paraId="6A3A6B50" w14:textId="77777777" w:rsidR="000923BB" w:rsidRDefault="000923BB" w:rsidP="000923BB">
      <w:pPr>
        <w:rPr>
          <w:rFonts w:cs="Arial"/>
          <w:b/>
          <w:bCs/>
          <w:sz w:val="20"/>
          <w:szCs w:val="20"/>
        </w:rPr>
      </w:pPr>
    </w:p>
    <w:p w14:paraId="5E33D0E0" w14:textId="77777777" w:rsidR="000923BB" w:rsidRDefault="000923BB" w:rsidP="000923BB">
      <w:pPr>
        <w:rPr>
          <w:rFonts w:cs="Arial"/>
          <w:b/>
          <w:bCs/>
          <w:sz w:val="20"/>
          <w:szCs w:val="20"/>
        </w:rPr>
      </w:pPr>
    </w:p>
    <w:p w14:paraId="04E10209" w14:textId="77777777" w:rsidR="000923BB" w:rsidRDefault="000923BB" w:rsidP="000923BB">
      <w:pPr>
        <w:rPr>
          <w:rFonts w:cs="Arial"/>
          <w:b/>
          <w:bCs/>
          <w:sz w:val="20"/>
          <w:szCs w:val="20"/>
        </w:rPr>
      </w:pPr>
    </w:p>
    <w:p w14:paraId="4717D2E2" w14:textId="77777777" w:rsidR="000923BB" w:rsidRDefault="000923BB" w:rsidP="000923BB">
      <w:pPr>
        <w:rPr>
          <w:rFonts w:cs="Arial"/>
          <w:b/>
          <w:bCs/>
          <w:sz w:val="20"/>
          <w:szCs w:val="20"/>
        </w:rPr>
      </w:pPr>
    </w:p>
    <w:p w14:paraId="78020A1B" w14:textId="77777777" w:rsidR="000923BB" w:rsidRDefault="000923BB" w:rsidP="000923BB">
      <w:pPr>
        <w:jc w:val="both"/>
        <w:rPr>
          <w:rFonts w:cs="Arial"/>
          <w:sz w:val="22"/>
          <w:szCs w:val="22"/>
        </w:rPr>
      </w:pPr>
      <w:r>
        <w:rPr>
          <w:rFonts w:cs="Arial"/>
          <w:b/>
          <w:bCs/>
          <w:sz w:val="20"/>
          <w:szCs w:val="20"/>
        </w:rPr>
        <w:lastRenderedPageBreak/>
        <w:t>Table 6a: Kappa agreement statistics for holistic overall ratings of the same record by paired reviewers of the same staff type</w:t>
      </w:r>
    </w:p>
    <w:p w14:paraId="014A9E21" w14:textId="77777777" w:rsidR="000923BB" w:rsidRDefault="000923BB" w:rsidP="000923BB">
      <w:pPr>
        <w:rPr>
          <w:rFonts w:cs="Arial"/>
          <w:sz w:val="20"/>
          <w:szCs w:val="20"/>
        </w:rPr>
      </w:pPr>
    </w:p>
    <w:tbl>
      <w:tblPr>
        <w:tblW w:w="8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418"/>
        <w:gridCol w:w="1266"/>
        <w:gridCol w:w="576"/>
        <w:gridCol w:w="2025"/>
        <w:gridCol w:w="1559"/>
      </w:tblGrid>
      <w:tr w:rsidR="000923BB" w:rsidRPr="00C57BF6" w14:paraId="7FF14531" w14:textId="77777777" w:rsidTr="00D52429">
        <w:trPr>
          <w:trHeight w:val="846"/>
        </w:trPr>
        <w:tc>
          <w:tcPr>
            <w:tcW w:w="1384" w:type="dxa"/>
            <w:tcBorders>
              <w:top w:val="single" w:sz="4" w:space="0" w:color="auto"/>
              <w:left w:val="single" w:sz="4" w:space="0" w:color="auto"/>
              <w:bottom w:val="single" w:sz="4" w:space="0" w:color="auto"/>
              <w:right w:val="single" w:sz="4" w:space="0" w:color="auto"/>
            </w:tcBorders>
            <w:tcMar>
              <w:left w:w="6" w:type="dxa"/>
              <w:right w:w="6" w:type="dxa"/>
            </w:tcMar>
            <w:vAlign w:val="center"/>
          </w:tcPr>
          <w:p w14:paraId="26A11641" w14:textId="77777777" w:rsidR="000923BB" w:rsidRPr="00C57BF6" w:rsidRDefault="000923BB" w:rsidP="003A385F">
            <w:pPr>
              <w:jc w:val="center"/>
              <w:rPr>
                <w:rFonts w:cs="Arial"/>
                <w:b/>
                <w:bCs/>
                <w:sz w:val="18"/>
                <w:szCs w:val="18"/>
              </w:rPr>
            </w:pPr>
            <w:r w:rsidRPr="00C57BF6">
              <w:rPr>
                <w:rFonts w:cs="Arial"/>
                <w:b/>
                <w:bCs/>
                <w:sz w:val="18"/>
                <w:szCs w:val="18"/>
              </w:rPr>
              <w:t>Reviewer pairs</w:t>
            </w:r>
          </w:p>
        </w:tc>
        <w:tc>
          <w:tcPr>
            <w:tcW w:w="1418" w:type="dxa"/>
            <w:tcBorders>
              <w:top w:val="single" w:sz="4" w:space="0" w:color="auto"/>
              <w:left w:val="single" w:sz="4" w:space="0" w:color="auto"/>
              <w:bottom w:val="single" w:sz="4" w:space="0" w:color="auto"/>
              <w:right w:val="single" w:sz="4" w:space="0" w:color="auto"/>
            </w:tcBorders>
            <w:vAlign w:val="center"/>
          </w:tcPr>
          <w:p w14:paraId="0CDF9349" w14:textId="77777777" w:rsidR="000923BB" w:rsidRPr="00C57BF6" w:rsidRDefault="000923BB" w:rsidP="003A385F">
            <w:pPr>
              <w:jc w:val="center"/>
              <w:rPr>
                <w:rFonts w:cs="Arial"/>
                <w:b/>
                <w:bCs/>
                <w:sz w:val="18"/>
                <w:szCs w:val="18"/>
              </w:rPr>
            </w:pPr>
            <w:r w:rsidRPr="00C57BF6">
              <w:rPr>
                <w:rFonts w:cs="Arial"/>
                <w:b/>
                <w:bCs/>
                <w:sz w:val="18"/>
                <w:szCs w:val="18"/>
              </w:rPr>
              <w:t>Condition</w:t>
            </w:r>
          </w:p>
        </w:tc>
        <w:tc>
          <w:tcPr>
            <w:tcW w:w="1266" w:type="dxa"/>
            <w:tcBorders>
              <w:top w:val="single" w:sz="4" w:space="0" w:color="auto"/>
              <w:left w:val="single" w:sz="4" w:space="0" w:color="auto"/>
              <w:bottom w:val="single" w:sz="4" w:space="0" w:color="auto"/>
              <w:right w:val="nil"/>
            </w:tcBorders>
            <w:tcMar>
              <w:top w:w="6" w:type="dxa"/>
              <w:left w:w="6" w:type="dxa"/>
              <w:bottom w:w="6" w:type="dxa"/>
              <w:right w:w="6" w:type="dxa"/>
            </w:tcMar>
            <w:vAlign w:val="center"/>
          </w:tcPr>
          <w:p w14:paraId="78220410" w14:textId="77777777" w:rsidR="000923BB" w:rsidRPr="00C57BF6" w:rsidRDefault="000923BB" w:rsidP="00D52429">
            <w:pPr>
              <w:rPr>
                <w:rFonts w:cs="Arial"/>
                <w:b/>
                <w:bCs/>
                <w:sz w:val="18"/>
                <w:szCs w:val="18"/>
              </w:rPr>
            </w:pPr>
            <w:r w:rsidRPr="00C57BF6">
              <w:rPr>
                <w:rFonts w:cs="Arial"/>
                <w:b/>
                <w:bCs/>
                <w:sz w:val="18"/>
                <w:szCs w:val="18"/>
              </w:rPr>
              <w:t>Site</w:t>
            </w:r>
            <w:r w:rsidRPr="00C57BF6">
              <w:rPr>
                <w:rFonts w:cs="Arial"/>
                <w:b/>
                <w:bCs/>
                <w:sz w:val="18"/>
                <w:szCs w:val="18"/>
                <w:vertAlign w:val="superscript"/>
              </w:rPr>
              <w:t xml:space="preserve"> a</w:t>
            </w:r>
          </w:p>
        </w:tc>
        <w:tc>
          <w:tcPr>
            <w:tcW w:w="576" w:type="dxa"/>
            <w:tcBorders>
              <w:top w:val="single" w:sz="4" w:space="0" w:color="auto"/>
              <w:left w:val="nil"/>
              <w:bottom w:val="single" w:sz="4" w:space="0" w:color="auto"/>
              <w:right w:val="single" w:sz="4" w:space="0" w:color="auto"/>
            </w:tcBorders>
            <w:tcMar>
              <w:left w:w="6" w:type="dxa"/>
              <w:right w:w="6" w:type="dxa"/>
            </w:tcMar>
            <w:vAlign w:val="center"/>
          </w:tcPr>
          <w:p w14:paraId="4C02C645" w14:textId="77777777" w:rsidR="000923BB" w:rsidRPr="00C57BF6" w:rsidRDefault="000923BB" w:rsidP="00D52429">
            <w:pPr>
              <w:rPr>
                <w:rFonts w:cs="Arial"/>
                <w:b/>
                <w:bCs/>
                <w:sz w:val="18"/>
                <w:szCs w:val="18"/>
              </w:rPr>
            </w:pPr>
            <w:r w:rsidRPr="00C57BF6">
              <w:rPr>
                <w:rFonts w:cs="Arial"/>
                <w:b/>
                <w:bCs/>
                <w:sz w:val="18"/>
                <w:szCs w:val="18"/>
              </w:rPr>
              <w:t>No of paired reviews</w:t>
            </w:r>
          </w:p>
        </w:tc>
        <w:tc>
          <w:tcPr>
            <w:tcW w:w="2025" w:type="dxa"/>
            <w:tcBorders>
              <w:top w:val="single" w:sz="4" w:space="0" w:color="auto"/>
              <w:left w:val="single" w:sz="4" w:space="0" w:color="auto"/>
              <w:bottom w:val="single" w:sz="4" w:space="0" w:color="auto"/>
              <w:right w:val="single" w:sz="4" w:space="0" w:color="auto"/>
            </w:tcBorders>
            <w:tcMar>
              <w:left w:w="6" w:type="dxa"/>
              <w:right w:w="6" w:type="dxa"/>
            </w:tcMar>
            <w:vAlign w:val="center"/>
          </w:tcPr>
          <w:p w14:paraId="217D2F3E" w14:textId="77777777" w:rsidR="000923BB" w:rsidRPr="00C57BF6" w:rsidRDefault="000923BB" w:rsidP="003A385F">
            <w:pPr>
              <w:jc w:val="center"/>
              <w:rPr>
                <w:rFonts w:cs="Arial"/>
                <w:b/>
                <w:bCs/>
                <w:sz w:val="18"/>
                <w:szCs w:val="18"/>
              </w:rPr>
            </w:pPr>
            <w:r>
              <w:rPr>
                <w:rFonts w:cs="Arial"/>
                <w:b/>
                <w:bCs/>
                <w:sz w:val="18"/>
                <w:szCs w:val="18"/>
              </w:rPr>
              <w:t>Kappa</w:t>
            </w:r>
            <w:r w:rsidRPr="00C57BF6">
              <w:rPr>
                <w:rFonts w:cs="Arial"/>
                <w:b/>
                <w:bCs/>
                <w:sz w:val="18"/>
                <w:szCs w:val="18"/>
              </w:rPr>
              <w:t xml:space="preserve"> (95% CI)</w:t>
            </w:r>
          </w:p>
        </w:tc>
        <w:tc>
          <w:tcPr>
            <w:tcW w:w="1559" w:type="dxa"/>
            <w:tcBorders>
              <w:top w:val="single" w:sz="4" w:space="0" w:color="auto"/>
              <w:left w:val="single" w:sz="4" w:space="0" w:color="auto"/>
              <w:bottom w:val="single" w:sz="4" w:space="0" w:color="auto"/>
              <w:right w:val="single" w:sz="4" w:space="0" w:color="auto"/>
            </w:tcBorders>
            <w:tcMar>
              <w:left w:w="6" w:type="dxa"/>
              <w:right w:w="6" w:type="dxa"/>
            </w:tcMar>
            <w:vAlign w:val="center"/>
          </w:tcPr>
          <w:p w14:paraId="5A8A1FC2" w14:textId="77777777" w:rsidR="000923BB" w:rsidRPr="00C57BF6" w:rsidRDefault="000923BB" w:rsidP="003A385F">
            <w:pPr>
              <w:jc w:val="center"/>
              <w:rPr>
                <w:rFonts w:cs="Arial"/>
                <w:b/>
                <w:bCs/>
                <w:sz w:val="18"/>
                <w:szCs w:val="18"/>
              </w:rPr>
            </w:pPr>
            <w:r w:rsidRPr="00C57BF6">
              <w:rPr>
                <w:rFonts w:cs="Arial"/>
                <w:b/>
                <w:bCs/>
                <w:sz w:val="18"/>
                <w:szCs w:val="18"/>
              </w:rPr>
              <w:t>Weighted mean</w:t>
            </w:r>
            <w:r>
              <w:rPr>
                <w:rFonts w:cs="Arial"/>
                <w:b/>
                <w:bCs/>
                <w:sz w:val="18"/>
                <w:szCs w:val="18"/>
              </w:rPr>
              <w:t xml:space="preserve"> Kappa</w:t>
            </w:r>
            <w:r w:rsidRPr="00C57BF6">
              <w:rPr>
                <w:rFonts w:cs="Arial"/>
                <w:b/>
                <w:bCs/>
                <w:sz w:val="18"/>
                <w:szCs w:val="18"/>
                <w:vertAlign w:val="superscript"/>
              </w:rPr>
              <w:t xml:space="preserve"> b</w:t>
            </w:r>
            <w:r w:rsidRPr="00C57BF6">
              <w:rPr>
                <w:rFonts w:cs="Arial"/>
                <w:b/>
                <w:bCs/>
                <w:sz w:val="18"/>
                <w:szCs w:val="18"/>
              </w:rPr>
              <w:t xml:space="preserve"> (95% CI)</w:t>
            </w:r>
          </w:p>
        </w:tc>
      </w:tr>
      <w:tr w:rsidR="000923BB" w:rsidRPr="00C57BF6" w14:paraId="66EE7BA3" w14:textId="77777777" w:rsidTr="00D52429">
        <w:trPr>
          <w:cantSplit/>
          <w:trHeight w:val="284"/>
        </w:trPr>
        <w:tc>
          <w:tcPr>
            <w:tcW w:w="1384" w:type="dxa"/>
            <w:vMerge w:val="restart"/>
            <w:tcBorders>
              <w:top w:val="single" w:sz="4" w:space="0" w:color="auto"/>
              <w:left w:val="single" w:sz="4" w:space="0" w:color="auto"/>
              <w:bottom w:val="single" w:sz="4" w:space="0" w:color="auto"/>
              <w:right w:val="single" w:sz="4" w:space="0" w:color="auto"/>
            </w:tcBorders>
            <w:vAlign w:val="center"/>
          </w:tcPr>
          <w:p w14:paraId="65F86255" w14:textId="77777777" w:rsidR="000923BB" w:rsidRPr="00C57BF6" w:rsidRDefault="000923BB" w:rsidP="003A385F">
            <w:pPr>
              <w:rPr>
                <w:rFonts w:cs="Arial"/>
                <w:sz w:val="18"/>
                <w:szCs w:val="18"/>
              </w:rPr>
            </w:pPr>
            <w:r w:rsidRPr="00C57BF6">
              <w:rPr>
                <w:rFonts w:cs="Arial"/>
                <w:sz w:val="18"/>
                <w:szCs w:val="18"/>
              </w:rPr>
              <w:t>Doctor vs Doctor</w:t>
            </w:r>
          </w:p>
        </w:tc>
        <w:tc>
          <w:tcPr>
            <w:tcW w:w="1418" w:type="dxa"/>
            <w:tcBorders>
              <w:top w:val="single" w:sz="4" w:space="0" w:color="auto"/>
              <w:left w:val="single" w:sz="4" w:space="0" w:color="auto"/>
              <w:bottom w:val="nil"/>
              <w:right w:val="single" w:sz="4" w:space="0" w:color="auto"/>
            </w:tcBorders>
            <w:vAlign w:val="center"/>
          </w:tcPr>
          <w:p w14:paraId="04E148B3" w14:textId="77777777" w:rsidR="000923BB" w:rsidRPr="00C57BF6" w:rsidRDefault="000923BB" w:rsidP="003A385F">
            <w:pPr>
              <w:jc w:val="center"/>
              <w:rPr>
                <w:rFonts w:cs="Arial"/>
                <w:sz w:val="18"/>
                <w:szCs w:val="18"/>
              </w:rPr>
            </w:pPr>
            <w:r w:rsidRPr="00C57BF6">
              <w:rPr>
                <w:rFonts w:cs="Arial"/>
                <w:sz w:val="18"/>
                <w:szCs w:val="18"/>
              </w:rPr>
              <w:t>Heart Failure</w:t>
            </w:r>
          </w:p>
        </w:tc>
        <w:tc>
          <w:tcPr>
            <w:tcW w:w="1266" w:type="dxa"/>
            <w:tcBorders>
              <w:top w:val="single" w:sz="4" w:space="0" w:color="auto"/>
              <w:left w:val="single" w:sz="4" w:space="0" w:color="auto"/>
              <w:bottom w:val="nil"/>
              <w:right w:val="nil"/>
            </w:tcBorders>
            <w:tcMar>
              <w:top w:w="6" w:type="dxa"/>
              <w:left w:w="108" w:type="dxa"/>
              <w:bottom w:w="6" w:type="dxa"/>
              <w:right w:w="108" w:type="dxa"/>
            </w:tcMar>
            <w:vAlign w:val="center"/>
          </w:tcPr>
          <w:p w14:paraId="51AEAB21" w14:textId="77777777" w:rsidR="000923BB" w:rsidRPr="00C57BF6" w:rsidRDefault="000923BB" w:rsidP="00D52429">
            <w:pPr>
              <w:rPr>
                <w:rFonts w:cs="Arial"/>
                <w:sz w:val="18"/>
                <w:szCs w:val="18"/>
              </w:rPr>
            </w:pPr>
            <w:r w:rsidRPr="00C57BF6">
              <w:rPr>
                <w:rFonts w:cs="Arial"/>
                <w:sz w:val="18"/>
                <w:szCs w:val="18"/>
              </w:rPr>
              <w:t xml:space="preserve">  B</w:t>
            </w:r>
            <w:r w:rsidRPr="00C57BF6">
              <w:rPr>
                <w:rFonts w:cs="Arial"/>
                <w:b/>
                <w:bCs/>
                <w:sz w:val="18"/>
                <w:szCs w:val="18"/>
                <w:vertAlign w:val="superscript"/>
              </w:rPr>
              <w:t xml:space="preserve"> c</w:t>
            </w:r>
          </w:p>
        </w:tc>
        <w:tc>
          <w:tcPr>
            <w:tcW w:w="576" w:type="dxa"/>
            <w:tcBorders>
              <w:top w:val="single" w:sz="4" w:space="0" w:color="auto"/>
              <w:left w:val="nil"/>
              <w:bottom w:val="nil"/>
              <w:right w:val="single" w:sz="4" w:space="0" w:color="auto"/>
            </w:tcBorders>
            <w:tcMar>
              <w:top w:w="6" w:type="dxa"/>
              <w:left w:w="108" w:type="dxa"/>
              <w:bottom w:w="6" w:type="dxa"/>
              <w:right w:w="108" w:type="dxa"/>
            </w:tcMar>
            <w:vAlign w:val="center"/>
          </w:tcPr>
          <w:p w14:paraId="34E8025B" w14:textId="77777777" w:rsidR="000923BB" w:rsidRPr="00C57BF6" w:rsidRDefault="000923BB" w:rsidP="00D52429">
            <w:pPr>
              <w:rPr>
                <w:rFonts w:cs="Arial"/>
                <w:sz w:val="18"/>
                <w:szCs w:val="18"/>
              </w:rPr>
            </w:pPr>
            <w:r w:rsidRPr="00C57BF6">
              <w:rPr>
                <w:rFonts w:cs="Arial"/>
                <w:sz w:val="18"/>
                <w:szCs w:val="18"/>
              </w:rPr>
              <w:t>49</w:t>
            </w:r>
          </w:p>
        </w:tc>
        <w:tc>
          <w:tcPr>
            <w:tcW w:w="2025" w:type="dxa"/>
            <w:tcBorders>
              <w:top w:val="single" w:sz="4" w:space="0" w:color="auto"/>
              <w:left w:val="single" w:sz="4" w:space="0" w:color="auto"/>
              <w:bottom w:val="nil"/>
              <w:right w:val="single" w:sz="4" w:space="0" w:color="auto"/>
            </w:tcBorders>
            <w:tcMar>
              <w:top w:w="6" w:type="dxa"/>
              <w:left w:w="108" w:type="dxa"/>
              <w:bottom w:w="6" w:type="dxa"/>
              <w:right w:w="108" w:type="dxa"/>
            </w:tcMar>
            <w:vAlign w:val="center"/>
          </w:tcPr>
          <w:p w14:paraId="43AF3014" w14:textId="77777777" w:rsidR="000923BB" w:rsidRPr="00151CD0" w:rsidRDefault="000923BB" w:rsidP="003A385F">
            <w:pPr>
              <w:jc w:val="center"/>
              <w:rPr>
                <w:rFonts w:cs="Arial"/>
                <w:sz w:val="18"/>
                <w:szCs w:val="18"/>
              </w:rPr>
            </w:pPr>
            <w:r w:rsidRPr="00C84A7C">
              <w:rPr>
                <w:rFonts w:cs="Arial"/>
                <w:color w:val="FF0000"/>
                <w:sz w:val="18"/>
                <w:szCs w:val="18"/>
              </w:rPr>
              <w:t xml:space="preserve"> </w:t>
            </w:r>
            <w:r w:rsidRPr="00151CD0">
              <w:rPr>
                <w:rFonts w:cs="Arial"/>
                <w:sz w:val="18"/>
                <w:szCs w:val="18"/>
              </w:rPr>
              <w:t>0.60   ( 0.48 to 0.72)</w:t>
            </w:r>
          </w:p>
        </w:tc>
        <w:tc>
          <w:tcPr>
            <w:tcW w:w="1559" w:type="dxa"/>
            <w:vMerge w:val="restart"/>
            <w:tcBorders>
              <w:top w:val="single" w:sz="4" w:space="0" w:color="auto"/>
              <w:left w:val="single" w:sz="4" w:space="0" w:color="auto"/>
              <w:bottom w:val="single" w:sz="4" w:space="0" w:color="auto"/>
              <w:right w:val="single" w:sz="4" w:space="0" w:color="auto"/>
            </w:tcBorders>
            <w:tcMar>
              <w:top w:w="6" w:type="dxa"/>
              <w:left w:w="108" w:type="dxa"/>
              <w:bottom w:w="6" w:type="dxa"/>
              <w:right w:w="108" w:type="dxa"/>
            </w:tcMar>
            <w:vAlign w:val="center"/>
          </w:tcPr>
          <w:p w14:paraId="32D452FF" w14:textId="77777777" w:rsidR="000923BB" w:rsidRPr="00151CD0" w:rsidRDefault="000923BB" w:rsidP="003A385F">
            <w:pPr>
              <w:jc w:val="center"/>
              <w:rPr>
                <w:rFonts w:cs="Arial"/>
                <w:sz w:val="18"/>
                <w:szCs w:val="18"/>
              </w:rPr>
            </w:pPr>
            <w:r w:rsidRPr="00151CD0">
              <w:rPr>
                <w:rFonts w:cs="Arial"/>
                <w:sz w:val="18"/>
                <w:szCs w:val="18"/>
              </w:rPr>
              <w:t>0.51</w:t>
            </w:r>
          </w:p>
          <w:p w14:paraId="1680D16A" w14:textId="77777777" w:rsidR="000923BB" w:rsidRPr="00C57BF6" w:rsidRDefault="000923BB" w:rsidP="003A385F">
            <w:pPr>
              <w:jc w:val="center"/>
              <w:rPr>
                <w:rFonts w:cs="Arial"/>
                <w:sz w:val="18"/>
                <w:szCs w:val="18"/>
              </w:rPr>
            </w:pPr>
            <w:r w:rsidRPr="00151CD0">
              <w:rPr>
                <w:rFonts w:cs="Arial"/>
                <w:sz w:val="18"/>
                <w:szCs w:val="18"/>
              </w:rPr>
              <w:t>(0.40 to 0.61)</w:t>
            </w:r>
          </w:p>
        </w:tc>
      </w:tr>
      <w:tr w:rsidR="000923BB" w:rsidRPr="00C57BF6" w14:paraId="03EC7D9E" w14:textId="77777777" w:rsidTr="00D52429">
        <w:trPr>
          <w:cantSplit/>
          <w:trHeight w:val="284"/>
        </w:trPr>
        <w:tc>
          <w:tcPr>
            <w:tcW w:w="1384" w:type="dxa"/>
            <w:vMerge/>
            <w:tcBorders>
              <w:top w:val="single" w:sz="4" w:space="0" w:color="auto"/>
              <w:left w:val="single" w:sz="4" w:space="0" w:color="auto"/>
              <w:bottom w:val="single" w:sz="4" w:space="0" w:color="auto"/>
              <w:right w:val="single" w:sz="4" w:space="0" w:color="auto"/>
            </w:tcBorders>
            <w:vAlign w:val="center"/>
          </w:tcPr>
          <w:p w14:paraId="660A1BE4" w14:textId="77777777" w:rsidR="000923BB" w:rsidRPr="00C57BF6" w:rsidRDefault="000923BB" w:rsidP="003A385F">
            <w:pPr>
              <w:rPr>
                <w:rFonts w:cs="Arial"/>
                <w:sz w:val="18"/>
                <w:szCs w:val="18"/>
              </w:rPr>
            </w:pPr>
          </w:p>
        </w:tc>
        <w:tc>
          <w:tcPr>
            <w:tcW w:w="1418" w:type="dxa"/>
            <w:tcBorders>
              <w:top w:val="nil"/>
              <w:left w:val="single" w:sz="4" w:space="0" w:color="auto"/>
              <w:bottom w:val="nil"/>
              <w:right w:val="single" w:sz="4" w:space="0" w:color="auto"/>
            </w:tcBorders>
            <w:vAlign w:val="center"/>
          </w:tcPr>
          <w:p w14:paraId="2CDCE773" w14:textId="77777777" w:rsidR="000923BB" w:rsidRPr="00C57BF6" w:rsidRDefault="000923BB" w:rsidP="003A385F">
            <w:pPr>
              <w:jc w:val="center"/>
              <w:rPr>
                <w:rFonts w:cs="Arial"/>
                <w:sz w:val="18"/>
                <w:szCs w:val="18"/>
              </w:rPr>
            </w:pPr>
            <w:r w:rsidRPr="00C57BF6">
              <w:rPr>
                <w:rFonts w:cs="Arial"/>
                <w:sz w:val="18"/>
                <w:szCs w:val="18"/>
              </w:rPr>
              <w:t>COPD</w:t>
            </w:r>
          </w:p>
        </w:tc>
        <w:tc>
          <w:tcPr>
            <w:tcW w:w="1266" w:type="dxa"/>
            <w:tcBorders>
              <w:top w:val="nil"/>
              <w:left w:val="single" w:sz="4" w:space="0" w:color="auto"/>
              <w:bottom w:val="nil"/>
              <w:right w:val="nil"/>
            </w:tcBorders>
            <w:tcMar>
              <w:top w:w="6" w:type="dxa"/>
              <w:left w:w="108" w:type="dxa"/>
              <w:bottom w:w="6" w:type="dxa"/>
              <w:right w:w="108" w:type="dxa"/>
            </w:tcMar>
            <w:vAlign w:val="center"/>
          </w:tcPr>
          <w:p w14:paraId="31A7F6A7" w14:textId="77777777" w:rsidR="000923BB" w:rsidRPr="00C57BF6" w:rsidRDefault="00D52429" w:rsidP="00D52429">
            <w:pPr>
              <w:rPr>
                <w:rFonts w:cs="Arial"/>
                <w:sz w:val="18"/>
                <w:szCs w:val="18"/>
              </w:rPr>
            </w:pPr>
            <w:r>
              <w:rPr>
                <w:rFonts w:cs="Arial"/>
                <w:sz w:val="18"/>
                <w:szCs w:val="18"/>
              </w:rPr>
              <w:t xml:space="preserve">  </w:t>
            </w:r>
            <w:r w:rsidR="000923BB" w:rsidRPr="00C57BF6">
              <w:rPr>
                <w:rFonts w:cs="Arial"/>
                <w:sz w:val="18"/>
                <w:szCs w:val="18"/>
              </w:rPr>
              <w:t>G</w:t>
            </w:r>
          </w:p>
        </w:tc>
        <w:tc>
          <w:tcPr>
            <w:tcW w:w="576" w:type="dxa"/>
            <w:tcBorders>
              <w:top w:val="nil"/>
              <w:left w:val="nil"/>
              <w:bottom w:val="nil"/>
              <w:right w:val="single" w:sz="4" w:space="0" w:color="auto"/>
            </w:tcBorders>
            <w:tcMar>
              <w:top w:w="6" w:type="dxa"/>
              <w:left w:w="108" w:type="dxa"/>
              <w:bottom w:w="6" w:type="dxa"/>
              <w:right w:w="108" w:type="dxa"/>
            </w:tcMar>
            <w:vAlign w:val="center"/>
          </w:tcPr>
          <w:p w14:paraId="13AE3046" w14:textId="77777777" w:rsidR="000923BB" w:rsidRPr="00C57BF6" w:rsidRDefault="000923BB" w:rsidP="00D52429">
            <w:pPr>
              <w:rPr>
                <w:rFonts w:cs="Arial"/>
                <w:sz w:val="18"/>
                <w:szCs w:val="18"/>
              </w:rPr>
            </w:pPr>
            <w:r w:rsidRPr="00C57BF6">
              <w:rPr>
                <w:rFonts w:cs="Arial"/>
                <w:sz w:val="18"/>
                <w:szCs w:val="18"/>
              </w:rPr>
              <w:t>48</w:t>
            </w:r>
          </w:p>
        </w:tc>
        <w:tc>
          <w:tcPr>
            <w:tcW w:w="2025" w:type="dxa"/>
            <w:tcBorders>
              <w:top w:val="nil"/>
              <w:left w:val="single" w:sz="4" w:space="0" w:color="auto"/>
              <w:bottom w:val="nil"/>
              <w:right w:val="single" w:sz="4" w:space="0" w:color="auto"/>
            </w:tcBorders>
            <w:tcMar>
              <w:top w:w="6" w:type="dxa"/>
              <w:left w:w="108" w:type="dxa"/>
              <w:bottom w:w="6" w:type="dxa"/>
              <w:right w:w="108" w:type="dxa"/>
            </w:tcMar>
            <w:vAlign w:val="center"/>
          </w:tcPr>
          <w:p w14:paraId="1C7EAB79" w14:textId="77777777" w:rsidR="000923BB" w:rsidRPr="00151CD0" w:rsidRDefault="000923BB" w:rsidP="003A385F">
            <w:pPr>
              <w:jc w:val="center"/>
              <w:rPr>
                <w:rFonts w:cs="Arial"/>
                <w:sz w:val="18"/>
                <w:szCs w:val="18"/>
              </w:rPr>
            </w:pPr>
            <w:r w:rsidRPr="00151CD0">
              <w:rPr>
                <w:rFonts w:cs="Arial"/>
                <w:sz w:val="18"/>
                <w:szCs w:val="18"/>
              </w:rPr>
              <w:t>0.25   ( -0.01 to 0.51)</w:t>
            </w:r>
          </w:p>
        </w:tc>
        <w:tc>
          <w:tcPr>
            <w:tcW w:w="1559" w:type="dxa"/>
            <w:vMerge/>
            <w:tcBorders>
              <w:top w:val="single" w:sz="4" w:space="0" w:color="auto"/>
              <w:left w:val="single" w:sz="4" w:space="0" w:color="auto"/>
              <w:bottom w:val="single" w:sz="4" w:space="0" w:color="auto"/>
              <w:right w:val="single" w:sz="4" w:space="0" w:color="auto"/>
            </w:tcBorders>
            <w:tcMar>
              <w:top w:w="6" w:type="dxa"/>
              <w:left w:w="108" w:type="dxa"/>
              <w:bottom w:w="6" w:type="dxa"/>
              <w:right w:w="108" w:type="dxa"/>
            </w:tcMar>
            <w:vAlign w:val="center"/>
          </w:tcPr>
          <w:p w14:paraId="428503B8" w14:textId="77777777" w:rsidR="000923BB" w:rsidRPr="00151CD0" w:rsidRDefault="000923BB" w:rsidP="003A385F">
            <w:pPr>
              <w:jc w:val="center"/>
              <w:rPr>
                <w:rFonts w:cs="Arial"/>
                <w:sz w:val="18"/>
                <w:szCs w:val="18"/>
              </w:rPr>
            </w:pPr>
          </w:p>
        </w:tc>
      </w:tr>
      <w:tr w:rsidR="000923BB" w:rsidRPr="00C57BF6" w14:paraId="478444FD" w14:textId="77777777" w:rsidTr="00D52429">
        <w:trPr>
          <w:cantSplit/>
          <w:trHeight w:val="284"/>
        </w:trPr>
        <w:tc>
          <w:tcPr>
            <w:tcW w:w="1384" w:type="dxa"/>
            <w:vMerge/>
            <w:tcBorders>
              <w:top w:val="single" w:sz="4" w:space="0" w:color="auto"/>
              <w:left w:val="single" w:sz="4" w:space="0" w:color="auto"/>
              <w:bottom w:val="single" w:sz="4" w:space="0" w:color="auto"/>
              <w:right w:val="single" w:sz="4" w:space="0" w:color="auto"/>
            </w:tcBorders>
            <w:vAlign w:val="center"/>
          </w:tcPr>
          <w:p w14:paraId="229BCCB9" w14:textId="77777777" w:rsidR="000923BB" w:rsidRPr="00C57BF6" w:rsidRDefault="000923BB" w:rsidP="003A385F">
            <w:pPr>
              <w:rPr>
                <w:rFonts w:cs="Arial"/>
                <w:sz w:val="18"/>
                <w:szCs w:val="18"/>
              </w:rPr>
            </w:pPr>
          </w:p>
        </w:tc>
        <w:tc>
          <w:tcPr>
            <w:tcW w:w="1418" w:type="dxa"/>
            <w:tcBorders>
              <w:top w:val="nil"/>
              <w:left w:val="single" w:sz="4" w:space="0" w:color="auto"/>
              <w:bottom w:val="nil"/>
              <w:right w:val="single" w:sz="4" w:space="0" w:color="auto"/>
            </w:tcBorders>
            <w:vAlign w:val="center"/>
          </w:tcPr>
          <w:p w14:paraId="4E09A322" w14:textId="77777777" w:rsidR="000923BB" w:rsidRPr="00C57BF6" w:rsidRDefault="000923BB" w:rsidP="003A385F">
            <w:pPr>
              <w:jc w:val="center"/>
              <w:rPr>
                <w:rFonts w:cs="Arial"/>
                <w:sz w:val="18"/>
                <w:szCs w:val="18"/>
              </w:rPr>
            </w:pPr>
            <w:r w:rsidRPr="00C57BF6">
              <w:rPr>
                <w:rFonts w:cs="Arial"/>
                <w:sz w:val="18"/>
                <w:szCs w:val="18"/>
              </w:rPr>
              <w:t>Heart Failure</w:t>
            </w:r>
          </w:p>
        </w:tc>
        <w:tc>
          <w:tcPr>
            <w:tcW w:w="1266" w:type="dxa"/>
            <w:tcBorders>
              <w:top w:val="nil"/>
              <w:left w:val="single" w:sz="4" w:space="0" w:color="auto"/>
              <w:bottom w:val="nil"/>
              <w:right w:val="nil"/>
            </w:tcBorders>
            <w:tcMar>
              <w:top w:w="6" w:type="dxa"/>
              <w:left w:w="108" w:type="dxa"/>
              <w:bottom w:w="6" w:type="dxa"/>
              <w:right w:w="108" w:type="dxa"/>
            </w:tcMar>
            <w:vAlign w:val="center"/>
          </w:tcPr>
          <w:p w14:paraId="62C42598" w14:textId="77777777" w:rsidR="000923BB" w:rsidRPr="00C57BF6" w:rsidRDefault="00D52429" w:rsidP="00D52429">
            <w:pPr>
              <w:rPr>
                <w:rFonts w:cs="Arial"/>
                <w:sz w:val="18"/>
                <w:szCs w:val="18"/>
              </w:rPr>
            </w:pPr>
            <w:r>
              <w:rPr>
                <w:rFonts w:cs="Arial"/>
                <w:sz w:val="18"/>
                <w:szCs w:val="18"/>
              </w:rPr>
              <w:t xml:space="preserve">  </w:t>
            </w:r>
            <w:r w:rsidR="000923BB" w:rsidRPr="00C57BF6">
              <w:rPr>
                <w:rFonts w:cs="Arial"/>
                <w:sz w:val="18"/>
                <w:szCs w:val="18"/>
              </w:rPr>
              <w:t>F</w:t>
            </w:r>
          </w:p>
        </w:tc>
        <w:tc>
          <w:tcPr>
            <w:tcW w:w="576" w:type="dxa"/>
            <w:tcBorders>
              <w:top w:val="nil"/>
              <w:left w:val="nil"/>
              <w:bottom w:val="nil"/>
              <w:right w:val="single" w:sz="4" w:space="0" w:color="auto"/>
            </w:tcBorders>
            <w:tcMar>
              <w:top w:w="6" w:type="dxa"/>
              <w:left w:w="108" w:type="dxa"/>
              <w:bottom w:w="6" w:type="dxa"/>
              <w:right w:w="108" w:type="dxa"/>
            </w:tcMar>
            <w:vAlign w:val="center"/>
          </w:tcPr>
          <w:p w14:paraId="19E314AF" w14:textId="77777777" w:rsidR="000923BB" w:rsidRPr="00C57BF6" w:rsidRDefault="000923BB" w:rsidP="00D52429">
            <w:pPr>
              <w:rPr>
                <w:rFonts w:cs="Arial"/>
                <w:sz w:val="18"/>
                <w:szCs w:val="18"/>
              </w:rPr>
            </w:pPr>
            <w:r w:rsidRPr="00C57BF6">
              <w:rPr>
                <w:rFonts w:cs="Arial"/>
                <w:sz w:val="18"/>
                <w:szCs w:val="18"/>
              </w:rPr>
              <w:t>18</w:t>
            </w:r>
          </w:p>
        </w:tc>
        <w:tc>
          <w:tcPr>
            <w:tcW w:w="2025" w:type="dxa"/>
            <w:tcBorders>
              <w:top w:val="nil"/>
              <w:left w:val="single" w:sz="4" w:space="0" w:color="auto"/>
              <w:bottom w:val="nil"/>
              <w:right w:val="single" w:sz="4" w:space="0" w:color="auto"/>
            </w:tcBorders>
            <w:tcMar>
              <w:top w:w="6" w:type="dxa"/>
              <w:left w:w="108" w:type="dxa"/>
              <w:bottom w:w="6" w:type="dxa"/>
              <w:right w:w="108" w:type="dxa"/>
            </w:tcMar>
            <w:vAlign w:val="center"/>
          </w:tcPr>
          <w:p w14:paraId="379D3698" w14:textId="77777777" w:rsidR="000923BB" w:rsidRPr="00151CD0" w:rsidRDefault="000923BB" w:rsidP="003A385F">
            <w:pPr>
              <w:jc w:val="center"/>
              <w:rPr>
                <w:rFonts w:cs="Arial"/>
                <w:sz w:val="18"/>
                <w:szCs w:val="18"/>
              </w:rPr>
            </w:pPr>
            <w:r w:rsidRPr="00151CD0">
              <w:rPr>
                <w:rFonts w:cs="Arial"/>
                <w:sz w:val="18"/>
                <w:szCs w:val="18"/>
              </w:rPr>
              <w:t>0.35   (-0.14 to 0.83)</w:t>
            </w:r>
          </w:p>
        </w:tc>
        <w:tc>
          <w:tcPr>
            <w:tcW w:w="1559" w:type="dxa"/>
            <w:vMerge/>
            <w:tcBorders>
              <w:top w:val="single" w:sz="4" w:space="0" w:color="auto"/>
              <w:left w:val="single" w:sz="4" w:space="0" w:color="auto"/>
              <w:bottom w:val="single" w:sz="4" w:space="0" w:color="auto"/>
              <w:right w:val="single" w:sz="4" w:space="0" w:color="auto"/>
            </w:tcBorders>
            <w:tcMar>
              <w:top w:w="6" w:type="dxa"/>
              <w:left w:w="108" w:type="dxa"/>
              <w:bottom w:w="6" w:type="dxa"/>
              <w:right w:w="108" w:type="dxa"/>
            </w:tcMar>
            <w:vAlign w:val="center"/>
          </w:tcPr>
          <w:p w14:paraId="254447D4" w14:textId="77777777" w:rsidR="000923BB" w:rsidRPr="00151CD0" w:rsidRDefault="000923BB" w:rsidP="003A385F">
            <w:pPr>
              <w:jc w:val="center"/>
              <w:rPr>
                <w:rFonts w:cs="Arial"/>
                <w:sz w:val="18"/>
                <w:szCs w:val="18"/>
              </w:rPr>
            </w:pPr>
          </w:p>
        </w:tc>
      </w:tr>
      <w:tr w:rsidR="000923BB" w:rsidRPr="00C57BF6" w14:paraId="52D71B34" w14:textId="77777777" w:rsidTr="00D52429">
        <w:trPr>
          <w:cantSplit/>
          <w:trHeight w:val="284"/>
        </w:trPr>
        <w:tc>
          <w:tcPr>
            <w:tcW w:w="1384" w:type="dxa"/>
            <w:vMerge/>
            <w:tcBorders>
              <w:top w:val="single" w:sz="4" w:space="0" w:color="auto"/>
              <w:left w:val="single" w:sz="4" w:space="0" w:color="auto"/>
              <w:bottom w:val="single" w:sz="4" w:space="0" w:color="auto"/>
              <w:right w:val="single" w:sz="4" w:space="0" w:color="auto"/>
            </w:tcBorders>
            <w:vAlign w:val="center"/>
          </w:tcPr>
          <w:p w14:paraId="385787DC" w14:textId="77777777" w:rsidR="000923BB" w:rsidRPr="00C57BF6" w:rsidRDefault="000923BB" w:rsidP="003A385F">
            <w:pPr>
              <w:rPr>
                <w:rFonts w:cs="Arial"/>
                <w:sz w:val="18"/>
                <w:szCs w:val="18"/>
              </w:rPr>
            </w:pPr>
          </w:p>
        </w:tc>
        <w:tc>
          <w:tcPr>
            <w:tcW w:w="1418" w:type="dxa"/>
            <w:tcBorders>
              <w:top w:val="nil"/>
              <w:left w:val="single" w:sz="4" w:space="0" w:color="auto"/>
              <w:bottom w:val="single" w:sz="4" w:space="0" w:color="auto"/>
              <w:right w:val="single" w:sz="4" w:space="0" w:color="auto"/>
            </w:tcBorders>
            <w:vAlign w:val="center"/>
          </w:tcPr>
          <w:p w14:paraId="1103D69F" w14:textId="77777777" w:rsidR="000923BB" w:rsidRPr="00C57BF6" w:rsidRDefault="000923BB" w:rsidP="003A385F">
            <w:pPr>
              <w:jc w:val="center"/>
              <w:rPr>
                <w:rFonts w:cs="Arial"/>
                <w:sz w:val="18"/>
                <w:szCs w:val="18"/>
              </w:rPr>
            </w:pPr>
            <w:r w:rsidRPr="00C57BF6">
              <w:rPr>
                <w:rFonts w:cs="Arial"/>
                <w:sz w:val="18"/>
                <w:szCs w:val="18"/>
              </w:rPr>
              <w:t>Heart Failure</w:t>
            </w:r>
          </w:p>
        </w:tc>
        <w:tc>
          <w:tcPr>
            <w:tcW w:w="1266" w:type="dxa"/>
            <w:tcBorders>
              <w:top w:val="nil"/>
              <w:left w:val="single" w:sz="4" w:space="0" w:color="auto"/>
              <w:bottom w:val="single" w:sz="4" w:space="0" w:color="auto"/>
              <w:right w:val="nil"/>
            </w:tcBorders>
            <w:tcMar>
              <w:top w:w="6" w:type="dxa"/>
              <w:left w:w="108" w:type="dxa"/>
              <w:bottom w:w="6" w:type="dxa"/>
              <w:right w:w="108" w:type="dxa"/>
            </w:tcMar>
            <w:vAlign w:val="center"/>
          </w:tcPr>
          <w:p w14:paraId="5B4D411D" w14:textId="77777777" w:rsidR="000923BB" w:rsidRPr="00C57BF6" w:rsidRDefault="000923BB" w:rsidP="00D52429">
            <w:pPr>
              <w:rPr>
                <w:rFonts w:cs="Arial"/>
                <w:sz w:val="18"/>
                <w:szCs w:val="18"/>
              </w:rPr>
            </w:pPr>
            <w:r w:rsidRPr="00C57BF6">
              <w:rPr>
                <w:rFonts w:cs="Arial"/>
                <w:sz w:val="18"/>
                <w:szCs w:val="18"/>
              </w:rPr>
              <w:t xml:space="preserve">  E</w:t>
            </w:r>
            <w:r w:rsidRPr="00C57BF6">
              <w:rPr>
                <w:rFonts w:cs="Arial"/>
                <w:b/>
                <w:bCs/>
                <w:sz w:val="18"/>
                <w:szCs w:val="18"/>
                <w:vertAlign w:val="superscript"/>
              </w:rPr>
              <w:t xml:space="preserve"> d</w:t>
            </w:r>
          </w:p>
        </w:tc>
        <w:tc>
          <w:tcPr>
            <w:tcW w:w="576" w:type="dxa"/>
            <w:tcBorders>
              <w:top w:val="nil"/>
              <w:left w:val="nil"/>
              <w:bottom w:val="single" w:sz="4" w:space="0" w:color="auto"/>
              <w:right w:val="single" w:sz="4" w:space="0" w:color="auto"/>
            </w:tcBorders>
            <w:tcMar>
              <w:top w:w="6" w:type="dxa"/>
              <w:left w:w="108" w:type="dxa"/>
              <w:bottom w:w="6" w:type="dxa"/>
              <w:right w:w="108" w:type="dxa"/>
            </w:tcMar>
            <w:vAlign w:val="center"/>
          </w:tcPr>
          <w:p w14:paraId="3DC7EDF2" w14:textId="77777777" w:rsidR="000923BB" w:rsidRPr="00C57BF6" w:rsidRDefault="000923BB" w:rsidP="00D52429">
            <w:pPr>
              <w:rPr>
                <w:rFonts w:cs="Arial"/>
                <w:sz w:val="18"/>
                <w:szCs w:val="18"/>
              </w:rPr>
            </w:pPr>
            <w:r w:rsidRPr="00C57BF6">
              <w:rPr>
                <w:rFonts w:cs="Arial"/>
                <w:sz w:val="18"/>
                <w:szCs w:val="18"/>
              </w:rPr>
              <w:t>12</w:t>
            </w:r>
          </w:p>
        </w:tc>
        <w:tc>
          <w:tcPr>
            <w:tcW w:w="2025" w:type="dxa"/>
            <w:tcBorders>
              <w:top w:val="nil"/>
              <w:left w:val="single" w:sz="4" w:space="0" w:color="auto"/>
              <w:bottom w:val="single" w:sz="4" w:space="0" w:color="auto"/>
              <w:right w:val="single" w:sz="4" w:space="0" w:color="auto"/>
            </w:tcBorders>
            <w:tcMar>
              <w:top w:w="6" w:type="dxa"/>
              <w:left w:w="108" w:type="dxa"/>
              <w:bottom w:w="6" w:type="dxa"/>
              <w:right w:w="108" w:type="dxa"/>
            </w:tcMar>
            <w:vAlign w:val="center"/>
          </w:tcPr>
          <w:p w14:paraId="3A0032C8" w14:textId="77777777" w:rsidR="000923BB" w:rsidRPr="00151CD0" w:rsidRDefault="000923BB" w:rsidP="003A385F">
            <w:pPr>
              <w:jc w:val="center"/>
              <w:rPr>
                <w:rFonts w:cs="Arial"/>
                <w:sz w:val="18"/>
                <w:szCs w:val="18"/>
              </w:rPr>
            </w:pPr>
            <w:r w:rsidRPr="00151CD0">
              <w:rPr>
                <w:rFonts w:cs="Arial"/>
                <w:sz w:val="18"/>
                <w:szCs w:val="18"/>
              </w:rPr>
              <w:t>0.00   (-0.57 to 0.57)</w:t>
            </w:r>
          </w:p>
        </w:tc>
        <w:tc>
          <w:tcPr>
            <w:tcW w:w="1559" w:type="dxa"/>
            <w:vMerge/>
            <w:tcBorders>
              <w:top w:val="single" w:sz="4" w:space="0" w:color="auto"/>
              <w:left w:val="single" w:sz="4" w:space="0" w:color="auto"/>
              <w:bottom w:val="single" w:sz="4" w:space="0" w:color="auto"/>
              <w:right w:val="single" w:sz="4" w:space="0" w:color="auto"/>
            </w:tcBorders>
            <w:tcMar>
              <w:top w:w="6" w:type="dxa"/>
              <w:left w:w="108" w:type="dxa"/>
              <w:bottom w:w="6" w:type="dxa"/>
              <w:right w:w="108" w:type="dxa"/>
            </w:tcMar>
            <w:vAlign w:val="center"/>
          </w:tcPr>
          <w:p w14:paraId="34A902A4" w14:textId="77777777" w:rsidR="000923BB" w:rsidRPr="00151CD0" w:rsidRDefault="000923BB" w:rsidP="003A385F">
            <w:pPr>
              <w:jc w:val="center"/>
              <w:rPr>
                <w:rFonts w:cs="Arial"/>
                <w:sz w:val="18"/>
                <w:szCs w:val="18"/>
              </w:rPr>
            </w:pPr>
          </w:p>
        </w:tc>
      </w:tr>
      <w:tr w:rsidR="000923BB" w:rsidRPr="00C57BF6" w14:paraId="2E7FC3F1" w14:textId="77777777" w:rsidTr="00D52429">
        <w:trPr>
          <w:cantSplit/>
          <w:trHeight w:val="284"/>
        </w:trPr>
        <w:tc>
          <w:tcPr>
            <w:tcW w:w="1384" w:type="dxa"/>
            <w:vMerge w:val="restart"/>
            <w:tcBorders>
              <w:top w:val="single" w:sz="4" w:space="0" w:color="auto"/>
              <w:left w:val="single" w:sz="4" w:space="0" w:color="auto"/>
              <w:bottom w:val="single" w:sz="4" w:space="0" w:color="auto"/>
              <w:right w:val="single" w:sz="4" w:space="0" w:color="auto"/>
            </w:tcBorders>
            <w:vAlign w:val="center"/>
          </w:tcPr>
          <w:p w14:paraId="213B7AA0" w14:textId="77777777" w:rsidR="000923BB" w:rsidRPr="00C57BF6" w:rsidRDefault="000923BB" w:rsidP="003A385F">
            <w:pPr>
              <w:rPr>
                <w:rFonts w:cs="Arial"/>
                <w:sz w:val="18"/>
                <w:szCs w:val="18"/>
              </w:rPr>
            </w:pPr>
            <w:r w:rsidRPr="00C57BF6">
              <w:rPr>
                <w:rFonts w:cs="Arial"/>
                <w:sz w:val="18"/>
                <w:szCs w:val="18"/>
                <w:lang w:val="en-US"/>
              </w:rPr>
              <w:t>Nurse/clinical</w:t>
            </w:r>
            <w:r w:rsidRPr="00C57BF6">
              <w:rPr>
                <w:rFonts w:cs="Arial"/>
                <w:sz w:val="18"/>
                <w:szCs w:val="18"/>
              </w:rPr>
              <w:t xml:space="preserve"> vs </w:t>
            </w:r>
            <w:r w:rsidRPr="00C57BF6">
              <w:rPr>
                <w:rFonts w:cs="Arial"/>
                <w:sz w:val="18"/>
                <w:szCs w:val="18"/>
                <w:lang w:val="en-US"/>
              </w:rPr>
              <w:t>Nurse/clinical</w:t>
            </w:r>
          </w:p>
        </w:tc>
        <w:tc>
          <w:tcPr>
            <w:tcW w:w="1418" w:type="dxa"/>
            <w:tcBorders>
              <w:top w:val="single" w:sz="4" w:space="0" w:color="auto"/>
              <w:left w:val="single" w:sz="4" w:space="0" w:color="auto"/>
              <w:bottom w:val="nil"/>
              <w:right w:val="single" w:sz="4" w:space="0" w:color="auto"/>
            </w:tcBorders>
            <w:vAlign w:val="center"/>
          </w:tcPr>
          <w:p w14:paraId="01DC12B6" w14:textId="77777777" w:rsidR="000923BB" w:rsidRPr="00C57BF6" w:rsidRDefault="000923BB" w:rsidP="003A385F">
            <w:pPr>
              <w:jc w:val="center"/>
              <w:rPr>
                <w:rFonts w:cs="Arial"/>
                <w:sz w:val="18"/>
                <w:szCs w:val="18"/>
              </w:rPr>
            </w:pPr>
            <w:r w:rsidRPr="00C57BF6">
              <w:rPr>
                <w:rFonts w:cs="Arial"/>
                <w:sz w:val="18"/>
                <w:szCs w:val="18"/>
              </w:rPr>
              <w:t>Heart Failure</w:t>
            </w:r>
          </w:p>
        </w:tc>
        <w:tc>
          <w:tcPr>
            <w:tcW w:w="1266" w:type="dxa"/>
            <w:tcBorders>
              <w:top w:val="single" w:sz="4" w:space="0" w:color="auto"/>
              <w:left w:val="single" w:sz="4" w:space="0" w:color="auto"/>
              <w:bottom w:val="nil"/>
              <w:right w:val="nil"/>
            </w:tcBorders>
            <w:tcMar>
              <w:top w:w="6" w:type="dxa"/>
              <w:left w:w="108" w:type="dxa"/>
              <w:bottom w:w="6" w:type="dxa"/>
              <w:right w:w="108" w:type="dxa"/>
            </w:tcMar>
            <w:vAlign w:val="center"/>
          </w:tcPr>
          <w:p w14:paraId="72C687A3" w14:textId="77777777" w:rsidR="000923BB" w:rsidRPr="00C57BF6" w:rsidRDefault="000923BB" w:rsidP="00D52429">
            <w:pPr>
              <w:rPr>
                <w:rFonts w:cs="Arial"/>
                <w:sz w:val="18"/>
                <w:szCs w:val="18"/>
              </w:rPr>
            </w:pPr>
            <w:r w:rsidRPr="00C57BF6">
              <w:rPr>
                <w:rFonts w:cs="Arial"/>
                <w:sz w:val="18"/>
                <w:szCs w:val="18"/>
              </w:rPr>
              <w:t>D</w:t>
            </w:r>
          </w:p>
        </w:tc>
        <w:tc>
          <w:tcPr>
            <w:tcW w:w="576" w:type="dxa"/>
            <w:tcBorders>
              <w:top w:val="single" w:sz="4" w:space="0" w:color="auto"/>
              <w:left w:val="nil"/>
              <w:bottom w:val="nil"/>
              <w:right w:val="single" w:sz="4" w:space="0" w:color="auto"/>
            </w:tcBorders>
            <w:tcMar>
              <w:top w:w="6" w:type="dxa"/>
              <w:left w:w="108" w:type="dxa"/>
              <w:bottom w:w="6" w:type="dxa"/>
              <w:right w:w="108" w:type="dxa"/>
            </w:tcMar>
            <w:vAlign w:val="center"/>
          </w:tcPr>
          <w:p w14:paraId="454E68E9" w14:textId="77777777" w:rsidR="000923BB" w:rsidRPr="00C57BF6" w:rsidRDefault="000923BB" w:rsidP="00D52429">
            <w:pPr>
              <w:rPr>
                <w:rFonts w:cs="Arial"/>
                <w:sz w:val="18"/>
                <w:szCs w:val="18"/>
              </w:rPr>
            </w:pPr>
            <w:r w:rsidRPr="00C57BF6">
              <w:rPr>
                <w:rFonts w:cs="Arial"/>
                <w:sz w:val="18"/>
                <w:szCs w:val="18"/>
              </w:rPr>
              <w:t>21</w:t>
            </w:r>
          </w:p>
        </w:tc>
        <w:tc>
          <w:tcPr>
            <w:tcW w:w="2025" w:type="dxa"/>
            <w:tcBorders>
              <w:top w:val="single" w:sz="4" w:space="0" w:color="auto"/>
              <w:left w:val="single" w:sz="4" w:space="0" w:color="auto"/>
              <w:bottom w:val="nil"/>
              <w:right w:val="single" w:sz="4" w:space="0" w:color="auto"/>
            </w:tcBorders>
            <w:tcMar>
              <w:top w:w="6" w:type="dxa"/>
              <w:left w:w="108" w:type="dxa"/>
              <w:bottom w:w="6" w:type="dxa"/>
              <w:right w:w="108" w:type="dxa"/>
            </w:tcMar>
            <w:vAlign w:val="center"/>
          </w:tcPr>
          <w:p w14:paraId="6C1B8464" w14:textId="77777777" w:rsidR="000923BB" w:rsidRPr="00151CD0" w:rsidRDefault="000923BB" w:rsidP="003A385F">
            <w:pPr>
              <w:jc w:val="center"/>
              <w:rPr>
                <w:rFonts w:cs="Arial"/>
                <w:sz w:val="18"/>
                <w:szCs w:val="18"/>
              </w:rPr>
            </w:pPr>
            <w:r w:rsidRPr="00151CD0">
              <w:rPr>
                <w:rFonts w:cs="Arial"/>
                <w:sz w:val="18"/>
                <w:szCs w:val="18"/>
              </w:rPr>
              <w:t xml:space="preserve">  0.34 ( 0.02 to 0.67)</w:t>
            </w:r>
          </w:p>
        </w:tc>
        <w:tc>
          <w:tcPr>
            <w:tcW w:w="1559" w:type="dxa"/>
            <w:vMerge w:val="restart"/>
            <w:tcBorders>
              <w:top w:val="single" w:sz="4" w:space="0" w:color="auto"/>
              <w:left w:val="single" w:sz="4" w:space="0" w:color="auto"/>
              <w:bottom w:val="single" w:sz="4" w:space="0" w:color="auto"/>
              <w:right w:val="single" w:sz="4" w:space="0" w:color="auto"/>
            </w:tcBorders>
            <w:tcMar>
              <w:top w:w="6" w:type="dxa"/>
              <w:left w:w="108" w:type="dxa"/>
              <w:bottom w:w="6" w:type="dxa"/>
              <w:right w:w="108" w:type="dxa"/>
            </w:tcMar>
            <w:vAlign w:val="center"/>
          </w:tcPr>
          <w:p w14:paraId="76B2D0AF" w14:textId="77777777" w:rsidR="000923BB" w:rsidRPr="00151CD0" w:rsidRDefault="000923BB" w:rsidP="003A385F">
            <w:pPr>
              <w:jc w:val="center"/>
              <w:rPr>
                <w:rFonts w:cs="Arial"/>
                <w:sz w:val="18"/>
                <w:szCs w:val="18"/>
              </w:rPr>
            </w:pPr>
            <w:r w:rsidRPr="00151CD0">
              <w:rPr>
                <w:rFonts w:cs="Arial"/>
                <w:sz w:val="18"/>
                <w:szCs w:val="18"/>
              </w:rPr>
              <w:t>0.22</w:t>
            </w:r>
          </w:p>
          <w:p w14:paraId="44FCBA31" w14:textId="77777777" w:rsidR="000923BB" w:rsidRPr="00151CD0" w:rsidRDefault="000923BB" w:rsidP="003A385F">
            <w:pPr>
              <w:jc w:val="center"/>
              <w:rPr>
                <w:rFonts w:cs="Arial"/>
                <w:sz w:val="18"/>
                <w:szCs w:val="18"/>
              </w:rPr>
            </w:pPr>
            <w:r w:rsidRPr="00151CD0">
              <w:rPr>
                <w:rFonts w:cs="Arial"/>
                <w:sz w:val="18"/>
                <w:szCs w:val="18"/>
              </w:rPr>
              <w:t>(0.08 to 0.36)</w:t>
            </w:r>
          </w:p>
        </w:tc>
      </w:tr>
      <w:tr w:rsidR="000923BB" w:rsidRPr="00C57BF6" w14:paraId="60AA60EB" w14:textId="77777777" w:rsidTr="00D52429">
        <w:trPr>
          <w:cantSplit/>
          <w:trHeight w:val="284"/>
        </w:trPr>
        <w:tc>
          <w:tcPr>
            <w:tcW w:w="1384" w:type="dxa"/>
            <w:vMerge/>
            <w:tcBorders>
              <w:top w:val="single" w:sz="4" w:space="0" w:color="auto"/>
              <w:left w:val="single" w:sz="4" w:space="0" w:color="auto"/>
              <w:bottom w:val="single" w:sz="4" w:space="0" w:color="auto"/>
              <w:right w:val="single" w:sz="4" w:space="0" w:color="auto"/>
            </w:tcBorders>
            <w:vAlign w:val="center"/>
          </w:tcPr>
          <w:p w14:paraId="768CBBBB" w14:textId="77777777" w:rsidR="000923BB" w:rsidRPr="00C57BF6" w:rsidRDefault="000923BB" w:rsidP="003A385F">
            <w:pPr>
              <w:rPr>
                <w:rFonts w:cs="Arial"/>
                <w:sz w:val="18"/>
                <w:szCs w:val="18"/>
              </w:rPr>
            </w:pPr>
          </w:p>
        </w:tc>
        <w:tc>
          <w:tcPr>
            <w:tcW w:w="1418" w:type="dxa"/>
            <w:tcBorders>
              <w:top w:val="nil"/>
              <w:left w:val="single" w:sz="4" w:space="0" w:color="auto"/>
              <w:bottom w:val="nil"/>
              <w:right w:val="single" w:sz="4" w:space="0" w:color="auto"/>
            </w:tcBorders>
            <w:vAlign w:val="center"/>
          </w:tcPr>
          <w:p w14:paraId="100AE435" w14:textId="77777777" w:rsidR="000923BB" w:rsidRPr="00C57BF6" w:rsidRDefault="000923BB" w:rsidP="003A385F">
            <w:pPr>
              <w:jc w:val="center"/>
              <w:rPr>
                <w:rFonts w:cs="Arial"/>
                <w:sz w:val="18"/>
                <w:szCs w:val="18"/>
              </w:rPr>
            </w:pPr>
            <w:r w:rsidRPr="00C57BF6">
              <w:rPr>
                <w:rFonts w:cs="Arial"/>
                <w:sz w:val="18"/>
                <w:szCs w:val="18"/>
              </w:rPr>
              <w:t>COPD</w:t>
            </w:r>
          </w:p>
        </w:tc>
        <w:tc>
          <w:tcPr>
            <w:tcW w:w="1266" w:type="dxa"/>
            <w:tcBorders>
              <w:top w:val="nil"/>
              <w:left w:val="single" w:sz="4" w:space="0" w:color="auto"/>
              <w:bottom w:val="nil"/>
              <w:right w:val="nil"/>
            </w:tcBorders>
            <w:tcMar>
              <w:top w:w="6" w:type="dxa"/>
              <w:left w:w="108" w:type="dxa"/>
              <w:bottom w:w="6" w:type="dxa"/>
              <w:right w:w="108" w:type="dxa"/>
            </w:tcMar>
            <w:vAlign w:val="center"/>
          </w:tcPr>
          <w:p w14:paraId="0CE16EB1" w14:textId="77777777" w:rsidR="000923BB" w:rsidRPr="00C57BF6" w:rsidRDefault="000923BB" w:rsidP="00D52429">
            <w:pPr>
              <w:rPr>
                <w:rFonts w:cs="Arial"/>
                <w:sz w:val="18"/>
                <w:szCs w:val="18"/>
              </w:rPr>
            </w:pPr>
            <w:r w:rsidRPr="00C57BF6">
              <w:rPr>
                <w:rFonts w:cs="Arial"/>
                <w:sz w:val="18"/>
                <w:szCs w:val="18"/>
              </w:rPr>
              <w:t>D</w:t>
            </w:r>
          </w:p>
        </w:tc>
        <w:tc>
          <w:tcPr>
            <w:tcW w:w="576" w:type="dxa"/>
            <w:tcBorders>
              <w:top w:val="nil"/>
              <w:left w:val="nil"/>
              <w:bottom w:val="nil"/>
              <w:right w:val="single" w:sz="4" w:space="0" w:color="auto"/>
            </w:tcBorders>
            <w:tcMar>
              <w:top w:w="6" w:type="dxa"/>
              <w:left w:w="108" w:type="dxa"/>
              <w:bottom w:w="6" w:type="dxa"/>
              <w:right w:w="108" w:type="dxa"/>
            </w:tcMar>
            <w:vAlign w:val="center"/>
          </w:tcPr>
          <w:p w14:paraId="3F6040EF" w14:textId="77777777" w:rsidR="000923BB" w:rsidRPr="00C57BF6" w:rsidRDefault="000923BB" w:rsidP="00D52429">
            <w:pPr>
              <w:rPr>
                <w:rFonts w:cs="Arial"/>
                <w:sz w:val="18"/>
                <w:szCs w:val="18"/>
              </w:rPr>
            </w:pPr>
            <w:r w:rsidRPr="00C57BF6">
              <w:rPr>
                <w:rFonts w:cs="Arial"/>
                <w:sz w:val="18"/>
                <w:szCs w:val="18"/>
              </w:rPr>
              <w:t>49</w:t>
            </w:r>
          </w:p>
        </w:tc>
        <w:tc>
          <w:tcPr>
            <w:tcW w:w="2025" w:type="dxa"/>
            <w:tcBorders>
              <w:top w:val="nil"/>
              <w:left w:val="single" w:sz="4" w:space="0" w:color="auto"/>
              <w:bottom w:val="nil"/>
              <w:right w:val="single" w:sz="4" w:space="0" w:color="auto"/>
            </w:tcBorders>
            <w:tcMar>
              <w:top w:w="6" w:type="dxa"/>
              <w:left w:w="108" w:type="dxa"/>
              <w:bottom w:w="6" w:type="dxa"/>
              <w:right w:w="108" w:type="dxa"/>
            </w:tcMar>
            <w:vAlign w:val="center"/>
          </w:tcPr>
          <w:p w14:paraId="6AA7F959" w14:textId="77777777" w:rsidR="000923BB" w:rsidRPr="00151CD0" w:rsidRDefault="000923BB" w:rsidP="003A385F">
            <w:pPr>
              <w:jc w:val="center"/>
              <w:rPr>
                <w:rFonts w:cs="Arial"/>
                <w:sz w:val="18"/>
                <w:szCs w:val="18"/>
              </w:rPr>
            </w:pPr>
            <w:r w:rsidRPr="00151CD0">
              <w:rPr>
                <w:rFonts w:cs="Arial"/>
                <w:sz w:val="18"/>
                <w:szCs w:val="18"/>
              </w:rPr>
              <w:t xml:space="preserve">  0.26   ( 0.03 to 0.48)</w:t>
            </w:r>
          </w:p>
        </w:tc>
        <w:tc>
          <w:tcPr>
            <w:tcW w:w="1559" w:type="dxa"/>
            <w:vMerge/>
            <w:tcBorders>
              <w:top w:val="single" w:sz="4" w:space="0" w:color="auto"/>
              <w:left w:val="single" w:sz="4" w:space="0" w:color="auto"/>
              <w:bottom w:val="single" w:sz="4" w:space="0" w:color="auto"/>
              <w:right w:val="single" w:sz="4" w:space="0" w:color="auto"/>
            </w:tcBorders>
            <w:tcMar>
              <w:top w:w="6" w:type="dxa"/>
              <w:left w:w="108" w:type="dxa"/>
              <w:bottom w:w="6" w:type="dxa"/>
              <w:right w:w="108" w:type="dxa"/>
            </w:tcMar>
            <w:vAlign w:val="center"/>
          </w:tcPr>
          <w:p w14:paraId="4915B415" w14:textId="77777777" w:rsidR="000923BB" w:rsidRPr="00151CD0" w:rsidRDefault="000923BB" w:rsidP="003A385F">
            <w:pPr>
              <w:jc w:val="center"/>
              <w:rPr>
                <w:rFonts w:cs="Arial"/>
                <w:sz w:val="18"/>
                <w:szCs w:val="18"/>
              </w:rPr>
            </w:pPr>
          </w:p>
        </w:tc>
      </w:tr>
      <w:tr w:rsidR="000923BB" w:rsidRPr="00C57BF6" w14:paraId="53CA5DC3" w14:textId="77777777" w:rsidTr="00D52429">
        <w:trPr>
          <w:cantSplit/>
          <w:trHeight w:val="284"/>
        </w:trPr>
        <w:tc>
          <w:tcPr>
            <w:tcW w:w="1384" w:type="dxa"/>
            <w:vMerge/>
            <w:tcBorders>
              <w:top w:val="single" w:sz="4" w:space="0" w:color="auto"/>
              <w:left w:val="single" w:sz="4" w:space="0" w:color="auto"/>
              <w:bottom w:val="single" w:sz="4" w:space="0" w:color="auto"/>
              <w:right w:val="single" w:sz="4" w:space="0" w:color="auto"/>
            </w:tcBorders>
            <w:vAlign w:val="center"/>
          </w:tcPr>
          <w:p w14:paraId="035508AB" w14:textId="77777777" w:rsidR="000923BB" w:rsidRPr="00C57BF6" w:rsidRDefault="000923BB" w:rsidP="003A385F">
            <w:pPr>
              <w:rPr>
                <w:rFonts w:cs="Arial"/>
                <w:sz w:val="18"/>
                <w:szCs w:val="18"/>
              </w:rPr>
            </w:pPr>
          </w:p>
        </w:tc>
        <w:tc>
          <w:tcPr>
            <w:tcW w:w="1418" w:type="dxa"/>
            <w:tcBorders>
              <w:top w:val="nil"/>
              <w:left w:val="single" w:sz="4" w:space="0" w:color="auto"/>
              <w:bottom w:val="nil"/>
              <w:right w:val="single" w:sz="4" w:space="0" w:color="auto"/>
            </w:tcBorders>
            <w:vAlign w:val="center"/>
          </w:tcPr>
          <w:p w14:paraId="703A2DCF" w14:textId="77777777" w:rsidR="000923BB" w:rsidRPr="00C57BF6" w:rsidRDefault="000923BB" w:rsidP="003A385F">
            <w:pPr>
              <w:jc w:val="center"/>
              <w:rPr>
                <w:rFonts w:cs="Arial"/>
                <w:sz w:val="18"/>
                <w:szCs w:val="18"/>
              </w:rPr>
            </w:pPr>
            <w:r w:rsidRPr="00C57BF6">
              <w:rPr>
                <w:rFonts w:cs="Arial"/>
                <w:sz w:val="18"/>
                <w:szCs w:val="18"/>
              </w:rPr>
              <w:t>COPD</w:t>
            </w:r>
          </w:p>
        </w:tc>
        <w:tc>
          <w:tcPr>
            <w:tcW w:w="1266" w:type="dxa"/>
            <w:tcBorders>
              <w:top w:val="nil"/>
              <w:left w:val="single" w:sz="4" w:space="0" w:color="auto"/>
              <w:bottom w:val="nil"/>
              <w:right w:val="nil"/>
            </w:tcBorders>
            <w:tcMar>
              <w:top w:w="6" w:type="dxa"/>
              <w:left w:w="108" w:type="dxa"/>
              <w:bottom w:w="6" w:type="dxa"/>
              <w:right w:w="108" w:type="dxa"/>
            </w:tcMar>
            <w:vAlign w:val="center"/>
          </w:tcPr>
          <w:p w14:paraId="02FC460E" w14:textId="77777777" w:rsidR="000923BB" w:rsidRPr="00C57BF6" w:rsidRDefault="000923BB" w:rsidP="00D52429">
            <w:pPr>
              <w:rPr>
                <w:rFonts w:cs="Arial"/>
                <w:sz w:val="18"/>
                <w:szCs w:val="18"/>
              </w:rPr>
            </w:pPr>
            <w:r w:rsidRPr="00C57BF6">
              <w:rPr>
                <w:rFonts w:cs="Arial"/>
                <w:sz w:val="18"/>
                <w:szCs w:val="18"/>
              </w:rPr>
              <w:t>J</w:t>
            </w:r>
          </w:p>
        </w:tc>
        <w:tc>
          <w:tcPr>
            <w:tcW w:w="576" w:type="dxa"/>
            <w:tcBorders>
              <w:top w:val="nil"/>
              <w:left w:val="nil"/>
              <w:bottom w:val="nil"/>
              <w:right w:val="single" w:sz="4" w:space="0" w:color="auto"/>
            </w:tcBorders>
            <w:tcMar>
              <w:top w:w="6" w:type="dxa"/>
              <w:left w:w="108" w:type="dxa"/>
              <w:bottom w:w="6" w:type="dxa"/>
              <w:right w:w="108" w:type="dxa"/>
            </w:tcMar>
            <w:vAlign w:val="center"/>
          </w:tcPr>
          <w:p w14:paraId="23184833" w14:textId="77777777" w:rsidR="000923BB" w:rsidRPr="00C57BF6" w:rsidRDefault="000923BB" w:rsidP="00D52429">
            <w:pPr>
              <w:rPr>
                <w:rFonts w:cs="Arial"/>
                <w:sz w:val="18"/>
                <w:szCs w:val="18"/>
              </w:rPr>
            </w:pPr>
            <w:r w:rsidRPr="00C57BF6">
              <w:rPr>
                <w:rFonts w:cs="Arial"/>
                <w:sz w:val="18"/>
                <w:szCs w:val="18"/>
              </w:rPr>
              <w:t>26</w:t>
            </w:r>
          </w:p>
        </w:tc>
        <w:tc>
          <w:tcPr>
            <w:tcW w:w="2025" w:type="dxa"/>
            <w:tcBorders>
              <w:top w:val="nil"/>
              <w:left w:val="single" w:sz="4" w:space="0" w:color="auto"/>
              <w:bottom w:val="nil"/>
              <w:right w:val="single" w:sz="4" w:space="0" w:color="auto"/>
            </w:tcBorders>
            <w:tcMar>
              <w:top w:w="6" w:type="dxa"/>
              <w:left w:w="108" w:type="dxa"/>
              <w:bottom w:w="6" w:type="dxa"/>
              <w:right w:w="108" w:type="dxa"/>
            </w:tcMar>
            <w:vAlign w:val="center"/>
          </w:tcPr>
          <w:p w14:paraId="7596A072" w14:textId="77777777" w:rsidR="000923BB" w:rsidRPr="00151CD0" w:rsidRDefault="000923BB" w:rsidP="003A385F">
            <w:pPr>
              <w:jc w:val="center"/>
              <w:rPr>
                <w:rFonts w:cs="Arial"/>
                <w:sz w:val="18"/>
                <w:szCs w:val="18"/>
              </w:rPr>
            </w:pPr>
            <w:r w:rsidRPr="00151CD0">
              <w:rPr>
                <w:rFonts w:cs="Arial"/>
                <w:sz w:val="18"/>
                <w:szCs w:val="18"/>
              </w:rPr>
              <w:t xml:space="preserve">  0.16   (-0.17 to 0.48)</w:t>
            </w:r>
          </w:p>
        </w:tc>
        <w:tc>
          <w:tcPr>
            <w:tcW w:w="1559" w:type="dxa"/>
            <w:vMerge/>
            <w:tcBorders>
              <w:top w:val="single" w:sz="4" w:space="0" w:color="auto"/>
              <w:left w:val="single" w:sz="4" w:space="0" w:color="auto"/>
              <w:bottom w:val="single" w:sz="4" w:space="0" w:color="auto"/>
              <w:right w:val="single" w:sz="4" w:space="0" w:color="auto"/>
            </w:tcBorders>
            <w:tcMar>
              <w:top w:w="6" w:type="dxa"/>
              <w:left w:w="108" w:type="dxa"/>
              <w:bottom w:w="6" w:type="dxa"/>
              <w:right w:w="108" w:type="dxa"/>
            </w:tcMar>
            <w:vAlign w:val="center"/>
          </w:tcPr>
          <w:p w14:paraId="2E96370B" w14:textId="77777777" w:rsidR="000923BB" w:rsidRPr="00151CD0" w:rsidRDefault="000923BB" w:rsidP="003A385F">
            <w:pPr>
              <w:jc w:val="center"/>
              <w:rPr>
                <w:rFonts w:cs="Arial"/>
                <w:sz w:val="18"/>
                <w:szCs w:val="18"/>
              </w:rPr>
            </w:pPr>
          </w:p>
        </w:tc>
      </w:tr>
      <w:tr w:rsidR="000923BB" w:rsidRPr="00C57BF6" w14:paraId="10F89EB1" w14:textId="77777777" w:rsidTr="00D52429">
        <w:trPr>
          <w:cantSplit/>
          <w:trHeight w:val="284"/>
        </w:trPr>
        <w:tc>
          <w:tcPr>
            <w:tcW w:w="1384" w:type="dxa"/>
            <w:vMerge/>
            <w:tcBorders>
              <w:top w:val="single" w:sz="4" w:space="0" w:color="auto"/>
              <w:left w:val="single" w:sz="4" w:space="0" w:color="auto"/>
              <w:bottom w:val="single" w:sz="4" w:space="0" w:color="auto"/>
              <w:right w:val="single" w:sz="4" w:space="0" w:color="auto"/>
            </w:tcBorders>
            <w:vAlign w:val="center"/>
          </w:tcPr>
          <w:p w14:paraId="157BE798" w14:textId="77777777" w:rsidR="000923BB" w:rsidRPr="00C57BF6" w:rsidRDefault="000923BB" w:rsidP="003A385F">
            <w:pPr>
              <w:rPr>
                <w:rFonts w:cs="Arial"/>
                <w:sz w:val="18"/>
                <w:szCs w:val="18"/>
              </w:rPr>
            </w:pPr>
          </w:p>
        </w:tc>
        <w:tc>
          <w:tcPr>
            <w:tcW w:w="1418" w:type="dxa"/>
            <w:tcBorders>
              <w:top w:val="nil"/>
              <w:left w:val="single" w:sz="4" w:space="0" w:color="auto"/>
              <w:bottom w:val="single" w:sz="4" w:space="0" w:color="auto"/>
              <w:right w:val="single" w:sz="4" w:space="0" w:color="auto"/>
            </w:tcBorders>
            <w:vAlign w:val="center"/>
          </w:tcPr>
          <w:p w14:paraId="4D707F52" w14:textId="77777777" w:rsidR="000923BB" w:rsidRPr="00C57BF6" w:rsidRDefault="000923BB" w:rsidP="003A385F">
            <w:pPr>
              <w:jc w:val="center"/>
              <w:rPr>
                <w:rFonts w:cs="Arial"/>
                <w:sz w:val="18"/>
                <w:szCs w:val="18"/>
              </w:rPr>
            </w:pPr>
            <w:r w:rsidRPr="00C57BF6">
              <w:rPr>
                <w:rFonts w:cs="Arial"/>
                <w:sz w:val="18"/>
                <w:szCs w:val="18"/>
              </w:rPr>
              <w:t>Heart Failure</w:t>
            </w:r>
          </w:p>
        </w:tc>
        <w:tc>
          <w:tcPr>
            <w:tcW w:w="1266" w:type="dxa"/>
            <w:tcBorders>
              <w:top w:val="nil"/>
              <w:left w:val="single" w:sz="4" w:space="0" w:color="auto"/>
              <w:bottom w:val="single" w:sz="4" w:space="0" w:color="auto"/>
              <w:right w:val="nil"/>
            </w:tcBorders>
            <w:tcMar>
              <w:top w:w="6" w:type="dxa"/>
              <w:left w:w="108" w:type="dxa"/>
              <w:bottom w:w="6" w:type="dxa"/>
              <w:right w:w="108" w:type="dxa"/>
            </w:tcMar>
            <w:vAlign w:val="center"/>
          </w:tcPr>
          <w:p w14:paraId="6FD1431B" w14:textId="77777777" w:rsidR="000923BB" w:rsidRPr="00C57BF6" w:rsidRDefault="000923BB" w:rsidP="00D52429">
            <w:pPr>
              <w:rPr>
                <w:rFonts w:cs="Arial"/>
                <w:sz w:val="18"/>
                <w:szCs w:val="18"/>
              </w:rPr>
            </w:pPr>
            <w:r w:rsidRPr="00C57BF6">
              <w:rPr>
                <w:rFonts w:cs="Arial"/>
                <w:sz w:val="18"/>
                <w:szCs w:val="18"/>
              </w:rPr>
              <w:t>H</w:t>
            </w:r>
          </w:p>
        </w:tc>
        <w:tc>
          <w:tcPr>
            <w:tcW w:w="576" w:type="dxa"/>
            <w:tcBorders>
              <w:top w:val="nil"/>
              <w:left w:val="nil"/>
              <w:bottom w:val="single" w:sz="4" w:space="0" w:color="auto"/>
              <w:right w:val="single" w:sz="4" w:space="0" w:color="auto"/>
            </w:tcBorders>
            <w:tcMar>
              <w:top w:w="6" w:type="dxa"/>
              <w:left w:w="108" w:type="dxa"/>
              <w:bottom w:w="6" w:type="dxa"/>
              <w:right w:w="108" w:type="dxa"/>
            </w:tcMar>
            <w:vAlign w:val="center"/>
          </w:tcPr>
          <w:p w14:paraId="4A08463D" w14:textId="77777777" w:rsidR="000923BB" w:rsidRPr="00C57BF6" w:rsidRDefault="000923BB" w:rsidP="00D52429">
            <w:pPr>
              <w:rPr>
                <w:rFonts w:cs="Arial"/>
                <w:sz w:val="18"/>
                <w:szCs w:val="18"/>
              </w:rPr>
            </w:pPr>
            <w:r w:rsidRPr="00C57BF6">
              <w:rPr>
                <w:rFonts w:cs="Arial"/>
                <w:sz w:val="18"/>
                <w:szCs w:val="18"/>
              </w:rPr>
              <w:t>48</w:t>
            </w:r>
          </w:p>
        </w:tc>
        <w:tc>
          <w:tcPr>
            <w:tcW w:w="2025" w:type="dxa"/>
            <w:tcBorders>
              <w:top w:val="nil"/>
              <w:left w:val="single" w:sz="4" w:space="0" w:color="auto"/>
              <w:bottom w:val="single" w:sz="4" w:space="0" w:color="auto"/>
              <w:right w:val="single" w:sz="4" w:space="0" w:color="auto"/>
            </w:tcBorders>
            <w:tcMar>
              <w:top w:w="6" w:type="dxa"/>
              <w:left w:w="108" w:type="dxa"/>
              <w:bottom w:w="6" w:type="dxa"/>
              <w:right w:w="108" w:type="dxa"/>
            </w:tcMar>
            <w:vAlign w:val="center"/>
          </w:tcPr>
          <w:p w14:paraId="3A7B6D80" w14:textId="77777777" w:rsidR="000923BB" w:rsidRPr="00151CD0" w:rsidRDefault="000923BB" w:rsidP="003A385F">
            <w:pPr>
              <w:jc w:val="center"/>
              <w:rPr>
                <w:rFonts w:cs="Arial"/>
                <w:sz w:val="18"/>
                <w:szCs w:val="18"/>
              </w:rPr>
            </w:pPr>
            <w:r w:rsidRPr="00151CD0">
              <w:rPr>
                <w:rFonts w:cs="Arial"/>
                <w:sz w:val="18"/>
                <w:szCs w:val="18"/>
              </w:rPr>
              <w:t xml:space="preserve">  0.10   (-0.20 to 0.40)</w:t>
            </w:r>
          </w:p>
        </w:tc>
        <w:tc>
          <w:tcPr>
            <w:tcW w:w="1559" w:type="dxa"/>
            <w:vMerge/>
            <w:tcBorders>
              <w:top w:val="single" w:sz="4" w:space="0" w:color="auto"/>
              <w:left w:val="single" w:sz="4" w:space="0" w:color="auto"/>
              <w:bottom w:val="single" w:sz="4" w:space="0" w:color="auto"/>
              <w:right w:val="single" w:sz="4" w:space="0" w:color="auto"/>
            </w:tcBorders>
            <w:tcMar>
              <w:top w:w="6" w:type="dxa"/>
              <w:left w:w="108" w:type="dxa"/>
              <w:bottom w:w="6" w:type="dxa"/>
              <w:right w:w="108" w:type="dxa"/>
            </w:tcMar>
            <w:vAlign w:val="center"/>
          </w:tcPr>
          <w:p w14:paraId="2C248B16" w14:textId="77777777" w:rsidR="000923BB" w:rsidRPr="00151CD0" w:rsidRDefault="000923BB" w:rsidP="003A385F">
            <w:pPr>
              <w:jc w:val="center"/>
              <w:rPr>
                <w:rFonts w:cs="Arial"/>
                <w:sz w:val="18"/>
                <w:szCs w:val="18"/>
              </w:rPr>
            </w:pPr>
          </w:p>
        </w:tc>
      </w:tr>
      <w:tr w:rsidR="000923BB" w:rsidRPr="00C57BF6" w14:paraId="30C98AF6" w14:textId="77777777" w:rsidTr="00D52429">
        <w:trPr>
          <w:trHeight w:val="423"/>
        </w:trPr>
        <w:tc>
          <w:tcPr>
            <w:tcW w:w="1384" w:type="dxa"/>
            <w:tcBorders>
              <w:top w:val="single" w:sz="4" w:space="0" w:color="auto"/>
              <w:left w:val="single" w:sz="4" w:space="0" w:color="auto"/>
              <w:bottom w:val="single" w:sz="4" w:space="0" w:color="auto"/>
              <w:right w:val="single" w:sz="4" w:space="0" w:color="auto"/>
            </w:tcBorders>
            <w:vAlign w:val="center"/>
          </w:tcPr>
          <w:p w14:paraId="2CEC9BA8" w14:textId="77777777" w:rsidR="000923BB" w:rsidRPr="00C57BF6" w:rsidRDefault="000923BB" w:rsidP="003A385F">
            <w:pPr>
              <w:rPr>
                <w:rFonts w:cs="Arial"/>
                <w:sz w:val="18"/>
                <w:szCs w:val="18"/>
              </w:rPr>
            </w:pPr>
            <w:r w:rsidRPr="00C57BF6">
              <w:rPr>
                <w:rFonts w:cs="Arial"/>
                <w:sz w:val="18"/>
                <w:szCs w:val="18"/>
              </w:rPr>
              <w:t>Non-clinical audit staff vs Non-clinical audit staff</w:t>
            </w:r>
          </w:p>
        </w:tc>
        <w:tc>
          <w:tcPr>
            <w:tcW w:w="1418" w:type="dxa"/>
            <w:tcBorders>
              <w:top w:val="single" w:sz="4" w:space="0" w:color="auto"/>
              <w:left w:val="single" w:sz="4" w:space="0" w:color="auto"/>
              <w:bottom w:val="single" w:sz="4" w:space="0" w:color="auto"/>
              <w:right w:val="single" w:sz="4" w:space="0" w:color="auto"/>
            </w:tcBorders>
            <w:vAlign w:val="center"/>
          </w:tcPr>
          <w:p w14:paraId="0C1C4E15" w14:textId="77777777" w:rsidR="000923BB" w:rsidRPr="00C57BF6" w:rsidRDefault="000923BB" w:rsidP="003A385F">
            <w:pPr>
              <w:jc w:val="center"/>
              <w:rPr>
                <w:rFonts w:cs="Arial"/>
                <w:sz w:val="18"/>
                <w:szCs w:val="18"/>
              </w:rPr>
            </w:pPr>
            <w:r w:rsidRPr="00C57BF6">
              <w:rPr>
                <w:rFonts w:cs="Arial"/>
                <w:sz w:val="18"/>
                <w:szCs w:val="18"/>
              </w:rPr>
              <w:t>COPD</w:t>
            </w:r>
          </w:p>
        </w:tc>
        <w:tc>
          <w:tcPr>
            <w:tcW w:w="1266" w:type="dxa"/>
            <w:tcBorders>
              <w:top w:val="single" w:sz="4" w:space="0" w:color="auto"/>
              <w:left w:val="single" w:sz="4" w:space="0" w:color="auto"/>
              <w:bottom w:val="single" w:sz="4" w:space="0" w:color="auto"/>
              <w:right w:val="nil"/>
            </w:tcBorders>
            <w:tcMar>
              <w:top w:w="6" w:type="dxa"/>
              <w:left w:w="108" w:type="dxa"/>
              <w:bottom w:w="6" w:type="dxa"/>
              <w:right w:w="108" w:type="dxa"/>
            </w:tcMar>
            <w:vAlign w:val="center"/>
          </w:tcPr>
          <w:p w14:paraId="34EC2B22" w14:textId="77777777" w:rsidR="000923BB" w:rsidRPr="00C57BF6" w:rsidRDefault="000923BB" w:rsidP="00D52429">
            <w:pPr>
              <w:rPr>
                <w:rFonts w:cs="Arial"/>
                <w:sz w:val="18"/>
                <w:szCs w:val="18"/>
              </w:rPr>
            </w:pPr>
            <w:r w:rsidRPr="00C57BF6">
              <w:rPr>
                <w:rFonts w:cs="Arial"/>
                <w:sz w:val="18"/>
                <w:szCs w:val="18"/>
              </w:rPr>
              <w:t>A</w:t>
            </w:r>
          </w:p>
        </w:tc>
        <w:tc>
          <w:tcPr>
            <w:tcW w:w="576" w:type="dxa"/>
            <w:tcBorders>
              <w:top w:val="single" w:sz="4" w:space="0" w:color="auto"/>
              <w:left w:val="nil"/>
              <w:bottom w:val="single" w:sz="4" w:space="0" w:color="auto"/>
              <w:right w:val="single" w:sz="4" w:space="0" w:color="auto"/>
            </w:tcBorders>
            <w:tcMar>
              <w:top w:w="6" w:type="dxa"/>
              <w:left w:w="108" w:type="dxa"/>
              <w:bottom w:w="6" w:type="dxa"/>
              <w:right w:w="108" w:type="dxa"/>
            </w:tcMar>
            <w:vAlign w:val="center"/>
          </w:tcPr>
          <w:p w14:paraId="633F9755" w14:textId="77777777" w:rsidR="000923BB" w:rsidRPr="00C57BF6" w:rsidRDefault="000923BB" w:rsidP="00D52429">
            <w:pPr>
              <w:rPr>
                <w:rFonts w:cs="Arial"/>
                <w:sz w:val="18"/>
                <w:szCs w:val="18"/>
              </w:rPr>
            </w:pPr>
            <w:r w:rsidRPr="00C57BF6">
              <w:rPr>
                <w:rFonts w:cs="Arial"/>
                <w:sz w:val="18"/>
                <w:szCs w:val="18"/>
              </w:rPr>
              <w:t>48</w:t>
            </w:r>
          </w:p>
        </w:tc>
        <w:tc>
          <w:tcPr>
            <w:tcW w:w="2025" w:type="dxa"/>
            <w:tcBorders>
              <w:top w:val="single" w:sz="4" w:space="0" w:color="auto"/>
              <w:left w:val="single" w:sz="4" w:space="0" w:color="auto"/>
              <w:bottom w:val="single" w:sz="4" w:space="0" w:color="auto"/>
              <w:right w:val="single" w:sz="4" w:space="0" w:color="auto"/>
            </w:tcBorders>
            <w:tcMar>
              <w:top w:w="6" w:type="dxa"/>
              <w:left w:w="108" w:type="dxa"/>
              <w:bottom w:w="6" w:type="dxa"/>
              <w:right w:w="108" w:type="dxa"/>
            </w:tcMar>
            <w:vAlign w:val="center"/>
          </w:tcPr>
          <w:p w14:paraId="199D8BDF" w14:textId="77777777" w:rsidR="000923BB" w:rsidRPr="00151CD0" w:rsidRDefault="000923BB" w:rsidP="003A385F">
            <w:pPr>
              <w:jc w:val="center"/>
              <w:rPr>
                <w:rFonts w:cs="Arial"/>
                <w:sz w:val="18"/>
                <w:szCs w:val="18"/>
              </w:rPr>
            </w:pPr>
            <w:r w:rsidRPr="00151CD0">
              <w:rPr>
                <w:rFonts w:cs="Arial"/>
                <w:sz w:val="18"/>
                <w:szCs w:val="18"/>
              </w:rPr>
              <w:t xml:space="preserve">  0.30   ( -0.01 to 0.61)</w:t>
            </w:r>
          </w:p>
        </w:tc>
        <w:tc>
          <w:tcPr>
            <w:tcW w:w="1559" w:type="dxa"/>
            <w:tcBorders>
              <w:top w:val="single" w:sz="4" w:space="0" w:color="auto"/>
              <w:left w:val="single" w:sz="4" w:space="0" w:color="auto"/>
              <w:bottom w:val="single" w:sz="4" w:space="0" w:color="auto"/>
              <w:right w:val="single" w:sz="4" w:space="0" w:color="auto"/>
            </w:tcBorders>
            <w:tcMar>
              <w:top w:w="6" w:type="dxa"/>
              <w:left w:w="108" w:type="dxa"/>
              <w:bottom w:w="6" w:type="dxa"/>
              <w:right w:w="108" w:type="dxa"/>
            </w:tcMar>
            <w:vAlign w:val="center"/>
          </w:tcPr>
          <w:p w14:paraId="4C0BA461" w14:textId="77777777" w:rsidR="000923BB" w:rsidRPr="00151CD0" w:rsidRDefault="000923BB" w:rsidP="003A385F">
            <w:pPr>
              <w:jc w:val="center"/>
              <w:rPr>
                <w:rFonts w:cs="Arial"/>
                <w:sz w:val="18"/>
                <w:szCs w:val="18"/>
              </w:rPr>
            </w:pPr>
            <w:r w:rsidRPr="00151CD0">
              <w:rPr>
                <w:rFonts w:cs="Arial"/>
                <w:sz w:val="18"/>
                <w:szCs w:val="18"/>
              </w:rPr>
              <w:t>0.30</w:t>
            </w:r>
          </w:p>
          <w:p w14:paraId="75AE0A2E" w14:textId="77777777" w:rsidR="000923BB" w:rsidRPr="00151CD0" w:rsidRDefault="000923BB" w:rsidP="003A385F">
            <w:pPr>
              <w:jc w:val="center"/>
              <w:rPr>
                <w:rFonts w:cs="Arial"/>
                <w:sz w:val="18"/>
                <w:szCs w:val="18"/>
              </w:rPr>
            </w:pPr>
            <w:r w:rsidRPr="00151CD0">
              <w:rPr>
                <w:rFonts w:cs="Arial"/>
                <w:sz w:val="18"/>
                <w:szCs w:val="18"/>
              </w:rPr>
              <w:t>(-0.01to 0.61)</w:t>
            </w:r>
          </w:p>
        </w:tc>
      </w:tr>
    </w:tbl>
    <w:p w14:paraId="3EE4C9C5" w14:textId="77777777" w:rsidR="000923BB" w:rsidRPr="00C57BF6" w:rsidRDefault="000923BB" w:rsidP="000923BB">
      <w:pPr>
        <w:rPr>
          <w:rFonts w:cs="Arial"/>
          <w:sz w:val="18"/>
          <w:szCs w:val="18"/>
        </w:rPr>
      </w:pPr>
      <w:r w:rsidRPr="00C57BF6">
        <w:rPr>
          <w:rFonts w:cs="Arial"/>
          <w:b/>
          <w:bCs/>
          <w:sz w:val="18"/>
          <w:szCs w:val="18"/>
          <w:vertAlign w:val="superscript"/>
        </w:rPr>
        <w:t>a</w:t>
      </w:r>
      <w:r w:rsidRPr="00C57BF6">
        <w:rPr>
          <w:rFonts w:cs="Arial"/>
          <w:sz w:val="18"/>
          <w:szCs w:val="18"/>
        </w:rPr>
        <w:t xml:space="preserve"> Only sites with more than 1 reviewer of the same staff type are included in this table</w:t>
      </w:r>
    </w:p>
    <w:p w14:paraId="6A1D7291" w14:textId="77777777" w:rsidR="000923BB" w:rsidRPr="00C57BF6" w:rsidRDefault="000923BB" w:rsidP="000923BB">
      <w:pPr>
        <w:rPr>
          <w:rFonts w:cs="Arial"/>
          <w:sz w:val="18"/>
          <w:szCs w:val="18"/>
        </w:rPr>
      </w:pPr>
      <w:r w:rsidRPr="00C57BF6">
        <w:rPr>
          <w:rFonts w:cs="Arial"/>
          <w:b/>
          <w:bCs/>
          <w:sz w:val="18"/>
          <w:szCs w:val="18"/>
          <w:vertAlign w:val="superscript"/>
        </w:rPr>
        <w:t>b</w:t>
      </w:r>
      <w:r w:rsidRPr="00C57BF6">
        <w:rPr>
          <w:rFonts w:cs="Arial"/>
          <w:sz w:val="18"/>
          <w:szCs w:val="18"/>
        </w:rPr>
        <w:t xml:space="preserve"> Mean </w:t>
      </w:r>
      <w:r>
        <w:rPr>
          <w:rFonts w:cs="Arial"/>
          <w:sz w:val="18"/>
          <w:szCs w:val="18"/>
        </w:rPr>
        <w:t>kappa</w:t>
      </w:r>
      <w:r w:rsidRPr="00C57BF6">
        <w:rPr>
          <w:rFonts w:cs="Arial"/>
          <w:sz w:val="18"/>
          <w:szCs w:val="18"/>
        </w:rPr>
        <w:t xml:space="preserve"> per staff type, weighted by inverse variances to account for differing numbers of paired reviews.</w:t>
      </w:r>
    </w:p>
    <w:p w14:paraId="06C10304" w14:textId="77777777" w:rsidR="000923BB" w:rsidRPr="00C57BF6" w:rsidRDefault="000923BB" w:rsidP="000923BB">
      <w:pPr>
        <w:rPr>
          <w:rFonts w:cs="Arial"/>
          <w:sz w:val="18"/>
          <w:szCs w:val="18"/>
        </w:rPr>
      </w:pPr>
      <w:r w:rsidRPr="00C57BF6">
        <w:rPr>
          <w:rFonts w:cs="Arial"/>
          <w:b/>
          <w:bCs/>
          <w:sz w:val="18"/>
          <w:szCs w:val="18"/>
          <w:vertAlign w:val="superscript"/>
        </w:rPr>
        <w:t>c</w:t>
      </w:r>
      <w:r w:rsidRPr="00C57BF6">
        <w:rPr>
          <w:rFonts w:cs="Arial"/>
          <w:sz w:val="18"/>
          <w:szCs w:val="18"/>
        </w:rPr>
        <w:t xml:space="preserve"> A single </w:t>
      </w:r>
      <w:r>
        <w:rPr>
          <w:rFonts w:cs="Arial"/>
          <w:sz w:val="18"/>
          <w:szCs w:val="18"/>
        </w:rPr>
        <w:t>kappa</w:t>
      </w:r>
      <w:r w:rsidRPr="00C57BF6">
        <w:rPr>
          <w:rFonts w:cs="Arial"/>
          <w:sz w:val="18"/>
          <w:szCs w:val="18"/>
        </w:rPr>
        <w:t xml:space="preserve"> was calculated for the 3 doctors at site B</w:t>
      </w:r>
    </w:p>
    <w:p w14:paraId="359D57DE" w14:textId="77777777" w:rsidR="000923BB" w:rsidRDefault="000923BB" w:rsidP="000923BB">
      <w:pPr>
        <w:rPr>
          <w:rFonts w:cs="Arial"/>
          <w:b/>
          <w:bCs/>
          <w:sz w:val="20"/>
          <w:szCs w:val="20"/>
        </w:rPr>
      </w:pPr>
      <w:r w:rsidRPr="00C57BF6">
        <w:rPr>
          <w:rFonts w:cs="Arial"/>
          <w:b/>
          <w:bCs/>
          <w:sz w:val="18"/>
          <w:szCs w:val="18"/>
          <w:vertAlign w:val="superscript"/>
        </w:rPr>
        <w:t>d</w:t>
      </w:r>
      <w:r w:rsidRPr="00C57BF6">
        <w:rPr>
          <w:rFonts w:cs="Arial"/>
          <w:sz w:val="18"/>
          <w:szCs w:val="18"/>
        </w:rPr>
        <w:t xml:space="preserve"> The doctors at site E were non-specialist doctors</w:t>
      </w:r>
    </w:p>
    <w:p w14:paraId="7040A7F4" w14:textId="77777777" w:rsidR="000923BB" w:rsidRPr="00AF42D6" w:rsidRDefault="000923BB" w:rsidP="000923BB">
      <w:pPr>
        <w:jc w:val="both"/>
        <w:rPr>
          <w:rFonts w:cs="Arial"/>
          <w:sz w:val="18"/>
          <w:szCs w:val="18"/>
        </w:rPr>
      </w:pPr>
      <w:r w:rsidRPr="00AF42D6">
        <w:rPr>
          <w:rFonts w:cs="Arial"/>
          <w:sz w:val="18"/>
          <w:szCs w:val="18"/>
        </w:rPr>
        <w:t>Overall Care was rated on a 3 point scale; Care felt short of current best practice (Unsatisfactory)/ Satisfactory/Good or excellent care</w:t>
      </w:r>
    </w:p>
    <w:p w14:paraId="7B782057" w14:textId="77777777" w:rsidR="000923BB" w:rsidRDefault="000923BB" w:rsidP="000923BB"/>
    <w:p w14:paraId="4A7DAE9A" w14:textId="77777777" w:rsidR="000923BB" w:rsidRDefault="000923BB" w:rsidP="000923BB">
      <w:pPr>
        <w:jc w:val="both"/>
        <w:rPr>
          <w:rFonts w:cs="Arial"/>
          <w:sz w:val="22"/>
          <w:szCs w:val="22"/>
          <w:u w:val="single"/>
        </w:rPr>
      </w:pPr>
    </w:p>
    <w:p w14:paraId="52A033AB" w14:textId="77777777" w:rsidR="000923BB" w:rsidRDefault="000923BB" w:rsidP="000923BB">
      <w:pPr>
        <w:jc w:val="both"/>
        <w:rPr>
          <w:rFonts w:cs="Arial"/>
          <w:sz w:val="22"/>
          <w:szCs w:val="22"/>
          <w:u w:val="single"/>
        </w:rPr>
      </w:pPr>
      <w:r>
        <w:rPr>
          <w:rFonts w:cs="Arial"/>
          <w:sz w:val="22"/>
          <w:szCs w:val="22"/>
          <w:u w:val="single"/>
        </w:rPr>
        <w:t>Comparisons between professional groups</w:t>
      </w:r>
    </w:p>
    <w:p w14:paraId="66EB0C46" w14:textId="77777777" w:rsidR="000923BB" w:rsidRDefault="000923BB" w:rsidP="000923BB">
      <w:pPr>
        <w:jc w:val="both"/>
        <w:rPr>
          <w:rFonts w:cs="Arial"/>
          <w:sz w:val="22"/>
          <w:szCs w:val="22"/>
        </w:rPr>
      </w:pPr>
      <w:r>
        <w:rPr>
          <w:rFonts w:cs="Arial"/>
          <w:sz w:val="22"/>
          <w:szCs w:val="22"/>
        </w:rPr>
        <w:t>Where reviewers from different staff types used holistic scale score methods to review the same record, inter-rater reliability was assessed within and between staff groups for all phases of care and overall care (Table 7).  For the phase of care findings within staff groups there was generally modest to fair agreement within pairs, particularly among the doctors, although even in this group the range is large (see, for example, the initial management results)</w:t>
      </w:r>
      <w:r w:rsidRPr="00B1124D">
        <w:rPr>
          <w:rFonts w:cs="Arial"/>
          <w:sz w:val="22"/>
          <w:szCs w:val="22"/>
        </w:rPr>
        <w:t xml:space="preserve"> </w:t>
      </w:r>
      <w:r>
        <w:rPr>
          <w:rFonts w:cs="Arial"/>
          <w:sz w:val="22"/>
          <w:szCs w:val="22"/>
        </w:rPr>
        <w:t xml:space="preserve">and as we have stated in the paragraph above (relating to table 6), the level of agreement varied from one reviewer pair to another and for some pairs was very poor.  However, where staff from different groups </w:t>
      </w:r>
      <w:r>
        <w:rPr>
          <w:rFonts w:cs="Arial"/>
          <w:sz w:val="22"/>
          <w:szCs w:val="22"/>
        </w:rPr>
        <w:lastRenderedPageBreak/>
        <w:t xml:space="preserve">reviewed the same record, agreement between the different professional groups on their assessment of the quality of care is poor to non-existent.  </w:t>
      </w:r>
    </w:p>
    <w:p w14:paraId="6242BB82" w14:textId="77777777" w:rsidR="000923BB" w:rsidRDefault="000923BB" w:rsidP="000923BB">
      <w:pPr>
        <w:jc w:val="both"/>
        <w:rPr>
          <w:rFonts w:cs="Arial"/>
          <w:sz w:val="22"/>
          <w:szCs w:val="22"/>
        </w:rPr>
      </w:pPr>
    </w:p>
    <w:p w14:paraId="35206183" w14:textId="77777777" w:rsidR="000923BB" w:rsidRDefault="000923BB" w:rsidP="000923BB">
      <w:pPr>
        <w:jc w:val="both"/>
        <w:rPr>
          <w:rFonts w:cs="Arial"/>
          <w:sz w:val="22"/>
          <w:szCs w:val="22"/>
        </w:rPr>
      </w:pPr>
      <w:r>
        <w:rPr>
          <w:rFonts w:cs="Arial"/>
          <w:color w:val="000000"/>
          <w:sz w:val="22"/>
          <w:szCs w:val="22"/>
        </w:rPr>
        <w:t xml:space="preserve">The overall ‘quality of care’ score for both holistic and criterion based methods used across the 684 patient records was similarly rated by the three staff types (between 70% and 79%, where 100% is very best care).  </w:t>
      </w:r>
      <w:r>
        <w:rPr>
          <w:rFonts w:cs="Arial"/>
          <w:sz w:val="22"/>
          <w:szCs w:val="22"/>
        </w:rPr>
        <w:t xml:space="preserve">Analysis of variance between the holistic overall scale ratings of the three staff types show that the nurse/other clinical group scores were significantly lower than the doctor (p&lt;0.001) and non-clinical audit groups (p&lt;0.001).  The comparison of the latter two groups showed no significant differences (p=0.352). </w:t>
      </w:r>
    </w:p>
    <w:p w14:paraId="3649BF06" w14:textId="77777777" w:rsidR="002C52B4" w:rsidRDefault="002C52B4" w:rsidP="002C52B4">
      <w:pPr>
        <w:jc w:val="both"/>
        <w:rPr>
          <w:rFonts w:cs="Arial"/>
          <w:b/>
          <w:sz w:val="22"/>
          <w:szCs w:val="22"/>
        </w:rPr>
      </w:pPr>
    </w:p>
    <w:p w14:paraId="46321A41" w14:textId="77777777" w:rsidR="002C52B4" w:rsidRPr="00122F87" w:rsidRDefault="002C52B4" w:rsidP="002C52B4">
      <w:pPr>
        <w:jc w:val="both"/>
        <w:rPr>
          <w:rFonts w:cs="Arial"/>
          <w:b/>
          <w:sz w:val="22"/>
          <w:szCs w:val="22"/>
        </w:rPr>
      </w:pPr>
      <w:r>
        <w:rPr>
          <w:rFonts w:cs="Arial"/>
          <w:b/>
          <w:sz w:val="22"/>
          <w:szCs w:val="22"/>
        </w:rPr>
        <w:t>Analysis of r</w:t>
      </w:r>
      <w:r w:rsidRPr="00122F87">
        <w:rPr>
          <w:rFonts w:cs="Arial"/>
          <w:b/>
          <w:sz w:val="22"/>
          <w:szCs w:val="22"/>
        </w:rPr>
        <w:t>eview criterion based scores</w:t>
      </w:r>
    </w:p>
    <w:p w14:paraId="0B25F79F" w14:textId="77777777" w:rsidR="002C52B4" w:rsidRPr="00B52EF6" w:rsidRDefault="002C52B4" w:rsidP="002C52B4">
      <w:pPr>
        <w:jc w:val="both"/>
        <w:rPr>
          <w:rFonts w:cs="Arial"/>
        </w:rPr>
      </w:pPr>
    </w:p>
    <w:p w14:paraId="4A995797" w14:textId="77777777" w:rsidR="002C52B4" w:rsidRDefault="002C52B4" w:rsidP="002C52B4">
      <w:pPr>
        <w:jc w:val="both"/>
        <w:rPr>
          <w:rFonts w:cs="Arial"/>
          <w:sz w:val="22"/>
          <w:szCs w:val="22"/>
          <w:u w:val="single"/>
        </w:rPr>
      </w:pPr>
      <w:r>
        <w:rPr>
          <w:rFonts w:cs="Arial"/>
          <w:sz w:val="22"/>
          <w:szCs w:val="22"/>
          <w:u w:val="single"/>
        </w:rPr>
        <w:t>Criterion based reviewer effectiveness</w:t>
      </w:r>
    </w:p>
    <w:p w14:paraId="77C22AF9" w14:textId="77777777" w:rsidR="002C52B4" w:rsidRDefault="002C52B4" w:rsidP="002C52B4">
      <w:pPr>
        <w:jc w:val="both"/>
        <w:rPr>
          <w:rFonts w:cs="Arial"/>
          <w:sz w:val="22"/>
          <w:szCs w:val="22"/>
        </w:rPr>
      </w:pPr>
      <w:r>
        <w:rPr>
          <w:rFonts w:cs="Arial"/>
          <w:sz w:val="22"/>
          <w:szCs w:val="22"/>
        </w:rPr>
        <w:t xml:space="preserve">Effectiveness scores relate to the ability of the reviewer to find and access the data in the case record, for each criterion (one point allocated for each data field completed by the reviewer (irrespective of whether the criterion was recorded as being met or recorded as not being met), and one point subtracted for every data field left blank by the reviewer.  Effectiveness in capturing criterion based data was high and similar across all three staff types (Table 8), with mean scores all around 95% (that is, an average of approximately 1.5 data items missing for each review).  </w:t>
      </w:r>
    </w:p>
    <w:p w14:paraId="6EF77A9B" w14:textId="77777777" w:rsidR="002C52B4" w:rsidRDefault="002C52B4" w:rsidP="000923BB">
      <w:pPr>
        <w:jc w:val="both"/>
        <w:rPr>
          <w:rFonts w:cs="Arial"/>
          <w:b/>
          <w:bCs/>
          <w:sz w:val="20"/>
          <w:szCs w:val="20"/>
        </w:rPr>
      </w:pPr>
    </w:p>
    <w:p w14:paraId="272778BB" w14:textId="77777777" w:rsidR="002C52B4" w:rsidRDefault="002C52B4" w:rsidP="002C52B4">
      <w:pPr>
        <w:jc w:val="both"/>
        <w:rPr>
          <w:rFonts w:cs="Arial"/>
          <w:sz w:val="22"/>
          <w:szCs w:val="22"/>
          <w:u w:val="single"/>
        </w:rPr>
      </w:pPr>
      <w:r>
        <w:rPr>
          <w:rFonts w:cs="Arial"/>
          <w:sz w:val="22"/>
          <w:szCs w:val="22"/>
          <w:u w:val="single"/>
        </w:rPr>
        <w:t>Inter-rater reliability for criterion based review</w:t>
      </w:r>
    </w:p>
    <w:p w14:paraId="304F717B" w14:textId="77777777" w:rsidR="002C52B4" w:rsidRDefault="002C52B4" w:rsidP="002C52B4">
      <w:pPr>
        <w:jc w:val="both"/>
        <w:rPr>
          <w:rFonts w:cs="Arial"/>
          <w:sz w:val="22"/>
          <w:szCs w:val="22"/>
        </w:rPr>
      </w:pPr>
      <w:r>
        <w:rPr>
          <w:rFonts w:cs="Arial"/>
          <w:sz w:val="22"/>
          <w:szCs w:val="22"/>
        </w:rPr>
        <w:t xml:space="preserve">Inter-rater reliability between criterion based scores (that is, the percentage of criteria recorded as being met) for the same record by different reviewers ranged from moderate to good within all staff types, although with the doctors showing a significantly higher level of reliability (Table 9).  </w:t>
      </w:r>
    </w:p>
    <w:p w14:paraId="72C14376" w14:textId="77777777" w:rsidR="002C52B4" w:rsidRDefault="002C52B4" w:rsidP="000923BB">
      <w:pPr>
        <w:jc w:val="both"/>
        <w:rPr>
          <w:rFonts w:cs="Arial"/>
          <w:b/>
          <w:bCs/>
          <w:sz w:val="20"/>
          <w:szCs w:val="20"/>
        </w:rPr>
      </w:pPr>
    </w:p>
    <w:p w14:paraId="7B460684" w14:textId="77777777" w:rsidR="002C52B4" w:rsidRDefault="002C52B4" w:rsidP="000923BB">
      <w:pPr>
        <w:jc w:val="both"/>
        <w:rPr>
          <w:rFonts w:cs="Arial"/>
          <w:b/>
          <w:bCs/>
          <w:sz w:val="20"/>
          <w:szCs w:val="20"/>
        </w:rPr>
      </w:pPr>
    </w:p>
    <w:p w14:paraId="4874F182" w14:textId="77777777" w:rsidR="002C52B4" w:rsidRDefault="002C52B4" w:rsidP="000923BB">
      <w:pPr>
        <w:jc w:val="both"/>
        <w:rPr>
          <w:rFonts w:cs="Arial"/>
          <w:b/>
          <w:bCs/>
          <w:sz w:val="20"/>
          <w:szCs w:val="20"/>
        </w:rPr>
      </w:pPr>
    </w:p>
    <w:p w14:paraId="4961F64C" w14:textId="77777777" w:rsidR="002C52B4" w:rsidRDefault="002C52B4" w:rsidP="000923BB">
      <w:pPr>
        <w:jc w:val="both"/>
        <w:rPr>
          <w:rFonts w:cs="Arial"/>
          <w:b/>
          <w:bCs/>
          <w:sz w:val="20"/>
          <w:szCs w:val="20"/>
        </w:rPr>
      </w:pPr>
    </w:p>
    <w:p w14:paraId="4E3294EE" w14:textId="77777777" w:rsidR="002C52B4" w:rsidRDefault="002C52B4" w:rsidP="000923BB">
      <w:pPr>
        <w:jc w:val="both"/>
        <w:rPr>
          <w:rFonts w:cs="Arial"/>
          <w:b/>
          <w:bCs/>
          <w:sz w:val="20"/>
          <w:szCs w:val="20"/>
        </w:rPr>
      </w:pPr>
    </w:p>
    <w:p w14:paraId="058847B4" w14:textId="77777777" w:rsidR="002C52B4" w:rsidRDefault="002C52B4" w:rsidP="000923BB">
      <w:pPr>
        <w:jc w:val="both"/>
        <w:rPr>
          <w:rFonts w:cs="Arial"/>
          <w:b/>
          <w:bCs/>
          <w:sz w:val="20"/>
          <w:szCs w:val="20"/>
        </w:rPr>
      </w:pPr>
    </w:p>
    <w:p w14:paraId="583384AE" w14:textId="77777777" w:rsidR="002C52B4" w:rsidRDefault="002C52B4" w:rsidP="000923BB">
      <w:pPr>
        <w:jc w:val="both"/>
        <w:rPr>
          <w:rFonts w:cs="Arial"/>
          <w:b/>
          <w:bCs/>
          <w:sz w:val="20"/>
          <w:szCs w:val="20"/>
        </w:rPr>
      </w:pPr>
    </w:p>
    <w:p w14:paraId="4B75DB35" w14:textId="77777777" w:rsidR="002C52B4" w:rsidRDefault="002C52B4" w:rsidP="000923BB">
      <w:pPr>
        <w:jc w:val="both"/>
        <w:rPr>
          <w:rFonts w:cs="Arial"/>
          <w:b/>
          <w:bCs/>
          <w:sz w:val="20"/>
          <w:szCs w:val="20"/>
        </w:rPr>
      </w:pPr>
    </w:p>
    <w:p w14:paraId="03674B7C" w14:textId="77777777" w:rsidR="000923BB" w:rsidRPr="002C52B4" w:rsidRDefault="000923BB" w:rsidP="000923BB">
      <w:pPr>
        <w:jc w:val="both"/>
        <w:rPr>
          <w:rFonts w:cs="Arial"/>
          <w:b/>
          <w:bCs/>
          <w:sz w:val="20"/>
          <w:szCs w:val="20"/>
        </w:rPr>
      </w:pPr>
      <w:r w:rsidRPr="002C52B4">
        <w:rPr>
          <w:rFonts w:cs="Arial"/>
          <w:b/>
          <w:bCs/>
          <w:sz w:val="20"/>
          <w:szCs w:val="20"/>
        </w:rPr>
        <w:lastRenderedPageBreak/>
        <w:t>Table 7: Within staff type ICC results and between staff type group comparisons of inter-rater reliability of holistic scale scores for phases of care and overall care</w:t>
      </w:r>
    </w:p>
    <w:tbl>
      <w:tblPr>
        <w:tblW w:w="9073"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1"/>
        <w:gridCol w:w="854"/>
        <w:gridCol w:w="712"/>
        <w:gridCol w:w="909"/>
        <w:gridCol w:w="1626"/>
        <w:gridCol w:w="1139"/>
        <w:gridCol w:w="125"/>
        <w:gridCol w:w="1009"/>
        <w:gridCol w:w="436"/>
        <w:gridCol w:w="982"/>
      </w:tblGrid>
      <w:tr w:rsidR="000923BB" w:rsidRPr="00C57BF6" w14:paraId="40939193" w14:textId="77777777" w:rsidTr="00282EAD">
        <w:trPr>
          <w:cantSplit/>
          <w:trHeight w:val="430"/>
        </w:trPr>
        <w:tc>
          <w:tcPr>
            <w:tcW w:w="1281" w:type="dxa"/>
            <w:vMerge w:val="restart"/>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vAlign w:val="center"/>
          </w:tcPr>
          <w:p w14:paraId="2CC7959C" w14:textId="77777777" w:rsidR="000923BB" w:rsidRPr="002C52B4" w:rsidRDefault="000923BB" w:rsidP="003A385F">
            <w:pPr>
              <w:rPr>
                <w:rFonts w:cs="Arial"/>
                <w:b/>
                <w:bCs/>
                <w:sz w:val="16"/>
                <w:szCs w:val="16"/>
              </w:rPr>
            </w:pPr>
            <w:r w:rsidRPr="002C52B4">
              <w:rPr>
                <w:rFonts w:cs="Arial"/>
                <w:b/>
                <w:bCs/>
                <w:sz w:val="16"/>
                <w:szCs w:val="16"/>
              </w:rPr>
              <w:t>Reviewer pairs</w:t>
            </w:r>
          </w:p>
          <w:p w14:paraId="7FC35909" w14:textId="77777777" w:rsidR="000923BB" w:rsidRPr="002C52B4" w:rsidRDefault="000923BB" w:rsidP="003A385F">
            <w:pPr>
              <w:rPr>
                <w:rFonts w:cs="Arial"/>
                <w:b/>
                <w:bCs/>
                <w:sz w:val="16"/>
                <w:szCs w:val="16"/>
              </w:rPr>
            </w:pPr>
          </w:p>
        </w:tc>
        <w:tc>
          <w:tcPr>
            <w:tcW w:w="854" w:type="dxa"/>
            <w:vMerge w:val="restart"/>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vAlign w:val="center"/>
          </w:tcPr>
          <w:p w14:paraId="043BA689" w14:textId="77777777" w:rsidR="000923BB" w:rsidRPr="002C52B4" w:rsidRDefault="000923BB" w:rsidP="003A385F">
            <w:pPr>
              <w:jc w:val="center"/>
              <w:rPr>
                <w:rFonts w:cs="Arial"/>
                <w:b/>
                <w:bCs/>
                <w:sz w:val="16"/>
                <w:szCs w:val="16"/>
              </w:rPr>
            </w:pPr>
            <w:r w:rsidRPr="002C52B4">
              <w:rPr>
                <w:rFonts w:cs="Arial"/>
                <w:b/>
                <w:bCs/>
                <w:sz w:val="16"/>
                <w:szCs w:val="16"/>
              </w:rPr>
              <w:t>No of reviewer pairs (or triplets)</w:t>
            </w:r>
          </w:p>
        </w:tc>
        <w:tc>
          <w:tcPr>
            <w:tcW w:w="712" w:type="dxa"/>
            <w:vMerge w:val="restart"/>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vAlign w:val="center"/>
          </w:tcPr>
          <w:p w14:paraId="7F707769" w14:textId="77777777" w:rsidR="000923BB" w:rsidRPr="002C52B4" w:rsidRDefault="000923BB" w:rsidP="003A385F">
            <w:pPr>
              <w:jc w:val="center"/>
              <w:rPr>
                <w:rFonts w:cs="Arial"/>
                <w:b/>
                <w:bCs/>
                <w:sz w:val="16"/>
                <w:szCs w:val="16"/>
              </w:rPr>
            </w:pPr>
            <w:r w:rsidRPr="002C52B4">
              <w:rPr>
                <w:rFonts w:cs="Arial"/>
                <w:b/>
                <w:bCs/>
                <w:sz w:val="16"/>
                <w:szCs w:val="16"/>
              </w:rPr>
              <w:t>No of case notes</w:t>
            </w:r>
          </w:p>
        </w:tc>
        <w:tc>
          <w:tcPr>
            <w:tcW w:w="909" w:type="dxa"/>
            <w:vMerge w:val="restart"/>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18A1E657" w14:textId="77777777" w:rsidR="000923BB" w:rsidRPr="002C52B4" w:rsidRDefault="000923BB" w:rsidP="003A385F">
            <w:pPr>
              <w:rPr>
                <w:rFonts w:cs="Arial"/>
                <w:sz w:val="16"/>
                <w:szCs w:val="16"/>
              </w:rPr>
            </w:pPr>
          </w:p>
        </w:tc>
        <w:tc>
          <w:tcPr>
            <w:tcW w:w="5317" w:type="dxa"/>
            <w:gridSpan w:val="6"/>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vAlign w:val="center"/>
          </w:tcPr>
          <w:p w14:paraId="160E605D" w14:textId="77777777" w:rsidR="000923BB" w:rsidRPr="002C52B4" w:rsidRDefault="000923BB" w:rsidP="003A385F">
            <w:pPr>
              <w:jc w:val="center"/>
              <w:rPr>
                <w:rFonts w:cs="Arial"/>
                <w:b/>
                <w:bCs/>
                <w:sz w:val="16"/>
                <w:szCs w:val="16"/>
              </w:rPr>
            </w:pPr>
            <w:r w:rsidRPr="002C52B4">
              <w:rPr>
                <w:rFonts w:cs="Arial"/>
                <w:b/>
                <w:bCs/>
                <w:sz w:val="16"/>
                <w:szCs w:val="16"/>
              </w:rPr>
              <w:t>Weighted mean ICC</w:t>
            </w:r>
            <w:r w:rsidRPr="002C52B4">
              <w:rPr>
                <w:rFonts w:cs="Arial"/>
                <w:b/>
                <w:bCs/>
                <w:sz w:val="16"/>
                <w:szCs w:val="16"/>
                <w:vertAlign w:val="superscript"/>
              </w:rPr>
              <w:t>a</w:t>
            </w:r>
            <w:r w:rsidRPr="002C52B4">
              <w:rPr>
                <w:rFonts w:cs="Arial"/>
                <w:b/>
                <w:bCs/>
                <w:sz w:val="16"/>
                <w:szCs w:val="16"/>
              </w:rPr>
              <w:t xml:space="preserve"> between ranked scores</w:t>
            </w:r>
          </w:p>
        </w:tc>
      </w:tr>
      <w:tr w:rsidR="000923BB" w:rsidRPr="00C57BF6" w14:paraId="5D32A681" w14:textId="77777777" w:rsidTr="00282EAD">
        <w:trPr>
          <w:cantSplit/>
          <w:trHeight w:val="148"/>
        </w:trPr>
        <w:tc>
          <w:tcPr>
            <w:tcW w:w="1281" w:type="dxa"/>
            <w:vMerge/>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78447A4F" w14:textId="77777777" w:rsidR="000923BB" w:rsidRPr="002C52B4" w:rsidRDefault="000923BB" w:rsidP="003A385F">
            <w:pPr>
              <w:rPr>
                <w:rFonts w:cs="Arial"/>
                <w:b/>
                <w:bCs/>
                <w:sz w:val="16"/>
                <w:szCs w:val="16"/>
              </w:rPr>
            </w:pPr>
          </w:p>
        </w:tc>
        <w:tc>
          <w:tcPr>
            <w:tcW w:w="854" w:type="dxa"/>
            <w:vMerge/>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76151498" w14:textId="77777777" w:rsidR="000923BB" w:rsidRPr="002C52B4" w:rsidRDefault="000923BB" w:rsidP="003A385F">
            <w:pPr>
              <w:jc w:val="center"/>
              <w:rPr>
                <w:rFonts w:cs="Arial"/>
                <w:sz w:val="16"/>
                <w:szCs w:val="16"/>
              </w:rPr>
            </w:pPr>
          </w:p>
        </w:tc>
        <w:tc>
          <w:tcPr>
            <w:tcW w:w="712" w:type="dxa"/>
            <w:vMerge/>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21C3FAA4" w14:textId="77777777" w:rsidR="000923BB" w:rsidRPr="002C52B4" w:rsidRDefault="000923BB" w:rsidP="003A385F">
            <w:pPr>
              <w:jc w:val="center"/>
              <w:rPr>
                <w:rFonts w:cs="Arial"/>
                <w:sz w:val="16"/>
                <w:szCs w:val="16"/>
              </w:rPr>
            </w:pPr>
          </w:p>
        </w:tc>
        <w:tc>
          <w:tcPr>
            <w:tcW w:w="909" w:type="dxa"/>
            <w:vMerge/>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76731CF2" w14:textId="77777777" w:rsidR="000923BB" w:rsidRPr="002C52B4" w:rsidRDefault="000923BB" w:rsidP="003A385F">
            <w:pPr>
              <w:rPr>
                <w:rFonts w:cs="Arial"/>
                <w:sz w:val="16"/>
                <w:szCs w:val="16"/>
              </w:rPr>
            </w:pPr>
          </w:p>
        </w:tc>
        <w:tc>
          <w:tcPr>
            <w:tcW w:w="1626" w:type="dxa"/>
            <w:tcBorders>
              <w:top w:val="single" w:sz="4" w:space="0" w:color="auto"/>
              <w:left w:val="single" w:sz="4" w:space="0" w:color="auto"/>
              <w:bottom w:val="single" w:sz="4" w:space="0" w:color="auto"/>
              <w:right w:val="nil"/>
            </w:tcBorders>
            <w:tcMar>
              <w:top w:w="28" w:type="dxa"/>
              <w:left w:w="11" w:type="dxa"/>
              <w:bottom w:w="28" w:type="dxa"/>
              <w:right w:w="11" w:type="dxa"/>
            </w:tcMar>
          </w:tcPr>
          <w:p w14:paraId="392A7909" w14:textId="77777777" w:rsidR="000923BB" w:rsidRPr="002C52B4" w:rsidRDefault="000923BB" w:rsidP="003A385F">
            <w:pPr>
              <w:jc w:val="center"/>
              <w:rPr>
                <w:rFonts w:cs="Arial"/>
                <w:b/>
                <w:bCs/>
                <w:sz w:val="16"/>
                <w:szCs w:val="16"/>
              </w:rPr>
            </w:pPr>
            <w:r w:rsidRPr="002C52B4">
              <w:rPr>
                <w:rFonts w:cs="Arial"/>
                <w:b/>
                <w:bCs/>
                <w:sz w:val="16"/>
                <w:szCs w:val="16"/>
              </w:rPr>
              <w:t>Admission / Investigations &amp; examinations</w:t>
            </w:r>
          </w:p>
        </w:tc>
        <w:tc>
          <w:tcPr>
            <w:tcW w:w="1139" w:type="dxa"/>
            <w:tcBorders>
              <w:top w:val="single" w:sz="4" w:space="0" w:color="auto"/>
              <w:left w:val="nil"/>
              <w:bottom w:val="single" w:sz="4" w:space="0" w:color="auto"/>
              <w:right w:val="nil"/>
            </w:tcBorders>
            <w:tcMar>
              <w:top w:w="28" w:type="dxa"/>
              <w:left w:w="11" w:type="dxa"/>
              <w:bottom w:w="28" w:type="dxa"/>
              <w:right w:w="11" w:type="dxa"/>
            </w:tcMar>
          </w:tcPr>
          <w:p w14:paraId="2D721155" w14:textId="77777777" w:rsidR="000923BB" w:rsidRPr="002C52B4" w:rsidRDefault="000923BB" w:rsidP="003A385F">
            <w:pPr>
              <w:jc w:val="center"/>
              <w:rPr>
                <w:rFonts w:cs="Arial"/>
                <w:b/>
                <w:bCs/>
                <w:sz w:val="16"/>
                <w:szCs w:val="16"/>
              </w:rPr>
            </w:pPr>
            <w:r w:rsidRPr="002C52B4">
              <w:rPr>
                <w:rFonts w:cs="Arial"/>
                <w:b/>
                <w:bCs/>
                <w:sz w:val="16"/>
                <w:szCs w:val="16"/>
              </w:rPr>
              <w:t>Initial Management</w:t>
            </w:r>
          </w:p>
        </w:tc>
        <w:tc>
          <w:tcPr>
            <w:tcW w:w="1134" w:type="dxa"/>
            <w:gridSpan w:val="2"/>
            <w:tcBorders>
              <w:top w:val="single" w:sz="4" w:space="0" w:color="auto"/>
              <w:left w:val="nil"/>
              <w:bottom w:val="single" w:sz="4" w:space="0" w:color="auto"/>
              <w:right w:val="single" w:sz="4" w:space="0" w:color="auto"/>
            </w:tcBorders>
            <w:tcMar>
              <w:top w:w="28" w:type="dxa"/>
              <w:left w:w="11" w:type="dxa"/>
              <w:bottom w:w="28" w:type="dxa"/>
              <w:right w:w="11" w:type="dxa"/>
            </w:tcMar>
          </w:tcPr>
          <w:p w14:paraId="0C0FB32A" w14:textId="77777777" w:rsidR="000923BB" w:rsidRPr="002C52B4" w:rsidRDefault="000923BB" w:rsidP="003A385F">
            <w:pPr>
              <w:jc w:val="center"/>
              <w:rPr>
                <w:rFonts w:cs="Arial"/>
                <w:b/>
                <w:bCs/>
                <w:sz w:val="16"/>
                <w:szCs w:val="16"/>
              </w:rPr>
            </w:pPr>
            <w:r w:rsidRPr="002C52B4">
              <w:rPr>
                <w:rFonts w:cs="Arial"/>
                <w:b/>
                <w:bCs/>
                <w:sz w:val="16"/>
                <w:szCs w:val="16"/>
              </w:rPr>
              <w:t>Pre-discharge</w:t>
            </w:r>
          </w:p>
        </w:tc>
        <w:tc>
          <w:tcPr>
            <w:tcW w:w="1418" w:type="dxa"/>
            <w:gridSpan w:val="2"/>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5158F819" w14:textId="77777777" w:rsidR="000923BB" w:rsidRPr="002C52B4" w:rsidRDefault="000923BB" w:rsidP="003A385F">
            <w:pPr>
              <w:jc w:val="center"/>
              <w:rPr>
                <w:rFonts w:cs="Arial"/>
                <w:b/>
                <w:bCs/>
                <w:sz w:val="16"/>
                <w:szCs w:val="16"/>
              </w:rPr>
            </w:pPr>
            <w:r w:rsidRPr="002C52B4">
              <w:rPr>
                <w:rFonts w:cs="Arial"/>
                <w:b/>
                <w:bCs/>
                <w:sz w:val="16"/>
                <w:szCs w:val="16"/>
              </w:rPr>
              <w:t>Overall</w:t>
            </w:r>
          </w:p>
        </w:tc>
      </w:tr>
      <w:tr w:rsidR="000923BB" w:rsidRPr="00C57BF6" w14:paraId="1DE05224" w14:textId="77777777" w:rsidTr="00282EAD">
        <w:trPr>
          <w:trHeight w:val="389"/>
        </w:trPr>
        <w:tc>
          <w:tcPr>
            <w:tcW w:w="1281" w:type="dxa"/>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7B2A9161" w14:textId="77777777" w:rsidR="000923BB" w:rsidRPr="002C52B4" w:rsidRDefault="000923BB" w:rsidP="003A385F">
            <w:pPr>
              <w:rPr>
                <w:rFonts w:cs="Arial"/>
                <w:b/>
                <w:bCs/>
                <w:i/>
                <w:iCs/>
                <w:sz w:val="16"/>
                <w:szCs w:val="16"/>
              </w:rPr>
            </w:pPr>
            <w:r w:rsidRPr="002C52B4">
              <w:rPr>
                <w:rFonts w:cs="Arial"/>
                <w:b/>
                <w:bCs/>
                <w:i/>
                <w:iCs/>
                <w:sz w:val="16"/>
                <w:szCs w:val="16"/>
              </w:rPr>
              <w:t>Within staff type ICC results</w:t>
            </w:r>
          </w:p>
        </w:tc>
        <w:tc>
          <w:tcPr>
            <w:tcW w:w="854" w:type="dxa"/>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2B18335F" w14:textId="77777777" w:rsidR="000923BB" w:rsidRPr="002C52B4" w:rsidRDefault="000923BB" w:rsidP="003A385F">
            <w:pPr>
              <w:jc w:val="center"/>
              <w:rPr>
                <w:rFonts w:cs="Arial"/>
                <w:sz w:val="16"/>
                <w:szCs w:val="16"/>
              </w:rPr>
            </w:pPr>
          </w:p>
        </w:tc>
        <w:tc>
          <w:tcPr>
            <w:tcW w:w="712" w:type="dxa"/>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5A77842C" w14:textId="77777777" w:rsidR="000923BB" w:rsidRPr="002C52B4" w:rsidRDefault="000923BB" w:rsidP="003A385F">
            <w:pPr>
              <w:jc w:val="center"/>
              <w:rPr>
                <w:rFonts w:cs="Arial"/>
                <w:sz w:val="16"/>
                <w:szCs w:val="16"/>
              </w:rPr>
            </w:pPr>
          </w:p>
        </w:tc>
        <w:tc>
          <w:tcPr>
            <w:tcW w:w="909" w:type="dxa"/>
            <w:tcBorders>
              <w:top w:val="single" w:sz="4" w:space="0" w:color="auto"/>
              <w:left w:val="single" w:sz="4" w:space="0" w:color="auto"/>
              <w:bottom w:val="nil"/>
              <w:right w:val="single" w:sz="4" w:space="0" w:color="auto"/>
            </w:tcBorders>
            <w:tcMar>
              <w:top w:w="28" w:type="dxa"/>
              <w:left w:w="11" w:type="dxa"/>
              <w:bottom w:w="28" w:type="dxa"/>
              <w:right w:w="11" w:type="dxa"/>
            </w:tcMar>
          </w:tcPr>
          <w:p w14:paraId="361682D2" w14:textId="77777777" w:rsidR="000923BB" w:rsidRPr="002C52B4" w:rsidRDefault="000923BB" w:rsidP="003A385F">
            <w:pPr>
              <w:rPr>
                <w:rFonts w:cs="Arial"/>
                <w:b/>
                <w:bCs/>
                <w:sz w:val="16"/>
                <w:szCs w:val="16"/>
              </w:rPr>
            </w:pPr>
          </w:p>
        </w:tc>
        <w:tc>
          <w:tcPr>
            <w:tcW w:w="1626" w:type="dxa"/>
            <w:tcBorders>
              <w:top w:val="single" w:sz="4" w:space="0" w:color="auto"/>
              <w:left w:val="single" w:sz="4" w:space="0" w:color="auto"/>
              <w:bottom w:val="nil"/>
              <w:right w:val="nil"/>
            </w:tcBorders>
            <w:tcMar>
              <w:top w:w="28" w:type="dxa"/>
              <w:left w:w="11" w:type="dxa"/>
              <w:bottom w:w="28" w:type="dxa"/>
              <w:right w:w="11" w:type="dxa"/>
            </w:tcMar>
          </w:tcPr>
          <w:p w14:paraId="18A58F47" w14:textId="77777777" w:rsidR="000923BB" w:rsidRPr="002C52B4" w:rsidRDefault="000923BB" w:rsidP="003A385F">
            <w:pPr>
              <w:jc w:val="center"/>
              <w:rPr>
                <w:rFonts w:cs="Arial"/>
                <w:b/>
                <w:bCs/>
                <w:sz w:val="16"/>
                <w:szCs w:val="16"/>
              </w:rPr>
            </w:pPr>
          </w:p>
        </w:tc>
        <w:tc>
          <w:tcPr>
            <w:tcW w:w="1139" w:type="dxa"/>
            <w:tcBorders>
              <w:top w:val="single" w:sz="4" w:space="0" w:color="auto"/>
              <w:left w:val="nil"/>
              <w:bottom w:val="nil"/>
              <w:right w:val="nil"/>
            </w:tcBorders>
            <w:tcMar>
              <w:top w:w="28" w:type="dxa"/>
              <w:left w:w="11" w:type="dxa"/>
              <w:bottom w:w="28" w:type="dxa"/>
              <w:right w:w="11" w:type="dxa"/>
            </w:tcMar>
          </w:tcPr>
          <w:p w14:paraId="22765A3B" w14:textId="77777777" w:rsidR="000923BB" w:rsidRPr="002C52B4" w:rsidRDefault="000923BB" w:rsidP="003A385F">
            <w:pPr>
              <w:jc w:val="center"/>
              <w:rPr>
                <w:rFonts w:cs="Arial"/>
                <w:b/>
                <w:bCs/>
                <w:sz w:val="16"/>
                <w:szCs w:val="16"/>
              </w:rPr>
            </w:pPr>
          </w:p>
        </w:tc>
        <w:tc>
          <w:tcPr>
            <w:tcW w:w="1134" w:type="dxa"/>
            <w:gridSpan w:val="2"/>
            <w:tcBorders>
              <w:top w:val="single" w:sz="4" w:space="0" w:color="auto"/>
              <w:left w:val="nil"/>
              <w:bottom w:val="nil"/>
              <w:right w:val="single" w:sz="4" w:space="0" w:color="auto"/>
            </w:tcBorders>
            <w:tcMar>
              <w:top w:w="28" w:type="dxa"/>
              <w:left w:w="11" w:type="dxa"/>
              <w:bottom w:w="28" w:type="dxa"/>
              <w:right w:w="11" w:type="dxa"/>
            </w:tcMar>
          </w:tcPr>
          <w:p w14:paraId="31704F31" w14:textId="77777777" w:rsidR="000923BB" w:rsidRPr="002C52B4" w:rsidRDefault="000923BB" w:rsidP="003A385F">
            <w:pPr>
              <w:jc w:val="center"/>
              <w:rPr>
                <w:rFonts w:cs="Arial"/>
                <w:b/>
                <w:bCs/>
                <w:sz w:val="16"/>
                <w:szCs w:val="16"/>
              </w:rPr>
            </w:pPr>
          </w:p>
        </w:tc>
        <w:tc>
          <w:tcPr>
            <w:tcW w:w="1418" w:type="dxa"/>
            <w:gridSpan w:val="2"/>
            <w:tcBorders>
              <w:top w:val="single" w:sz="4" w:space="0" w:color="auto"/>
              <w:left w:val="single" w:sz="4" w:space="0" w:color="auto"/>
              <w:bottom w:val="nil"/>
              <w:right w:val="single" w:sz="4" w:space="0" w:color="auto"/>
            </w:tcBorders>
            <w:tcMar>
              <w:top w:w="28" w:type="dxa"/>
              <w:left w:w="11" w:type="dxa"/>
              <w:bottom w:w="28" w:type="dxa"/>
              <w:right w:w="11" w:type="dxa"/>
            </w:tcMar>
          </w:tcPr>
          <w:p w14:paraId="3C9AE8C3" w14:textId="77777777" w:rsidR="000923BB" w:rsidRPr="002C52B4" w:rsidRDefault="000923BB" w:rsidP="003A385F">
            <w:pPr>
              <w:jc w:val="center"/>
              <w:rPr>
                <w:rFonts w:cs="Arial"/>
                <w:b/>
                <w:bCs/>
                <w:sz w:val="16"/>
                <w:szCs w:val="16"/>
              </w:rPr>
            </w:pPr>
          </w:p>
        </w:tc>
      </w:tr>
      <w:tr w:rsidR="000923BB" w:rsidRPr="00C57BF6" w14:paraId="289ADD71" w14:textId="77777777" w:rsidTr="00282EAD">
        <w:trPr>
          <w:cantSplit/>
          <w:trHeight w:val="430"/>
        </w:trPr>
        <w:tc>
          <w:tcPr>
            <w:tcW w:w="1281" w:type="dxa"/>
            <w:vMerge w:val="restart"/>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41BBE5A0" w14:textId="77777777" w:rsidR="000923BB" w:rsidRPr="002C52B4" w:rsidRDefault="000923BB" w:rsidP="003A385F">
            <w:pPr>
              <w:rPr>
                <w:rFonts w:cs="Arial"/>
                <w:b/>
                <w:bCs/>
                <w:sz w:val="16"/>
                <w:szCs w:val="16"/>
              </w:rPr>
            </w:pPr>
            <w:r w:rsidRPr="002C52B4">
              <w:rPr>
                <w:rFonts w:cs="Arial"/>
                <w:sz w:val="16"/>
                <w:szCs w:val="16"/>
              </w:rPr>
              <w:t>Doctor vs Doctor</w:t>
            </w:r>
          </w:p>
        </w:tc>
        <w:tc>
          <w:tcPr>
            <w:tcW w:w="854" w:type="dxa"/>
            <w:vMerge w:val="restart"/>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60650DF4" w14:textId="77777777" w:rsidR="000923BB" w:rsidRPr="002C52B4" w:rsidRDefault="000923BB" w:rsidP="003A385F">
            <w:pPr>
              <w:jc w:val="center"/>
              <w:rPr>
                <w:rFonts w:cs="Arial"/>
                <w:sz w:val="16"/>
                <w:szCs w:val="16"/>
              </w:rPr>
            </w:pPr>
            <w:r w:rsidRPr="002C52B4">
              <w:rPr>
                <w:rFonts w:cs="Arial"/>
                <w:sz w:val="16"/>
                <w:szCs w:val="16"/>
              </w:rPr>
              <w:t>4</w:t>
            </w:r>
          </w:p>
        </w:tc>
        <w:tc>
          <w:tcPr>
            <w:tcW w:w="712" w:type="dxa"/>
            <w:vMerge w:val="restart"/>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1FD539E3" w14:textId="77777777" w:rsidR="000923BB" w:rsidRPr="002C52B4" w:rsidRDefault="000923BB" w:rsidP="003A385F">
            <w:pPr>
              <w:jc w:val="center"/>
              <w:rPr>
                <w:rFonts w:cs="Arial"/>
                <w:sz w:val="16"/>
                <w:szCs w:val="16"/>
              </w:rPr>
            </w:pPr>
            <w:r w:rsidRPr="002C52B4">
              <w:rPr>
                <w:rFonts w:cs="Arial"/>
                <w:sz w:val="16"/>
                <w:szCs w:val="16"/>
              </w:rPr>
              <w:t>127</w:t>
            </w:r>
          </w:p>
        </w:tc>
        <w:tc>
          <w:tcPr>
            <w:tcW w:w="909" w:type="dxa"/>
            <w:tcBorders>
              <w:top w:val="single" w:sz="4" w:space="0" w:color="auto"/>
              <w:left w:val="single" w:sz="4" w:space="0" w:color="auto"/>
              <w:bottom w:val="nil"/>
              <w:right w:val="single" w:sz="4" w:space="0" w:color="auto"/>
            </w:tcBorders>
            <w:tcMar>
              <w:top w:w="28" w:type="dxa"/>
              <w:left w:w="11" w:type="dxa"/>
              <w:bottom w:w="28" w:type="dxa"/>
              <w:right w:w="11" w:type="dxa"/>
            </w:tcMar>
          </w:tcPr>
          <w:p w14:paraId="521A70B0" w14:textId="77777777" w:rsidR="000923BB" w:rsidRPr="002C52B4" w:rsidRDefault="000923BB" w:rsidP="003A385F">
            <w:pPr>
              <w:rPr>
                <w:rFonts w:cs="Arial"/>
                <w:b/>
                <w:bCs/>
                <w:sz w:val="16"/>
                <w:szCs w:val="16"/>
              </w:rPr>
            </w:pPr>
            <w:r w:rsidRPr="002C52B4">
              <w:rPr>
                <w:rFonts w:cs="Arial"/>
                <w:b/>
                <w:bCs/>
                <w:sz w:val="16"/>
                <w:szCs w:val="16"/>
              </w:rPr>
              <w:t>Wtd mean:</w:t>
            </w:r>
          </w:p>
        </w:tc>
        <w:tc>
          <w:tcPr>
            <w:tcW w:w="1626" w:type="dxa"/>
            <w:tcBorders>
              <w:top w:val="single" w:sz="4" w:space="0" w:color="auto"/>
              <w:left w:val="single" w:sz="4" w:space="0" w:color="auto"/>
              <w:bottom w:val="nil"/>
              <w:right w:val="nil"/>
            </w:tcBorders>
            <w:tcMar>
              <w:top w:w="28" w:type="dxa"/>
              <w:left w:w="11" w:type="dxa"/>
              <w:bottom w:w="28" w:type="dxa"/>
              <w:right w:w="11" w:type="dxa"/>
            </w:tcMar>
          </w:tcPr>
          <w:p w14:paraId="5B61E4C1" w14:textId="77777777" w:rsidR="000923BB" w:rsidRPr="002C52B4" w:rsidRDefault="000923BB" w:rsidP="003A385F">
            <w:pPr>
              <w:jc w:val="center"/>
              <w:rPr>
                <w:rFonts w:cs="Arial"/>
                <w:b/>
                <w:bCs/>
                <w:sz w:val="16"/>
                <w:szCs w:val="16"/>
              </w:rPr>
            </w:pPr>
            <w:r w:rsidRPr="002C52B4">
              <w:rPr>
                <w:rFonts w:cs="Arial"/>
                <w:b/>
                <w:bCs/>
                <w:sz w:val="16"/>
                <w:szCs w:val="16"/>
              </w:rPr>
              <w:t>0.58</w:t>
            </w:r>
          </w:p>
        </w:tc>
        <w:tc>
          <w:tcPr>
            <w:tcW w:w="1139" w:type="dxa"/>
            <w:tcBorders>
              <w:top w:val="single" w:sz="4" w:space="0" w:color="auto"/>
              <w:left w:val="nil"/>
              <w:bottom w:val="nil"/>
              <w:right w:val="nil"/>
            </w:tcBorders>
            <w:tcMar>
              <w:top w:w="28" w:type="dxa"/>
              <w:left w:w="11" w:type="dxa"/>
              <w:bottom w:w="28" w:type="dxa"/>
              <w:right w:w="11" w:type="dxa"/>
            </w:tcMar>
          </w:tcPr>
          <w:p w14:paraId="5591B1A1" w14:textId="77777777" w:rsidR="000923BB" w:rsidRPr="002C52B4" w:rsidRDefault="000923BB" w:rsidP="003A385F">
            <w:pPr>
              <w:jc w:val="center"/>
              <w:rPr>
                <w:rFonts w:cs="Arial"/>
                <w:b/>
                <w:bCs/>
                <w:sz w:val="16"/>
                <w:szCs w:val="16"/>
              </w:rPr>
            </w:pPr>
            <w:r w:rsidRPr="002C52B4">
              <w:rPr>
                <w:rFonts w:cs="Arial"/>
                <w:b/>
                <w:bCs/>
                <w:sz w:val="16"/>
                <w:szCs w:val="16"/>
              </w:rPr>
              <w:t>0.70</w:t>
            </w:r>
          </w:p>
        </w:tc>
        <w:tc>
          <w:tcPr>
            <w:tcW w:w="1134" w:type="dxa"/>
            <w:gridSpan w:val="2"/>
            <w:tcBorders>
              <w:top w:val="single" w:sz="4" w:space="0" w:color="auto"/>
              <w:left w:val="nil"/>
              <w:bottom w:val="nil"/>
              <w:right w:val="single" w:sz="4" w:space="0" w:color="auto"/>
            </w:tcBorders>
            <w:tcMar>
              <w:top w:w="28" w:type="dxa"/>
              <w:left w:w="11" w:type="dxa"/>
              <w:bottom w:w="28" w:type="dxa"/>
              <w:right w:w="11" w:type="dxa"/>
            </w:tcMar>
          </w:tcPr>
          <w:p w14:paraId="51584E72" w14:textId="77777777" w:rsidR="000923BB" w:rsidRPr="002C52B4" w:rsidRDefault="000923BB" w:rsidP="003A385F">
            <w:pPr>
              <w:jc w:val="center"/>
              <w:rPr>
                <w:rFonts w:cs="Arial"/>
                <w:b/>
                <w:bCs/>
                <w:sz w:val="16"/>
                <w:szCs w:val="16"/>
              </w:rPr>
            </w:pPr>
            <w:r w:rsidRPr="002C52B4">
              <w:rPr>
                <w:rFonts w:cs="Arial"/>
                <w:b/>
                <w:bCs/>
                <w:sz w:val="16"/>
                <w:szCs w:val="16"/>
              </w:rPr>
              <w:t>0.46</w:t>
            </w:r>
          </w:p>
        </w:tc>
        <w:tc>
          <w:tcPr>
            <w:tcW w:w="1418" w:type="dxa"/>
            <w:gridSpan w:val="2"/>
            <w:tcBorders>
              <w:top w:val="single" w:sz="4" w:space="0" w:color="auto"/>
              <w:left w:val="single" w:sz="4" w:space="0" w:color="auto"/>
              <w:bottom w:val="nil"/>
              <w:right w:val="single" w:sz="4" w:space="0" w:color="auto"/>
            </w:tcBorders>
            <w:tcMar>
              <w:top w:w="28" w:type="dxa"/>
              <w:left w:w="11" w:type="dxa"/>
              <w:bottom w:w="28" w:type="dxa"/>
              <w:right w:w="11" w:type="dxa"/>
            </w:tcMar>
          </w:tcPr>
          <w:p w14:paraId="43C646E7" w14:textId="77777777" w:rsidR="000923BB" w:rsidRPr="002C52B4" w:rsidRDefault="000923BB" w:rsidP="003A385F">
            <w:pPr>
              <w:jc w:val="center"/>
              <w:rPr>
                <w:rFonts w:cs="Arial"/>
                <w:b/>
                <w:bCs/>
                <w:sz w:val="16"/>
                <w:szCs w:val="16"/>
              </w:rPr>
            </w:pPr>
            <w:r w:rsidRPr="002C52B4">
              <w:rPr>
                <w:rFonts w:cs="Arial"/>
                <w:b/>
                <w:bCs/>
                <w:sz w:val="16"/>
                <w:szCs w:val="16"/>
              </w:rPr>
              <w:t>0.52</w:t>
            </w:r>
          </w:p>
        </w:tc>
      </w:tr>
      <w:tr w:rsidR="000923BB" w:rsidRPr="00C57BF6" w14:paraId="578B4AF9" w14:textId="77777777" w:rsidTr="00282EAD">
        <w:trPr>
          <w:cantSplit/>
          <w:trHeight w:val="148"/>
        </w:trPr>
        <w:tc>
          <w:tcPr>
            <w:tcW w:w="1281" w:type="dxa"/>
            <w:vMerge/>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582E0381" w14:textId="77777777" w:rsidR="000923BB" w:rsidRPr="002C52B4" w:rsidRDefault="000923BB" w:rsidP="003A385F">
            <w:pPr>
              <w:rPr>
                <w:rFonts w:cs="Arial"/>
                <w:sz w:val="16"/>
                <w:szCs w:val="16"/>
              </w:rPr>
            </w:pPr>
          </w:p>
        </w:tc>
        <w:tc>
          <w:tcPr>
            <w:tcW w:w="854" w:type="dxa"/>
            <w:vMerge/>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78494254" w14:textId="77777777" w:rsidR="000923BB" w:rsidRPr="002C52B4" w:rsidRDefault="000923BB" w:rsidP="003A385F">
            <w:pPr>
              <w:rPr>
                <w:rFonts w:cs="Arial"/>
                <w:sz w:val="16"/>
                <w:szCs w:val="16"/>
              </w:rPr>
            </w:pPr>
          </w:p>
        </w:tc>
        <w:tc>
          <w:tcPr>
            <w:tcW w:w="712" w:type="dxa"/>
            <w:vMerge/>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2D8281E2" w14:textId="77777777" w:rsidR="000923BB" w:rsidRPr="002C52B4" w:rsidRDefault="000923BB" w:rsidP="003A385F">
            <w:pPr>
              <w:rPr>
                <w:rFonts w:cs="Arial"/>
                <w:sz w:val="16"/>
                <w:szCs w:val="16"/>
              </w:rPr>
            </w:pPr>
          </w:p>
        </w:tc>
        <w:tc>
          <w:tcPr>
            <w:tcW w:w="909" w:type="dxa"/>
            <w:tcBorders>
              <w:top w:val="nil"/>
              <w:left w:val="single" w:sz="4" w:space="0" w:color="auto"/>
              <w:bottom w:val="nil"/>
              <w:right w:val="single" w:sz="4" w:space="0" w:color="auto"/>
            </w:tcBorders>
            <w:tcMar>
              <w:top w:w="28" w:type="dxa"/>
              <w:left w:w="11" w:type="dxa"/>
              <w:bottom w:w="28" w:type="dxa"/>
              <w:right w:w="11" w:type="dxa"/>
            </w:tcMar>
          </w:tcPr>
          <w:p w14:paraId="02BD8E33" w14:textId="77777777" w:rsidR="000923BB" w:rsidRPr="002C52B4" w:rsidRDefault="000923BB" w:rsidP="003A385F">
            <w:pPr>
              <w:rPr>
                <w:rFonts w:cs="Arial"/>
                <w:b/>
                <w:bCs/>
                <w:sz w:val="16"/>
                <w:szCs w:val="16"/>
              </w:rPr>
            </w:pPr>
            <w:r w:rsidRPr="002C52B4">
              <w:rPr>
                <w:rFonts w:cs="Arial"/>
                <w:b/>
                <w:bCs/>
                <w:sz w:val="16"/>
                <w:szCs w:val="16"/>
              </w:rPr>
              <w:t>95% CI:</w:t>
            </w:r>
          </w:p>
        </w:tc>
        <w:tc>
          <w:tcPr>
            <w:tcW w:w="1626" w:type="dxa"/>
            <w:tcBorders>
              <w:top w:val="nil"/>
              <w:left w:val="single" w:sz="4" w:space="0" w:color="auto"/>
              <w:bottom w:val="nil"/>
              <w:right w:val="nil"/>
            </w:tcBorders>
            <w:tcMar>
              <w:top w:w="28" w:type="dxa"/>
              <w:left w:w="11" w:type="dxa"/>
              <w:bottom w:w="28" w:type="dxa"/>
              <w:right w:w="11" w:type="dxa"/>
            </w:tcMar>
          </w:tcPr>
          <w:p w14:paraId="3D04FEDD" w14:textId="77777777" w:rsidR="000923BB" w:rsidRPr="002C52B4" w:rsidRDefault="000923BB" w:rsidP="003A385F">
            <w:pPr>
              <w:jc w:val="center"/>
              <w:rPr>
                <w:rFonts w:cs="Arial"/>
                <w:sz w:val="16"/>
                <w:szCs w:val="16"/>
              </w:rPr>
            </w:pPr>
            <w:r w:rsidRPr="002C52B4">
              <w:rPr>
                <w:rFonts w:cs="Arial"/>
                <w:sz w:val="16"/>
                <w:szCs w:val="16"/>
              </w:rPr>
              <w:t>0.48 to 0.68</w:t>
            </w:r>
          </w:p>
        </w:tc>
        <w:tc>
          <w:tcPr>
            <w:tcW w:w="1139" w:type="dxa"/>
            <w:tcBorders>
              <w:top w:val="nil"/>
              <w:left w:val="nil"/>
              <w:bottom w:val="nil"/>
              <w:right w:val="nil"/>
            </w:tcBorders>
            <w:tcMar>
              <w:top w:w="28" w:type="dxa"/>
              <w:left w:w="11" w:type="dxa"/>
              <w:bottom w:w="28" w:type="dxa"/>
              <w:right w:w="11" w:type="dxa"/>
            </w:tcMar>
          </w:tcPr>
          <w:p w14:paraId="03B230F1" w14:textId="77777777" w:rsidR="000923BB" w:rsidRPr="002C52B4" w:rsidRDefault="000923BB" w:rsidP="003A385F">
            <w:pPr>
              <w:jc w:val="center"/>
              <w:rPr>
                <w:rFonts w:cs="Arial"/>
                <w:sz w:val="16"/>
                <w:szCs w:val="16"/>
              </w:rPr>
            </w:pPr>
            <w:r w:rsidRPr="002C52B4">
              <w:rPr>
                <w:rFonts w:cs="Arial"/>
                <w:sz w:val="16"/>
                <w:szCs w:val="16"/>
              </w:rPr>
              <w:t>0.63 to 0.78</w:t>
            </w:r>
          </w:p>
        </w:tc>
        <w:tc>
          <w:tcPr>
            <w:tcW w:w="1134" w:type="dxa"/>
            <w:gridSpan w:val="2"/>
            <w:tcBorders>
              <w:top w:val="nil"/>
              <w:left w:val="nil"/>
              <w:bottom w:val="nil"/>
              <w:right w:val="single" w:sz="4" w:space="0" w:color="auto"/>
            </w:tcBorders>
            <w:tcMar>
              <w:top w:w="28" w:type="dxa"/>
              <w:left w:w="11" w:type="dxa"/>
              <w:bottom w:w="28" w:type="dxa"/>
              <w:right w:w="11" w:type="dxa"/>
            </w:tcMar>
          </w:tcPr>
          <w:p w14:paraId="660C510F" w14:textId="77777777" w:rsidR="000923BB" w:rsidRPr="002C52B4" w:rsidRDefault="000923BB" w:rsidP="003A385F">
            <w:pPr>
              <w:jc w:val="center"/>
              <w:rPr>
                <w:rFonts w:cs="Arial"/>
                <w:sz w:val="16"/>
                <w:szCs w:val="16"/>
              </w:rPr>
            </w:pPr>
            <w:r w:rsidRPr="002C52B4">
              <w:rPr>
                <w:rFonts w:cs="Arial"/>
                <w:sz w:val="16"/>
                <w:szCs w:val="16"/>
              </w:rPr>
              <w:t>0.34 to 0.59</w:t>
            </w:r>
          </w:p>
        </w:tc>
        <w:tc>
          <w:tcPr>
            <w:tcW w:w="1418" w:type="dxa"/>
            <w:gridSpan w:val="2"/>
            <w:tcBorders>
              <w:top w:val="nil"/>
              <w:left w:val="single" w:sz="4" w:space="0" w:color="auto"/>
              <w:bottom w:val="nil"/>
              <w:right w:val="single" w:sz="4" w:space="0" w:color="auto"/>
            </w:tcBorders>
            <w:tcMar>
              <w:top w:w="28" w:type="dxa"/>
              <w:left w:w="11" w:type="dxa"/>
              <w:bottom w:w="28" w:type="dxa"/>
              <w:right w:w="11" w:type="dxa"/>
            </w:tcMar>
          </w:tcPr>
          <w:p w14:paraId="018E9F8B" w14:textId="77777777" w:rsidR="000923BB" w:rsidRPr="002C52B4" w:rsidRDefault="000923BB" w:rsidP="003A385F">
            <w:pPr>
              <w:jc w:val="center"/>
              <w:rPr>
                <w:rFonts w:cs="Arial"/>
                <w:sz w:val="16"/>
                <w:szCs w:val="16"/>
              </w:rPr>
            </w:pPr>
            <w:r w:rsidRPr="002C52B4">
              <w:rPr>
                <w:rFonts w:cs="Arial"/>
                <w:sz w:val="16"/>
                <w:szCs w:val="16"/>
              </w:rPr>
              <w:t>0.41 to 0.62</w:t>
            </w:r>
          </w:p>
        </w:tc>
      </w:tr>
      <w:tr w:rsidR="000923BB" w:rsidRPr="00C57BF6" w14:paraId="6277217E" w14:textId="77777777" w:rsidTr="00282EAD">
        <w:trPr>
          <w:cantSplit/>
          <w:trHeight w:val="351"/>
        </w:trPr>
        <w:tc>
          <w:tcPr>
            <w:tcW w:w="1281" w:type="dxa"/>
            <w:vMerge/>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15C80422" w14:textId="77777777" w:rsidR="000923BB" w:rsidRPr="002C52B4" w:rsidRDefault="000923BB" w:rsidP="003A385F">
            <w:pPr>
              <w:rPr>
                <w:rFonts w:cs="Arial"/>
                <w:sz w:val="16"/>
                <w:szCs w:val="16"/>
              </w:rPr>
            </w:pPr>
          </w:p>
        </w:tc>
        <w:tc>
          <w:tcPr>
            <w:tcW w:w="854" w:type="dxa"/>
            <w:vMerge/>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35534AD8" w14:textId="77777777" w:rsidR="000923BB" w:rsidRPr="002C52B4" w:rsidRDefault="000923BB" w:rsidP="003A385F">
            <w:pPr>
              <w:rPr>
                <w:rFonts w:cs="Arial"/>
                <w:sz w:val="16"/>
                <w:szCs w:val="16"/>
              </w:rPr>
            </w:pPr>
          </w:p>
        </w:tc>
        <w:tc>
          <w:tcPr>
            <w:tcW w:w="712" w:type="dxa"/>
            <w:vMerge/>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576B06AD" w14:textId="77777777" w:rsidR="000923BB" w:rsidRPr="002C52B4" w:rsidRDefault="000923BB" w:rsidP="003A385F">
            <w:pPr>
              <w:rPr>
                <w:rFonts w:cs="Arial"/>
                <w:sz w:val="16"/>
                <w:szCs w:val="16"/>
              </w:rPr>
            </w:pPr>
          </w:p>
        </w:tc>
        <w:tc>
          <w:tcPr>
            <w:tcW w:w="909" w:type="dxa"/>
            <w:tcBorders>
              <w:top w:val="nil"/>
              <w:left w:val="single" w:sz="4" w:space="0" w:color="auto"/>
              <w:bottom w:val="single" w:sz="4" w:space="0" w:color="auto"/>
              <w:right w:val="single" w:sz="4" w:space="0" w:color="auto"/>
            </w:tcBorders>
            <w:tcMar>
              <w:top w:w="28" w:type="dxa"/>
              <w:left w:w="11" w:type="dxa"/>
              <w:bottom w:w="28" w:type="dxa"/>
              <w:right w:w="11" w:type="dxa"/>
            </w:tcMar>
          </w:tcPr>
          <w:p w14:paraId="3FEBFC41" w14:textId="77777777" w:rsidR="000923BB" w:rsidRPr="002C52B4" w:rsidRDefault="000923BB" w:rsidP="003A385F">
            <w:pPr>
              <w:rPr>
                <w:rFonts w:cs="Arial"/>
                <w:b/>
                <w:bCs/>
                <w:sz w:val="16"/>
                <w:szCs w:val="16"/>
              </w:rPr>
            </w:pPr>
            <w:r w:rsidRPr="002C52B4">
              <w:rPr>
                <w:rFonts w:cs="Arial"/>
                <w:b/>
                <w:bCs/>
                <w:sz w:val="16"/>
                <w:szCs w:val="16"/>
              </w:rPr>
              <w:t>Range:</w:t>
            </w:r>
          </w:p>
        </w:tc>
        <w:tc>
          <w:tcPr>
            <w:tcW w:w="1626" w:type="dxa"/>
            <w:tcBorders>
              <w:top w:val="nil"/>
              <w:left w:val="single" w:sz="4" w:space="0" w:color="auto"/>
              <w:bottom w:val="single" w:sz="4" w:space="0" w:color="auto"/>
              <w:right w:val="nil"/>
            </w:tcBorders>
            <w:tcMar>
              <w:top w:w="28" w:type="dxa"/>
              <w:left w:w="11" w:type="dxa"/>
              <w:bottom w:w="28" w:type="dxa"/>
              <w:right w:w="11" w:type="dxa"/>
            </w:tcMar>
          </w:tcPr>
          <w:p w14:paraId="5B39288C" w14:textId="77777777" w:rsidR="000923BB" w:rsidRPr="002C52B4" w:rsidRDefault="000923BB" w:rsidP="003A385F">
            <w:pPr>
              <w:jc w:val="center"/>
              <w:rPr>
                <w:rFonts w:cs="Arial"/>
                <w:sz w:val="16"/>
                <w:szCs w:val="16"/>
              </w:rPr>
            </w:pPr>
            <w:r w:rsidRPr="002C52B4">
              <w:rPr>
                <w:rFonts w:cs="Arial"/>
                <w:sz w:val="16"/>
                <w:szCs w:val="16"/>
              </w:rPr>
              <w:t>-0.41 to 0.72</w:t>
            </w:r>
          </w:p>
        </w:tc>
        <w:tc>
          <w:tcPr>
            <w:tcW w:w="1139" w:type="dxa"/>
            <w:tcBorders>
              <w:top w:val="nil"/>
              <w:left w:val="nil"/>
              <w:bottom w:val="single" w:sz="4" w:space="0" w:color="auto"/>
              <w:right w:val="nil"/>
            </w:tcBorders>
            <w:tcMar>
              <w:top w:w="28" w:type="dxa"/>
              <w:left w:w="11" w:type="dxa"/>
              <w:bottom w:w="28" w:type="dxa"/>
              <w:right w:w="11" w:type="dxa"/>
            </w:tcMar>
          </w:tcPr>
          <w:p w14:paraId="3AD56205" w14:textId="77777777" w:rsidR="000923BB" w:rsidRPr="002C52B4" w:rsidRDefault="000923BB" w:rsidP="003A385F">
            <w:pPr>
              <w:jc w:val="center"/>
              <w:rPr>
                <w:rFonts w:cs="Arial"/>
                <w:sz w:val="16"/>
                <w:szCs w:val="16"/>
              </w:rPr>
            </w:pPr>
            <w:r w:rsidRPr="002C52B4">
              <w:rPr>
                <w:rFonts w:cs="Arial"/>
                <w:sz w:val="16"/>
                <w:szCs w:val="16"/>
              </w:rPr>
              <w:t>-0.31 to 0.81</w:t>
            </w:r>
          </w:p>
        </w:tc>
        <w:tc>
          <w:tcPr>
            <w:tcW w:w="1134" w:type="dxa"/>
            <w:gridSpan w:val="2"/>
            <w:tcBorders>
              <w:top w:val="nil"/>
              <w:left w:val="nil"/>
              <w:bottom w:val="single" w:sz="4" w:space="0" w:color="auto"/>
              <w:right w:val="single" w:sz="4" w:space="0" w:color="auto"/>
            </w:tcBorders>
            <w:tcMar>
              <w:top w:w="28" w:type="dxa"/>
              <w:left w:w="11" w:type="dxa"/>
              <w:bottom w:w="28" w:type="dxa"/>
              <w:right w:w="11" w:type="dxa"/>
            </w:tcMar>
          </w:tcPr>
          <w:p w14:paraId="271E2785" w14:textId="77777777" w:rsidR="000923BB" w:rsidRPr="002C52B4" w:rsidRDefault="000923BB" w:rsidP="003A385F">
            <w:pPr>
              <w:jc w:val="center"/>
              <w:rPr>
                <w:rFonts w:cs="Arial"/>
                <w:sz w:val="16"/>
                <w:szCs w:val="16"/>
              </w:rPr>
            </w:pPr>
            <w:r w:rsidRPr="002C52B4">
              <w:rPr>
                <w:rFonts w:cs="Arial"/>
                <w:sz w:val="16"/>
                <w:szCs w:val="16"/>
              </w:rPr>
              <w:t>-0.01 to 0.55</w:t>
            </w:r>
          </w:p>
        </w:tc>
        <w:tc>
          <w:tcPr>
            <w:tcW w:w="1418" w:type="dxa"/>
            <w:gridSpan w:val="2"/>
            <w:tcBorders>
              <w:top w:val="nil"/>
              <w:left w:val="single" w:sz="4" w:space="0" w:color="auto"/>
              <w:bottom w:val="single" w:sz="4" w:space="0" w:color="auto"/>
              <w:right w:val="single" w:sz="4" w:space="0" w:color="auto"/>
            </w:tcBorders>
            <w:tcMar>
              <w:top w:w="28" w:type="dxa"/>
              <w:left w:w="11" w:type="dxa"/>
              <w:bottom w:w="28" w:type="dxa"/>
              <w:right w:w="11" w:type="dxa"/>
            </w:tcMar>
          </w:tcPr>
          <w:p w14:paraId="4ADEDAA7" w14:textId="77777777" w:rsidR="000923BB" w:rsidRPr="002C52B4" w:rsidRDefault="000923BB" w:rsidP="003A385F">
            <w:pPr>
              <w:jc w:val="center"/>
              <w:rPr>
                <w:rFonts w:cs="Arial"/>
                <w:sz w:val="16"/>
                <w:szCs w:val="16"/>
              </w:rPr>
            </w:pPr>
            <w:r w:rsidRPr="002C52B4">
              <w:rPr>
                <w:rFonts w:cs="Arial"/>
                <w:sz w:val="16"/>
                <w:szCs w:val="16"/>
              </w:rPr>
              <w:t>-0.44 to 0.67</w:t>
            </w:r>
          </w:p>
        </w:tc>
      </w:tr>
      <w:tr w:rsidR="000923BB" w:rsidRPr="00C57BF6" w14:paraId="180D4D3D" w14:textId="77777777" w:rsidTr="00282EAD">
        <w:trPr>
          <w:cantSplit/>
          <w:trHeight w:val="430"/>
        </w:trPr>
        <w:tc>
          <w:tcPr>
            <w:tcW w:w="1281" w:type="dxa"/>
            <w:vMerge w:val="restart"/>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0F4CBD09" w14:textId="77777777" w:rsidR="000923BB" w:rsidRPr="002C52B4" w:rsidRDefault="000923BB" w:rsidP="003A385F">
            <w:pPr>
              <w:rPr>
                <w:rFonts w:cs="Arial"/>
                <w:b/>
                <w:bCs/>
                <w:sz w:val="16"/>
                <w:szCs w:val="16"/>
              </w:rPr>
            </w:pPr>
            <w:r w:rsidRPr="002C52B4">
              <w:rPr>
                <w:rFonts w:cs="Arial"/>
                <w:sz w:val="16"/>
                <w:szCs w:val="16"/>
              </w:rPr>
              <w:t>Nurse/clinical vs Nurse/clinical</w:t>
            </w:r>
          </w:p>
        </w:tc>
        <w:tc>
          <w:tcPr>
            <w:tcW w:w="854" w:type="dxa"/>
            <w:vMerge w:val="restart"/>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0DFCC915" w14:textId="77777777" w:rsidR="000923BB" w:rsidRPr="002C52B4" w:rsidRDefault="000923BB" w:rsidP="003A385F">
            <w:pPr>
              <w:jc w:val="center"/>
              <w:rPr>
                <w:rFonts w:cs="Arial"/>
                <w:sz w:val="16"/>
                <w:szCs w:val="16"/>
              </w:rPr>
            </w:pPr>
            <w:r w:rsidRPr="002C52B4">
              <w:rPr>
                <w:rFonts w:cs="Arial"/>
                <w:sz w:val="16"/>
                <w:szCs w:val="16"/>
              </w:rPr>
              <w:t>4</w:t>
            </w:r>
          </w:p>
        </w:tc>
        <w:tc>
          <w:tcPr>
            <w:tcW w:w="712" w:type="dxa"/>
            <w:vMerge w:val="restart"/>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35BAD0B2" w14:textId="77777777" w:rsidR="000923BB" w:rsidRPr="002C52B4" w:rsidRDefault="000923BB" w:rsidP="003A385F">
            <w:pPr>
              <w:jc w:val="center"/>
              <w:rPr>
                <w:rFonts w:cs="Arial"/>
                <w:sz w:val="16"/>
                <w:szCs w:val="16"/>
              </w:rPr>
            </w:pPr>
            <w:r w:rsidRPr="002C52B4">
              <w:rPr>
                <w:rFonts w:cs="Arial"/>
                <w:sz w:val="16"/>
                <w:szCs w:val="16"/>
              </w:rPr>
              <w:t>144</w:t>
            </w:r>
          </w:p>
        </w:tc>
        <w:tc>
          <w:tcPr>
            <w:tcW w:w="909" w:type="dxa"/>
            <w:tcBorders>
              <w:top w:val="single" w:sz="4" w:space="0" w:color="auto"/>
              <w:left w:val="single" w:sz="4" w:space="0" w:color="auto"/>
              <w:bottom w:val="nil"/>
              <w:right w:val="single" w:sz="4" w:space="0" w:color="auto"/>
            </w:tcBorders>
            <w:tcMar>
              <w:top w:w="28" w:type="dxa"/>
              <w:left w:w="11" w:type="dxa"/>
              <w:bottom w:w="28" w:type="dxa"/>
              <w:right w:w="11" w:type="dxa"/>
            </w:tcMar>
          </w:tcPr>
          <w:p w14:paraId="5AE4FAA1" w14:textId="77777777" w:rsidR="000923BB" w:rsidRPr="002C52B4" w:rsidRDefault="000923BB" w:rsidP="003A385F">
            <w:pPr>
              <w:rPr>
                <w:rFonts w:cs="Arial"/>
                <w:b/>
                <w:bCs/>
                <w:sz w:val="16"/>
                <w:szCs w:val="16"/>
              </w:rPr>
            </w:pPr>
            <w:r w:rsidRPr="002C52B4">
              <w:rPr>
                <w:rFonts w:cs="Arial"/>
                <w:b/>
                <w:bCs/>
                <w:sz w:val="16"/>
                <w:szCs w:val="16"/>
              </w:rPr>
              <w:t>Wtd mean:</w:t>
            </w:r>
          </w:p>
        </w:tc>
        <w:tc>
          <w:tcPr>
            <w:tcW w:w="1626" w:type="dxa"/>
            <w:tcBorders>
              <w:top w:val="single" w:sz="4" w:space="0" w:color="auto"/>
              <w:left w:val="single" w:sz="4" w:space="0" w:color="auto"/>
              <w:bottom w:val="nil"/>
              <w:right w:val="nil"/>
            </w:tcBorders>
            <w:tcMar>
              <w:top w:w="28" w:type="dxa"/>
              <w:left w:w="11" w:type="dxa"/>
              <w:bottom w:w="28" w:type="dxa"/>
              <w:right w:w="11" w:type="dxa"/>
            </w:tcMar>
          </w:tcPr>
          <w:p w14:paraId="1D6FD4A6" w14:textId="77777777" w:rsidR="000923BB" w:rsidRPr="002C52B4" w:rsidRDefault="000923BB" w:rsidP="003A385F">
            <w:pPr>
              <w:jc w:val="center"/>
              <w:rPr>
                <w:rFonts w:cs="Arial"/>
                <w:b/>
                <w:bCs/>
                <w:sz w:val="16"/>
                <w:szCs w:val="16"/>
              </w:rPr>
            </w:pPr>
            <w:r w:rsidRPr="002C52B4">
              <w:rPr>
                <w:rFonts w:cs="Arial"/>
                <w:b/>
                <w:bCs/>
                <w:sz w:val="16"/>
                <w:szCs w:val="16"/>
              </w:rPr>
              <w:t>0.50</w:t>
            </w:r>
          </w:p>
        </w:tc>
        <w:tc>
          <w:tcPr>
            <w:tcW w:w="1139" w:type="dxa"/>
            <w:tcBorders>
              <w:top w:val="single" w:sz="4" w:space="0" w:color="auto"/>
              <w:left w:val="nil"/>
              <w:bottom w:val="nil"/>
              <w:right w:val="nil"/>
            </w:tcBorders>
            <w:tcMar>
              <w:top w:w="28" w:type="dxa"/>
              <w:left w:w="11" w:type="dxa"/>
              <w:bottom w:w="28" w:type="dxa"/>
              <w:right w:w="11" w:type="dxa"/>
            </w:tcMar>
          </w:tcPr>
          <w:p w14:paraId="663D95D5" w14:textId="77777777" w:rsidR="000923BB" w:rsidRPr="002C52B4" w:rsidRDefault="000923BB" w:rsidP="003A385F">
            <w:pPr>
              <w:jc w:val="center"/>
              <w:rPr>
                <w:rFonts w:cs="Arial"/>
                <w:b/>
                <w:bCs/>
                <w:sz w:val="16"/>
                <w:szCs w:val="16"/>
              </w:rPr>
            </w:pPr>
            <w:r w:rsidRPr="002C52B4">
              <w:rPr>
                <w:rFonts w:cs="Arial"/>
                <w:b/>
                <w:bCs/>
                <w:sz w:val="16"/>
                <w:szCs w:val="16"/>
              </w:rPr>
              <w:t>0.22</w:t>
            </w:r>
          </w:p>
        </w:tc>
        <w:tc>
          <w:tcPr>
            <w:tcW w:w="1134" w:type="dxa"/>
            <w:gridSpan w:val="2"/>
            <w:tcBorders>
              <w:top w:val="single" w:sz="4" w:space="0" w:color="auto"/>
              <w:left w:val="nil"/>
              <w:bottom w:val="nil"/>
              <w:right w:val="single" w:sz="4" w:space="0" w:color="auto"/>
            </w:tcBorders>
            <w:tcMar>
              <w:top w:w="28" w:type="dxa"/>
              <w:left w:w="11" w:type="dxa"/>
              <w:bottom w:w="28" w:type="dxa"/>
              <w:right w:w="11" w:type="dxa"/>
            </w:tcMar>
          </w:tcPr>
          <w:p w14:paraId="63A9E8B0" w14:textId="77777777" w:rsidR="000923BB" w:rsidRPr="002C52B4" w:rsidRDefault="000923BB" w:rsidP="003A385F">
            <w:pPr>
              <w:jc w:val="center"/>
              <w:rPr>
                <w:rFonts w:cs="Arial"/>
                <w:b/>
                <w:bCs/>
                <w:sz w:val="16"/>
                <w:szCs w:val="16"/>
              </w:rPr>
            </w:pPr>
            <w:r w:rsidRPr="002C52B4">
              <w:rPr>
                <w:rFonts w:cs="Arial"/>
                <w:b/>
                <w:bCs/>
                <w:sz w:val="16"/>
                <w:szCs w:val="16"/>
              </w:rPr>
              <w:t>0.43</w:t>
            </w:r>
          </w:p>
        </w:tc>
        <w:tc>
          <w:tcPr>
            <w:tcW w:w="1418" w:type="dxa"/>
            <w:gridSpan w:val="2"/>
            <w:tcBorders>
              <w:top w:val="single" w:sz="4" w:space="0" w:color="auto"/>
              <w:left w:val="single" w:sz="4" w:space="0" w:color="auto"/>
              <w:bottom w:val="nil"/>
              <w:right w:val="single" w:sz="4" w:space="0" w:color="auto"/>
            </w:tcBorders>
            <w:tcMar>
              <w:top w:w="28" w:type="dxa"/>
              <w:left w:w="11" w:type="dxa"/>
              <w:bottom w:w="28" w:type="dxa"/>
              <w:right w:w="11" w:type="dxa"/>
            </w:tcMar>
          </w:tcPr>
          <w:p w14:paraId="08509FC0" w14:textId="77777777" w:rsidR="000923BB" w:rsidRPr="002C52B4" w:rsidRDefault="000923BB" w:rsidP="003A385F">
            <w:pPr>
              <w:jc w:val="center"/>
              <w:rPr>
                <w:rFonts w:cs="Arial"/>
                <w:b/>
                <w:bCs/>
                <w:sz w:val="16"/>
                <w:szCs w:val="16"/>
              </w:rPr>
            </w:pPr>
            <w:r w:rsidRPr="002C52B4">
              <w:rPr>
                <w:rFonts w:cs="Arial"/>
                <w:b/>
                <w:bCs/>
                <w:sz w:val="16"/>
                <w:szCs w:val="16"/>
              </w:rPr>
              <w:t>0.46</w:t>
            </w:r>
          </w:p>
        </w:tc>
      </w:tr>
      <w:tr w:rsidR="000923BB" w:rsidRPr="00C57BF6" w14:paraId="4D800B86" w14:textId="77777777" w:rsidTr="00282EAD">
        <w:trPr>
          <w:cantSplit/>
          <w:trHeight w:val="148"/>
        </w:trPr>
        <w:tc>
          <w:tcPr>
            <w:tcW w:w="1281" w:type="dxa"/>
            <w:vMerge/>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5158D162" w14:textId="77777777" w:rsidR="000923BB" w:rsidRPr="002C52B4" w:rsidRDefault="000923BB" w:rsidP="003A385F">
            <w:pPr>
              <w:rPr>
                <w:rFonts w:cs="Arial"/>
                <w:sz w:val="16"/>
                <w:szCs w:val="16"/>
              </w:rPr>
            </w:pPr>
          </w:p>
        </w:tc>
        <w:tc>
          <w:tcPr>
            <w:tcW w:w="854" w:type="dxa"/>
            <w:vMerge/>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57658D98" w14:textId="77777777" w:rsidR="000923BB" w:rsidRPr="002C52B4" w:rsidRDefault="000923BB" w:rsidP="003A385F">
            <w:pPr>
              <w:rPr>
                <w:rFonts w:cs="Arial"/>
                <w:sz w:val="16"/>
                <w:szCs w:val="16"/>
              </w:rPr>
            </w:pPr>
          </w:p>
        </w:tc>
        <w:tc>
          <w:tcPr>
            <w:tcW w:w="712" w:type="dxa"/>
            <w:vMerge/>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6DF5D6C2" w14:textId="77777777" w:rsidR="000923BB" w:rsidRPr="002C52B4" w:rsidRDefault="000923BB" w:rsidP="003A385F">
            <w:pPr>
              <w:rPr>
                <w:rFonts w:cs="Arial"/>
                <w:sz w:val="16"/>
                <w:szCs w:val="16"/>
              </w:rPr>
            </w:pPr>
          </w:p>
        </w:tc>
        <w:tc>
          <w:tcPr>
            <w:tcW w:w="909" w:type="dxa"/>
            <w:tcBorders>
              <w:top w:val="nil"/>
              <w:left w:val="single" w:sz="4" w:space="0" w:color="auto"/>
              <w:bottom w:val="nil"/>
              <w:right w:val="single" w:sz="4" w:space="0" w:color="auto"/>
            </w:tcBorders>
            <w:tcMar>
              <w:top w:w="28" w:type="dxa"/>
              <w:left w:w="11" w:type="dxa"/>
              <w:bottom w:w="28" w:type="dxa"/>
              <w:right w:w="11" w:type="dxa"/>
            </w:tcMar>
          </w:tcPr>
          <w:p w14:paraId="0B3CC8D1" w14:textId="77777777" w:rsidR="000923BB" w:rsidRPr="002C52B4" w:rsidRDefault="000923BB" w:rsidP="003A385F">
            <w:pPr>
              <w:rPr>
                <w:rFonts w:cs="Arial"/>
                <w:b/>
                <w:bCs/>
                <w:sz w:val="16"/>
                <w:szCs w:val="16"/>
              </w:rPr>
            </w:pPr>
            <w:r w:rsidRPr="002C52B4">
              <w:rPr>
                <w:rFonts w:cs="Arial"/>
                <w:b/>
                <w:bCs/>
                <w:sz w:val="16"/>
                <w:szCs w:val="16"/>
              </w:rPr>
              <w:t>95% CI:</w:t>
            </w:r>
          </w:p>
        </w:tc>
        <w:tc>
          <w:tcPr>
            <w:tcW w:w="1626" w:type="dxa"/>
            <w:tcBorders>
              <w:top w:val="nil"/>
              <w:left w:val="single" w:sz="4" w:space="0" w:color="auto"/>
              <w:bottom w:val="nil"/>
              <w:right w:val="nil"/>
            </w:tcBorders>
            <w:tcMar>
              <w:top w:w="28" w:type="dxa"/>
              <w:left w:w="11" w:type="dxa"/>
              <w:bottom w:w="28" w:type="dxa"/>
              <w:right w:w="11" w:type="dxa"/>
            </w:tcMar>
          </w:tcPr>
          <w:p w14:paraId="35F0A29D" w14:textId="77777777" w:rsidR="000923BB" w:rsidRPr="002C52B4" w:rsidRDefault="000923BB" w:rsidP="003A385F">
            <w:pPr>
              <w:jc w:val="center"/>
              <w:rPr>
                <w:rFonts w:cs="Arial"/>
                <w:sz w:val="16"/>
                <w:szCs w:val="16"/>
              </w:rPr>
            </w:pPr>
            <w:r w:rsidRPr="002C52B4">
              <w:rPr>
                <w:rFonts w:cs="Arial"/>
                <w:sz w:val="16"/>
                <w:szCs w:val="16"/>
              </w:rPr>
              <w:t>0.38 to 0.62</w:t>
            </w:r>
          </w:p>
        </w:tc>
        <w:tc>
          <w:tcPr>
            <w:tcW w:w="1139" w:type="dxa"/>
            <w:tcBorders>
              <w:top w:val="nil"/>
              <w:left w:val="nil"/>
              <w:bottom w:val="nil"/>
              <w:right w:val="nil"/>
            </w:tcBorders>
            <w:tcMar>
              <w:top w:w="28" w:type="dxa"/>
              <w:left w:w="11" w:type="dxa"/>
              <w:bottom w:w="28" w:type="dxa"/>
              <w:right w:w="11" w:type="dxa"/>
            </w:tcMar>
          </w:tcPr>
          <w:p w14:paraId="6B9B2CB6" w14:textId="77777777" w:rsidR="000923BB" w:rsidRPr="002C52B4" w:rsidRDefault="000923BB" w:rsidP="003A385F">
            <w:pPr>
              <w:jc w:val="center"/>
              <w:rPr>
                <w:rFonts w:cs="Arial"/>
                <w:sz w:val="16"/>
                <w:szCs w:val="16"/>
              </w:rPr>
            </w:pPr>
            <w:r w:rsidRPr="002C52B4">
              <w:rPr>
                <w:rFonts w:cs="Arial"/>
                <w:sz w:val="16"/>
                <w:szCs w:val="16"/>
              </w:rPr>
              <w:t>0.07 to 0.37</w:t>
            </w:r>
          </w:p>
        </w:tc>
        <w:tc>
          <w:tcPr>
            <w:tcW w:w="1134" w:type="dxa"/>
            <w:gridSpan w:val="2"/>
            <w:tcBorders>
              <w:top w:val="nil"/>
              <w:left w:val="nil"/>
              <w:bottom w:val="nil"/>
              <w:right w:val="single" w:sz="4" w:space="0" w:color="auto"/>
            </w:tcBorders>
            <w:tcMar>
              <w:top w:w="28" w:type="dxa"/>
              <w:left w:w="11" w:type="dxa"/>
              <w:bottom w:w="28" w:type="dxa"/>
              <w:right w:w="11" w:type="dxa"/>
            </w:tcMar>
          </w:tcPr>
          <w:p w14:paraId="3B0F2D7D" w14:textId="77777777" w:rsidR="000923BB" w:rsidRPr="002C52B4" w:rsidRDefault="000923BB" w:rsidP="003A385F">
            <w:pPr>
              <w:jc w:val="center"/>
              <w:rPr>
                <w:rFonts w:cs="Arial"/>
                <w:sz w:val="16"/>
                <w:szCs w:val="16"/>
              </w:rPr>
            </w:pPr>
            <w:r w:rsidRPr="002C52B4">
              <w:rPr>
                <w:rFonts w:cs="Arial"/>
                <w:sz w:val="16"/>
                <w:szCs w:val="16"/>
              </w:rPr>
              <w:t>0.30 to 0.55</w:t>
            </w:r>
          </w:p>
        </w:tc>
        <w:tc>
          <w:tcPr>
            <w:tcW w:w="1418" w:type="dxa"/>
            <w:gridSpan w:val="2"/>
            <w:tcBorders>
              <w:top w:val="nil"/>
              <w:left w:val="single" w:sz="4" w:space="0" w:color="auto"/>
              <w:bottom w:val="nil"/>
              <w:right w:val="single" w:sz="4" w:space="0" w:color="auto"/>
            </w:tcBorders>
            <w:tcMar>
              <w:top w:w="28" w:type="dxa"/>
              <w:left w:w="11" w:type="dxa"/>
              <w:bottom w:w="28" w:type="dxa"/>
              <w:right w:w="11" w:type="dxa"/>
            </w:tcMar>
          </w:tcPr>
          <w:p w14:paraId="5050F97D" w14:textId="77777777" w:rsidR="000923BB" w:rsidRPr="002C52B4" w:rsidRDefault="000923BB" w:rsidP="003A385F">
            <w:pPr>
              <w:jc w:val="center"/>
              <w:rPr>
                <w:rFonts w:cs="Arial"/>
                <w:sz w:val="16"/>
                <w:szCs w:val="16"/>
              </w:rPr>
            </w:pPr>
            <w:r w:rsidRPr="002C52B4">
              <w:rPr>
                <w:rFonts w:cs="Arial"/>
                <w:sz w:val="16"/>
                <w:szCs w:val="16"/>
              </w:rPr>
              <w:t>0.34 to 0.59</w:t>
            </w:r>
          </w:p>
        </w:tc>
      </w:tr>
      <w:tr w:rsidR="000923BB" w:rsidRPr="00C57BF6" w14:paraId="16782CEB" w14:textId="77777777" w:rsidTr="00282EAD">
        <w:trPr>
          <w:cantSplit/>
          <w:trHeight w:val="349"/>
        </w:trPr>
        <w:tc>
          <w:tcPr>
            <w:tcW w:w="1281" w:type="dxa"/>
            <w:vMerge/>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4446E8B9" w14:textId="77777777" w:rsidR="000923BB" w:rsidRPr="002C52B4" w:rsidRDefault="000923BB" w:rsidP="003A385F">
            <w:pPr>
              <w:rPr>
                <w:rFonts w:cs="Arial"/>
                <w:sz w:val="16"/>
                <w:szCs w:val="16"/>
              </w:rPr>
            </w:pPr>
          </w:p>
        </w:tc>
        <w:tc>
          <w:tcPr>
            <w:tcW w:w="854" w:type="dxa"/>
            <w:vMerge/>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6F5AE143" w14:textId="77777777" w:rsidR="000923BB" w:rsidRPr="002C52B4" w:rsidRDefault="000923BB" w:rsidP="003A385F">
            <w:pPr>
              <w:rPr>
                <w:rFonts w:cs="Arial"/>
                <w:sz w:val="16"/>
                <w:szCs w:val="16"/>
              </w:rPr>
            </w:pPr>
          </w:p>
        </w:tc>
        <w:tc>
          <w:tcPr>
            <w:tcW w:w="712" w:type="dxa"/>
            <w:vMerge/>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0C80C24D" w14:textId="77777777" w:rsidR="000923BB" w:rsidRPr="002C52B4" w:rsidRDefault="000923BB" w:rsidP="003A385F">
            <w:pPr>
              <w:rPr>
                <w:rFonts w:cs="Arial"/>
                <w:sz w:val="16"/>
                <w:szCs w:val="16"/>
              </w:rPr>
            </w:pPr>
          </w:p>
        </w:tc>
        <w:tc>
          <w:tcPr>
            <w:tcW w:w="909" w:type="dxa"/>
            <w:tcBorders>
              <w:top w:val="nil"/>
              <w:left w:val="single" w:sz="4" w:space="0" w:color="auto"/>
              <w:bottom w:val="single" w:sz="4" w:space="0" w:color="auto"/>
              <w:right w:val="single" w:sz="4" w:space="0" w:color="auto"/>
            </w:tcBorders>
            <w:tcMar>
              <w:top w:w="28" w:type="dxa"/>
              <w:left w:w="11" w:type="dxa"/>
              <w:bottom w:w="28" w:type="dxa"/>
              <w:right w:w="11" w:type="dxa"/>
            </w:tcMar>
          </w:tcPr>
          <w:p w14:paraId="42AABA4C" w14:textId="77777777" w:rsidR="000923BB" w:rsidRPr="002C52B4" w:rsidRDefault="000923BB" w:rsidP="003A385F">
            <w:pPr>
              <w:rPr>
                <w:rFonts w:cs="Arial"/>
                <w:b/>
                <w:bCs/>
                <w:sz w:val="16"/>
                <w:szCs w:val="16"/>
              </w:rPr>
            </w:pPr>
            <w:r w:rsidRPr="002C52B4">
              <w:rPr>
                <w:rFonts w:cs="Arial"/>
                <w:b/>
                <w:bCs/>
                <w:sz w:val="16"/>
                <w:szCs w:val="16"/>
              </w:rPr>
              <w:t>Range:</w:t>
            </w:r>
          </w:p>
        </w:tc>
        <w:tc>
          <w:tcPr>
            <w:tcW w:w="1626" w:type="dxa"/>
            <w:tcBorders>
              <w:top w:val="nil"/>
              <w:left w:val="single" w:sz="4" w:space="0" w:color="auto"/>
              <w:bottom w:val="single" w:sz="4" w:space="0" w:color="auto"/>
              <w:right w:val="nil"/>
            </w:tcBorders>
            <w:tcMar>
              <w:top w:w="28" w:type="dxa"/>
              <w:left w:w="11" w:type="dxa"/>
              <w:bottom w:w="28" w:type="dxa"/>
              <w:right w:w="11" w:type="dxa"/>
            </w:tcMar>
          </w:tcPr>
          <w:p w14:paraId="2AB9C389" w14:textId="77777777" w:rsidR="000923BB" w:rsidRPr="002C52B4" w:rsidRDefault="000923BB" w:rsidP="003A385F">
            <w:pPr>
              <w:jc w:val="center"/>
              <w:rPr>
                <w:rFonts w:cs="Arial"/>
                <w:sz w:val="16"/>
                <w:szCs w:val="16"/>
              </w:rPr>
            </w:pPr>
            <w:r w:rsidRPr="002C52B4">
              <w:rPr>
                <w:rFonts w:cs="Arial"/>
                <w:sz w:val="16"/>
                <w:szCs w:val="16"/>
              </w:rPr>
              <w:t>0.24 to 0.76</w:t>
            </w:r>
          </w:p>
        </w:tc>
        <w:tc>
          <w:tcPr>
            <w:tcW w:w="1139" w:type="dxa"/>
            <w:tcBorders>
              <w:top w:val="nil"/>
              <w:left w:val="nil"/>
              <w:bottom w:val="single" w:sz="4" w:space="0" w:color="auto"/>
              <w:right w:val="nil"/>
            </w:tcBorders>
            <w:tcMar>
              <w:top w:w="28" w:type="dxa"/>
              <w:left w:w="11" w:type="dxa"/>
              <w:bottom w:w="28" w:type="dxa"/>
              <w:right w:w="11" w:type="dxa"/>
            </w:tcMar>
          </w:tcPr>
          <w:p w14:paraId="338F3503" w14:textId="77777777" w:rsidR="000923BB" w:rsidRPr="002C52B4" w:rsidRDefault="000923BB" w:rsidP="003A385F">
            <w:pPr>
              <w:jc w:val="center"/>
              <w:rPr>
                <w:rFonts w:cs="Arial"/>
                <w:sz w:val="16"/>
                <w:szCs w:val="16"/>
              </w:rPr>
            </w:pPr>
            <w:r w:rsidRPr="002C52B4">
              <w:rPr>
                <w:rFonts w:cs="Arial"/>
                <w:sz w:val="16"/>
                <w:szCs w:val="16"/>
              </w:rPr>
              <w:t>-0.12 to 0.41</w:t>
            </w:r>
          </w:p>
        </w:tc>
        <w:tc>
          <w:tcPr>
            <w:tcW w:w="1134" w:type="dxa"/>
            <w:gridSpan w:val="2"/>
            <w:tcBorders>
              <w:top w:val="nil"/>
              <w:left w:val="nil"/>
              <w:bottom w:val="single" w:sz="4" w:space="0" w:color="auto"/>
              <w:right w:val="single" w:sz="4" w:space="0" w:color="auto"/>
            </w:tcBorders>
            <w:tcMar>
              <w:top w:w="28" w:type="dxa"/>
              <w:left w:w="11" w:type="dxa"/>
              <w:bottom w:w="28" w:type="dxa"/>
              <w:right w:w="11" w:type="dxa"/>
            </w:tcMar>
          </w:tcPr>
          <w:p w14:paraId="17F1908E" w14:textId="77777777" w:rsidR="000923BB" w:rsidRPr="002C52B4" w:rsidRDefault="000923BB" w:rsidP="003A385F">
            <w:pPr>
              <w:jc w:val="center"/>
              <w:rPr>
                <w:rFonts w:cs="Arial"/>
                <w:sz w:val="16"/>
                <w:szCs w:val="16"/>
              </w:rPr>
            </w:pPr>
            <w:r w:rsidRPr="002C52B4">
              <w:rPr>
                <w:rFonts w:cs="Arial"/>
                <w:sz w:val="16"/>
                <w:szCs w:val="16"/>
              </w:rPr>
              <w:t>-0.04 to 0.77</w:t>
            </w:r>
          </w:p>
        </w:tc>
        <w:tc>
          <w:tcPr>
            <w:tcW w:w="1418" w:type="dxa"/>
            <w:gridSpan w:val="2"/>
            <w:tcBorders>
              <w:top w:val="nil"/>
              <w:left w:val="single" w:sz="4" w:space="0" w:color="auto"/>
              <w:bottom w:val="single" w:sz="4" w:space="0" w:color="auto"/>
              <w:right w:val="single" w:sz="4" w:space="0" w:color="auto"/>
            </w:tcBorders>
            <w:tcMar>
              <w:top w:w="28" w:type="dxa"/>
              <w:left w:w="11" w:type="dxa"/>
              <w:bottom w:w="28" w:type="dxa"/>
              <w:right w:w="11" w:type="dxa"/>
            </w:tcMar>
          </w:tcPr>
          <w:p w14:paraId="2943509C" w14:textId="77777777" w:rsidR="000923BB" w:rsidRPr="002C52B4" w:rsidRDefault="000923BB" w:rsidP="003A385F">
            <w:pPr>
              <w:jc w:val="center"/>
              <w:rPr>
                <w:rFonts w:cs="Arial"/>
                <w:sz w:val="16"/>
                <w:szCs w:val="16"/>
              </w:rPr>
            </w:pPr>
            <w:r w:rsidRPr="002C52B4">
              <w:rPr>
                <w:rFonts w:cs="Arial"/>
                <w:sz w:val="16"/>
                <w:szCs w:val="16"/>
              </w:rPr>
              <w:t>0.22 to 0.74</w:t>
            </w:r>
          </w:p>
        </w:tc>
      </w:tr>
      <w:tr w:rsidR="000923BB" w:rsidRPr="00C57BF6" w14:paraId="03214F0F" w14:textId="77777777" w:rsidTr="00282EAD">
        <w:trPr>
          <w:cantSplit/>
          <w:trHeight w:val="446"/>
        </w:trPr>
        <w:tc>
          <w:tcPr>
            <w:tcW w:w="1281" w:type="dxa"/>
            <w:vMerge w:val="restart"/>
            <w:tcBorders>
              <w:top w:val="single" w:sz="4" w:space="0" w:color="auto"/>
              <w:left w:val="single" w:sz="4" w:space="0" w:color="auto"/>
              <w:bottom w:val="nil"/>
              <w:right w:val="single" w:sz="4" w:space="0" w:color="auto"/>
            </w:tcBorders>
            <w:tcMar>
              <w:top w:w="28" w:type="dxa"/>
              <w:left w:w="11" w:type="dxa"/>
              <w:bottom w:w="28" w:type="dxa"/>
              <w:right w:w="11" w:type="dxa"/>
            </w:tcMar>
          </w:tcPr>
          <w:p w14:paraId="1B5FE859" w14:textId="77777777" w:rsidR="000923BB" w:rsidRPr="002C52B4" w:rsidRDefault="000923BB" w:rsidP="003A385F">
            <w:pPr>
              <w:rPr>
                <w:rFonts w:cs="Arial"/>
                <w:b/>
                <w:bCs/>
                <w:sz w:val="16"/>
                <w:szCs w:val="16"/>
              </w:rPr>
            </w:pPr>
            <w:r w:rsidRPr="002C52B4">
              <w:rPr>
                <w:rFonts w:cs="Arial"/>
                <w:sz w:val="16"/>
                <w:szCs w:val="16"/>
              </w:rPr>
              <w:t>Non-clinical audit staff vs Non-clinical audit staff</w:t>
            </w:r>
          </w:p>
        </w:tc>
        <w:tc>
          <w:tcPr>
            <w:tcW w:w="854" w:type="dxa"/>
            <w:vMerge w:val="restart"/>
            <w:tcBorders>
              <w:top w:val="single" w:sz="4" w:space="0" w:color="auto"/>
              <w:left w:val="single" w:sz="4" w:space="0" w:color="auto"/>
              <w:bottom w:val="nil"/>
              <w:right w:val="single" w:sz="4" w:space="0" w:color="auto"/>
            </w:tcBorders>
            <w:tcMar>
              <w:top w:w="28" w:type="dxa"/>
              <w:left w:w="11" w:type="dxa"/>
              <w:bottom w:w="28" w:type="dxa"/>
              <w:right w:w="11" w:type="dxa"/>
            </w:tcMar>
          </w:tcPr>
          <w:p w14:paraId="496161EB" w14:textId="77777777" w:rsidR="000923BB" w:rsidRPr="002C52B4" w:rsidRDefault="000923BB" w:rsidP="003A385F">
            <w:pPr>
              <w:jc w:val="center"/>
              <w:rPr>
                <w:rFonts w:cs="Arial"/>
                <w:sz w:val="16"/>
                <w:szCs w:val="16"/>
              </w:rPr>
            </w:pPr>
            <w:r w:rsidRPr="002C52B4">
              <w:rPr>
                <w:rFonts w:cs="Arial"/>
                <w:sz w:val="16"/>
                <w:szCs w:val="16"/>
              </w:rPr>
              <w:t>2</w:t>
            </w:r>
          </w:p>
        </w:tc>
        <w:tc>
          <w:tcPr>
            <w:tcW w:w="712" w:type="dxa"/>
            <w:vMerge w:val="restart"/>
            <w:tcBorders>
              <w:top w:val="single" w:sz="4" w:space="0" w:color="auto"/>
              <w:left w:val="single" w:sz="4" w:space="0" w:color="auto"/>
              <w:bottom w:val="nil"/>
              <w:right w:val="single" w:sz="4" w:space="0" w:color="auto"/>
            </w:tcBorders>
            <w:tcMar>
              <w:top w:w="28" w:type="dxa"/>
              <w:left w:w="11" w:type="dxa"/>
              <w:bottom w:w="28" w:type="dxa"/>
              <w:right w:w="11" w:type="dxa"/>
            </w:tcMar>
          </w:tcPr>
          <w:p w14:paraId="37F64811" w14:textId="77777777" w:rsidR="000923BB" w:rsidRPr="002C52B4" w:rsidRDefault="000923BB" w:rsidP="003A385F">
            <w:pPr>
              <w:jc w:val="center"/>
              <w:rPr>
                <w:rFonts w:cs="Arial"/>
                <w:sz w:val="16"/>
                <w:szCs w:val="16"/>
              </w:rPr>
            </w:pPr>
            <w:r w:rsidRPr="002C52B4">
              <w:rPr>
                <w:rFonts w:cs="Arial"/>
                <w:sz w:val="16"/>
                <w:szCs w:val="16"/>
              </w:rPr>
              <w:t>87</w:t>
            </w:r>
          </w:p>
        </w:tc>
        <w:tc>
          <w:tcPr>
            <w:tcW w:w="909" w:type="dxa"/>
            <w:tcBorders>
              <w:top w:val="single" w:sz="4" w:space="0" w:color="auto"/>
              <w:left w:val="single" w:sz="4" w:space="0" w:color="auto"/>
              <w:bottom w:val="nil"/>
              <w:right w:val="single" w:sz="4" w:space="0" w:color="auto"/>
            </w:tcBorders>
            <w:tcMar>
              <w:top w:w="28" w:type="dxa"/>
              <w:left w:w="11" w:type="dxa"/>
              <w:bottom w:w="28" w:type="dxa"/>
              <w:right w:w="11" w:type="dxa"/>
            </w:tcMar>
          </w:tcPr>
          <w:p w14:paraId="7E3789E4" w14:textId="77777777" w:rsidR="000923BB" w:rsidRPr="002C52B4" w:rsidRDefault="000923BB" w:rsidP="003A385F">
            <w:pPr>
              <w:rPr>
                <w:rFonts w:cs="Arial"/>
                <w:b/>
                <w:bCs/>
                <w:sz w:val="16"/>
                <w:szCs w:val="16"/>
              </w:rPr>
            </w:pPr>
            <w:r w:rsidRPr="002C52B4">
              <w:rPr>
                <w:rFonts w:cs="Arial"/>
                <w:b/>
                <w:bCs/>
                <w:sz w:val="16"/>
                <w:szCs w:val="16"/>
              </w:rPr>
              <w:t>Wtd mean:</w:t>
            </w:r>
          </w:p>
        </w:tc>
        <w:tc>
          <w:tcPr>
            <w:tcW w:w="1626" w:type="dxa"/>
            <w:tcBorders>
              <w:top w:val="single" w:sz="4" w:space="0" w:color="auto"/>
              <w:left w:val="single" w:sz="4" w:space="0" w:color="auto"/>
              <w:bottom w:val="nil"/>
              <w:right w:val="nil"/>
            </w:tcBorders>
            <w:tcMar>
              <w:top w:w="28" w:type="dxa"/>
              <w:left w:w="11" w:type="dxa"/>
              <w:bottom w:w="28" w:type="dxa"/>
              <w:right w:w="11" w:type="dxa"/>
            </w:tcMar>
          </w:tcPr>
          <w:p w14:paraId="33B1E83D" w14:textId="77777777" w:rsidR="000923BB" w:rsidRPr="002C52B4" w:rsidRDefault="000923BB" w:rsidP="003A385F">
            <w:pPr>
              <w:jc w:val="center"/>
              <w:rPr>
                <w:rFonts w:cs="Arial"/>
                <w:b/>
                <w:bCs/>
                <w:sz w:val="16"/>
                <w:szCs w:val="16"/>
              </w:rPr>
            </w:pPr>
            <w:r w:rsidRPr="002C52B4">
              <w:rPr>
                <w:rFonts w:cs="Arial"/>
                <w:b/>
                <w:bCs/>
                <w:sz w:val="16"/>
                <w:szCs w:val="16"/>
              </w:rPr>
              <w:t xml:space="preserve">  0.35</w:t>
            </w:r>
          </w:p>
        </w:tc>
        <w:tc>
          <w:tcPr>
            <w:tcW w:w="1139" w:type="dxa"/>
            <w:tcBorders>
              <w:top w:val="single" w:sz="4" w:space="0" w:color="auto"/>
              <w:left w:val="nil"/>
              <w:bottom w:val="nil"/>
              <w:right w:val="nil"/>
            </w:tcBorders>
            <w:tcMar>
              <w:top w:w="28" w:type="dxa"/>
              <w:left w:w="11" w:type="dxa"/>
              <w:bottom w:w="28" w:type="dxa"/>
              <w:right w:w="11" w:type="dxa"/>
            </w:tcMar>
          </w:tcPr>
          <w:p w14:paraId="4B27421A" w14:textId="77777777" w:rsidR="000923BB" w:rsidRPr="002C52B4" w:rsidRDefault="000923BB" w:rsidP="003A385F">
            <w:pPr>
              <w:jc w:val="center"/>
              <w:rPr>
                <w:rFonts w:cs="Arial"/>
                <w:b/>
                <w:bCs/>
                <w:sz w:val="16"/>
                <w:szCs w:val="16"/>
              </w:rPr>
            </w:pPr>
            <w:r w:rsidRPr="002C52B4">
              <w:rPr>
                <w:rFonts w:cs="Arial"/>
                <w:b/>
                <w:bCs/>
                <w:sz w:val="16"/>
                <w:szCs w:val="16"/>
              </w:rPr>
              <w:t xml:space="preserve">  0.10</w:t>
            </w:r>
          </w:p>
        </w:tc>
        <w:tc>
          <w:tcPr>
            <w:tcW w:w="1134" w:type="dxa"/>
            <w:gridSpan w:val="2"/>
            <w:tcBorders>
              <w:top w:val="single" w:sz="4" w:space="0" w:color="auto"/>
              <w:left w:val="nil"/>
              <w:bottom w:val="nil"/>
              <w:right w:val="single" w:sz="4" w:space="0" w:color="auto"/>
            </w:tcBorders>
            <w:tcMar>
              <w:top w:w="28" w:type="dxa"/>
              <w:left w:w="11" w:type="dxa"/>
              <w:bottom w:w="28" w:type="dxa"/>
              <w:right w:w="11" w:type="dxa"/>
            </w:tcMar>
          </w:tcPr>
          <w:p w14:paraId="3C1FC666" w14:textId="77777777" w:rsidR="000923BB" w:rsidRPr="002C52B4" w:rsidRDefault="000923BB" w:rsidP="003A385F">
            <w:pPr>
              <w:jc w:val="center"/>
              <w:rPr>
                <w:rFonts w:cs="Arial"/>
                <w:b/>
                <w:bCs/>
                <w:sz w:val="16"/>
                <w:szCs w:val="16"/>
              </w:rPr>
            </w:pPr>
            <w:r w:rsidRPr="002C52B4">
              <w:rPr>
                <w:rFonts w:cs="Arial"/>
                <w:b/>
                <w:bCs/>
                <w:sz w:val="16"/>
                <w:szCs w:val="16"/>
              </w:rPr>
              <w:t xml:space="preserve">  0.39</w:t>
            </w:r>
          </w:p>
        </w:tc>
        <w:tc>
          <w:tcPr>
            <w:tcW w:w="1418" w:type="dxa"/>
            <w:gridSpan w:val="2"/>
            <w:tcBorders>
              <w:top w:val="single" w:sz="4" w:space="0" w:color="auto"/>
              <w:left w:val="single" w:sz="4" w:space="0" w:color="auto"/>
              <w:bottom w:val="nil"/>
              <w:right w:val="single" w:sz="4" w:space="0" w:color="auto"/>
            </w:tcBorders>
            <w:tcMar>
              <w:top w:w="28" w:type="dxa"/>
              <w:left w:w="11" w:type="dxa"/>
              <w:bottom w:w="28" w:type="dxa"/>
              <w:right w:w="11" w:type="dxa"/>
            </w:tcMar>
          </w:tcPr>
          <w:p w14:paraId="2A0B0090" w14:textId="77777777" w:rsidR="000923BB" w:rsidRPr="002C52B4" w:rsidRDefault="000923BB" w:rsidP="003A385F">
            <w:pPr>
              <w:jc w:val="center"/>
              <w:rPr>
                <w:rFonts w:cs="Arial"/>
                <w:b/>
                <w:bCs/>
                <w:sz w:val="16"/>
                <w:szCs w:val="16"/>
              </w:rPr>
            </w:pPr>
            <w:r w:rsidRPr="002C52B4">
              <w:rPr>
                <w:rFonts w:cs="Arial"/>
                <w:b/>
                <w:bCs/>
                <w:sz w:val="16"/>
                <w:szCs w:val="16"/>
              </w:rPr>
              <w:t xml:space="preserve">  0.47</w:t>
            </w:r>
          </w:p>
        </w:tc>
      </w:tr>
      <w:tr w:rsidR="000923BB" w:rsidRPr="00C57BF6" w14:paraId="7D9DA5BB" w14:textId="77777777" w:rsidTr="00282EAD">
        <w:trPr>
          <w:cantSplit/>
          <w:trHeight w:val="148"/>
        </w:trPr>
        <w:tc>
          <w:tcPr>
            <w:tcW w:w="1281" w:type="dxa"/>
            <w:vMerge/>
            <w:tcBorders>
              <w:top w:val="nil"/>
              <w:left w:val="single" w:sz="4" w:space="0" w:color="auto"/>
              <w:bottom w:val="nil"/>
              <w:right w:val="single" w:sz="4" w:space="0" w:color="auto"/>
            </w:tcBorders>
            <w:tcMar>
              <w:top w:w="28" w:type="dxa"/>
              <w:left w:w="11" w:type="dxa"/>
              <w:bottom w:w="28" w:type="dxa"/>
              <w:right w:w="11" w:type="dxa"/>
            </w:tcMar>
          </w:tcPr>
          <w:p w14:paraId="2FE2B583" w14:textId="77777777" w:rsidR="000923BB" w:rsidRPr="002C52B4" w:rsidRDefault="000923BB" w:rsidP="003A385F">
            <w:pPr>
              <w:rPr>
                <w:rFonts w:cs="Arial"/>
                <w:sz w:val="16"/>
                <w:szCs w:val="16"/>
              </w:rPr>
            </w:pPr>
          </w:p>
        </w:tc>
        <w:tc>
          <w:tcPr>
            <w:tcW w:w="854" w:type="dxa"/>
            <w:vMerge/>
            <w:tcBorders>
              <w:top w:val="nil"/>
              <w:left w:val="single" w:sz="4" w:space="0" w:color="auto"/>
              <w:bottom w:val="nil"/>
              <w:right w:val="single" w:sz="4" w:space="0" w:color="auto"/>
            </w:tcBorders>
            <w:tcMar>
              <w:top w:w="28" w:type="dxa"/>
              <w:left w:w="11" w:type="dxa"/>
              <w:bottom w:w="28" w:type="dxa"/>
              <w:right w:w="11" w:type="dxa"/>
            </w:tcMar>
          </w:tcPr>
          <w:p w14:paraId="275A2BE0" w14:textId="77777777" w:rsidR="000923BB" w:rsidRPr="002C52B4" w:rsidRDefault="000923BB" w:rsidP="003A385F">
            <w:pPr>
              <w:jc w:val="center"/>
              <w:rPr>
                <w:rFonts w:cs="Arial"/>
                <w:sz w:val="16"/>
                <w:szCs w:val="16"/>
              </w:rPr>
            </w:pPr>
          </w:p>
        </w:tc>
        <w:tc>
          <w:tcPr>
            <w:tcW w:w="712" w:type="dxa"/>
            <w:vMerge/>
            <w:tcBorders>
              <w:top w:val="nil"/>
              <w:left w:val="single" w:sz="4" w:space="0" w:color="auto"/>
              <w:bottom w:val="nil"/>
              <w:right w:val="single" w:sz="4" w:space="0" w:color="auto"/>
            </w:tcBorders>
            <w:tcMar>
              <w:top w:w="28" w:type="dxa"/>
              <w:left w:w="11" w:type="dxa"/>
              <w:bottom w:w="28" w:type="dxa"/>
              <w:right w:w="11" w:type="dxa"/>
            </w:tcMar>
          </w:tcPr>
          <w:p w14:paraId="4951ED37" w14:textId="77777777" w:rsidR="000923BB" w:rsidRPr="002C52B4" w:rsidRDefault="000923BB" w:rsidP="003A385F">
            <w:pPr>
              <w:jc w:val="center"/>
              <w:rPr>
                <w:rFonts w:cs="Arial"/>
                <w:sz w:val="16"/>
                <w:szCs w:val="16"/>
              </w:rPr>
            </w:pPr>
          </w:p>
        </w:tc>
        <w:tc>
          <w:tcPr>
            <w:tcW w:w="909" w:type="dxa"/>
            <w:tcBorders>
              <w:top w:val="nil"/>
              <w:left w:val="single" w:sz="4" w:space="0" w:color="auto"/>
              <w:bottom w:val="nil"/>
              <w:right w:val="single" w:sz="4" w:space="0" w:color="auto"/>
            </w:tcBorders>
            <w:tcMar>
              <w:top w:w="28" w:type="dxa"/>
              <w:left w:w="11" w:type="dxa"/>
              <w:bottom w:w="28" w:type="dxa"/>
              <w:right w:w="11" w:type="dxa"/>
            </w:tcMar>
          </w:tcPr>
          <w:p w14:paraId="670643B3" w14:textId="77777777" w:rsidR="000923BB" w:rsidRPr="002C52B4" w:rsidRDefault="000923BB" w:rsidP="003A385F">
            <w:pPr>
              <w:rPr>
                <w:rFonts w:cs="Arial"/>
                <w:b/>
                <w:bCs/>
                <w:sz w:val="16"/>
                <w:szCs w:val="16"/>
              </w:rPr>
            </w:pPr>
            <w:r w:rsidRPr="002C52B4">
              <w:rPr>
                <w:rFonts w:cs="Arial"/>
                <w:b/>
                <w:bCs/>
                <w:sz w:val="16"/>
                <w:szCs w:val="16"/>
              </w:rPr>
              <w:t>95% CI:</w:t>
            </w:r>
          </w:p>
        </w:tc>
        <w:tc>
          <w:tcPr>
            <w:tcW w:w="1626" w:type="dxa"/>
            <w:tcBorders>
              <w:top w:val="nil"/>
              <w:left w:val="single" w:sz="4" w:space="0" w:color="auto"/>
              <w:bottom w:val="nil"/>
              <w:right w:val="nil"/>
            </w:tcBorders>
            <w:tcMar>
              <w:top w:w="28" w:type="dxa"/>
              <w:left w:w="11" w:type="dxa"/>
              <w:bottom w:w="28" w:type="dxa"/>
              <w:right w:w="11" w:type="dxa"/>
            </w:tcMar>
          </w:tcPr>
          <w:p w14:paraId="7660195E" w14:textId="77777777" w:rsidR="000923BB" w:rsidRPr="002C52B4" w:rsidRDefault="000923BB" w:rsidP="003A385F">
            <w:pPr>
              <w:jc w:val="center"/>
              <w:rPr>
                <w:rFonts w:cs="Arial"/>
                <w:sz w:val="16"/>
                <w:szCs w:val="16"/>
              </w:rPr>
            </w:pPr>
            <w:r w:rsidRPr="002C52B4">
              <w:rPr>
                <w:rFonts w:cs="Arial"/>
                <w:sz w:val="16"/>
                <w:szCs w:val="16"/>
              </w:rPr>
              <w:t>0.16 to 0.54</w:t>
            </w:r>
          </w:p>
        </w:tc>
        <w:tc>
          <w:tcPr>
            <w:tcW w:w="1139" w:type="dxa"/>
            <w:tcBorders>
              <w:top w:val="nil"/>
              <w:left w:val="nil"/>
              <w:bottom w:val="nil"/>
              <w:right w:val="nil"/>
            </w:tcBorders>
            <w:tcMar>
              <w:top w:w="28" w:type="dxa"/>
              <w:left w:w="11" w:type="dxa"/>
              <w:bottom w:w="28" w:type="dxa"/>
              <w:right w:w="11" w:type="dxa"/>
            </w:tcMar>
          </w:tcPr>
          <w:p w14:paraId="5FBA2834" w14:textId="77777777" w:rsidR="000923BB" w:rsidRPr="002C52B4" w:rsidRDefault="000923BB" w:rsidP="003A385F">
            <w:pPr>
              <w:jc w:val="center"/>
              <w:rPr>
                <w:rFonts w:cs="Arial"/>
                <w:sz w:val="16"/>
                <w:szCs w:val="16"/>
              </w:rPr>
            </w:pPr>
            <w:r w:rsidRPr="002C52B4">
              <w:rPr>
                <w:rFonts w:cs="Arial"/>
                <w:sz w:val="16"/>
                <w:szCs w:val="16"/>
              </w:rPr>
              <w:t>-0.10 to 0.30</w:t>
            </w:r>
          </w:p>
        </w:tc>
        <w:tc>
          <w:tcPr>
            <w:tcW w:w="1134" w:type="dxa"/>
            <w:gridSpan w:val="2"/>
            <w:tcBorders>
              <w:top w:val="nil"/>
              <w:left w:val="nil"/>
              <w:bottom w:val="nil"/>
              <w:right w:val="single" w:sz="4" w:space="0" w:color="auto"/>
            </w:tcBorders>
            <w:tcMar>
              <w:top w:w="28" w:type="dxa"/>
              <w:left w:w="11" w:type="dxa"/>
              <w:bottom w:w="28" w:type="dxa"/>
              <w:right w:w="11" w:type="dxa"/>
            </w:tcMar>
          </w:tcPr>
          <w:p w14:paraId="03A532E1" w14:textId="77777777" w:rsidR="000923BB" w:rsidRPr="002C52B4" w:rsidRDefault="000923BB" w:rsidP="003A385F">
            <w:pPr>
              <w:jc w:val="center"/>
              <w:rPr>
                <w:rFonts w:cs="Arial"/>
                <w:sz w:val="16"/>
                <w:szCs w:val="16"/>
              </w:rPr>
            </w:pPr>
            <w:r w:rsidRPr="002C52B4">
              <w:rPr>
                <w:rFonts w:cs="Arial"/>
                <w:sz w:val="16"/>
                <w:szCs w:val="16"/>
              </w:rPr>
              <w:t>0.21 to 0.57</w:t>
            </w:r>
          </w:p>
        </w:tc>
        <w:tc>
          <w:tcPr>
            <w:tcW w:w="1418" w:type="dxa"/>
            <w:gridSpan w:val="2"/>
            <w:tcBorders>
              <w:top w:val="nil"/>
              <w:left w:val="single" w:sz="4" w:space="0" w:color="auto"/>
              <w:bottom w:val="nil"/>
              <w:right w:val="single" w:sz="4" w:space="0" w:color="auto"/>
            </w:tcBorders>
            <w:tcMar>
              <w:top w:w="28" w:type="dxa"/>
              <w:left w:w="11" w:type="dxa"/>
              <w:bottom w:w="28" w:type="dxa"/>
              <w:right w:w="11" w:type="dxa"/>
            </w:tcMar>
          </w:tcPr>
          <w:p w14:paraId="739D88FF" w14:textId="77777777" w:rsidR="000923BB" w:rsidRPr="002C52B4" w:rsidRDefault="000923BB" w:rsidP="003A385F">
            <w:pPr>
              <w:jc w:val="center"/>
              <w:rPr>
                <w:rFonts w:cs="Arial"/>
                <w:sz w:val="16"/>
                <w:szCs w:val="16"/>
              </w:rPr>
            </w:pPr>
            <w:r w:rsidRPr="002C52B4">
              <w:rPr>
                <w:rFonts w:cs="Arial"/>
                <w:sz w:val="16"/>
                <w:szCs w:val="16"/>
              </w:rPr>
              <w:t>0.22 to 0.66</w:t>
            </w:r>
          </w:p>
        </w:tc>
      </w:tr>
      <w:tr w:rsidR="000923BB" w:rsidRPr="00C57BF6" w14:paraId="344B9A1E" w14:textId="77777777" w:rsidTr="00282EAD">
        <w:trPr>
          <w:cantSplit/>
          <w:trHeight w:val="349"/>
        </w:trPr>
        <w:tc>
          <w:tcPr>
            <w:tcW w:w="1281" w:type="dxa"/>
            <w:vMerge/>
            <w:tcBorders>
              <w:top w:val="nil"/>
              <w:left w:val="single" w:sz="4" w:space="0" w:color="auto"/>
              <w:bottom w:val="single" w:sz="12" w:space="0" w:color="auto"/>
              <w:right w:val="single" w:sz="4" w:space="0" w:color="auto"/>
            </w:tcBorders>
            <w:tcMar>
              <w:top w:w="28" w:type="dxa"/>
              <w:left w:w="11" w:type="dxa"/>
              <w:bottom w:w="28" w:type="dxa"/>
              <w:right w:w="11" w:type="dxa"/>
            </w:tcMar>
          </w:tcPr>
          <w:p w14:paraId="23EBE3F5" w14:textId="77777777" w:rsidR="000923BB" w:rsidRPr="002C52B4" w:rsidRDefault="000923BB" w:rsidP="003A385F">
            <w:pPr>
              <w:rPr>
                <w:rFonts w:cs="Arial"/>
                <w:sz w:val="16"/>
                <w:szCs w:val="16"/>
              </w:rPr>
            </w:pPr>
          </w:p>
        </w:tc>
        <w:tc>
          <w:tcPr>
            <w:tcW w:w="854" w:type="dxa"/>
            <w:vMerge/>
            <w:tcBorders>
              <w:top w:val="nil"/>
              <w:left w:val="single" w:sz="4" w:space="0" w:color="auto"/>
              <w:bottom w:val="single" w:sz="12" w:space="0" w:color="auto"/>
              <w:right w:val="single" w:sz="4" w:space="0" w:color="auto"/>
            </w:tcBorders>
            <w:tcMar>
              <w:top w:w="28" w:type="dxa"/>
              <w:left w:w="11" w:type="dxa"/>
              <w:bottom w:w="28" w:type="dxa"/>
              <w:right w:w="11" w:type="dxa"/>
            </w:tcMar>
          </w:tcPr>
          <w:p w14:paraId="2B94EC92" w14:textId="77777777" w:rsidR="000923BB" w:rsidRPr="002C52B4" w:rsidRDefault="000923BB" w:rsidP="003A385F">
            <w:pPr>
              <w:jc w:val="center"/>
              <w:rPr>
                <w:rFonts w:cs="Arial"/>
                <w:sz w:val="16"/>
                <w:szCs w:val="16"/>
              </w:rPr>
            </w:pPr>
          </w:p>
        </w:tc>
        <w:tc>
          <w:tcPr>
            <w:tcW w:w="712" w:type="dxa"/>
            <w:vMerge/>
            <w:tcBorders>
              <w:top w:val="nil"/>
              <w:left w:val="single" w:sz="4" w:space="0" w:color="auto"/>
              <w:bottom w:val="single" w:sz="12" w:space="0" w:color="auto"/>
              <w:right w:val="single" w:sz="4" w:space="0" w:color="auto"/>
            </w:tcBorders>
            <w:tcMar>
              <w:top w:w="28" w:type="dxa"/>
              <w:left w:w="11" w:type="dxa"/>
              <w:bottom w:w="28" w:type="dxa"/>
              <w:right w:w="11" w:type="dxa"/>
            </w:tcMar>
          </w:tcPr>
          <w:p w14:paraId="0B446A38" w14:textId="77777777" w:rsidR="000923BB" w:rsidRPr="002C52B4" w:rsidRDefault="000923BB" w:rsidP="003A385F">
            <w:pPr>
              <w:jc w:val="center"/>
              <w:rPr>
                <w:rFonts w:cs="Arial"/>
                <w:sz w:val="16"/>
                <w:szCs w:val="16"/>
              </w:rPr>
            </w:pPr>
          </w:p>
        </w:tc>
        <w:tc>
          <w:tcPr>
            <w:tcW w:w="909" w:type="dxa"/>
            <w:tcBorders>
              <w:top w:val="nil"/>
              <w:left w:val="single" w:sz="4" w:space="0" w:color="auto"/>
              <w:bottom w:val="single" w:sz="12" w:space="0" w:color="auto"/>
              <w:right w:val="single" w:sz="4" w:space="0" w:color="auto"/>
            </w:tcBorders>
            <w:tcMar>
              <w:top w:w="28" w:type="dxa"/>
              <w:left w:w="11" w:type="dxa"/>
              <w:bottom w:w="28" w:type="dxa"/>
              <w:right w:w="11" w:type="dxa"/>
            </w:tcMar>
          </w:tcPr>
          <w:p w14:paraId="5AAB9D44" w14:textId="77777777" w:rsidR="000923BB" w:rsidRPr="002C52B4" w:rsidRDefault="000923BB" w:rsidP="003A385F">
            <w:pPr>
              <w:rPr>
                <w:rFonts w:cs="Arial"/>
                <w:b/>
                <w:bCs/>
                <w:sz w:val="16"/>
                <w:szCs w:val="16"/>
              </w:rPr>
            </w:pPr>
            <w:r w:rsidRPr="002C52B4">
              <w:rPr>
                <w:rFonts w:cs="Arial"/>
                <w:b/>
                <w:bCs/>
                <w:sz w:val="16"/>
                <w:szCs w:val="16"/>
              </w:rPr>
              <w:t>Range:</w:t>
            </w:r>
          </w:p>
        </w:tc>
        <w:tc>
          <w:tcPr>
            <w:tcW w:w="1626" w:type="dxa"/>
            <w:tcBorders>
              <w:top w:val="nil"/>
              <w:left w:val="single" w:sz="4" w:space="0" w:color="auto"/>
              <w:bottom w:val="single" w:sz="12" w:space="0" w:color="auto"/>
              <w:right w:val="nil"/>
            </w:tcBorders>
            <w:tcMar>
              <w:top w:w="28" w:type="dxa"/>
              <w:left w:w="11" w:type="dxa"/>
              <w:bottom w:w="28" w:type="dxa"/>
              <w:right w:w="11" w:type="dxa"/>
            </w:tcMar>
          </w:tcPr>
          <w:p w14:paraId="04BD1904" w14:textId="77777777" w:rsidR="000923BB" w:rsidRPr="002C52B4" w:rsidRDefault="000923BB" w:rsidP="003A385F">
            <w:pPr>
              <w:jc w:val="center"/>
              <w:rPr>
                <w:rFonts w:cs="Arial"/>
                <w:sz w:val="16"/>
                <w:szCs w:val="16"/>
              </w:rPr>
            </w:pPr>
            <w:r w:rsidRPr="002C52B4">
              <w:rPr>
                <w:rFonts w:cs="Arial"/>
                <w:sz w:val="16"/>
                <w:szCs w:val="16"/>
              </w:rPr>
              <w:t>0.31 to 0.38</w:t>
            </w:r>
          </w:p>
        </w:tc>
        <w:tc>
          <w:tcPr>
            <w:tcW w:w="1139" w:type="dxa"/>
            <w:tcBorders>
              <w:top w:val="nil"/>
              <w:left w:val="nil"/>
              <w:bottom w:val="single" w:sz="12" w:space="0" w:color="auto"/>
              <w:right w:val="nil"/>
            </w:tcBorders>
            <w:tcMar>
              <w:top w:w="28" w:type="dxa"/>
              <w:left w:w="11" w:type="dxa"/>
              <w:bottom w:w="28" w:type="dxa"/>
              <w:right w:w="11" w:type="dxa"/>
            </w:tcMar>
          </w:tcPr>
          <w:p w14:paraId="657563BA" w14:textId="77777777" w:rsidR="000923BB" w:rsidRPr="002C52B4" w:rsidRDefault="000923BB" w:rsidP="003A385F">
            <w:pPr>
              <w:jc w:val="center"/>
              <w:rPr>
                <w:rFonts w:cs="Arial"/>
                <w:sz w:val="16"/>
                <w:szCs w:val="16"/>
              </w:rPr>
            </w:pPr>
            <w:r w:rsidRPr="002C52B4">
              <w:rPr>
                <w:rFonts w:cs="Arial"/>
                <w:sz w:val="16"/>
                <w:szCs w:val="16"/>
              </w:rPr>
              <w:t>-0.11 to 0.27</w:t>
            </w:r>
          </w:p>
        </w:tc>
        <w:tc>
          <w:tcPr>
            <w:tcW w:w="1134" w:type="dxa"/>
            <w:gridSpan w:val="2"/>
            <w:tcBorders>
              <w:top w:val="nil"/>
              <w:left w:val="nil"/>
              <w:bottom w:val="single" w:sz="12" w:space="0" w:color="auto"/>
              <w:right w:val="single" w:sz="4" w:space="0" w:color="auto"/>
            </w:tcBorders>
            <w:tcMar>
              <w:top w:w="28" w:type="dxa"/>
              <w:left w:w="11" w:type="dxa"/>
              <w:bottom w:w="28" w:type="dxa"/>
              <w:right w:w="11" w:type="dxa"/>
            </w:tcMar>
          </w:tcPr>
          <w:p w14:paraId="637FB607" w14:textId="77777777" w:rsidR="000923BB" w:rsidRPr="002C52B4" w:rsidRDefault="000923BB" w:rsidP="003A385F">
            <w:pPr>
              <w:jc w:val="center"/>
              <w:rPr>
                <w:rFonts w:cs="Arial"/>
                <w:sz w:val="16"/>
                <w:szCs w:val="16"/>
              </w:rPr>
            </w:pPr>
            <w:r w:rsidRPr="002C52B4">
              <w:rPr>
                <w:rFonts w:cs="Arial"/>
                <w:sz w:val="16"/>
                <w:szCs w:val="16"/>
              </w:rPr>
              <w:t>0.32 to 0.45</w:t>
            </w:r>
          </w:p>
        </w:tc>
        <w:tc>
          <w:tcPr>
            <w:tcW w:w="1418" w:type="dxa"/>
            <w:gridSpan w:val="2"/>
            <w:tcBorders>
              <w:top w:val="nil"/>
              <w:left w:val="single" w:sz="4" w:space="0" w:color="auto"/>
              <w:bottom w:val="single" w:sz="12" w:space="0" w:color="auto"/>
              <w:right w:val="single" w:sz="4" w:space="0" w:color="auto"/>
            </w:tcBorders>
            <w:tcMar>
              <w:top w:w="28" w:type="dxa"/>
              <w:left w:w="11" w:type="dxa"/>
              <w:bottom w:w="28" w:type="dxa"/>
              <w:right w:w="11" w:type="dxa"/>
            </w:tcMar>
          </w:tcPr>
          <w:p w14:paraId="3577141E" w14:textId="77777777" w:rsidR="000923BB" w:rsidRPr="002C52B4" w:rsidRDefault="000923BB" w:rsidP="003A385F">
            <w:pPr>
              <w:jc w:val="center"/>
              <w:rPr>
                <w:rFonts w:cs="Arial"/>
                <w:sz w:val="16"/>
                <w:szCs w:val="16"/>
              </w:rPr>
            </w:pPr>
            <w:r w:rsidRPr="002C52B4">
              <w:rPr>
                <w:rFonts w:cs="Arial"/>
                <w:sz w:val="16"/>
                <w:szCs w:val="16"/>
              </w:rPr>
              <w:t>0.47 to 0.47</w:t>
            </w:r>
          </w:p>
        </w:tc>
      </w:tr>
      <w:tr w:rsidR="000923BB" w:rsidRPr="00C57BF6" w14:paraId="0672FC33" w14:textId="77777777" w:rsidTr="00282EAD">
        <w:trPr>
          <w:trHeight w:val="807"/>
        </w:trPr>
        <w:tc>
          <w:tcPr>
            <w:tcW w:w="1281" w:type="dxa"/>
            <w:tcBorders>
              <w:top w:val="single" w:sz="12" w:space="0" w:color="auto"/>
              <w:left w:val="single" w:sz="4" w:space="0" w:color="auto"/>
              <w:bottom w:val="single" w:sz="4" w:space="0" w:color="auto"/>
              <w:right w:val="single" w:sz="4" w:space="0" w:color="auto"/>
            </w:tcBorders>
            <w:tcMar>
              <w:top w:w="28" w:type="dxa"/>
              <w:left w:w="11" w:type="dxa"/>
              <w:bottom w:w="28" w:type="dxa"/>
              <w:right w:w="11" w:type="dxa"/>
            </w:tcMar>
          </w:tcPr>
          <w:p w14:paraId="536434DC" w14:textId="77777777" w:rsidR="000923BB" w:rsidRPr="002C52B4" w:rsidRDefault="000923BB" w:rsidP="003A385F">
            <w:pPr>
              <w:rPr>
                <w:rFonts w:cs="Arial"/>
                <w:b/>
                <w:bCs/>
                <w:i/>
                <w:iCs/>
                <w:sz w:val="16"/>
                <w:szCs w:val="16"/>
              </w:rPr>
            </w:pPr>
            <w:r w:rsidRPr="002C52B4">
              <w:rPr>
                <w:rFonts w:cs="Arial"/>
                <w:b/>
                <w:bCs/>
                <w:i/>
                <w:iCs/>
                <w:sz w:val="16"/>
                <w:szCs w:val="16"/>
              </w:rPr>
              <w:t>Between staff type comparisons</w:t>
            </w:r>
          </w:p>
        </w:tc>
        <w:tc>
          <w:tcPr>
            <w:tcW w:w="7792" w:type="dxa"/>
            <w:gridSpan w:val="9"/>
            <w:tcBorders>
              <w:top w:val="single" w:sz="12" w:space="0" w:color="auto"/>
              <w:left w:val="single" w:sz="4" w:space="0" w:color="auto"/>
              <w:bottom w:val="single" w:sz="4" w:space="0" w:color="auto"/>
              <w:right w:val="single" w:sz="4" w:space="0" w:color="auto"/>
            </w:tcBorders>
            <w:tcMar>
              <w:top w:w="28" w:type="dxa"/>
              <w:left w:w="11" w:type="dxa"/>
              <w:bottom w:w="28" w:type="dxa"/>
              <w:right w:w="11" w:type="dxa"/>
            </w:tcMar>
          </w:tcPr>
          <w:p w14:paraId="464CAC18" w14:textId="77777777" w:rsidR="000923BB" w:rsidRPr="002C52B4" w:rsidRDefault="000923BB" w:rsidP="003A385F">
            <w:pPr>
              <w:jc w:val="center"/>
              <w:rPr>
                <w:rFonts w:cs="Arial"/>
                <w:b/>
                <w:bCs/>
                <w:sz w:val="16"/>
                <w:szCs w:val="16"/>
              </w:rPr>
            </w:pPr>
          </w:p>
        </w:tc>
      </w:tr>
      <w:tr w:rsidR="000923BB" w:rsidRPr="00C57BF6" w14:paraId="29FA5414" w14:textId="77777777" w:rsidTr="00282EAD">
        <w:trPr>
          <w:cantSplit/>
          <w:trHeight w:val="446"/>
        </w:trPr>
        <w:tc>
          <w:tcPr>
            <w:tcW w:w="1281" w:type="dxa"/>
            <w:vMerge w:val="restart"/>
            <w:tcBorders>
              <w:top w:val="single" w:sz="12" w:space="0" w:color="auto"/>
              <w:left w:val="single" w:sz="4" w:space="0" w:color="auto"/>
              <w:bottom w:val="single" w:sz="4" w:space="0" w:color="auto"/>
              <w:right w:val="single" w:sz="4" w:space="0" w:color="auto"/>
            </w:tcBorders>
            <w:tcMar>
              <w:top w:w="28" w:type="dxa"/>
              <w:left w:w="11" w:type="dxa"/>
              <w:bottom w:w="28" w:type="dxa"/>
              <w:right w:w="11" w:type="dxa"/>
            </w:tcMar>
          </w:tcPr>
          <w:p w14:paraId="0441DE16" w14:textId="77777777" w:rsidR="000923BB" w:rsidRPr="002C52B4" w:rsidRDefault="000923BB" w:rsidP="003A385F">
            <w:pPr>
              <w:rPr>
                <w:rFonts w:cs="Arial"/>
                <w:b/>
                <w:bCs/>
                <w:sz w:val="16"/>
                <w:szCs w:val="16"/>
              </w:rPr>
            </w:pPr>
            <w:r w:rsidRPr="002C52B4">
              <w:rPr>
                <w:rFonts w:cs="Arial"/>
                <w:sz w:val="16"/>
                <w:szCs w:val="16"/>
              </w:rPr>
              <w:t>Doctor vs Nurse/clinical</w:t>
            </w:r>
          </w:p>
        </w:tc>
        <w:tc>
          <w:tcPr>
            <w:tcW w:w="854" w:type="dxa"/>
            <w:vMerge w:val="restart"/>
            <w:tcBorders>
              <w:top w:val="single" w:sz="12" w:space="0" w:color="auto"/>
              <w:left w:val="single" w:sz="4" w:space="0" w:color="auto"/>
              <w:bottom w:val="single" w:sz="4" w:space="0" w:color="auto"/>
              <w:right w:val="single" w:sz="4" w:space="0" w:color="auto"/>
            </w:tcBorders>
            <w:tcMar>
              <w:top w:w="28" w:type="dxa"/>
              <w:left w:w="11" w:type="dxa"/>
              <w:bottom w:w="28" w:type="dxa"/>
              <w:right w:w="11" w:type="dxa"/>
            </w:tcMar>
          </w:tcPr>
          <w:p w14:paraId="6DF1B640" w14:textId="77777777" w:rsidR="000923BB" w:rsidRPr="002C52B4" w:rsidRDefault="000923BB" w:rsidP="003A385F">
            <w:pPr>
              <w:jc w:val="center"/>
              <w:rPr>
                <w:rFonts w:cs="Arial"/>
                <w:sz w:val="16"/>
                <w:szCs w:val="16"/>
              </w:rPr>
            </w:pPr>
            <w:r w:rsidRPr="002C52B4">
              <w:rPr>
                <w:rFonts w:cs="Arial"/>
                <w:sz w:val="16"/>
                <w:szCs w:val="16"/>
              </w:rPr>
              <w:t>5</w:t>
            </w:r>
          </w:p>
        </w:tc>
        <w:tc>
          <w:tcPr>
            <w:tcW w:w="712" w:type="dxa"/>
            <w:vMerge w:val="restart"/>
            <w:tcBorders>
              <w:top w:val="single" w:sz="12" w:space="0" w:color="auto"/>
              <w:left w:val="single" w:sz="4" w:space="0" w:color="auto"/>
              <w:bottom w:val="single" w:sz="4" w:space="0" w:color="auto"/>
              <w:right w:val="single" w:sz="4" w:space="0" w:color="auto"/>
            </w:tcBorders>
            <w:tcMar>
              <w:top w:w="28" w:type="dxa"/>
              <w:left w:w="11" w:type="dxa"/>
              <w:bottom w:w="28" w:type="dxa"/>
              <w:right w:w="11" w:type="dxa"/>
            </w:tcMar>
          </w:tcPr>
          <w:p w14:paraId="6CE9A14B" w14:textId="77777777" w:rsidR="000923BB" w:rsidRPr="002C52B4" w:rsidRDefault="000923BB" w:rsidP="003A385F">
            <w:pPr>
              <w:jc w:val="center"/>
              <w:rPr>
                <w:rFonts w:cs="Arial"/>
                <w:sz w:val="16"/>
                <w:szCs w:val="16"/>
              </w:rPr>
            </w:pPr>
            <w:r w:rsidRPr="002C52B4">
              <w:rPr>
                <w:rFonts w:cs="Arial"/>
                <w:sz w:val="16"/>
                <w:szCs w:val="16"/>
              </w:rPr>
              <w:t>179</w:t>
            </w:r>
          </w:p>
        </w:tc>
        <w:tc>
          <w:tcPr>
            <w:tcW w:w="909" w:type="dxa"/>
            <w:tcBorders>
              <w:top w:val="single" w:sz="12" w:space="0" w:color="auto"/>
              <w:left w:val="single" w:sz="4" w:space="0" w:color="auto"/>
              <w:bottom w:val="nil"/>
              <w:right w:val="single" w:sz="4" w:space="0" w:color="auto"/>
            </w:tcBorders>
            <w:tcMar>
              <w:top w:w="28" w:type="dxa"/>
              <w:left w:w="11" w:type="dxa"/>
              <w:bottom w:w="28" w:type="dxa"/>
              <w:right w:w="11" w:type="dxa"/>
            </w:tcMar>
          </w:tcPr>
          <w:p w14:paraId="59DDB7C0" w14:textId="77777777" w:rsidR="000923BB" w:rsidRPr="002C52B4" w:rsidRDefault="000923BB" w:rsidP="003A385F">
            <w:pPr>
              <w:rPr>
                <w:rFonts w:cs="Arial"/>
                <w:b/>
                <w:bCs/>
                <w:sz w:val="16"/>
                <w:szCs w:val="16"/>
              </w:rPr>
            </w:pPr>
            <w:r w:rsidRPr="002C52B4">
              <w:rPr>
                <w:rFonts w:cs="Arial"/>
                <w:b/>
                <w:bCs/>
                <w:sz w:val="16"/>
                <w:szCs w:val="16"/>
              </w:rPr>
              <w:t>Wtd mean:</w:t>
            </w:r>
          </w:p>
        </w:tc>
        <w:tc>
          <w:tcPr>
            <w:tcW w:w="1626" w:type="dxa"/>
            <w:tcBorders>
              <w:top w:val="single" w:sz="12" w:space="0" w:color="auto"/>
              <w:left w:val="single" w:sz="4" w:space="0" w:color="auto"/>
              <w:bottom w:val="nil"/>
              <w:right w:val="nil"/>
            </w:tcBorders>
            <w:tcMar>
              <w:top w:w="28" w:type="dxa"/>
              <w:left w:w="11" w:type="dxa"/>
              <w:bottom w:w="28" w:type="dxa"/>
              <w:right w:w="11" w:type="dxa"/>
            </w:tcMar>
          </w:tcPr>
          <w:p w14:paraId="29DF242E" w14:textId="77777777" w:rsidR="000923BB" w:rsidRPr="002C52B4" w:rsidRDefault="000923BB" w:rsidP="003A385F">
            <w:pPr>
              <w:jc w:val="center"/>
              <w:rPr>
                <w:rFonts w:cs="Arial"/>
                <w:b/>
                <w:bCs/>
                <w:sz w:val="16"/>
                <w:szCs w:val="16"/>
              </w:rPr>
            </w:pPr>
            <w:r w:rsidRPr="002C52B4">
              <w:rPr>
                <w:rFonts w:cs="Arial"/>
                <w:b/>
                <w:bCs/>
                <w:sz w:val="16"/>
                <w:szCs w:val="16"/>
              </w:rPr>
              <w:t>0.23</w:t>
            </w:r>
          </w:p>
        </w:tc>
        <w:tc>
          <w:tcPr>
            <w:tcW w:w="1264" w:type="dxa"/>
            <w:gridSpan w:val="2"/>
            <w:tcBorders>
              <w:top w:val="single" w:sz="12" w:space="0" w:color="auto"/>
              <w:left w:val="nil"/>
              <w:bottom w:val="nil"/>
              <w:right w:val="nil"/>
            </w:tcBorders>
            <w:tcMar>
              <w:top w:w="28" w:type="dxa"/>
              <w:left w:w="11" w:type="dxa"/>
              <w:bottom w:w="28" w:type="dxa"/>
              <w:right w:w="11" w:type="dxa"/>
            </w:tcMar>
          </w:tcPr>
          <w:p w14:paraId="707BD3F9" w14:textId="77777777" w:rsidR="000923BB" w:rsidRPr="002C52B4" w:rsidRDefault="000923BB" w:rsidP="003A385F">
            <w:pPr>
              <w:jc w:val="center"/>
              <w:rPr>
                <w:rFonts w:cs="Arial"/>
                <w:b/>
                <w:bCs/>
                <w:sz w:val="16"/>
                <w:szCs w:val="16"/>
              </w:rPr>
            </w:pPr>
            <w:r w:rsidRPr="002C52B4">
              <w:rPr>
                <w:rFonts w:cs="Arial"/>
                <w:b/>
                <w:bCs/>
                <w:sz w:val="16"/>
                <w:szCs w:val="16"/>
              </w:rPr>
              <w:t>0.25</w:t>
            </w:r>
          </w:p>
        </w:tc>
        <w:tc>
          <w:tcPr>
            <w:tcW w:w="1445" w:type="dxa"/>
            <w:gridSpan w:val="2"/>
            <w:tcBorders>
              <w:top w:val="single" w:sz="12" w:space="0" w:color="auto"/>
              <w:left w:val="nil"/>
              <w:bottom w:val="nil"/>
              <w:right w:val="single" w:sz="4" w:space="0" w:color="auto"/>
            </w:tcBorders>
            <w:tcMar>
              <w:top w:w="28" w:type="dxa"/>
              <w:left w:w="11" w:type="dxa"/>
              <w:bottom w:w="28" w:type="dxa"/>
              <w:right w:w="11" w:type="dxa"/>
            </w:tcMar>
          </w:tcPr>
          <w:p w14:paraId="597FDA70" w14:textId="77777777" w:rsidR="000923BB" w:rsidRPr="002C52B4" w:rsidRDefault="000923BB" w:rsidP="003A385F">
            <w:pPr>
              <w:jc w:val="center"/>
              <w:rPr>
                <w:rFonts w:cs="Arial"/>
                <w:b/>
                <w:bCs/>
                <w:sz w:val="16"/>
                <w:szCs w:val="16"/>
              </w:rPr>
            </w:pPr>
            <w:r w:rsidRPr="002C52B4">
              <w:rPr>
                <w:rFonts w:cs="Arial"/>
                <w:b/>
                <w:bCs/>
                <w:sz w:val="16"/>
                <w:szCs w:val="16"/>
              </w:rPr>
              <w:t>0.29</w:t>
            </w:r>
          </w:p>
        </w:tc>
        <w:tc>
          <w:tcPr>
            <w:tcW w:w="982" w:type="dxa"/>
            <w:tcBorders>
              <w:top w:val="single" w:sz="12" w:space="0" w:color="auto"/>
              <w:left w:val="single" w:sz="4" w:space="0" w:color="auto"/>
              <w:bottom w:val="nil"/>
              <w:right w:val="single" w:sz="4" w:space="0" w:color="auto"/>
            </w:tcBorders>
            <w:tcMar>
              <w:top w:w="28" w:type="dxa"/>
              <w:left w:w="11" w:type="dxa"/>
              <w:bottom w:w="28" w:type="dxa"/>
              <w:right w:w="11" w:type="dxa"/>
            </w:tcMar>
          </w:tcPr>
          <w:p w14:paraId="18EBD295" w14:textId="77777777" w:rsidR="000923BB" w:rsidRPr="002C52B4" w:rsidRDefault="000923BB" w:rsidP="003A385F">
            <w:pPr>
              <w:jc w:val="center"/>
              <w:rPr>
                <w:rFonts w:cs="Arial"/>
                <w:b/>
                <w:bCs/>
                <w:sz w:val="16"/>
                <w:szCs w:val="16"/>
              </w:rPr>
            </w:pPr>
            <w:r w:rsidRPr="002C52B4">
              <w:rPr>
                <w:rFonts w:cs="Arial"/>
                <w:b/>
                <w:bCs/>
                <w:sz w:val="16"/>
                <w:szCs w:val="16"/>
              </w:rPr>
              <w:t>0.43</w:t>
            </w:r>
          </w:p>
        </w:tc>
      </w:tr>
      <w:tr w:rsidR="000923BB" w:rsidRPr="00C57BF6" w14:paraId="5ADCDBED" w14:textId="77777777" w:rsidTr="00282EAD">
        <w:trPr>
          <w:cantSplit/>
          <w:trHeight w:val="148"/>
        </w:trPr>
        <w:tc>
          <w:tcPr>
            <w:tcW w:w="1281" w:type="dxa"/>
            <w:vMerge/>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037854B7" w14:textId="77777777" w:rsidR="000923BB" w:rsidRPr="002C52B4" w:rsidRDefault="000923BB" w:rsidP="003A385F">
            <w:pPr>
              <w:rPr>
                <w:rFonts w:cs="Arial"/>
                <w:sz w:val="16"/>
                <w:szCs w:val="16"/>
              </w:rPr>
            </w:pPr>
          </w:p>
        </w:tc>
        <w:tc>
          <w:tcPr>
            <w:tcW w:w="854" w:type="dxa"/>
            <w:vMerge/>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3A56B4F7" w14:textId="77777777" w:rsidR="000923BB" w:rsidRPr="002C52B4" w:rsidRDefault="000923BB" w:rsidP="003A385F">
            <w:pPr>
              <w:jc w:val="center"/>
              <w:rPr>
                <w:rFonts w:cs="Arial"/>
                <w:sz w:val="16"/>
                <w:szCs w:val="16"/>
              </w:rPr>
            </w:pPr>
          </w:p>
        </w:tc>
        <w:tc>
          <w:tcPr>
            <w:tcW w:w="712" w:type="dxa"/>
            <w:vMerge/>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2B694252" w14:textId="77777777" w:rsidR="000923BB" w:rsidRPr="002C52B4" w:rsidRDefault="000923BB" w:rsidP="003A385F">
            <w:pPr>
              <w:jc w:val="center"/>
              <w:rPr>
                <w:rFonts w:cs="Arial"/>
                <w:sz w:val="16"/>
                <w:szCs w:val="16"/>
              </w:rPr>
            </w:pPr>
          </w:p>
        </w:tc>
        <w:tc>
          <w:tcPr>
            <w:tcW w:w="909" w:type="dxa"/>
            <w:tcBorders>
              <w:top w:val="nil"/>
              <w:left w:val="single" w:sz="4" w:space="0" w:color="auto"/>
              <w:bottom w:val="nil"/>
              <w:right w:val="single" w:sz="4" w:space="0" w:color="auto"/>
            </w:tcBorders>
            <w:tcMar>
              <w:top w:w="28" w:type="dxa"/>
              <w:left w:w="11" w:type="dxa"/>
              <w:bottom w:w="28" w:type="dxa"/>
              <w:right w:w="11" w:type="dxa"/>
            </w:tcMar>
          </w:tcPr>
          <w:p w14:paraId="00220E6C" w14:textId="77777777" w:rsidR="000923BB" w:rsidRPr="002C52B4" w:rsidRDefault="000923BB" w:rsidP="003A385F">
            <w:pPr>
              <w:rPr>
                <w:rFonts w:cs="Arial"/>
                <w:b/>
                <w:bCs/>
                <w:sz w:val="16"/>
                <w:szCs w:val="16"/>
              </w:rPr>
            </w:pPr>
            <w:r w:rsidRPr="002C52B4">
              <w:rPr>
                <w:rFonts w:cs="Arial"/>
                <w:b/>
                <w:bCs/>
                <w:sz w:val="16"/>
                <w:szCs w:val="16"/>
              </w:rPr>
              <w:t>95% CI:</w:t>
            </w:r>
          </w:p>
        </w:tc>
        <w:tc>
          <w:tcPr>
            <w:tcW w:w="1626" w:type="dxa"/>
            <w:tcBorders>
              <w:top w:val="nil"/>
              <w:left w:val="single" w:sz="4" w:space="0" w:color="auto"/>
              <w:bottom w:val="nil"/>
              <w:right w:val="nil"/>
            </w:tcBorders>
            <w:tcMar>
              <w:top w:w="28" w:type="dxa"/>
              <w:left w:w="11" w:type="dxa"/>
              <w:bottom w:w="28" w:type="dxa"/>
              <w:right w:w="11" w:type="dxa"/>
            </w:tcMar>
          </w:tcPr>
          <w:p w14:paraId="358FF56A" w14:textId="77777777" w:rsidR="000923BB" w:rsidRPr="002C52B4" w:rsidRDefault="000923BB" w:rsidP="003A385F">
            <w:pPr>
              <w:jc w:val="center"/>
              <w:rPr>
                <w:rFonts w:cs="Arial"/>
                <w:sz w:val="16"/>
                <w:szCs w:val="16"/>
              </w:rPr>
            </w:pPr>
            <w:r w:rsidRPr="002C52B4">
              <w:rPr>
                <w:rFonts w:cs="Arial"/>
                <w:sz w:val="16"/>
                <w:szCs w:val="16"/>
              </w:rPr>
              <w:t>0.09 to 0.37</w:t>
            </w:r>
          </w:p>
        </w:tc>
        <w:tc>
          <w:tcPr>
            <w:tcW w:w="1264" w:type="dxa"/>
            <w:gridSpan w:val="2"/>
            <w:tcBorders>
              <w:top w:val="nil"/>
              <w:left w:val="nil"/>
              <w:bottom w:val="nil"/>
              <w:right w:val="nil"/>
            </w:tcBorders>
            <w:tcMar>
              <w:top w:w="28" w:type="dxa"/>
              <w:left w:w="11" w:type="dxa"/>
              <w:bottom w:w="28" w:type="dxa"/>
              <w:right w:w="11" w:type="dxa"/>
            </w:tcMar>
          </w:tcPr>
          <w:p w14:paraId="6EC6B57A" w14:textId="77777777" w:rsidR="000923BB" w:rsidRPr="002C52B4" w:rsidRDefault="000923BB" w:rsidP="003A385F">
            <w:pPr>
              <w:jc w:val="center"/>
              <w:rPr>
                <w:rFonts w:cs="Arial"/>
                <w:sz w:val="16"/>
                <w:szCs w:val="16"/>
              </w:rPr>
            </w:pPr>
            <w:r w:rsidRPr="002C52B4">
              <w:rPr>
                <w:rFonts w:cs="Arial"/>
                <w:sz w:val="16"/>
                <w:szCs w:val="16"/>
              </w:rPr>
              <w:t>0.12 to 0.39</w:t>
            </w:r>
          </w:p>
        </w:tc>
        <w:tc>
          <w:tcPr>
            <w:tcW w:w="1445" w:type="dxa"/>
            <w:gridSpan w:val="2"/>
            <w:tcBorders>
              <w:top w:val="nil"/>
              <w:left w:val="nil"/>
              <w:bottom w:val="nil"/>
              <w:right w:val="single" w:sz="4" w:space="0" w:color="auto"/>
            </w:tcBorders>
            <w:tcMar>
              <w:top w:w="28" w:type="dxa"/>
              <w:left w:w="11" w:type="dxa"/>
              <w:bottom w:w="28" w:type="dxa"/>
              <w:right w:w="11" w:type="dxa"/>
            </w:tcMar>
          </w:tcPr>
          <w:p w14:paraId="582D0CF8" w14:textId="77777777" w:rsidR="000923BB" w:rsidRPr="002C52B4" w:rsidRDefault="000923BB" w:rsidP="003A385F">
            <w:pPr>
              <w:jc w:val="center"/>
              <w:rPr>
                <w:rFonts w:cs="Arial"/>
                <w:sz w:val="16"/>
                <w:szCs w:val="16"/>
              </w:rPr>
            </w:pPr>
            <w:r w:rsidRPr="002C52B4">
              <w:rPr>
                <w:rFonts w:cs="Arial"/>
                <w:sz w:val="16"/>
                <w:szCs w:val="16"/>
              </w:rPr>
              <w:t>0.16 to 0.43</w:t>
            </w:r>
          </w:p>
        </w:tc>
        <w:tc>
          <w:tcPr>
            <w:tcW w:w="982" w:type="dxa"/>
            <w:tcBorders>
              <w:top w:val="nil"/>
              <w:left w:val="single" w:sz="4" w:space="0" w:color="auto"/>
              <w:bottom w:val="nil"/>
              <w:right w:val="single" w:sz="4" w:space="0" w:color="auto"/>
            </w:tcBorders>
            <w:tcMar>
              <w:top w:w="28" w:type="dxa"/>
              <w:left w:w="11" w:type="dxa"/>
              <w:bottom w:w="28" w:type="dxa"/>
              <w:right w:w="11" w:type="dxa"/>
            </w:tcMar>
          </w:tcPr>
          <w:p w14:paraId="5357657A" w14:textId="77777777" w:rsidR="000923BB" w:rsidRPr="002C52B4" w:rsidRDefault="000923BB" w:rsidP="003A385F">
            <w:pPr>
              <w:jc w:val="center"/>
              <w:rPr>
                <w:rFonts w:cs="Arial"/>
                <w:sz w:val="16"/>
                <w:szCs w:val="16"/>
              </w:rPr>
            </w:pPr>
            <w:r w:rsidRPr="002C52B4">
              <w:rPr>
                <w:rFonts w:cs="Arial"/>
                <w:sz w:val="16"/>
                <w:szCs w:val="16"/>
              </w:rPr>
              <w:t>0.31 to 0.54</w:t>
            </w:r>
          </w:p>
        </w:tc>
      </w:tr>
      <w:tr w:rsidR="000923BB" w:rsidRPr="00C57BF6" w14:paraId="06E7FC7C" w14:textId="77777777" w:rsidTr="00282EAD">
        <w:trPr>
          <w:cantSplit/>
          <w:trHeight w:val="349"/>
        </w:trPr>
        <w:tc>
          <w:tcPr>
            <w:tcW w:w="1281" w:type="dxa"/>
            <w:vMerge/>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65EDEE6F" w14:textId="77777777" w:rsidR="000923BB" w:rsidRPr="002C52B4" w:rsidRDefault="000923BB" w:rsidP="003A385F">
            <w:pPr>
              <w:rPr>
                <w:rFonts w:cs="Arial"/>
                <w:sz w:val="16"/>
                <w:szCs w:val="16"/>
              </w:rPr>
            </w:pPr>
          </w:p>
        </w:tc>
        <w:tc>
          <w:tcPr>
            <w:tcW w:w="854" w:type="dxa"/>
            <w:vMerge/>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73E10245" w14:textId="77777777" w:rsidR="000923BB" w:rsidRPr="002C52B4" w:rsidRDefault="000923BB" w:rsidP="003A385F">
            <w:pPr>
              <w:jc w:val="center"/>
              <w:rPr>
                <w:rFonts w:cs="Arial"/>
                <w:sz w:val="16"/>
                <w:szCs w:val="16"/>
              </w:rPr>
            </w:pPr>
          </w:p>
        </w:tc>
        <w:tc>
          <w:tcPr>
            <w:tcW w:w="712" w:type="dxa"/>
            <w:vMerge/>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1A210B21" w14:textId="77777777" w:rsidR="000923BB" w:rsidRPr="002C52B4" w:rsidRDefault="000923BB" w:rsidP="003A385F">
            <w:pPr>
              <w:jc w:val="center"/>
              <w:rPr>
                <w:rFonts w:cs="Arial"/>
                <w:sz w:val="16"/>
                <w:szCs w:val="16"/>
              </w:rPr>
            </w:pPr>
          </w:p>
        </w:tc>
        <w:tc>
          <w:tcPr>
            <w:tcW w:w="909" w:type="dxa"/>
            <w:tcBorders>
              <w:top w:val="nil"/>
              <w:left w:val="single" w:sz="4" w:space="0" w:color="auto"/>
              <w:bottom w:val="single" w:sz="4" w:space="0" w:color="auto"/>
              <w:right w:val="single" w:sz="4" w:space="0" w:color="auto"/>
            </w:tcBorders>
            <w:tcMar>
              <w:top w:w="28" w:type="dxa"/>
              <w:left w:w="11" w:type="dxa"/>
              <w:bottom w:w="28" w:type="dxa"/>
              <w:right w:w="11" w:type="dxa"/>
            </w:tcMar>
          </w:tcPr>
          <w:p w14:paraId="00B4A06C" w14:textId="77777777" w:rsidR="000923BB" w:rsidRPr="002C52B4" w:rsidRDefault="000923BB" w:rsidP="003A385F">
            <w:pPr>
              <w:rPr>
                <w:rFonts w:cs="Arial"/>
                <w:b/>
                <w:bCs/>
                <w:sz w:val="16"/>
                <w:szCs w:val="16"/>
              </w:rPr>
            </w:pPr>
            <w:r w:rsidRPr="002C52B4">
              <w:rPr>
                <w:rFonts w:cs="Arial"/>
                <w:b/>
                <w:bCs/>
                <w:sz w:val="16"/>
                <w:szCs w:val="16"/>
              </w:rPr>
              <w:t>Range:</w:t>
            </w:r>
          </w:p>
        </w:tc>
        <w:tc>
          <w:tcPr>
            <w:tcW w:w="1626" w:type="dxa"/>
            <w:tcBorders>
              <w:top w:val="nil"/>
              <w:left w:val="single" w:sz="4" w:space="0" w:color="auto"/>
              <w:bottom w:val="single" w:sz="4" w:space="0" w:color="auto"/>
              <w:right w:val="nil"/>
            </w:tcBorders>
            <w:tcMar>
              <w:top w:w="28" w:type="dxa"/>
              <w:left w:w="11" w:type="dxa"/>
              <w:bottom w:w="28" w:type="dxa"/>
              <w:right w:w="11" w:type="dxa"/>
            </w:tcMar>
          </w:tcPr>
          <w:p w14:paraId="2C7B01E3" w14:textId="77777777" w:rsidR="000923BB" w:rsidRPr="002C52B4" w:rsidRDefault="000923BB" w:rsidP="003A385F">
            <w:pPr>
              <w:jc w:val="center"/>
              <w:rPr>
                <w:rFonts w:cs="Arial"/>
                <w:sz w:val="16"/>
                <w:szCs w:val="16"/>
              </w:rPr>
            </w:pPr>
            <w:r w:rsidRPr="002C52B4">
              <w:rPr>
                <w:rFonts w:cs="Arial"/>
                <w:sz w:val="16"/>
                <w:szCs w:val="16"/>
              </w:rPr>
              <w:t>0.03 to 0.38</w:t>
            </w:r>
          </w:p>
        </w:tc>
        <w:tc>
          <w:tcPr>
            <w:tcW w:w="1264" w:type="dxa"/>
            <w:gridSpan w:val="2"/>
            <w:tcBorders>
              <w:top w:val="nil"/>
              <w:left w:val="nil"/>
              <w:bottom w:val="single" w:sz="4" w:space="0" w:color="auto"/>
              <w:right w:val="nil"/>
            </w:tcBorders>
            <w:tcMar>
              <w:top w:w="28" w:type="dxa"/>
              <w:left w:w="11" w:type="dxa"/>
              <w:bottom w:w="28" w:type="dxa"/>
              <w:right w:w="11" w:type="dxa"/>
            </w:tcMar>
          </w:tcPr>
          <w:p w14:paraId="06043337" w14:textId="77777777" w:rsidR="000923BB" w:rsidRPr="002C52B4" w:rsidRDefault="000923BB" w:rsidP="003A385F">
            <w:pPr>
              <w:jc w:val="center"/>
              <w:rPr>
                <w:rFonts w:cs="Arial"/>
                <w:sz w:val="16"/>
                <w:szCs w:val="16"/>
              </w:rPr>
            </w:pPr>
            <w:r w:rsidRPr="002C52B4">
              <w:rPr>
                <w:rFonts w:cs="Arial"/>
                <w:sz w:val="16"/>
                <w:szCs w:val="16"/>
              </w:rPr>
              <w:t>0.02 to 0.41</w:t>
            </w:r>
          </w:p>
        </w:tc>
        <w:tc>
          <w:tcPr>
            <w:tcW w:w="1445" w:type="dxa"/>
            <w:gridSpan w:val="2"/>
            <w:tcBorders>
              <w:top w:val="nil"/>
              <w:left w:val="nil"/>
              <w:bottom w:val="single" w:sz="4" w:space="0" w:color="auto"/>
              <w:right w:val="single" w:sz="4" w:space="0" w:color="auto"/>
            </w:tcBorders>
            <w:tcMar>
              <w:top w:w="28" w:type="dxa"/>
              <w:left w:w="11" w:type="dxa"/>
              <w:bottom w:w="28" w:type="dxa"/>
              <w:right w:w="11" w:type="dxa"/>
            </w:tcMar>
          </w:tcPr>
          <w:p w14:paraId="6A2D8A79" w14:textId="77777777" w:rsidR="000923BB" w:rsidRPr="002C52B4" w:rsidRDefault="000923BB" w:rsidP="003A385F">
            <w:pPr>
              <w:jc w:val="center"/>
              <w:rPr>
                <w:rFonts w:cs="Arial"/>
                <w:sz w:val="16"/>
                <w:szCs w:val="16"/>
              </w:rPr>
            </w:pPr>
            <w:r w:rsidRPr="002C52B4">
              <w:rPr>
                <w:rFonts w:cs="Arial"/>
                <w:sz w:val="16"/>
                <w:szCs w:val="16"/>
              </w:rPr>
              <w:t>-0.21 to 0.63</w:t>
            </w:r>
          </w:p>
        </w:tc>
        <w:tc>
          <w:tcPr>
            <w:tcW w:w="982" w:type="dxa"/>
            <w:tcBorders>
              <w:top w:val="nil"/>
              <w:left w:val="single" w:sz="4" w:space="0" w:color="auto"/>
              <w:bottom w:val="single" w:sz="4" w:space="0" w:color="auto"/>
              <w:right w:val="single" w:sz="4" w:space="0" w:color="auto"/>
            </w:tcBorders>
            <w:tcMar>
              <w:top w:w="28" w:type="dxa"/>
              <w:left w:w="11" w:type="dxa"/>
              <w:bottom w:w="28" w:type="dxa"/>
              <w:right w:w="11" w:type="dxa"/>
            </w:tcMar>
          </w:tcPr>
          <w:p w14:paraId="70264312" w14:textId="77777777" w:rsidR="000923BB" w:rsidRPr="002C52B4" w:rsidRDefault="000923BB" w:rsidP="003A385F">
            <w:pPr>
              <w:jc w:val="center"/>
              <w:rPr>
                <w:rFonts w:cs="Arial"/>
                <w:sz w:val="16"/>
                <w:szCs w:val="16"/>
              </w:rPr>
            </w:pPr>
            <w:r w:rsidRPr="002C52B4">
              <w:rPr>
                <w:rFonts w:cs="Arial"/>
                <w:sz w:val="16"/>
                <w:szCs w:val="16"/>
              </w:rPr>
              <w:t>-0.06 to 0.67</w:t>
            </w:r>
          </w:p>
        </w:tc>
      </w:tr>
      <w:tr w:rsidR="000923BB" w:rsidRPr="00C57BF6" w14:paraId="43EBA21A" w14:textId="77777777" w:rsidTr="00282EAD">
        <w:trPr>
          <w:cantSplit/>
          <w:trHeight w:val="446"/>
        </w:trPr>
        <w:tc>
          <w:tcPr>
            <w:tcW w:w="1281" w:type="dxa"/>
            <w:vMerge w:val="restart"/>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0CCDC6BD" w14:textId="77777777" w:rsidR="000923BB" w:rsidRPr="002C52B4" w:rsidRDefault="000923BB" w:rsidP="003A385F">
            <w:pPr>
              <w:rPr>
                <w:rFonts w:cs="Arial"/>
                <w:b/>
                <w:bCs/>
                <w:sz w:val="16"/>
                <w:szCs w:val="16"/>
              </w:rPr>
            </w:pPr>
            <w:r w:rsidRPr="002C52B4">
              <w:rPr>
                <w:rFonts w:cs="Arial"/>
                <w:sz w:val="16"/>
                <w:szCs w:val="16"/>
              </w:rPr>
              <w:t>Doctor vs Non-clinical audit staff</w:t>
            </w:r>
          </w:p>
        </w:tc>
        <w:tc>
          <w:tcPr>
            <w:tcW w:w="854" w:type="dxa"/>
            <w:vMerge w:val="restart"/>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4D4E0226" w14:textId="77777777" w:rsidR="000923BB" w:rsidRPr="002C52B4" w:rsidRDefault="000923BB" w:rsidP="003A385F">
            <w:pPr>
              <w:jc w:val="center"/>
              <w:rPr>
                <w:rFonts w:cs="Arial"/>
                <w:sz w:val="16"/>
                <w:szCs w:val="16"/>
              </w:rPr>
            </w:pPr>
            <w:r w:rsidRPr="002C52B4">
              <w:rPr>
                <w:rFonts w:cs="Arial"/>
                <w:sz w:val="16"/>
                <w:szCs w:val="16"/>
              </w:rPr>
              <w:t>6</w:t>
            </w:r>
          </w:p>
        </w:tc>
        <w:tc>
          <w:tcPr>
            <w:tcW w:w="712" w:type="dxa"/>
            <w:vMerge w:val="restart"/>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44B53C34" w14:textId="77777777" w:rsidR="000923BB" w:rsidRPr="002C52B4" w:rsidRDefault="000923BB" w:rsidP="003A385F">
            <w:pPr>
              <w:jc w:val="center"/>
              <w:rPr>
                <w:rFonts w:cs="Arial"/>
                <w:sz w:val="16"/>
                <w:szCs w:val="16"/>
              </w:rPr>
            </w:pPr>
            <w:r w:rsidRPr="002C52B4">
              <w:rPr>
                <w:rFonts w:cs="Arial"/>
                <w:sz w:val="16"/>
                <w:szCs w:val="16"/>
              </w:rPr>
              <w:t>188</w:t>
            </w:r>
          </w:p>
        </w:tc>
        <w:tc>
          <w:tcPr>
            <w:tcW w:w="909" w:type="dxa"/>
            <w:tcBorders>
              <w:top w:val="single" w:sz="4" w:space="0" w:color="auto"/>
              <w:left w:val="single" w:sz="4" w:space="0" w:color="auto"/>
              <w:bottom w:val="nil"/>
              <w:right w:val="single" w:sz="4" w:space="0" w:color="auto"/>
            </w:tcBorders>
            <w:tcMar>
              <w:top w:w="28" w:type="dxa"/>
              <w:left w:w="11" w:type="dxa"/>
              <w:bottom w:w="28" w:type="dxa"/>
              <w:right w:w="11" w:type="dxa"/>
            </w:tcMar>
          </w:tcPr>
          <w:p w14:paraId="77D36CE8" w14:textId="77777777" w:rsidR="000923BB" w:rsidRPr="002C52B4" w:rsidRDefault="000923BB" w:rsidP="003A385F">
            <w:pPr>
              <w:rPr>
                <w:rFonts w:cs="Arial"/>
                <w:b/>
                <w:bCs/>
                <w:sz w:val="16"/>
                <w:szCs w:val="16"/>
              </w:rPr>
            </w:pPr>
            <w:r w:rsidRPr="002C52B4">
              <w:rPr>
                <w:rFonts w:cs="Arial"/>
                <w:b/>
                <w:bCs/>
                <w:sz w:val="16"/>
                <w:szCs w:val="16"/>
              </w:rPr>
              <w:t>Wtd mean :</w:t>
            </w:r>
          </w:p>
        </w:tc>
        <w:tc>
          <w:tcPr>
            <w:tcW w:w="1626" w:type="dxa"/>
            <w:tcBorders>
              <w:top w:val="single" w:sz="4" w:space="0" w:color="auto"/>
              <w:left w:val="single" w:sz="4" w:space="0" w:color="auto"/>
              <w:bottom w:val="nil"/>
              <w:right w:val="nil"/>
            </w:tcBorders>
            <w:tcMar>
              <w:top w:w="28" w:type="dxa"/>
              <w:left w:w="11" w:type="dxa"/>
              <w:bottom w:w="28" w:type="dxa"/>
              <w:right w:w="11" w:type="dxa"/>
            </w:tcMar>
          </w:tcPr>
          <w:p w14:paraId="0505EE34" w14:textId="77777777" w:rsidR="000923BB" w:rsidRPr="002C52B4" w:rsidRDefault="000923BB" w:rsidP="003A385F">
            <w:pPr>
              <w:jc w:val="center"/>
              <w:rPr>
                <w:rFonts w:cs="Arial"/>
                <w:b/>
                <w:bCs/>
                <w:sz w:val="16"/>
                <w:szCs w:val="16"/>
              </w:rPr>
            </w:pPr>
            <w:r w:rsidRPr="002C52B4">
              <w:rPr>
                <w:rFonts w:cs="Arial"/>
                <w:b/>
                <w:bCs/>
                <w:sz w:val="16"/>
                <w:szCs w:val="16"/>
              </w:rPr>
              <w:t>-0.01</w:t>
            </w:r>
          </w:p>
        </w:tc>
        <w:tc>
          <w:tcPr>
            <w:tcW w:w="1264" w:type="dxa"/>
            <w:gridSpan w:val="2"/>
            <w:tcBorders>
              <w:top w:val="single" w:sz="4" w:space="0" w:color="auto"/>
              <w:left w:val="nil"/>
              <w:bottom w:val="nil"/>
              <w:right w:val="nil"/>
            </w:tcBorders>
            <w:tcMar>
              <w:top w:w="28" w:type="dxa"/>
              <w:left w:w="11" w:type="dxa"/>
              <w:bottom w:w="28" w:type="dxa"/>
              <w:right w:w="11" w:type="dxa"/>
            </w:tcMar>
          </w:tcPr>
          <w:p w14:paraId="4F900659" w14:textId="77777777" w:rsidR="000923BB" w:rsidRPr="002C52B4" w:rsidRDefault="000923BB" w:rsidP="003A385F">
            <w:pPr>
              <w:jc w:val="center"/>
              <w:rPr>
                <w:rFonts w:cs="Arial"/>
                <w:b/>
                <w:bCs/>
                <w:sz w:val="16"/>
                <w:szCs w:val="16"/>
              </w:rPr>
            </w:pPr>
            <w:r w:rsidRPr="002C52B4">
              <w:rPr>
                <w:rFonts w:cs="Arial"/>
                <w:b/>
                <w:bCs/>
                <w:sz w:val="16"/>
                <w:szCs w:val="16"/>
              </w:rPr>
              <w:t>0.03</w:t>
            </w:r>
          </w:p>
        </w:tc>
        <w:tc>
          <w:tcPr>
            <w:tcW w:w="1445" w:type="dxa"/>
            <w:gridSpan w:val="2"/>
            <w:tcBorders>
              <w:top w:val="single" w:sz="4" w:space="0" w:color="auto"/>
              <w:left w:val="nil"/>
              <w:bottom w:val="nil"/>
              <w:right w:val="single" w:sz="4" w:space="0" w:color="auto"/>
            </w:tcBorders>
            <w:tcMar>
              <w:top w:w="28" w:type="dxa"/>
              <w:left w:w="11" w:type="dxa"/>
              <w:bottom w:w="28" w:type="dxa"/>
              <w:right w:w="11" w:type="dxa"/>
            </w:tcMar>
          </w:tcPr>
          <w:p w14:paraId="63506CC8" w14:textId="77777777" w:rsidR="000923BB" w:rsidRPr="002C52B4" w:rsidRDefault="000923BB" w:rsidP="003A385F">
            <w:pPr>
              <w:jc w:val="center"/>
              <w:rPr>
                <w:rFonts w:cs="Arial"/>
                <w:b/>
                <w:bCs/>
                <w:sz w:val="16"/>
                <w:szCs w:val="16"/>
              </w:rPr>
            </w:pPr>
            <w:r w:rsidRPr="002C52B4">
              <w:rPr>
                <w:rFonts w:cs="Arial"/>
                <w:b/>
                <w:bCs/>
                <w:sz w:val="16"/>
                <w:szCs w:val="16"/>
              </w:rPr>
              <w:t>0.25</w:t>
            </w:r>
          </w:p>
        </w:tc>
        <w:tc>
          <w:tcPr>
            <w:tcW w:w="982" w:type="dxa"/>
            <w:tcBorders>
              <w:top w:val="single" w:sz="4" w:space="0" w:color="auto"/>
              <w:left w:val="single" w:sz="4" w:space="0" w:color="auto"/>
              <w:bottom w:val="nil"/>
              <w:right w:val="single" w:sz="4" w:space="0" w:color="auto"/>
            </w:tcBorders>
            <w:tcMar>
              <w:top w:w="28" w:type="dxa"/>
              <w:left w:w="11" w:type="dxa"/>
              <w:bottom w:w="28" w:type="dxa"/>
              <w:right w:w="11" w:type="dxa"/>
            </w:tcMar>
          </w:tcPr>
          <w:p w14:paraId="1F6A1671" w14:textId="77777777" w:rsidR="000923BB" w:rsidRPr="002C52B4" w:rsidRDefault="000923BB" w:rsidP="003A385F">
            <w:pPr>
              <w:jc w:val="center"/>
              <w:rPr>
                <w:rFonts w:cs="Arial"/>
                <w:b/>
                <w:bCs/>
                <w:sz w:val="16"/>
                <w:szCs w:val="16"/>
              </w:rPr>
            </w:pPr>
            <w:r w:rsidRPr="002C52B4">
              <w:rPr>
                <w:rFonts w:cs="Arial"/>
                <w:b/>
                <w:bCs/>
                <w:sz w:val="16"/>
                <w:szCs w:val="16"/>
              </w:rPr>
              <w:t>0.24</w:t>
            </w:r>
          </w:p>
        </w:tc>
      </w:tr>
      <w:tr w:rsidR="000923BB" w:rsidRPr="00C57BF6" w14:paraId="0A90A495" w14:textId="77777777" w:rsidTr="00282EAD">
        <w:trPr>
          <w:cantSplit/>
          <w:trHeight w:val="148"/>
        </w:trPr>
        <w:tc>
          <w:tcPr>
            <w:tcW w:w="1281" w:type="dxa"/>
            <w:vMerge/>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41B68A00" w14:textId="77777777" w:rsidR="000923BB" w:rsidRPr="002C52B4" w:rsidRDefault="000923BB" w:rsidP="003A385F">
            <w:pPr>
              <w:rPr>
                <w:rFonts w:cs="Arial"/>
                <w:sz w:val="16"/>
                <w:szCs w:val="16"/>
              </w:rPr>
            </w:pPr>
          </w:p>
        </w:tc>
        <w:tc>
          <w:tcPr>
            <w:tcW w:w="854" w:type="dxa"/>
            <w:vMerge/>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12D8F194" w14:textId="77777777" w:rsidR="000923BB" w:rsidRPr="002C52B4" w:rsidRDefault="000923BB" w:rsidP="003A385F">
            <w:pPr>
              <w:jc w:val="center"/>
              <w:rPr>
                <w:rFonts w:cs="Arial"/>
                <w:sz w:val="16"/>
                <w:szCs w:val="16"/>
              </w:rPr>
            </w:pPr>
          </w:p>
        </w:tc>
        <w:tc>
          <w:tcPr>
            <w:tcW w:w="712" w:type="dxa"/>
            <w:vMerge/>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27B86A7F" w14:textId="77777777" w:rsidR="000923BB" w:rsidRPr="002C52B4" w:rsidRDefault="000923BB" w:rsidP="003A385F">
            <w:pPr>
              <w:jc w:val="center"/>
              <w:rPr>
                <w:rFonts w:cs="Arial"/>
                <w:sz w:val="16"/>
                <w:szCs w:val="16"/>
              </w:rPr>
            </w:pPr>
          </w:p>
        </w:tc>
        <w:tc>
          <w:tcPr>
            <w:tcW w:w="909" w:type="dxa"/>
            <w:tcBorders>
              <w:top w:val="nil"/>
              <w:left w:val="single" w:sz="4" w:space="0" w:color="auto"/>
              <w:bottom w:val="nil"/>
              <w:right w:val="single" w:sz="4" w:space="0" w:color="auto"/>
            </w:tcBorders>
            <w:tcMar>
              <w:top w:w="28" w:type="dxa"/>
              <w:left w:w="11" w:type="dxa"/>
              <w:bottom w:w="28" w:type="dxa"/>
              <w:right w:w="11" w:type="dxa"/>
            </w:tcMar>
          </w:tcPr>
          <w:p w14:paraId="68DA58A9" w14:textId="77777777" w:rsidR="000923BB" w:rsidRPr="002C52B4" w:rsidRDefault="000923BB" w:rsidP="003A385F">
            <w:pPr>
              <w:rPr>
                <w:rFonts w:cs="Arial"/>
                <w:b/>
                <w:bCs/>
                <w:sz w:val="16"/>
                <w:szCs w:val="16"/>
              </w:rPr>
            </w:pPr>
            <w:r w:rsidRPr="002C52B4">
              <w:rPr>
                <w:rFonts w:cs="Arial"/>
                <w:b/>
                <w:bCs/>
                <w:sz w:val="16"/>
                <w:szCs w:val="16"/>
              </w:rPr>
              <w:t>95% CI:</w:t>
            </w:r>
          </w:p>
        </w:tc>
        <w:tc>
          <w:tcPr>
            <w:tcW w:w="1626" w:type="dxa"/>
            <w:tcBorders>
              <w:top w:val="nil"/>
              <w:left w:val="single" w:sz="4" w:space="0" w:color="auto"/>
              <w:bottom w:val="nil"/>
              <w:right w:val="nil"/>
            </w:tcBorders>
            <w:tcMar>
              <w:top w:w="28" w:type="dxa"/>
              <w:left w:w="11" w:type="dxa"/>
              <w:bottom w:w="28" w:type="dxa"/>
              <w:right w:w="11" w:type="dxa"/>
            </w:tcMar>
          </w:tcPr>
          <w:p w14:paraId="1B883306" w14:textId="77777777" w:rsidR="000923BB" w:rsidRPr="002C52B4" w:rsidRDefault="000923BB" w:rsidP="003A385F">
            <w:pPr>
              <w:jc w:val="center"/>
              <w:rPr>
                <w:rFonts w:cs="Arial"/>
                <w:sz w:val="16"/>
                <w:szCs w:val="16"/>
              </w:rPr>
            </w:pPr>
            <w:r w:rsidRPr="002C52B4">
              <w:rPr>
                <w:rFonts w:cs="Arial"/>
                <w:sz w:val="16"/>
                <w:szCs w:val="16"/>
              </w:rPr>
              <w:t>-0.15 to 0.12</w:t>
            </w:r>
          </w:p>
        </w:tc>
        <w:tc>
          <w:tcPr>
            <w:tcW w:w="1264" w:type="dxa"/>
            <w:gridSpan w:val="2"/>
            <w:tcBorders>
              <w:top w:val="nil"/>
              <w:left w:val="nil"/>
              <w:bottom w:val="nil"/>
              <w:right w:val="nil"/>
            </w:tcBorders>
            <w:tcMar>
              <w:top w:w="28" w:type="dxa"/>
              <w:left w:w="11" w:type="dxa"/>
              <w:bottom w:w="28" w:type="dxa"/>
              <w:right w:w="11" w:type="dxa"/>
            </w:tcMar>
          </w:tcPr>
          <w:p w14:paraId="531A28AC" w14:textId="77777777" w:rsidR="000923BB" w:rsidRPr="002C52B4" w:rsidRDefault="000923BB" w:rsidP="003A385F">
            <w:pPr>
              <w:jc w:val="center"/>
              <w:rPr>
                <w:rFonts w:cs="Arial"/>
                <w:sz w:val="16"/>
                <w:szCs w:val="16"/>
              </w:rPr>
            </w:pPr>
            <w:r w:rsidRPr="002C52B4">
              <w:rPr>
                <w:rFonts w:cs="Arial"/>
                <w:sz w:val="16"/>
                <w:szCs w:val="16"/>
              </w:rPr>
              <w:t>-0.11 to 0.16</w:t>
            </w:r>
          </w:p>
        </w:tc>
        <w:tc>
          <w:tcPr>
            <w:tcW w:w="1445" w:type="dxa"/>
            <w:gridSpan w:val="2"/>
            <w:tcBorders>
              <w:top w:val="nil"/>
              <w:left w:val="nil"/>
              <w:bottom w:val="nil"/>
              <w:right w:val="single" w:sz="4" w:space="0" w:color="auto"/>
            </w:tcBorders>
            <w:tcMar>
              <w:top w:w="28" w:type="dxa"/>
              <w:left w:w="11" w:type="dxa"/>
              <w:bottom w:w="28" w:type="dxa"/>
              <w:right w:w="11" w:type="dxa"/>
            </w:tcMar>
          </w:tcPr>
          <w:p w14:paraId="2D9730DE" w14:textId="77777777" w:rsidR="000923BB" w:rsidRPr="002C52B4" w:rsidRDefault="000923BB" w:rsidP="003A385F">
            <w:pPr>
              <w:jc w:val="center"/>
              <w:rPr>
                <w:rFonts w:cs="Arial"/>
                <w:sz w:val="16"/>
                <w:szCs w:val="16"/>
              </w:rPr>
            </w:pPr>
            <w:r w:rsidRPr="002C52B4">
              <w:rPr>
                <w:rFonts w:cs="Arial"/>
                <w:sz w:val="16"/>
                <w:szCs w:val="16"/>
              </w:rPr>
              <w:t>0.12 to 0.38</w:t>
            </w:r>
          </w:p>
        </w:tc>
        <w:tc>
          <w:tcPr>
            <w:tcW w:w="982" w:type="dxa"/>
            <w:tcBorders>
              <w:top w:val="nil"/>
              <w:left w:val="single" w:sz="4" w:space="0" w:color="auto"/>
              <w:bottom w:val="nil"/>
              <w:right w:val="single" w:sz="4" w:space="0" w:color="auto"/>
            </w:tcBorders>
            <w:tcMar>
              <w:top w:w="28" w:type="dxa"/>
              <w:left w:w="11" w:type="dxa"/>
              <w:bottom w:w="28" w:type="dxa"/>
              <w:right w:w="11" w:type="dxa"/>
            </w:tcMar>
          </w:tcPr>
          <w:p w14:paraId="1C3A7B15" w14:textId="77777777" w:rsidR="000923BB" w:rsidRPr="002C52B4" w:rsidRDefault="000923BB" w:rsidP="003A385F">
            <w:pPr>
              <w:jc w:val="center"/>
              <w:rPr>
                <w:rFonts w:cs="Arial"/>
                <w:sz w:val="16"/>
                <w:szCs w:val="16"/>
              </w:rPr>
            </w:pPr>
            <w:r w:rsidRPr="002C52B4">
              <w:rPr>
                <w:rFonts w:cs="Arial"/>
                <w:sz w:val="16"/>
                <w:szCs w:val="16"/>
              </w:rPr>
              <w:t>0.12 to 0.37</w:t>
            </w:r>
          </w:p>
        </w:tc>
      </w:tr>
      <w:tr w:rsidR="000923BB" w:rsidRPr="00C57BF6" w14:paraId="522D5684" w14:textId="77777777" w:rsidTr="00282EAD">
        <w:trPr>
          <w:cantSplit/>
          <w:trHeight w:val="349"/>
        </w:trPr>
        <w:tc>
          <w:tcPr>
            <w:tcW w:w="1281" w:type="dxa"/>
            <w:vMerge/>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6A069456" w14:textId="77777777" w:rsidR="000923BB" w:rsidRPr="002C52B4" w:rsidRDefault="000923BB" w:rsidP="003A385F">
            <w:pPr>
              <w:rPr>
                <w:rFonts w:cs="Arial"/>
                <w:sz w:val="16"/>
                <w:szCs w:val="16"/>
              </w:rPr>
            </w:pPr>
          </w:p>
        </w:tc>
        <w:tc>
          <w:tcPr>
            <w:tcW w:w="854" w:type="dxa"/>
            <w:vMerge/>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19758787" w14:textId="77777777" w:rsidR="000923BB" w:rsidRPr="002C52B4" w:rsidRDefault="000923BB" w:rsidP="003A385F">
            <w:pPr>
              <w:jc w:val="center"/>
              <w:rPr>
                <w:rFonts w:cs="Arial"/>
                <w:sz w:val="16"/>
                <w:szCs w:val="16"/>
              </w:rPr>
            </w:pPr>
          </w:p>
        </w:tc>
        <w:tc>
          <w:tcPr>
            <w:tcW w:w="712" w:type="dxa"/>
            <w:vMerge/>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4CDD092E" w14:textId="77777777" w:rsidR="000923BB" w:rsidRPr="002C52B4" w:rsidRDefault="000923BB" w:rsidP="003A385F">
            <w:pPr>
              <w:jc w:val="center"/>
              <w:rPr>
                <w:rFonts w:cs="Arial"/>
                <w:sz w:val="16"/>
                <w:szCs w:val="16"/>
              </w:rPr>
            </w:pPr>
          </w:p>
        </w:tc>
        <w:tc>
          <w:tcPr>
            <w:tcW w:w="909" w:type="dxa"/>
            <w:tcBorders>
              <w:top w:val="nil"/>
              <w:left w:val="single" w:sz="4" w:space="0" w:color="auto"/>
              <w:bottom w:val="single" w:sz="4" w:space="0" w:color="auto"/>
              <w:right w:val="single" w:sz="4" w:space="0" w:color="auto"/>
            </w:tcBorders>
            <w:tcMar>
              <w:top w:w="28" w:type="dxa"/>
              <w:left w:w="11" w:type="dxa"/>
              <w:bottom w:w="28" w:type="dxa"/>
              <w:right w:w="11" w:type="dxa"/>
            </w:tcMar>
          </w:tcPr>
          <w:p w14:paraId="56B5F9F5" w14:textId="77777777" w:rsidR="000923BB" w:rsidRPr="002C52B4" w:rsidRDefault="000923BB" w:rsidP="003A385F">
            <w:pPr>
              <w:rPr>
                <w:rFonts w:cs="Arial"/>
                <w:b/>
                <w:bCs/>
                <w:sz w:val="16"/>
                <w:szCs w:val="16"/>
              </w:rPr>
            </w:pPr>
            <w:r w:rsidRPr="002C52B4">
              <w:rPr>
                <w:rFonts w:cs="Arial"/>
                <w:b/>
                <w:bCs/>
                <w:sz w:val="16"/>
                <w:szCs w:val="16"/>
              </w:rPr>
              <w:t>Range:</w:t>
            </w:r>
          </w:p>
        </w:tc>
        <w:tc>
          <w:tcPr>
            <w:tcW w:w="1626" w:type="dxa"/>
            <w:tcBorders>
              <w:top w:val="nil"/>
              <w:left w:val="single" w:sz="4" w:space="0" w:color="auto"/>
              <w:bottom w:val="single" w:sz="4" w:space="0" w:color="auto"/>
              <w:right w:val="nil"/>
            </w:tcBorders>
            <w:tcMar>
              <w:top w:w="28" w:type="dxa"/>
              <w:left w:w="11" w:type="dxa"/>
              <w:bottom w:w="28" w:type="dxa"/>
              <w:right w:w="11" w:type="dxa"/>
            </w:tcMar>
          </w:tcPr>
          <w:p w14:paraId="1E431A73" w14:textId="77777777" w:rsidR="000923BB" w:rsidRPr="002C52B4" w:rsidRDefault="000923BB" w:rsidP="003A385F">
            <w:pPr>
              <w:jc w:val="center"/>
              <w:rPr>
                <w:rFonts w:cs="Arial"/>
                <w:sz w:val="16"/>
                <w:szCs w:val="16"/>
              </w:rPr>
            </w:pPr>
            <w:r w:rsidRPr="002C52B4">
              <w:rPr>
                <w:rFonts w:cs="Arial"/>
                <w:sz w:val="16"/>
                <w:szCs w:val="16"/>
              </w:rPr>
              <w:t>-0.15 to 0.67</w:t>
            </w:r>
          </w:p>
        </w:tc>
        <w:tc>
          <w:tcPr>
            <w:tcW w:w="1264" w:type="dxa"/>
            <w:gridSpan w:val="2"/>
            <w:tcBorders>
              <w:top w:val="nil"/>
              <w:left w:val="nil"/>
              <w:bottom w:val="single" w:sz="4" w:space="0" w:color="auto"/>
              <w:right w:val="nil"/>
            </w:tcBorders>
            <w:tcMar>
              <w:top w:w="28" w:type="dxa"/>
              <w:left w:w="11" w:type="dxa"/>
              <w:bottom w:w="28" w:type="dxa"/>
              <w:right w:w="11" w:type="dxa"/>
            </w:tcMar>
          </w:tcPr>
          <w:p w14:paraId="0F5A7D94" w14:textId="77777777" w:rsidR="000923BB" w:rsidRPr="002C52B4" w:rsidRDefault="000923BB" w:rsidP="003A385F">
            <w:pPr>
              <w:jc w:val="center"/>
              <w:rPr>
                <w:rFonts w:cs="Arial"/>
                <w:sz w:val="16"/>
                <w:szCs w:val="16"/>
              </w:rPr>
            </w:pPr>
            <w:r w:rsidRPr="002C52B4">
              <w:rPr>
                <w:rFonts w:cs="Arial"/>
                <w:sz w:val="16"/>
                <w:szCs w:val="16"/>
              </w:rPr>
              <w:t>-0.53 to 0.45</w:t>
            </w:r>
          </w:p>
        </w:tc>
        <w:tc>
          <w:tcPr>
            <w:tcW w:w="1445" w:type="dxa"/>
            <w:gridSpan w:val="2"/>
            <w:tcBorders>
              <w:top w:val="nil"/>
              <w:left w:val="nil"/>
              <w:bottom w:val="single" w:sz="4" w:space="0" w:color="auto"/>
              <w:right w:val="single" w:sz="4" w:space="0" w:color="auto"/>
            </w:tcBorders>
            <w:tcMar>
              <w:top w:w="28" w:type="dxa"/>
              <w:left w:w="11" w:type="dxa"/>
              <w:bottom w:w="28" w:type="dxa"/>
              <w:right w:w="11" w:type="dxa"/>
            </w:tcMar>
          </w:tcPr>
          <w:p w14:paraId="1D905B67" w14:textId="77777777" w:rsidR="000923BB" w:rsidRPr="002C52B4" w:rsidRDefault="000923BB" w:rsidP="003A385F">
            <w:pPr>
              <w:jc w:val="center"/>
              <w:rPr>
                <w:rFonts w:cs="Arial"/>
                <w:sz w:val="16"/>
                <w:szCs w:val="16"/>
              </w:rPr>
            </w:pPr>
            <w:r w:rsidRPr="002C52B4">
              <w:rPr>
                <w:rFonts w:cs="Arial"/>
                <w:sz w:val="16"/>
                <w:szCs w:val="16"/>
              </w:rPr>
              <w:t>-0.16 to 0.71</w:t>
            </w:r>
          </w:p>
        </w:tc>
        <w:tc>
          <w:tcPr>
            <w:tcW w:w="982" w:type="dxa"/>
            <w:tcBorders>
              <w:top w:val="nil"/>
              <w:left w:val="single" w:sz="4" w:space="0" w:color="auto"/>
              <w:bottom w:val="single" w:sz="4" w:space="0" w:color="auto"/>
              <w:right w:val="single" w:sz="4" w:space="0" w:color="auto"/>
            </w:tcBorders>
            <w:tcMar>
              <w:top w:w="28" w:type="dxa"/>
              <w:left w:w="11" w:type="dxa"/>
              <w:bottom w:w="28" w:type="dxa"/>
              <w:right w:w="11" w:type="dxa"/>
            </w:tcMar>
          </w:tcPr>
          <w:p w14:paraId="460F4094" w14:textId="77777777" w:rsidR="000923BB" w:rsidRPr="002C52B4" w:rsidRDefault="000923BB" w:rsidP="003A385F">
            <w:pPr>
              <w:jc w:val="center"/>
              <w:rPr>
                <w:rFonts w:cs="Arial"/>
                <w:sz w:val="16"/>
                <w:szCs w:val="16"/>
              </w:rPr>
            </w:pPr>
            <w:r w:rsidRPr="002C52B4">
              <w:rPr>
                <w:rFonts w:cs="Arial"/>
                <w:sz w:val="16"/>
                <w:szCs w:val="16"/>
              </w:rPr>
              <w:t>-0.39 to 0.54</w:t>
            </w:r>
          </w:p>
        </w:tc>
      </w:tr>
      <w:tr w:rsidR="000923BB" w:rsidRPr="00C57BF6" w14:paraId="122FF2C4" w14:textId="77777777" w:rsidTr="00282EAD">
        <w:trPr>
          <w:cantSplit/>
          <w:trHeight w:val="446"/>
        </w:trPr>
        <w:tc>
          <w:tcPr>
            <w:tcW w:w="1281" w:type="dxa"/>
            <w:vMerge w:val="restart"/>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305CDD3F" w14:textId="77777777" w:rsidR="000923BB" w:rsidRPr="002C52B4" w:rsidRDefault="000923BB" w:rsidP="003A385F">
            <w:pPr>
              <w:rPr>
                <w:rFonts w:cs="Arial"/>
                <w:b/>
                <w:bCs/>
                <w:sz w:val="16"/>
                <w:szCs w:val="16"/>
              </w:rPr>
            </w:pPr>
            <w:r w:rsidRPr="002C52B4">
              <w:rPr>
                <w:rFonts w:cs="Arial"/>
                <w:sz w:val="16"/>
                <w:szCs w:val="16"/>
              </w:rPr>
              <w:t>Nurse/clinical vs Non-clinical audit staff</w:t>
            </w:r>
          </w:p>
        </w:tc>
        <w:tc>
          <w:tcPr>
            <w:tcW w:w="854" w:type="dxa"/>
            <w:vMerge w:val="restart"/>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75A084D0" w14:textId="77777777" w:rsidR="000923BB" w:rsidRPr="002C52B4" w:rsidRDefault="000923BB" w:rsidP="003A385F">
            <w:pPr>
              <w:jc w:val="center"/>
              <w:rPr>
                <w:rFonts w:cs="Arial"/>
                <w:sz w:val="16"/>
                <w:szCs w:val="16"/>
              </w:rPr>
            </w:pPr>
            <w:r w:rsidRPr="002C52B4">
              <w:rPr>
                <w:rFonts w:cs="Arial"/>
                <w:sz w:val="16"/>
                <w:szCs w:val="16"/>
              </w:rPr>
              <w:t>1</w:t>
            </w:r>
          </w:p>
        </w:tc>
        <w:tc>
          <w:tcPr>
            <w:tcW w:w="712" w:type="dxa"/>
            <w:vMerge w:val="restart"/>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2A1411FB" w14:textId="77777777" w:rsidR="000923BB" w:rsidRPr="002C52B4" w:rsidRDefault="000923BB" w:rsidP="003A385F">
            <w:pPr>
              <w:jc w:val="center"/>
              <w:rPr>
                <w:rFonts w:cs="Arial"/>
                <w:sz w:val="16"/>
                <w:szCs w:val="16"/>
              </w:rPr>
            </w:pPr>
            <w:r w:rsidRPr="002C52B4">
              <w:rPr>
                <w:rFonts w:cs="Arial"/>
                <w:sz w:val="16"/>
                <w:szCs w:val="16"/>
              </w:rPr>
              <w:t>34</w:t>
            </w:r>
          </w:p>
        </w:tc>
        <w:tc>
          <w:tcPr>
            <w:tcW w:w="909" w:type="dxa"/>
            <w:tcBorders>
              <w:top w:val="single" w:sz="4" w:space="0" w:color="auto"/>
              <w:left w:val="single" w:sz="4" w:space="0" w:color="auto"/>
              <w:bottom w:val="nil"/>
              <w:right w:val="single" w:sz="4" w:space="0" w:color="auto"/>
            </w:tcBorders>
            <w:tcMar>
              <w:top w:w="28" w:type="dxa"/>
              <w:left w:w="11" w:type="dxa"/>
              <w:bottom w:w="28" w:type="dxa"/>
              <w:right w:w="11" w:type="dxa"/>
            </w:tcMar>
          </w:tcPr>
          <w:p w14:paraId="5F028BBF" w14:textId="77777777" w:rsidR="000923BB" w:rsidRPr="002C52B4" w:rsidRDefault="000923BB" w:rsidP="003A385F">
            <w:pPr>
              <w:rPr>
                <w:rFonts w:cs="Arial"/>
                <w:b/>
                <w:bCs/>
                <w:sz w:val="16"/>
                <w:szCs w:val="16"/>
              </w:rPr>
            </w:pPr>
            <w:r w:rsidRPr="002C52B4">
              <w:rPr>
                <w:rFonts w:cs="Arial"/>
                <w:b/>
                <w:bCs/>
                <w:sz w:val="16"/>
                <w:szCs w:val="16"/>
              </w:rPr>
              <w:t>Wtd mean:</w:t>
            </w:r>
          </w:p>
        </w:tc>
        <w:tc>
          <w:tcPr>
            <w:tcW w:w="1626" w:type="dxa"/>
            <w:tcBorders>
              <w:top w:val="single" w:sz="4" w:space="0" w:color="auto"/>
              <w:left w:val="single" w:sz="4" w:space="0" w:color="auto"/>
              <w:bottom w:val="nil"/>
              <w:right w:val="nil"/>
            </w:tcBorders>
            <w:tcMar>
              <w:top w:w="28" w:type="dxa"/>
              <w:left w:w="11" w:type="dxa"/>
              <w:bottom w:w="28" w:type="dxa"/>
              <w:right w:w="11" w:type="dxa"/>
            </w:tcMar>
          </w:tcPr>
          <w:p w14:paraId="7FB7F5C0" w14:textId="77777777" w:rsidR="000923BB" w:rsidRPr="002C52B4" w:rsidRDefault="000923BB" w:rsidP="003A385F">
            <w:pPr>
              <w:jc w:val="center"/>
              <w:rPr>
                <w:rFonts w:cs="Arial"/>
                <w:b/>
                <w:bCs/>
                <w:sz w:val="16"/>
                <w:szCs w:val="16"/>
              </w:rPr>
            </w:pPr>
            <w:r w:rsidRPr="002C52B4">
              <w:rPr>
                <w:rFonts w:cs="Arial"/>
                <w:b/>
                <w:bCs/>
                <w:sz w:val="16"/>
                <w:szCs w:val="16"/>
              </w:rPr>
              <w:t>-0.12</w:t>
            </w:r>
          </w:p>
        </w:tc>
        <w:tc>
          <w:tcPr>
            <w:tcW w:w="1264" w:type="dxa"/>
            <w:gridSpan w:val="2"/>
            <w:tcBorders>
              <w:top w:val="single" w:sz="4" w:space="0" w:color="auto"/>
              <w:left w:val="nil"/>
              <w:bottom w:val="nil"/>
              <w:right w:val="nil"/>
            </w:tcBorders>
            <w:tcMar>
              <w:top w:w="28" w:type="dxa"/>
              <w:left w:w="11" w:type="dxa"/>
              <w:bottom w:w="28" w:type="dxa"/>
              <w:right w:w="11" w:type="dxa"/>
            </w:tcMar>
          </w:tcPr>
          <w:p w14:paraId="4F5BBF02" w14:textId="77777777" w:rsidR="000923BB" w:rsidRPr="002C52B4" w:rsidRDefault="000923BB" w:rsidP="003A385F">
            <w:pPr>
              <w:jc w:val="center"/>
              <w:rPr>
                <w:rFonts w:cs="Arial"/>
                <w:b/>
                <w:bCs/>
                <w:sz w:val="16"/>
                <w:szCs w:val="16"/>
              </w:rPr>
            </w:pPr>
            <w:r w:rsidRPr="002C52B4">
              <w:rPr>
                <w:rFonts w:cs="Arial"/>
                <w:b/>
                <w:bCs/>
                <w:sz w:val="16"/>
                <w:szCs w:val="16"/>
              </w:rPr>
              <w:t>0.19</w:t>
            </w:r>
          </w:p>
        </w:tc>
        <w:tc>
          <w:tcPr>
            <w:tcW w:w="1445" w:type="dxa"/>
            <w:gridSpan w:val="2"/>
            <w:tcBorders>
              <w:top w:val="single" w:sz="4" w:space="0" w:color="auto"/>
              <w:left w:val="nil"/>
              <w:bottom w:val="nil"/>
              <w:right w:val="single" w:sz="4" w:space="0" w:color="auto"/>
            </w:tcBorders>
            <w:tcMar>
              <w:top w:w="28" w:type="dxa"/>
              <w:left w:w="11" w:type="dxa"/>
              <w:bottom w:w="28" w:type="dxa"/>
              <w:right w:w="11" w:type="dxa"/>
            </w:tcMar>
          </w:tcPr>
          <w:p w14:paraId="0DBB9E19" w14:textId="77777777" w:rsidR="000923BB" w:rsidRPr="002C52B4" w:rsidRDefault="000923BB" w:rsidP="003A385F">
            <w:pPr>
              <w:jc w:val="center"/>
              <w:rPr>
                <w:rFonts w:cs="Arial"/>
                <w:b/>
                <w:bCs/>
                <w:sz w:val="16"/>
                <w:szCs w:val="16"/>
              </w:rPr>
            </w:pPr>
            <w:r w:rsidRPr="002C52B4">
              <w:rPr>
                <w:rFonts w:cs="Arial"/>
                <w:b/>
                <w:bCs/>
                <w:sz w:val="16"/>
                <w:szCs w:val="16"/>
              </w:rPr>
              <w:t>0.47</w:t>
            </w:r>
          </w:p>
        </w:tc>
        <w:tc>
          <w:tcPr>
            <w:tcW w:w="982" w:type="dxa"/>
            <w:tcBorders>
              <w:top w:val="single" w:sz="4" w:space="0" w:color="auto"/>
              <w:left w:val="single" w:sz="4" w:space="0" w:color="auto"/>
              <w:bottom w:val="nil"/>
              <w:right w:val="single" w:sz="4" w:space="0" w:color="auto"/>
            </w:tcBorders>
            <w:tcMar>
              <w:top w:w="28" w:type="dxa"/>
              <w:left w:w="11" w:type="dxa"/>
              <w:bottom w:w="28" w:type="dxa"/>
              <w:right w:w="11" w:type="dxa"/>
            </w:tcMar>
          </w:tcPr>
          <w:p w14:paraId="71ACEDE9" w14:textId="77777777" w:rsidR="000923BB" w:rsidRPr="002C52B4" w:rsidRDefault="000923BB" w:rsidP="003A385F">
            <w:pPr>
              <w:jc w:val="center"/>
              <w:rPr>
                <w:rFonts w:cs="Arial"/>
                <w:b/>
                <w:bCs/>
                <w:sz w:val="16"/>
                <w:szCs w:val="16"/>
              </w:rPr>
            </w:pPr>
            <w:r w:rsidRPr="002C52B4">
              <w:rPr>
                <w:rFonts w:cs="Arial"/>
                <w:b/>
                <w:bCs/>
                <w:sz w:val="16"/>
                <w:szCs w:val="16"/>
              </w:rPr>
              <w:t>0.43</w:t>
            </w:r>
          </w:p>
        </w:tc>
      </w:tr>
      <w:tr w:rsidR="000923BB" w:rsidRPr="00C57BF6" w14:paraId="60F2D9C2" w14:textId="77777777" w:rsidTr="00282EAD">
        <w:trPr>
          <w:cantSplit/>
          <w:trHeight w:val="148"/>
        </w:trPr>
        <w:tc>
          <w:tcPr>
            <w:tcW w:w="1281" w:type="dxa"/>
            <w:vMerge/>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54810B10" w14:textId="77777777" w:rsidR="000923BB" w:rsidRPr="002C52B4" w:rsidRDefault="000923BB" w:rsidP="003A385F">
            <w:pPr>
              <w:rPr>
                <w:rFonts w:cs="Arial"/>
                <w:sz w:val="16"/>
                <w:szCs w:val="16"/>
              </w:rPr>
            </w:pPr>
          </w:p>
        </w:tc>
        <w:tc>
          <w:tcPr>
            <w:tcW w:w="854" w:type="dxa"/>
            <w:vMerge/>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7592580D" w14:textId="77777777" w:rsidR="000923BB" w:rsidRPr="002C52B4" w:rsidRDefault="000923BB" w:rsidP="003A385F">
            <w:pPr>
              <w:rPr>
                <w:rFonts w:cs="Arial"/>
                <w:sz w:val="16"/>
                <w:szCs w:val="16"/>
              </w:rPr>
            </w:pPr>
          </w:p>
        </w:tc>
        <w:tc>
          <w:tcPr>
            <w:tcW w:w="712" w:type="dxa"/>
            <w:vMerge/>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0A48D280" w14:textId="77777777" w:rsidR="000923BB" w:rsidRPr="002C52B4" w:rsidRDefault="000923BB" w:rsidP="003A385F">
            <w:pPr>
              <w:rPr>
                <w:rFonts w:cs="Arial"/>
                <w:sz w:val="16"/>
                <w:szCs w:val="16"/>
              </w:rPr>
            </w:pPr>
          </w:p>
        </w:tc>
        <w:tc>
          <w:tcPr>
            <w:tcW w:w="909" w:type="dxa"/>
            <w:tcBorders>
              <w:top w:val="nil"/>
              <w:left w:val="single" w:sz="4" w:space="0" w:color="auto"/>
              <w:bottom w:val="nil"/>
              <w:right w:val="single" w:sz="4" w:space="0" w:color="auto"/>
            </w:tcBorders>
            <w:tcMar>
              <w:top w:w="28" w:type="dxa"/>
              <w:left w:w="11" w:type="dxa"/>
              <w:bottom w:w="28" w:type="dxa"/>
              <w:right w:w="11" w:type="dxa"/>
            </w:tcMar>
          </w:tcPr>
          <w:p w14:paraId="26C04202" w14:textId="77777777" w:rsidR="000923BB" w:rsidRPr="002C52B4" w:rsidRDefault="000923BB" w:rsidP="003A385F">
            <w:pPr>
              <w:rPr>
                <w:rFonts w:cs="Arial"/>
                <w:b/>
                <w:bCs/>
                <w:sz w:val="16"/>
                <w:szCs w:val="16"/>
              </w:rPr>
            </w:pPr>
            <w:r w:rsidRPr="002C52B4">
              <w:rPr>
                <w:rFonts w:cs="Arial"/>
                <w:b/>
                <w:bCs/>
                <w:sz w:val="16"/>
                <w:szCs w:val="16"/>
              </w:rPr>
              <w:t>95% CI:</w:t>
            </w:r>
          </w:p>
        </w:tc>
        <w:tc>
          <w:tcPr>
            <w:tcW w:w="1626" w:type="dxa"/>
            <w:tcBorders>
              <w:top w:val="nil"/>
              <w:left w:val="single" w:sz="4" w:space="0" w:color="auto"/>
              <w:bottom w:val="nil"/>
              <w:right w:val="nil"/>
            </w:tcBorders>
            <w:tcMar>
              <w:top w:w="28" w:type="dxa"/>
              <w:left w:w="11" w:type="dxa"/>
              <w:bottom w:w="28" w:type="dxa"/>
              <w:right w:w="11" w:type="dxa"/>
            </w:tcMar>
          </w:tcPr>
          <w:p w14:paraId="38B10179" w14:textId="77777777" w:rsidR="000923BB" w:rsidRPr="002C52B4" w:rsidRDefault="000923BB" w:rsidP="003A385F">
            <w:pPr>
              <w:jc w:val="center"/>
              <w:rPr>
                <w:rFonts w:cs="Arial"/>
                <w:sz w:val="16"/>
                <w:szCs w:val="16"/>
              </w:rPr>
            </w:pPr>
            <w:r w:rsidRPr="002C52B4">
              <w:rPr>
                <w:rFonts w:cs="Arial"/>
                <w:sz w:val="16"/>
                <w:szCs w:val="16"/>
              </w:rPr>
              <w:t>-0.44 to 0.23</w:t>
            </w:r>
          </w:p>
        </w:tc>
        <w:tc>
          <w:tcPr>
            <w:tcW w:w="1264" w:type="dxa"/>
            <w:gridSpan w:val="2"/>
            <w:tcBorders>
              <w:top w:val="nil"/>
              <w:left w:val="nil"/>
              <w:bottom w:val="nil"/>
              <w:right w:val="nil"/>
            </w:tcBorders>
            <w:tcMar>
              <w:top w:w="28" w:type="dxa"/>
              <w:left w:w="11" w:type="dxa"/>
              <w:bottom w:w="28" w:type="dxa"/>
              <w:right w:w="11" w:type="dxa"/>
            </w:tcMar>
          </w:tcPr>
          <w:p w14:paraId="79924204" w14:textId="77777777" w:rsidR="000923BB" w:rsidRPr="002C52B4" w:rsidRDefault="000923BB" w:rsidP="003A385F">
            <w:pPr>
              <w:jc w:val="center"/>
              <w:rPr>
                <w:rFonts w:cs="Arial"/>
                <w:sz w:val="16"/>
                <w:szCs w:val="16"/>
              </w:rPr>
            </w:pPr>
            <w:r w:rsidRPr="002C52B4">
              <w:rPr>
                <w:rFonts w:cs="Arial"/>
                <w:sz w:val="16"/>
                <w:szCs w:val="16"/>
              </w:rPr>
              <w:t>-0.15 to 0.49</w:t>
            </w:r>
          </w:p>
        </w:tc>
        <w:tc>
          <w:tcPr>
            <w:tcW w:w="1445" w:type="dxa"/>
            <w:gridSpan w:val="2"/>
            <w:tcBorders>
              <w:top w:val="nil"/>
              <w:left w:val="nil"/>
              <w:bottom w:val="nil"/>
              <w:right w:val="single" w:sz="4" w:space="0" w:color="auto"/>
            </w:tcBorders>
            <w:tcMar>
              <w:top w:w="28" w:type="dxa"/>
              <w:left w:w="11" w:type="dxa"/>
              <w:bottom w:w="28" w:type="dxa"/>
              <w:right w:w="11" w:type="dxa"/>
            </w:tcMar>
          </w:tcPr>
          <w:p w14:paraId="7AFB8318" w14:textId="77777777" w:rsidR="000923BB" w:rsidRPr="002C52B4" w:rsidRDefault="000923BB" w:rsidP="003A385F">
            <w:pPr>
              <w:jc w:val="center"/>
              <w:rPr>
                <w:rFonts w:cs="Arial"/>
                <w:sz w:val="16"/>
                <w:szCs w:val="16"/>
              </w:rPr>
            </w:pPr>
            <w:r w:rsidRPr="002C52B4">
              <w:rPr>
                <w:rFonts w:cs="Arial"/>
                <w:sz w:val="16"/>
                <w:szCs w:val="16"/>
              </w:rPr>
              <w:t>0.17 to 0.70</w:t>
            </w:r>
          </w:p>
        </w:tc>
        <w:tc>
          <w:tcPr>
            <w:tcW w:w="982" w:type="dxa"/>
            <w:tcBorders>
              <w:top w:val="nil"/>
              <w:left w:val="single" w:sz="4" w:space="0" w:color="auto"/>
              <w:bottom w:val="nil"/>
              <w:right w:val="single" w:sz="4" w:space="0" w:color="auto"/>
            </w:tcBorders>
            <w:tcMar>
              <w:top w:w="28" w:type="dxa"/>
              <w:left w:w="11" w:type="dxa"/>
              <w:bottom w:w="28" w:type="dxa"/>
              <w:right w:w="11" w:type="dxa"/>
            </w:tcMar>
          </w:tcPr>
          <w:p w14:paraId="1DE12270" w14:textId="77777777" w:rsidR="000923BB" w:rsidRPr="002C52B4" w:rsidRDefault="000923BB" w:rsidP="003A385F">
            <w:pPr>
              <w:jc w:val="center"/>
              <w:rPr>
                <w:rFonts w:cs="Arial"/>
                <w:sz w:val="16"/>
                <w:szCs w:val="16"/>
              </w:rPr>
            </w:pPr>
            <w:r w:rsidRPr="002C52B4">
              <w:rPr>
                <w:rFonts w:cs="Arial"/>
                <w:sz w:val="16"/>
                <w:szCs w:val="16"/>
              </w:rPr>
              <w:t>0.11 to 0.67</w:t>
            </w:r>
          </w:p>
        </w:tc>
      </w:tr>
      <w:tr w:rsidR="000923BB" w:rsidRPr="00C57BF6" w14:paraId="58CF2A70" w14:textId="77777777" w:rsidTr="00282EAD">
        <w:trPr>
          <w:cantSplit/>
          <w:trHeight w:val="349"/>
        </w:trPr>
        <w:tc>
          <w:tcPr>
            <w:tcW w:w="1281" w:type="dxa"/>
            <w:vMerge/>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5F98D4B8" w14:textId="77777777" w:rsidR="000923BB" w:rsidRPr="002C52B4" w:rsidRDefault="000923BB" w:rsidP="003A385F">
            <w:pPr>
              <w:rPr>
                <w:rFonts w:cs="Arial"/>
                <w:sz w:val="16"/>
                <w:szCs w:val="16"/>
              </w:rPr>
            </w:pPr>
          </w:p>
        </w:tc>
        <w:tc>
          <w:tcPr>
            <w:tcW w:w="854" w:type="dxa"/>
            <w:vMerge/>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0525909B" w14:textId="77777777" w:rsidR="000923BB" w:rsidRPr="002C52B4" w:rsidRDefault="000923BB" w:rsidP="003A385F">
            <w:pPr>
              <w:rPr>
                <w:rFonts w:cs="Arial"/>
                <w:sz w:val="16"/>
                <w:szCs w:val="16"/>
              </w:rPr>
            </w:pPr>
          </w:p>
        </w:tc>
        <w:tc>
          <w:tcPr>
            <w:tcW w:w="712" w:type="dxa"/>
            <w:vMerge/>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tcPr>
          <w:p w14:paraId="0D294428" w14:textId="77777777" w:rsidR="000923BB" w:rsidRPr="002C52B4" w:rsidRDefault="000923BB" w:rsidP="003A385F">
            <w:pPr>
              <w:rPr>
                <w:rFonts w:cs="Arial"/>
                <w:sz w:val="16"/>
                <w:szCs w:val="16"/>
              </w:rPr>
            </w:pPr>
          </w:p>
        </w:tc>
        <w:tc>
          <w:tcPr>
            <w:tcW w:w="909" w:type="dxa"/>
            <w:tcBorders>
              <w:top w:val="nil"/>
              <w:left w:val="single" w:sz="4" w:space="0" w:color="auto"/>
              <w:bottom w:val="single" w:sz="4" w:space="0" w:color="auto"/>
              <w:right w:val="single" w:sz="4" w:space="0" w:color="auto"/>
            </w:tcBorders>
            <w:tcMar>
              <w:top w:w="28" w:type="dxa"/>
              <w:left w:w="11" w:type="dxa"/>
              <w:bottom w:w="28" w:type="dxa"/>
              <w:right w:w="11" w:type="dxa"/>
            </w:tcMar>
          </w:tcPr>
          <w:p w14:paraId="03286EB4" w14:textId="77777777" w:rsidR="000923BB" w:rsidRPr="002C52B4" w:rsidRDefault="000923BB" w:rsidP="003A385F">
            <w:pPr>
              <w:rPr>
                <w:rFonts w:cs="Arial"/>
                <w:b/>
                <w:bCs/>
                <w:sz w:val="16"/>
                <w:szCs w:val="16"/>
              </w:rPr>
            </w:pPr>
            <w:r w:rsidRPr="002C52B4">
              <w:rPr>
                <w:rFonts w:cs="Arial"/>
                <w:b/>
                <w:bCs/>
                <w:sz w:val="16"/>
                <w:szCs w:val="16"/>
              </w:rPr>
              <w:t>Range:</w:t>
            </w:r>
          </w:p>
        </w:tc>
        <w:tc>
          <w:tcPr>
            <w:tcW w:w="1626" w:type="dxa"/>
            <w:tcBorders>
              <w:top w:val="nil"/>
              <w:left w:val="single" w:sz="4" w:space="0" w:color="auto"/>
              <w:bottom w:val="single" w:sz="4" w:space="0" w:color="auto"/>
              <w:right w:val="nil"/>
            </w:tcBorders>
            <w:tcMar>
              <w:top w:w="28" w:type="dxa"/>
              <w:left w:w="11" w:type="dxa"/>
              <w:bottom w:w="28" w:type="dxa"/>
              <w:right w:w="11" w:type="dxa"/>
            </w:tcMar>
          </w:tcPr>
          <w:p w14:paraId="412B9D66" w14:textId="77777777" w:rsidR="000923BB" w:rsidRPr="002C52B4" w:rsidRDefault="000923BB" w:rsidP="003A385F">
            <w:pPr>
              <w:jc w:val="center"/>
              <w:rPr>
                <w:rFonts w:cs="Arial"/>
                <w:sz w:val="16"/>
                <w:szCs w:val="16"/>
              </w:rPr>
            </w:pPr>
            <w:r w:rsidRPr="002C52B4">
              <w:rPr>
                <w:rFonts w:cs="Arial"/>
                <w:sz w:val="16"/>
                <w:szCs w:val="16"/>
              </w:rPr>
              <w:t>-0.12 to -0.12</w:t>
            </w:r>
          </w:p>
        </w:tc>
        <w:tc>
          <w:tcPr>
            <w:tcW w:w="1264" w:type="dxa"/>
            <w:gridSpan w:val="2"/>
            <w:tcBorders>
              <w:top w:val="nil"/>
              <w:left w:val="nil"/>
              <w:bottom w:val="single" w:sz="4" w:space="0" w:color="auto"/>
              <w:right w:val="nil"/>
            </w:tcBorders>
            <w:tcMar>
              <w:top w:w="28" w:type="dxa"/>
              <w:left w:w="11" w:type="dxa"/>
              <w:bottom w:w="28" w:type="dxa"/>
              <w:right w:w="11" w:type="dxa"/>
            </w:tcMar>
          </w:tcPr>
          <w:p w14:paraId="414219C3" w14:textId="77777777" w:rsidR="000923BB" w:rsidRPr="002C52B4" w:rsidRDefault="000923BB" w:rsidP="003A385F">
            <w:pPr>
              <w:jc w:val="center"/>
              <w:rPr>
                <w:rFonts w:cs="Arial"/>
                <w:sz w:val="16"/>
                <w:szCs w:val="16"/>
              </w:rPr>
            </w:pPr>
            <w:r w:rsidRPr="002C52B4">
              <w:rPr>
                <w:rFonts w:cs="Arial"/>
                <w:sz w:val="16"/>
                <w:szCs w:val="16"/>
              </w:rPr>
              <w:t>0.19 to 0.19</w:t>
            </w:r>
          </w:p>
        </w:tc>
        <w:tc>
          <w:tcPr>
            <w:tcW w:w="1445" w:type="dxa"/>
            <w:gridSpan w:val="2"/>
            <w:tcBorders>
              <w:top w:val="nil"/>
              <w:left w:val="nil"/>
              <w:bottom w:val="single" w:sz="4" w:space="0" w:color="auto"/>
              <w:right w:val="single" w:sz="4" w:space="0" w:color="auto"/>
            </w:tcBorders>
            <w:tcMar>
              <w:top w:w="28" w:type="dxa"/>
              <w:left w:w="11" w:type="dxa"/>
              <w:bottom w:w="28" w:type="dxa"/>
              <w:right w:w="11" w:type="dxa"/>
            </w:tcMar>
          </w:tcPr>
          <w:p w14:paraId="1FE3382A" w14:textId="77777777" w:rsidR="000923BB" w:rsidRPr="002C52B4" w:rsidRDefault="000923BB" w:rsidP="003A385F">
            <w:pPr>
              <w:jc w:val="center"/>
              <w:rPr>
                <w:rFonts w:cs="Arial"/>
                <w:sz w:val="16"/>
                <w:szCs w:val="16"/>
              </w:rPr>
            </w:pPr>
            <w:r w:rsidRPr="002C52B4">
              <w:rPr>
                <w:rFonts w:cs="Arial"/>
                <w:sz w:val="16"/>
                <w:szCs w:val="16"/>
              </w:rPr>
              <w:t>0.47 to 0.47</w:t>
            </w:r>
          </w:p>
        </w:tc>
        <w:tc>
          <w:tcPr>
            <w:tcW w:w="982" w:type="dxa"/>
            <w:tcBorders>
              <w:top w:val="nil"/>
              <w:left w:val="single" w:sz="4" w:space="0" w:color="auto"/>
              <w:bottom w:val="single" w:sz="4" w:space="0" w:color="auto"/>
              <w:right w:val="single" w:sz="4" w:space="0" w:color="auto"/>
            </w:tcBorders>
            <w:tcMar>
              <w:top w:w="28" w:type="dxa"/>
              <w:left w:w="11" w:type="dxa"/>
              <w:bottom w:w="28" w:type="dxa"/>
              <w:right w:w="11" w:type="dxa"/>
            </w:tcMar>
          </w:tcPr>
          <w:p w14:paraId="6AEE736E" w14:textId="77777777" w:rsidR="000923BB" w:rsidRPr="002C52B4" w:rsidRDefault="000923BB" w:rsidP="003A385F">
            <w:pPr>
              <w:jc w:val="center"/>
              <w:rPr>
                <w:rFonts w:cs="Arial"/>
                <w:sz w:val="16"/>
                <w:szCs w:val="16"/>
              </w:rPr>
            </w:pPr>
            <w:r w:rsidRPr="002C52B4">
              <w:rPr>
                <w:rFonts w:cs="Arial"/>
                <w:sz w:val="16"/>
                <w:szCs w:val="16"/>
              </w:rPr>
              <w:t>0.43 to 0.43</w:t>
            </w:r>
          </w:p>
        </w:tc>
      </w:tr>
    </w:tbl>
    <w:p w14:paraId="1E9BDEAF" w14:textId="77777777" w:rsidR="000923BB" w:rsidRPr="00C57BF6" w:rsidRDefault="000923BB" w:rsidP="000923BB">
      <w:pPr>
        <w:rPr>
          <w:sz w:val="18"/>
          <w:szCs w:val="18"/>
        </w:rPr>
      </w:pPr>
    </w:p>
    <w:p w14:paraId="5CBAAACD" w14:textId="77777777" w:rsidR="000923BB" w:rsidRPr="00C57BF6" w:rsidRDefault="000923BB" w:rsidP="000923BB">
      <w:pPr>
        <w:rPr>
          <w:sz w:val="18"/>
          <w:szCs w:val="18"/>
        </w:rPr>
      </w:pPr>
      <w:r w:rsidRPr="00C57BF6">
        <w:rPr>
          <w:rFonts w:cs="Arial"/>
          <w:sz w:val="18"/>
          <w:szCs w:val="18"/>
          <w:vertAlign w:val="superscript"/>
        </w:rPr>
        <w:t>a</w:t>
      </w:r>
      <w:r w:rsidRPr="00C57BF6">
        <w:rPr>
          <w:rFonts w:cs="Arial"/>
          <w:sz w:val="18"/>
          <w:szCs w:val="18"/>
        </w:rPr>
        <w:t xml:space="preserve"> Weighted mean Intra-class Correlation Coefficient: estimates from the different combinations of reviewers were pooled using a weighting that was inversely proportional to the variance of the estimate</w:t>
      </w:r>
    </w:p>
    <w:p w14:paraId="00376267" w14:textId="77777777" w:rsidR="002C52B4" w:rsidRDefault="002C52B4" w:rsidP="000923BB">
      <w:pPr>
        <w:rPr>
          <w:rFonts w:cs="Arial"/>
          <w:b/>
          <w:bCs/>
          <w:sz w:val="20"/>
          <w:szCs w:val="20"/>
        </w:rPr>
      </w:pPr>
    </w:p>
    <w:p w14:paraId="67C6BA6B" w14:textId="77777777" w:rsidR="000923BB" w:rsidRDefault="002C52B4" w:rsidP="000923BB">
      <w:pPr>
        <w:rPr>
          <w:rFonts w:cs="Arial"/>
          <w:sz w:val="20"/>
          <w:szCs w:val="20"/>
        </w:rPr>
      </w:pPr>
      <w:r>
        <w:rPr>
          <w:rFonts w:cs="Arial"/>
          <w:b/>
          <w:bCs/>
          <w:sz w:val="20"/>
          <w:szCs w:val="20"/>
        </w:rPr>
        <w:lastRenderedPageBreak/>
        <w:t>T</w:t>
      </w:r>
      <w:r w:rsidR="000923BB">
        <w:rPr>
          <w:rFonts w:cs="Arial"/>
          <w:b/>
          <w:bCs/>
          <w:sz w:val="20"/>
          <w:szCs w:val="20"/>
        </w:rPr>
        <w:t>able 8:</w:t>
      </w:r>
      <w:r w:rsidR="000923BB">
        <w:rPr>
          <w:rFonts w:cs="Arial"/>
          <w:sz w:val="20"/>
          <w:szCs w:val="20"/>
        </w:rPr>
        <w:t xml:space="preserve"> </w:t>
      </w:r>
      <w:r w:rsidR="000923BB">
        <w:rPr>
          <w:rFonts w:cs="Arial"/>
          <w:b/>
          <w:bCs/>
          <w:sz w:val="20"/>
          <w:szCs w:val="20"/>
        </w:rPr>
        <w:t>Criterion based reviewer effectiveness scores*</w:t>
      </w:r>
      <w:r w:rsidR="000923BB">
        <w:rPr>
          <w:rFonts w:cs="Arial"/>
          <w:sz w:val="20"/>
          <w:szCs w:val="20"/>
        </w:rPr>
        <w:t xml:space="preserve"> </w:t>
      </w:r>
    </w:p>
    <w:p w14:paraId="4DEA9322" w14:textId="77777777" w:rsidR="000923BB" w:rsidRDefault="000923BB" w:rsidP="000923BB">
      <w:pPr>
        <w:rPr>
          <w:rFonts w:cs="Arial"/>
        </w:rPr>
      </w:pPr>
    </w:p>
    <w:tbl>
      <w:tblPr>
        <w:tblW w:w="75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6"/>
        <w:gridCol w:w="1560"/>
        <w:gridCol w:w="2269"/>
        <w:gridCol w:w="1643"/>
      </w:tblGrid>
      <w:tr w:rsidR="000923BB" w:rsidRPr="00C57BF6" w14:paraId="70B53AC3" w14:textId="77777777" w:rsidTr="00D52429">
        <w:trPr>
          <w:trHeight w:val="284"/>
        </w:trPr>
        <w:tc>
          <w:tcPr>
            <w:tcW w:w="2126" w:type="dxa"/>
            <w:tcBorders>
              <w:top w:val="single" w:sz="4" w:space="0" w:color="auto"/>
              <w:left w:val="single" w:sz="4" w:space="0" w:color="auto"/>
              <w:bottom w:val="single" w:sz="4" w:space="0" w:color="auto"/>
              <w:right w:val="single" w:sz="4" w:space="0" w:color="auto"/>
            </w:tcBorders>
            <w:vAlign w:val="center"/>
          </w:tcPr>
          <w:p w14:paraId="3B1B55AB" w14:textId="77777777" w:rsidR="000923BB" w:rsidRPr="00C57BF6" w:rsidRDefault="000923BB" w:rsidP="003A385F">
            <w:pPr>
              <w:rPr>
                <w:rFonts w:cs="Arial"/>
                <w:b/>
                <w:bCs/>
                <w:sz w:val="18"/>
                <w:szCs w:val="18"/>
              </w:rPr>
            </w:pPr>
            <w:r w:rsidRPr="00C57BF6">
              <w:rPr>
                <w:rFonts w:cs="Arial"/>
                <w:b/>
                <w:bCs/>
                <w:sz w:val="18"/>
                <w:szCs w:val="18"/>
              </w:rPr>
              <w:t>Review staff type</w:t>
            </w:r>
          </w:p>
          <w:p w14:paraId="22B2648E" w14:textId="77777777" w:rsidR="000923BB" w:rsidRPr="00C57BF6" w:rsidRDefault="000923BB" w:rsidP="003A385F">
            <w:pPr>
              <w:rPr>
                <w:rFonts w:cs="Arial"/>
                <w:b/>
                <w:bCs/>
                <w:sz w:val="18"/>
                <w:szCs w:val="18"/>
              </w:rPr>
            </w:pPr>
            <w:r w:rsidRPr="00C57BF6">
              <w:rPr>
                <w:rFonts w:cs="Arial"/>
                <w:b/>
                <w:bCs/>
                <w:sz w:val="18"/>
                <w:szCs w:val="18"/>
              </w:rPr>
              <w:t>(no of review staff)</w:t>
            </w:r>
          </w:p>
        </w:tc>
        <w:tc>
          <w:tcPr>
            <w:tcW w:w="1560" w:type="dxa"/>
            <w:tcBorders>
              <w:top w:val="single" w:sz="4" w:space="0" w:color="auto"/>
              <w:left w:val="single" w:sz="4" w:space="0" w:color="auto"/>
              <w:bottom w:val="single" w:sz="4" w:space="0" w:color="auto"/>
              <w:right w:val="single" w:sz="4" w:space="0" w:color="auto"/>
            </w:tcBorders>
            <w:vAlign w:val="center"/>
          </w:tcPr>
          <w:p w14:paraId="30C8507D" w14:textId="77777777" w:rsidR="000923BB" w:rsidRPr="00C57BF6" w:rsidRDefault="000923BB" w:rsidP="003A385F">
            <w:pPr>
              <w:jc w:val="center"/>
              <w:rPr>
                <w:rFonts w:cs="Arial"/>
                <w:b/>
                <w:bCs/>
                <w:sz w:val="18"/>
                <w:szCs w:val="18"/>
              </w:rPr>
            </w:pPr>
            <w:r w:rsidRPr="00C57BF6">
              <w:rPr>
                <w:rFonts w:cs="Arial"/>
                <w:b/>
                <w:bCs/>
                <w:sz w:val="18"/>
                <w:szCs w:val="18"/>
              </w:rPr>
              <w:t>Number of reviews</w:t>
            </w:r>
          </w:p>
        </w:tc>
        <w:tc>
          <w:tcPr>
            <w:tcW w:w="2269" w:type="dxa"/>
            <w:tcBorders>
              <w:top w:val="single" w:sz="4" w:space="0" w:color="auto"/>
              <w:left w:val="single" w:sz="4" w:space="0" w:color="auto"/>
              <w:bottom w:val="single" w:sz="4" w:space="0" w:color="auto"/>
              <w:right w:val="single" w:sz="4" w:space="0" w:color="auto"/>
            </w:tcBorders>
            <w:vAlign w:val="center"/>
          </w:tcPr>
          <w:p w14:paraId="0FC48808" w14:textId="77777777" w:rsidR="000923BB" w:rsidRPr="00C57BF6" w:rsidRDefault="000923BB" w:rsidP="003A385F">
            <w:pPr>
              <w:jc w:val="center"/>
              <w:rPr>
                <w:rFonts w:cs="Arial"/>
                <w:b/>
                <w:bCs/>
                <w:sz w:val="18"/>
                <w:szCs w:val="18"/>
              </w:rPr>
            </w:pPr>
            <w:r w:rsidRPr="00C57BF6">
              <w:rPr>
                <w:rFonts w:cs="Arial"/>
                <w:b/>
                <w:bCs/>
                <w:sz w:val="18"/>
                <w:szCs w:val="18"/>
              </w:rPr>
              <w:t>Mean score %, SD (95% CI)</w:t>
            </w:r>
          </w:p>
        </w:tc>
        <w:tc>
          <w:tcPr>
            <w:tcW w:w="1643" w:type="dxa"/>
            <w:tcBorders>
              <w:top w:val="single" w:sz="4" w:space="0" w:color="auto"/>
              <w:left w:val="single" w:sz="4" w:space="0" w:color="auto"/>
              <w:bottom w:val="single" w:sz="4" w:space="0" w:color="auto"/>
              <w:right w:val="single" w:sz="4" w:space="0" w:color="auto"/>
            </w:tcBorders>
            <w:vAlign w:val="center"/>
          </w:tcPr>
          <w:p w14:paraId="01A34C5D" w14:textId="77777777" w:rsidR="000923BB" w:rsidRPr="00C57BF6" w:rsidRDefault="000923BB" w:rsidP="003A385F">
            <w:pPr>
              <w:jc w:val="center"/>
              <w:rPr>
                <w:rFonts w:cs="Arial"/>
                <w:b/>
                <w:bCs/>
                <w:sz w:val="18"/>
                <w:szCs w:val="18"/>
              </w:rPr>
            </w:pPr>
            <w:r w:rsidRPr="00C57BF6">
              <w:rPr>
                <w:rFonts w:cs="Arial"/>
                <w:b/>
                <w:bCs/>
                <w:sz w:val="18"/>
                <w:szCs w:val="18"/>
              </w:rPr>
              <w:t>Range</w:t>
            </w:r>
          </w:p>
        </w:tc>
      </w:tr>
      <w:tr w:rsidR="000923BB" w:rsidRPr="00C57BF6" w14:paraId="445DB4C3" w14:textId="77777777" w:rsidTr="00D52429">
        <w:trPr>
          <w:trHeight w:val="284"/>
        </w:trPr>
        <w:tc>
          <w:tcPr>
            <w:tcW w:w="2126" w:type="dxa"/>
            <w:tcBorders>
              <w:top w:val="single" w:sz="4" w:space="0" w:color="auto"/>
              <w:left w:val="single" w:sz="4" w:space="0" w:color="auto"/>
              <w:bottom w:val="single" w:sz="4" w:space="0" w:color="auto"/>
              <w:right w:val="single" w:sz="4" w:space="0" w:color="auto"/>
            </w:tcBorders>
            <w:vAlign w:val="center"/>
          </w:tcPr>
          <w:p w14:paraId="739C46C5" w14:textId="77777777" w:rsidR="000923BB" w:rsidRPr="00C57BF6" w:rsidRDefault="000923BB" w:rsidP="003A385F">
            <w:pPr>
              <w:rPr>
                <w:rFonts w:cs="Arial"/>
                <w:sz w:val="18"/>
                <w:szCs w:val="18"/>
              </w:rPr>
            </w:pPr>
            <w:r w:rsidRPr="00C57BF6">
              <w:rPr>
                <w:rFonts w:cs="Arial"/>
                <w:sz w:val="18"/>
                <w:szCs w:val="18"/>
              </w:rPr>
              <w:t>Doctor (16)</w:t>
            </w:r>
          </w:p>
        </w:tc>
        <w:tc>
          <w:tcPr>
            <w:tcW w:w="1560" w:type="dxa"/>
            <w:tcBorders>
              <w:top w:val="single" w:sz="4" w:space="0" w:color="auto"/>
              <w:left w:val="single" w:sz="4" w:space="0" w:color="auto"/>
              <w:bottom w:val="single" w:sz="4" w:space="0" w:color="auto"/>
              <w:right w:val="single" w:sz="4" w:space="0" w:color="auto"/>
            </w:tcBorders>
          </w:tcPr>
          <w:p w14:paraId="4D53E994" w14:textId="77777777" w:rsidR="000923BB" w:rsidRPr="00C57BF6" w:rsidRDefault="000923BB" w:rsidP="003A385F">
            <w:pPr>
              <w:jc w:val="center"/>
              <w:rPr>
                <w:rFonts w:cs="Arial"/>
                <w:sz w:val="18"/>
                <w:szCs w:val="18"/>
              </w:rPr>
            </w:pPr>
            <w:r w:rsidRPr="00C57BF6">
              <w:rPr>
                <w:rFonts w:cs="Arial"/>
                <w:sz w:val="18"/>
                <w:szCs w:val="18"/>
              </w:rPr>
              <w:t>477</w:t>
            </w:r>
          </w:p>
        </w:tc>
        <w:tc>
          <w:tcPr>
            <w:tcW w:w="2269" w:type="dxa"/>
            <w:tcBorders>
              <w:top w:val="single" w:sz="4" w:space="0" w:color="auto"/>
              <w:left w:val="single" w:sz="4" w:space="0" w:color="auto"/>
              <w:bottom w:val="single" w:sz="4" w:space="0" w:color="auto"/>
              <w:right w:val="single" w:sz="4" w:space="0" w:color="auto"/>
            </w:tcBorders>
            <w:vAlign w:val="center"/>
          </w:tcPr>
          <w:p w14:paraId="2734AFE7" w14:textId="77777777" w:rsidR="000923BB" w:rsidRPr="00C57BF6" w:rsidRDefault="000923BB" w:rsidP="003A385F">
            <w:pPr>
              <w:jc w:val="center"/>
              <w:rPr>
                <w:rFonts w:cs="Arial"/>
                <w:sz w:val="18"/>
                <w:szCs w:val="18"/>
              </w:rPr>
            </w:pPr>
            <w:r w:rsidRPr="00C57BF6">
              <w:rPr>
                <w:rFonts w:cs="Arial"/>
                <w:sz w:val="18"/>
                <w:szCs w:val="18"/>
              </w:rPr>
              <w:t>94.9, 4.8 (93.2 to 96.5)</w:t>
            </w:r>
          </w:p>
        </w:tc>
        <w:tc>
          <w:tcPr>
            <w:tcW w:w="1643" w:type="dxa"/>
            <w:tcBorders>
              <w:top w:val="single" w:sz="4" w:space="0" w:color="auto"/>
              <w:left w:val="single" w:sz="4" w:space="0" w:color="auto"/>
              <w:bottom w:val="single" w:sz="4" w:space="0" w:color="auto"/>
              <w:right w:val="single" w:sz="4" w:space="0" w:color="auto"/>
            </w:tcBorders>
          </w:tcPr>
          <w:p w14:paraId="2B4D024B" w14:textId="77777777" w:rsidR="000923BB" w:rsidRPr="00C57BF6" w:rsidRDefault="000923BB" w:rsidP="003A385F">
            <w:pPr>
              <w:jc w:val="center"/>
              <w:rPr>
                <w:rFonts w:cs="Arial"/>
                <w:sz w:val="18"/>
                <w:szCs w:val="18"/>
              </w:rPr>
            </w:pPr>
            <w:r w:rsidRPr="00C57BF6">
              <w:rPr>
                <w:rFonts w:cs="Arial"/>
                <w:sz w:val="18"/>
                <w:szCs w:val="18"/>
              </w:rPr>
              <w:t>74.2 to 100.0</w:t>
            </w:r>
          </w:p>
        </w:tc>
      </w:tr>
      <w:tr w:rsidR="000923BB" w:rsidRPr="00C57BF6" w14:paraId="59B7E3D0" w14:textId="77777777" w:rsidTr="00D52429">
        <w:trPr>
          <w:trHeight w:val="284"/>
        </w:trPr>
        <w:tc>
          <w:tcPr>
            <w:tcW w:w="2126" w:type="dxa"/>
            <w:tcBorders>
              <w:top w:val="single" w:sz="4" w:space="0" w:color="auto"/>
              <w:left w:val="single" w:sz="4" w:space="0" w:color="auto"/>
              <w:bottom w:val="single" w:sz="4" w:space="0" w:color="auto"/>
              <w:right w:val="single" w:sz="4" w:space="0" w:color="auto"/>
            </w:tcBorders>
            <w:vAlign w:val="center"/>
          </w:tcPr>
          <w:p w14:paraId="59EC7B8C" w14:textId="77777777" w:rsidR="000923BB" w:rsidRPr="00C57BF6" w:rsidRDefault="000923BB" w:rsidP="003A385F">
            <w:pPr>
              <w:rPr>
                <w:rFonts w:cs="Arial"/>
                <w:sz w:val="18"/>
                <w:szCs w:val="18"/>
              </w:rPr>
            </w:pPr>
            <w:r w:rsidRPr="00C57BF6">
              <w:rPr>
                <w:rFonts w:cs="Arial"/>
                <w:sz w:val="18"/>
                <w:szCs w:val="18"/>
                <w:lang w:val="en-US"/>
              </w:rPr>
              <w:t>Nurse/other clinical (14)</w:t>
            </w:r>
          </w:p>
        </w:tc>
        <w:tc>
          <w:tcPr>
            <w:tcW w:w="1560" w:type="dxa"/>
            <w:tcBorders>
              <w:top w:val="single" w:sz="4" w:space="0" w:color="auto"/>
              <w:left w:val="single" w:sz="4" w:space="0" w:color="auto"/>
              <w:bottom w:val="single" w:sz="4" w:space="0" w:color="auto"/>
              <w:right w:val="single" w:sz="4" w:space="0" w:color="auto"/>
            </w:tcBorders>
          </w:tcPr>
          <w:p w14:paraId="604C9A7A" w14:textId="77777777" w:rsidR="000923BB" w:rsidRPr="00C57BF6" w:rsidRDefault="000923BB" w:rsidP="003A385F">
            <w:pPr>
              <w:jc w:val="center"/>
              <w:rPr>
                <w:rFonts w:cs="Arial"/>
                <w:sz w:val="18"/>
                <w:szCs w:val="18"/>
              </w:rPr>
            </w:pPr>
            <w:r w:rsidRPr="00C57BF6">
              <w:rPr>
                <w:rFonts w:cs="Arial"/>
                <w:sz w:val="18"/>
                <w:szCs w:val="18"/>
              </w:rPr>
              <w:t>443</w:t>
            </w:r>
          </w:p>
        </w:tc>
        <w:tc>
          <w:tcPr>
            <w:tcW w:w="2269" w:type="dxa"/>
            <w:tcBorders>
              <w:top w:val="single" w:sz="4" w:space="0" w:color="auto"/>
              <w:left w:val="single" w:sz="4" w:space="0" w:color="auto"/>
              <w:bottom w:val="single" w:sz="4" w:space="0" w:color="auto"/>
              <w:right w:val="single" w:sz="4" w:space="0" w:color="auto"/>
            </w:tcBorders>
            <w:vAlign w:val="center"/>
          </w:tcPr>
          <w:p w14:paraId="75CF1462" w14:textId="77777777" w:rsidR="000923BB" w:rsidRPr="00C57BF6" w:rsidRDefault="000923BB" w:rsidP="003A385F">
            <w:pPr>
              <w:jc w:val="center"/>
              <w:rPr>
                <w:rFonts w:cs="Arial"/>
                <w:sz w:val="18"/>
                <w:szCs w:val="18"/>
              </w:rPr>
            </w:pPr>
            <w:r w:rsidRPr="00C57BF6">
              <w:rPr>
                <w:rFonts w:cs="Arial"/>
                <w:sz w:val="18"/>
                <w:szCs w:val="18"/>
              </w:rPr>
              <w:t>95.2, 4.1 (93.5 to 97.0)</w:t>
            </w:r>
          </w:p>
        </w:tc>
        <w:tc>
          <w:tcPr>
            <w:tcW w:w="1643" w:type="dxa"/>
            <w:tcBorders>
              <w:top w:val="single" w:sz="4" w:space="0" w:color="auto"/>
              <w:left w:val="single" w:sz="4" w:space="0" w:color="auto"/>
              <w:bottom w:val="single" w:sz="4" w:space="0" w:color="auto"/>
              <w:right w:val="single" w:sz="4" w:space="0" w:color="auto"/>
            </w:tcBorders>
          </w:tcPr>
          <w:p w14:paraId="244DDA2E" w14:textId="77777777" w:rsidR="000923BB" w:rsidRPr="00C57BF6" w:rsidRDefault="000923BB" w:rsidP="003A385F">
            <w:pPr>
              <w:jc w:val="center"/>
              <w:rPr>
                <w:rFonts w:cs="Arial"/>
                <w:sz w:val="18"/>
                <w:szCs w:val="18"/>
              </w:rPr>
            </w:pPr>
            <w:r w:rsidRPr="00C57BF6">
              <w:rPr>
                <w:rFonts w:cs="Arial"/>
                <w:sz w:val="18"/>
                <w:szCs w:val="18"/>
              </w:rPr>
              <w:t>67.7 to 100.0</w:t>
            </w:r>
          </w:p>
        </w:tc>
      </w:tr>
      <w:tr w:rsidR="000923BB" w:rsidRPr="00C57BF6" w14:paraId="28812F7D" w14:textId="77777777" w:rsidTr="00D52429">
        <w:trPr>
          <w:trHeight w:val="284"/>
        </w:trPr>
        <w:tc>
          <w:tcPr>
            <w:tcW w:w="2126" w:type="dxa"/>
            <w:tcBorders>
              <w:top w:val="single" w:sz="4" w:space="0" w:color="auto"/>
              <w:left w:val="single" w:sz="4" w:space="0" w:color="auto"/>
              <w:bottom w:val="single" w:sz="4" w:space="0" w:color="auto"/>
              <w:right w:val="single" w:sz="4" w:space="0" w:color="auto"/>
            </w:tcBorders>
            <w:vAlign w:val="center"/>
          </w:tcPr>
          <w:p w14:paraId="7EAB78E0" w14:textId="77777777" w:rsidR="000923BB" w:rsidRPr="00C57BF6" w:rsidRDefault="000923BB" w:rsidP="003A385F">
            <w:pPr>
              <w:rPr>
                <w:rFonts w:cs="Arial"/>
                <w:sz w:val="18"/>
                <w:szCs w:val="18"/>
              </w:rPr>
            </w:pPr>
            <w:r w:rsidRPr="00C57BF6">
              <w:rPr>
                <w:rFonts w:cs="Arial"/>
                <w:sz w:val="18"/>
                <w:szCs w:val="18"/>
              </w:rPr>
              <w:t>Non-clinical audit (9)</w:t>
            </w:r>
          </w:p>
        </w:tc>
        <w:tc>
          <w:tcPr>
            <w:tcW w:w="1560" w:type="dxa"/>
            <w:tcBorders>
              <w:top w:val="single" w:sz="4" w:space="0" w:color="auto"/>
              <w:left w:val="single" w:sz="4" w:space="0" w:color="auto"/>
              <w:bottom w:val="single" w:sz="4" w:space="0" w:color="auto"/>
              <w:right w:val="single" w:sz="4" w:space="0" w:color="auto"/>
            </w:tcBorders>
          </w:tcPr>
          <w:p w14:paraId="1349332C" w14:textId="77777777" w:rsidR="000923BB" w:rsidRPr="00C57BF6" w:rsidRDefault="000923BB" w:rsidP="003A385F">
            <w:pPr>
              <w:jc w:val="center"/>
              <w:rPr>
                <w:rFonts w:cs="Arial"/>
                <w:sz w:val="18"/>
                <w:szCs w:val="18"/>
              </w:rPr>
            </w:pPr>
            <w:r w:rsidRPr="00C57BF6">
              <w:rPr>
                <w:rFonts w:cs="Arial"/>
                <w:sz w:val="18"/>
                <w:szCs w:val="18"/>
              </w:rPr>
              <w:t>289</w:t>
            </w:r>
          </w:p>
        </w:tc>
        <w:tc>
          <w:tcPr>
            <w:tcW w:w="2269" w:type="dxa"/>
            <w:tcBorders>
              <w:top w:val="single" w:sz="4" w:space="0" w:color="auto"/>
              <w:left w:val="single" w:sz="4" w:space="0" w:color="auto"/>
              <w:bottom w:val="single" w:sz="4" w:space="0" w:color="auto"/>
              <w:right w:val="single" w:sz="4" w:space="0" w:color="auto"/>
            </w:tcBorders>
            <w:vAlign w:val="center"/>
          </w:tcPr>
          <w:p w14:paraId="7A3CD3F5" w14:textId="77777777" w:rsidR="000923BB" w:rsidRPr="00C57BF6" w:rsidRDefault="000923BB" w:rsidP="003A385F">
            <w:pPr>
              <w:jc w:val="center"/>
              <w:rPr>
                <w:rFonts w:cs="Arial"/>
                <w:sz w:val="18"/>
                <w:szCs w:val="18"/>
              </w:rPr>
            </w:pPr>
            <w:r w:rsidRPr="00C57BF6">
              <w:rPr>
                <w:rFonts w:cs="Arial"/>
                <w:sz w:val="18"/>
                <w:szCs w:val="18"/>
              </w:rPr>
              <w:t>94.7, 5.0 (93.2 to 96.5)</w:t>
            </w:r>
          </w:p>
        </w:tc>
        <w:tc>
          <w:tcPr>
            <w:tcW w:w="1643" w:type="dxa"/>
            <w:tcBorders>
              <w:top w:val="single" w:sz="4" w:space="0" w:color="auto"/>
              <w:left w:val="single" w:sz="4" w:space="0" w:color="auto"/>
              <w:bottom w:val="single" w:sz="4" w:space="0" w:color="auto"/>
              <w:right w:val="single" w:sz="4" w:space="0" w:color="auto"/>
            </w:tcBorders>
          </w:tcPr>
          <w:p w14:paraId="0A9C47F5" w14:textId="77777777" w:rsidR="000923BB" w:rsidRPr="00C57BF6" w:rsidRDefault="000923BB" w:rsidP="003A385F">
            <w:pPr>
              <w:jc w:val="center"/>
              <w:rPr>
                <w:rFonts w:cs="Arial"/>
                <w:sz w:val="18"/>
                <w:szCs w:val="18"/>
              </w:rPr>
            </w:pPr>
            <w:r w:rsidRPr="00C57BF6">
              <w:rPr>
                <w:rFonts w:cs="Arial"/>
                <w:sz w:val="18"/>
                <w:szCs w:val="18"/>
              </w:rPr>
              <w:t>61.3 to 100.0</w:t>
            </w:r>
          </w:p>
        </w:tc>
      </w:tr>
      <w:tr w:rsidR="000923BB" w:rsidRPr="00C57BF6" w14:paraId="232C4D41" w14:textId="77777777" w:rsidTr="00D52429">
        <w:trPr>
          <w:trHeight w:val="284"/>
        </w:trPr>
        <w:tc>
          <w:tcPr>
            <w:tcW w:w="2126" w:type="dxa"/>
            <w:tcBorders>
              <w:top w:val="single" w:sz="4" w:space="0" w:color="auto"/>
              <w:left w:val="single" w:sz="4" w:space="0" w:color="auto"/>
              <w:bottom w:val="single" w:sz="4" w:space="0" w:color="auto"/>
              <w:right w:val="single" w:sz="4" w:space="0" w:color="auto"/>
            </w:tcBorders>
            <w:vAlign w:val="center"/>
          </w:tcPr>
          <w:p w14:paraId="7F078BB3" w14:textId="77777777" w:rsidR="000923BB" w:rsidRPr="00C57BF6" w:rsidRDefault="000923BB" w:rsidP="003A385F">
            <w:pPr>
              <w:rPr>
                <w:rFonts w:cs="Arial"/>
                <w:sz w:val="18"/>
                <w:szCs w:val="18"/>
              </w:rPr>
            </w:pPr>
            <w:r w:rsidRPr="00C57BF6">
              <w:rPr>
                <w:rFonts w:cs="Arial"/>
                <w:b/>
                <w:bCs/>
                <w:sz w:val="18"/>
                <w:szCs w:val="18"/>
              </w:rPr>
              <w:t>Total (39)</w:t>
            </w:r>
          </w:p>
        </w:tc>
        <w:tc>
          <w:tcPr>
            <w:tcW w:w="1560" w:type="dxa"/>
            <w:tcBorders>
              <w:top w:val="single" w:sz="4" w:space="0" w:color="auto"/>
              <w:left w:val="single" w:sz="4" w:space="0" w:color="auto"/>
              <w:bottom w:val="single" w:sz="4" w:space="0" w:color="auto"/>
              <w:right w:val="single" w:sz="4" w:space="0" w:color="auto"/>
            </w:tcBorders>
          </w:tcPr>
          <w:p w14:paraId="5F874232" w14:textId="77777777" w:rsidR="000923BB" w:rsidRPr="00C57BF6" w:rsidRDefault="000923BB" w:rsidP="003A385F">
            <w:pPr>
              <w:jc w:val="center"/>
              <w:rPr>
                <w:rFonts w:cs="Arial"/>
                <w:b/>
                <w:bCs/>
                <w:sz w:val="18"/>
                <w:szCs w:val="18"/>
              </w:rPr>
            </w:pPr>
            <w:r w:rsidRPr="00C57BF6">
              <w:rPr>
                <w:rFonts w:cs="Arial"/>
                <w:b/>
                <w:bCs/>
                <w:sz w:val="18"/>
                <w:szCs w:val="18"/>
              </w:rPr>
              <w:t>1209</w:t>
            </w:r>
          </w:p>
        </w:tc>
        <w:tc>
          <w:tcPr>
            <w:tcW w:w="2269" w:type="dxa"/>
            <w:tcBorders>
              <w:top w:val="single" w:sz="4" w:space="0" w:color="auto"/>
              <w:left w:val="single" w:sz="4" w:space="0" w:color="auto"/>
              <w:bottom w:val="single" w:sz="4" w:space="0" w:color="auto"/>
              <w:right w:val="single" w:sz="4" w:space="0" w:color="auto"/>
            </w:tcBorders>
            <w:vAlign w:val="center"/>
          </w:tcPr>
          <w:p w14:paraId="63034EDB" w14:textId="77777777" w:rsidR="000923BB" w:rsidRPr="00C57BF6" w:rsidRDefault="000923BB" w:rsidP="003A385F">
            <w:pPr>
              <w:jc w:val="center"/>
              <w:rPr>
                <w:rFonts w:cs="Arial"/>
                <w:b/>
                <w:bCs/>
                <w:sz w:val="18"/>
                <w:szCs w:val="18"/>
              </w:rPr>
            </w:pPr>
            <w:r w:rsidRPr="00C57BF6">
              <w:rPr>
                <w:rFonts w:cs="Arial"/>
                <w:b/>
                <w:bCs/>
                <w:sz w:val="18"/>
                <w:szCs w:val="18"/>
              </w:rPr>
              <w:t>95.0, 4.6 (94.0 to 95.9)</w:t>
            </w:r>
          </w:p>
        </w:tc>
        <w:tc>
          <w:tcPr>
            <w:tcW w:w="1643" w:type="dxa"/>
            <w:tcBorders>
              <w:top w:val="single" w:sz="4" w:space="0" w:color="auto"/>
              <w:left w:val="single" w:sz="4" w:space="0" w:color="auto"/>
              <w:bottom w:val="single" w:sz="4" w:space="0" w:color="auto"/>
              <w:right w:val="single" w:sz="4" w:space="0" w:color="auto"/>
            </w:tcBorders>
          </w:tcPr>
          <w:p w14:paraId="10F50778" w14:textId="77777777" w:rsidR="000923BB" w:rsidRPr="00C57BF6" w:rsidRDefault="000923BB" w:rsidP="003A385F">
            <w:pPr>
              <w:jc w:val="center"/>
              <w:rPr>
                <w:rFonts w:cs="Arial"/>
                <w:b/>
                <w:bCs/>
                <w:sz w:val="18"/>
                <w:szCs w:val="18"/>
              </w:rPr>
            </w:pPr>
            <w:r w:rsidRPr="00C57BF6">
              <w:rPr>
                <w:rFonts w:cs="Arial"/>
                <w:b/>
                <w:bCs/>
                <w:sz w:val="18"/>
                <w:szCs w:val="18"/>
              </w:rPr>
              <w:t>61.3 to 100.0</w:t>
            </w:r>
          </w:p>
        </w:tc>
      </w:tr>
    </w:tbl>
    <w:p w14:paraId="759C751A" w14:textId="77777777" w:rsidR="000923BB" w:rsidRPr="00C57BF6" w:rsidRDefault="000923BB" w:rsidP="000923BB">
      <w:pPr>
        <w:rPr>
          <w:rFonts w:cs="Arial"/>
          <w:sz w:val="18"/>
          <w:szCs w:val="18"/>
        </w:rPr>
      </w:pPr>
      <w:r w:rsidRPr="00C57BF6">
        <w:rPr>
          <w:rFonts w:cs="Arial"/>
          <w:sz w:val="18"/>
          <w:szCs w:val="18"/>
        </w:rPr>
        <w:t xml:space="preserve">* Analysis excludes patients who died </w:t>
      </w:r>
    </w:p>
    <w:p w14:paraId="0E455305" w14:textId="77777777" w:rsidR="000923BB" w:rsidRPr="00C57BF6" w:rsidRDefault="000923BB" w:rsidP="000923BB">
      <w:pPr>
        <w:rPr>
          <w:rFonts w:cs="Arial"/>
          <w:sz w:val="18"/>
          <w:szCs w:val="18"/>
        </w:rPr>
      </w:pPr>
      <w:r w:rsidRPr="00C57BF6">
        <w:rPr>
          <w:rFonts w:cs="Arial"/>
          <w:sz w:val="18"/>
          <w:szCs w:val="18"/>
        </w:rPr>
        <w:t>* 95% CIs are adjusted for clustering by reviewer.</w:t>
      </w:r>
    </w:p>
    <w:p w14:paraId="148EA1F0" w14:textId="77777777" w:rsidR="000923BB" w:rsidRDefault="000923BB" w:rsidP="000923BB">
      <w:pPr>
        <w:jc w:val="both"/>
        <w:rPr>
          <w:rFonts w:cs="Arial"/>
          <w:sz w:val="22"/>
          <w:szCs w:val="22"/>
          <w:u w:val="single"/>
        </w:rPr>
      </w:pPr>
    </w:p>
    <w:p w14:paraId="3EE733BA" w14:textId="77777777" w:rsidR="000923BB" w:rsidRDefault="000923BB" w:rsidP="000923BB">
      <w:pPr>
        <w:rPr>
          <w:rFonts w:cs="Arial"/>
          <w:sz w:val="20"/>
          <w:szCs w:val="20"/>
        </w:rPr>
      </w:pPr>
      <w:r>
        <w:rPr>
          <w:rFonts w:cs="Arial"/>
          <w:b/>
          <w:bCs/>
          <w:sz w:val="20"/>
          <w:szCs w:val="20"/>
        </w:rPr>
        <w:t xml:space="preserve">Table 9: Inter-rater reliability between criterion based scores (proportion of criteria stated as being met) for the same record by different reviewers </w:t>
      </w:r>
    </w:p>
    <w:p w14:paraId="46B8419C" w14:textId="77777777" w:rsidR="000923BB" w:rsidRDefault="000923BB" w:rsidP="000923BB">
      <w:pPr>
        <w:rPr>
          <w:rFonts w:cs="Arial"/>
        </w:rPr>
      </w:pPr>
    </w:p>
    <w:tbl>
      <w:tblPr>
        <w:tblW w:w="77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8"/>
        <w:gridCol w:w="1440"/>
        <w:gridCol w:w="720"/>
        <w:gridCol w:w="1080"/>
        <w:gridCol w:w="1983"/>
        <w:gridCol w:w="1275"/>
      </w:tblGrid>
      <w:tr w:rsidR="000923BB" w:rsidRPr="009426D4" w14:paraId="3968C2CB" w14:textId="77777777" w:rsidTr="00282EAD">
        <w:trPr>
          <w:trHeight w:val="833"/>
        </w:trPr>
        <w:tc>
          <w:tcPr>
            <w:tcW w:w="1298" w:type="dxa"/>
            <w:tcBorders>
              <w:top w:val="single" w:sz="4" w:space="0" w:color="auto"/>
              <w:left w:val="single" w:sz="4" w:space="0" w:color="auto"/>
              <w:bottom w:val="single" w:sz="4" w:space="0" w:color="auto"/>
              <w:right w:val="single" w:sz="4" w:space="0" w:color="auto"/>
            </w:tcBorders>
            <w:vAlign w:val="center"/>
          </w:tcPr>
          <w:p w14:paraId="25B9CBC0" w14:textId="77777777" w:rsidR="000923BB" w:rsidRPr="009426D4" w:rsidRDefault="000923BB" w:rsidP="003A385F">
            <w:pPr>
              <w:jc w:val="center"/>
              <w:rPr>
                <w:rFonts w:cs="Arial"/>
                <w:b/>
                <w:bCs/>
                <w:sz w:val="18"/>
                <w:szCs w:val="18"/>
              </w:rPr>
            </w:pPr>
            <w:r w:rsidRPr="009426D4">
              <w:rPr>
                <w:rFonts w:cs="Arial"/>
                <w:b/>
                <w:bCs/>
                <w:sz w:val="18"/>
                <w:szCs w:val="18"/>
              </w:rPr>
              <w:t>Reviewer pairs</w:t>
            </w:r>
          </w:p>
        </w:tc>
        <w:tc>
          <w:tcPr>
            <w:tcW w:w="1440" w:type="dxa"/>
            <w:tcBorders>
              <w:top w:val="single" w:sz="4" w:space="0" w:color="auto"/>
              <w:left w:val="single" w:sz="4" w:space="0" w:color="auto"/>
              <w:bottom w:val="single" w:sz="4" w:space="0" w:color="auto"/>
              <w:right w:val="single" w:sz="4" w:space="0" w:color="auto"/>
            </w:tcBorders>
            <w:vAlign w:val="center"/>
          </w:tcPr>
          <w:p w14:paraId="63CA4290" w14:textId="77777777" w:rsidR="000923BB" w:rsidRPr="009426D4" w:rsidRDefault="000923BB" w:rsidP="003A385F">
            <w:pPr>
              <w:jc w:val="center"/>
              <w:rPr>
                <w:rFonts w:cs="Arial"/>
                <w:b/>
                <w:bCs/>
                <w:sz w:val="18"/>
                <w:szCs w:val="18"/>
              </w:rPr>
            </w:pPr>
            <w:r w:rsidRPr="009426D4">
              <w:rPr>
                <w:rFonts w:cs="Arial"/>
                <w:b/>
                <w:bCs/>
                <w:sz w:val="18"/>
                <w:szCs w:val="18"/>
              </w:rPr>
              <w:t>Condition</w:t>
            </w:r>
          </w:p>
        </w:tc>
        <w:tc>
          <w:tcPr>
            <w:tcW w:w="720" w:type="dxa"/>
            <w:tcBorders>
              <w:top w:val="single" w:sz="4" w:space="0" w:color="auto"/>
              <w:left w:val="single" w:sz="4" w:space="0" w:color="auto"/>
              <w:bottom w:val="single" w:sz="4" w:space="0" w:color="auto"/>
              <w:right w:val="nil"/>
            </w:tcBorders>
            <w:tcMar>
              <w:top w:w="6" w:type="dxa"/>
              <w:left w:w="6" w:type="dxa"/>
              <w:bottom w:w="6" w:type="dxa"/>
              <w:right w:w="6" w:type="dxa"/>
            </w:tcMar>
            <w:vAlign w:val="center"/>
          </w:tcPr>
          <w:p w14:paraId="616888E5" w14:textId="77777777" w:rsidR="000923BB" w:rsidRPr="009426D4" w:rsidRDefault="000923BB" w:rsidP="003A385F">
            <w:pPr>
              <w:jc w:val="center"/>
              <w:rPr>
                <w:rFonts w:cs="Arial"/>
                <w:b/>
                <w:bCs/>
                <w:sz w:val="18"/>
                <w:szCs w:val="18"/>
              </w:rPr>
            </w:pPr>
            <w:r w:rsidRPr="009426D4">
              <w:rPr>
                <w:rFonts w:cs="Arial"/>
                <w:b/>
                <w:bCs/>
                <w:sz w:val="18"/>
                <w:szCs w:val="18"/>
              </w:rPr>
              <w:t>Site</w:t>
            </w:r>
            <w:r w:rsidRPr="009426D4">
              <w:rPr>
                <w:rFonts w:cs="Arial"/>
                <w:b/>
                <w:bCs/>
                <w:sz w:val="18"/>
                <w:szCs w:val="18"/>
                <w:vertAlign w:val="superscript"/>
              </w:rPr>
              <w:t xml:space="preserve"> a</w:t>
            </w:r>
          </w:p>
        </w:tc>
        <w:tc>
          <w:tcPr>
            <w:tcW w:w="1080" w:type="dxa"/>
            <w:tcBorders>
              <w:top w:val="single" w:sz="4" w:space="0" w:color="auto"/>
              <w:left w:val="nil"/>
              <w:bottom w:val="single" w:sz="4" w:space="0" w:color="auto"/>
              <w:right w:val="single" w:sz="4" w:space="0" w:color="auto"/>
            </w:tcBorders>
            <w:tcMar>
              <w:top w:w="6" w:type="dxa"/>
              <w:left w:w="6" w:type="dxa"/>
              <w:bottom w:w="6" w:type="dxa"/>
              <w:right w:w="6" w:type="dxa"/>
            </w:tcMar>
            <w:vAlign w:val="center"/>
          </w:tcPr>
          <w:p w14:paraId="02589954" w14:textId="77777777" w:rsidR="000923BB" w:rsidRPr="009426D4" w:rsidRDefault="000923BB" w:rsidP="003A385F">
            <w:pPr>
              <w:jc w:val="center"/>
              <w:rPr>
                <w:rFonts w:cs="Arial"/>
                <w:b/>
                <w:bCs/>
                <w:sz w:val="18"/>
                <w:szCs w:val="18"/>
              </w:rPr>
            </w:pPr>
            <w:r w:rsidRPr="009426D4">
              <w:rPr>
                <w:rFonts w:cs="Arial"/>
                <w:b/>
                <w:bCs/>
                <w:sz w:val="18"/>
                <w:szCs w:val="18"/>
              </w:rPr>
              <w:t>No of paired reviews</w:t>
            </w:r>
          </w:p>
        </w:tc>
        <w:tc>
          <w:tcPr>
            <w:tcW w:w="1983" w:type="dxa"/>
            <w:tcBorders>
              <w:top w:val="single" w:sz="4" w:space="0" w:color="auto"/>
              <w:left w:val="single" w:sz="4" w:space="0" w:color="auto"/>
              <w:bottom w:val="single" w:sz="4" w:space="0" w:color="auto"/>
              <w:right w:val="single" w:sz="4" w:space="0" w:color="auto"/>
            </w:tcBorders>
            <w:tcMar>
              <w:top w:w="6" w:type="dxa"/>
              <w:left w:w="6" w:type="dxa"/>
              <w:bottom w:w="6" w:type="dxa"/>
              <w:right w:w="6" w:type="dxa"/>
            </w:tcMar>
            <w:vAlign w:val="center"/>
          </w:tcPr>
          <w:p w14:paraId="1BFEE0B8" w14:textId="77777777" w:rsidR="000923BB" w:rsidRPr="009426D4" w:rsidRDefault="000923BB" w:rsidP="003A385F">
            <w:pPr>
              <w:jc w:val="center"/>
              <w:rPr>
                <w:rFonts w:cs="Arial"/>
                <w:b/>
                <w:bCs/>
                <w:sz w:val="18"/>
                <w:szCs w:val="18"/>
              </w:rPr>
            </w:pPr>
            <w:r w:rsidRPr="009426D4">
              <w:rPr>
                <w:rFonts w:cs="Arial"/>
                <w:b/>
                <w:bCs/>
                <w:sz w:val="18"/>
                <w:szCs w:val="18"/>
              </w:rPr>
              <w:t>Intra-class correlation (ICC) between scores (95% CI)</w:t>
            </w:r>
          </w:p>
        </w:tc>
        <w:tc>
          <w:tcPr>
            <w:tcW w:w="1275" w:type="dxa"/>
            <w:tcBorders>
              <w:top w:val="single" w:sz="4" w:space="0" w:color="auto"/>
              <w:left w:val="single" w:sz="4" w:space="0" w:color="auto"/>
              <w:bottom w:val="single" w:sz="4" w:space="0" w:color="auto"/>
              <w:right w:val="single" w:sz="4" w:space="0" w:color="auto"/>
            </w:tcBorders>
            <w:tcMar>
              <w:top w:w="6" w:type="dxa"/>
              <w:left w:w="6" w:type="dxa"/>
              <w:bottom w:w="6" w:type="dxa"/>
              <w:right w:w="6" w:type="dxa"/>
            </w:tcMar>
            <w:vAlign w:val="center"/>
          </w:tcPr>
          <w:p w14:paraId="1BFFA4FA" w14:textId="77777777" w:rsidR="000923BB" w:rsidRPr="009426D4" w:rsidRDefault="000923BB" w:rsidP="003A385F">
            <w:pPr>
              <w:jc w:val="center"/>
              <w:rPr>
                <w:rFonts w:cs="Arial"/>
                <w:b/>
                <w:bCs/>
                <w:sz w:val="18"/>
                <w:szCs w:val="18"/>
              </w:rPr>
            </w:pPr>
            <w:r w:rsidRPr="009426D4">
              <w:rPr>
                <w:rFonts w:cs="Arial"/>
                <w:b/>
                <w:bCs/>
                <w:sz w:val="18"/>
                <w:szCs w:val="18"/>
              </w:rPr>
              <w:t>Weighted mean ICC</w:t>
            </w:r>
            <w:r w:rsidRPr="009426D4">
              <w:rPr>
                <w:rFonts w:cs="Arial"/>
                <w:b/>
                <w:bCs/>
                <w:sz w:val="18"/>
                <w:szCs w:val="18"/>
                <w:vertAlign w:val="superscript"/>
              </w:rPr>
              <w:t xml:space="preserve"> b</w:t>
            </w:r>
            <w:r w:rsidRPr="009426D4">
              <w:rPr>
                <w:rFonts w:cs="Arial"/>
                <w:b/>
                <w:bCs/>
                <w:sz w:val="18"/>
                <w:szCs w:val="18"/>
              </w:rPr>
              <w:t xml:space="preserve"> (95% CI)</w:t>
            </w:r>
          </w:p>
        </w:tc>
      </w:tr>
      <w:tr w:rsidR="000923BB" w:rsidRPr="009426D4" w14:paraId="23169BC8" w14:textId="77777777" w:rsidTr="00282EAD">
        <w:trPr>
          <w:cantSplit/>
          <w:trHeight w:val="284"/>
        </w:trPr>
        <w:tc>
          <w:tcPr>
            <w:tcW w:w="1298" w:type="dxa"/>
            <w:vMerge w:val="restart"/>
            <w:tcBorders>
              <w:top w:val="single" w:sz="4" w:space="0" w:color="auto"/>
              <w:left w:val="single" w:sz="4" w:space="0" w:color="auto"/>
              <w:bottom w:val="single" w:sz="4" w:space="0" w:color="auto"/>
              <w:right w:val="single" w:sz="4" w:space="0" w:color="auto"/>
            </w:tcBorders>
            <w:vAlign w:val="center"/>
          </w:tcPr>
          <w:p w14:paraId="0305B387" w14:textId="77777777" w:rsidR="000923BB" w:rsidRPr="009426D4" w:rsidRDefault="000923BB" w:rsidP="003A385F">
            <w:pPr>
              <w:rPr>
                <w:rFonts w:cs="Arial"/>
                <w:sz w:val="18"/>
                <w:szCs w:val="18"/>
              </w:rPr>
            </w:pPr>
            <w:r w:rsidRPr="009426D4">
              <w:rPr>
                <w:rFonts w:cs="Arial"/>
                <w:sz w:val="18"/>
                <w:szCs w:val="18"/>
              </w:rPr>
              <w:t>Doctor vs Doctor</w:t>
            </w:r>
          </w:p>
        </w:tc>
        <w:tc>
          <w:tcPr>
            <w:tcW w:w="1440" w:type="dxa"/>
            <w:tcBorders>
              <w:top w:val="single" w:sz="4" w:space="0" w:color="auto"/>
              <w:left w:val="single" w:sz="4" w:space="0" w:color="auto"/>
              <w:bottom w:val="nil"/>
              <w:right w:val="single" w:sz="4" w:space="0" w:color="auto"/>
            </w:tcBorders>
            <w:vAlign w:val="center"/>
          </w:tcPr>
          <w:p w14:paraId="0CC4E3FD" w14:textId="77777777" w:rsidR="000923BB" w:rsidRPr="009426D4" w:rsidRDefault="000923BB" w:rsidP="003A385F">
            <w:pPr>
              <w:jc w:val="center"/>
              <w:rPr>
                <w:rFonts w:cs="Arial"/>
                <w:sz w:val="18"/>
                <w:szCs w:val="18"/>
              </w:rPr>
            </w:pPr>
            <w:r w:rsidRPr="009426D4">
              <w:rPr>
                <w:rFonts w:cs="Arial"/>
                <w:sz w:val="18"/>
                <w:szCs w:val="18"/>
              </w:rPr>
              <w:t>Heart Failure</w:t>
            </w:r>
          </w:p>
        </w:tc>
        <w:tc>
          <w:tcPr>
            <w:tcW w:w="720" w:type="dxa"/>
            <w:tcBorders>
              <w:top w:val="single" w:sz="4" w:space="0" w:color="auto"/>
              <w:left w:val="single" w:sz="4" w:space="0" w:color="auto"/>
              <w:bottom w:val="nil"/>
              <w:right w:val="nil"/>
            </w:tcBorders>
            <w:tcMar>
              <w:top w:w="6" w:type="dxa"/>
              <w:left w:w="108" w:type="dxa"/>
              <w:bottom w:w="6" w:type="dxa"/>
              <w:right w:w="108" w:type="dxa"/>
            </w:tcMar>
            <w:vAlign w:val="center"/>
          </w:tcPr>
          <w:p w14:paraId="786B1F40" w14:textId="77777777" w:rsidR="000923BB" w:rsidRPr="009426D4" w:rsidRDefault="000923BB" w:rsidP="003A385F">
            <w:pPr>
              <w:jc w:val="center"/>
              <w:rPr>
                <w:rFonts w:cs="Arial"/>
                <w:sz w:val="18"/>
                <w:szCs w:val="18"/>
              </w:rPr>
            </w:pPr>
            <w:r w:rsidRPr="009426D4">
              <w:rPr>
                <w:rFonts w:cs="Arial"/>
                <w:sz w:val="18"/>
                <w:szCs w:val="18"/>
              </w:rPr>
              <w:t>F</w:t>
            </w:r>
          </w:p>
        </w:tc>
        <w:tc>
          <w:tcPr>
            <w:tcW w:w="1080" w:type="dxa"/>
            <w:tcBorders>
              <w:top w:val="single" w:sz="4" w:space="0" w:color="auto"/>
              <w:left w:val="nil"/>
              <w:bottom w:val="nil"/>
              <w:right w:val="single" w:sz="4" w:space="0" w:color="auto"/>
            </w:tcBorders>
            <w:tcMar>
              <w:top w:w="6" w:type="dxa"/>
              <w:left w:w="108" w:type="dxa"/>
              <w:bottom w:w="6" w:type="dxa"/>
              <w:right w:w="108" w:type="dxa"/>
            </w:tcMar>
            <w:vAlign w:val="center"/>
          </w:tcPr>
          <w:p w14:paraId="409ACFE1" w14:textId="77777777" w:rsidR="000923BB" w:rsidRPr="009426D4" w:rsidRDefault="000923BB" w:rsidP="003A385F">
            <w:pPr>
              <w:jc w:val="center"/>
              <w:rPr>
                <w:rFonts w:cs="Arial"/>
                <w:sz w:val="18"/>
                <w:szCs w:val="18"/>
              </w:rPr>
            </w:pPr>
            <w:r w:rsidRPr="009426D4">
              <w:rPr>
                <w:rFonts w:cs="Arial"/>
                <w:sz w:val="18"/>
                <w:szCs w:val="18"/>
              </w:rPr>
              <w:t>14</w:t>
            </w:r>
          </w:p>
        </w:tc>
        <w:tc>
          <w:tcPr>
            <w:tcW w:w="1983" w:type="dxa"/>
            <w:tcBorders>
              <w:top w:val="single" w:sz="4" w:space="0" w:color="auto"/>
              <w:left w:val="single" w:sz="4" w:space="0" w:color="auto"/>
              <w:bottom w:val="nil"/>
              <w:right w:val="single" w:sz="4" w:space="0" w:color="auto"/>
            </w:tcBorders>
            <w:tcMar>
              <w:top w:w="6" w:type="dxa"/>
              <w:left w:w="108" w:type="dxa"/>
              <w:bottom w:w="6" w:type="dxa"/>
              <w:right w:w="108" w:type="dxa"/>
            </w:tcMar>
            <w:vAlign w:val="center"/>
          </w:tcPr>
          <w:p w14:paraId="0E25BC30" w14:textId="77777777" w:rsidR="000923BB" w:rsidRPr="009426D4" w:rsidRDefault="000923BB" w:rsidP="003A385F">
            <w:pPr>
              <w:jc w:val="center"/>
              <w:rPr>
                <w:rFonts w:cs="Arial"/>
                <w:sz w:val="18"/>
                <w:szCs w:val="18"/>
              </w:rPr>
            </w:pPr>
            <w:r w:rsidRPr="009426D4">
              <w:rPr>
                <w:rFonts w:cs="Arial"/>
                <w:sz w:val="18"/>
                <w:szCs w:val="18"/>
              </w:rPr>
              <w:t>0.96   ( 0.87 to 0.99)</w:t>
            </w:r>
          </w:p>
        </w:tc>
        <w:tc>
          <w:tcPr>
            <w:tcW w:w="1275" w:type="dxa"/>
            <w:vMerge w:val="restart"/>
            <w:tcBorders>
              <w:top w:val="single" w:sz="4" w:space="0" w:color="auto"/>
              <w:left w:val="single" w:sz="4" w:space="0" w:color="auto"/>
              <w:bottom w:val="single" w:sz="4" w:space="0" w:color="auto"/>
              <w:right w:val="single" w:sz="4" w:space="0" w:color="auto"/>
            </w:tcBorders>
            <w:tcMar>
              <w:top w:w="6" w:type="dxa"/>
              <w:left w:w="108" w:type="dxa"/>
              <w:bottom w:w="6" w:type="dxa"/>
              <w:right w:w="108" w:type="dxa"/>
            </w:tcMar>
            <w:vAlign w:val="center"/>
          </w:tcPr>
          <w:p w14:paraId="58B141EC" w14:textId="77777777" w:rsidR="000923BB" w:rsidRPr="009426D4" w:rsidRDefault="000923BB" w:rsidP="003A385F">
            <w:pPr>
              <w:jc w:val="center"/>
              <w:rPr>
                <w:rFonts w:cs="Arial"/>
                <w:sz w:val="18"/>
                <w:szCs w:val="18"/>
              </w:rPr>
            </w:pPr>
            <w:r w:rsidRPr="009426D4">
              <w:rPr>
                <w:rFonts w:cs="Arial"/>
                <w:sz w:val="18"/>
                <w:szCs w:val="18"/>
              </w:rPr>
              <w:t>0.88</w:t>
            </w:r>
          </w:p>
          <w:p w14:paraId="233AD553" w14:textId="77777777" w:rsidR="000923BB" w:rsidRPr="009426D4" w:rsidRDefault="000923BB" w:rsidP="003A385F">
            <w:pPr>
              <w:jc w:val="center"/>
              <w:rPr>
                <w:rFonts w:cs="Arial"/>
                <w:sz w:val="18"/>
                <w:szCs w:val="18"/>
              </w:rPr>
            </w:pPr>
            <w:r w:rsidRPr="009426D4">
              <w:rPr>
                <w:rFonts w:cs="Arial"/>
                <w:sz w:val="18"/>
                <w:szCs w:val="18"/>
              </w:rPr>
              <w:t>(0.83 to 0.93)</w:t>
            </w:r>
          </w:p>
        </w:tc>
      </w:tr>
      <w:tr w:rsidR="000923BB" w:rsidRPr="009426D4" w14:paraId="612276DA" w14:textId="77777777" w:rsidTr="00282EAD">
        <w:trPr>
          <w:cantSplit/>
          <w:trHeight w:val="284"/>
        </w:trPr>
        <w:tc>
          <w:tcPr>
            <w:tcW w:w="1298" w:type="dxa"/>
            <w:vMerge/>
            <w:tcBorders>
              <w:top w:val="single" w:sz="4" w:space="0" w:color="auto"/>
              <w:left w:val="single" w:sz="4" w:space="0" w:color="auto"/>
              <w:bottom w:val="single" w:sz="4" w:space="0" w:color="auto"/>
              <w:right w:val="single" w:sz="4" w:space="0" w:color="auto"/>
            </w:tcBorders>
            <w:vAlign w:val="center"/>
          </w:tcPr>
          <w:p w14:paraId="35631E33" w14:textId="77777777" w:rsidR="000923BB" w:rsidRPr="009426D4" w:rsidRDefault="000923BB" w:rsidP="003A385F">
            <w:pPr>
              <w:rPr>
                <w:rFonts w:cs="Arial"/>
                <w:sz w:val="18"/>
                <w:szCs w:val="18"/>
              </w:rPr>
            </w:pPr>
          </w:p>
        </w:tc>
        <w:tc>
          <w:tcPr>
            <w:tcW w:w="1440" w:type="dxa"/>
            <w:tcBorders>
              <w:top w:val="nil"/>
              <w:left w:val="single" w:sz="4" w:space="0" w:color="auto"/>
              <w:bottom w:val="nil"/>
              <w:right w:val="single" w:sz="4" w:space="0" w:color="auto"/>
            </w:tcBorders>
          </w:tcPr>
          <w:p w14:paraId="368A5C80" w14:textId="77777777" w:rsidR="000923BB" w:rsidRPr="009426D4" w:rsidRDefault="000923BB" w:rsidP="003A385F">
            <w:pPr>
              <w:jc w:val="center"/>
              <w:rPr>
                <w:rFonts w:cs="Arial"/>
                <w:sz w:val="18"/>
                <w:szCs w:val="18"/>
              </w:rPr>
            </w:pPr>
            <w:r w:rsidRPr="009426D4">
              <w:rPr>
                <w:rFonts w:cs="Arial"/>
                <w:sz w:val="18"/>
                <w:szCs w:val="18"/>
              </w:rPr>
              <w:t>COPD</w:t>
            </w:r>
          </w:p>
        </w:tc>
        <w:tc>
          <w:tcPr>
            <w:tcW w:w="720" w:type="dxa"/>
            <w:tcBorders>
              <w:top w:val="nil"/>
              <w:left w:val="single" w:sz="4" w:space="0" w:color="auto"/>
              <w:bottom w:val="nil"/>
              <w:right w:val="nil"/>
            </w:tcBorders>
            <w:tcMar>
              <w:top w:w="6" w:type="dxa"/>
              <w:left w:w="108" w:type="dxa"/>
              <w:bottom w:w="6" w:type="dxa"/>
              <w:right w:w="108" w:type="dxa"/>
            </w:tcMar>
            <w:vAlign w:val="center"/>
          </w:tcPr>
          <w:p w14:paraId="750B6966" w14:textId="77777777" w:rsidR="000923BB" w:rsidRPr="009426D4" w:rsidRDefault="000923BB" w:rsidP="003A385F">
            <w:pPr>
              <w:jc w:val="center"/>
              <w:rPr>
                <w:rFonts w:cs="Arial"/>
                <w:sz w:val="18"/>
                <w:szCs w:val="18"/>
              </w:rPr>
            </w:pPr>
            <w:r w:rsidRPr="009426D4">
              <w:rPr>
                <w:rFonts w:cs="Arial"/>
                <w:sz w:val="18"/>
                <w:szCs w:val="18"/>
              </w:rPr>
              <w:t>G</w:t>
            </w:r>
          </w:p>
        </w:tc>
        <w:tc>
          <w:tcPr>
            <w:tcW w:w="1080" w:type="dxa"/>
            <w:tcBorders>
              <w:top w:val="nil"/>
              <w:left w:val="nil"/>
              <w:bottom w:val="nil"/>
              <w:right w:val="single" w:sz="4" w:space="0" w:color="auto"/>
            </w:tcBorders>
            <w:tcMar>
              <w:top w:w="6" w:type="dxa"/>
              <w:left w:w="108" w:type="dxa"/>
              <w:bottom w:w="6" w:type="dxa"/>
              <w:right w:w="108" w:type="dxa"/>
            </w:tcMar>
            <w:vAlign w:val="center"/>
          </w:tcPr>
          <w:p w14:paraId="51D75228" w14:textId="77777777" w:rsidR="000923BB" w:rsidRPr="009426D4" w:rsidRDefault="000923BB" w:rsidP="003A385F">
            <w:pPr>
              <w:jc w:val="center"/>
              <w:rPr>
                <w:rFonts w:cs="Arial"/>
                <w:sz w:val="18"/>
                <w:szCs w:val="18"/>
              </w:rPr>
            </w:pPr>
            <w:r w:rsidRPr="009426D4">
              <w:rPr>
                <w:rFonts w:cs="Arial"/>
                <w:sz w:val="18"/>
                <w:szCs w:val="18"/>
              </w:rPr>
              <w:t>50</w:t>
            </w:r>
          </w:p>
        </w:tc>
        <w:tc>
          <w:tcPr>
            <w:tcW w:w="1983" w:type="dxa"/>
            <w:tcBorders>
              <w:top w:val="nil"/>
              <w:left w:val="single" w:sz="4" w:space="0" w:color="auto"/>
              <w:bottom w:val="nil"/>
              <w:right w:val="single" w:sz="4" w:space="0" w:color="auto"/>
            </w:tcBorders>
            <w:tcMar>
              <w:top w:w="6" w:type="dxa"/>
              <w:left w:w="108" w:type="dxa"/>
              <w:bottom w:w="6" w:type="dxa"/>
              <w:right w:w="108" w:type="dxa"/>
            </w:tcMar>
            <w:vAlign w:val="center"/>
          </w:tcPr>
          <w:p w14:paraId="4C77BC25" w14:textId="77777777" w:rsidR="000923BB" w:rsidRPr="009426D4" w:rsidRDefault="000923BB" w:rsidP="003A385F">
            <w:pPr>
              <w:jc w:val="center"/>
              <w:rPr>
                <w:rFonts w:cs="Arial"/>
                <w:sz w:val="18"/>
                <w:szCs w:val="18"/>
              </w:rPr>
            </w:pPr>
            <w:r w:rsidRPr="009426D4">
              <w:rPr>
                <w:rFonts w:cs="Arial"/>
                <w:sz w:val="18"/>
                <w:szCs w:val="18"/>
              </w:rPr>
              <w:t>0.65   ( 0.46 to 0.79)</w:t>
            </w:r>
          </w:p>
        </w:tc>
        <w:tc>
          <w:tcPr>
            <w:tcW w:w="1275" w:type="dxa"/>
            <w:vMerge/>
            <w:tcBorders>
              <w:top w:val="single" w:sz="4" w:space="0" w:color="auto"/>
              <w:left w:val="single" w:sz="4" w:space="0" w:color="auto"/>
              <w:bottom w:val="single" w:sz="4" w:space="0" w:color="auto"/>
              <w:right w:val="single" w:sz="4" w:space="0" w:color="auto"/>
            </w:tcBorders>
            <w:tcMar>
              <w:top w:w="6" w:type="dxa"/>
              <w:left w:w="108" w:type="dxa"/>
              <w:bottom w:w="6" w:type="dxa"/>
              <w:right w:w="108" w:type="dxa"/>
            </w:tcMar>
            <w:vAlign w:val="center"/>
          </w:tcPr>
          <w:p w14:paraId="2879BBB2" w14:textId="77777777" w:rsidR="000923BB" w:rsidRPr="009426D4" w:rsidRDefault="000923BB" w:rsidP="003A385F">
            <w:pPr>
              <w:jc w:val="center"/>
              <w:rPr>
                <w:rFonts w:cs="Arial"/>
                <w:sz w:val="18"/>
                <w:szCs w:val="18"/>
              </w:rPr>
            </w:pPr>
          </w:p>
        </w:tc>
      </w:tr>
      <w:tr w:rsidR="000923BB" w:rsidRPr="009426D4" w14:paraId="1C71470F" w14:textId="77777777" w:rsidTr="00282EAD">
        <w:trPr>
          <w:cantSplit/>
          <w:trHeight w:val="284"/>
        </w:trPr>
        <w:tc>
          <w:tcPr>
            <w:tcW w:w="1298" w:type="dxa"/>
            <w:vMerge/>
            <w:tcBorders>
              <w:top w:val="single" w:sz="4" w:space="0" w:color="auto"/>
              <w:left w:val="single" w:sz="4" w:space="0" w:color="auto"/>
              <w:bottom w:val="single" w:sz="4" w:space="0" w:color="auto"/>
              <w:right w:val="single" w:sz="4" w:space="0" w:color="auto"/>
            </w:tcBorders>
            <w:vAlign w:val="center"/>
          </w:tcPr>
          <w:p w14:paraId="02366536" w14:textId="77777777" w:rsidR="000923BB" w:rsidRPr="009426D4" w:rsidRDefault="000923BB" w:rsidP="003A385F">
            <w:pPr>
              <w:rPr>
                <w:rFonts w:cs="Arial"/>
                <w:sz w:val="18"/>
                <w:szCs w:val="18"/>
              </w:rPr>
            </w:pPr>
          </w:p>
        </w:tc>
        <w:tc>
          <w:tcPr>
            <w:tcW w:w="1440" w:type="dxa"/>
            <w:tcBorders>
              <w:top w:val="nil"/>
              <w:left w:val="single" w:sz="4" w:space="0" w:color="auto"/>
              <w:bottom w:val="nil"/>
              <w:right w:val="single" w:sz="4" w:space="0" w:color="auto"/>
            </w:tcBorders>
            <w:vAlign w:val="center"/>
          </w:tcPr>
          <w:p w14:paraId="7BD57E30" w14:textId="77777777" w:rsidR="000923BB" w:rsidRPr="009426D4" w:rsidRDefault="000923BB" w:rsidP="003A385F">
            <w:pPr>
              <w:jc w:val="center"/>
              <w:rPr>
                <w:rFonts w:cs="Arial"/>
                <w:sz w:val="18"/>
                <w:szCs w:val="18"/>
              </w:rPr>
            </w:pPr>
            <w:r w:rsidRPr="009426D4">
              <w:rPr>
                <w:rFonts w:cs="Arial"/>
                <w:sz w:val="18"/>
                <w:szCs w:val="18"/>
              </w:rPr>
              <w:t>Heart Failure</w:t>
            </w:r>
          </w:p>
        </w:tc>
        <w:tc>
          <w:tcPr>
            <w:tcW w:w="720" w:type="dxa"/>
            <w:tcBorders>
              <w:top w:val="nil"/>
              <w:left w:val="single" w:sz="4" w:space="0" w:color="auto"/>
              <w:bottom w:val="nil"/>
              <w:right w:val="nil"/>
            </w:tcBorders>
            <w:tcMar>
              <w:top w:w="6" w:type="dxa"/>
              <w:left w:w="108" w:type="dxa"/>
              <w:bottom w:w="6" w:type="dxa"/>
              <w:right w:w="108" w:type="dxa"/>
            </w:tcMar>
            <w:vAlign w:val="center"/>
          </w:tcPr>
          <w:p w14:paraId="4856F2C6" w14:textId="77777777" w:rsidR="000923BB" w:rsidRPr="009426D4" w:rsidRDefault="000923BB" w:rsidP="003A385F">
            <w:pPr>
              <w:jc w:val="center"/>
              <w:rPr>
                <w:rFonts w:cs="Arial"/>
                <w:sz w:val="18"/>
                <w:szCs w:val="18"/>
              </w:rPr>
            </w:pPr>
            <w:r w:rsidRPr="009426D4">
              <w:rPr>
                <w:rFonts w:cs="Arial"/>
                <w:sz w:val="18"/>
                <w:szCs w:val="18"/>
              </w:rPr>
              <w:t>B</w:t>
            </w:r>
          </w:p>
        </w:tc>
        <w:tc>
          <w:tcPr>
            <w:tcW w:w="1080" w:type="dxa"/>
            <w:tcBorders>
              <w:top w:val="nil"/>
              <w:left w:val="nil"/>
              <w:bottom w:val="nil"/>
              <w:right w:val="single" w:sz="4" w:space="0" w:color="auto"/>
            </w:tcBorders>
            <w:tcMar>
              <w:top w:w="6" w:type="dxa"/>
              <w:left w:w="108" w:type="dxa"/>
              <w:bottom w:w="6" w:type="dxa"/>
              <w:right w:w="108" w:type="dxa"/>
            </w:tcMar>
            <w:vAlign w:val="center"/>
          </w:tcPr>
          <w:p w14:paraId="4AAC5FBC" w14:textId="77777777" w:rsidR="000923BB" w:rsidRPr="009426D4" w:rsidRDefault="000923BB" w:rsidP="003A385F">
            <w:pPr>
              <w:jc w:val="center"/>
              <w:rPr>
                <w:rFonts w:cs="Arial"/>
                <w:sz w:val="18"/>
                <w:szCs w:val="18"/>
              </w:rPr>
            </w:pPr>
            <w:r w:rsidRPr="009426D4">
              <w:rPr>
                <w:rFonts w:cs="Arial"/>
                <w:sz w:val="18"/>
                <w:szCs w:val="18"/>
              </w:rPr>
              <w:t>46</w:t>
            </w:r>
          </w:p>
        </w:tc>
        <w:tc>
          <w:tcPr>
            <w:tcW w:w="1983" w:type="dxa"/>
            <w:tcBorders>
              <w:top w:val="nil"/>
              <w:left w:val="single" w:sz="4" w:space="0" w:color="auto"/>
              <w:bottom w:val="nil"/>
              <w:right w:val="single" w:sz="4" w:space="0" w:color="auto"/>
            </w:tcBorders>
            <w:tcMar>
              <w:top w:w="6" w:type="dxa"/>
              <w:left w:w="108" w:type="dxa"/>
              <w:bottom w:w="6" w:type="dxa"/>
              <w:right w:w="108" w:type="dxa"/>
            </w:tcMar>
            <w:vAlign w:val="center"/>
          </w:tcPr>
          <w:p w14:paraId="51E185EA" w14:textId="77777777" w:rsidR="000923BB" w:rsidRPr="009426D4" w:rsidRDefault="000923BB" w:rsidP="003A385F">
            <w:pPr>
              <w:jc w:val="center"/>
              <w:rPr>
                <w:rFonts w:cs="Arial"/>
                <w:sz w:val="18"/>
                <w:szCs w:val="18"/>
              </w:rPr>
            </w:pPr>
            <w:r w:rsidRPr="009426D4">
              <w:rPr>
                <w:rFonts w:cs="Arial"/>
                <w:sz w:val="18"/>
                <w:szCs w:val="18"/>
              </w:rPr>
              <w:t>0.65   ( 0.50 to 0.77)</w:t>
            </w:r>
          </w:p>
        </w:tc>
        <w:tc>
          <w:tcPr>
            <w:tcW w:w="1275" w:type="dxa"/>
            <w:vMerge/>
            <w:tcBorders>
              <w:top w:val="single" w:sz="4" w:space="0" w:color="auto"/>
              <w:left w:val="single" w:sz="4" w:space="0" w:color="auto"/>
              <w:bottom w:val="single" w:sz="4" w:space="0" w:color="auto"/>
              <w:right w:val="single" w:sz="4" w:space="0" w:color="auto"/>
            </w:tcBorders>
            <w:tcMar>
              <w:top w:w="6" w:type="dxa"/>
              <w:left w:w="108" w:type="dxa"/>
              <w:bottom w:w="6" w:type="dxa"/>
              <w:right w:w="108" w:type="dxa"/>
            </w:tcMar>
            <w:vAlign w:val="center"/>
          </w:tcPr>
          <w:p w14:paraId="53DB3AF2" w14:textId="77777777" w:rsidR="000923BB" w:rsidRPr="009426D4" w:rsidRDefault="000923BB" w:rsidP="003A385F">
            <w:pPr>
              <w:jc w:val="center"/>
              <w:rPr>
                <w:rFonts w:cs="Arial"/>
                <w:sz w:val="18"/>
                <w:szCs w:val="18"/>
              </w:rPr>
            </w:pPr>
          </w:p>
        </w:tc>
      </w:tr>
      <w:tr w:rsidR="000923BB" w:rsidRPr="009426D4" w14:paraId="1680BA53" w14:textId="77777777" w:rsidTr="00282EAD">
        <w:trPr>
          <w:cantSplit/>
          <w:trHeight w:val="284"/>
        </w:trPr>
        <w:tc>
          <w:tcPr>
            <w:tcW w:w="1298" w:type="dxa"/>
            <w:vMerge/>
            <w:tcBorders>
              <w:top w:val="single" w:sz="4" w:space="0" w:color="auto"/>
              <w:left w:val="single" w:sz="4" w:space="0" w:color="auto"/>
              <w:bottom w:val="single" w:sz="4" w:space="0" w:color="auto"/>
              <w:right w:val="single" w:sz="4" w:space="0" w:color="auto"/>
            </w:tcBorders>
            <w:vAlign w:val="center"/>
          </w:tcPr>
          <w:p w14:paraId="40BFC891" w14:textId="77777777" w:rsidR="000923BB" w:rsidRPr="009426D4" w:rsidRDefault="000923BB" w:rsidP="003A385F">
            <w:pPr>
              <w:rPr>
                <w:rFonts w:cs="Arial"/>
                <w:sz w:val="18"/>
                <w:szCs w:val="18"/>
              </w:rPr>
            </w:pPr>
          </w:p>
        </w:tc>
        <w:tc>
          <w:tcPr>
            <w:tcW w:w="1440" w:type="dxa"/>
            <w:tcBorders>
              <w:top w:val="nil"/>
              <w:left w:val="single" w:sz="4" w:space="0" w:color="auto"/>
              <w:bottom w:val="single" w:sz="4" w:space="0" w:color="auto"/>
              <w:right w:val="single" w:sz="4" w:space="0" w:color="auto"/>
            </w:tcBorders>
            <w:vAlign w:val="center"/>
          </w:tcPr>
          <w:p w14:paraId="187E2C68" w14:textId="77777777" w:rsidR="000923BB" w:rsidRPr="009426D4" w:rsidRDefault="000923BB" w:rsidP="003A385F">
            <w:pPr>
              <w:jc w:val="center"/>
              <w:rPr>
                <w:rFonts w:cs="Arial"/>
                <w:sz w:val="18"/>
                <w:szCs w:val="18"/>
              </w:rPr>
            </w:pPr>
            <w:r w:rsidRPr="009426D4">
              <w:rPr>
                <w:rFonts w:cs="Arial"/>
                <w:sz w:val="18"/>
                <w:szCs w:val="18"/>
              </w:rPr>
              <w:t>Heart Failure</w:t>
            </w:r>
          </w:p>
        </w:tc>
        <w:tc>
          <w:tcPr>
            <w:tcW w:w="720" w:type="dxa"/>
            <w:tcBorders>
              <w:top w:val="nil"/>
              <w:left w:val="single" w:sz="4" w:space="0" w:color="auto"/>
              <w:bottom w:val="single" w:sz="4" w:space="0" w:color="auto"/>
              <w:right w:val="nil"/>
            </w:tcBorders>
            <w:tcMar>
              <w:top w:w="6" w:type="dxa"/>
              <w:left w:w="108" w:type="dxa"/>
              <w:bottom w:w="6" w:type="dxa"/>
              <w:right w:w="108" w:type="dxa"/>
            </w:tcMar>
            <w:vAlign w:val="center"/>
          </w:tcPr>
          <w:p w14:paraId="3B7A616E" w14:textId="77777777" w:rsidR="000923BB" w:rsidRPr="009426D4" w:rsidRDefault="000923BB" w:rsidP="003A385F">
            <w:pPr>
              <w:jc w:val="center"/>
              <w:rPr>
                <w:rFonts w:cs="Arial"/>
                <w:sz w:val="18"/>
                <w:szCs w:val="18"/>
              </w:rPr>
            </w:pPr>
            <w:r w:rsidRPr="009426D4">
              <w:rPr>
                <w:rFonts w:cs="Arial"/>
                <w:sz w:val="18"/>
                <w:szCs w:val="18"/>
              </w:rPr>
              <w:t>E</w:t>
            </w:r>
            <w:r w:rsidRPr="009426D4">
              <w:rPr>
                <w:rFonts w:cs="Arial"/>
                <w:b/>
                <w:bCs/>
                <w:sz w:val="18"/>
                <w:szCs w:val="18"/>
                <w:vertAlign w:val="superscript"/>
              </w:rPr>
              <w:t>c</w:t>
            </w:r>
          </w:p>
        </w:tc>
        <w:tc>
          <w:tcPr>
            <w:tcW w:w="1080" w:type="dxa"/>
            <w:tcBorders>
              <w:top w:val="nil"/>
              <w:left w:val="nil"/>
              <w:bottom w:val="single" w:sz="4" w:space="0" w:color="auto"/>
              <w:right w:val="single" w:sz="4" w:space="0" w:color="auto"/>
            </w:tcBorders>
            <w:tcMar>
              <w:top w:w="6" w:type="dxa"/>
              <w:left w:w="108" w:type="dxa"/>
              <w:bottom w:w="6" w:type="dxa"/>
              <w:right w:w="108" w:type="dxa"/>
            </w:tcMar>
            <w:vAlign w:val="center"/>
          </w:tcPr>
          <w:p w14:paraId="60F89605" w14:textId="77777777" w:rsidR="000923BB" w:rsidRPr="009426D4" w:rsidRDefault="000923BB" w:rsidP="003A385F">
            <w:pPr>
              <w:jc w:val="center"/>
              <w:rPr>
                <w:rFonts w:cs="Arial"/>
                <w:sz w:val="18"/>
                <w:szCs w:val="18"/>
              </w:rPr>
            </w:pPr>
            <w:r w:rsidRPr="009426D4">
              <w:rPr>
                <w:rFonts w:cs="Arial"/>
                <w:sz w:val="18"/>
                <w:szCs w:val="18"/>
              </w:rPr>
              <w:t>12</w:t>
            </w:r>
          </w:p>
        </w:tc>
        <w:tc>
          <w:tcPr>
            <w:tcW w:w="1983" w:type="dxa"/>
            <w:tcBorders>
              <w:top w:val="nil"/>
              <w:left w:val="single" w:sz="4" w:space="0" w:color="auto"/>
              <w:bottom w:val="single" w:sz="4" w:space="0" w:color="auto"/>
              <w:right w:val="single" w:sz="4" w:space="0" w:color="auto"/>
            </w:tcBorders>
            <w:tcMar>
              <w:top w:w="6" w:type="dxa"/>
              <w:left w:w="108" w:type="dxa"/>
              <w:bottom w:w="6" w:type="dxa"/>
              <w:right w:w="108" w:type="dxa"/>
            </w:tcMar>
            <w:vAlign w:val="center"/>
          </w:tcPr>
          <w:p w14:paraId="3BA02E96" w14:textId="77777777" w:rsidR="000923BB" w:rsidRPr="009426D4" w:rsidRDefault="000923BB" w:rsidP="003A385F">
            <w:pPr>
              <w:jc w:val="center"/>
              <w:rPr>
                <w:rFonts w:cs="Arial"/>
                <w:sz w:val="18"/>
                <w:szCs w:val="18"/>
              </w:rPr>
            </w:pPr>
            <w:r w:rsidRPr="009426D4">
              <w:rPr>
                <w:rFonts w:cs="Arial"/>
                <w:sz w:val="18"/>
                <w:szCs w:val="18"/>
              </w:rPr>
              <w:t>0.64   ( 0.13 to 0.88)</w:t>
            </w:r>
          </w:p>
        </w:tc>
        <w:tc>
          <w:tcPr>
            <w:tcW w:w="1275" w:type="dxa"/>
            <w:vMerge/>
            <w:tcBorders>
              <w:top w:val="single" w:sz="4" w:space="0" w:color="auto"/>
              <w:left w:val="single" w:sz="4" w:space="0" w:color="auto"/>
              <w:bottom w:val="single" w:sz="4" w:space="0" w:color="auto"/>
              <w:right w:val="single" w:sz="4" w:space="0" w:color="auto"/>
            </w:tcBorders>
            <w:tcMar>
              <w:top w:w="6" w:type="dxa"/>
              <w:left w:w="108" w:type="dxa"/>
              <w:bottom w:w="6" w:type="dxa"/>
              <w:right w:w="108" w:type="dxa"/>
            </w:tcMar>
            <w:vAlign w:val="center"/>
          </w:tcPr>
          <w:p w14:paraId="0B27F222" w14:textId="77777777" w:rsidR="000923BB" w:rsidRPr="009426D4" w:rsidRDefault="000923BB" w:rsidP="003A385F">
            <w:pPr>
              <w:jc w:val="center"/>
              <w:rPr>
                <w:rFonts w:cs="Arial"/>
                <w:sz w:val="18"/>
                <w:szCs w:val="18"/>
              </w:rPr>
            </w:pPr>
          </w:p>
        </w:tc>
      </w:tr>
      <w:tr w:rsidR="000923BB" w:rsidRPr="009426D4" w14:paraId="46E1DA9F" w14:textId="77777777" w:rsidTr="00282EAD">
        <w:trPr>
          <w:cantSplit/>
          <w:trHeight w:val="284"/>
        </w:trPr>
        <w:tc>
          <w:tcPr>
            <w:tcW w:w="1298" w:type="dxa"/>
            <w:vMerge w:val="restart"/>
            <w:tcBorders>
              <w:top w:val="single" w:sz="4" w:space="0" w:color="auto"/>
              <w:left w:val="single" w:sz="4" w:space="0" w:color="auto"/>
              <w:bottom w:val="single" w:sz="4" w:space="0" w:color="auto"/>
              <w:right w:val="single" w:sz="4" w:space="0" w:color="auto"/>
            </w:tcBorders>
            <w:vAlign w:val="center"/>
          </w:tcPr>
          <w:p w14:paraId="6378CFED" w14:textId="77777777" w:rsidR="000923BB" w:rsidRPr="009426D4" w:rsidRDefault="000923BB" w:rsidP="003A385F">
            <w:pPr>
              <w:rPr>
                <w:rFonts w:cs="Arial"/>
                <w:sz w:val="18"/>
                <w:szCs w:val="18"/>
              </w:rPr>
            </w:pPr>
            <w:r w:rsidRPr="009426D4">
              <w:rPr>
                <w:rFonts w:cs="Arial"/>
                <w:sz w:val="18"/>
                <w:szCs w:val="18"/>
                <w:lang w:val="en-US"/>
              </w:rPr>
              <w:t>Nurse/clinical</w:t>
            </w:r>
            <w:r w:rsidRPr="009426D4">
              <w:rPr>
                <w:rFonts w:cs="Arial"/>
                <w:sz w:val="18"/>
                <w:szCs w:val="18"/>
              </w:rPr>
              <w:t xml:space="preserve"> vs </w:t>
            </w:r>
            <w:r w:rsidRPr="009426D4">
              <w:rPr>
                <w:rFonts w:cs="Arial"/>
                <w:sz w:val="18"/>
                <w:szCs w:val="18"/>
                <w:lang w:val="en-US"/>
              </w:rPr>
              <w:t>Nurse/clinical</w:t>
            </w:r>
          </w:p>
        </w:tc>
        <w:tc>
          <w:tcPr>
            <w:tcW w:w="1440" w:type="dxa"/>
            <w:tcBorders>
              <w:top w:val="single" w:sz="4" w:space="0" w:color="auto"/>
              <w:left w:val="single" w:sz="4" w:space="0" w:color="auto"/>
              <w:bottom w:val="nil"/>
              <w:right w:val="single" w:sz="4" w:space="0" w:color="auto"/>
            </w:tcBorders>
          </w:tcPr>
          <w:p w14:paraId="2CCDA5C5" w14:textId="77777777" w:rsidR="000923BB" w:rsidRPr="009426D4" w:rsidRDefault="000923BB" w:rsidP="003A385F">
            <w:pPr>
              <w:jc w:val="center"/>
              <w:rPr>
                <w:rFonts w:cs="Arial"/>
                <w:sz w:val="18"/>
                <w:szCs w:val="18"/>
              </w:rPr>
            </w:pPr>
            <w:r w:rsidRPr="009426D4">
              <w:rPr>
                <w:rFonts w:cs="Arial"/>
                <w:sz w:val="18"/>
                <w:szCs w:val="18"/>
              </w:rPr>
              <w:t>COPD</w:t>
            </w:r>
          </w:p>
        </w:tc>
        <w:tc>
          <w:tcPr>
            <w:tcW w:w="720" w:type="dxa"/>
            <w:tcBorders>
              <w:top w:val="single" w:sz="4" w:space="0" w:color="auto"/>
              <w:left w:val="single" w:sz="4" w:space="0" w:color="auto"/>
              <w:bottom w:val="nil"/>
              <w:right w:val="nil"/>
            </w:tcBorders>
            <w:tcMar>
              <w:top w:w="6" w:type="dxa"/>
              <w:left w:w="108" w:type="dxa"/>
              <w:bottom w:w="6" w:type="dxa"/>
              <w:right w:w="108" w:type="dxa"/>
            </w:tcMar>
            <w:vAlign w:val="center"/>
          </w:tcPr>
          <w:p w14:paraId="685D34E8" w14:textId="77777777" w:rsidR="000923BB" w:rsidRPr="009426D4" w:rsidRDefault="000923BB" w:rsidP="003A385F">
            <w:pPr>
              <w:jc w:val="center"/>
              <w:rPr>
                <w:rFonts w:cs="Arial"/>
                <w:sz w:val="18"/>
                <w:szCs w:val="18"/>
              </w:rPr>
            </w:pPr>
            <w:r w:rsidRPr="009426D4">
              <w:rPr>
                <w:rFonts w:cs="Arial"/>
                <w:sz w:val="18"/>
                <w:szCs w:val="18"/>
              </w:rPr>
              <w:t>J</w:t>
            </w:r>
          </w:p>
        </w:tc>
        <w:tc>
          <w:tcPr>
            <w:tcW w:w="1080" w:type="dxa"/>
            <w:tcBorders>
              <w:top w:val="single" w:sz="4" w:space="0" w:color="auto"/>
              <w:left w:val="nil"/>
              <w:bottom w:val="nil"/>
              <w:right w:val="single" w:sz="4" w:space="0" w:color="auto"/>
            </w:tcBorders>
            <w:tcMar>
              <w:top w:w="6" w:type="dxa"/>
              <w:left w:w="108" w:type="dxa"/>
              <w:bottom w:w="6" w:type="dxa"/>
              <w:right w:w="108" w:type="dxa"/>
            </w:tcMar>
            <w:vAlign w:val="center"/>
          </w:tcPr>
          <w:p w14:paraId="5AC386EA" w14:textId="77777777" w:rsidR="000923BB" w:rsidRPr="009426D4" w:rsidRDefault="000923BB" w:rsidP="003A385F">
            <w:pPr>
              <w:jc w:val="center"/>
              <w:rPr>
                <w:rFonts w:cs="Arial"/>
                <w:sz w:val="18"/>
                <w:szCs w:val="18"/>
              </w:rPr>
            </w:pPr>
            <w:r w:rsidRPr="009426D4">
              <w:rPr>
                <w:rFonts w:cs="Arial"/>
                <w:sz w:val="18"/>
                <w:szCs w:val="18"/>
              </w:rPr>
              <w:t>25</w:t>
            </w:r>
          </w:p>
        </w:tc>
        <w:tc>
          <w:tcPr>
            <w:tcW w:w="1983" w:type="dxa"/>
            <w:tcBorders>
              <w:top w:val="single" w:sz="4" w:space="0" w:color="auto"/>
              <w:left w:val="single" w:sz="4" w:space="0" w:color="auto"/>
              <w:bottom w:val="nil"/>
              <w:right w:val="single" w:sz="4" w:space="0" w:color="auto"/>
            </w:tcBorders>
            <w:tcMar>
              <w:top w:w="6" w:type="dxa"/>
              <w:left w:w="108" w:type="dxa"/>
              <w:bottom w:w="6" w:type="dxa"/>
              <w:right w:w="108" w:type="dxa"/>
            </w:tcMar>
            <w:vAlign w:val="center"/>
          </w:tcPr>
          <w:p w14:paraId="1A1BA8A9" w14:textId="77777777" w:rsidR="000923BB" w:rsidRPr="009426D4" w:rsidRDefault="000923BB" w:rsidP="003A385F">
            <w:pPr>
              <w:jc w:val="center"/>
              <w:rPr>
                <w:rFonts w:cs="Arial"/>
                <w:sz w:val="18"/>
                <w:szCs w:val="18"/>
              </w:rPr>
            </w:pPr>
            <w:r w:rsidRPr="009426D4">
              <w:rPr>
                <w:rFonts w:cs="Arial"/>
                <w:sz w:val="18"/>
                <w:szCs w:val="18"/>
              </w:rPr>
              <w:t>0.86   ( 0.71 to 0.94)</w:t>
            </w:r>
          </w:p>
        </w:tc>
        <w:tc>
          <w:tcPr>
            <w:tcW w:w="1275" w:type="dxa"/>
            <w:vMerge w:val="restart"/>
            <w:tcBorders>
              <w:top w:val="single" w:sz="4" w:space="0" w:color="auto"/>
              <w:left w:val="single" w:sz="4" w:space="0" w:color="auto"/>
              <w:bottom w:val="single" w:sz="4" w:space="0" w:color="auto"/>
              <w:right w:val="single" w:sz="4" w:space="0" w:color="auto"/>
            </w:tcBorders>
            <w:tcMar>
              <w:top w:w="6" w:type="dxa"/>
              <w:left w:w="108" w:type="dxa"/>
              <w:bottom w:w="6" w:type="dxa"/>
              <w:right w:w="108" w:type="dxa"/>
            </w:tcMar>
            <w:vAlign w:val="center"/>
          </w:tcPr>
          <w:p w14:paraId="32221338" w14:textId="77777777" w:rsidR="000923BB" w:rsidRPr="009426D4" w:rsidRDefault="000923BB" w:rsidP="003A385F">
            <w:pPr>
              <w:jc w:val="center"/>
              <w:rPr>
                <w:rFonts w:cs="Arial"/>
                <w:sz w:val="18"/>
                <w:szCs w:val="18"/>
              </w:rPr>
            </w:pPr>
            <w:r w:rsidRPr="009426D4">
              <w:rPr>
                <w:rFonts w:cs="Arial"/>
                <w:sz w:val="18"/>
                <w:szCs w:val="18"/>
              </w:rPr>
              <w:t>0.74</w:t>
            </w:r>
          </w:p>
          <w:p w14:paraId="60480B2E" w14:textId="77777777" w:rsidR="000923BB" w:rsidRPr="009426D4" w:rsidRDefault="000923BB" w:rsidP="003A385F">
            <w:pPr>
              <w:jc w:val="center"/>
              <w:rPr>
                <w:rFonts w:cs="Arial"/>
                <w:sz w:val="18"/>
                <w:szCs w:val="18"/>
              </w:rPr>
            </w:pPr>
            <w:r w:rsidRPr="009426D4">
              <w:rPr>
                <w:rFonts w:cs="Arial"/>
                <w:sz w:val="18"/>
                <w:szCs w:val="18"/>
              </w:rPr>
              <w:t>(0.66 to 0.82)</w:t>
            </w:r>
          </w:p>
        </w:tc>
      </w:tr>
      <w:tr w:rsidR="000923BB" w:rsidRPr="009426D4" w14:paraId="617BBD06" w14:textId="77777777" w:rsidTr="00282EAD">
        <w:trPr>
          <w:cantSplit/>
          <w:trHeight w:val="284"/>
        </w:trPr>
        <w:tc>
          <w:tcPr>
            <w:tcW w:w="1298" w:type="dxa"/>
            <w:vMerge/>
            <w:tcBorders>
              <w:top w:val="single" w:sz="4" w:space="0" w:color="auto"/>
              <w:left w:val="single" w:sz="4" w:space="0" w:color="auto"/>
              <w:bottom w:val="single" w:sz="4" w:space="0" w:color="auto"/>
              <w:right w:val="single" w:sz="4" w:space="0" w:color="auto"/>
            </w:tcBorders>
            <w:vAlign w:val="center"/>
          </w:tcPr>
          <w:p w14:paraId="618CE9B7" w14:textId="77777777" w:rsidR="000923BB" w:rsidRPr="009426D4" w:rsidRDefault="000923BB" w:rsidP="003A385F">
            <w:pPr>
              <w:rPr>
                <w:rFonts w:cs="Arial"/>
                <w:sz w:val="18"/>
                <w:szCs w:val="18"/>
              </w:rPr>
            </w:pPr>
          </w:p>
        </w:tc>
        <w:tc>
          <w:tcPr>
            <w:tcW w:w="1440" w:type="dxa"/>
            <w:tcBorders>
              <w:top w:val="nil"/>
              <w:left w:val="single" w:sz="4" w:space="0" w:color="auto"/>
              <w:bottom w:val="nil"/>
              <w:right w:val="single" w:sz="4" w:space="0" w:color="auto"/>
            </w:tcBorders>
          </w:tcPr>
          <w:p w14:paraId="75EEF728" w14:textId="77777777" w:rsidR="000923BB" w:rsidRPr="009426D4" w:rsidRDefault="000923BB" w:rsidP="003A385F">
            <w:pPr>
              <w:jc w:val="center"/>
              <w:rPr>
                <w:rFonts w:cs="Arial"/>
                <w:sz w:val="18"/>
                <w:szCs w:val="18"/>
              </w:rPr>
            </w:pPr>
            <w:r w:rsidRPr="009426D4">
              <w:rPr>
                <w:rFonts w:cs="Arial"/>
                <w:sz w:val="18"/>
                <w:szCs w:val="18"/>
              </w:rPr>
              <w:t>COPD</w:t>
            </w:r>
          </w:p>
        </w:tc>
        <w:tc>
          <w:tcPr>
            <w:tcW w:w="720" w:type="dxa"/>
            <w:tcBorders>
              <w:top w:val="nil"/>
              <w:left w:val="single" w:sz="4" w:space="0" w:color="auto"/>
              <w:bottom w:val="nil"/>
              <w:right w:val="nil"/>
            </w:tcBorders>
            <w:tcMar>
              <w:top w:w="6" w:type="dxa"/>
              <w:left w:w="108" w:type="dxa"/>
              <w:bottom w:w="6" w:type="dxa"/>
              <w:right w:w="108" w:type="dxa"/>
            </w:tcMar>
            <w:vAlign w:val="center"/>
          </w:tcPr>
          <w:p w14:paraId="6B8CA606" w14:textId="77777777" w:rsidR="000923BB" w:rsidRPr="009426D4" w:rsidRDefault="000923BB" w:rsidP="003A385F">
            <w:pPr>
              <w:jc w:val="center"/>
              <w:rPr>
                <w:rFonts w:cs="Arial"/>
                <w:sz w:val="18"/>
                <w:szCs w:val="18"/>
              </w:rPr>
            </w:pPr>
            <w:r w:rsidRPr="009426D4">
              <w:rPr>
                <w:rFonts w:cs="Arial"/>
                <w:sz w:val="18"/>
                <w:szCs w:val="18"/>
              </w:rPr>
              <w:t>D</w:t>
            </w:r>
          </w:p>
        </w:tc>
        <w:tc>
          <w:tcPr>
            <w:tcW w:w="1080" w:type="dxa"/>
            <w:tcBorders>
              <w:top w:val="nil"/>
              <w:left w:val="nil"/>
              <w:bottom w:val="nil"/>
              <w:right w:val="single" w:sz="4" w:space="0" w:color="auto"/>
            </w:tcBorders>
            <w:tcMar>
              <w:top w:w="6" w:type="dxa"/>
              <w:left w:w="108" w:type="dxa"/>
              <w:bottom w:w="6" w:type="dxa"/>
              <w:right w:w="108" w:type="dxa"/>
            </w:tcMar>
            <w:vAlign w:val="center"/>
          </w:tcPr>
          <w:p w14:paraId="0DCA34FC" w14:textId="77777777" w:rsidR="000923BB" w:rsidRPr="009426D4" w:rsidRDefault="000923BB" w:rsidP="003A385F">
            <w:pPr>
              <w:jc w:val="center"/>
              <w:rPr>
                <w:rFonts w:cs="Arial"/>
                <w:sz w:val="18"/>
                <w:szCs w:val="18"/>
              </w:rPr>
            </w:pPr>
            <w:r w:rsidRPr="009426D4">
              <w:rPr>
                <w:rFonts w:cs="Arial"/>
                <w:sz w:val="18"/>
                <w:szCs w:val="18"/>
              </w:rPr>
              <w:t>48</w:t>
            </w:r>
          </w:p>
        </w:tc>
        <w:tc>
          <w:tcPr>
            <w:tcW w:w="1983" w:type="dxa"/>
            <w:tcBorders>
              <w:top w:val="nil"/>
              <w:left w:val="single" w:sz="4" w:space="0" w:color="auto"/>
              <w:bottom w:val="nil"/>
              <w:right w:val="single" w:sz="4" w:space="0" w:color="auto"/>
            </w:tcBorders>
            <w:tcMar>
              <w:top w:w="6" w:type="dxa"/>
              <w:left w:w="108" w:type="dxa"/>
              <w:bottom w:w="6" w:type="dxa"/>
              <w:right w:w="108" w:type="dxa"/>
            </w:tcMar>
            <w:vAlign w:val="center"/>
          </w:tcPr>
          <w:p w14:paraId="215F6451" w14:textId="77777777" w:rsidR="000923BB" w:rsidRPr="009426D4" w:rsidRDefault="000923BB" w:rsidP="003A385F">
            <w:pPr>
              <w:jc w:val="center"/>
              <w:rPr>
                <w:rFonts w:cs="Arial"/>
                <w:sz w:val="18"/>
                <w:szCs w:val="18"/>
              </w:rPr>
            </w:pPr>
            <w:r w:rsidRPr="009426D4">
              <w:rPr>
                <w:rFonts w:cs="Arial"/>
                <w:sz w:val="18"/>
                <w:szCs w:val="18"/>
              </w:rPr>
              <w:t>0.70   ( 0.52 to 0.82)</w:t>
            </w:r>
          </w:p>
        </w:tc>
        <w:tc>
          <w:tcPr>
            <w:tcW w:w="1275" w:type="dxa"/>
            <w:vMerge/>
            <w:tcBorders>
              <w:top w:val="single" w:sz="4" w:space="0" w:color="auto"/>
              <w:left w:val="single" w:sz="4" w:space="0" w:color="auto"/>
              <w:bottom w:val="single" w:sz="4" w:space="0" w:color="auto"/>
              <w:right w:val="single" w:sz="4" w:space="0" w:color="auto"/>
            </w:tcBorders>
            <w:tcMar>
              <w:top w:w="6" w:type="dxa"/>
              <w:left w:w="108" w:type="dxa"/>
              <w:bottom w:w="6" w:type="dxa"/>
              <w:right w:w="108" w:type="dxa"/>
            </w:tcMar>
            <w:vAlign w:val="center"/>
          </w:tcPr>
          <w:p w14:paraId="639836D0" w14:textId="77777777" w:rsidR="000923BB" w:rsidRPr="009426D4" w:rsidRDefault="000923BB" w:rsidP="003A385F">
            <w:pPr>
              <w:jc w:val="center"/>
              <w:rPr>
                <w:rFonts w:cs="Arial"/>
                <w:sz w:val="18"/>
                <w:szCs w:val="18"/>
              </w:rPr>
            </w:pPr>
          </w:p>
        </w:tc>
      </w:tr>
      <w:tr w:rsidR="000923BB" w:rsidRPr="009426D4" w14:paraId="79F2618E" w14:textId="77777777" w:rsidTr="00282EAD">
        <w:trPr>
          <w:cantSplit/>
          <w:trHeight w:val="284"/>
        </w:trPr>
        <w:tc>
          <w:tcPr>
            <w:tcW w:w="1298" w:type="dxa"/>
            <w:vMerge/>
            <w:tcBorders>
              <w:top w:val="single" w:sz="4" w:space="0" w:color="auto"/>
              <w:left w:val="single" w:sz="4" w:space="0" w:color="auto"/>
              <w:bottom w:val="single" w:sz="4" w:space="0" w:color="auto"/>
              <w:right w:val="single" w:sz="4" w:space="0" w:color="auto"/>
            </w:tcBorders>
            <w:vAlign w:val="center"/>
          </w:tcPr>
          <w:p w14:paraId="630F8BDC" w14:textId="77777777" w:rsidR="000923BB" w:rsidRPr="009426D4" w:rsidRDefault="000923BB" w:rsidP="003A385F">
            <w:pPr>
              <w:rPr>
                <w:rFonts w:cs="Arial"/>
                <w:sz w:val="18"/>
                <w:szCs w:val="18"/>
              </w:rPr>
            </w:pPr>
          </w:p>
        </w:tc>
        <w:tc>
          <w:tcPr>
            <w:tcW w:w="1440" w:type="dxa"/>
            <w:tcBorders>
              <w:top w:val="nil"/>
              <w:left w:val="single" w:sz="4" w:space="0" w:color="auto"/>
              <w:bottom w:val="nil"/>
              <w:right w:val="single" w:sz="4" w:space="0" w:color="auto"/>
            </w:tcBorders>
          </w:tcPr>
          <w:p w14:paraId="66755A5A" w14:textId="77777777" w:rsidR="000923BB" w:rsidRPr="009426D4" w:rsidRDefault="000923BB" w:rsidP="003A385F">
            <w:pPr>
              <w:jc w:val="center"/>
              <w:rPr>
                <w:rFonts w:cs="Arial"/>
                <w:sz w:val="18"/>
                <w:szCs w:val="18"/>
              </w:rPr>
            </w:pPr>
            <w:r w:rsidRPr="009426D4">
              <w:rPr>
                <w:rFonts w:cs="Arial"/>
                <w:sz w:val="18"/>
                <w:szCs w:val="18"/>
              </w:rPr>
              <w:t>Heart Failure</w:t>
            </w:r>
          </w:p>
        </w:tc>
        <w:tc>
          <w:tcPr>
            <w:tcW w:w="720" w:type="dxa"/>
            <w:tcBorders>
              <w:top w:val="nil"/>
              <w:left w:val="single" w:sz="4" w:space="0" w:color="auto"/>
              <w:bottom w:val="nil"/>
              <w:right w:val="nil"/>
            </w:tcBorders>
            <w:tcMar>
              <w:top w:w="6" w:type="dxa"/>
              <w:left w:w="108" w:type="dxa"/>
              <w:bottom w:w="6" w:type="dxa"/>
              <w:right w:w="108" w:type="dxa"/>
            </w:tcMar>
            <w:vAlign w:val="center"/>
          </w:tcPr>
          <w:p w14:paraId="3F1809F5" w14:textId="77777777" w:rsidR="000923BB" w:rsidRPr="009426D4" w:rsidRDefault="000923BB" w:rsidP="003A385F">
            <w:pPr>
              <w:jc w:val="center"/>
              <w:rPr>
                <w:rFonts w:cs="Arial"/>
                <w:sz w:val="18"/>
                <w:szCs w:val="18"/>
              </w:rPr>
            </w:pPr>
            <w:r w:rsidRPr="009426D4">
              <w:rPr>
                <w:rFonts w:cs="Arial"/>
                <w:sz w:val="18"/>
                <w:szCs w:val="18"/>
              </w:rPr>
              <w:t>D</w:t>
            </w:r>
          </w:p>
        </w:tc>
        <w:tc>
          <w:tcPr>
            <w:tcW w:w="1080" w:type="dxa"/>
            <w:tcBorders>
              <w:top w:val="nil"/>
              <w:left w:val="nil"/>
              <w:bottom w:val="nil"/>
              <w:right w:val="single" w:sz="4" w:space="0" w:color="auto"/>
            </w:tcBorders>
            <w:tcMar>
              <w:top w:w="6" w:type="dxa"/>
              <w:left w:w="108" w:type="dxa"/>
              <w:bottom w:w="6" w:type="dxa"/>
              <w:right w:w="108" w:type="dxa"/>
            </w:tcMar>
            <w:vAlign w:val="center"/>
          </w:tcPr>
          <w:p w14:paraId="1842DEFD" w14:textId="77777777" w:rsidR="000923BB" w:rsidRPr="009426D4" w:rsidRDefault="000923BB" w:rsidP="003A385F">
            <w:pPr>
              <w:jc w:val="center"/>
              <w:rPr>
                <w:rFonts w:cs="Arial"/>
                <w:sz w:val="18"/>
                <w:szCs w:val="18"/>
              </w:rPr>
            </w:pPr>
            <w:r w:rsidRPr="009426D4">
              <w:rPr>
                <w:rFonts w:cs="Arial"/>
                <w:sz w:val="18"/>
                <w:szCs w:val="18"/>
              </w:rPr>
              <w:t>21</w:t>
            </w:r>
          </w:p>
        </w:tc>
        <w:tc>
          <w:tcPr>
            <w:tcW w:w="1983" w:type="dxa"/>
            <w:tcBorders>
              <w:top w:val="nil"/>
              <w:left w:val="single" w:sz="4" w:space="0" w:color="auto"/>
              <w:bottom w:val="nil"/>
              <w:right w:val="single" w:sz="4" w:space="0" w:color="auto"/>
            </w:tcBorders>
            <w:tcMar>
              <w:top w:w="6" w:type="dxa"/>
              <w:left w:w="108" w:type="dxa"/>
              <w:bottom w:w="6" w:type="dxa"/>
              <w:right w:w="108" w:type="dxa"/>
            </w:tcMar>
            <w:vAlign w:val="center"/>
          </w:tcPr>
          <w:p w14:paraId="5871415D" w14:textId="77777777" w:rsidR="000923BB" w:rsidRPr="009426D4" w:rsidRDefault="000923BB" w:rsidP="003A385F">
            <w:pPr>
              <w:jc w:val="center"/>
              <w:rPr>
                <w:rFonts w:cs="Arial"/>
                <w:sz w:val="18"/>
                <w:szCs w:val="18"/>
              </w:rPr>
            </w:pPr>
            <w:r w:rsidRPr="009426D4">
              <w:rPr>
                <w:rFonts w:cs="Arial"/>
                <w:sz w:val="18"/>
                <w:szCs w:val="18"/>
              </w:rPr>
              <w:t>0.69   ( 0.38 to 0.86)</w:t>
            </w:r>
          </w:p>
        </w:tc>
        <w:tc>
          <w:tcPr>
            <w:tcW w:w="1275" w:type="dxa"/>
            <w:vMerge/>
            <w:tcBorders>
              <w:top w:val="single" w:sz="4" w:space="0" w:color="auto"/>
              <w:left w:val="single" w:sz="4" w:space="0" w:color="auto"/>
              <w:bottom w:val="single" w:sz="4" w:space="0" w:color="auto"/>
              <w:right w:val="single" w:sz="4" w:space="0" w:color="auto"/>
            </w:tcBorders>
            <w:tcMar>
              <w:top w:w="6" w:type="dxa"/>
              <w:left w:w="108" w:type="dxa"/>
              <w:bottom w:w="6" w:type="dxa"/>
              <w:right w:w="108" w:type="dxa"/>
            </w:tcMar>
            <w:vAlign w:val="center"/>
          </w:tcPr>
          <w:p w14:paraId="0BE56222" w14:textId="77777777" w:rsidR="000923BB" w:rsidRPr="009426D4" w:rsidRDefault="000923BB" w:rsidP="003A385F">
            <w:pPr>
              <w:jc w:val="center"/>
              <w:rPr>
                <w:rFonts w:cs="Arial"/>
                <w:sz w:val="18"/>
                <w:szCs w:val="18"/>
              </w:rPr>
            </w:pPr>
          </w:p>
        </w:tc>
      </w:tr>
      <w:tr w:rsidR="000923BB" w:rsidRPr="009426D4" w14:paraId="1827B617" w14:textId="77777777" w:rsidTr="00282EAD">
        <w:trPr>
          <w:cantSplit/>
          <w:trHeight w:val="284"/>
        </w:trPr>
        <w:tc>
          <w:tcPr>
            <w:tcW w:w="1298" w:type="dxa"/>
            <w:vMerge/>
            <w:tcBorders>
              <w:top w:val="single" w:sz="4" w:space="0" w:color="auto"/>
              <w:left w:val="single" w:sz="4" w:space="0" w:color="auto"/>
              <w:bottom w:val="single" w:sz="4" w:space="0" w:color="auto"/>
              <w:right w:val="single" w:sz="4" w:space="0" w:color="auto"/>
            </w:tcBorders>
            <w:vAlign w:val="center"/>
          </w:tcPr>
          <w:p w14:paraId="62956F0F" w14:textId="77777777" w:rsidR="000923BB" w:rsidRPr="009426D4" w:rsidRDefault="000923BB" w:rsidP="003A385F">
            <w:pPr>
              <w:rPr>
                <w:rFonts w:cs="Arial"/>
                <w:sz w:val="18"/>
                <w:szCs w:val="18"/>
              </w:rPr>
            </w:pPr>
          </w:p>
        </w:tc>
        <w:tc>
          <w:tcPr>
            <w:tcW w:w="1440" w:type="dxa"/>
            <w:tcBorders>
              <w:top w:val="nil"/>
              <w:left w:val="single" w:sz="4" w:space="0" w:color="auto"/>
              <w:bottom w:val="single" w:sz="4" w:space="0" w:color="auto"/>
              <w:right w:val="single" w:sz="4" w:space="0" w:color="auto"/>
            </w:tcBorders>
          </w:tcPr>
          <w:p w14:paraId="19D270A3" w14:textId="77777777" w:rsidR="000923BB" w:rsidRPr="009426D4" w:rsidRDefault="000923BB" w:rsidP="003A385F">
            <w:pPr>
              <w:jc w:val="center"/>
              <w:rPr>
                <w:rFonts w:cs="Arial"/>
                <w:sz w:val="18"/>
                <w:szCs w:val="18"/>
              </w:rPr>
            </w:pPr>
            <w:r w:rsidRPr="009426D4">
              <w:rPr>
                <w:rFonts w:cs="Arial"/>
                <w:sz w:val="18"/>
                <w:szCs w:val="18"/>
              </w:rPr>
              <w:t>Heart Failure</w:t>
            </w:r>
          </w:p>
        </w:tc>
        <w:tc>
          <w:tcPr>
            <w:tcW w:w="720" w:type="dxa"/>
            <w:tcBorders>
              <w:top w:val="nil"/>
              <w:left w:val="single" w:sz="4" w:space="0" w:color="auto"/>
              <w:bottom w:val="single" w:sz="4" w:space="0" w:color="auto"/>
              <w:right w:val="nil"/>
            </w:tcBorders>
            <w:tcMar>
              <w:top w:w="6" w:type="dxa"/>
              <w:left w:w="108" w:type="dxa"/>
              <w:bottom w:w="6" w:type="dxa"/>
              <w:right w:w="108" w:type="dxa"/>
            </w:tcMar>
            <w:vAlign w:val="center"/>
          </w:tcPr>
          <w:p w14:paraId="3937DD0E" w14:textId="77777777" w:rsidR="000923BB" w:rsidRPr="009426D4" w:rsidRDefault="000923BB" w:rsidP="003A385F">
            <w:pPr>
              <w:jc w:val="center"/>
              <w:rPr>
                <w:rFonts w:cs="Arial"/>
                <w:sz w:val="18"/>
                <w:szCs w:val="18"/>
              </w:rPr>
            </w:pPr>
            <w:r w:rsidRPr="009426D4">
              <w:rPr>
                <w:rFonts w:cs="Arial"/>
                <w:sz w:val="18"/>
                <w:szCs w:val="18"/>
              </w:rPr>
              <w:t>H</w:t>
            </w:r>
          </w:p>
        </w:tc>
        <w:tc>
          <w:tcPr>
            <w:tcW w:w="1080" w:type="dxa"/>
            <w:tcBorders>
              <w:top w:val="nil"/>
              <w:left w:val="nil"/>
              <w:bottom w:val="single" w:sz="4" w:space="0" w:color="auto"/>
              <w:right w:val="single" w:sz="4" w:space="0" w:color="auto"/>
            </w:tcBorders>
            <w:tcMar>
              <w:top w:w="6" w:type="dxa"/>
              <w:left w:w="108" w:type="dxa"/>
              <w:bottom w:w="6" w:type="dxa"/>
              <w:right w:w="108" w:type="dxa"/>
            </w:tcMar>
            <w:vAlign w:val="center"/>
          </w:tcPr>
          <w:p w14:paraId="2F2832A3" w14:textId="77777777" w:rsidR="000923BB" w:rsidRPr="009426D4" w:rsidRDefault="000923BB" w:rsidP="003A385F">
            <w:pPr>
              <w:jc w:val="center"/>
              <w:rPr>
                <w:rFonts w:cs="Arial"/>
                <w:sz w:val="18"/>
                <w:szCs w:val="18"/>
              </w:rPr>
            </w:pPr>
            <w:r w:rsidRPr="009426D4">
              <w:rPr>
                <w:rFonts w:cs="Arial"/>
                <w:sz w:val="18"/>
                <w:szCs w:val="18"/>
              </w:rPr>
              <w:t>50</w:t>
            </w:r>
          </w:p>
        </w:tc>
        <w:tc>
          <w:tcPr>
            <w:tcW w:w="1983" w:type="dxa"/>
            <w:tcBorders>
              <w:top w:val="nil"/>
              <w:left w:val="single" w:sz="4" w:space="0" w:color="auto"/>
              <w:bottom w:val="single" w:sz="4" w:space="0" w:color="auto"/>
              <w:right w:val="single" w:sz="4" w:space="0" w:color="auto"/>
            </w:tcBorders>
            <w:tcMar>
              <w:top w:w="6" w:type="dxa"/>
              <w:left w:w="108" w:type="dxa"/>
              <w:bottom w:w="6" w:type="dxa"/>
              <w:right w:w="108" w:type="dxa"/>
            </w:tcMar>
            <w:vAlign w:val="center"/>
          </w:tcPr>
          <w:p w14:paraId="342B54CF" w14:textId="77777777" w:rsidR="000923BB" w:rsidRPr="009426D4" w:rsidRDefault="000923BB" w:rsidP="003A385F">
            <w:pPr>
              <w:jc w:val="center"/>
              <w:rPr>
                <w:rFonts w:cs="Arial"/>
                <w:sz w:val="18"/>
                <w:szCs w:val="18"/>
              </w:rPr>
            </w:pPr>
            <w:r w:rsidRPr="009426D4">
              <w:rPr>
                <w:rFonts w:cs="Arial"/>
                <w:sz w:val="18"/>
                <w:szCs w:val="18"/>
              </w:rPr>
              <w:t>0.27   ( 0.00 to 0.51)</w:t>
            </w:r>
          </w:p>
        </w:tc>
        <w:tc>
          <w:tcPr>
            <w:tcW w:w="1275" w:type="dxa"/>
            <w:vMerge/>
            <w:tcBorders>
              <w:top w:val="single" w:sz="4" w:space="0" w:color="auto"/>
              <w:left w:val="single" w:sz="4" w:space="0" w:color="auto"/>
              <w:bottom w:val="single" w:sz="4" w:space="0" w:color="auto"/>
              <w:right w:val="single" w:sz="4" w:space="0" w:color="auto"/>
            </w:tcBorders>
            <w:tcMar>
              <w:top w:w="6" w:type="dxa"/>
              <w:left w:w="108" w:type="dxa"/>
              <w:bottom w:w="6" w:type="dxa"/>
              <w:right w:w="108" w:type="dxa"/>
            </w:tcMar>
            <w:vAlign w:val="center"/>
          </w:tcPr>
          <w:p w14:paraId="7D614883" w14:textId="77777777" w:rsidR="000923BB" w:rsidRPr="009426D4" w:rsidRDefault="000923BB" w:rsidP="003A385F">
            <w:pPr>
              <w:jc w:val="center"/>
              <w:rPr>
                <w:rFonts w:cs="Arial"/>
                <w:sz w:val="18"/>
                <w:szCs w:val="18"/>
              </w:rPr>
            </w:pPr>
          </w:p>
        </w:tc>
      </w:tr>
      <w:tr w:rsidR="000923BB" w:rsidRPr="009426D4" w14:paraId="6676E043" w14:textId="77777777" w:rsidTr="00282EAD">
        <w:trPr>
          <w:cantSplit/>
          <w:trHeight w:val="282"/>
        </w:trPr>
        <w:tc>
          <w:tcPr>
            <w:tcW w:w="1298" w:type="dxa"/>
            <w:vMerge w:val="restart"/>
            <w:tcBorders>
              <w:top w:val="single" w:sz="4" w:space="0" w:color="auto"/>
              <w:left w:val="single" w:sz="4" w:space="0" w:color="auto"/>
              <w:bottom w:val="single" w:sz="4" w:space="0" w:color="auto"/>
              <w:right w:val="single" w:sz="4" w:space="0" w:color="auto"/>
            </w:tcBorders>
            <w:vAlign w:val="center"/>
          </w:tcPr>
          <w:p w14:paraId="4681446E" w14:textId="77777777" w:rsidR="000923BB" w:rsidRPr="009426D4" w:rsidRDefault="000923BB" w:rsidP="003A385F">
            <w:pPr>
              <w:rPr>
                <w:rFonts w:cs="Arial"/>
                <w:sz w:val="18"/>
                <w:szCs w:val="18"/>
              </w:rPr>
            </w:pPr>
            <w:r w:rsidRPr="009426D4">
              <w:rPr>
                <w:rFonts w:cs="Arial"/>
                <w:sz w:val="18"/>
                <w:szCs w:val="18"/>
              </w:rPr>
              <w:t>Non-clinical audit staff vs Non-clinical audit staff</w:t>
            </w:r>
          </w:p>
        </w:tc>
        <w:tc>
          <w:tcPr>
            <w:tcW w:w="1440" w:type="dxa"/>
            <w:tcBorders>
              <w:top w:val="single" w:sz="4" w:space="0" w:color="auto"/>
              <w:left w:val="single" w:sz="4" w:space="0" w:color="auto"/>
              <w:bottom w:val="nil"/>
              <w:right w:val="single" w:sz="4" w:space="0" w:color="auto"/>
            </w:tcBorders>
          </w:tcPr>
          <w:p w14:paraId="682B1304" w14:textId="77777777" w:rsidR="000923BB" w:rsidRPr="009426D4" w:rsidRDefault="000923BB" w:rsidP="003A385F">
            <w:pPr>
              <w:jc w:val="center"/>
              <w:rPr>
                <w:rFonts w:cs="Arial"/>
                <w:sz w:val="18"/>
                <w:szCs w:val="18"/>
              </w:rPr>
            </w:pPr>
            <w:r w:rsidRPr="009426D4">
              <w:rPr>
                <w:rFonts w:cs="Arial"/>
                <w:sz w:val="18"/>
                <w:szCs w:val="18"/>
              </w:rPr>
              <w:t>COPD</w:t>
            </w:r>
          </w:p>
        </w:tc>
        <w:tc>
          <w:tcPr>
            <w:tcW w:w="720" w:type="dxa"/>
            <w:tcBorders>
              <w:top w:val="single" w:sz="4" w:space="0" w:color="auto"/>
              <w:left w:val="single" w:sz="4" w:space="0" w:color="auto"/>
              <w:bottom w:val="nil"/>
              <w:right w:val="nil"/>
            </w:tcBorders>
            <w:tcMar>
              <w:top w:w="6" w:type="dxa"/>
              <w:left w:w="108" w:type="dxa"/>
              <w:bottom w:w="6" w:type="dxa"/>
              <w:right w:w="108" w:type="dxa"/>
            </w:tcMar>
            <w:vAlign w:val="center"/>
          </w:tcPr>
          <w:p w14:paraId="57855F3C" w14:textId="77777777" w:rsidR="000923BB" w:rsidRPr="009426D4" w:rsidRDefault="000923BB" w:rsidP="003A385F">
            <w:pPr>
              <w:jc w:val="center"/>
              <w:rPr>
                <w:rFonts w:cs="Arial"/>
                <w:sz w:val="18"/>
                <w:szCs w:val="18"/>
              </w:rPr>
            </w:pPr>
            <w:r w:rsidRPr="009426D4">
              <w:rPr>
                <w:rFonts w:cs="Arial"/>
                <w:sz w:val="18"/>
                <w:szCs w:val="18"/>
              </w:rPr>
              <w:t>E</w:t>
            </w:r>
          </w:p>
        </w:tc>
        <w:tc>
          <w:tcPr>
            <w:tcW w:w="1080" w:type="dxa"/>
            <w:tcBorders>
              <w:top w:val="single" w:sz="4" w:space="0" w:color="auto"/>
              <w:left w:val="nil"/>
              <w:bottom w:val="nil"/>
              <w:right w:val="single" w:sz="4" w:space="0" w:color="auto"/>
            </w:tcBorders>
            <w:tcMar>
              <w:top w:w="6" w:type="dxa"/>
              <w:left w:w="108" w:type="dxa"/>
              <w:bottom w:w="6" w:type="dxa"/>
              <w:right w:w="108" w:type="dxa"/>
            </w:tcMar>
            <w:vAlign w:val="center"/>
          </w:tcPr>
          <w:p w14:paraId="32A37862" w14:textId="77777777" w:rsidR="000923BB" w:rsidRPr="009426D4" w:rsidRDefault="000923BB" w:rsidP="003A385F">
            <w:pPr>
              <w:jc w:val="center"/>
              <w:rPr>
                <w:rFonts w:cs="Arial"/>
                <w:sz w:val="18"/>
                <w:szCs w:val="18"/>
              </w:rPr>
            </w:pPr>
            <w:r w:rsidRPr="009426D4">
              <w:rPr>
                <w:rFonts w:cs="Arial"/>
                <w:sz w:val="18"/>
                <w:szCs w:val="18"/>
              </w:rPr>
              <w:t>40</w:t>
            </w:r>
          </w:p>
        </w:tc>
        <w:tc>
          <w:tcPr>
            <w:tcW w:w="1983" w:type="dxa"/>
            <w:tcBorders>
              <w:top w:val="single" w:sz="4" w:space="0" w:color="auto"/>
              <w:left w:val="single" w:sz="4" w:space="0" w:color="auto"/>
              <w:bottom w:val="nil"/>
              <w:right w:val="single" w:sz="4" w:space="0" w:color="auto"/>
            </w:tcBorders>
            <w:tcMar>
              <w:top w:w="6" w:type="dxa"/>
              <w:left w:w="108" w:type="dxa"/>
              <w:bottom w:w="6" w:type="dxa"/>
              <w:right w:w="108" w:type="dxa"/>
            </w:tcMar>
            <w:vAlign w:val="center"/>
          </w:tcPr>
          <w:p w14:paraId="444E1D8B" w14:textId="77777777" w:rsidR="000923BB" w:rsidRPr="009426D4" w:rsidRDefault="000923BB" w:rsidP="003A385F">
            <w:pPr>
              <w:jc w:val="center"/>
              <w:rPr>
                <w:rFonts w:cs="Arial"/>
                <w:sz w:val="18"/>
                <w:szCs w:val="18"/>
              </w:rPr>
            </w:pPr>
            <w:r w:rsidRPr="009426D4">
              <w:rPr>
                <w:rFonts w:cs="Arial"/>
                <w:sz w:val="18"/>
                <w:szCs w:val="18"/>
              </w:rPr>
              <w:t>0.69   ( 0.49 to 0.82)</w:t>
            </w:r>
          </w:p>
        </w:tc>
        <w:tc>
          <w:tcPr>
            <w:tcW w:w="1275" w:type="dxa"/>
            <w:vMerge w:val="restart"/>
            <w:tcBorders>
              <w:top w:val="single" w:sz="4" w:space="0" w:color="auto"/>
              <w:left w:val="single" w:sz="4" w:space="0" w:color="auto"/>
              <w:bottom w:val="single" w:sz="4" w:space="0" w:color="auto"/>
              <w:right w:val="single" w:sz="4" w:space="0" w:color="auto"/>
            </w:tcBorders>
            <w:tcMar>
              <w:top w:w="6" w:type="dxa"/>
              <w:left w:w="108" w:type="dxa"/>
              <w:bottom w:w="6" w:type="dxa"/>
              <w:right w:w="108" w:type="dxa"/>
            </w:tcMar>
            <w:vAlign w:val="center"/>
          </w:tcPr>
          <w:p w14:paraId="03D04474" w14:textId="77777777" w:rsidR="000923BB" w:rsidRPr="009426D4" w:rsidRDefault="000923BB" w:rsidP="003A385F">
            <w:pPr>
              <w:jc w:val="center"/>
              <w:rPr>
                <w:rFonts w:cs="Arial"/>
                <w:sz w:val="18"/>
                <w:szCs w:val="18"/>
              </w:rPr>
            </w:pPr>
            <w:r w:rsidRPr="009426D4">
              <w:rPr>
                <w:rFonts w:cs="Arial"/>
                <w:sz w:val="18"/>
                <w:szCs w:val="18"/>
              </w:rPr>
              <w:t>0.61</w:t>
            </w:r>
          </w:p>
          <w:p w14:paraId="67DEB948" w14:textId="77777777" w:rsidR="000923BB" w:rsidRPr="009426D4" w:rsidRDefault="000923BB" w:rsidP="003A385F">
            <w:pPr>
              <w:jc w:val="center"/>
              <w:rPr>
                <w:rFonts w:cs="Arial"/>
                <w:sz w:val="18"/>
                <w:szCs w:val="18"/>
              </w:rPr>
            </w:pPr>
            <w:r w:rsidRPr="009426D4">
              <w:rPr>
                <w:rFonts w:cs="Arial"/>
                <w:sz w:val="18"/>
                <w:szCs w:val="18"/>
              </w:rPr>
              <w:t>(0.47 to 0.76)</w:t>
            </w:r>
          </w:p>
        </w:tc>
      </w:tr>
      <w:tr w:rsidR="000923BB" w:rsidRPr="009426D4" w14:paraId="4358DF9A" w14:textId="77777777" w:rsidTr="00282EAD">
        <w:trPr>
          <w:cantSplit/>
          <w:trHeight w:val="257"/>
        </w:trPr>
        <w:tc>
          <w:tcPr>
            <w:tcW w:w="1298" w:type="dxa"/>
            <w:vMerge/>
            <w:tcBorders>
              <w:top w:val="single" w:sz="4" w:space="0" w:color="auto"/>
              <w:left w:val="single" w:sz="4" w:space="0" w:color="auto"/>
              <w:bottom w:val="single" w:sz="4" w:space="0" w:color="auto"/>
              <w:right w:val="single" w:sz="4" w:space="0" w:color="auto"/>
            </w:tcBorders>
            <w:vAlign w:val="center"/>
          </w:tcPr>
          <w:p w14:paraId="798653C3" w14:textId="77777777" w:rsidR="000923BB" w:rsidRPr="009426D4" w:rsidRDefault="000923BB" w:rsidP="003A385F">
            <w:pPr>
              <w:rPr>
                <w:rFonts w:cs="Arial"/>
                <w:sz w:val="18"/>
                <w:szCs w:val="18"/>
              </w:rPr>
            </w:pPr>
          </w:p>
        </w:tc>
        <w:tc>
          <w:tcPr>
            <w:tcW w:w="1440" w:type="dxa"/>
            <w:tcBorders>
              <w:top w:val="nil"/>
              <w:left w:val="single" w:sz="4" w:space="0" w:color="auto"/>
              <w:bottom w:val="single" w:sz="4" w:space="0" w:color="auto"/>
              <w:right w:val="single" w:sz="4" w:space="0" w:color="auto"/>
            </w:tcBorders>
          </w:tcPr>
          <w:p w14:paraId="31484F7C" w14:textId="77777777" w:rsidR="000923BB" w:rsidRPr="009426D4" w:rsidRDefault="000923BB" w:rsidP="003A385F">
            <w:pPr>
              <w:jc w:val="center"/>
              <w:rPr>
                <w:rFonts w:cs="Arial"/>
                <w:sz w:val="18"/>
                <w:szCs w:val="18"/>
              </w:rPr>
            </w:pPr>
            <w:r w:rsidRPr="009426D4">
              <w:rPr>
                <w:rFonts w:cs="Arial"/>
                <w:sz w:val="18"/>
                <w:szCs w:val="18"/>
              </w:rPr>
              <w:t>COPD</w:t>
            </w:r>
          </w:p>
        </w:tc>
        <w:tc>
          <w:tcPr>
            <w:tcW w:w="720" w:type="dxa"/>
            <w:tcBorders>
              <w:top w:val="nil"/>
              <w:left w:val="single" w:sz="4" w:space="0" w:color="auto"/>
              <w:bottom w:val="single" w:sz="4" w:space="0" w:color="auto"/>
              <w:right w:val="nil"/>
            </w:tcBorders>
            <w:tcMar>
              <w:top w:w="6" w:type="dxa"/>
              <w:left w:w="108" w:type="dxa"/>
              <w:bottom w:w="6" w:type="dxa"/>
              <w:right w:w="108" w:type="dxa"/>
            </w:tcMar>
            <w:vAlign w:val="center"/>
          </w:tcPr>
          <w:p w14:paraId="3E1E1466" w14:textId="77777777" w:rsidR="000923BB" w:rsidRPr="009426D4" w:rsidRDefault="000923BB" w:rsidP="003A385F">
            <w:pPr>
              <w:jc w:val="center"/>
              <w:rPr>
                <w:rFonts w:cs="Arial"/>
                <w:sz w:val="18"/>
                <w:szCs w:val="18"/>
              </w:rPr>
            </w:pPr>
            <w:r w:rsidRPr="009426D4">
              <w:rPr>
                <w:rFonts w:cs="Arial"/>
                <w:sz w:val="18"/>
                <w:szCs w:val="18"/>
              </w:rPr>
              <w:t>A</w:t>
            </w:r>
          </w:p>
        </w:tc>
        <w:tc>
          <w:tcPr>
            <w:tcW w:w="1080" w:type="dxa"/>
            <w:tcBorders>
              <w:top w:val="nil"/>
              <w:left w:val="nil"/>
              <w:bottom w:val="single" w:sz="4" w:space="0" w:color="auto"/>
              <w:right w:val="single" w:sz="4" w:space="0" w:color="auto"/>
            </w:tcBorders>
            <w:tcMar>
              <w:top w:w="6" w:type="dxa"/>
              <w:left w:w="108" w:type="dxa"/>
              <w:bottom w:w="6" w:type="dxa"/>
              <w:right w:w="108" w:type="dxa"/>
            </w:tcMar>
            <w:vAlign w:val="center"/>
          </w:tcPr>
          <w:p w14:paraId="23016A6B" w14:textId="77777777" w:rsidR="000923BB" w:rsidRPr="009426D4" w:rsidRDefault="000923BB" w:rsidP="003A385F">
            <w:pPr>
              <w:jc w:val="center"/>
              <w:rPr>
                <w:rFonts w:cs="Arial"/>
                <w:sz w:val="18"/>
                <w:szCs w:val="18"/>
              </w:rPr>
            </w:pPr>
            <w:r w:rsidRPr="009426D4">
              <w:rPr>
                <w:rFonts w:cs="Arial"/>
                <w:sz w:val="18"/>
                <w:szCs w:val="18"/>
              </w:rPr>
              <w:t>29</w:t>
            </w:r>
          </w:p>
        </w:tc>
        <w:tc>
          <w:tcPr>
            <w:tcW w:w="1983" w:type="dxa"/>
            <w:tcBorders>
              <w:top w:val="nil"/>
              <w:left w:val="single" w:sz="4" w:space="0" w:color="auto"/>
              <w:bottom w:val="single" w:sz="4" w:space="0" w:color="auto"/>
              <w:right w:val="single" w:sz="4" w:space="0" w:color="auto"/>
            </w:tcBorders>
            <w:tcMar>
              <w:top w:w="6" w:type="dxa"/>
              <w:left w:w="108" w:type="dxa"/>
              <w:bottom w:w="6" w:type="dxa"/>
              <w:right w:w="108" w:type="dxa"/>
            </w:tcMar>
            <w:vAlign w:val="center"/>
          </w:tcPr>
          <w:p w14:paraId="085C4ACA" w14:textId="77777777" w:rsidR="000923BB" w:rsidRPr="009426D4" w:rsidRDefault="000923BB" w:rsidP="003A385F">
            <w:pPr>
              <w:jc w:val="center"/>
              <w:rPr>
                <w:rFonts w:cs="Arial"/>
                <w:sz w:val="18"/>
                <w:szCs w:val="18"/>
              </w:rPr>
            </w:pPr>
            <w:r w:rsidRPr="009426D4">
              <w:rPr>
                <w:rFonts w:cs="Arial"/>
                <w:sz w:val="18"/>
                <w:szCs w:val="18"/>
              </w:rPr>
              <w:t>0.33   (-0.04 to 0.61)</w:t>
            </w:r>
          </w:p>
        </w:tc>
        <w:tc>
          <w:tcPr>
            <w:tcW w:w="1275" w:type="dxa"/>
            <w:vMerge/>
            <w:tcBorders>
              <w:top w:val="single" w:sz="4" w:space="0" w:color="auto"/>
              <w:left w:val="single" w:sz="4" w:space="0" w:color="auto"/>
              <w:bottom w:val="single" w:sz="4" w:space="0" w:color="auto"/>
              <w:right w:val="single" w:sz="4" w:space="0" w:color="auto"/>
            </w:tcBorders>
            <w:tcMar>
              <w:top w:w="6" w:type="dxa"/>
              <w:left w:w="108" w:type="dxa"/>
              <w:bottom w:w="6" w:type="dxa"/>
              <w:right w:w="108" w:type="dxa"/>
            </w:tcMar>
            <w:vAlign w:val="center"/>
          </w:tcPr>
          <w:p w14:paraId="57ADD889" w14:textId="77777777" w:rsidR="000923BB" w:rsidRPr="009426D4" w:rsidRDefault="000923BB" w:rsidP="003A385F">
            <w:pPr>
              <w:jc w:val="center"/>
              <w:rPr>
                <w:rFonts w:cs="Arial"/>
                <w:sz w:val="18"/>
                <w:szCs w:val="18"/>
              </w:rPr>
            </w:pPr>
          </w:p>
        </w:tc>
      </w:tr>
    </w:tbl>
    <w:p w14:paraId="4386FCFF" w14:textId="77777777" w:rsidR="000923BB" w:rsidRPr="009426D4" w:rsidRDefault="000923BB" w:rsidP="000923BB">
      <w:pPr>
        <w:rPr>
          <w:rFonts w:cs="Arial"/>
          <w:sz w:val="18"/>
          <w:szCs w:val="18"/>
        </w:rPr>
      </w:pPr>
      <w:r w:rsidRPr="009426D4">
        <w:rPr>
          <w:rFonts w:cs="Arial"/>
          <w:b/>
          <w:bCs/>
          <w:sz w:val="18"/>
          <w:szCs w:val="18"/>
          <w:vertAlign w:val="superscript"/>
        </w:rPr>
        <w:t>a</w:t>
      </w:r>
      <w:r w:rsidRPr="009426D4">
        <w:rPr>
          <w:rFonts w:cs="Arial"/>
          <w:sz w:val="18"/>
          <w:szCs w:val="18"/>
        </w:rPr>
        <w:t xml:space="preserve"> Only sites with more than 1 reviewer are included in reliability analysis, therefore some sites do not appear on this table</w:t>
      </w:r>
    </w:p>
    <w:p w14:paraId="2CA4AB9D" w14:textId="77777777" w:rsidR="000923BB" w:rsidRPr="009426D4" w:rsidRDefault="000923BB" w:rsidP="000923BB">
      <w:pPr>
        <w:rPr>
          <w:rFonts w:cs="Arial"/>
          <w:sz w:val="18"/>
          <w:szCs w:val="18"/>
        </w:rPr>
      </w:pPr>
      <w:r w:rsidRPr="009426D4">
        <w:rPr>
          <w:rFonts w:cs="Arial"/>
          <w:b/>
          <w:bCs/>
          <w:sz w:val="18"/>
          <w:szCs w:val="18"/>
          <w:vertAlign w:val="superscript"/>
        </w:rPr>
        <w:t>b</w:t>
      </w:r>
      <w:r w:rsidRPr="009426D4">
        <w:rPr>
          <w:rFonts w:cs="Arial"/>
          <w:sz w:val="18"/>
          <w:szCs w:val="18"/>
        </w:rPr>
        <w:t xml:space="preserve"> Mean ICC per staff type, weighted by inverse variances to account for differing numbers of paired reviews. A single ICC was calculated for the 3 doctors at site B and this was combined with the other doctor pairs in the weighted mean ICC</w:t>
      </w:r>
      <w:r w:rsidRPr="009426D4">
        <w:rPr>
          <w:rFonts w:cs="Arial"/>
          <w:color w:val="008000"/>
          <w:sz w:val="18"/>
          <w:szCs w:val="18"/>
        </w:rPr>
        <w:t xml:space="preserve"> </w:t>
      </w:r>
      <w:r w:rsidRPr="009426D4">
        <w:rPr>
          <w:rFonts w:cs="Arial"/>
          <w:sz w:val="18"/>
          <w:szCs w:val="18"/>
        </w:rPr>
        <w:t xml:space="preserve">  </w:t>
      </w:r>
    </w:p>
    <w:p w14:paraId="44586BDE" w14:textId="77777777" w:rsidR="000923BB" w:rsidRPr="009426D4" w:rsidRDefault="000923BB" w:rsidP="000923BB">
      <w:pPr>
        <w:rPr>
          <w:rFonts w:cs="Arial"/>
          <w:sz w:val="18"/>
          <w:szCs w:val="18"/>
        </w:rPr>
      </w:pPr>
      <w:r w:rsidRPr="009426D4">
        <w:rPr>
          <w:rFonts w:cs="Arial"/>
          <w:sz w:val="18"/>
          <w:szCs w:val="18"/>
        </w:rPr>
        <w:t xml:space="preserve"> </w:t>
      </w:r>
      <w:r w:rsidRPr="009426D4">
        <w:rPr>
          <w:rFonts w:cs="Arial"/>
          <w:b/>
          <w:bCs/>
          <w:sz w:val="18"/>
          <w:szCs w:val="18"/>
          <w:vertAlign w:val="superscript"/>
        </w:rPr>
        <w:t>c</w:t>
      </w:r>
      <w:r w:rsidRPr="009426D4">
        <w:rPr>
          <w:rFonts w:cs="Arial"/>
          <w:sz w:val="18"/>
          <w:szCs w:val="18"/>
        </w:rPr>
        <w:t xml:space="preserve"> Non-specialist doctors</w:t>
      </w:r>
    </w:p>
    <w:p w14:paraId="0F2F0895" w14:textId="77777777" w:rsidR="000923BB" w:rsidRPr="00122F87" w:rsidRDefault="000923BB" w:rsidP="000923BB">
      <w:pPr>
        <w:jc w:val="both"/>
        <w:rPr>
          <w:rFonts w:cs="Arial"/>
          <w:b/>
          <w:bCs/>
          <w:iCs/>
          <w:color w:val="000000"/>
          <w:sz w:val="22"/>
          <w:szCs w:val="22"/>
        </w:rPr>
      </w:pPr>
      <w:r w:rsidRPr="00122F87">
        <w:rPr>
          <w:rFonts w:cs="Arial"/>
          <w:b/>
          <w:bCs/>
          <w:iCs/>
          <w:color w:val="000000"/>
          <w:sz w:val="22"/>
          <w:szCs w:val="22"/>
        </w:rPr>
        <w:lastRenderedPageBreak/>
        <w:t>Comparison of holistic and criterion based methods</w:t>
      </w:r>
    </w:p>
    <w:p w14:paraId="1A68E2F2" w14:textId="77777777" w:rsidR="000923BB" w:rsidRDefault="000923BB" w:rsidP="000923BB">
      <w:pPr>
        <w:jc w:val="both"/>
        <w:rPr>
          <w:rFonts w:cs="Arial"/>
          <w:color w:val="000000"/>
          <w:sz w:val="22"/>
          <w:szCs w:val="22"/>
        </w:rPr>
      </w:pPr>
    </w:p>
    <w:p w14:paraId="44D714D6" w14:textId="77777777" w:rsidR="000923BB" w:rsidRPr="003208E9" w:rsidRDefault="000923BB" w:rsidP="000923BB">
      <w:pPr>
        <w:jc w:val="both"/>
        <w:rPr>
          <w:rFonts w:cs="Arial"/>
          <w:sz w:val="22"/>
          <w:szCs w:val="22"/>
        </w:rPr>
      </w:pPr>
      <w:r>
        <w:rPr>
          <w:rFonts w:cs="Arial"/>
          <w:color w:val="000000"/>
          <w:sz w:val="22"/>
          <w:szCs w:val="22"/>
        </w:rPr>
        <w:t xml:space="preserve">Table 10 shows the results of a comparison between holistic review and criterion based review methods, using ‘quality of care’ scores. </w:t>
      </w:r>
      <w:r w:rsidRPr="003208E9">
        <w:rPr>
          <w:rFonts w:cs="Arial"/>
          <w:sz w:val="22"/>
          <w:szCs w:val="22"/>
        </w:rPr>
        <w:t>Reviewers rated the overall quality of care on a 10-point scale from 1 (unsatisfactory) to 10 (very best care). This was converted to a percentage for comparison with criterion based review data</w:t>
      </w:r>
      <w:r>
        <w:rPr>
          <w:rFonts w:cs="Arial"/>
          <w:sz w:val="22"/>
          <w:szCs w:val="22"/>
        </w:rPr>
        <w:t>.</w:t>
      </w:r>
      <w:r>
        <w:rPr>
          <w:rFonts w:cs="Arial"/>
          <w:color w:val="000000"/>
          <w:sz w:val="22"/>
          <w:szCs w:val="22"/>
        </w:rPr>
        <w:t xml:space="preserve"> Criterion based quality of care scores</w:t>
      </w:r>
      <w:r w:rsidRPr="003208E9">
        <w:rPr>
          <w:rFonts w:cs="Arial"/>
          <w:sz w:val="22"/>
          <w:szCs w:val="22"/>
        </w:rPr>
        <w:t xml:space="preserve"> are shown as percentages out of 32 criteria (where patient is a current or ex-smoker) or out of 31 criteria (where patient is a non-smoker)</w:t>
      </w:r>
      <w:r>
        <w:rPr>
          <w:rFonts w:cs="Arial"/>
          <w:sz w:val="22"/>
          <w:szCs w:val="22"/>
        </w:rPr>
        <w:t xml:space="preserve">. </w:t>
      </w:r>
    </w:p>
    <w:p w14:paraId="0A47350E" w14:textId="77777777" w:rsidR="000923BB" w:rsidRDefault="000923BB" w:rsidP="000923BB">
      <w:pPr>
        <w:jc w:val="both"/>
        <w:rPr>
          <w:rFonts w:cs="Arial"/>
          <w:iCs/>
          <w:color w:val="000000"/>
          <w:sz w:val="22"/>
          <w:szCs w:val="22"/>
        </w:rPr>
      </w:pPr>
      <w:r>
        <w:rPr>
          <w:rFonts w:cs="Arial"/>
          <w:color w:val="000000"/>
          <w:sz w:val="22"/>
          <w:szCs w:val="22"/>
        </w:rPr>
        <w:t>M</w:t>
      </w:r>
      <w:r>
        <w:rPr>
          <w:rFonts w:cs="Arial"/>
          <w:iCs/>
          <w:color w:val="000000"/>
          <w:sz w:val="22"/>
          <w:szCs w:val="22"/>
        </w:rPr>
        <w:t xml:space="preserve">ean overall quality of care scores were similar for both holistic and criterion based methods and also for all three staff types (scores of between 70% and 79% where 100% is excellent care).  </w:t>
      </w:r>
    </w:p>
    <w:p w14:paraId="68CB0F5C" w14:textId="77777777" w:rsidR="00B201FA" w:rsidRDefault="00B201FA" w:rsidP="000923BB">
      <w:pPr>
        <w:jc w:val="both"/>
        <w:rPr>
          <w:rFonts w:cs="Arial"/>
          <w:iCs/>
          <w:color w:val="000000"/>
          <w:sz w:val="22"/>
          <w:szCs w:val="22"/>
        </w:rPr>
      </w:pPr>
    </w:p>
    <w:p w14:paraId="51191BE1" w14:textId="77777777" w:rsidR="000923BB" w:rsidRDefault="000923BB" w:rsidP="000923BB">
      <w:pPr>
        <w:jc w:val="both"/>
        <w:rPr>
          <w:rFonts w:cs="Arial"/>
          <w:iCs/>
          <w:color w:val="000000"/>
          <w:sz w:val="22"/>
          <w:szCs w:val="22"/>
        </w:rPr>
      </w:pPr>
      <w:r>
        <w:rPr>
          <w:rFonts w:cs="Arial"/>
          <w:iCs/>
          <w:color w:val="000000"/>
          <w:sz w:val="22"/>
          <w:szCs w:val="22"/>
        </w:rPr>
        <w:t>Paired individual data was used for the comparison: that is the score for each criterion review of a case note minus the overall score for the holistic review of the case note.  There were 1109 paired sets of case note reviews in total (some reviewers only undertook one type of review on some case notes) so the paired review numbers are smaller than the possible total of 1384 reviews.  For the purposes of the analysis there are 1109 differences (criterion review score minus overall holistic review score).  The confidence intervals and p-values are adjusted for clustering by reviewer (in this case, 38 reviewers).</w:t>
      </w:r>
    </w:p>
    <w:p w14:paraId="4B4F7050" w14:textId="77777777" w:rsidR="00B201FA" w:rsidRDefault="00B201FA" w:rsidP="000923BB">
      <w:pPr>
        <w:jc w:val="both"/>
        <w:rPr>
          <w:rFonts w:cs="Arial"/>
          <w:iCs/>
          <w:color w:val="000000"/>
          <w:sz w:val="22"/>
          <w:szCs w:val="22"/>
        </w:rPr>
      </w:pPr>
    </w:p>
    <w:p w14:paraId="41948447" w14:textId="77777777" w:rsidR="000923BB" w:rsidRDefault="000923BB" w:rsidP="000923BB">
      <w:pPr>
        <w:jc w:val="both"/>
        <w:rPr>
          <w:rFonts w:cs="Arial"/>
          <w:sz w:val="22"/>
          <w:szCs w:val="22"/>
        </w:rPr>
      </w:pPr>
      <w:r>
        <w:rPr>
          <w:rFonts w:cs="Arial"/>
          <w:iCs/>
          <w:color w:val="000000"/>
          <w:sz w:val="22"/>
          <w:szCs w:val="22"/>
        </w:rPr>
        <w:t>Estimation of the level of quality of care score agreement between the two methods</w:t>
      </w:r>
      <w:r w:rsidRPr="00DB0C88">
        <w:rPr>
          <w:rFonts w:cs="Arial"/>
          <w:sz w:val="22"/>
          <w:szCs w:val="22"/>
        </w:rPr>
        <w:t xml:space="preserve"> </w:t>
      </w:r>
      <w:r>
        <w:rPr>
          <w:rFonts w:cs="Arial"/>
          <w:sz w:val="22"/>
          <w:szCs w:val="22"/>
        </w:rPr>
        <w:t>for an individual record</w:t>
      </w:r>
      <w:r>
        <w:rPr>
          <w:rFonts w:cs="Arial"/>
          <w:iCs/>
          <w:color w:val="000000"/>
          <w:sz w:val="22"/>
          <w:szCs w:val="22"/>
        </w:rPr>
        <w:t xml:space="preserve">, using p-value for difference, </w:t>
      </w:r>
      <w:r>
        <w:rPr>
          <w:rFonts w:cs="Arial"/>
          <w:sz w:val="22"/>
          <w:szCs w:val="22"/>
        </w:rPr>
        <w:t xml:space="preserve">shows that there was no significant difference between the holistic and criterion based assessments when used by the doctors (p-value for difference 0.406) and by the non-clinical audit staff (p-value for difference 0.223).   </w:t>
      </w:r>
    </w:p>
    <w:p w14:paraId="79A3821D" w14:textId="77777777" w:rsidR="00B201FA" w:rsidRDefault="00B201FA" w:rsidP="000923BB">
      <w:pPr>
        <w:jc w:val="both"/>
        <w:rPr>
          <w:rFonts w:cs="Arial"/>
          <w:sz w:val="22"/>
          <w:szCs w:val="22"/>
        </w:rPr>
      </w:pPr>
    </w:p>
    <w:p w14:paraId="10C38913" w14:textId="77777777" w:rsidR="00B201FA" w:rsidRDefault="00B201FA" w:rsidP="00B201FA">
      <w:pPr>
        <w:jc w:val="both"/>
        <w:rPr>
          <w:rFonts w:cs="Arial"/>
          <w:sz w:val="22"/>
          <w:szCs w:val="22"/>
        </w:rPr>
      </w:pPr>
      <w:r>
        <w:rPr>
          <w:rFonts w:cs="Arial"/>
          <w:sz w:val="22"/>
          <w:szCs w:val="22"/>
        </w:rPr>
        <w:t>However there was a difference (that is lack of agreement) between the two scores rated by the nurse/other clinical group of reviewers.  It is possible that this is because of the differences between criterion based methods and holistic methods of review.   The review criteria tended to be clinical measurement based, certainly in the admission and initial management phases, whereas the qualitative data from holistic reviews (see below) suggests that the nursing trained reviewers were quite strongly influenced by the quality and effectiveness of care pathways.  Holistic review results may therefore be demonstrating a view which is more nursing focussed than do the selected review criteria.</w:t>
      </w:r>
    </w:p>
    <w:p w14:paraId="386E5F2A" w14:textId="77777777" w:rsidR="000923BB" w:rsidRDefault="000923BB" w:rsidP="000923BB">
      <w:pPr>
        <w:jc w:val="both"/>
        <w:rPr>
          <w:rFonts w:cs="Arial"/>
          <w:sz w:val="22"/>
          <w:szCs w:val="22"/>
        </w:rPr>
      </w:pPr>
    </w:p>
    <w:p w14:paraId="7D45B01C" w14:textId="77777777" w:rsidR="00B201FA" w:rsidRDefault="00B201FA" w:rsidP="000923BB">
      <w:pPr>
        <w:jc w:val="both"/>
        <w:rPr>
          <w:rFonts w:cs="Arial"/>
          <w:sz w:val="22"/>
          <w:szCs w:val="22"/>
        </w:rPr>
      </w:pPr>
    </w:p>
    <w:p w14:paraId="75822AEA" w14:textId="77777777" w:rsidR="000923BB" w:rsidRDefault="000923BB" w:rsidP="000923BB">
      <w:pPr>
        <w:rPr>
          <w:rFonts w:cs="Arial"/>
          <w:b/>
          <w:sz w:val="20"/>
          <w:szCs w:val="20"/>
        </w:rPr>
      </w:pPr>
      <w:r>
        <w:rPr>
          <w:rFonts w:cs="Arial"/>
          <w:b/>
          <w:sz w:val="20"/>
          <w:szCs w:val="20"/>
        </w:rPr>
        <w:lastRenderedPageBreak/>
        <w:t>Table 10: Mean ratings/scores of overall quality of care: paired comparison of two review methods</w:t>
      </w:r>
    </w:p>
    <w:tbl>
      <w:tblPr>
        <w:tblpPr w:leftFromText="180" w:rightFromText="180" w:vertAnchor="text" w:horzAnchor="page" w:tblpX="2430" w:tblpY="228"/>
        <w:tblOverlap w:val="never"/>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309"/>
        <w:gridCol w:w="1843"/>
        <w:gridCol w:w="1276"/>
        <w:gridCol w:w="1417"/>
        <w:gridCol w:w="1276"/>
      </w:tblGrid>
      <w:tr w:rsidR="000923BB" w:rsidRPr="009426D4" w14:paraId="54C624D4" w14:textId="77777777" w:rsidTr="00282EAD">
        <w:trPr>
          <w:trHeight w:val="697"/>
        </w:trPr>
        <w:tc>
          <w:tcPr>
            <w:tcW w:w="1101" w:type="dxa"/>
            <w:vAlign w:val="center"/>
          </w:tcPr>
          <w:p w14:paraId="1DB53FE2" w14:textId="77777777" w:rsidR="000923BB" w:rsidRPr="009426D4" w:rsidRDefault="000923BB" w:rsidP="00282EAD">
            <w:pPr>
              <w:rPr>
                <w:rFonts w:cs="Arial"/>
                <w:b/>
                <w:sz w:val="18"/>
                <w:szCs w:val="18"/>
              </w:rPr>
            </w:pPr>
            <w:r w:rsidRPr="009426D4">
              <w:rPr>
                <w:rFonts w:cs="Arial"/>
                <w:b/>
                <w:sz w:val="18"/>
                <w:szCs w:val="18"/>
              </w:rPr>
              <w:t>Staff type</w:t>
            </w:r>
          </w:p>
        </w:tc>
        <w:tc>
          <w:tcPr>
            <w:tcW w:w="1309" w:type="dxa"/>
            <w:vAlign w:val="center"/>
          </w:tcPr>
          <w:p w14:paraId="4D6071BB" w14:textId="77777777" w:rsidR="000923BB" w:rsidRPr="009426D4" w:rsidRDefault="000923BB" w:rsidP="00282EAD">
            <w:pPr>
              <w:rPr>
                <w:rFonts w:cs="Arial"/>
                <w:b/>
                <w:sz w:val="18"/>
                <w:szCs w:val="18"/>
              </w:rPr>
            </w:pPr>
            <w:r w:rsidRPr="009426D4">
              <w:rPr>
                <w:rFonts w:cs="Arial"/>
                <w:b/>
                <w:sz w:val="18"/>
                <w:szCs w:val="18"/>
              </w:rPr>
              <w:t>No of holistic and criterion based reviews</w:t>
            </w:r>
            <w:r w:rsidRPr="002B4B88">
              <w:rPr>
                <w:rFonts w:cs="Arial"/>
                <w:b/>
                <w:sz w:val="18"/>
                <w:szCs w:val="18"/>
                <w:vertAlign w:val="superscript"/>
              </w:rPr>
              <w:t>1</w:t>
            </w:r>
            <w:r w:rsidRPr="009426D4">
              <w:rPr>
                <w:rFonts w:cs="Arial"/>
                <w:b/>
                <w:sz w:val="18"/>
                <w:szCs w:val="18"/>
              </w:rPr>
              <w:t xml:space="preserve"> (and review staff) </w:t>
            </w:r>
          </w:p>
        </w:tc>
        <w:tc>
          <w:tcPr>
            <w:tcW w:w="1843" w:type="dxa"/>
            <w:vAlign w:val="center"/>
          </w:tcPr>
          <w:p w14:paraId="07F7E85B" w14:textId="77777777" w:rsidR="000923BB" w:rsidRPr="009426D4" w:rsidRDefault="000923BB" w:rsidP="00282EAD">
            <w:pPr>
              <w:rPr>
                <w:rFonts w:cs="Arial"/>
                <w:b/>
                <w:sz w:val="18"/>
                <w:szCs w:val="18"/>
              </w:rPr>
            </w:pPr>
            <w:r w:rsidRPr="009426D4">
              <w:rPr>
                <w:rFonts w:cs="Arial"/>
                <w:b/>
                <w:sz w:val="18"/>
                <w:szCs w:val="18"/>
              </w:rPr>
              <w:t>Criterion based review mean score as a percentage of total criteria</w:t>
            </w:r>
            <w:r>
              <w:rPr>
                <w:rFonts w:cs="Arial"/>
                <w:b/>
                <w:sz w:val="18"/>
                <w:szCs w:val="18"/>
                <w:vertAlign w:val="superscript"/>
              </w:rPr>
              <w:t>2</w:t>
            </w:r>
          </w:p>
          <w:p w14:paraId="4C99A13B" w14:textId="77777777" w:rsidR="000923BB" w:rsidRPr="009426D4" w:rsidRDefault="000923BB" w:rsidP="00282EAD">
            <w:pPr>
              <w:rPr>
                <w:rFonts w:cs="Arial"/>
                <w:b/>
                <w:sz w:val="18"/>
                <w:szCs w:val="18"/>
              </w:rPr>
            </w:pPr>
            <w:r w:rsidRPr="009426D4">
              <w:rPr>
                <w:rFonts w:cs="Arial"/>
                <w:b/>
                <w:sz w:val="18"/>
                <w:szCs w:val="18"/>
              </w:rPr>
              <w:t>(95% CI)</w:t>
            </w:r>
          </w:p>
        </w:tc>
        <w:tc>
          <w:tcPr>
            <w:tcW w:w="1276" w:type="dxa"/>
            <w:vAlign w:val="center"/>
          </w:tcPr>
          <w:p w14:paraId="3CCB3AC9" w14:textId="77777777" w:rsidR="000923BB" w:rsidRPr="009426D4" w:rsidRDefault="000923BB" w:rsidP="00282EAD">
            <w:pPr>
              <w:rPr>
                <w:rFonts w:cs="Arial"/>
                <w:b/>
                <w:sz w:val="18"/>
                <w:szCs w:val="18"/>
              </w:rPr>
            </w:pPr>
            <w:r w:rsidRPr="009426D4">
              <w:rPr>
                <w:rFonts w:cs="Arial"/>
                <w:b/>
                <w:sz w:val="18"/>
                <w:szCs w:val="18"/>
              </w:rPr>
              <w:t>Holistic mean rating of overall quality of care</w:t>
            </w:r>
            <w:r>
              <w:rPr>
                <w:rFonts w:cs="Arial"/>
                <w:b/>
                <w:sz w:val="18"/>
                <w:szCs w:val="18"/>
                <w:vertAlign w:val="superscript"/>
              </w:rPr>
              <w:t>3</w:t>
            </w:r>
            <w:r w:rsidRPr="00B1124D">
              <w:rPr>
                <w:rFonts w:cs="Arial"/>
                <w:b/>
                <w:sz w:val="18"/>
                <w:szCs w:val="18"/>
                <w:vertAlign w:val="superscript"/>
              </w:rPr>
              <w:t xml:space="preserve"> </w:t>
            </w:r>
            <w:r w:rsidRPr="009426D4">
              <w:rPr>
                <w:rFonts w:cs="Arial"/>
                <w:b/>
                <w:sz w:val="18"/>
                <w:szCs w:val="18"/>
              </w:rPr>
              <w:t>(95% CI)</w:t>
            </w:r>
          </w:p>
        </w:tc>
        <w:tc>
          <w:tcPr>
            <w:tcW w:w="1417" w:type="dxa"/>
          </w:tcPr>
          <w:p w14:paraId="5B9B0F81" w14:textId="77777777" w:rsidR="000923BB" w:rsidRPr="009426D4" w:rsidRDefault="000923BB" w:rsidP="00282EAD">
            <w:pPr>
              <w:rPr>
                <w:rFonts w:cs="Arial"/>
                <w:b/>
                <w:sz w:val="18"/>
                <w:szCs w:val="18"/>
              </w:rPr>
            </w:pPr>
            <w:r w:rsidRPr="009426D4">
              <w:rPr>
                <w:rFonts w:cs="Arial"/>
                <w:b/>
                <w:sz w:val="18"/>
                <w:szCs w:val="18"/>
              </w:rPr>
              <w:t>Mean difference (95% CI)</w:t>
            </w:r>
          </w:p>
        </w:tc>
        <w:tc>
          <w:tcPr>
            <w:tcW w:w="1276" w:type="dxa"/>
          </w:tcPr>
          <w:p w14:paraId="66AEA393" w14:textId="77777777" w:rsidR="000923BB" w:rsidRPr="009426D4" w:rsidRDefault="000923BB" w:rsidP="00282EAD">
            <w:pPr>
              <w:rPr>
                <w:rFonts w:cs="Arial"/>
                <w:b/>
                <w:sz w:val="18"/>
                <w:szCs w:val="18"/>
              </w:rPr>
            </w:pPr>
            <w:r w:rsidRPr="009426D4">
              <w:rPr>
                <w:rFonts w:cs="Arial"/>
                <w:b/>
                <w:sz w:val="18"/>
                <w:szCs w:val="18"/>
              </w:rPr>
              <w:t>P-value for difference</w:t>
            </w:r>
          </w:p>
        </w:tc>
      </w:tr>
      <w:tr w:rsidR="000923BB" w:rsidRPr="009426D4" w14:paraId="3EF4C793" w14:textId="77777777" w:rsidTr="00282EAD">
        <w:trPr>
          <w:trHeight w:val="439"/>
        </w:trPr>
        <w:tc>
          <w:tcPr>
            <w:tcW w:w="1101" w:type="dxa"/>
            <w:vAlign w:val="center"/>
          </w:tcPr>
          <w:p w14:paraId="507FBE78" w14:textId="77777777" w:rsidR="000923BB" w:rsidRPr="009426D4" w:rsidRDefault="000923BB" w:rsidP="00282EAD">
            <w:pPr>
              <w:rPr>
                <w:rFonts w:cs="Arial"/>
                <w:sz w:val="18"/>
                <w:szCs w:val="18"/>
              </w:rPr>
            </w:pPr>
            <w:r w:rsidRPr="009426D4">
              <w:rPr>
                <w:rFonts w:cs="Arial"/>
                <w:sz w:val="18"/>
                <w:szCs w:val="18"/>
              </w:rPr>
              <w:t>Doctor</w:t>
            </w:r>
          </w:p>
        </w:tc>
        <w:tc>
          <w:tcPr>
            <w:tcW w:w="1309" w:type="dxa"/>
            <w:tcBorders>
              <w:left w:val="single" w:sz="4" w:space="0" w:color="auto"/>
              <w:right w:val="single" w:sz="4" w:space="0" w:color="auto"/>
            </w:tcBorders>
            <w:vAlign w:val="center"/>
          </w:tcPr>
          <w:p w14:paraId="4FBAD92F" w14:textId="77777777" w:rsidR="000923BB" w:rsidRPr="009426D4" w:rsidRDefault="000923BB" w:rsidP="00282EAD">
            <w:pPr>
              <w:jc w:val="center"/>
              <w:rPr>
                <w:rFonts w:cs="Arial"/>
                <w:sz w:val="18"/>
                <w:szCs w:val="18"/>
              </w:rPr>
            </w:pPr>
            <w:r w:rsidRPr="009426D4">
              <w:rPr>
                <w:rFonts w:cs="Arial"/>
                <w:sz w:val="18"/>
                <w:szCs w:val="18"/>
              </w:rPr>
              <w:t>462 (16)</w:t>
            </w:r>
          </w:p>
        </w:tc>
        <w:tc>
          <w:tcPr>
            <w:tcW w:w="1843" w:type="dxa"/>
            <w:tcBorders>
              <w:left w:val="single" w:sz="4" w:space="0" w:color="auto"/>
              <w:right w:val="single" w:sz="4" w:space="0" w:color="auto"/>
            </w:tcBorders>
            <w:vAlign w:val="center"/>
          </w:tcPr>
          <w:p w14:paraId="4E2AC6E0" w14:textId="77777777" w:rsidR="000923BB" w:rsidRPr="009426D4" w:rsidRDefault="000923BB" w:rsidP="00282EAD">
            <w:pPr>
              <w:rPr>
                <w:rFonts w:cs="Arial"/>
                <w:color w:val="000000"/>
                <w:sz w:val="18"/>
                <w:szCs w:val="18"/>
              </w:rPr>
            </w:pPr>
            <w:r w:rsidRPr="009426D4">
              <w:rPr>
                <w:rFonts w:cs="Arial"/>
                <w:sz w:val="18"/>
                <w:szCs w:val="18"/>
              </w:rPr>
              <w:t>78.7 (77.1</w:t>
            </w:r>
            <w:r w:rsidRPr="009426D4">
              <w:rPr>
                <w:rFonts w:cs="Arial"/>
                <w:color w:val="000000"/>
                <w:sz w:val="18"/>
                <w:szCs w:val="18"/>
              </w:rPr>
              <w:t xml:space="preserve"> to 80.4)</w:t>
            </w:r>
          </w:p>
        </w:tc>
        <w:tc>
          <w:tcPr>
            <w:tcW w:w="1276" w:type="dxa"/>
            <w:tcBorders>
              <w:left w:val="single" w:sz="4" w:space="0" w:color="auto"/>
              <w:right w:val="single" w:sz="4" w:space="0" w:color="auto"/>
            </w:tcBorders>
            <w:vAlign w:val="center"/>
          </w:tcPr>
          <w:p w14:paraId="5A1C614E" w14:textId="77777777" w:rsidR="000923BB" w:rsidRPr="009426D4" w:rsidRDefault="000923BB" w:rsidP="00282EAD">
            <w:pPr>
              <w:jc w:val="center"/>
              <w:rPr>
                <w:rFonts w:cs="Arial"/>
                <w:sz w:val="18"/>
                <w:szCs w:val="18"/>
              </w:rPr>
            </w:pPr>
            <w:r w:rsidRPr="009426D4">
              <w:rPr>
                <w:rFonts w:cs="Arial"/>
                <w:sz w:val="18"/>
                <w:szCs w:val="18"/>
              </w:rPr>
              <w:t>76.8 ( 72.2 to 81.4)</w:t>
            </w:r>
          </w:p>
        </w:tc>
        <w:tc>
          <w:tcPr>
            <w:tcW w:w="1417" w:type="dxa"/>
            <w:tcBorders>
              <w:left w:val="single" w:sz="4" w:space="0" w:color="auto"/>
              <w:right w:val="single" w:sz="4" w:space="0" w:color="auto"/>
            </w:tcBorders>
          </w:tcPr>
          <w:p w14:paraId="0DCDD6B0" w14:textId="77777777" w:rsidR="000923BB" w:rsidRPr="009426D4" w:rsidRDefault="000923BB" w:rsidP="00282EAD">
            <w:pPr>
              <w:jc w:val="center"/>
              <w:rPr>
                <w:rFonts w:cs="Arial"/>
                <w:color w:val="000000"/>
                <w:sz w:val="18"/>
                <w:szCs w:val="18"/>
              </w:rPr>
            </w:pPr>
            <w:r w:rsidRPr="009426D4">
              <w:rPr>
                <w:rFonts w:cs="Arial"/>
                <w:color w:val="000000"/>
                <w:sz w:val="18"/>
                <w:szCs w:val="18"/>
              </w:rPr>
              <w:t>-1.9 (-6.7 to 2.9)</w:t>
            </w:r>
          </w:p>
        </w:tc>
        <w:tc>
          <w:tcPr>
            <w:tcW w:w="1276" w:type="dxa"/>
            <w:tcBorders>
              <w:left w:val="single" w:sz="4" w:space="0" w:color="auto"/>
              <w:right w:val="single" w:sz="4" w:space="0" w:color="auto"/>
            </w:tcBorders>
          </w:tcPr>
          <w:p w14:paraId="2CB1E040" w14:textId="77777777" w:rsidR="000923BB" w:rsidRPr="009426D4" w:rsidRDefault="000923BB" w:rsidP="00282EAD">
            <w:pPr>
              <w:jc w:val="center"/>
              <w:rPr>
                <w:rFonts w:cs="Arial"/>
                <w:color w:val="000000"/>
                <w:sz w:val="18"/>
                <w:szCs w:val="18"/>
              </w:rPr>
            </w:pPr>
            <w:r w:rsidRPr="009426D4">
              <w:rPr>
                <w:rFonts w:cs="Arial"/>
                <w:color w:val="000000"/>
                <w:sz w:val="18"/>
                <w:szCs w:val="18"/>
              </w:rPr>
              <w:t>0.406</w:t>
            </w:r>
          </w:p>
        </w:tc>
      </w:tr>
      <w:tr w:rsidR="000923BB" w:rsidRPr="009426D4" w14:paraId="0E44A436" w14:textId="77777777" w:rsidTr="00282EAD">
        <w:trPr>
          <w:trHeight w:val="417"/>
        </w:trPr>
        <w:tc>
          <w:tcPr>
            <w:tcW w:w="1101" w:type="dxa"/>
            <w:vAlign w:val="center"/>
          </w:tcPr>
          <w:p w14:paraId="4F992173" w14:textId="77777777" w:rsidR="000923BB" w:rsidRPr="009426D4" w:rsidRDefault="000923BB" w:rsidP="00282EAD">
            <w:pPr>
              <w:rPr>
                <w:rFonts w:cs="Arial"/>
                <w:sz w:val="18"/>
                <w:szCs w:val="18"/>
              </w:rPr>
            </w:pPr>
            <w:r w:rsidRPr="009426D4">
              <w:rPr>
                <w:rFonts w:cs="Arial"/>
                <w:sz w:val="18"/>
                <w:szCs w:val="18"/>
                <w:lang w:val="en-US"/>
              </w:rPr>
              <w:t>Nurse / other clinical</w:t>
            </w:r>
          </w:p>
        </w:tc>
        <w:tc>
          <w:tcPr>
            <w:tcW w:w="1309" w:type="dxa"/>
            <w:tcBorders>
              <w:left w:val="single" w:sz="4" w:space="0" w:color="auto"/>
              <w:right w:val="single" w:sz="4" w:space="0" w:color="auto"/>
            </w:tcBorders>
            <w:vAlign w:val="center"/>
          </w:tcPr>
          <w:p w14:paraId="40A52AD2" w14:textId="77777777" w:rsidR="000923BB" w:rsidRPr="009426D4" w:rsidRDefault="000923BB" w:rsidP="00282EAD">
            <w:pPr>
              <w:jc w:val="center"/>
              <w:rPr>
                <w:rFonts w:cs="Arial"/>
                <w:sz w:val="18"/>
                <w:szCs w:val="18"/>
              </w:rPr>
            </w:pPr>
            <w:r w:rsidRPr="009426D4">
              <w:rPr>
                <w:rFonts w:cs="Arial"/>
                <w:sz w:val="18"/>
                <w:szCs w:val="18"/>
              </w:rPr>
              <w:t>428 (14)</w:t>
            </w:r>
          </w:p>
        </w:tc>
        <w:tc>
          <w:tcPr>
            <w:tcW w:w="1843" w:type="dxa"/>
            <w:tcBorders>
              <w:left w:val="single" w:sz="4" w:space="0" w:color="auto"/>
              <w:right w:val="single" w:sz="4" w:space="0" w:color="auto"/>
            </w:tcBorders>
            <w:vAlign w:val="center"/>
          </w:tcPr>
          <w:p w14:paraId="1B687F4D" w14:textId="77777777" w:rsidR="000923BB" w:rsidRPr="009426D4" w:rsidRDefault="000923BB" w:rsidP="00282EAD">
            <w:pPr>
              <w:rPr>
                <w:rFonts w:cs="Arial"/>
                <w:sz w:val="18"/>
                <w:szCs w:val="18"/>
              </w:rPr>
            </w:pPr>
            <w:r w:rsidRPr="009426D4">
              <w:rPr>
                <w:rFonts w:cs="Arial"/>
                <w:sz w:val="18"/>
                <w:szCs w:val="18"/>
              </w:rPr>
              <w:t>77.5 (75.0 to</w:t>
            </w:r>
            <w:r w:rsidRPr="009426D4">
              <w:rPr>
                <w:rFonts w:cs="Arial"/>
                <w:color w:val="000000"/>
                <w:sz w:val="18"/>
                <w:szCs w:val="18"/>
              </w:rPr>
              <w:t xml:space="preserve"> </w:t>
            </w:r>
            <w:r w:rsidRPr="009426D4">
              <w:rPr>
                <w:rFonts w:cs="Arial"/>
                <w:sz w:val="18"/>
                <w:szCs w:val="18"/>
              </w:rPr>
              <w:t>80.1)</w:t>
            </w:r>
          </w:p>
        </w:tc>
        <w:tc>
          <w:tcPr>
            <w:tcW w:w="1276" w:type="dxa"/>
            <w:tcBorders>
              <w:left w:val="single" w:sz="4" w:space="0" w:color="auto"/>
              <w:right w:val="single" w:sz="4" w:space="0" w:color="auto"/>
            </w:tcBorders>
            <w:vAlign w:val="center"/>
          </w:tcPr>
          <w:p w14:paraId="12E86B9E" w14:textId="77777777" w:rsidR="000923BB" w:rsidRPr="009426D4" w:rsidRDefault="000923BB" w:rsidP="00282EAD">
            <w:pPr>
              <w:jc w:val="center"/>
              <w:rPr>
                <w:rFonts w:cs="Arial"/>
                <w:sz w:val="18"/>
                <w:szCs w:val="18"/>
              </w:rPr>
            </w:pPr>
            <w:r w:rsidRPr="009426D4">
              <w:rPr>
                <w:rFonts w:cs="Arial"/>
                <w:sz w:val="18"/>
                <w:szCs w:val="18"/>
              </w:rPr>
              <w:t>71.2 (66.4 to 76.0)</w:t>
            </w:r>
          </w:p>
        </w:tc>
        <w:tc>
          <w:tcPr>
            <w:tcW w:w="1417" w:type="dxa"/>
            <w:tcBorders>
              <w:left w:val="single" w:sz="4" w:space="0" w:color="auto"/>
              <w:right w:val="single" w:sz="4" w:space="0" w:color="auto"/>
            </w:tcBorders>
          </w:tcPr>
          <w:p w14:paraId="79753A2D" w14:textId="77777777" w:rsidR="000923BB" w:rsidRPr="009426D4" w:rsidRDefault="000923BB" w:rsidP="00282EAD">
            <w:pPr>
              <w:jc w:val="center"/>
              <w:rPr>
                <w:rFonts w:cs="Arial"/>
                <w:color w:val="000000"/>
                <w:sz w:val="18"/>
                <w:szCs w:val="18"/>
              </w:rPr>
            </w:pPr>
            <w:r w:rsidRPr="009426D4">
              <w:rPr>
                <w:rFonts w:cs="Arial"/>
                <w:color w:val="000000"/>
                <w:sz w:val="18"/>
                <w:szCs w:val="18"/>
              </w:rPr>
              <w:t>-6.3 (-10.5 to –2.2)</w:t>
            </w:r>
          </w:p>
        </w:tc>
        <w:tc>
          <w:tcPr>
            <w:tcW w:w="1276" w:type="dxa"/>
            <w:tcBorders>
              <w:left w:val="single" w:sz="4" w:space="0" w:color="auto"/>
              <w:right w:val="single" w:sz="4" w:space="0" w:color="auto"/>
            </w:tcBorders>
          </w:tcPr>
          <w:p w14:paraId="2145CFE1" w14:textId="77777777" w:rsidR="000923BB" w:rsidRPr="009426D4" w:rsidRDefault="000923BB" w:rsidP="00282EAD">
            <w:pPr>
              <w:jc w:val="center"/>
              <w:rPr>
                <w:rFonts w:cs="Arial"/>
                <w:color w:val="000000"/>
                <w:sz w:val="18"/>
                <w:szCs w:val="18"/>
              </w:rPr>
            </w:pPr>
            <w:r w:rsidRPr="009426D4">
              <w:rPr>
                <w:rFonts w:cs="Arial"/>
                <w:color w:val="000000"/>
                <w:sz w:val="18"/>
                <w:szCs w:val="18"/>
              </w:rPr>
              <w:t>0.005</w:t>
            </w:r>
          </w:p>
        </w:tc>
      </w:tr>
      <w:tr w:rsidR="000923BB" w:rsidRPr="009426D4" w14:paraId="186DE202" w14:textId="77777777" w:rsidTr="00282EAD">
        <w:trPr>
          <w:trHeight w:val="422"/>
        </w:trPr>
        <w:tc>
          <w:tcPr>
            <w:tcW w:w="1101" w:type="dxa"/>
            <w:vAlign w:val="center"/>
          </w:tcPr>
          <w:p w14:paraId="7A5C6B4E" w14:textId="77777777" w:rsidR="000923BB" w:rsidRPr="009426D4" w:rsidRDefault="000923BB" w:rsidP="00282EAD">
            <w:pPr>
              <w:rPr>
                <w:rFonts w:cs="Arial"/>
                <w:sz w:val="18"/>
                <w:szCs w:val="18"/>
              </w:rPr>
            </w:pPr>
            <w:r w:rsidRPr="009426D4">
              <w:rPr>
                <w:rFonts w:cs="Arial"/>
                <w:sz w:val="18"/>
                <w:szCs w:val="18"/>
              </w:rPr>
              <w:t>Non-clinical audit</w:t>
            </w:r>
          </w:p>
        </w:tc>
        <w:tc>
          <w:tcPr>
            <w:tcW w:w="1309" w:type="dxa"/>
            <w:tcBorders>
              <w:left w:val="single" w:sz="4" w:space="0" w:color="auto"/>
              <w:right w:val="single" w:sz="4" w:space="0" w:color="auto"/>
            </w:tcBorders>
            <w:vAlign w:val="center"/>
          </w:tcPr>
          <w:p w14:paraId="468D784F" w14:textId="77777777" w:rsidR="000923BB" w:rsidRPr="009426D4" w:rsidRDefault="000923BB" w:rsidP="00282EAD">
            <w:pPr>
              <w:jc w:val="center"/>
              <w:rPr>
                <w:rFonts w:cs="Arial"/>
                <w:sz w:val="18"/>
                <w:szCs w:val="18"/>
              </w:rPr>
            </w:pPr>
            <w:r w:rsidRPr="009426D4">
              <w:rPr>
                <w:rFonts w:cs="Arial"/>
                <w:sz w:val="18"/>
                <w:szCs w:val="18"/>
              </w:rPr>
              <w:t>219 (8)</w:t>
            </w:r>
          </w:p>
        </w:tc>
        <w:tc>
          <w:tcPr>
            <w:tcW w:w="1843" w:type="dxa"/>
            <w:tcBorders>
              <w:left w:val="single" w:sz="4" w:space="0" w:color="auto"/>
              <w:right w:val="single" w:sz="4" w:space="0" w:color="auto"/>
            </w:tcBorders>
            <w:vAlign w:val="center"/>
          </w:tcPr>
          <w:p w14:paraId="3C4D5AF9" w14:textId="77777777" w:rsidR="000923BB" w:rsidRPr="009426D4" w:rsidRDefault="000923BB" w:rsidP="00282EAD">
            <w:pPr>
              <w:rPr>
                <w:rFonts w:cs="Arial"/>
                <w:color w:val="000000"/>
                <w:sz w:val="18"/>
                <w:szCs w:val="18"/>
              </w:rPr>
            </w:pPr>
            <w:r w:rsidRPr="009426D4">
              <w:rPr>
                <w:rFonts w:cs="Arial"/>
                <w:sz w:val="18"/>
                <w:szCs w:val="18"/>
              </w:rPr>
              <w:t>75.4 (71.1 to</w:t>
            </w:r>
            <w:r w:rsidRPr="009426D4">
              <w:rPr>
                <w:rFonts w:cs="Arial"/>
                <w:color w:val="000000"/>
                <w:sz w:val="18"/>
                <w:szCs w:val="18"/>
              </w:rPr>
              <w:t xml:space="preserve"> 79.7)</w:t>
            </w:r>
          </w:p>
        </w:tc>
        <w:tc>
          <w:tcPr>
            <w:tcW w:w="1276" w:type="dxa"/>
            <w:tcBorders>
              <w:left w:val="single" w:sz="4" w:space="0" w:color="auto"/>
              <w:right w:val="single" w:sz="4" w:space="0" w:color="auto"/>
            </w:tcBorders>
            <w:vAlign w:val="center"/>
          </w:tcPr>
          <w:p w14:paraId="7EA7C7FD" w14:textId="77777777" w:rsidR="000923BB" w:rsidRPr="009426D4" w:rsidRDefault="000923BB" w:rsidP="00282EAD">
            <w:pPr>
              <w:jc w:val="center"/>
              <w:rPr>
                <w:rFonts w:cs="Arial"/>
                <w:sz w:val="18"/>
                <w:szCs w:val="18"/>
              </w:rPr>
            </w:pPr>
            <w:r w:rsidRPr="009426D4">
              <w:rPr>
                <w:rFonts w:cs="Arial"/>
                <w:sz w:val="18"/>
                <w:szCs w:val="18"/>
              </w:rPr>
              <w:t>78.5 (74.7 to 82.3)</w:t>
            </w:r>
          </w:p>
        </w:tc>
        <w:tc>
          <w:tcPr>
            <w:tcW w:w="1417" w:type="dxa"/>
            <w:tcBorders>
              <w:left w:val="single" w:sz="4" w:space="0" w:color="auto"/>
              <w:right w:val="single" w:sz="4" w:space="0" w:color="auto"/>
            </w:tcBorders>
          </w:tcPr>
          <w:p w14:paraId="05B02455" w14:textId="77777777" w:rsidR="000923BB" w:rsidRPr="009426D4" w:rsidRDefault="000923BB" w:rsidP="00282EAD">
            <w:pPr>
              <w:jc w:val="center"/>
              <w:rPr>
                <w:rFonts w:cs="Arial"/>
                <w:color w:val="000000"/>
                <w:sz w:val="18"/>
                <w:szCs w:val="18"/>
              </w:rPr>
            </w:pPr>
            <w:r w:rsidRPr="009426D4">
              <w:rPr>
                <w:rFonts w:cs="Arial"/>
                <w:color w:val="000000"/>
                <w:sz w:val="18"/>
                <w:szCs w:val="18"/>
              </w:rPr>
              <w:t>3.1 (-2.4 to 8.5)</w:t>
            </w:r>
          </w:p>
        </w:tc>
        <w:tc>
          <w:tcPr>
            <w:tcW w:w="1276" w:type="dxa"/>
            <w:tcBorders>
              <w:left w:val="single" w:sz="4" w:space="0" w:color="auto"/>
              <w:right w:val="single" w:sz="4" w:space="0" w:color="auto"/>
            </w:tcBorders>
          </w:tcPr>
          <w:p w14:paraId="516E8840" w14:textId="77777777" w:rsidR="000923BB" w:rsidRPr="009426D4" w:rsidRDefault="000923BB" w:rsidP="00282EAD">
            <w:pPr>
              <w:jc w:val="center"/>
              <w:rPr>
                <w:rFonts w:cs="Arial"/>
                <w:color w:val="000000"/>
                <w:sz w:val="18"/>
                <w:szCs w:val="18"/>
              </w:rPr>
            </w:pPr>
            <w:r w:rsidRPr="009426D4">
              <w:rPr>
                <w:rFonts w:cs="Arial"/>
                <w:color w:val="000000"/>
                <w:sz w:val="18"/>
                <w:szCs w:val="18"/>
              </w:rPr>
              <w:t>0.223</w:t>
            </w:r>
          </w:p>
        </w:tc>
      </w:tr>
      <w:tr w:rsidR="000923BB" w:rsidRPr="009426D4" w14:paraId="5FBA7724" w14:textId="77777777" w:rsidTr="00282EAD">
        <w:trPr>
          <w:trHeight w:val="401"/>
        </w:trPr>
        <w:tc>
          <w:tcPr>
            <w:tcW w:w="1101" w:type="dxa"/>
            <w:tcBorders>
              <w:top w:val="single" w:sz="4" w:space="0" w:color="auto"/>
            </w:tcBorders>
            <w:vAlign w:val="center"/>
          </w:tcPr>
          <w:p w14:paraId="4A8429A3" w14:textId="77777777" w:rsidR="000923BB" w:rsidRPr="009426D4" w:rsidRDefault="000923BB" w:rsidP="00282EAD">
            <w:pPr>
              <w:rPr>
                <w:rFonts w:cs="Arial"/>
                <w:sz w:val="18"/>
                <w:szCs w:val="18"/>
              </w:rPr>
            </w:pPr>
            <w:r w:rsidRPr="009426D4">
              <w:rPr>
                <w:rFonts w:cs="Arial"/>
                <w:sz w:val="18"/>
                <w:szCs w:val="18"/>
              </w:rPr>
              <w:t>All staff</w:t>
            </w:r>
          </w:p>
        </w:tc>
        <w:tc>
          <w:tcPr>
            <w:tcW w:w="1309" w:type="dxa"/>
            <w:tcBorders>
              <w:top w:val="single" w:sz="4" w:space="0" w:color="auto"/>
              <w:left w:val="single" w:sz="4" w:space="0" w:color="auto"/>
              <w:right w:val="single" w:sz="4" w:space="0" w:color="auto"/>
            </w:tcBorders>
            <w:vAlign w:val="center"/>
          </w:tcPr>
          <w:p w14:paraId="4B3E33EC" w14:textId="77777777" w:rsidR="000923BB" w:rsidRPr="009426D4" w:rsidRDefault="000923BB" w:rsidP="00282EAD">
            <w:pPr>
              <w:jc w:val="center"/>
              <w:rPr>
                <w:rFonts w:cs="Arial"/>
                <w:sz w:val="18"/>
                <w:szCs w:val="18"/>
              </w:rPr>
            </w:pPr>
            <w:r w:rsidRPr="009426D4">
              <w:rPr>
                <w:rFonts w:cs="Arial"/>
                <w:sz w:val="18"/>
                <w:szCs w:val="18"/>
              </w:rPr>
              <w:t>1109 (38)</w:t>
            </w:r>
          </w:p>
        </w:tc>
        <w:tc>
          <w:tcPr>
            <w:tcW w:w="1843" w:type="dxa"/>
            <w:tcBorders>
              <w:top w:val="single" w:sz="4" w:space="0" w:color="auto"/>
              <w:left w:val="single" w:sz="4" w:space="0" w:color="auto"/>
              <w:right w:val="single" w:sz="4" w:space="0" w:color="auto"/>
            </w:tcBorders>
            <w:vAlign w:val="center"/>
          </w:tcPr>
          <w:p w14:paraId="2C5AB92E" w14:textId="77777777" w:rsidR="000923BB" w:rsidRPr="009426D4" w:rsidRDefault="000923BB" w:rsidP="00282EAD">
            <w:pPr>
              <w:rPr>
                <w:rFonts w:cs="Arial"/>
                <w:sz w:val="18"/>
                <w:szCs w:val="18"/>
              </w:rPr>
            </w:pPr>
            <w:r w:rsidRPr="009426D4">
              <w:rPr>
                <w:rFonts w:cs="Arial"/>
                <w:sz w:val="18"/>
                <w:szCs w:val="18"/>
              </w:rPr>
              <w:t>77.6 (76.2 to</w:t>
            </w:r>
            <w:r w:rsidRPr="009426D4">
              <w:rPr>
                <w:rFonts w:cs="Arial"/>
                <w:color w:val="000000"/>
                <w:sz w:val="18"/>
                <w:szCs w:val="18"/>
              </w:rPr>
              <w:t xml:space="preserve"> </w:t>
            </w:r>
            <w:r w:rsidRPr="009426D4">
              <w:rPr>
                <w:rFonts w:cs="Arial"/>
                <w:sz w:val="18"/>
                <w:szCs w:val="18"/>
              </w:rPr>
              <w:t>79.0)</w:t>
            </w:r>
          </w:p>
        </w:tc>
        <w:tc>
          <w:tcPr>
            <w:tcW w:w="1276" w:type="dxa"/>
            <w:tcBorders>
              <w:top w:val="single" w:sz="4" w:space="0" w:color="auto"/>
              <w:left w:val="single" w:sz="4" w:space="0" w:color="auto"/>
              <w:right w:val="single" w:sz="4" w:space="0" w:color="auto"/>
            </w:tcBorders>
            <w:vAlign w:val="center"/>
          </w:tcPr>
          <w:p w14:paraId="2F7EE863" w14:textId="77777777" w:rsidR="000923BB" w:rsidRPr="009426D4" w:rsidRDefault="000923BB" w:rsidP="00282EAD">
            <w:pPr>
              <w:jc w:val="center"/>
              <w:rPr>
                <w:rFonts w:cs="Arial"/>
                <w:sz w:val="18"/>
                <w:szCs w:val="18"/>
              </w:rPr>
            </w:pPr>
            <w:r w:rsidRPr="009426D4">
              <w:rPr>
                <w:rFonts w:cs="Arial"/>
                <w:sz w:val="18"/>
                <w:szCs w:val="18"/>
              </w:rPr>
              <w:t>75.0 (72.3 to 77.6)</w:t>
            </w:r>
          </w:p>
        </w:tc>
        <w:tc>
          <w:tcPr>
            <w:tcW w:w="1417" w:type="dxa"/>
            <w:tcBorders>
              <w:top w:val="single" w:sz="4" w:space="0" w:color="auto"/>
              <w:left w:val="single" w:sz="4" w:space="0" w:color="auto"/>
              <w:right w:val="single" w:sz="4" w:space="0" w:color="auto"/>
            </w:tcBorders>
          </w:tcPr>
          <w:p w14:paraId="32A5ED2A" w14:textId="77777777" w:rsidR="000923BB" w:rsidRPr="009426D4" w:rsidRDefault="000923BB" w:rsidP="00282EAD">
            <w:pPr>
              <w:jc w:val="center"/>
              <w:rPr>
                <w:rFonts w:cs="Arial"/>
                <w:sz w:val="18"/>
                <w:szCs w:val="18"/>
              </w:rPr>
            </w:pPr>
            <w:r w:rsidRPr="009426D4">
              <w:rPr>
                <w:rFonts w:cs="Arial"/>
                <w:sz w:val="18"/>
                <w:szCs w:val="18"/>
              </w:rPr>
              <w:t>-2.6 (-5.4 to 0.1)</w:t>
            </w:r>
          </w:p>
        </w:tc>
        <w:tc>
          <w:tcPr>
            <w:tcW w:w="1276" w:type="dxa"/>
            <w:tcBorders>
              <w:top w:val="single" w:sz="4" w:space="0" w:color="auto"/>
              <w:left w:val="single" w:sz="4" w:space="0" w:color="auto"/>
              <w:right w:val="single" w:sz="4" w:space="0" w:color="auto"/>
            </w:tcBorders>
          </w:tcPr>
          <w:p w14:paraId="22883DE0" w14:textId="77777777" w:rsidR="000923BB" w:rsidRPr="009426D4" w:rsidRDefault="000923BB" w:rsidP="00282EAD">
            <w:pPr>
              <w:jc w:val="center"/>
              <w:rPr>
                <w:rFonts w:cs="Arial"/>
                <w:sz w:val="18"/>
                <w:szCs w:val="18"/>
              </w:rPr>
            </w:pPr>
            <w:r w:rsidRPr="009426D4">
              <w:rPr>
                <w:rFonts w:cs="Arial"/>
                <w:sz w:val="18"/>
                <w:szCs w:val="18"/>
              </w:rPr>
              <w:t>0.057</w:t>
            </w:r>
          </w:p>
        </w:tc>
      </w:tr>
    </w:tbl>
    <w:p w14:paraId="0F7985D6" w14:textId="77777777" w:rsidR="000923BB" w:rsidRDefault="000923BB" w:rsidP="000923BB">
      <w:pPr>
        <w:rPr>
          <w:sz w:val="18"/>
          <w:szCs w:val="18"/>
        </w:rPr>
      </w:pPr>
    </w:p>
    <w:p w14:paraId="4410097B" w14:textId="77777777" w:rsidR="00282EAD" w:rsidRDefault="00282EAD" w:rsidP="000923BB">
      <w:pPr>
        <w:rPr>
          <w:sz w:val="18"/>
          <w:szCs w:val="18"/>
        </w:rPr>
      </w:pPr>
    </w:p>
    <w:p w14:paraId="36488A00" w14:textId="77777777" w:rsidR="000923BB" w:rsidRDefault="000923BB" w:rsidP="000923BB">
      <w:pPr>
        <w:jc w:val="both"/>
        <w:rPr>
          <w:rFonts w:cs="Arial"/>
          <w:sz w:val="18"/>
          <w:szCs w:val="18"/>
        </w:rPr>
      </w:pPr>
      <w:r>
        <w:rPr>
          <w:rFonts w:cs="Arial"/>
          <w:sz w:val="18"/>
          <w:szCs w:val="18"/>
        </w:rPr>
        <w:t>1. Only paired reviews are included in the analysis – that is, holistic and criterion review undertaken by the same reviewer on the same record</w:t>
      </w:r>
    </w:p>
    <w:p w14:paraId="17E3056F" w14:textId="77777777" w:rsidR="000923BB" w:rsidRDefault="000923BB" w:rsidP="000923BB">
      <w:pPr>
        <w:jc w:val="both"/>
        <w:rPr>
          <w:rFonts w:cs="Arial"/>
          <w:sz w:val="18"/>
          <w:szCs w:val="18"/>
        </w:rPr>
      </w:pPr>
      <w:r>
        <w:rPr>
          <w:rFonts w:cs="Arial"/>
          <w:sz w:val="18"/>
          <w:szCs w:val="18"/>
        </w:rPr>
        <w:t xml:space="preserve">2. </w:t>
      </w:r>
      <w:r w:rsidRPr="009426D4">
        <w:rPr>
          <w:rFonts w:cs="Arial"/>
          <w:sz w:val="18"/>
          <w:szCs w:val="18"/>
        </w:rPr>
        <w:t>Scores are shown as percentages out of 32 criteria (where patient is a current or ex-smoker) or out of 31 criteria (where patient is a non-smoker)</w:t>
      </w:r>
    </w:p>
    <w:p w14:paraId="7B542838" w14:textId="77777777" w:rsidR="000923BB" w:rsidRPr="009426D4" w:rsidRDefault="000923BB" w:rsidP="000923BB">
      <w:pPr>
        <w:jc w:val="both"/>
        <w:rPr>
          <w:rFonts w:cs="Arial"/>
          <w:sz w:val="18"/>
          <w:szCs w:val="18"/>
        </w:rPr>
      </w:pPr>
      <w:r>
        <w:rPr>
          <w:rFonts w:cs="Arial"/>
          <w:sz w:val="18"/>
          <w:szCs w:val="18"/>
        </w:rPr>
        <w:t>3.</w:t>
      </w:r>
      <w:r w:rsidRPr="009426D4">
        <w:rPr>
          <w:rFonts w:cs="Arial"/>
          <w:sz w:val="18"/>
          <w:szCs w:val="18"/>
        </w:rPr>
        <w:t xml:space="preserve"> Reviewers rated the overall quality of care on a 10-point scale from 1 (unsatisfactory) to 10 (very best care). This was converted to a percentage for comparison with criterion based review data</w:t>
      </w:r>
    </w:p>
    <w:p w14:paraId="6697F5AF" w14:textId="77777777" w:rsidR="000923BB" w:rsidRDefault="000923BB" w:rsidP="000923BB">
      <w:pPr>
        <w:rPr>
          <w:rFonts w:cs="Arial"/>
          <w:sz w:val="22"/>
          <w:szCs w:val="22"/>
        </w:rPr>
      </w:pPr>
    </w:p>
    <w:p w14:paraId="6EB938D3" w14:textId="77777777" w:rsidR="000923BB" w:rsidRDefault="000923BB" w:rsidP="000923BB">
      <w:pPr>
        <w:jc w:val="both"/>
        <w:rPr>
          <w:rFonts w:cs="Arial"/>
          <w:sz w:val="22"/>
          <w:szCs w:val="22"/>
        </w:rPr>
      </w:pPr>
      <w:r>
        <w:rPr>
          <w:rFonts w:cs="Arial"/>
          <w:sz w:val="22"/>
          <w:szCs w:val="22"/>
        </w:rPr>
        <w:t xml:space="preserve">Bland – Altman plots of the difference in score between the review methods, against the average of the two scores, can also be used to examine the size of the differences and also their distribution around zero.  The plot also allows for a visual check to determine whether the differences are (or are not) related to the size of the measurement.  </w:t>
      </w:r>
    </w:p>
    <w:p w14:paraId="52C5F954" w14:textId="77777777" w:rsidR="000923BB" w:rsidRDefault="000923BB" w:rsidP="000923BB">
      <w:pPr>
        <w:jc w:val="both"/>
        <w:rPr>
          <w:rFonts w:cs="Arial"/>
          <w:sz w:val="22"/>
          <w:szCs w:val="22"/>
        </w:rPr>
      </w:pPr>
    </w:p>
    <w:p w14:paraId="0FFADCF7" w14:textId="77777777" w:rsidR="000923BB" w:rsidRDefault="000923BB" w:rsidP="000923BB">
      <w:pPr>
        <w:jc w:val="both"/>
        <w:rPr>
          <w:rFonts w:cs="Arial"/>
          <w:sz w:val="22"/>
          <w:szCs w:val="22"/>
        </w:rPr>
      </w:pPr>
      <w:r>
        <w:rPr>
          <w:rFonts w:cs="Arial"/>
          <w:sz w:val="22"/>
          <w:szCs w:val="22"/>
        </w:rPr>
        <w:t>For the purpose of this study, the average reviewer score across both methods acts as the best estimate of the true value.  The mean difference, in review method scores, is an estimate of the average bias of one method relative to another.  The standard deviation of the differences; or the 95% limits of agreement, can be used to see how well methods are likely to agree for an individual. For a systematic distribution we expect the range (mean +/- 2SD</w:t>
      </w:r>
      <w:r w:rsidRPr="005C370C">
        <w:rPr>
          <w:rFonts w:cs="Arial"/>
          <w:sz w:val="22"/>
          <w:szCs w:val="22"/>
          <w:vertAlign w:val="subscript"/>
        </w:rPr>
        <w:t>DIFFERENCE</w:t>
      </w:r>
      <w:r>
        <w:rPr>
          <w:rFonts w:cs="Arial"/>
          <w:sz w:val="22"/>
          <w:szCs w:val="22"/>
        </w:rPr>
        <w:t>) to include about 95% of the observations.  This range of values defines the 95% limits of agreement.</w:t>
      </w:r>
    </w:p>
    <w:p w14:paraId="25FBB438" w14:textId="77777777" w:rsidR="000923BB" w:rsidRDefault="000923BB" w:rsidP="000923BB">
      <w:pPr>
        <w:jc w:val="both"/>
        <w:rPr>
          <w:rFonts w:cs="Arial"/>
          <w:sz w:val="22"/>
          <w:szCs w:val="22"/>
        </w:rPr>
      </w:pPr>
    </w:p>
    <w:p w14:paraId="443D7C92" w14:textId="77777777" w:rsidR="000923BB" w:rsidRDefault="000923BB" w:rsidP="000923BB">
      <w:pPr>
        <w:jc w:val="both"/>
        <w:rPr>
          <w:rFonts w:cs="Arial"/>
          <w:sz w:val="22"/>
          <w:szCs w:val="22"/>
        </w:rPr>
      </w:pPr>
      <w:r w:rsidRPr="00B40F06">
        <w:rPr>
          <w:rFonts w:cs="Arial"/>
          <w:sz w:val="22"/>
          <w:szCs w:val="22"/>
        </w:rPr>
        <w:t xml:space="preserve">Figures </w:t>
      </w:r>
      <w:smartTag w:uri="urn:schemas-microsoft-com:office:smarttags" w:element="time">
        <w:smartTagPr>
          <w:attr w:name="Minute" w:val="55"/>
          <w:attr w:name="Hour" w:val="6"/>
        </w:smartTagPr>
        <w:r w:rsidRPr="00B40F06">
          <w:rPr>
            <w:rFonts w:cs="Arial"/>
            <w:sz w:val="22"/>
            <w:szCs w:val="22"/>
          </w:rPr>
          <w:t>5 to 7</w:t>
        </w:r>
      </w:smartTag>
      <w:r w:rsidRPr="00B40F06">
        <w:rPr>
          <w:rFonts w:cs="Arial"/>
          <w:sz w:val="22"/>
          <w:szCs w:val="22"/>
        </w:rPr>
        <w:t xml:space="preserve"> show that the reviewers tended to rate the majority of records with a mean combined holistic and criterion score of between 40 and 100, with very few records having lower scores reflecting poorer care. There is some evidence of a systemati</w:t>
      </w:r>
      <w:r>
        <w:rPr>
          <w:rFonts w:cs="Arial"/>
          <w:sz w:val="22"/>
          <w:szCs w:val="22"/>
        </w:rPr>
        <w:t xml:space="preserve">c pattern, in all three plots, </w:t>
      </w:r>
      <w:r w:rsidRPr="00B40F06">
        <w:rPr>
          <w:rFonts w:cs="Arial"/>
          <w:sz w:val="22"/>
          <w:szCs w:val="22"/>
        </w:rPr>
        <w:t>which suggests that at lower average scores (up to 60) the holistic based score tends to be less than the criterion based score for the same reviewer/patient (i.e. negative differences). At higher average scores, above 60, then there is evidence of the opposite pattern i.e. positive differences, which implies that the holistic based scores are larger than the criterion based review scores for the same patient.</w:t>
      </w:r>
      <w:r>
        <w:rPr>
          <w:rFonts w:cs="Arial"/>
          <w:sz w:val="22"/>
          <w:szCs w:val="22"/>
        </w:rPr>
        <w:t xml:space="preserve">  These patterns, at both the higher and lower level scores, may be reflecting the methodological differences of measuring quality of care.  While the criterion based scores are rigid – the item is either present or absent, holistic scoring allows the reviewer to make a judgement, which might be ‘harsher’ than criterion based scoring at lower quality levels and more ‘favourable’ at higher quality levels, since many more factors may be taken into account in the judgement in holistic reviewing.  Evidence from the following section on the analysis of textual data may also support this hypothesis.</w:t>
      </w:r>
    </w:p>
    <w:p w14:paraId="05E0B7AC" w14:textId="77777777" w:rsidR="000923BB" w:rsidRDefault="000923BB" w:rsidP="000923BB">
      <w:pPr>
        <w:jc w:val="both"/>
        <w:rPr>
          <w:rFonts w:cs="Arial"/>
          <w:sz w:val="22"/>
          <w:szCs w:val="22"/>
        </w:rPr>
      </w:pPr>
    </w:p>
    <w:p w14:paraId="18F2F1AA" w14:textId="77777777" w:rsidR="000923BB" w:rsidRPr="00D962B8" w:rsidRDefault="000923BB" w:rsidP="000923BB">
      <w:pPr>
        <w:jc w:val="both"/>
        <w:rPr>
          <w:rFonts w:cs="Arial"/>
          <w:sz w:val="22"/>
          <w:szCs w:val="22"/>
        </w:rPr>
      </w:pPr>
      <w:r w:rsidRPr="00D962B8">
        <w:rPr>
          <w:rFonts w:cs="Arial"/>
          <w:sz w:val="22"/>
          <w:szCs w:val="22"/>
        </w:rPr>
        <w:t xml:space="preserve">Both Table 10 and Figures 5 to 7 suggest that there is more variation in holistic review results than </w:t>
      </w:r>
      <w:r>
        <w:rPr>
          <w:rFonts w:cs="Arial"/>
          <w:sz w:val="22"/>
          <w:szCs w:val="22"/>
        </w:rPr>
        <w:t>in criterion based review</w:t>
      </w:r>
      <w:r w:rsidRPr="00D962B8">
        <w:rPr>
          <w:rFonts w:cs="Arial"/>
          <w:sz w:val="22"/>
          <w:szCs w:val="22"/>
        </w:rPr>
        <w:t xml:space="preserve">. The reasons for this may be due to the </w:t>
      </w:r>
      <w:r>
        <w:rPr>
          <w:rFonts w:cs="Arial"/>
          <w:sz w:val="22"/>
          <w:szCs w:val="22"/>
        </w:rPr>
        <w:t xml:space="preserve">differing </w:t>
      </w:r>
      <w:r w:rsidRPr="00D962B8">
        <w:rPr>
          <w:rFonts w:cs="Arial"/>
          <w:sz w:val="22"/>
          <w:szCs w:val="22"/>
        </w:rPr>
        <w:t>nature of the two review methods</w:t>
      </w:r>
      <w:r>
        <w:rPr>
          <w:rFonts w:cs="Arial"/>
          <w:sz w:val="22"/>
          <w:szCs w:val="22"/>
        </w:rPr>
        <w:t>, since criterion based review is by its nature very structured</w:t>
      </w:r>
      <w:r w:rsidRPr="00D962B8">
        <w:rPr>
          <w:rFonts w:cs="Arial"/>
          <w:sz w:val="22"/>
          <w:szCs w:val="22"/>
        </w:rPr>
        <w:t>.</w:t>
      </w:r>
    </w:p>
    <w:p w14:paraId="3B2DD8BB" w14:textId="77777777" w:rsidR="000923BB" w:rsidRDefault="000923BB" w:rsidP="000923BB">
      <w:pPr>
        <w:spacing w:line="360" w:lineRule="auto"/>
        <w:rPr>
          <w:rFonts w:cs="Arial"/>
          <w:b/>
          <w:sz w:val="22"/>
          <w:szCs w:val="22"/>
        </w:rPr>
      </w:pPr>
    </w:p>
    <w:p w14:paraId="68E04CD5" w14:textId="77777777" w:rsidR="000923BB" w:rsidRDefault="000923BB" w:rsidP="000923BB">
      <w:pPr>
        <w:spacing w:line="360" w:lineRule="auto"/>
        <w:rPr>
          <w:rFonts w:cs="Arial"/>
          <w:b/>
          <w:sz w:val="22"/>
          <w:szCs w:val="22"/>
        </w:rPr>
      </w:pPr>
    </w:p>
    <w:p w14:paraId="7FF06B7B" w14:textId="77777777" w:rsidR="000923BB" w:rsidRDefault="000923BB" w:rsidP="000923BB">
      <w:pPr>
        <w:spacing w:line="360" w:lineRule="auto"/>
        <w:rPr>
          <w:rFonts w:cs="Arial"/>
          <w:b/>
          <w:sz w:val="22"/>
          <w:szCs w:val="22"/>
        </w:rPr>
      </w:pPr>
    </w:p>
    <w:p w14:paraId="4558414C" w14:textId="77777777" w:rsidR="000923BB" w:rsidRDefault="000923BB" w:rsidP="000923BB">
      <w:pPr>
        <w:spacing w:line="360" w:lineRule="auto"/>
        <w:rPr>
          <w:rFonts w:cs="Arial"/>
          <w:b/>
          <w:sz w:val="22"/>
          <w:szCs w:val="22"/>
        </w:rPr>
      </w:pPr>
    </w:p>
    <w:p w14:paraId="65CDE4F0" w14:textId="77777777" w:rsidR="000923BB" w:rsidRDefault="000923BB" w:rsidP="000923BB">
      <w:pPr>
        <w:spacing w:line="360" w:lineRule="auto"/>
        <w:rPr>
          <w:rFonts w:cs="Arial"/>
          <w:b/>
          <w:sz w:val="22"/>
          <w:szCs w:val="22"/>
        </w:rPr>
      </w:pPr>
    </w:p>
    <w:p w14:paraId="26D4AD58" w14:textId="77777777" w:rsidR="000923BB" w:rsidRDefault="000923BB" w:rsidP="000923BB">
      <w:pPr>
        <w:spacing w:line="360" w:lineRule="auto"/>
        <w:rPr>
          <w:rFonts w:cs="Arial"/>
          <w:b/>
          <w:sz w:val="22"/>
          <w:szCs w:val="22"/>
        </w:rPr>
      </w:pPr>
    </w:p>
    <w:p w14:paraId="480AE0DC" w14:textId="77777777" w:rsidR="000923BB" w:rsidRDefault="000923BB" w:rsidP="000923BB">
      <w:pPr>
        <w:spacing w:line="360" w:lineRule="auto"/>
        <w:rPr>
          <w:rFonts w:cs="Arial"/>
          <w:b/>
          <w:sz w:val="22"/>
          <w:szCs w:val="22"/>
        </w:rPr>
      </w:pPr>
    </w:p>
    <w:p w14:paraId="6461343B" w14:textId="77777777" w:rsidR="000923BB" w:rsidRDefault="000923BB" w:rsidP="000923BB">
      <w:pPr>
        <w:spacing w:line="360" w:lineRule="auto"/>
        <w:rPr>
          <w:rFonts w:cs="Arial"/>
          <w:b/>
          <w:sz w:val="22"/>
          <w:szCs w:val="22"/>
        </w:rPr>
      </w:pPr>
    </w:p>
    <w:p w14:paraId="001DB340" w14:textId="77777777" w:rsidR="000923BB" w:rsidRDefault="000923BB" w:rsidP="000923BB">
      <w:pPr>
        <w:spacing w:line="360" w:lineRule="auto"/>
        <w:rPr>
          <w:rFonts w:cs="Arial"/>
          <w:b/>
          <w:sz w:val="22"/>
          <w:szCs w:val="22"/>
        </w:rPr>
      </w:pPr>
    </w:p>
    <w:p w14:paraId="0E723C60" w14:textId="77777777" w:rsidR="000923BB" w:rsidRDefault="000923BB" w:rsidP="000923BB">
      <w:pPr>
        <w:spacing w:line="360" w:lineRule="auto"/>
        <w:rPr>
          <w:rFonts w:cs="Arial"/>
          <w:b/>
          <w:sz w:val="22"/>
          <w:szCs w:val="22"/>
        </w:rPr>
      </w:pPr>
    </w:p>
    <w:p w14:paraId="4F82E31A" w14:textId="77777777" w:rsidR="00B201FA" w:rsidRDefault="00B201FA" w:rsidP="000923BB">
      <w:pPr>
        <w:spacing w:line="360" w:lineRule="auto"/>
        <w:rPr>
          <w:rFonts w:cs="Arial"/>
          <w:b/>
          <w:sz w:val="22"/>
          <w:szCs w:val="22"/>
        </w:rPr>
      </w:pPr>
    </w:p>
    <w:p w14:paraId="6B4F3570" w14:textId="77777777" w:rsidR="00B201FA" w:rsidRDefault="00B201FA" w:rsidP="000923BB">
      <w:pPr>
        <w:spacing w:line="360" w:lineRule="auto"/>
        <w:rPr>
          <w:rFonts w:cs="Arial"/>
          <w:b/>
          <w:sz w:val="22"/>
          <w:szCs w:val="22"/>
        </w:rPr>
      </w:pPr>
    </w:p>
    <w:p w14:paraId="58C209AA" w14:textId="77777777" w:rsidR="000923BB" w:rsidRDefault="00D3676D" w:rsidP="000923BB">
      <w:pPr>
        <w:spacing w:line="360" w:lineRule="auto"/>
        <w:rPr>
          <w:rFonts w:cs="Arial"/>
          <w:b/>
          <w:sz w:val="22"/>
          <w:szCs w:val="22"/>
        </w:rPr>
      </w:pPr>
      <w:r>
        <w:rPr>
          <w:rFonts w:cs="Arial"/>
          <w:b/>
          <w:sz w:val="22"/>
          <w:szCs w:val="22"/>
        </w:rPr>
        <w:lastRenderedPageBreak/>
        <w:t>F</w:t>
      </w:r>
      <w:r w:rsidR="000923BB" w:rsidRPr="00B540C4">
        <w:rPr>
          <w:rFonts w:cs="Arial"/>
          <w:b/>
          <w:sz w:val="22"/>
          <w:szCs w:val="22"/>
        </w:rPr>
        <w:t>igure 5</w:t>
      </w:r>
    </w:p>
    <w:p w14:paraId="26F9A1E4" w14:textId="77777777" w:rsidR="000923BB" w:rsidRDefault="000923BB" w:rsidP="000923BB">
      <w:pPr>
        <w:spacing w:line="360" w:lineRule="auto"/>
      </w:pPr>
      <w:r>
        <w:rPr>
          <w:noProof/>
          <w:lang w:eastAsia="en-GB" w:bidi="ar-SA"/>
        </w:rPr>
        <w:drawing>
          <wp:inline distT="0" distB="0" distL="0" distR="0" wp14:anchorId="4A72AF96" wp14:editId="2CC6FA84">
            <wp:extent cx="3813451" cy="3621973"/>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srcRect/>
                    <a:stretch>
                      <a:fillRect/>
                    </a:stretch>
                  </pic:blipFill>
                  <pic:spPr bwMode="auto">
                    <a:xfrm>
                      <a:off x="0" y="0"/>
                      <a:ext cx="3817748" cy="3626054"/>
                    </a:xfrm>
                    <a:prstGeom prst="rect">
                      <a:avLst/>
                    </a:prstGeom>
                    <a:noFill/>
                    <a:ln w="9525">
                      <a:noFill/>
                      <a:miter lim="800000"/>
                      <a:headEnd/>
                      <a:tailEnd/>
                    </a:ln>
                  </pic:spPr>
                </pic:pic>
              </a:graphicData>
            </a:graphic>
          </wp:inline>
        </w:drawing>
      </w:r>
    </w:p>
    <w:p w14:paraId="51C46737" w14:textId="77777777" w:rsidR="000923BB" w:rsidRPr="00B540C4" w:rsidRDefault="000923BB" w:rsidP="000923BB">
      <w:pPr>
        <w:spacing w:line="360" w:lineRule="auto"/>
        <w:rPr>
          <w:rFonts w:cs="Arial"/>
          <w:b/>
          <w:sz w:val="22"/>
          <w:szCs w:val="22"/>
        </w:rPr>
      </w:pPr>
      <w:r>
        <w:rPr>
          <w:rFonts w:cs="Arial"/>
          <w:b/>
          <w:sz w:val="22"/>
          <w:szCs w:val="22"/>
        </w:rPr>
        <w:t>Figure 6</w:t>
      </w:r>
    </w:p>
    <w:p w14:paraId="76B89C71" w14:textId="77777777" w:rsidR="000923BB" w:rsidRDefault="000923BB" w:rsidP="002271CC">
      <w:pPr>
        <w:ind w:left="567" w:hanging="567"/>
        <w:rPr>
          <w:rFonts w:cs="Arial"/>
          <w:b/>
          <w:sz w:val="22"/>
          <w:szCs w:val="22"/>
        </w:rPr>
      </w:pPr>
      <w:r>
        <w:rPr>
          <w:noProof/>
          <w:lang w:eastAsia="en-GB" w:bidi="ar-SA"/>
        </w:rPr>
        <w:drawing>
          <wp:inline distT="0" distB="0" distL="0" distR="0" wp14:anchorId="68855871" wp14:editId="5E9ED39F">
            <wp:extent cx="3931810" cy="3192402"/>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srcRect/>
                    <a:stretch>
                      <a:fillRect/>
                    </a:stretch>
                  </pic:blipFill>
                  <pic:spPr bwMode="auto">
                    <a:xfrm>
                      <a:off x="0" y="0"/>
                      <a:ext cx="3948681" cy="3206100"/>
                    </a:xfrm>
                    <a:prstGeom prst="rect">
                      <a:avLst/>
                    </a:prstGeom>
                    <a:noFill/>
                    <a:ln w="9525">
                      <a:noFill/>
                      <a:miter lim="800000"/>
                      <a:headEnd/>
                      <a:tailEnd/>
                    </a:ln>
                  </pic:spPr>
                </pic:pic>
              </a:graphicData>
            </a:graphic>
          </wp:inline>
        </w:drawing>
      </w:r>
    </w:p>
    <w:p w14:paraId="235697BC" w14:textId="77777777" w:rsidR="000923BB" w:rsidRDefault="000923BB" w:rsidP="000923BB">
      <w:pPr>
        <w:rPr>
          <w:rFonts w:cs="Arial"/>
          <w:b/>
          <w:sz w:val="22"/>
          <w:szCs w:val="22"/>
        </w:rPr>
      </w:pPr>
    </w:p>
    <w:p w14:paraId="4C07C45D" w14:textId="77777777" w:rsidR="002E5971" w:rsidRDefault="002E5971" w:rsidP="000923BB">
      <w:pPr>
        <w:rPr>
          <w:rFonts w:cs="Arial"/>
          <w:b/>
          <w:sz w:val="22"/>
          <w:szCs w:val="22"/>
        </w:rPr>
      </w:pPr>
    </w:p>
    <w:p w14:paraId="6104FF0C" w14:textId="77777777" w:rsidR="002E5971" w:rsidRDefault="002E5971" w:rsidP="000923BB">
      <w:pPr>
        <w:rPr>
          <w:rFonts w:cs="Arial"/>
          <w:b/>
          <w:sz w:val="22"/>
          <w:szCs w:val="22"/>
        </w:rPr>
      </w:pPr>
    </w:p>
    <w:p w14:paraId="17B95258" w14:textId="77777777" w:rsidR="000923BB" w:rsidRDefault="000923BB" w:rsidP="000923BB">
      <w:pPr>
        <w:rPr>
          <w:rFonts w:cs="Arial"/>
          <w:b/>
          <w:sz w:val="22"/>
          <w:szCs w:val="22"/>
        </w:rPr>
      </w:pPr>
      <w:r>
        <w:rPr>
          <w:rFonts w:cs="Arial"/>
          <w:b/>
          <w:sz w:val="22"/>
          <w:szCs w:val="22"/>
        </w:rPr>
        <w:lastRenderedPageBreak/>
        <w:t>Figure 7</w:t>
      </w:r>
    </w:p>
    <w:p w14:paraId="3B98AB6C" w14:textId="77777777" w:rsidR="000923BB" w:rsidRDefault="000923BB" w:rsidP="000923BB">
      <w:pPr>
        <w:rPr>
          <w:rFonts w:cs="Arial"/>
          <w:b/>
          <w:sz w:val="22"/>
          <w:szCs w:val="22"/>
        </w:rPr>
      </w:pPr>
      <w:r>
        <w:rPr>
          <w:noProof/>
          <w:lang w:eastAsia="en-GB" w:bidi="ar-SA"/>
        </w:rPr>
        <w:drawing>
          <wp:inline distT="0" distB="0" distL="0" distR="0" wp14:anchorId="0E295C2C" wp14:editId="63C1BC8E">
            <wp:extent cx="4794885" cy="3840480"/>
            <wp:effectExtent l="1905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srcRect/>
                    <a:stretch>
                      <a:fillRect/>
                    </a:stretch>
                  </pic:blipFill>
                  <pic:spPr bwMode="auto">
                    <a:xfrm>
                      <a:off x="0" y="0"/>
                      <a:ext cx="4794885" cy="3840480"/>
                    </a:xfrm>
                    <a:prstGeom prst="rect">
                      <a:avLst/>
                    </a:prstGeom>
                    <a:noFill/>
                    <a:ln w="9525">
                      <a:noFill/>
                      <a:miter lim="800000"/>
                      <a:headEnd/>
                      <a:tailEnd/>
                    </a:ln>
                  </pic:spPr>
                </pic:pic>
              </a:graphicData>
            </a:graphic>
          </wp:inline>
        </w:drawing>
      </w:r>
    </w:p>
    <w:p w14:paraId="6AF52393" w14:textId="77777777" w:rsidR="000923BB" w:rsidRPr="00855F49" w:rsidRDefault="000923BB" w:rsidP="000923BB">
      <w:pPr>
        <w:rPr>
          <w:rFonts w:cs="Arial"/>
          <w:b/>
          <w:bCs/>
          <w:iCs/>
          <w:sz w:val="22"/>
          <w:szCs w:val="22"/>
        </w:rPr>
      </w:pPr>
      <w:r w:rsidRPr="00855F49">
        <w:rPr>
          <w:rFonts w:cs="Arial"/>
          <w:b/>
          <w:bCs/>
          <w:iCs/>
          <w:sz w:val="22"/>
          <w:szCs w:val="22"/>
        </w:rPr>
        <w:t>Thematic analysis of holistic textual data</w:t>
      </w:r>
    </w:p>
    <w:p w14:paraId="5962BA55" w14:textId="77777777" w:rsidR="000923BB" w:rsidRDefault="000923BB" w:rsidP="000923BB">
      <w:pPr>
        <w:pStyle w:val="BodyText"/>
        <w:jc w:val="both"/>
        <w:rPr>
          <w:rFonts w:cs="Arial"/>
          <w:sz w:val="22"/>
          <w:szCs w:val="22"/>
        </w:rPr>
      </w:pPr>
      <w:r>
        <w:rPr>
          <w:rFonts w:cs="Arial"/>
          <w:sz w:val="22"/>
          <w:szCs w:val="22"/>
        </w:rPr>
        <w:t>Textual comments on the quality of care were sought from reviewers as part of the holistic review process and</w:t>
      </w:r>
      <w:r w:rsidRPr="00AF0DD4">
        <w:rPr>
          <w:rFonts w:cs="Arial"/>
          <w:sz w:val="22"/>
          <w:szCs w:val="22"/>
        </w:rPr>
        <w:t xml:space="preserve"> </w:t>
      </w:r>
      <w:r>
        <w:rPr>
          <w:rFonts w:cs="Arial"/>
          <w:sz w:val="22"/>
          <w:szCs w:val="22"/>
        </w:rPr>
        <w:t>a</w:t>
      </w:r>
      <w:r w:rsidRPr="002A4C10">
        <w:rPr>
          <w:rFonts w:cs="Arial"/>
          <w:sz w:val="22"/>
          <w:szCs w:val="22"/>
        </w:rPr>
        <w:t xml:space="preserve"> textual analysis was undertaken </w:t>
      </w:r>
      <w:r>
        <w:rPr>
          <w:rFonts w:cs="Arial"/>
          <w:sz w:val="22"/>
          <w:szCs w:val="22"/>
        </w:rPr>
        <w:t>w</w:t>
      </w:r>
      <w:r w:rsidRPr="002A4C10">
        <w:rPr>
          <w:rFonts w:cs="Arial"/>
          <w:sz w:val="22"/>
          <w:szCs w:val="22"/>
        </w:rPr>
        <w:t xml:space="preserve">here </w:t>
      </w:r>
      <w:r>
        <w:rPr>
          <w:rFonts w:cs="Arial"/>
          <w:sz w:val="22"/>
          <w:szCs w:val="22"/>
        </w:rPr>
        <w:t xml:space="preserve">any type of </w:t>
      </w:r>
      <w:r w:rsidRPr="002A4C10">
        <w:rPr>
          <w:rFonts w:cs="Arial"/>
          <w:sz w:val="22"/>
          <w:szCs w:val="22"/>
        </w:rPr>
        <w:t>response w</w:t>
      </w:r>
      <w:r>
        <w:rPr>
          <w:rFonts w:cs="Arial"/>
          <w:sz w:val="22"/>
          <w:szCs w:val="22"/>
        </w:rPr>
        <w:t>as</w:t>
      </w:r>
      <w:r w:rsidRPr="002A4C10">
        <w:rPr>
          <w:rFonts w:cs="Arial"/>
          <w:sz w:val="22"/>
          <w:szCs w:val="22"/>
        </w:rPr>
        <w:t xml:space="preserve"> given</w:t>
      </w:r>
      <w:r>
        <w:rPr>
          <w:rFonts w:cs="Arial"/>
          <w:sz w:val="22"/>
          <w:szCs w:val="22"/>
        </w:rPr>
        <w:t xml:space="preserve"> to either of the questions:</w:t>
      </w:r>
    </w:p>
    <w:p w14:paraId="3B933981" w14:textId="77777777" w:rsidR="000923BB" w:rsidRPr="00707CCD" w:rsidRDefault="000923BB" w:rsidP="008A6C6D">
      <w:pPr>
        <w:pStyle w:val="Normal1"/>
        <w:numPr>
          <w:ilvl w:val="0"/>
          <w:numId w:val="7"/>
        </w:numPr>
        <w:jc w:val="both"/>
        <w:rPr>
          <w:rFonts w:cs="Arial"/>
          <w:color w:val="000000"/>
          <w:sz w:val="22"/>
          <w:szCs w:val="22"/>
        </w:rPr>
      </w:pPr>
      <w:r w:rsidRPr="00707CCD">
        <w:rPr>
          <w:rFonts w:cs="Arial"/>
          <w:color w:val="000000"/>
          <w:sz w:val="22"/>
          <w:szCs w:val="22"/>
        </w:rPr>
        <w:t>Please comment on the care received by the patient during this phase</w:t>
      </w:r>
      <w:r>
        <w:rPr>
          <w:rFonts w:cs="Arial"/>
          <w:color w:val="000000"/>
          <w:sz w:val="22"/>
          <w:szCs w:val="22"/>
        </w:rPr>
        <w:t xml:space="preserve"> (the first box of the data collection form)</w:t>
      </w:r>
      <w:r w:rsidRPr="00707CCD">
        <w:rPr>
          <w:rFonts w:cs="Arial"/>
          <w:color w:val="000000"/>
          <w:sz w:val="22"/>
          <w:szCs w:val="22"/>
        </w:rPr>
        <w:t xml:space="preserve"> </w:t>
      </w:r>
    </w:p>
    <w:p w14:paraId="1A11CF8D" w14:textId="77777777" w:rsidR="000923BB" w:rsidRPr="00AF0DD4" w:rsidRDefault="000923BB" w:rsidP="008A6C6D">
      <w:pPr>
        <w:numPr>
          <w:ilvl w:val="0"/>
          <w:numId w:val="7"/>
        </w:numPr>
        <w:spacing w:after="0" w:line="240" w:lineRule="auto"/>
        <w:rPr>
          <w:rFonts w:cs="Arial"/>
          <w:sz w:val="22"/>
          <w:szCs w:val="22"/>
        </w:rPr>
      </w:pPr>
      <w:r w:rsidRPr="00AF0DD4">
        <w:rPr>
          <w:rFonts w:cs="Arial"/>
          <w:color w:val="000000"/>
          <w:sz w:val="22"/>
          <w:szCs w:val="22"/>
        </w:rPr>
        <w:t>From the records, was there anything in particular worth noting? (the second box of the data collection form).</w:t>
      </w:r>
    </w:p>
    <w:p w14:paraId="385404DA" w14:textId="77777777" w:rsidR="000923BB" w:rsidRDefault="000923BB" w:rsidP="000923BB">
      <w:pPr>
        <w:rPr>
          <w:rFonts w:cs="Arial"/>
          <w:sz w:val="22"/>
          <w:szCs w:val="22"/>
        </w:rPr>
      </w:pPr>
    </w:p>
    <w:p w14:paraId="0A4AF49E" w14:textId="77777777" w:rsidR="000923BB" w:rsidRPr="00924B13" w:rsidRDefault="000923BB" w:rsidP="000923BB">
      <w:pPr>
        <w:rPr>
          <w:rFonts w:cs="Arial"/>
          <w:sz w:val="22"/>
          <w:szCs w:val="22"/>
        </w:rPr>
      </w:pPr>
      <w:r w:rsidRPr="002A4C10">
        <w:rPr>
          <w:rFonts w:cs="Arial"/>
          <w:sz w:val="22"/>
          <w:szCs w:val="22"/>
        </w:rPr>
        <w:t xml:space="preserve">There was variation in the type and amount of comments given </w:t>
      </w:r>
      <w:r>
        <w:rPr>
          <w:rFonts w:cs="Arial"/>
          <w:sz w:val="22"/>
          <w:szCs w:val="22"/>
        </w:rPr>
        <w:t>by reviewers</w:t>
      </w:r>
      <w:r w:rsidRPr="002A4C10">
        <w:rPr>
          <w:rFonts w:cs="Arial"/>
          <w:sz w:val="22"/>
          <w:szCs w:val="22"/>
        </w:rPr>
        <w:t xml:space="preserve">.  Some reviewers gave no response, others gave one or two words, </w:t>
      </w:r>
      <w:r>
        <w:rPr>
          <w:rFonts w:cs="Arial"/>
          <w:sz w:val="22"/>
          <w:szCs w:val="22"/>
        </w:rPr>
        <w:t xml:space="preserve">while </w:t>
      </w:r>
      <w:r w:rsidRPr="002A4C10">
        <w:rPr>
          <w:rFonts w:cs="Arial"/>
          <w:sz w:val="22"/>
          <w:szCs w:val="22"/>
        </w:rPr>
        <w:t>a list type response was given by some and extensive narratives</w:t>
      </w:r>
      <w:r>
        <w:rPr>
          <w:rFonts w:cs="Arial"/>
          <w:sz w:val="22"/>
          <w:szCs w:val="22"/>
        </w:rPr>
        <w:t xml:space="preserve"> were provided</w:t>
      </w:r>
      <w:r w:rsidRPr="002A4C10">
        <w:rPr>
          <w:rFonts w:cs="Arial"/>
          <w:sz w:val="22"/>
          <w:szCs w:val="22"/>
        </w:rPr>
        <w:t xml:space="preserve"> by other reviewers. </w:t>
      </w:r>
      <w:r>
        <w:rPr>
          <w:rFonts w:cs="Arial"/>
          <w:sz w:val="22"/>
          <w:szCs w:val="22"/>
        </w:rPr>
        <w:t xml:space="preserve"> </w:t>
      </w:r>
      <w:r w:rsidRPr="00924B13">
        <w:rPr>
          <w:rFonts w:cs="Arial"/>
          <w:sz w:val="22"/>
          <w:szCs w:val="22"/>
        </w:rPr>
        <w:t xml:space="preserve">The </w:t>
      </w:r>
      <w:r>
        <w:rPr>
          <w:rFonts w:cs="Arial"/>
          <w:sz w:val="22"/>
          <w:szCs w:val="22"/>
        </w:rPr>
        <w:t xml:space="preserve">data are </w:t>
      </w:r>
      <w:r w:rsidRPr="00924B13">
        <w:rPr>
          <w:rFonts w:cs="Arial"/>
          <w:sz w:val="22"/>
          <w:szCs w:val="22"/>
        </w:rPr>
        <w:t>presented by staff type</w:t>
      </w:r>
      <w:r>
        <w:rPr>
          <w:rFonts w:cs="Arial"/>
          <w:sz w:val="22"/>
          <w:szCs w:val="22"/>
        </w:rPr>
        <w:t>, followed by</w:t>
      </w:r>
      <w:r w:rsidRPr="00924B13">
        <w:rPr>
          <w:rFonts w:cs="Arial"/>
          <w:sz w:val="22"/>
          <w:szCs w:val="22"/>
        </w:rPr>
        <w:t xml:space="preserve"> an overall summary analysis</w:t>
      </w:r>
      <w:r>
        <w:rPr>
          <w:rFonts w:cs="Arial"/>
          <w:sz w:val="22"/>
          <w:szCs w:val="22"/>
        </w:rPr>
        <w:t>.</w:t>
      </w:r>
      <w:r w:rsidRPr="00924B13">
        <w:rPr>
          <w:rFonts w:cs="Arial"/>
          <w:sz w:val="22"/>
          <w:szCs w:val="22"/>
        </w:rPr>
        <w:t xml:space="preserve"> </w:t>
      </w:r>
    </w:p>
    <w:p w14:paraId="78970792" w14:textId="77777777" w:rsidR="000923BB" w:rsidRPr="00CA3A50" w:rsidRDefault="000923BB" w:rsidP="000923BB">
      <w:pPr>
        <w:pStyle w:val="Heading2"/>
        <w:spacing w:before="360" w:after="120"/>
        <w:rPr>
          <w:b/>
          <w:sz w:val="22"/>
          <w:szCs w:val="22"/>
          <w:u w:val="single"/>
        </w:rPr>
      </w:pPr>
      <w:r w:rsidRPr="00CA3A50">
        <w:rPr>
          <w:b/>
          <w:sz w:val="22"/>
          <w:szCs w:val="22"/>
          <w:u w:val="single"/>
        </w:rPr>
        <w:t>Non-clinical audit staff</w:t>
      </w:r>
    </w:p>
    <w:p w14:paraId="550A5264" w14:textId="77777777" w:rsidR="000923BB" w:rsidRDefault="000923BB" w:rsidP="000923BB">
      <w:pPr>
        <w:pStyle w:val="BodyText"/>
        <w:jc w:val="both"/>
        <w:rPr>
          <w:rFonts w:cs="Arial"/>
          <w:sz w:val="22"/>
          <w:szCs w:val="22"/>
        </w:rPr>
      </w:pPr>
      <w:r>
        <w:rPr>
          <w:rFonts w:cs="Arial"/>
          <w:sz w:val="22"/>
          <w:szCs w:val="22"/>
        </w:rPr>
        <w:t>Several non-clinical audit staff reviewers made no comment in the first box in most instances.  In a few instances those who made no comment did however offer a comment in the more general comments box (the second box).  Among this reviewer group the comments in the second box were sometimes about documentation rather than about the care delivered.</w:t>
      </w:r>
    </w:p>
    <w:p w14:paraId="0807A4F7" w14:textId="77777777" w:rsidR="000923BB" w:rsidRDefault="000923BB" w:rsidP="000923BB">
      <w:pPr>
        <w:pStyle w:val="BodyText"/>
        <w:jc w:val="both"/>
        <w:rPr>
          <w:rFonts w:cs="Arial"/>
          <w:sz w:val="22"/>
          <w:szCs w:val="22"/>
        </w:rPr>
      </w:pPr>
      <w:r>
        <w:rPr>
          <w:rFonts w:cs="Arial"/>
          <w:sz w:val="22"/>
          <w:szCs w:val="22"/>
        </w:rPr>
        <w:t xml:space="preserve">A relatively common approach by non-clinical audit staff was to present a list, of things that had been done, or requested or in some instances that had not been done.  In </w:t>
      </w:r>
      <w:r>
        <w:rPr>
          <w:rFonts w:cs="Arial"/>
          <w:sz w:val="22"/>
          <w:szCs w:val="22"/>
        </w:rPr>
        <w:lastRenderedPageBreak/>
        <w:t xml:space="preserve">some instances the lists were quite exhaustive; however it was not possible to say whether the reviewer had included them because they had decided they were relevant to judgements about the care the patient received or simply because they looked important.  It is difficult therefore to reach firm conclusions about how much selection had been exercised.  </w:t>
      </w:r>
    </w:p>
    <w:p w14:paraId="28505B05" w14:textId="77777777" w:rsidR="000923BB" w:rsidRDefault="000923BB" w:rsidP="000923BB">
      <w:pPr>
        <w:pStyle w:val="BodyText"/>
        <w:jc w:val="both"/>
        <w:rPr>
          <w:rFonts w:cs="Arial"/>
          <w:sz w:val="22"/>
          <w:szCs w:val="22"/>
        </w:rPr>
      </w:pPr>
      <w:r>
        <w:rPr>
          <w:rFonts w:cs="Arial"/>
          <w:sz w:val="22"/>
          <w:szCs w:val="22"/>
        </w:rPr>
        <w:t>This attempt to reach conclusions was made more difficult by the fact that in some instances the comments were clearly lifted verbatim from the notes or, in other instances, a paraphrase was given which might perhaps include some interpretation of what had taken place. A list of items by itself without any information about why they are important or how they related to other aspects of their care means that there is not a sufficient narrative to allow a picture to be formed of what the reviewer thinks about the issue, let alone what their view is of the quality of care was delivered.</w:t>
      </w:r>
    </w:p>
    <w:p w14:paraId="2DC086A4" w14:textId="77777777" w:rsidR="000923BB" w:rsidRDefault="000923BB" w:rsidP="000923BB">
      <w:pPr>
        <w:pStyle w:val="BodyText"/>
        <w:jc w:val="both"/>
        <w:rPr>
          <w:rFonts w:cs="Arial"/>
          <w:sz w:val="22"/>
          <w:szCs w:val="22"/>
        </w:rPr>
      </w:pPr>
      <w:r>
        <w:rPr>
          <w:rFonts w:cs="Arial"/>
          <w:sz w:val="22"/>
          <w:szCs w:val="22"/>
        </w:rPr>
        <w:t>Another approach that was observed in the comments from this group was the attention to very specific issues, such as timing of medication issues, lack of follow up in terms of test results, details of transfers, information given to patient and family, timing of interventions/other aspects of care including delay length, if it occurred.  This was sometimes the main approach taken.  In other reviews it was combined with the list approach.  Two reviewers did, however, pick up issues of adverse incidents or queried the care delivered in a couple of instances, but this was very much the exception rather than the rule.</w:t>
      </w:r>
    </w:p>
    <w:p w14:paraId="4DFA016B" w14:textId="77777777" w:rsidR="000923BB" w:rsidRDefault="000923BB" w:rsidP="000923BB">
      <w:pPr>
        <w:spacing w:before="120" w:after="120"/>
        <w:jc w:val="both"/>
        <w:rPr>
          <w:rFonts w:cs="Arial"/>
          <w:sz w:val="22"/>
          <w:szCs w:val="22"/>
        </w:rPr>
      </w:pPr>
      <w:r>
        <w:rPr>
          <w:rFonts w:cs="Arial"/>
          <w:sz w:val="22"/>
          <w:szCs w:val="22"/>
        </w:rPr>
        <w:t>On the whole, amongst this staff group, there was relatively little judgement directly expressed by the non-clinical reviewers about the care perceived.  There was a limited amount of explicit and implied judgement but from only relatively few of the reviewers.  It was unclear in some instances how much selection had been made about what to include in the comments provided.</w:t>
      </w:r>
    </w:p>
    <w:p w14:paraId="0B15366C" w14:textId="77777777" w:rsidR="000923BB" w:rsidRPr="00CA3A50" w:rsidRDefault="000923BB" w:rsidP="000923BB">
      <w:pPr>
        <w:pStyle w:val="Heading2"/>
        <w:spacing w:before="360" w:after="120"/>
        <w:rPr>
          <w:b/>
          <w:sz w:val="22"/>
          <w:szCs w:val="22"/>
          <w:u w:val="single"/>
        </w:rPr>
      </w:pPr>
      <w:r w:rsidRPr="00CA3A50">
        <w:rPr>
          <w:b/>
          <w:sz w:val="22"/>
          <w:szCs w:val="22"/>
          <w:u w:val="single"/>
        </w:rPr>
        <w:t>Nursing and other clinical staff</w:t>
      </w:r>
    </w:p>
    <w:p w14:paraId="47D58AD3" w14:textId="77777777" w:rsidR="000923BB" w:rsidRDefault="000923BB" w:rsidP="000923BB">
      <w:pPr>
        <w:spacing w:before="120" w:after="120"/>
        <w:jc w:val="both"/>
        <w:rPr>
          <w:rFonts w:cs="Arial"/>
          <w:sz w:val="22"/>
          <w:szCs w:val="22"/>
        </w:rPr>
      </w:pPr>
      <w:r>
        <w:rPr>
          <w:rFonts w:cs="Arial"/>
          <w:sz w:val="22"/>
          <w:szCs w:val="22"/>
        </w:rPr>
        <w:t xml:space="preserve">As with all staff groups, there was variation in the types of review comments made by nurses, although many reviewers in this group included an element of listing of what had, and had not, been done.  In some instances there was only a list of actions and omissions.  However for most cases there was also other information and in many instances implied or explicit judgement for care in general or for specific aspects of care.  For example, many reviews gave information about what was done and commented on whether this was appropriate.  </w:t>
      </w:r>
    </w:p>
    <w:p w14:paraId="663BA654" w14:textId="77777777" w:rsidR="000923BB" w:rsidRDefault="000923BB" w:rsidP="000923BB">
      <w:pPr>
        <w:spacing w:before="120" w:after="120"/>
        <w:jc w:val="both"/>
        <w:rPr>
          <w:rFonts w:cs="Arial"/>
          <w:sz w:val="22"/>
          <w:szCs w:val="22"/>
        </w:rPr>
      </w:pPr>
      <w:r>
        <w:rPr>
          <w:rFonts w:cs="Arial"/>
          <w:sz w:val="22"/>
          <w:szCs w:val="22"/>
        </w:rPr>
        <w:t>As with the non-clinical audit reviewers some of the nurse reviewers mentioned documentation, but it was quite clear that they more often were concerned with care issues rather than documentation.  Even the concentration of some nurse reviewers on care plans (which might be expected given the importance of this in nursing care) appeared to be more concerned with the content of the plan rather than whether it was legible, which again tends to suggest a focus on care rather than documentation.  In terms of comments about the plan, in most instances there was a judgement about the quality of the plan.  Most of the comments about the plan were explicit judgements about it and in many instances the views about the plan were the most explicit comments in terms of judgements made.  In aspects of care other than the plan, the judgements were more often implied.</w:t>
      </w:r>
    </w:p>
    <w:p w14:paraId="1968D104" w14:textId="77777777" w:rsidR="000923BB" w:rsidRDefault="000923BB" w:rsidP="000923BB">
      <w:pPr>
        <w:spacing w:before="120" w:after="120"/>
        <w:jc w:val="both"/>
        <w:rPr>
          <w:rFonts w:cs="Arial"/>
          <w:sz w:val="22"/>
          <w:szCs w:val="22"/>
        </w:rPr>
      </w:pPr>
      <w:r>
        <w:rPr>
          <w:rFonts w:cs="Arial"/>
          <w:sz w:val="22"/>
          <w:szCs w:val="22"/>
        </w:rPr>
        <w:lastRenderedPageBreak/>
        <w:t>In terms of the areas of care that comments were made on, as might be expected many were about areas that might be considered the responsibility of nursing staff.  For example comments on review including observations, timing of medication administration, involvement of other nursing staff (such as specialist nurses), discharge planning, social circumstances, patient education and nutrition.  However, a couple of nurse reviewers took a wider view and made comments on appropriateness of medication, investigations and teams involved in care.  In some instances they also queried care provided.  Several reviewers also picked up issues of concern including potential and actual adverse events.</w:t>
      </w:r>
    </w:p>
    <w:p w14:paraId="65273A87" w14:textId="77777777" w:rsidR="000923BB" w:rsidRDefault="000923BB" w:rsidP="000923BB">
      <w:pPr>
        <w:spacing w:before="120" w:after="120"/>
        <w:jc w:val="both"/>
        <w:rPr>
          <w:rFonts w:cs="Arial"/>
          <w:sz w:val="22"/>
          <w:szCs w:val="22"/>
        </w:rPr>
      </w:pPr>
      <w:r>
        <w:rPr>
          <w:rFonts w:cs="Arial"/>
          <w:sz w:val="22"/>
          <w:szCs w:val="22"/>
        </w:rPr>
        <w:t>Overall, the nurse reviewers commented much more on the care delivered rather than the documentation in contrast to the non-clinical audit reviewers.  They also utilised the list approach and in some instances it was combined with either implicit or explicit views about care delivered.  Whilst many focussed on areas more traditionally thought of as nursing realms, one or two did give views (implicit and in one case usually explicit) about medical as well as nursing care.  It was easier to get an overall impression of the care delivered, what was delivered and views about the quality of care than with the non-clinical audit reviewers.  However the pictures were still patchy in most instances and relied in many instances on the reader going with the implications, rather than being given an explicit view.</w:t>
      </w:r>
    </w:p>
    <w:p w14:paraId="2CFD301A" w14:textId="77777777" w:rsidR="000923BB" w:rsidRPr="00CA3A50" w:rsidRDefault="000923BB" w:rsidP="000923BB">
      <w:pPr>
        <w:pStyle w:val="Heading2"/>
        <w:spacing w:before="360" w:after="120"/>
        <w:rPr>
          <w:b/>
          <w:sz w:val="22"/>
          <w:szCs w:val="22"/>
          <w:u w:val="single"/>
        </w:rPr>
      </w:pPr>
      <w:r w:rsidRPr="00CA3A50">
        <w:rPr>
          <w:b/>
          <w:sz w:val="22"/>
          <w:szCs w:val="22"/>
          <w:u w:val="single"/>
        </w:rPr>
        <w:t>Doctors</w:t>
      </w:r>
    </w:p>
    <w:p w14:paraId="082B0DDF" w14:textId="77777777" w:rsidR="000923BB" w:rsidRDefault="000923BB" w:rsidP="000923BB">
      <w:pPr>
        <w:spacing w:before="120" w:after="120"/>
        <w:jc w:val="both"/>
        <w:rPr>
          <w:rFonts w:cs="Arial"/>
          <w:sz w:val="22"/>
          <w:szCs w:val="22"/>
        </w:rPr>
      </w:pPr>
      <w:r>
        <w:rPr>
          <w:rFonts w:cs="Arial"/>
          <w:sz w:val="22"/>
          <w:szCs w:val="22"/>
        </w:rPr>
        <w:t>As with the other two staff groups, there was considerable variation in the reviewing style and comments given by different medical staff who undertook reviews.  The variation in comments provided ranged from no opinion or very brief opinions of care delivered to several lines that allowed a reasonable picture of the episode of care to be gleaned.</w:t>
      </w:r>
    </w:p>
    <w:p w14:paraId="76BFCEDE" w14:textId="77777777" w:rsidR="000923BB" w:rsidRDefault="000923BB" w:rsidP="000923BB">
      <w:pPr>
        <w:spacing w:before="120" w:after="120"/>
        <w:jc w:val="both"/>
        <w:rPr>
          <w:rFonts w:cs="Arial"/>
          <w:sz w:val="22"/>
          <w:szCs w:val="22"/>
        </w:rPr>
      </w:pPr>
      <w:r>
        <w:rPr>
          <w:rFonts w:cs="Arial"/>
          <w:sz w:val="22"/>
          <w:szCs w:val="22"/>
        </w:rPr>
        <w:t>As with other staff groups some element of listing what was done was evident in the comments from the medical staff.   However where this was done the items listed were usually much fewer in number.  Several reviewers gave limited comments but explicit judgements in almost all cases, so that their comments, as well as listing items, also contain some explicit judgements. If aspects of care had been omitted or delayed or the implication was that care could have been better, medical reviewers often gave further details that almost justified their implied criticism.</w:t>
      </w:r>
    </w:p>
    <w:p w14:paraId="377016F5" w14:textId="77777777" w:rsidR="000923BB" w:rsidRDefault="000923BB" w:rsidP="000923BB">
      <w:pPr>
        <w:spacing w:before="120" w:after="120"/>
        <w:jc w:val="both"/>
        <w:rPr>
          <w:rFonts w:cs="Arial"/>
          <w:sz w:val="22"/>
          <w:szCs w:val="22"/>
        </w:rPr>
      </w:pPr>
      <w:r>
        <w:rPr>
          <w:rFonts w:cs="Arial"/>
          <w:sz w:val="22"/>
          <w:szCs w:val="22"/>
        </w:rPr>
        <w:t>One of the most striking differences between this staff group and the other two groups is that almost all of the medical reviewers who gave fuller answers routinely gave explicit opinions, views or judgements about the care delivered.  Medical reviewers picked up issues where the care given was queried, alternatives suggested and in some instances adverse incidents or practice said to be unsafe were picked up.  These were more frequent in reviews by medical staff than in nursing/clinical groups and non-clinical staff.  It was noted however that in instances where care was perhaps not as good as it should be, the reviewers were sometimes less willing to give an explicit judgement, certainly not without adding additional comments (and much more so than when care was deemed satisfactory).  In instances where poor care was commented on, the comment often included a statement about it not being clear or mentioned if certain actions/treatments were done.  This may, or may not, be a reflection of professional reluctance to criticise.</w:t>
      </w:r>
    </w:p>
    <w:p w14:paraId="622D75AA" w14:textId="77777777" w:rsidR="000923BB" w:rsidRDefault="000923BB" w:rsidP="000923BB">
      <w:pPr>
        <w:spacing w:before="120" w:after="120"/>
        <w:jc w:val="both"/>
        <w:rPr>
          <w:rFonts w:cs="Arial"/>
          <w:sz w:val="22"/>
          <w:szCs w:val="22"/>
        </w:rPr>
      </w:pPr>
    </w:p>
    <w:p w14:paraId="0507F199" w14:textId="77777777" w:rsidR="000923BB" w:rsidRDefault="000923BB" w:rsidP="000923BB">
      <w:pPr>
        <w:jc w:val="both"/>
        <w:rPr>
          <w:rFonts w:cs="Arial"/>
          <w:sz w:val="22"/>
          <w:szCs w:val="22"/>
        </w:rPr>
      </w:pPr>
      <w:r>
        <w:rPr>
          <w:rFonts w:cs="Arial"/>
          <w:sz w:val="22"/>
          <w:szCs w:val="22"/>
        </w:rPr>
        <w:t>Overall the medical reviewers gave explicit views about the care provided, often supplemented with comments that allowed a better picture of the episode of care to be gleaned.  Their focus was on medical care rather than on nursing or patient-centred issues, which might be expected, and might be considered that the comments were on the domains/items that could have a greater impact on patient outcomes.</w:t>
      </w:r>
    </w:p>
    <w:p w14:paraId="1CCC3135" w14:textId="77777777" w:rsidR="000923BB" w:rsidRPr="00CA3A50" w:rsidRDefault="000923BB" w:rsidP="000923BB">
      <w:pPr>
        <w:pStyle w:val="Heading2"/>
        <w:spacing w:before="360" w:after="120"/>
        <w:rPr>
          <w:b/>
          <w:sz w:val="22"/>
          <w:szCs w:val="22"/>
          <w:u w:val="single"/>
        </w:rPr>
      </w:pPr>
      <w:r w:rsidRPr="00CA3A50">
        <w:rPr>
          <w:b/>
          <w:sz w:val="22"/>
          <w:szCs w:val="22"/>
          <w:u w:val="single"/>
        </w:rPr>
        <w:t>All reviewers</w:t>
      </w:r>
    </w:p>
    <w:p w14:paraId="608881B0" w14:textId="77777777" w:rsidR="000923BB" w:rsidRDefault="000923BB" w:rsidP="000923BB">
      <w:pPr>
        <w:spacing w:before="120" w:after="120"/>
        <w:jc w:val="both"/>
        <w:rPr>
          <w:rFonts w:cs="Arial"/>
          <w:sz w:val="22"/>
          <w:szCs w:val="22"/>
        </w:rPr>
      </w:pPr>
      <w:r>
        <w:rPr>
          <w:rFonts w:cs="Arial"/>
          <w:sz w:val="22"/>
          <w:szCs w:val="22"/>
        </w:rPr>
        <w:t>There was variation in the type and amounts of comments given by reviewers.  Some reviewers gave no response, others gave one or two words, while a list type response was given by some and extensive narratives given by other reviewers.  This variation might reflect different levels of understanding of care received, willingness to offer views about the care received, or both.</w:t>
      </w:r>
    </w:p>
    <w:p w14:paraId="6FE4290E" w14:textId="77777777" w:rsidR="000923BB" w:rsidRDefault="000923BB" w:rsidP="000923BB">
      <w:pPr>
        <w:spacing w:before="120" w:after="120"/>
        <w:jc w:val="both"/>
        <w:rPr>
          <w:rFonts w:cs="Arial"/>
          <w:sz w:val="22"/>
          <w:szCs w:val="22"/>
        </w:rPr>
      </w:pPr>
      <w:r>
        <w:rPr>
          <w:rFonts w:cs="Arial"/>
          <w:sz w:val="22"/>
          <w:szCs w:val="22"/>
        </w:rPr>
        <w:t>On the whole, it was most difficult to get a view of care from the non-clinical audit staff.  From the nursing/clinical group, more information about care was given and generally more judgements were given, although they were often implicit and in the area of nursing care rather than care overall.  The medical reviewers, whilst they tended to focus on medical aspects of care, usually gave an explicit view about the care given and picked up issues that were likely to have an impact on patient outcomes.</w:t>
      </w:r>
    </w:p>
    <w:p w14:paraId="1F080269" w14:textId="77777777" w:rsidR="000923BB" w:rsidRDefault="000923BB" w:rsidP="000923BB">
      <w:pPr>
        <w:spacing w:before="120" w:after="120"/>
        <w:jc w:val="both"/>
        <w:rPr>
          <w:rFonts w:cs="Arial"/>
          <w:sz w:val="22"/>
          <w:szCs w:val="22"/>
        </w:rPr>
      </w:pPr>
    </w:p>
    <w:p w14:paraId="11514798" w14:textId="77777777" w:rsidR="000923BB" w:rsidRDefault="000923BB" w:rsidP="000923BB">
      <w:pPr>
        <w:spacing w:before="120" w:after="120"/>
        <w:jc w:val="both"/>
        <w:rPr>
          <w:rFonts w:cs="Arial"/>
          <w:sz w:val="22"/>
          <w:szCs w:val="22"/>
        </w:rPr>
      </w:pPr>
      <w:r>
        <w:rPr>
          <w:rFonts w:cs="Arial"/>
          <w:sz w:val="22"/>
          <w:szCs w:val="22"/>
        </w:rPr>
        <w:t>Except for the information about explanation and justification of actions, proposed alternatives and views about likely impact which was almost exclusively provided by the medical reviewers, the additional detail from lists provided by the other types of reviewers did little to help build a picture of the episode of care.  In each group there was a variation in reviewing quality.  The best in each group picked up issues of adverse incidents, unsafe care and gave a good account of the care episode including their judgement about how good it was.  In general the reviews provided by doctor reviewers gave a better representation of the care provided than did those of the nursing/clinical group which, in turn, was a better representation than that of the reviews from the non-clinical audit staff.</w:t>
      </w:r>
    </w:p>
    <w:p w14:paraId="763456B3" w14:textId="77777777" w:rsidR="000923BB" w:rsidRDefault="000923BB" w:rsidP="000923BB">
      <w:pPr>
        <w:rPr>
          <w:rFonts w:cs="Arial"/>
          <w:sz w:val="22"/>
          <w:szCs w:val="22"/>
          <w:u w:val="single"/>
        </w:rPr>
      </w:pPr>
    </w:p>
    <w:p w14:paraId="50EF11FA" w14:textId="77777777" w:rsidR="000923BB" w:rsidRPr="00924B13" w:rsidRDefault="000923BB" w:rsidP="000923BB">
      <w:pPr>
        <w:rPr>
          <w:rFonts w:cs="Arial"/>
          <w:b/>
          <w:i/>
          <w:sz w:val="22"/>
          <w:szCs w:val="22"/>
        </w:rPr>
      </w:pPr>
      <w:r w:rsidRPr="00924B13">
        <w:rPr>
          <w:rFonts w:cs="Arial"/>
          <w:b/>
          <w:i/>
          <w:sz w:val="22"/>
          <w:szCs w:val="22"/>
        </w:rPr>
        <w:t>Analysis of the type and level of comment used by staff groups</w:t>
      </w:r>
    </w:p>
    <w:p w14:paraId="7E9194E2" w14:textId="77777777" w:rsidR="000923BB" w:rsidRDefault="000923BB" w:rsidP="000923BB">
      <w:pPr>
        <w:jc w:val="both"/>
        <w:rPr>
          <w:rFonts w:cs="Arial"/>
          <w:sz w:val="22"/>
          <w:szCs w:val="22"/>
        </w:rPr>
      </w:pPr>
      <w:r>
        <w:rPr>
          <w:rFonts w:cs="Arial"/>
          <w:sz w:val="22"/>
          <w:szCs w:val="22"/>
        </w:rPr>
        <w:t>Comments in all of the responses for overall care were coded using the framework provided in Box 5 (</w:t>
      </w:r>
      <w:r w:rsidRPr="005E118F">
        <w:rPr>
          <w:rFonts w:cs="Arial"/>
          <w:sz w:val="22"/>
          <w:szCs w:val="22"/>
        </w:rPr>
        <w:t>page</w:t>
      </w:r>
      <w:r>
        <w:rPr>
          <w:rFonts w:cs="Arial"/>
          <w:sz w:val="22"/>
          <w:szCs w:val="22"/>
        </w:rPr>
        <w:t xml:space="preserve"> 27).    The codes were then grouped into 3 main bands to provide an overall assessment of the similarity of types and levels of coding between the three professional groups.  These groupings were:-</w:t>
      </w:r>
    </w:p>
    <w:p w14:paraId="3209A5FA" w14:textId="77777777" w:rsidR="000923BB" w:rsidRDefault="000923BB" w:rsidP="000923BB">
      <w:pPr>
        <w:jc w:val="both"/>
        <w:rPr>
          <w:rFonts w:cs="Arial"/>
          <w:sz w:val="22"/>
          <w:szCs w:val="22"/>
        </w:rPr>
      </w:pPr>
    </w:p>
    <w:p w14:paraId="373135AC" w14:textId="77777777" w:rsidR="000923BB" w:rsidRPr="008235BC" w:rsidRDefault="000923BB" w:rsidP="008A6C6D">
      <w:pPr>
        <w:numPr>
          <w:ilvl w:val="0"/>
          <w:numId w:val="7"/>
        </w:numPr>
        <w:spacing w:after="0" w:line="240" w:lineRule="auto"/>
        <w:jc w:val="both"/>
        <w:rPr>
          <w:rFonts w:cs="Arial"/>
          <w:sz w:val="22"/>
          <w:szCs w:val="22"/>
        </w:rPr>
      </w:pPr>
      <w:r>
        <w:rPr>
          <w:rFonts w:cs="Arial"/>
          <w:sz w:val="22"/>
          <w:szCs w:val="22"/>
        </w:rPr>
        <w:t xml:space="preserve">Codes 1-5 – </w:t>
      </w:r>
      <w:r w:rsidRPr="0038657F">
        <w:rPr>
          <w:rFonts w:cs="Arial"/>
          <w:sz w:val="22"/>
          <w:szCs w:val="22"/>
        </w:rPr>
        <w:t>Little or no comment about care and little or no judgement</w:t>
      </w:r>
      <w:r w:rsidRPr="008235BC">
        <w:rPr>
          <w:rFonts w:cs="Arial"/>
          <w:sz w:val="22"/>
          <w:szCs w:val="22"/>
        </w:rPr>
        <w:t xml:space="preserve"> </w:t>
      </w:r>
    </w:p>
    <w:p w14:paraId="75E4D6C1" w14:textId="77777777" w:rsidR="000923BB" w:rsidRDefault="000923BB" w:rsidP="000923BB">
      <w:pPr>
        <w:jc w:val="both"/>
        <w:rPr>
          <w:rFonts w:cs="Arial"/>
          <w:sz w:val="22"/>
          <w:szCs w:val="22"/>
        </w:rPr>
      </w:pPr>
    </w:p>
    <w:p w14:paraId="670FB10F" w14:textId="77777777" w:rsidR="000923BB" w:rsidRPr="008235BC" w:rsidRDefault="000923BB" w:rsidP="008A6C6D">
      <w:pPr>
        <w:numPr>
          <w:ilvl w:val="0"/>
          <w:numId w:val="7"/>
        </w:numPr>
        <w:spacing w:after="0" w:line="240" w:lineRule="auto"/>
        <w:jc w:val="both"/>
        <w:rPr>
          <w:rFonts w:cs="Arial"/>
          <w:sz w:val="22"/>
          <w:szCs w:val="22"/>
        </w:rPr>
      </w:pPr>
      <w:r>
        <w:rPr>
          <w:rFonts w:cs="Arial"/>
          <w:sz w:val="22"/>
          <w:szCs w:val="22"/>
        </w:rPr>
        <w:t xml:space="preserve">Codes 6-8 – Limited </w:t>
      </w:r>
      <w:r w:rsidRPr="008235BC">
        <w:rPr>
          <w:rFonts w:cs="Arial"/>
          <w:sz w:val="22"/>
          <w:szCs w:val="22"/>
        </w:rPr>
        <w:t>comment about care and implied judgement</w:t>
      </w:r>
    </w:p>
    <w:p w14:paraId="60086B88" w14:textId="77777777" w:rsidR="000923BB" w:rsidRDefault="000923BB" w:rsidP="000923BB">
      <w:pPr>
        <w:jc w:val="both"/>
        <w:rPr>
          <w:rFonts w:cs="Arial"/>
          <w:sz w:val="22"/>
          <w:szCs w:val="22"/>
        </w:rPr>
      </w:pPr>
    </w:p>
    <w:p w14:paraId="3E122D81" w14:textId="77777777" w:rsidR="000923BB" w:rsidRPr="008235BC" w:rsidRDefault="000923BB" w:rsidP="008A6C6D">
      <w:pPr>
        <w:numPr>
          <w:ilvl w:val="0"/>
          <w:numId w:val="7"/>
        </w:numPr>
        <w:spacing w:after="0" w:line="240" w:lineRule="auto"/>
        <w:jc w:val="both"/>
        <w:rPr>
          <w:rFonts w:cs="Arial"/>
          <w:sz w:val="22"/>
          <w:szCs w:val="22"/>
        </w:rPr>
      </w:pPr>
      <w:r>
        <w:rPr>
          <w:rFonts w:cs="Arial"/>
          <w:sz w:val="22"/>
          <w:szCs w:val="22"/>
        </w:rPr>
        <w:lastRenderedPageBreak/>
        <w:t xml:space="preserve">Codes 9-13 – </w:t>
      </w:r>
      <w:r w:rsidRPr="008235BC">
        <w:rPr>
          <w:rFonts w:cs="Arial"/>
          <w:sz w:val="22"/>
          <w:szCs w:val="22"/>
        </w:rPr>
        <w:t>expli</w:t>
      </w:r>
      <w:r>
        <w:rPr>
          <w:rFonts w:cs="Arial"/>
          <w:sz w:val="22"/>
          <w:szCs w:val="22"/>
        </w:rPr>
        <w:t>cit judgement of care or more s</w:t>
      </w:r>
      <w:r w:rsidRPr="008235BC">
        <w:rPr>
          <w:rFonts w:cs="Arial"/>
          <w:sz w:val="22"/>
          <w:szCs w:val="22"/>
        </w:rPr>
        <w:t>ophisticated comments about care with explicit judgements and views</w:t>
      </w:r>
    </w:p>
    <w:p w14:paraId="5A687352" w14:textId="77777777" w:rsidR="000923BB" w:rsidRPr="008B32E4" w:rsidRDefault="000923BB" w:rsidP="000923BB">
      <w:pPr>
        <w:jc w:val="both"/>
        <w:rPr>
          <w:rFonts w:cs="Arial"/>
          <w:sz w:val="22"/>
          <w:szCs w:val="22"/>
        </w:rPr>
      </w:pPr>
    </w:p>
    <w:p w14:paraId="741CF93C" w14:textId="77777777" w:rsidR="000923BB" w:rsidRDefault="000923BB" w:rsidP="000923BB">
      <w:pPr>
        <w:jc w:val="both"/>
        <w:rPr>
          <w:rFonts w:cs="Arial"/>
          <w:sz w:val="22"/>
          <w:szCs w:val="22"/>
        </w:rPr>
      </w:pPr>
      <w:r>
        <w:rPr>
          <w:rFonts w:cs="Arial"/>
          <w:sz w:val="22"/>
          <w:szCs w:val="22"/>
        </w:rPr>
        <w:t>The data are presented in tabular form in Tables 11 (COPD) and 12 (heart failure) and the analysis takes a null hypothesis.  That is, there is no association between the level of coding given and staff type (i.e. the rows and columns are independent).</w:t>
      </w:r>
    </w:p>
    <w:p w14:paraId="16927AF2" w14:textId="77777777" w:rsidR="000923BB" w:rsidRDefault="000923BB" w:rsidP="000923BB">
      <w:pPr>
        <w:jc w:val="both"/>
        <w:rPr>
          <w:rFonts w:cs="Arial"/>
          <w:b/>
          <w:bCs/>
          <w:sz w:val="20"/>
          <w:szCs w:val="20"/>
        </w:rPr>
      </w:pPr>
      <w:r>
        <w:rPr>
          <w:rFonts w:cs="Arial"/>
          <w:sz w:val="22"/>
          <w:szCs w:val="22"/>
        </w:rPr>
        <w:t>For the COPD reviews, across all of the phases of care and overall care, for both conditions, t</w:t>
      </w:r>
      <w:r w:rsidRPr="002215F7">
        <w:rPr>
          <w:rFonts w:cs="Arial"/>
          <w:sz w:val="22"/>
          <w:szCs w:val="22"/>
        </w:rPr>
        <w:t>he</w:t>
      </w:r>
      <w:r>
        <w:rPr>
          <w:rFonts w:cs="Arial"/>
          <w:sz w:val="22"/>
          <w:szCs w:val="22"/>
        </w:rPr>
        <w:t>re were statistically significant differences between the types of comments made by the three types of staff for COPD, with the medical staff using the highest level codes across all phases of care and overall care (Table 11).  There is therefore some evidence to suggest that doctors are more likely to use explicit codes than the other staff groups.</w:t>
      </w:r>
    </w:p>
    <w:p w14:paraId="0C834B0B" w14:textId="77777777" w:rsidR="000923BB" w:rsidRPr="00B201FA" w:rsidRDefault="000923BB" w:rsidP="000923BB">
      <w:pPr>
        <w:jc w:val="both"/>
        <w:rPr>
          <w:rFonts w:cs="Arial"/>
          <w:b/>
          <w:bCs/>
          <w:sz w:val="22"/>
          <w:szCs w:val="22"/>
        </w:rPr>
      </w:pPr>
      <w:r w:rsidRPr="00B201FA">
        <w:rPr>
          <w:rFonts w:cs="Arial"/>
          <w:b/>
          <w:bCs/>
          <w:sz w:val="22"/>
          <w:szCs w:val="22"/>
        </w:rPr>
        <w:t>Table 11: Types of comment made by different staff types for COPD (“highest level” comment per review)</w:t>
      </w:r>
    </w:p>
    <w:tbl>
      <w:tblPr>
        <w:tblW w:w="8406" w:type="dxa"/>
        <w:jc w:val="center"/>
        <w:tblLayout w:type="fixed"/>
        <w:tblCellMar>
          <w:left w:w="93" w:type="dxa"/>
          <w:right w:w="93" w:type="dxa"/>
        </w:tblCellMar>
        <w:tblLook w:val="0000" w:firstRow="0" w:lastRow="0" w:firstColumn="0" w:lastColumn="0" w:noHBand="0" w:noVBand="0"/>
      </w:tblPr>
      <w:tblGrid>
        <w:gridCol w:w="1087"/>
        <w:gridCol w:w="475"/>
        <w:gridCol w:w="517"/>
        <w:gridCol w:w="517"/>
        <w:gridCol w:w="644"/>
        <w:gridCol w:w="645"/>
        <w:gridCol w:w="648"/>
        <w:gridCol w:w="645"/>
        <w:gridCol w:w="497"/>
        <w:gridCol w:w="776"/>
        <w:gridCol w:w="794"/>
        <w:gridCol w:w="517"/>
        <w:gridCol w:w="644"/>
      </w:tblGrid>
      <w:tr w:rsidR="000923BB" w14:paraId="7502F668" w14:textId="77777777" w:rsidTr="00A24042">
        <w:trPr>
          <w:trHeight w:val="442"/>
          <w:jc w:val="center"/>
        </w:trPr>
        <w:tc>
          <w:tcPr>
            <w:tcW w:w="1088" w:type="dxa"/>
            <w:tcBorders>
              <w:top w:val="nil"/>
              <w:left w:val="nil"/>
              <w:bottom w:val="single" w:sz="8" w:space="0" w:color="000000"/>
              <w:right w:val="single" w:sz="8" w:space="0" w:color="000000"/>
            </w:tcBorders>
            <w:shd w:val="clear" w:color="000000" w:fill="FFFFFF"/>
            <w:vAlign w:val="bottom"/>
          </w:tcPr>
          <w:p w14:paraId="23E29028" w14:textId="77777777" w:rsidR="000923BB" w:rsidRDefault="000923BB" w:rsidP="003A385F">
            <w:pPr>
              <w:autoSpaceDE w:val="0"/>
              <w:autoSpaceDN w:val="0"/>
              <w:adjustRightInd w:val="0"/>
              <w:jc w:val="both"/>
              <w:rPr>
                <w:rFonts w:ascii="Arial Narrow" w:hAnsi="Arial Narrow"/>
                <w:b/>
                <w:bCs/>
                <w:color w:val="000000"/>
                <w:sz w:val="16"/>
                <w:szCs w:val="16"/>
              </w:rPr>
            </w:pPr>
          </w:p>
        </w:tc>
        <w:tc>
          <w:tcPr>
            <w:tcW w:w="1508" w:type="dxa"/>
            <w:gridSpan w:val="3"/>
            <w:tcBorders>
              <w:top w:val="single" w:sz="8" w:space="0" w:color="000000"/>
              <w:left w:val="single" w:sz="8" w:space="0" w:color="000000"/>
              <w:bottom w:val="single" w:sz="8" w:space="0" w:color="000000"/>
              <w:right w:val="single" w:sz="8" w:space="0" w:color="000000"/>
            </w:tcBorders>
            <w:shd w:val="clear" w:color="000000" w:fill="FFFFFF"/>
            <w:vAlign w:val="bottom"/>
          </w:tcPr>
          <w:p w14:paraId="45C119FC" w14:textId="77777777" w:rsidR="000923BB" w:rsidRDefault="000923BB" w:rsidP="003A385F">
            <w:pPr>
              <w:autoSpaceDE w:val="0"/>
              <w:autoSpaceDN w:val="0"/>
              <w:adjustRightInd w:val="0"/>
              <w:jc w:val="both"/>
              <w:rPr>
                <w:rFonts w:ascii="Arial Narrow" w:hAnsi="Arial Narrow"/>
                <w:b/>
                <w:bCs/>
                <w:color w:val="000000"/>
                <w:sz w:val="16"/>
                <w:szCs w:val="16"/>
              </w:rPr>
            </w:pPr>
            <w:r>
              <w:rPr>
                <w:rFonts w:ascii="Arial Narrow" w:hAnsi="Arial Narrow"/>
                <w:b/>
                <w:bCs/>
                <w:color w:val="000000"/>
                <w:sz w:val="16"/>
                <w:szCs w:val="16"/>
              </w:rPr>
              <w:t>Admission</w:t>
            </w:r>
          </w:p>
        </w:tc>
        <w:tc>
          <w:tcPr>
            <w:tcW w:w="1937" w:type="dxa"/>
            <w:gridSpan w:val="3"/>
            <w:tcBorders>
              <w:top w:val="single" w:sz="8" w:space="0" w:color="000000"/>
              <w:left w:val="single" w:sz="8" w:space="0" w:color="000000"/>
              <w:bottom w:val="single" w:sz="8" w:space="0" w:color="000000"/>
              <w:right w:val="single" w:sz="8" w:space="0" w:color="000000"/>
            </w:tcBorders>
            <w:shd w:val="clear" w:color="000000" w:fill="FFFFFF"/>
            <w:vAlign w:val="bottom"/>
          </w:tcPr>
          <w:p w14:paraId="1C0EAF04" w14:textId="77777777" w:rsidR="000923BB" w:rsidRDefault="000923BB" w:rsidP="003A385F">
            <w:pPr>
              <w:autoSpaceDE w:val="0"/>
              <w:autoSpaceDN w:val="0"/>
              <w:adjustRightInd w:val="0"/>
              <w:jc w:val="both"/>
              <w:rPr>
                <w:rFonts w:ascii="Arial Narrow" w:hAnsi="Arial Narrow"/>
                <w:b/>
                <w:bCs/>
                <w:color w:val="000000"/>
                <w:sz w:val="16"/>
                <w:szCs w:val="16"/>
              </w:rPr>
            </w:pPr>
            <w:r>
              <w:rPr>
                <w:rFonts w:ascii="Arial Narrow" w:hAnsi="Arial Narrow"/>
                <w:b/>
                <w:bCs/>
                <w:color w:val="000000"/>
                <w:sz w:val="16"/>
                <w:szCs w:val="16"/>
              </w:rPr>
              <w:t>Initial management</w:t>
            </w:r>
          </w:p>
        </w:tc>
        <w:tc>
          <w:tcPr>
            <w:tcW w:w="1918" w:type="dxa"/>
            <w:gridSpan w:val="3"/>
            <w:tcBorders>
              <w:top w:val="single" w:sz="8" w:space="0" w:color="000000"/>
              <w:left w:val="single" w:sz="8" w:space="0" w:color="000000"/>
              <w:bottom w:val="single" w:sz="8" w:space="0" w:color="000000"/>
              <w:right w:val="single" w:sz="8" w:space="0" w:color="000000"/>
            </w:tcBorders>
            <w:shd w:val="clear" w:color="000000" w:fill="FFFFFF"/>
            <w:vAlign w:val="bottom"/>
          </w:tcPr>
          <w:p w14:paraId="7A5CF774" w14:textId="77777777" w:rsidR="000923BB" w:rsidRDefault="000923BB" w:rsidP="003A385F">
            <w:pPr>
              <w:autoSpaceDE w:val="0"/>
              <w:autoSpaceDN w:val="0"/>
              <w:adjustRightInd w:val="0"/>
              <w:jc w:val="both"/>
              <w:rPr>
                <w:rFonts w:ascii="Arial Narrow" w:hAnsi="Arial Narrow"/>
                <w:b/>
                <w:bCs/>
                <w:color w:val="000000"/>
                <w:sz w:val="16"/>
                <w:szCs w:val="16"/>
              </w:rPr>
            </w:pPr>
            <w:r>
              <w:rPr>
                <w:rFonts w:ascii="Arial Narrow" w:hAnsi="Arial Narrow"/>
                <w:b/>
                <w:bCs/>
                <w:color w:val="000000"/>
                <w:sz w:val="16"/>
                <w:szCs w:val="16"/>
              </w:rPr>
              <w:t>Pre-discharge</w:t>
            </w:r>
          </w:p>
        </w:tc>
        <w:tc>
          <w:tcPr>
            <w:tcW w:w="1955" w:type="dxa"/>
            <w:gridSpan w:val="3"/>
            <w:tcBorders>
              <w:top w:val="single" w:sz="8" w:space="0" w:color="000000"/>
              <w:left w:val="single" w:sz="8" w:space="0" w:color="000000"/>
              <w:bottom w:val="single" w:sz="8" w:space="0" w:color="000000"/>
              <w:right w:val="single" w:sz="8" w:space="0" w:color="000000"/>
            </w:tcBorders>
            <w:shd w:val="clear" w:color="000000" w:fill="FFFFFF"/>
            <w:vAlign w:val="bottom"/>
          </w:tcPr>
          <w:p w14:paraId="5B8E1686" w14:textId="77777777" w:rsidR="000923BB" w:rsidRDefault="000923BB" w:rsidP="003A385F">
            <w:pPr>
              <w:autoSpaceDE w:val="0"/>
              <w:autoSpaceDN w:val="0"/>
              <w:adjustRightInd w:val="0"/>
              <w:jc w:val="both"/>
              <w:rPr>
                <w:rFonts w:ascii="Arial Narrow" w:hAnsi="Arial Narrow"/>
                <w:b/>
                <w:bCs/>
                <w:color w:val="000000"/>
                <w:sz w:val="16"/>
                <w:szCs w:val="16"/>
              </w:rPr>
            </w:pPr>
            <w:r>
              <w:rPr>
                <w:rFonts w:ascii="Arial Narrow" w:hAnsi="Arial Narrow"/>
                <w:b/>
                <w:bCs/>
                <w:color w:val="000000"/>
                <w:sz w:val="16"/>
                <w:szCs w:val="16"/>
              </w:rPr>
              <w:t>Overall</w:t>
            </w:r>
          </w:p>
        </w:tc>
      </w:tr>
      <w:tr w:rsidR="00A24042" w14:paraId="053E45FC" w14:textId="77777777" w:rsidTr="00A24042">
        <w:trPr>
          <w:trHeight w:val="442"/>
          <w:jc w:val="center"/>
        </w:trPr>
        <w:tc>
          <w:tcPr>
            <w:tcW w:w="1088" w:type="dxa"/>
            <w:tcBorders>
              <w:top w:val="single" w:sz="8" w:space="0" w:color="000000"/>
              <w:left w:val="single" w:sz="8" w:space="0" w:color="000000"/>
              <w:bottom w:val="single" w:sz="8" w:space="0" w:color="auto"/>
              <w:right w:val="single" w:sz="8" w:space="0" w:color="000000"/>
            </w:tcBorders>
            <w:shd w:val="clear" w:color="000000" w:fill="FFFFFF"/>
            <w:vAlign w:val="bottom"/>
          </w:tcPr>
          <w:p w14:paraId="0DB3EAEC" w14:textId="77777777" w:rsidR="000923BB" w:rsidRDefault="000923BB" w:rsidP="003A385F">
            <w:pPr>
              <w:autoSpaceDE w:val="0"/>
              <w:autoSpaceDN w:val="0"/>
              <w:adjustRightInd w:val="0"/>
              <w:jc w:val="both"/>
              <w:rPr>
                <w:rFonts w:ascii="Arial Narrow" w:hAnsi="Arial Narrow"/>
                <w:b/>
                <w:bCs/>
                <w:color w:val="000000"/>
                <w:sz w:val="16"/>
                <w:szCs w:val="16"/>
              </w:rPr>
            </w:pPr>
            <w:r>
              <w:rPr>
                <w:rFonts w:ascii="Arial Narrow" w:hAnsi="Arial Narrow"/>
                <w:b/>
                <w:bCs/>
                <w:color w:val="000000"/>
                <w:sz w:val="16"/>
                <w:szCs w:val="16"/>
              </w:rPr>
              <w:t>Coding bands</w:t>
            </w:r>
          </w:p>
        </w:tc>
        <w:tc>
          <w:tcPr>
            <w:tcW w:w="475" w:type="dxa"/>
            <w:tcBorders>
              <w:top w:val="single" w:sz="8" w:space="0" w:color="000000"/>
              <w:left w:val="single" w:sz="8" w:space="0" w:color="000000"/>
              <w:bottom w:val="single" w:sz="8" w:space="0" w:color="000000"/>
              <w:right w:val="single" w:sz="8" w:space="0" w:color="999999"/>
            </w:tcBorders>
            <w:shd w:val="clear" w:color="000000" w:fill="FFFFFF"/>
            <w:vAlign w:val="bottom"/>
          </w:tcPr>
          <w:p w14:paraId="4A480C04" w14:textId="77777777" w:rsidR="000923BB" w:rsidRDefault="000923BB" w:rsidP="003A385F">
            <w:pPr>
              <w:autoSpaceDE w:val="0"/>
              <w:autoSpaceDN w:val="0"/>
              <w:adjustRightInd w:val="0"/>
              <w:jc w:val="both"/>
              <w:rPr>
                <w:rFonts w:ascii="Arial Narrow" w:hAnsi="Arial Narrow"/>
                <w:b/>
                <w:bCs/>
                <w:color w:val="000000"/>
                <w:sz w:val="16"/>
                <w:szCs w:val="16"/>
              </w:rPr>
            </w:pPr>
            <w:r>
              <w:rPr>
                <w:rFonts w:ascii="Arial Narrow" w:hAnsi="Arial Narrow"/>
                <w:b/>
                <w:bCs/>
                <w:color w:val="000000"/>
                <w:sz w:val="16"/>
                <w:szCs w:val="16"/>
              </w:rPr>
              <w:t>Doctor</w:t>
            </w:r>
          </w:p>
        </w:tc>
        <w:tc>
          <w:tcPr>
            <w:tcW w:w="517" w:type="dxa"/>
            <w:tcBorders>
              <w:top w:val="single" w:sz="8" w:space="0" w:color="000000"/>
              <w:left w:val="single" w:sz="8" w:space="0" w:color="999999"/>
              <w:bottom w:val="single" w:sz="8" w:space="0" w:color="000000"/>
              <w:right w:val="single" w:sz="8" w:space="0" w:color="999999"/>
            </w:tcBorders>
            <w:shd w:val="clear" w:color="000000" w:fill="FFFFFF"/>
            <w:vAlign w:val="bottom"/>
          </w:tcPr>
          <w:p w14:paraId="4901DCB4" w14:textId="77777777" w:rsidR="000923BB" w:rsidRDefault="000923BB" w:rsidP="003A385F">
            <w:pPr>
              <w:autoSpaceDE w:val="0"/>
              <w:autoSpaceDN w:val="0"/>
              <w:adjustRightInd w:val="0"/>
              <w:jc w:val="both"/>
              <w:rPr>
                <w:rFonts w:ascii="Arial Narrow" w:hAnsi="Arial Narrow"/>
                <w:b/>
                <w:bCs/>
                <w:color w:val="000000"/>
                <w:sz w:val="16"/>
                <w:szCs w:val="16"/>
              </w:rPr>
            </w:pPr>
            <w:r>
              <w:rPr>
                <w:rFonts w:ascii="Arial Narrow" w:hAnsi="Arial Narrow"/>
                <w:b/>
                <w:bCs/>
                <w:color w:val="000000"/>
                <w:sz w:val="16"/>
                <w:szCs w:val="16"/>
              </w:rPr>
              <w:t>Clinical (nurse or other)</w:t>
            </w:r>
          </w:p>
        </w:tc>
        <w:tc>
          <w:tcPr>
            <w:tcW w:w="517" w:type="dxa"/>
            <w:tcBorders>
              <w:top w:val="single" w:sz="8" w:space="0" w:color="000000"/>
              <w:left w:val="single" w:sz="8" w:space="0" w:color="999999"/>
              <w:bottom w:val="single" w:sz="8" w:space="0" w:color="000000"/>
              <w:right w:val="single" w:sz="8" w:space="0" w:color="000000"/>
            </w:tcBorders>
            <w:shd w:val="clear" w:color="000000" w:fill="FFFFFF"/>
            <w:vAlign w:val="bottom"/>
          </w:tcPr>
          <w:p w14:paraId="677CCAC4" w14:textId="77777777" w:rsidR="000923BB" w:rsidRDefault="000923BB" w:rsidP="003A385F">
            <w:pPr>
              <w:autoSpaceDE w:val="0"/>
              <w:autoSpaceDN w:val="0"/>
              <w:adjustRightInd w:val="0"/>
              <w:jc w:val="both"/>
              <w:rPr>
                <w:rFonts w:ascii="Arial Narrow" w:hAnsi="Arial Narrow"/>
                <w:b/>
                <w:bCs/>
                <w:color w:val="000000"/>
                <w:sz w:val="16"/>
                <w:szCs w:val="16"/>
              </w:rPr>
            </w:pPr>
            <w:r>
              <w:rPr>
                <w:rFonts w:ascii="Arial Narrow" w:hAnsi="Arial Narrow"/>
                <w:b/>
                <w:bCs/>
                <w:color w:val="000000"/>
                <w:sz w:val="16"/>
                <w:szCs w:val="16"/>
              </w:rPr>
              <w:t>Non-clinical audit</w:t>
            </w:r>
          </w:p>
        </w:tc>
        <w:tc>
          <w:tcPr>
            <w:tcW w:w="644" w:type="dxa"/>
            <w:tcBorders>
              <w:top w:val="single" w:sz="8" w:space="0" w:color="000000"/>
              <w:left w:val="single" w:sz="8" w:space="0" w:color="000000"/>
              <w:bottom w:val="single" w:sz="8" w:space="0" w:color="auto"/>
              <w:right w:val="single" w:sz="8" w:space="0" w:color="999999"/>
            </w:tcBorders>
            <w:shd w:val="clear" w:color="000000" w:fill="FFFFFF"/>
            <w:vAlign w:val="bottom"/>
          </w:tcPr>
          <w:p w14:paraId="397BB831" w14:textId="77777777" w:rsidR="000923BB" w:rsidRDefault="000923BB" w:rsidP="003A385F">
            <w:pPr>
              <w:autoSpaceDE w:val="0"/>
              <w:autoSpaceDN w:val="0"/>
              <w:adjustRightInd w:val="0"/>
              <w:jc w:val="both"/>
              <w:rPr>
                <w:rFonts w:ascii="Arial Narrow" w:hAnsi="Arial Narrow"/>
                <w:b/>
                <w:bCs/>
                <w:color w:val="000000"/>
                <w:sz w:val="16"/>
                <w:szCs w:val="16"/>
              </w:rPr>
            </w:pPr>
            <w:r>
              <w:rPr>
                <w:rFonts w:ascii="Arial Narrow" w:hAnsi="Arial Narrow"/>
                <w:b/>
                <w:bCs/>
                <w:color w:val="000000"/>
                <w:sz w:val="16"/>
                <w:szCs w:val="16"/>
              </w:rPr>
              <w:t>Doctor</w:t>
            </w:r>
          </w:p>
        </w:tc>
        <w:tc>
          <w:tcPr>
            <w:tcW w:w="645" w:type="dxa"/>
            <w:tcBorders>
              <w:top w:val="single" w:sz="8" w:space="0" w:color="000000"/>
              <w:left w:val="single" w:sz="8" w:space="0" w:color="999999"/>
              <w:bottom w:val="single" w:sz="8" w:space="0" w:color="auto"/>
              <w:right w:val="single" w:sz="8" w:space="0" w:color="999999"/>
            </w:tcBorders>
            <w:shd w:val="clear" w:color="000000" w:fill="FFFFFF"/>
            <w:vAlign w:val="bottom"/>
          </w:tcPr>
          <w:p w14:paraId="5A55F45C" w14:textId="77777777" w:rsidR="000923BB" w:rsidRDefault="000923BB" w:rsidP="003A385F">
            <w:pPr>
              <w:autoSpaceDE w:val="0"/>
              <w:autoSpaceDN w:val="0"/>
              <w:adjustRightInd w:val="0"/>
              <w:jc w:val="both"/>
              <w:rPr>
                <w:rFonts w:ascii="Arial Narrow" w:hAnsi="Arial Narrow"/>
                <w:b/>
                <w:bCs/>
                <w:color w:val="000000"/>
                <w:sz w:val="16"/>
                <w:szCs w:val="16"/>
              </w:rPr>
            </w:pPr>
            <w:r>
              <w:rPr>
                <w:rFonts w:ascii="Arial Narrow" w:hAnsi="Arial Narrow"/>
                <w:b/>
                <w:bCs/>
                <w:color w:val="000000"/>
                <w:sz w:val="16"/>
                <w:szCs w:val="16"/>
              </w:rPr>
              <w:t>Clinical (nurse or other)</w:t>
            </w:r>
          </w:p>
        </w:tc>
        <w:tc>
          <w:tcPr>
            <w:tcW w:w="647" w:type="dxa"/>
            <w:tcBorders>
              <w:top w:val="single" w:sz="8" w:space="0" w:color="000000"/>
              <w:left w:val="single" w:sz="8" w:space="0" w:color="999999"/>
              <w:bottom w:val="single" w:sz="8" w:space="0" w:color="auto"/>
              <w:right w:val="single" w:sz="8" w:space="0" w:color="000000"/>
            </w:tcBorders>
            <w:shd w:val="clear" w:color="000000" w:fill="FFFFFF"/>
            <w:vAlign w:val="bottom"/>
          </w:tcPr>
          <w:p w14:paraId="2E8C4EFB" w14:textId="77777777" w:rsidR="000923BB" w:rsidRDefault="000923BB" w:rsidP="003A385F">
            <w:pPr>
              <w:autoSpaceDE w:val="0"/>
              <w:autoSpaceDN w:val="0"/>
              <w:adjustRightInd w:val="0"/>
              <w:jc w:val="both"/>
              <w:rPr>
                <w:rFonts w:ascii="Arial Narrow" w:hAnsi="Arial Narrow"/>
                <w:b/>
                <w:bCs/>
                <w:color w:val="000000"/>
                <w:sz w:val="16"/>
                <w:szCs w:val="16"/>
              </w:rPr>
            </w:pPr>
            <w:r>
              <w:rPr>
                <w:rFonts w:ascii="Arial Narrow" w:hAnsi="Arial Narrow"/>
                <w:b/>
                <w:bCs/>
                <w:color w:val="000000"/>
                <w:sz w:val="16"/>
                <w:szCs w:val="16"/>
              </w:rPr>
              <w:t>Non-clinical audit</w:t>
            </w:r>
          </w:p>
        </w:tc>
        <w:tc>
          <w:tcPr>
            <w:tcW w:w="645" w:type="dxa"/>
            <w:tcBorders>
              <w:top w:val="single" w:sz="8" w:space="0" w:color="000000"/>
              <w:left w:val="single" w:sz="8" w:space="0" w:color="000000"/>
              <w:bottom w:val="single" w:sz="8" w:space="0" w:color="auto"/>
              <w:right w:val="single" w:sz="8" w:space="0" w:color="999999"/>
            </w:tcBorders>
            <w:shd w:val="clear" w:color="000000" w:fill="FFFFFF"/>
            <w:vAlign w:val="bottom"/>
          </w:tcPr>
          <w:p w14:paraId="57BEB9B1" w14:textId="77777777" w:rsidR="000923BB" w:rsidRDefault="000923BB" w:rsidP="003A385F">
            <w:pPr>
              <w:autoSpaceDE w:val="0"/>
              <w:autoSpaceDN w:val="0"/>
              <w:adjustRightInd w:val="0"/>
              <w:jc w:val="both"/>
              <w:rPr>
                <w:rFonts w:ascii="Arial Narrow" w:hAnsi="Arial Narrow"/>
                <w:b/>
                <w:bCs/>
                <w:color w:val="000000"/>
                <w:sz w:val="16"/>
                <w:szCs w:val="16"/>
              </w:rPr>
            </w:pPr>
            <w:r>
              <w:rPr>
                <w:rFonts w:ascii="Arial Narrow" w:hAnsi="Arial Narrow"/>
                <w:b/>
                <w:bCs/>
                <w:color w:val="000000"/>
                <w:sz w:val="16"/>
                <w:szCs w:val="16"/>
              </w:rPr>
              <w:t>Doctor</w:t>
            </w:r>
          </w:p>
        </w:tc>
        <w:tc>
          <w:tcPr>
            <w:tcW w:w="497" w:type="dxa"/>
            <w:tcBorders>
              <w:top w:val="single" w:sz="8" w:space="0" w:color="000000"/>
              <w:left w:val="single" w:sz="8" w:space="0" w:color="999999"/>
              <w:bottom w:val="single" w:sz="8" w:space="0" w:color="auto"/>
              <w:right w:val="single" w:sz="8" w:space="0" w:color="999999"/>
            </w:tcBorders>
            <w:shd w:val="clear" w:color="000000" w:fill="FFFFFF"/>
            <w:vAlign w:val="bottom"/>
          </w:tcPr>
          <w:p w14:paraId="4AE69238" w14:textId="77777777" w:rsidR="000923BB" w:rsidRDefault="000923BB" w:rsidP="003A385F">
            <w:pPr>
              <w:autoSpaceDE w:val="0"/>
              <w:autoSpaceDN w:val="0"/>
              <w:adjustRightInd w:val="0"/>
              <w:jc w:val="both"/>
              <w:rPr>
                <w:rFonts w:ascii="Arial Narrow" w:hAnsi="Arial Narrow"/>
                <w:b/>
                <w:bCs/>
                <w:color w:val="000000"/>
                <w:sz w:val="16"/>
                <w:szCs w:val="16"/>
              </w:rPr>
            </w:pPr>
            <w:r>
              <w:rPr>
                <w:rFonts w:ascii="Arial Narrow" w:hAnsi="Arial Narrow"/>
                <w:b/>
                <w:bCs/>
                <w:color w:val="000000"/>
                <w:sz w:val="16"/>
                <w:szCs w:val="16"/>
              </w:rPr>
              <w:t>Clinical (nurse or other)</w:t>
            </w:r>
          </w:p>
        </w:tc>
        <w:tc>
          <w:tcPr>
            <w:tcW w:w="776" w:type="dxa"/>
            <w:tcBorders>
              <w:top w:val="single" w:sz="8" w:space="0" w:color="000000"/>
              <w:left w:val="single" w:sz="8" w:space="0" w:color="999999"/>
              <w:bottom w:val="single" w:sz="8" w:space="0" w:color="auto"/>
              <w:right w:val="single" w:sz="8" w:space="0" w:color="000000"/>
            </w:tcBorders>
            <w:shd w:val="clear" w:color="000000" w:fill="FFFFFF"/>
            <w:vAlign w:val="bottom"/>
          </w:tcPr>
          <w:p w14:paraId="0A843CCC" w14:textId="77777777" w:rsidR="000923BB" w:rsidRDefault="000923BB" w:rsidP="003A385F">
            <w:pPr>
              <w:autoSpaceDE w:val="0"/>
              <w:autoSpaceDN w:val="0"/>
              <w:adjustRightInd w:val="0"/>
              <w:jc w:val="both"/>
              <w:rPr>
                <w:rFonts w:ascii="Arial Narrow" w:hAnsi="Arial Narrow"/>
                <w:b/>
                <w:bCs/>
                <w:color w:val="000000"/>
                <w:sz w:val="16"/>
                <w:szCs w:val="16"/>
              </w:rPr>
            </w:pPr>
            <w:r>
              <w:rPr>
                <w:rFonts w:ascii="Arial Narrow" w:hAnsi="Arial Narrow"/>
                <w:b/>
                <w:bCs/>
                <w:color w:val="000000"/>
                <w:sz w:val="16"/>
                <w:szCs w:val="16"/>
              </w:rPr>
              <w:t>Non-clinical audit</w:t>
            </w:r>
          </w:p>
        </w:tc>
        <w:tc>
          <w:tcPr>
            <w:tcW w:w="794" w:type="dxa"/>
            <w:tcBorders>
              <w:top w:val="single" w:sz="8" w:space="0" w:color="000000"/>
              <w:left w:val="single" w:sz="8" w:space="0" w:color="000000"/>
              <w:bottom w:val="single" w:sz="8" w:space="0" w:color="auto"/>
              <w:right w:val="single" w:sz="8" w:space="0" w:color="999999"/>
            </w:tcBorders>
            <w:shd w:val="clear" w:color="000000" w:fill="FFFFFF"/>
            <w:vAlign w:val="bottom"/>
          </w:tcPr>
          <w:p w14:paraId="0E1D1868" w14:textId="77777777" w:rsidR="000923BB" w:rsidRDefault="000923BB" w:rsidP="003A385F">
            <w:pPr>
              <w:autoSpaceDE w:val="0"/>
              <w:autoSpaceDN w:val="0"/>
              <w:adjustRightInd w:val="0"/>
              <w:jc w:val="both"/>
              <w:rPr>
                <w:rFonts w:ascii="Arial Narrow" w:hAnsi="Arial Narrow"/>
                <w:b/>
                <w:bCs/>
                <w:color w:val="000000"/>
                <w:sz w:val="16"/>
                <w:szCs w:val="16"/>
              </w:rPr>
            </w:pPr>
            <w:r>
              <w:rPr>
                <w:rFonts w:ascii="Arial Narrow" w:hAnsi="Arial Narrow"/>
                <w:b/>
                <w:bCs/>
                <w:color w:val="000000"/>
                <w:sz w:val="16"/>
                <w:szCs w:val="16"/>
              </w:rPr>
              <w:t>Doctor</w:t>
            </w:r>
          </w:p>
        </w:tc>
        <w:tc>
          <w:tcPr>
            <w:tcW w:w="517" w:type="dxa"/>
            <w:tcBorders>
              <w:top w:val="single" w:sz="8" w:space="0" w:color="000000"/>
              <w:left w:val="single" w:sz="8" w:space="0" w:color="999999"/>
              <w:bottom w:val="single" w:sz="8" w:space="0" w:color="auto"/>
              <w:right w:val="single" w:sz="8" w:space="0" w:color="999999"/>
            </w:tcBorders>
            <w:shd w:val="clear" w:color="000000" w:fill="FFFFFF"/>
            <w:vAlign w:val="bottom"/>
          </w:tcPr>
          <w:p w14:paraId="0D3E0D66" w14:textId="77777777" w:rsidR="000923BB" w:rsidRDefault="000923BB" w:rsidP="003A385F">
            <w:pPr>
              <w:autoSpaceDE w:val="0"/>
              <w:autoSpaceDN w:val="0"/>
              <w:adjustRightInd w:val="0"/>
              <w:jc w:val="both"/>
              <w:rPr>
                <w:rFonts w:ascii="Arial Narrow" w:hAnsi="Arial Narrow"/>
                <w:b/>
                <w:bCs/>
                <w:color w:val="000000"/>
                <w:sz w:val="16"/>
                <w:szCs w:val="16"/>
              </w:rPr>
            </w:pPr>
            <w:r>
              <w:rPr>
                <w:rFonts w:ascii="Arial Narrow" w:hAnsi="Arial Narrow"/>
                <w:b/>
                <w:bCs/>
                <w:color w:val="000000"/>
                <w:sz w:val="16"/>
                <w:szCs w:val="16"/>
              </w:rPr>
              <w:t>Clinical (nurse or other)</w:t>
            </w:r>
          </w:p>
        </w:tc>
        <w:tc>
          <w:tcPr>
            <w:tcW w:w="644" w:type="dxa"/>
            <w:tcBorders>
              <w:top w:val="single" w:sz="8" w:space="0" w:color="000000"/>
              <w:left w:val="single" w:sz="8" w:space="0" w:color="999999"/>
              <w:bottom w:val="single" w:sz="8" w:space="0" w:color="auto"/>
              <w:right w:val="single" w:sz="8" w:space="0" w:color="000000"/>
            </w:tcBorders>
            <w:shd w:val="clear" w:color="000000" w:fill="FFFFFF"/>
            <w:vAlign w:val="bottom"/>
          </w:tcPr>
          <w:p w14:paraId="2094BDB3" w14:textId="77777777" w:rsidR="000923BB" w:rsidRDefault="000923BB" w:rsidP="003A385F">
            <w:pPr>
              <w:autoSpaceDE w:val="0"/>
              <w:autoSpaceDN w:val="0"/>
              <w:adjustRightInd w:val="0"/>
              <w:jc w:val="both"/>
              <w:rPr>
                <w:rFonts w:ascii="Arial Narrow" w:hAnsi="Arial Narrow"/>
                <w:b/>
                <w:bCs/>
                <w:color w:val="000000"/>
                <w:sz w:val="16"/>
                <w:szCs w:val="16"/>
              </w:rPr>
            </w:pPr>
            <w:r>
              <w:rPr>
                <w:rFonts w:ascii="Arial Narrow" w:hAnsi="Arial Narrow"/>
                <w:b/>
                <w:bCs/>
                <w:color w:val="000000"/>
                <w:sz w:val="16"/>
                <w:szCs w:val="16"/>
              </w:rPr>
              <w:t>Non-clinical audit</w:t>
            </w:r>
          </w:p>
        </w:tc>
      </w:tr>
      <w:tr w:rsidR="00A24042" w14:paraId="7322F27D" w14:textId="77777777" w:rsidTr="00A24042">
        <w:trPr>
          <w:trHeight w:val="538"/>
          <w:jc w:val="center"/>
        </w:trPr>
        <w:tc>
          <w:tcPr>
            <w:tcW w:w="1088" w:type="dxa"/>
            <w:tcBorders>
              <w:top w:val="single" w:sz="8" w:space="0" w:color="auto"/>
              <w:left w:val="single" w:sz="8" w:space="0" w:color="auto"/>
              <w:bottom w:val="nil"/>
              <w:right w:val="single" w:sz="8" w:space="0" w:color="000000"/>
            </w:tcBorders>
            <w:shd w:val="clear" w:color="000000" w:fill="FFFFFF"/>
            <w:vAlign w:val="center"/>
          </w:tcPr>
          <w:p w14:paraId="410F92BD" w14:textId="77777777" w:rsidR="000923BB" w:rsidRDefault="000923BB" w:rsidP="003A385F">
            <w:pPr>
              <w:autoSpaceDE w:val="0"/>
              <w:autoSpaceDN w:val="0"/>
              <w:adjustRightInd w:val="0"/>
              <w:jc w:val="both"/>
              <w:rPr>
                <w:rFonts w:ascii="Arial Narrow" w:hAnsi="Arial Narrow"/>
                <w:color w:val="000000"/>
                <w:sz w:val="16"/>
                <w:szCs w:val="16"/>
              </w:rPr>
            </w:pPr>
            <w:r>
              <w:rPr>
                <w:rFonts w:ascii="Arial Narrow" w:hAnsi="Arial Narrow"/>
                <w:color w:val="000000"/>
                <w:sz w:val="16"/>
                <w:szCs w:val="16"/>
              </w:rPr>
              <w:t>Codes 1-5 (</w:t>
            </w:r>
            <w:r w:rsidRPr="003E40D0">
              <w:rPr>
                <w:rFonts w:ascii="Arial Narrow" w:hAnsi="Arial Narrow" w:cs="Arial"/>
                <w:sz w:val="16"/>
                <w:szCs w:val="16"/>
              </w:rPr>
              <w:t>Little or no comment about care and little of no judgement</w:t>
            </w:r>
            <w:r w:rsidRPr="003E40D0">
              <w:rPr>
                <w:rFonts w:ascii="Arial Narrow" w:hAnsi="Arial Narrow"/>
                <w:color w:val="000000"/>
                <w:sz w:val="16"/>
                <w:szCs w:val="16"/>
              </w:rPr>
              <w:t>)</w:t>
            </w:r>
          </w:p>
        </w:tc>
        <w:tc>
          <w:tcPr>
            <w:tcW w:w="475" w:type="dxa"/>
            <w:tcBorders>
              <w:top w:val="single" w:sz="8" w:space="0" w:color="000000"/>
              <w:left w:val="single" w:sz="8" w:space="0" w:color="000000"/>
              <w:bottom w:val="nil"/>
              <w:right w:val="single" w:sz="8" w:space="0" w:color="999999"/>
            </w:tcBorders>
            <w:shd w:val="clear" w:color="000000" w:fill="FFFFFF"/>
            <w:vAlign w:val="center"/>
          </w:tcPr>
          <w:p w14:paraId="0D7D2D5D" w14:textId="77777777" w:rsidR="000923BB" w:rsidRDefault="000923BB" w:rsidP="003A385F">
            <w:pPr>
              <w:autoSpaceDE w:val="0"/>
              <w:autoSpaceDN w:val="0"/>
              <w:adjustRightInd w:val="0"/>
              <w:jc w:val="both"/>
              <w:rPr>
                <w:rFonts w:ascii="Arial Narrow" w:hAnsi="Arial Narrow"/>
                <w:color w:val="000000"/>
                <w:sz w:val="16"/>
                <w:szCs w:val="16"/>
              </w:rPr>
            </w:pPr>
            <w:r>
              <w:rPr>
                <w:rFonts w:ascii="Arial Narrow" w:hAnsi="Arial Narrow"/>
                <w:color w:val="000000"/>
                <w:sz w:val="16"/>
                <w:szCs w:val="16"/>
              </w:rPr>
              <w:t>5%</w:t>
            </w:r>
          </w:p>
        </w:tc>
        <w:tc>
          <w:tcPr>
            <w:tcW w:w="517" w:type="dxa"/>
            <w:tcBorders>
              <w:top w:val="single" w:sz="8" w:space="0" w:color="000000"/>
              <w:left w:val="single" w:sz="8" w:space="0" w:color="999999"/>
              <w:bottom w:val="nil"/>
              <w:right w:val="single" w:sz="8" w:space="0" w:color="999999"/>
            </w:tcBorders>
            <w:shd w:val="clear" w:color="000000" w:fill="FFFFFF"/>
            <w:vAlign w:val="center"/>
          </w:tcPr>
          <w:p w14:paraId="1641EDF4" w14:textId="77777777" w:rsidR="000923BB" w:rsidRDefault="000923BB" w:rsidP="003A385F">
            <w:pPr>
              <w:autoSpaceDE w:val="0"/>
              <w:autoSpaceDN w:val="0"/>
              <w:adjustRightInd w:val="0"/>
              <w:jc w:val="both"/>
              <w:rPr>
                <w:rFonts w:ascii="Arial Narrow" w:hAnsi="Arial Narrow"/>
                <w:color w:val="000000"/>
                <w:sz w:val="16"/>
                <w:szCs w:val="16"/>
              </w:rPr>
            </w:pPr>
            <w:r>
              <w:rPr>
                <w:rFonts w:ascii="Arial Narrow" w:hAnsi="Arial Narrow"/>
                <w:color w:val="000000"/>
                <w:sz w:val="16"/>
                <w:szCs w:val="16"/>
              </w:rPr>
              <w:t>14%</w:t>
            </w:r>
          </w:p>
        </w:tc>
        <w:tc>
          <w:tcPr>
            <w:tcW w:w="517" w:type="dxa"/>
            <w:tcBorders>
              <w:top w:val="single" w:sz="8" w:space="0" w:color="000000"/>
              <w:left w:val="single" w:sz="8" w:space="0" w:color="999999"/>
              <w:bottom w:val="nil"/>
              <w:right w:val="single" w:sz="8" w:space="0" w:color="auto"/>
            </w:tcBorders>
            <w:shd w:val="clear" w:color="000000" w:fill="FFFFFF"/>
            <w:vAlign w:val="center"/>
          </w:tcPr>
          <w:p w14:paraId="7A5260B6" w14:textId="77777777" w:rsidR="000923BB" w:rsidRDefault="000923BB" w:rsidP="003A385F">
            <w:pPr>
              <w:autoSpaceDE w:val="0"/>
              <w:autoSpaceDN w:val="0"/>
              <w:adjustRightInd w:val="0"/>
              <w:jc w:val="both"/>
              <w:rPr>
                <w:rFonts w:ascii="Arial Narrow" w:hAnsi="Arial Narrow"/>
                <w:color w:val="000000"/>
                <w:sz w:val="16"/>
                <w:szCs w:val="16"/>
              </w:rPr>
            </w:pPr>
            <w:r>
              <w:rPr>
                <w:rFonts w:ascii="Arial Narrow" w:hAnsi="Arial Narrow"/>
                <w:color w:val="000000"/>
                <w:sz w:val="16"/>
                <w:szCs w:val="16"/>
              </w:rPr>
              <w:t>41%</w:t>
            </w:r>
          </w:p>
        </w:tc>
        <w:tc>
          <w:tcPr>
            <w:tcW w:w="644" w:type="dxa"/>
            <w:tcBorders>
              <w:top w:val="single" w:sz="8" w:space="0" w:color="000000"/>
              <w:left w:val="single" w:sz="8" w:space="0" w:color="auto"/>
              <w:bottom w:val="nil"/>
              <w:right w:val="single" w:sz="8" w:space="0" w:color="999999"/>
            </w:tcBorders>
            <w:shd w:val="clear" w:color="000000" w:fill="FFFFFF"/>
            <w:vAlign w:val="center"/>
          </w:tcPr>
          <w:p w14:paraId="4555135D" w14:textId="77777777" w:rsidR="000923BB" w:rsidRDefault="000923BB" w:rsidP="003A385F">
            <w:pPr>
              <w:autoSpaceDE w:val="0"/>
              <w:autoSpaceDN w:val="0"/>
              <w:adjustRightInd w:val="0"/>
              <w:jc w:val="both"/>
              <w:rPr>
                <w:rFonts w:ascii="Arial Narrow" w:hAnsi="Arial Narrow"/>
                <w:color w:val="000000"/>
                <w:sz w:val="16"/>
                <w:szCs w:val="16"/>
              </w:rPr>
            </w:pPr>
            <w:r>
              <w:rPr>
                <w:rFonts w:ascii="Arial Narrow" w:hAnsi="Arial Narrow"/>
                <w:color w:val="000000"/>
                <w:sz w:val="16"/>
                <w:szCs w:val="16"/>
              </w:rPr>
              <w:t>1%</w:t>
            </w:r>
          </w:p>
        </w:tc>
        <w:tc>
          <w:tcPr>
            <w:tcW w:w="645" w:type="dxa"/>
            <w:tcBorders>
              <w:top w:val="single" w:sz="8" w:space="0" w:color="000000"/>
              <w:left w:val="single" w:sz="8" w:space="0" w:color="999999"/>
              <w:bottom w:val="nil"/>
              <w:right w:val="single" w:sz="8" w:space="0" w:color="999999"/>
            </w:tcBorders>
            <w:shd w:val="clear" w:color="000000" w:fill="FFFFFF"/>
            <w:vAlign w:val="center"/>
          </w:tcPr>
          <w:p w14:paraId="6BD4AA54" w14:textId="77777777" w:rsidR="000923BB" w:rsidRDefault="000923BB" w:rsidP="003A385F">
            <w:pPr>
              <w:autoSpaceDE w:val="0"/>
              <w:autoSpaceDN w:val="0"/>
              <w:adjustRightInd w:val="0"/>
              <w:jc w:val="both"/>
              <w:rPr>
                <w:rFonts w:ascii="Arial Narrow" w:hAnsi="Arial Narrow"/>
                <w:color w:val="000000"/>
                <w:sz w:val="16"/>
                <w:szCs w:val="16"/>
              </w:rPr>
            </w:pPr>
            <w:r>
              <w:rPr>
                <w:rFonts w:ascii="Arial Narrow" w:hAnsi="Arial Narrow"/>
                <w:color w:val="000000"/>
                <w:sz w:val="16"/>
                <w:szCs w:val="16"/>
              </w:rPr>
              <w:t>12%</w:t>
            </w:r>
          </w:p>
        </w:tc>
        <w:tc>
          <w:tcPr>
            <w:tcW w:w="647" w:type="dxa"/>
            <w:tcBorders>
              <w:top w:val="single" w:sz="8" w:space="0" w:color="000000"/>
              <w:left w:val="single" w:sz="8" w:space="0" w:color="999999"/>
              <w:bottom w:val="nil"/>
              <w:right w:val="single" w:sz="8" w:space="0" w:color="auto"/>
            </w:tcBorders>
            <w:shd w:val="clear" w:color="000000" w:fill="FFFFFF"/>
            <w:vAlign w:val="center"/>
          </w:tcPr>
          <w:p w14:paraId="589746A9" w14:textId="77777777" w:rsidR="000923BB" w:rsidRDefault="000923BB" w:rsidP="003A385F">
            <w:pPr>
              <w:autoSpaceDE w:val="0"/>
              <w:autoSpaceDN w:val="0"/>
              <w:adjustRightInd w:val="0"/>
              <w:jc w:val="both"/>
              <w:rPr>
                <w:rFonts w:ascii="Arial Narrow" w:hAnsi="Arial Narrow"/>
                <w:color w:val="000000"/>
                <w:sz w:val="16"/>
                <w:szCs w:val="16"/>
              </w:rPr>
            </w:pPr>
            <w:r>
              <w:rPr>
                <w:rFonts w:ascii="Arial Narrow" w:hAnsi="Arial Narrow"/>
                <w:color w:val="000000"/>
                <w:sz w:val="16"/>
                <w:szCs w:val="16"/>
              </w:rPr>
              <w:t>38%</w:t>
            </w:r>
          </w:p>
        </w:tc>
        <w:tc>
          <w:tcPr>
            <w:tcW w:w="645" w:type="dxa"/>
            <w:tcBorders>
              <w:top w:val="single" w:sz="8" w:space="0" w:color="000000"/>
              <w:left w:val="single" w:sz="8" w:space="0" w:color="auto"/>
              <w:bottom w:val="nil"/>
              <w:right w:val="single" w:sz="8" w:space="0" w:color="999999"/>
            </w:tcBorders>
            <w:shd w:val="clear" w:color="000000" w:fill="FFFFFF"/>
            <w:vAlign w:val="center"/>
          </w:tcPr>
          <w:p w14:paraId="3E7E9BD5" w14:textId="77777777" w:rsidR="000923BB" w:rsidRDefault="000923BB" w:rsidP="003A385F">
            <w:pPr>
              <w:autoSpaceDE w:val="0"/>
              <w:autoSpaceDN w:val="0"/>
              <w:adjustRightInd w:val="0"/>
              <w:jc w:val="both"/>
              <w:rPr>
                <w:rFonts w:ascii="Arial Narrow" w:hAnsi="Arial Narrow"/>
                <w:color w:val="000000"/>
                <w:sz w:val="16"/>
                <w:szCs w:val="16"/>
              </w:rPr>
            </w:pPr>
            <w:r>
              <w:rPr>
                <w:rFonts w:ascii="Arial Narrow" w:hAnsi="Arial Narrow"/>
                <w:color w:val="000000"/>
                <w:sz w:val="16"/>
                <w:szCs w:val="16"/>
              </w:rPr>
              <w:t>4%</w:t>
            </w:r>
          </w:p>
        </w:tc>
        <w:tc>
          <w:tcPr>
            <w:tcW w:w="497" w:type="dxa"/>
            <w:tcBorders>
              <w:top w:val="single" w:sz="8" w:space="0" w:color="000000"/>
              <w:left w:val="single" w:sz="8" w:space="0" w:color="999999"/>
              <w:bottom w:val="nil"/>
              <w:right w:val="single" w:sz="8" w:space="0" w:color="999999"/>
            </w:tcBorders>
            <w:shd w:val="clear" w:color="000000" w:fill="FFFFFF"/>
            <w:vAlign w:val="center"/>
          </w:tcPr>
          <w:p w14:paraId="1A2D1D70" w14:textId="77777777" w:rsidR="000923BB" w:rsidRDefault="000923BB" w:rsidP="003A385F">
            <w:pPr>
              <w:autoSpaceDE w:val="0"/>
              <w:autoSpaceDN w:val="0"/>
              <w:adjustRightInd w:val="0"/>
              <w:jc w:val="both"/>
              <w:rPr>
                <w:rFonts w:ascii="Arial Narrow" w:hAnsi="Arial Narrow"/>
                <w:color w:val="000000"/>
                <w:sz w:val="16"/>
                <w:szCs w:val="16"/>
              </w:rPr>
            </w:pPr>
            <w:r>
              <w:rPr>
                <w:rFonts w:ascii="Arial Narrow" w:hAnsi="Arial Narrow"/>
                <w:color w:val="000000"/>
                <w:sz w:val="16"/>
                <w:szCs w:val="16"/>
              </w:rPr>
              <w:t>13%</w:t>
            </w:r>
          </w:p>
        </w:tc>
        <w:tc>
          <w:tcPr>
            <w:tcW w:w="776" w:type="dxa"/>
            <w:tcBorders>
              <w:top w:val="single" w:sz="8" w:space="0" w:color="000000"/>
              <w:left w:val="single" w:sz="8" w:space="0" w:color="999999"/>
              <w:bottom w:val="nil"/>
              <w:right w:val="single" w:sz="8" w:space="0" w:color="auto"/>
            </w:tcBorders>
            <w:shd w:val="clear" w:color="000000" w:fill="FFFFFF"/>
            <w:vAlign w:val="center"/>
          </w:tcPr>
          <w:p w14:paraId="4FCF0A1C" w14:textId="77777777" w:rsidR="000923BB" w:rsidRDefault="000923BB" w:rsidP="003A385F">
            <w:pPr>
              <w:autoSpaceDE w:val="0"/>
              <w:autoSpaceDN w:val="0"/>
              <w:adjustRightInd w:val="0"/>
              <w:jc w:val="both"/>
              <w:rPr>
                <w:rFonts w:ascii="Arial Narrow" w:hAnsi="Arial Narrow"/>
                <w:color w:val="000000"/>
                <w:sz w:val="16"/>
                <w:szCs w:val="16"/>
              </w:rPr>
            </w:pPr>
            <w:r>
              <w:rPr>
                <w:rFonts w:ascii="Arial Narrow" w:hAnsi="Arial Narrow"/>
                <w:color w:val="000000"/>
                <w:sz w:val="16"/>
                <w:szCs w:val="16"/>
              </w:rPr>
              <w:t>47%</w:t>
            </w:r>
          </w:p>
        </w:tc>
        <w:tc>
          <w:tcPr>
            <w:tcW w:w="794" w:type="dxa"/>
            <w:tcBorders>
              <w:top w:val="single" w:sz="8" w:space="0" w:color="auto"/>
              <w:left w:val="single" w:sz="8" w:space="0" w:color="auto"/>
              <w:bottom w:val="nil"/>
              <w:right w:val="single" w:sz="8" w:space="0" w:color="999999"/>
            </w:tcBorders>
            <w:shd w:val="clear" w:color="000000" w:fill="FFFFFF"/>
            <w:vAlign w:val="center"/>
          </w:tcPr>
          <w:p w14:paraId="54C3A565" w14:textId="77777777" w:rsidR="000923BB" w:rsidRDefault="000923BB" w:rsidP="003A385F">
            <w:pPr>
              <w:autoSpaceDE w:val="0"/>
              <w:autoSpaceDN w:val="0"/>
              <w:adjustRightInd w:val="0"/>
              <w:jc w:val="both"/>
              <w:rPr>
                <w:rFonts w:ascii="Arial Narrow" w:hAnsi="Arial Narrow"/>
                <w:color w:val="000000"/>
                <w:sz w:val="16"/>
                <w:szCs w:val="16"/>
              </w:rPr>
            </w:pPr>
            <w:r>
              <w:rPr>
                <w:rFonts w:ascii="Arial Narrow" w:hAnsi="Arial Narrow"/>
                <w:color w:val="000000"/>
                <w:sz w:val="16"/>
                <w:szCs w:val="16"/>
              </w:rPr>
              <w:t>4%</w:t>
            </w:r>
          </w:p>
        </w:tc>
        <w:tc>
          <w:tcPr>
            <w:tcW w:w="517" w:type="dxa"/>
            <w:tcBorders>
              <w:top w:val="single" w:sz="8" w:space="0" w:color="auto"/>
              <w:left w:val="single" w:sz="8" w:space="0" w:color="999999"/>
              <w:bottom w:val="nil"/>
              <w:right w:val="single" w:sz="8" w:space="0" w:color="999999"/>
            </w:tcBorders>
            <w:shd w:val="clear" w:color="000000" w:fill="FFFFFF"/>
            <w:vAlign w:val="center"/>
          </w:tcPr>
          <w:p w14:paraId="70ACE9A2" w14:textId="77777777" w:rsidR="000923BB" w:rsidRDefault="000923BB" w:rsidP="003A385F">
            <w:pPr>
              <w:autoSpaceDE w:val="0"/>
              <w:autoSpaceDN w:val="0"/>
              <w:adjustRightInd w:val="0"/>
              <w:jc w:val="both"/>
              <w:rPr>
                <w:rFonts w:ascii="Arial Narrow" w:hAnsi="Arial Narrow"/>
                <w:color w:val="000000"/>
                <w:sz w:val="16"/>
                <w:szCs w:val="16"/>
              </w:rPr>
            </w:pPr>
            <w:r>
              <w:rPr>
                <w:rFonts w:ascii="Arial Narrow" w:hAnsi="Arial Narrow"/>
                <w:color w:val="000000"/>
                <w:sz w:val="16"/>
                <w:szCs w:val="16"/>
              </w:rPr>
              <w:t>16%</w:t>
            </w:r>
          </w:p>
        </w:tc>
        <w:tc>
          <w:tcPr>
            <w:tcW w:w="644" w:type="dxa"/>
            <w:tcBorders>
              <w:top w:val="single" w:sz="8" w:space="0" w:color="auto"/>
              <w:left w:val="single" w:sz="8" w:space="0" w:color="999999"/>
              <w:bottom w:val="nil"/>
              <w:right w:val="single" w:sz="8" w:space="0" w:color="auto"/>
            </w:tcBorders>
            <w:shd w:val="clear" w:color="000000" w:fill="FFFFFF"/>
            <w:vAlign w:val="center"/>
          </w:tcPr>
          <w:p w14:paraId="348BD2CE" w14:textId="77777777" w:rsidR="000923BB" w:rsidRDefault="000923BB" w:rsidP="003A385F">
            <w:pPr>
              <w:autoSpaceDE w:val="0"/>
              <w:autoSpaceDN w:val="0"/>
              <w:adjustRightInd w:val="0"/>
              <w:jc w:val="both"/>
              <w:rPr>
                <w:rFonts w:ascii="Arial Narrow" w:hAnsi="Arial Narrow"/>
                <w:color w:val="000000"/>
                <w:sz w:val="16"/>
                <w:szCs w:val="16"/>
              </w:rPr>
            </w:pPr>
            <w:r>
              <w:rPr>
                <w:rFonts w:ascii="Arial Narrow" w:hAnsi="Arial Narrow"/>
                <w:color w:val="000000"/>
                <w:sz w:val="16"/>
                <w:szCs w:val="16"/>
              </w:rPr>
              <w:t>47%</w:t>
            </w:r>
          </w:p>
        </w:tc>
      </w:tr>
      <w:tr w:rsidR="00A24042" w14:paraId="65D5B844" w14:textId="77777777" w:rsidTr="00A24042">
        <w:trPr>
          <w:trHeight w:val="511"/>
          <w:jc w:val="center"/>
        </w:trPr>
        <w:tc>
          <w:tcPr>
            <w:tcW w:w="1088" w:type="dxa"/>
            <w:tcBorders>
              <w:top w:val="nil"/>
              <w:left w:val="single" w:sz="8" w:space="0" w:color="auto"/>
              <w:bottom w:val="nil"/>
              <w:right w:val="single" w:sz="8" w:space="0" w:color="000000"/>
            </w:tcBorders>
            <w:shd w:val="clear" w:color="000000" w:fill="FFFFFF"/>
            <w:vAlign w:val="center"/>
          </w:tcPr>
          <w:p w14:paraId="1EBD9475" w14:textId="77777777" w:rsidR="000923BB" w:rsidRDefault="000923BB" w:rsidP="003A385F">
            <w:pPr>
              <w:autoSpaceDE w:val="0"/>
              <w:autoSpaceDN w:val="0"/>
              <w:adjustRightInd w:val="0"/>
              <w:jc w:val="both"/>
              <w:rPr>
                <w:rFonts w:ascii="Arial Narrow" w:hAnsi="Arial Narrow"/>
                <w:color w:val="000000"/>
                <w:sz w:val="16"/>
                <w:szCs w:val="16"/>
              </w:rPr>
            </w:pPr>
            <w:r>
              <w:rPr>
                <w:rFonts w:ascii="Arial Narrow" w:hAnsi="Arial Narrow"/>
                <w:color w:val="000000"/>
                <w:sz w:val="16"/>
                <w:szCs w:val="16"/>
              </w:rPr>
              <w:t>Codes  6-8 (Limited</w:t>
            </w:r>
            <w:r w:rsidRPr="003E40D0">
              <w:rPr>
                <w:rFonts w:ascii="Arial Narrow" w:hAnsi="Arial Narrow" w:cs="Arial"/>
                <w:sz w:val="16"/>
                <w:szCs w:val="16"/>
              </w:rPr>
              <w:t xml:space="preserve"> comment about care and implied judgement</w:t>
            </w:r>
            <w:r>
              <w:rPr>
                <w:rFonts w:ascii="Arial Narrow" w:hAnsi="Arial Narrow"/>
                <w:color w:val="000000"/>
                <w:sz w:val="16"/>
                <w:szCs w:val="16"/>
              </w:rPr>
              <w:t>)</w:t>
            </w:r>
          </w:p>
        </w:tc>
        <w:tc>
          <w:tcPr>
            <w:tcW w:w="475" w:type="dxa"/>
            <w:tcBorders>
              <w:top w:val="nil"/>
              <w:left w:val="single" w:sz="8" w:space="0" w:color="000000"/>
              <w:bottom w:val="nil"/>
              <w:right w:val="single" w:sz="8" w:space="0" w:color="999999"/>
            </w:tcBorders>
            <w:shd w:val="clear" w:color="000000" w:fill="FFFFFF"/>
            <w:vAlign w:val="center"/>
          </w:tcPr>
          <w:p w14:paraId="69F50778" w14:textId="77777777" w:rsidR="000923BB" w:rsidRDefault="000923BB" w:rsidP="003A385F">
            <w:pPr>
              <w:autoSpaceDE w:val="0"/>
              <w:autoSpaceDN w:val="0"/>
              <w:adjustRightInd w:val="0"/>
              <w:jc w:val="both"/>
              <w:rPr>
                <w:rFonts w:ascii="Arial Narrow" w:hAnsi="Arial Narrow"/>
                <w:color w:val="000000"/>
                <w:sz w:val="16"/>
                <w:szCs w:val="16"/>
              </w:rPr>
            </w:pPr>
            <w:r>
              <w:rPr>
                <w:rFonts w:ascii="Arial Narrow" w:hAnsi="Arial Narrow"/>
                <w:color w:val="000000"/>
                <w:sz w:val="16"/>
                <w:szCs w:val="16"/>
              </w:rPr>
              <w:t>15%</w:t>
            </w:r>
          </w:p>
        </w:tc>
        <w:tc>
          <w:tcPr>
            <w:tcW w:w="517" w:type="dxa"/>
            <w:tcBorders>
              <w:top w:val="nil"/>
              <w:left w:val="single" w:sz="8" w:space="0" w:color="999999"/>
              <w:bottom w:val="nil"/>
              <w:right w:val="single" w:sz="8" w:space="0" w:color="999999"/>
            </w:tcBorders>
            <w:shd w:val="clear" w:color="000000" w:fill="FFFFFF"/>
            <w:vAlign w:val="center"/>
          </w:tcPr>
          <w:p w14:paraId="782C84EB" w14:textId="77777777" w:rsidR="000923BB" w:rsidRDefault="000923BB" w:rsidP="003A385F">
            <w:pPr>
              <w:autoSpaceDE w:val="0"/>
              <w:autoSpaceDN w:val="0"/>
              <w:adjustRightInd w:val="0"/>
              <w:jc w:val="both"/>
              <w:rPr>
                <w:rFonts w:ascii="Arial Narrow" w:hAnsi="Arial Narrow"/>
                <w:color w:val="000000"/>
                <w:sz w:val="16"/>
                <w:szCs w:val="16"/>
              </w:rPr>
            </w:pPr>
            <w:r>
              <w:rPr>
                <w:rFonts w:ascii="Arial Narrow" w:hAnsi="Arial Narrow"/>
                <w:color w:val="000000"/>
                <w:sz w:val="16"/>
                <w:szCs w:val="16"/>
              </w:rPr>
              <w:t>32%</w:t>
            </w:r>
          </w:p>
        </w:tc>
        <w:tc>
          <w:tcPr>
            <w:tcW w:w="517" w:type="dxa"/>
            <w:tcBorders>
              <w:top w:val="nil"/>
              <w:left w:val="single" w:sz="8" w:space="0" w:color="999999"/>
              <w:bottom w:val="nil"/>
              <w:right w:val="single" w:sz="8" w:space="0" w:color="auto"/>
            </w:tcBorders>
            <w:shd w:val="clear" w:color="000000" w:fill="FFFFFF"/>
            <w:vAlign w:val="center"/>
          </w:tcPr>
          <w:p w14:paraId="5EF43503" w14:textId="77777777" w:rsidR="000923BB" w:rsidRDefault="000923BB" w:rsidP="003A385F">
            <w:pPr>
              <w:autoSpaceDE w:val="0"/>
              <w:autoSpaceDN w:val="0"/>
              <w:adjustRightInd w:val="0"/>
              <w:jc w:val="both"/>
              <w:rPr>
                <w:rFonts w:ascii="Arial Narrow" w:hAnsi="Arial Narrow"/>
                <w:color w:val="000000"/>
                <w:sz w:val="16"/>
                <w:szCs w:val="16"/>
              </w:rPr>
            </w:pPr>
            <w:r>
              <w:rPr>
                <w:rFonts w:ascii="Arial Narrow" w:hAnsi="Arial Narrow"/>
                <w:color w:val="000000"/>
                <w:sz w:val="16"/>
                <w:szCs w:val="16"/>
              </w:rPr>
              <w:t>56%</w:t>
            </w:r>
          </w:p>
        </w:tc>
        <w:tc>
          <w:tcPr>
            <w:tcW w:w="644" w:type="dxa"/>
            <w:tcBorders>
              <w:top w:val="nil"/>
              <w:left w:val="single" w:sz="8" w:space="0" w:color="auto"/>
              <w:bottom w:val="nil"/>
              <w:right w:val="single" w:sz="8" w:space="0" w:color="999999"/>
            </w:tcBorders>
            <w:shd w:val="clear" w:color="000000" w:fill="FFFFFF"/>
            <w:vAlign w:val="center"/>
          </w:tcPr>
          <w:p w14:paraId="59A2A7DA" w14:textId="77777777" w:rsidR="000923BB" w:rsidRDefault="000923BB" w:rsidP="003A385F">
            <w:pPr>
              <w:autoSpaceDE w:val="0"/>
              <w:autoSpaceDN w:val="0"/>
              <w:adjustRightInd w:val="0"/>
              <w:jc w:val="both"/>
              <w:rPr>
                <w:rFonts w:ascii="Arial Narrow" w:hAnsi="Arial Narrow"/>
                <w:color w:val="000000"/>
                <w:sz w:val="16"/>
                <w:szCs w:val="16"/>
              </w:rPr>
            </w:pPr>
            <w:r>
              <w:rPr>
                <w:rFonts w:ascii="Arial Narrow" w:hAnsi="Arial Narrow"/>
                <w:color w:val="000000"/>
                <w:sz w:val="16"/>
                <w:szCs w:val="16"/>
              </w:rPr>
              <w:t>15%</w:t>
            </w:r>
          </w:p>
        </w:tc>
        <w:tc>
          <w:tcPr>
            <w:tcW w:w="645" w:type="dxa"/>
            <w:tcBorders>
              <w:top w:val="nil"/>
              <w:left w:val="single" w:sz="8" w:space="0" w:color="999999"/>
              <w:bottom w:val="nil"/>
              <w:right w:val="single" w:sz="8" w:space="0" w:color="999999"/>
            </w:tcBorders>
            <w:shd w:val="clear" w:color="000000" w:fill="FFFFFF"/>
            <w:vAlign w:val="center"/>
          </w:tcPr>
          <w:p w14:paraId="500E4863" w14:textId="77777777" w:rsidR="000923BB" w:rsidRDefault="000923BB" w:rsidP="003A385F">
            <w:pPr>
              <w:autoSpaceDE w:val="0"/>
              <w:autoSpaceDN w:val="0"/>
              <w:adjustRightInd w:val="0"/>
              <w:jc w:val="both"/>
              <w:rPr>
                <w:rFonts w:ascii="Arial Narrow" w:hAnsi="Arial Narrow"/>
                <w:color w:val="000000"/>
                <w:sz w:val="16"/>
                <w:szCs w:val="16"/>
              </w:rPr>
            </w:pPr>
            <w:r>
              <w:rPr>
                <w:rFonts w:ascii="Arial Narrow" w:hAnsi="Arial Narrow"/>
                <w:color w:val="000000"/>
                <w:sz w:val="16"/>
                <w:szCs w:val="16"/>
              </w:rPr>
              <w:t>36%</w:t>
            </w:r>
          </w:p>
        </w:tc>
        <w:tc>
          <w:tcPr>
            <w:tcW w:w="647" w:type="dxa"/>
            <w:tcBorders>
              <w:top w:val="nil"/>
              <w:left w:val="single" w:sz="8" w:space="0" w:color="999999"/>
              <w:bottom w:val="nil"/>
              <w:right w:val="single" w:sz="8" w:space="0" w:color="auto"/>
            </w:tcBorders>
            <w:shd w:val="clear" w:color="000000" w:fill="FFFFFF"/>
            <w:vAlign w:val="center"/>
          </w:tcPr>
          <w:p w14:paraId="4EFBD0E9" w14:textId="77777777" w:rsidR="000923BB" w:rsidRDefault="000923BB" w:rsidP="003A385F">
            <w:pPr>
              <w:autoSpaceDE w:val="0"/>
              <w:autoSpaceDN w:val="0"/>
              <w:adjustRightInd w:val="0"/>
              <w:jc w:val="both"/>
              <w:rPr>
                <w:rFonts w:ascii="Arial Narrow" w:hAnsi="Arial Narrow"/>
                <w:color w:val="000000"/>
                <w:sz w:val="16"/>
                <w:szCs w:val="16"/>
              </w:rPr>
            </w:pPr>
            <w:r>
              <w:rPr>
                <w:rFonts w:ascii="Arial Narrow" w:hAnsi="Arial Narrow"/>
                <w:color w:val="000000"/>
                <w:sz w:val="16"/>
                <w:szCs w:val="16"/>
              </w:rPr>
              <w:t>48%</w:t>
            </w:r>
          </w:p>
        </w:tc>
        <w:tc>
          <w:tcPr>
            <w:tcW w:w="645" w:type="dxa"/>
            <w:tcBorders>
              <w:top w:val="nil"/>
              <w:left w:val="single" w:sz="8" w:space="0" w:color="auto"/>
              <w:bottom w:val="nil"/>
              <w:right w:val="single" w:sz="8" w:space="0" w:color="999999"/>
            </w:tcBorders>
            <w:shd w:val="clear" w:color="000000" w:fill="FFFFFF"/>
            <w:vAlign w:val="center"/>
          </w:tcPr>
          <w:p w14:paraId="2D8A5768" w14:textId="77777777" w:rsidR="000923BB" w:rsidRDefault="000923BB" w:rsidP="003A385F">
            <w:pPr>
              <w:autoSpaceDE w:val="0"/>
              <w:autoSpaceDN w:val="0"/>
              <w:adjustRightInd w:val="0"/>
              <w:jc w:val="both"/>
              <w:rPr>
                <w:rFonts w:ascii="Arial Narrow" w:hAnsi="Arial Narrow"/>
                <w:color w:val="000000"/>
                <w:sz w:val="16"/>
                <w:szCs w:val="16"/>
              </w:rPr>
            </w:pPr>
            <w:r>
              <w:rPr>
                <w:rFonts w:ascii="Arial Narrow" w:hAnsi="Arial Narrow"/>
                <w:color w:val="000000"/>
                <w:sz w:val="16"/>
                <w:szCs w:val="16"/>
              </w:rPr>
              <w:t>27%</w:t>
            </w:r>
          </w:p>
        </w:tc>
        <w:tc>
          <w:tcPr>
            <w:tcW w:w="497" w:type="dxa"/>
            <w:tcBorders>
              <w:top w:val="nil"/>
              <w:left w:val="single" w:sz="8" w:space="0" w:color="999999"/>
              <w:bottom w:val="nil"/>
              <w:right w:val="single" w:sz="8" w:space="0" w:color="999999"/>
            </w:tcBorders>
            <w:shd w:val="clear" w:color="000000" w:fill="FFFFFF"/>
            <w:vAlign w:val="center"/>
          </w:tcPr>
          <w:p w14:paraId="2F4805AD" w14:textId="77777777" w:rsidR="000923BB" w:rsidRDefault="000923BB" w:rsidP="003A385F">
            <w:pPr>
              <w:autoSpaceDE w:val="0"/>
              <w:autoSpaceDN w:val="0"/>
              <w:adjustRightInd w:val="0"/>
              <w:jc w:val="both"/>
              <w:rPr>
                <w:rFonts w:ascii="Arial Narrow" w:hAnsi="Arial Narrow"/>
                <w:color w:val="000000"/>
                <w:sz w:val="16"/>
                <w:szCs w:val="16"/>
              </w:rPr>
            </w:pPr>
            <w:r>
              <w:rPr>
                <w:rFonts w:ascii="Arial Narrow" w:hAnsi="Arial Narrow"/>
                <w:color w:val="000000"/>
                <w:sz w:val="16"/>
                <w:szCs w:val="16"/>
              </w:rPr>
              <w:t>53%</w:t>
            </w:r>
          </w:p>
        </w:tc>
        <w:tc>
          <w:tcPr>
            <w:tcW w:w="776" w:type="dxa"/>
            <w:tcBorders>
              <w:top w:val="nil"/>
              <w:left w:val="single" w:sz="8" w:space="0" w:color="999999"/>
              <w:bottom w:val="nil"/>
              <w:right w:val="single" w:sz="8" w:space="0" w:color="auto"/>
            </w:tcBorders>
            <w:shd w:val="clear" w:color="000000" w:fill="FFFFFF"/>
            <w:vAlign w:val="center"/>
          </w:tcPr>
          <w:p w14:paraId="790E8FF7" w14:textId="77777777" w:rsidR="000923BB" w:rsidRDefault="000923BB" w:rsidP="003A385F">
            <w:pPr>
              <w:autoSpaceDE w:val="0"/>
              <w:autoSpaceDN w:val="0"/>
              <w:adjustRightInd w:val="0"/>
              <w:jc w:val="both"/>
              <w:rPr>
                <w:rFonts w:ascii="Arial Narrow" w:hAnsi="Arial Narrow"/>
                <w:color w:val="000000"/>
                <w:sz w:val="16"/>
                <w:szCs w:val="16"/>
              </w:rPr>
            </w:pPr>
            <w:r>
              <w:rPr>
                <w:rFonts w:ascii="Arial Narrow" w:hAnsi="Arial Narrow"/>
                <w:color w:val="000000"/>
                <w:sz w:val="16"/>
                <w:szCs w:val="16"/>
              </w:rPr>
              <w:t>48%</w:t>
            </w:r>
          </w:p>
        </w:tc>
        <w:tc>
          <w:tcPr>
            <w:tcW w:w="794" w:type="dxa"/>
            <w:tcBorders>
              <w:top w:val="nil"/>
              <w:left w:val="single" w:sz="8" w:space="0" w:color="auto"/>
              <w:bottom w:val="nil"/>
              <w:right w:val="single" w:sz="8" w:space="0" w:color="999999"/>
            </w:tcBorders>
            <w:shd w:val="clear" w:color="000000" w:fill="FFFFFF"/>
            <w:vAlign w:val="center"/>
          </w:tcPr>
          <w:p w14:paraId="3EB5F9EE" w14:textId="77777777" w:rsidR="000923BB" w:rsidRDefault="000923BB" w:rsidP="003A385F">
            <w:pPr>
              <w:autoSpaceDE w:val="0"/>
              <w:autoSpaceDN w:val="0"/>
              <w:adjustRightInd w:val="0"/>
              <w:jc w:val="both"/>
              <w:rPr>
                <w:rFonts w:ascii="Arial Narrow" w:hAnsi="Arial Narrow"/>
                <w:color w:val="000000"/>
                <w:sz w:val="16"/>
                <w:szCs w:val="16"/>
              </w:rPr>
            </w:pPr>
            <w:r>
              <w:rPr>
                <w:rFonts w:ascii="Arial Narrow" w:hAnsi="Arial Narrow"/>
                <w:color w:val="000000"/>
                <w:sz w:val="16"/>
                <w:szCs w:val="16"/>
              </w:rPr>
              <w:t>4%</w:t>
            </w:r>
          </w:p>
        </w:tc>
        <w:tc>
          <w:tcPr>
            <w:tcW w:w="517" w:type="dxa"/>
            <w:tcBorders>
              <w:top w:val="nil"/>
              <w:left w:val="single" w:sz="8" w:space="0" w:color="999999"/>
              <w:bottom w:val="nil"/>
              <w:right w:val="single" w:sz="8" w:space="0" w:color="999999"/>
            </w:tcBorders>
            <w:shd w:val="clear" w:color="000000" w:fill="FFFFFF"/>
            <w:vAlign w:val="center"/>
          </w:tcPr>
          <w:p w14:paraId="6641FB65" w14:textId="77777777" w:rsidR="000923BB" w:rsidRDefault="000923BB" w:rsidP="003A385F">
            <w:pPr>
              <w:autoSpaceDE w:val="0"/>
              <w:autoSpaceDN w:val="0"/>
              <w:adjustRightInd w:val="0"/>
              <w:jc w:val="both"/>
              <w:rPr>
                <w:rFonts w:ascii="Arial Narrow" w:hAnsi="Arial Narrow"/>
                <w:color w:val="000000"/>
                <w:sz w:val="16"/>
                <w:szCs w:val="16"/>
              </w:rPr>
            </w:pPr>
            <w:r>
              <w:rPr>
                <w:rFonts w:ascii="Arial Narrow" w:hAnsi="Arial Narrow"/>
                <w:color w:val="000000"/>
                <w:sz w:val="16"/>
                <w:szCs w:val="16"/>
              </w:rPr>
              <w:t>15%</w:t>
            </w:r>
          </w:p>
        </w:tc>
        <w:tc>
          <w:tcPr>
            <w:tcW w:w="644" w:type="dxa"/>
            <w:tcBorders>
              <w:top w:val="nil"/>
              <w:left w:val="single" w:sz="8" w:space="0" w:color="999999"/>
              <w:bottom w:val="nil"/>
              <w:right w:val="single" w:sz="8" w:space="0" w:color="auto"/>
            </w:tcBorders>
            <w:shd w:val="clear" w:color="000000" w:fill="FFFFFF"/>
            <w:vAlign w:val="center"/>
          </w:tcPr>
          <w:p w14:paraId="0C564D07" w14:textId="77777777" w:rsidR="000923BB" w:rsidRDefault="000923BB" w:rsidP="003A385F">
            <w:pPr>
              <w:autoSpaceDE w:val="0"/>
              <w:autoSpaceDN w:val="0"/>
              <w:adjustRightInd w:val="0"/>
              <w:jc w:val="both"/>
              <w:rPr>
                <w:rFonts w:ascii="Arial Narrow" w:hAnsi="Arial Narrow"/>
                <w:color w:val="000000"/>
                <w:sz w:val="16"/>
                <w:szCs w:val="16"/>
              </w:rPr>
            </w:pPr>
            <w:r>
              <w:rPr>
                <w:rFonts w:ascii="Arial Narrow" w:hAnsi="Arial Narrow"/>
                <w:color w:val="000000"/>
                <w:sz w:val="16"/>
                <w:szCs w:val="16"/>
              </w:rPr>
              <w:t>7%</w:t>
            </w:r>
          </w:p>
        </w:tc>
      </w:tr>
      <w:tr w:rsidR="00A24042" w14:paraId="300DB478" w14:textId="77777777" w:rsidTr="00A24042">
        <w:trPr>
          <w:trHeight w:val="480"/>
          <w:jc w:val="center"/>
        </w:trPr>
        <w:tc>
          <w:tcPr>
            <w:tcW w:w="1088" w:type="dxa"/>
            <w:tcBorders>
              <w:top w:val="nil"/>
              <w:left w:val="single" w:sz="8" w:space="0" w:color="auto"/>
              <w:bottom w:val="single" w:sz="8" w:space="0" w:color="000000"/>
              <w:right w:val="single" w:sz="8" w:space="0" w:color="000000"/>
            </w:tcBorders>
            <w:shd w:val="clear" w:color="000000" w:fill="FFFFFF"/>
            <w:vAlign w:val="center"/>
          </w:tcPr>
          <w:p w14:paraId="530B07C8" w14:textId="77777777" w:rsidR="000923BB" w:rsidRDefault="000923BB" w:rsidP="003A385F">
            <w:pPr>
              <w:autoSpaceDE w:val="0"/>
              <w:autoSpaceDN w:val="0"/>
              <w:adjustRightInd w:val="0"/>
              <w:jc w:val="both"/>
              <w:rPr>
                <w:rFonts w:ascii="Arial Narrow" w:hAnsi="Arial Narrow"/>
                <w:color w:val="000000"/>
                <w:sz w:val="16"/>
                <w:szCs w:val="16"/>
              </w:rPr>
            </w:pPr>
            <w:r>
              <w:rPr>
                <w:rFonts w:ascii="Arial Narrow" w:hAnsi="Arial Narrow"/>
                <w:color w:val="000000"/>
                <w:sz w:val="16"/>
                <w:szCs w:val="16"/>
              </w:rPr>
              <w:t>Code 9-13 (explicit judgement of care [9] or more sophisticated comments about care with explicit judgements and views)</w:t>
            </w:r>
          </w:p>
        </w:tc>
        <w:tc>
          <w:tcPr>
            <w:tcW w:w="475" w:type="dxa"/>
            <w:tcBorders>
              <w:top w:val="nil"/>
              <w:left w:val="single" w:sz="8" w:space="0" w:color="000000"/>
              <w:bottom w:val="single" w:sz="8" w:space="0" w:color="000000"/>
              <w:right w:val="single" w:sz="8" w:space="0" w:color="999999"/>
            </w:tcBorders>
            <w:shd w:val="clear" w:color="000000" w:fill="FFFFFF"/>
            <w:vAlign w:val="center"/>
          </w:tcPr>
          <w:p w14:paraId="69365FE4" w14:textId="77777777" w:rsidR="000923BB" w:rsidRDefault="000923BB" w:rsidP="003A385F">
            <w:pPr>
              <w:autoSpaceDE w:val="0"/>
              <w:autoSpaceDN w:val="0"/>
              <w:adjustRightInd w:val="0"/>
              <w:jc w:val="both"/>
              <w:rPr>
                <w:rFonts w:ascii="Arial Narrow" w:hAnsi="Arial Narrow"/>
                <w:color w:val="000000"/>
                <w:sz w:val="16"/>
                <w:szCs w:val="16"/>
              </w:rPr>
            </w:pPr>
            <w:r>
              <w:rPr>
                <w:rFonts w:ascii="Arial Narrow" w:hAnsi="Arial Narrow"/>
                <w:color w:val="000000"/>
                <w:sz w:val="16"/>
                <w:szCs w:val="16"/>
              </w:rPr>
              <w:t>81%</w:t>
            </w:r>
          </w:p>
        </w:tc>
        <w:tc>
          <w:tcPr>
            <w:tcW w:w="517" w:type="dxa"/>
            <w:tcBorders>
              <w:top w:val="nil"/>
              <w:left w:val="single" w:sz="8" w:space="0" w:color="999999"/>
              <w:bottom w:val="single" w:sz="8" w:space="0" w:color="000000"/>
              <w:right w:val="single" w:sz="8" w:space="0" w:color="999999"/>
            </w:tcBorders>
            <w:shd w:val="clear" w:color="000000" w:fill="FFFFFF"/>
            <w:vAlign w:val="center"/>
          </w:tcPr>
          <w:p w14:paraId="66099EAB" w14:textId="77777777" w:rsidR="000923BB" w:rsidRDefault="000923BB" w:rsidP="003A385F">
            <w:pPr>
              <w:autoSpaceDE w:val="0"/>
              <w:autoSpaceDN w:val="0"/>
              <w:adjustRightInd w:val="0"/>
              <w:jc w:val="both"/>
              <w:rPr>
                <w:rFonts w:ascii="Arial Narrow" w:hAnsi="Arial Narrow"/>
                <w:color w:val="000000"/>
                <w:sz w:val="16"/>
                <w:szCs w:val="16"/>
              </w:rPr>
            </w:pPr>
            <w:r>
              <w:rPr>
                <w:rFonts w:ascii="Arial Narrow" w:hAnsi="Arial Narrow"/>
                <w:color w:val="000000"/>
                <w:sz w:val="16"/>
                <w:szCs w:val="16"/>
              </w:rPr>
              <w:t>54%</w:t>
            </w:r>
          </w:p>
        </w:tc>
        <w:tc>
          <w:tcPr>
            <w:tcW w:w="517" w:type="dxa"/>
            <w:tcBorders>
              <w:top w:val="nil"/>
              <w:left w:val="single" w:sz="8" w:space="0" w:color="999999"/>
              <w:bottom w:val="single" w:sz="8" w:space="0" w:color="000000"/>
              <w:right w:val="single" w:sz="8" w:space="0" w:color="auto"/>
            </w:tcBorders>
            <w:shd w:val="clear" w:color="000000" w:fill="FFFFFF"/>
            <w:vAlign w:val="center"/>
          </w:tcPr>
          <w:p w14:paraId="1A18F518" w14:textId="77777777" w:rsidR="000923BB" w:rsidRDefault="000923BB" w:rsidP="003A385F">
            <w:pPr>
              <w:autoSpaceDE w:val="0"/>
              <w:autoSpaceDN w:val="0"/>
              <w:adjustRightInd w:val="0"/>
              <w:jc w:val="both"/>
              <w:rPr>
                <w:rFonts w:ascii="Arial Narrow" w:hAnsi="Arial Narrow"/>
                <w:color w:val="000000"/>
                <w:sz w:val="16"/>
                <w:szCs w:val="16"/>
              </w:rPr>
            </w:pPr>
            <w:r>
              <w:rPr>
                <w:rFonts w:ascii="Arial Narrow" w:hAnsi="Arial Narrow"/>
                <w:color w:val="000000"/>
                <w:sz w:val="16"/>
                <w:szCs w:val="16"/>
              </w:rPr>
              <w:t>4%</w:t>
            </w:r>
          </w:p>
        </w:tc>
        <w:tc>
          <w:tcPr>
            <w:tcW w:w="644" w:type="dxa"/>
            <w:tcBorders>
              <w:top w:val="nil"/>
              <w:left w:val="single" w:sz="8" w:space="0" w:color="auto"/>
              <w:bottom w:val="single" w:sz="8" w:space="0" w:color="000000"/>
              <w:right w:val="single" w:sz="8" w:space="0" w:color="999999"/>
            </w:tcBorders>
            <w:shd w:val="clear" w:color="000000" w:fill="FFFFFF"/>
            <w:vAlign w:val="center"/>
          </w:tcPr>
          <w:p w14:paraId="4A7F4D92" w14:textId="77777777" w:rsidR="000923BB" w:rsidRDefault="000923BB" w:rsidP="003A385F">
            <w:pPr>
              <w:autoSpaceDE w:val="0"/>
              <w:autoSpaceDN w:val="0"/>
              <w:adjustRightInd w:val="0"/>
              <w:jc w:val="both"/>
              <w:rPr>
                <w:rFonts w:ascii="Arial Narrow" w:hAnsi="Arial Narrow"/>
                <w:color w:val="000000"/>
                <w:sz w:val="16"/>
                <w:szCs w:val="16"/>
              </w:rPr>
            </w:pPr>
            <w:r>
              <w:rPr>
                <w:rFonts w:ascii="Arial Narrow" w:hAnsi="Arial Narrow"/>
                <w:color w:val="000000"/>
                <w:sz w:val="16"/>
                <w:szCs w:val="16"/>
              </w:rPr>
              <w:t>84%</w:t>
            </w:r>
          </w:p>
        </w:tc>
        <w:tc>
          <w:tcPr>
            <w:tcW w:w="645" w:type="dxa"/>
            <w:tcBorders>
              <w:top w:val="nil"/>
              <w:left w:val="single" w:sz="8" w:space="0" w:color="999999"/>
              <w:bottom w:val="single" w:sz="8" w:space="0" w:color="000000"/>
              <w:right w:val="single" w:sz="8" w:space="0" w:color="999999"/>
            </w:tcBorders>
            <w:shd w:val="clear" w:color="000000" w:fill="FFFFFF"/>
            <w:vAlign w:val="center"/>
          </w:tcPr>
          <w:p w14:paraId="10CFA831" w14:textId="77777777" w:rsidR="000923BB" w:rsidRDefault="000923BB" w:rsidP="003A385F">
            <w:pPr>
              <w:autoSpaceDE w:val="0"/>
              <w:autoSpaceDN w:val="0"/>
              <w:adjustRightInd w:val="0"/>
              <w:jc w:val="both"/>
              <w:rPr>
                <w:rFonts w:ascii="Arial Narrow" w:hAnsi="Arial Narrow"/>
                <w:color w:val="000000"/>
                <w:sz w:val="16"/>
                <w:szCs w:val="16"/>
              </w:rPr>
            </w:pPr>
            <w:r>
              <w:rPr>
                <w:rFonts w:ascii="Arial Narrow" w:hAnsi="Arial Narrow"/>
                <w:color w:val="000000"/>
                <w:sz w:val="16"/>
                <w:szCs w:val="16"/>
              </w:rPr>
              <w:t>52%</w:t>
            </w:r>
          </w:p>
        </w:tc>
        <w:tc>
          <w:tcPr>
            <w:tcW w:w="647" w:type="dxa"/>
            <w:tcBorders>
              <w:top w:val="nil"/>
              <w:left w:val="single" w:sz="8" w:space="0" w:color="999999"/>
              <w:bottom w:val="single" w:sz="8" w:space="0" w:color="000000"/>
              <w:right w:val="single" w:sz="8" w:space="0" w:color="auto"/>
            </w:tcBorders>
            <w:shd w:val="clear" w:color="000000" w:fill="FFFFFF"/>
            <w:vAlign w:val="center"/>
          </w:tcPr>
          <w:p w14:paraId="09742497" w14:textId="77777777" w:rsidR="000923BB" w:rsidRDefault="000923BB" w:rsidP="003A385F">
            <w:pPr>
              <w:autoSpaceDE w:val="0"/>
              <w:autoSpaceDN w:val="0"/>
              <w:adjustRightInd w:val="0"/>
              <w:jc w:val="both"/>
              <w:rPr>
                <w:rFonts w:ascii="Arial Narrow" w:hAnsi="Arial Narrow"/>
                <w:color w:val="000000"/>
                <w:sz w:val="16"/>
                <w:szCs w:val="16"/>
              </w:rPr>
            </w:pPr>
            <w:r>
              <w:rPr>
                <w:rFonts w:ascii="Arial Narrow" w:hAnsi="Arial Narrow"/>
                <w:color w:val="000000"/>
                <w:sz w:val="16"/>
                <w:szCs w:val="16"/>
              </w:rPr>
              <w:t>13%</w:t>
            </w:r>
          </w:p>
        </w:tc>
        <w:tc>
          <w:tcPr>
            <w:tcW w:w="645" w:type="dxa"/>
            <w:tcBorders>
              <w:top w:val="nil"/>
              <w:left w:val="single" w:sz="8" w:space="0" w:color="auto"/>
              <w:bottom w:val="single" w:sz="8" w:space="0" w:color="000000"/>
              <w:right w:val="single" w:sz="8" w:space="0" w:color="999999"/>
            </w:tcBorders>
            <w:shd w:val="clear" w:color="000000" w:fill="FFFFFF"/>
            <w:vAlign w:val="center"/>
          </w:tcPr>
          <w:p w14:paraId="47AC5E97" w14:textId="77777777" w:rsidR="000923BB" w:rsidRDefault="000923BB" w:rsidP="003A385F">
            <w:pPr>
              <w:autoSpaceDE w:val="0"/>
              <w:autoSpaceDN w:val="0"/>
              <w:adjustRightInd w:val="0"/>
              <w:jc w:val="both"/>
              <w:rPr>
                <w:rFonts w:ascii="Arial Narrow" w:hAnsi="Arial Narrow"/>
                <w:color w:val="000000"/>
                <w:sz w:val="16"/>
                <w:szCs w:val="16"/>
              </w:rPr>
            </w:pPr>
            <w:r>
              <w:rPr>
                <w:rFonts w:ascii="Arial Narrow" w:hAnsi="Arial Narrow"/>
                <w:color w:val="000000"/>
                <w:sz w:val="16"/>
                <w:szCs w:val="16"/>
              </w:rPr>
              <w:t>68%</w:t>
            </w:r>
          </w:p>
        </w:tc>
        <w:tc>
          <w:tcPr>
            <w:tcW w:w="497" w:type="dxa"/>
            <w:tcBorders>
              <w:top w:val="nil"/>
              <w:left w:val="single" w:sz="8" w:space="0" w:color="999999"/>
              <w:bottom w:val="single" w:sz="8" w:space="0" w:color="000000"/>
              <w:right w:val="single" w:sz="8" w:space="0" w:color="999999"/>
            </w:tcBorders>
            <w:shd w:val="clear" w:color="000000" w:fill="FFFFFF"/>
            <w:vAlign w:val="center"/>
          </w:tcPr>
          <w:p w14:paraId="3AB5A75D" w14:textId="77777777" w:rsidR="000923BB" w:rsidRDefault="000923BB" w:rsidP="003A385F">
            <w:pPr>
              <w:autoSpaceDE w:val="0"/>
              <w:autoSpaceDN w:val="0"/>
              <w:adjustRightInd w:val="0"/>
              <w:jc w:val="both"/>
              <w:rPr>
                <w:rFonts w:ascii="Arial Narrow" w:hAnsi="Arial Narrow"/>
                <w:color w:val="000000"/>
                <w:sz w:val="16"/>
                <w:szCs w:val="16"/>
              </w:rPr>
            </w:pPr>
            <w:r>
              <w:rPr>
                <w:rFonts w:ascii="Arial Narrow" w:hAnsi="Arial Narrow"/>
                <w:color w:val="000000"/>
                <w:sz w:val="16"/>
                <w:szCs w:val="16"/>
              </w:rPr>
              <w:t>34%</w:t>
            </w:r>
          </w:p>
        </w:tc>
        <w:tc>
          <w:tcPr>
            <w:tcW w:w="776" w:type="dxa"/>
            <w:tcBorders>
              <w:top w:val="nil"/>
              <w:left w:val="single" w:sz="8" w:space="0" w:color="999999"/>
              <w:bottom w:val="single" w:sz="8" w:space="0" w:color="000000"/>
              <w:right w:val="single" w:sz="8" w:space="0" w:color="auto"/>
            </w:tcBorders>
            <w:shd w:val="clear" w:color="000000" w:fill="FFFFFF"/>
            <w:vAlign w:val="center"/>
          </w:tcPr>
          <w:p w14:paraId="65E272D3" w14:textId="77777777" w:rsidR="000923BB" w:rsidRDefault="000923BB" w:rsidP="003A385F">
            <w:pPr>
              <w:autoSpaceDE w:val="0"/>
              <w:autoSpaceDN w:val="0"/>
              <w:adjustRightInd w:val="0"/>
              <w:jc w:val="both"/>
              <w:rPr>
                <w:rFonts w:ascii="Arial Narrow" w:hAnsi="Arial Narrow"/>
                <w:color w:val="000000"/>
                <w:sz w:val="16"/>
                <w:szCs w:val="16"/>
              </w:rPr>
            </w:pPr>
            <w:r>
              <w:rPr>
                <w:rFonts w:ascii="Arial Narrow" w:hAnsi="Arial Narrow"/>
                <w:color w:val="000000"/>
                <w:sz w:val="16"/>
                <w:szCs w:val="16"/>
              </w:rPr>
              <w:t>6%</w:t>
            </w:r>
          </w:p>
        </w:tc>
        <w:tc>
          <w:tcPr>
            <w:tcW w:w="794" w:type="dxa"/>
            <w:tcBorders>
              <w:top w:val="nil"/>
              <w:left w:val="single" w:sz="8" w:space="0" w:color="auto"/>
              <w:bottom w:val="single" w:sz="8" w:space="0" w:color="000000"/>
              <w:right w:val="single" w:sz="8" w:space="0" w:color="999999"/>
            </w:tcBorders>
            <w:shd w:val="clear" w:color="000000" w:fill="FFFFFF"/>
            <w:vAlign w:val="center"/>
          </w:tcPr>
          <w:p w14:paraId="3B5BF2E7" w14:textId="77777777" w:rsidR="000923BB" w:rsidRDefault="000923BB" w:rsidP="003A385F">
            <w:pPr>
              <w:autoSpaceDE w:val="0"/>
              <w:autoSpaceDN w:val="0"/>
              <w:adjustRightInd w:val="0"/>
              <w:jc w:val="both"/>
              <w:rPr>
                <w:rFonts w:ascii="Arial Narrow" w:hAnsi="Arial Narrow"/>
                <w:color w:val="000000"/>
                <w:sz w:val="16"/>
                <w:szCs w:val="16"/>
              </w:rPr>
            </w:pPr>
            <w:r>
              <w:rPr>
                <w:rFonts w:ascii="Arial Narrow" w:hAnsi="Arial Narrow"/>
                <w:color w:val="000000"/>
                <w:sz w:val="16"/>
                <w:szCs w:val="16"/>
              </w:rPr>
              <w:t>93%</w:t>
            </w:r>
          </w:p>
        </w:tc>
        <w:tc>
          <w:tcPr>
            <w:tcW w:w="517" w:type="dxa"/>
            <w:tcBorders>
              <w:top w:val="nil"/>
              <w:left w:val="single" w:sz="8" w:space="0" w:color="999999"/>
              <w:bottom w:val="single" w:sz="8" w:space="0" w:color="000000"/>
              <w:right w:val="single" w:sz="8" w:space="0" w:color="999999"/>
            </w:tcBorders>
            <w:shd w:val="clear" w:color="000000" w:fill="FFFFFF"/>
            <w:vAlign w:val="center"/>
          </w:tcPr>
          <w:p w14:paraId="5182511F" w14:textId="77777777" w:rsidR="000923BB" w:rsidRDefault="000923BB" w:rsidP="003A385F">
            <w:pPr>
              <w:autoSpaceDE w:val="0"/>
              <w:autoSpaceDN w:val="0"/>
              <w:adjustRightInd w:val="0"/>
              <w:jc w:val="both"/>
              <w:rPr>
                <w:rFonts w:ascii="Arial Narrow" w:hAnsi="Arial Narrow"/>
                <w:color w:val="000000"/>
                <w:sz w:val="16"/>
                <w:szCs w:val="16"/>
              </w:rPr>
            </w:pPr>
            <w:r>
              <w:rPr>
                <w:rFonts w:ascii="Arial Narrow" w:hAnsi="Arial Narrow"/>
                <w:color w:val="000000"/>
                <w:sz w:val="16"/>
                <w:szCs w:val="16"/>
              </w:rPr>
              <w:t>69%</w:t>
            </w:r>
          </w:p>
        </w:tc>
        <w:tc>
          <w:tcPr>
            <w:tcW w:w="644" w:type="dxa"/>
            <w:tcBorders>
              <w:top w:val="nil"/>
              <w:left w:val="single" w:sz="8" w:space="0" w:color="999999"/>
              <w:bottom w:val="single" w:sz="8" w:space="0" w:color="000000"/>
              <w:right w:val="single" w:sz="8" w:space="0" w:color="auto"/>
            </w:tcBorders>
            <w:shd w:val="clear" w:color="000000" w:fill="FFFFFF"/>
            <w:vAlign w:val="center"/>
          </w:tcPr>
          <w:p w14:paraId="0F6EFDDD" w14:textId="77777777" w:rsidR="000923BB" w:rsidRDefault="000923BB" w:rsidP="003A385F">
            <w:pPr>
              <w:autoSpaceDE w:val="0"/>
              <w:autoSpaceDN w:val="0"/>
              <w:adjustRightInd w:val="0"/>
              <w:jc w:val="both"/>
              <w:rPr>
                <w:rFonts w:ascii="Arial Narrow" w:hAnsi="Arial Narrow"/>
                <w:color w:val="000000"/>
                <w:sz w:val="16"/>
                <w:szCs w:val="16"/>
              </w:rPr>
            </w:pPr>
            <w:r>
              <w:rPr>
                <w:rFonts w:ascii="Arial Narrow" w:hAnsi="Arial Narrow"/>
                <w:color w:val="000000"/>
                <w:sz w:val="16"/>
                <w:szCs w:val="16"/>
              </w:rPr>
              <w:t>46%</w:t>
            </w:r>
          </w:p>
        </w:tc>
      </w:tr>
      <w:tr w:rsidR="00A24042" w14:paraId="6C436C73" w14:textId="77777777" w:rsidTr="00A24042">
        <w:trPr>
          <w:trHeight w:val="431"/>
          <w:jc w:val="center"/>
        </w:trPr>
        <w:tc>
          <w:tcPr>
            <w:tcW w:w="1088"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18D12761" w14:textId="77777777" w:rsidR="000923BB" w:rsidRDefault="000923BB" w:rsidP="003A385F">
            <w:pPr>
              <w:autoSpaceDE w:val="0"/>
              <w:autoSpaceDN w:val="0"/>
              <w:adjustRightInd w:val="0"/>
              <w:jc w:val="both"/>
              <w:rPr>
                <w:rFonts w:ascii="Arial Narrow" w:hAnsi="Arial Narrow"/>
                <w:b/>
                <w:bCs/>
                <w:color w:val="000000"/>
                <w:sz w:val="16"/>
                <w:szCs w:val="16"/>
              </w:rPr>
            </w:pPr>
            <w:r>
              <w:rPr>
                <w:rFonts w:ascii="Arial Narrow" w:hAnsi="Arial Narrow"/>
                <w:b/>
                <w:bCs/>
                <w:color w:val="000000"/>
                <w:sz w:val="16"/>
                <w:szCs w:val="16"/>
              </w:rPr>
              <w:t>Number of reviews (and reviewers):</w:t>
            </w:r>
          </w:p>
        </w:tc>
        <w:tc>
          <w:tcPr>
            <w:tcW w:w="475" w:type="dxa"/>
            <w:tcBorders>
              <w:top w:val="single" w:sz="8" w:space="0" w:color="000000"/>
              <w:left w:val="single" w:sz="8" w:space="0" w:color="000000"/>
              <w:bottom w:val="single" w:sz="8" w:space="0" w:color="000000"/>
              <w:right w:val="single" w:sz="8" w:space="0" w:color="999999"/>
            </w:tcBorders>
            <w:shd w:val="clear" w:color="000000" w:fill="FFFFFF"/>
            <w:vAlign w:val="center"/>
          </w:tcPr>
          <w:p w14:paraId="2AE0682A" w14:textId="77777777" w:rsidR="000923BB" w:rsidRDefault="000923BB" w:rsidP="003A385F">
            <w:pPr>
              <w:jc w:val="both"/>
              <w:rPr>
                <w:rFonts w:ascii="Arial Narrow" w:hAnsi="Arial Narrow"/>
                <w:sz w:val="16"/>
                <w:szCs w:val="16"/>
              </w:rPr>
            </w:pPr>
            <w:r>
              <w:rPr>
                <w:rFonts w:ascii="Arial Narrow" w:hAnsi="Arial Narrow"/>
                <w:sz w:val="16"/>
                <w:szCs w:val="16"/>
              </w:rPr>
              <w:t>258 (6)</w:t>
            </w:r>
          </w:p>
        </w:tc>
        <w:tc>
          <w:tcPr>
            <w:tcW w:w="517" w:type="dxa"/>
            <w:tcBorders>
              <w:top w:val="single" w:sz="8" w:space="0" w:color="000000"/>
              <w:left w:val="single" w:sz="8" w:space="0" w:color="999999"/>
              <w:bottom w:val="single" w:sz="8" w:space="0" w:color="000000"/>
              <w:right w:val="single" w:sz="8" w:space="0" w:color="999999"/>
            </w:tcBorders>
            <w:shd w:val="clear" w:color="000000" w:fill="FFFFFF"/>
            <w:vAlign w:val="center"/>
          </w:tcPr>
          <w:p w14:paraId="7E08E85F" w14:textId="77777777" w:rsidR="000923BB" w:rsidRDefault="000923BB" w:rsidP="003A385F">
            <w:pPr>
              <w:jc w:val="both"/>
              <w:rPr>
                <w:rFonts w:ascii="Arial Narrow" w:hAnsi="Arial Narrow"/>
                <w:sz w:val="16"/>
                <w:szCs w:val="16"/>
              </w:rPr>
            </w:pPr>
            <w:r>
              <w:rPr>
                <w:rFonts w:ascii="Arial Narrow" w:hAnsi="Arial Narrow"/>
                <w:sz w:val="16"/>
                <w:szCs w:val="16"/>
              </w:rPr>
              <w:t>357 (8)</w:t>
            </w:r>
          </w:p>
        </w:tc>
        <w:tc>
          <w:tcPr>
            <w:tcW w:w="517" w:type="dxa"/>
            <w:tcBorders>
              <w:top w:val="single" w:sz="8" w:space="0" w:color="000000"/>
              <w:left w:val="single" w:sz="8" w:space="0" w:color="999999"/>
              <w:bottom w:val="single" w:sz="8" w:space="0" w:color="000000"/>
              <w:right w:val="single" w:sz="8" w:space="0" w:color="000000"/>
            </w:tcBorders>
            <w:shd w:val="clear" w:color="000000" w:fill="FFFFFF"/>
            <w:vAlign w:val="center"/>
          </w:tcPr>
          <w:p w14:paraId="36C791E7" w14:textId="77777777" w:rsidR="000923BB" w:rsidRDefault="000923BB" w:rsidP="003A385F">
            <w:pPr>
              <w:jc w:val="both"/>
              <w:rPr>
                <w:rFonts w:ascii="Arial Narrow" w:hAnsi="Arial Narrow"/>
                <w:sz w:val="16"/>
                <w:szCs w:val="16"/>
              </w:rPr>
            </w:pPr>
            <w:r>
              <w:rPr>
                <w:rFonts w:ascii="Arial Narrow" w:hAnsi="Arial Narrow"/>
                <w:sz w:val="16"/>
                <w:szCs w:val="16"/>
              </w:rPr>
              <w:t>271 (7)</w:t>
            </w:r>
          </w:p>
        </w:tc>
        <w:tc>
          <w:tcPr>
            <w:tcW w:w="644" w:type="dxa"/>
            <w:tcBorders>
              <w:top w:val="single" w:sz="8" w:space="0" w:color="000000"/>
              <w:left w:val="single" w:sz="8" w:space="0" w:color="000000"/>
              <w:bottom w:val="single" w:sz="8" w:space="0" w:color="000000"/>
              <w:right w:val="single" w:sz="8" w:space="0" w:color="999999"/>
            </w:tcBorders>
            <w:shd w:val="clear" w:color="000000" w:fill="FFFFFF"/>
            <w:vAlign w:val="center"/>
          </w:tcPr>
          <w:p w14:paraId="21351B78" w14:textId="77777777" w:rsidR="000923BB" w:rsidRDefault="000923BB" w:rsidP="003A385F">
            <w:pPr>
              <w:jc w:val="both"/>
              <w:rPr>
                <w:rFonts w:ascii="Arial Narrow" w:hAnsi="Arial Narrow"/>
                <w:sz w:val="16"/>
                <w:szCs w:val="16"/>
              </w:rPr>
            </w:pPr>
            <w:r>
              <w:rPr>
                <w:rFonts w:ascii="Arial Narrow" w:hAnsi="Arial Narrow"/>
                <w:sz w:val="16"/>
                <w:szCs w:val="16"/>
              </w:rPr>
              <w:t>273 (6)</w:t>
            </w:r>
          </w:p>
        </w:tc>
        <w:tc>
          <w:tcPr>
            <w:tcW w:w="645" w:type="dxa"/>
            <w:tcBorders>
              <w:top w:val="single" w:sz="8" w:space="0" w:color="000000"/>
              <w:left w:val="single" w:sz="8" w:space="0" w:color="999999"/>
              <w:bottom w:val="single" w:sz="8" w:space="0" w:color="000000"/>
              <w:right w:val="single" w:sz="8" w:space="0" w:color="999999"/>
            </w:tcBorders>
            <w:shd w:val="clear" w:color="000000" w:fill="FFFFFF"/>
            <w:vAlign w:val="center"/>
          </w:tcPr>
          <w:p w14:paraId="0D6B8830" w14:textId="77777777" w:rsidR="000923BB" w:rsidRDefault="000923BB" w:rsidP="003A385F">
            <w:pPr>
              <w:jc w:val="both"/>
              <w:rPr>
                <w:rFonts w:ascii="Arial Narrow" w:hAnsi="Arial Narrow"/>
                <w:sz w:val="16"/>
                <w:szCs w:val="16"/>
              </w:rPr>
            </w:pPr>
            <w:r>
              <w:rPr>
                <w:rFonts w:ascii="Arial Narrow" w:hAnsi="Arial Narrow"/>
                <w:sz w:val="16"/>
                <w:szCs w:val="16"/>
              </w:rPr>
              <w:t>356 (8)</w:t>
            </w:r>
          </w:p>
        </w:tc>
        <w:tc>
          <w:tcPr>
            <w:tcW w:w="647" w:type="dxa"/>
            <w:tcBorders>
              <w:top w:val="single" w:sz="8" w:space="0" w:color="000000"/>
              <w:left w:val="single" w:sz="8" w:space="0" w:color="999999"/>
              <w:bottom w:val="single" w:sz="8" w:space="0" w:color="000000"/>
              <w:right w:val="single" w:sz="8" w:space="0" w:color="000000"/>
            </w:tcBorders>
            <w:shd w:val="clear" w:color="000000" w:fill="FFFFFF"/>
            <w:vAlign w:val="center"/>
          </w:tcPr>
          <w:p w14:paraId="715458C0" w14:textId="77777777" w:rsidR="000923BB" w:rsidRDefault="000923BB" w:rsidP="003A385F">
            <w:pPr>
              <w:jc w:val="both"/>
              <w:rPr>
                <w:rFonts w:ascii="Arial Narrow" w:hAnsi="Arial Narrow"/>
                <w:sz w:val="16"/>
                <w:szCs w:val="16"/>
              </w:rPr>
            </w:pPr>
            <w:r>
              <w:rPr>
                <w:rFonts w:ascii="Arial Narrow" w:hAnsi="Arial Narrow"/>
                <w:sz w:val="16"/>
                <w:szCs w:val="16"/>
              </w:rPr>
              <w:t>271 (7)</w:t>
            </w:r>
          </w:p>
        </w:tc>
        <w:tc>
          <w:tcPr>
            <w:tcW w:w="645" w:type="dxa"/>
            <w:tcBorders>
              <w:top w:val="single" w:sz="8" w:space="0" w:color="000000"/>
              <w:left w:val="single" w:sz="8" w:space="0" w:color="000000"/>
              <w:bottom w:val="single" w:sz="8" w:space="0" w:color="000000"/>
              <w:right w:val="single" w:sz="8" w:space="0" w:color="999999"/>
            </w:tcBorders>
            <w:shd w:val="clear" w:color="000000" w:fill="FFFFFF"/>
            <w:vAlign w:val="center"/>
          </w:tcPr>
          <w:p w14:paraId="4BDDAA3F" w14:textId="77777777" w:rsidR="000923BB" w:rsidRDefault="000923BB" w:rsidP="003A385F">
            <w:pPr>
              <w:jc w:val="both"/>
              <w:rPr>
                <w:rFonts w:ascii="Arial Narrow" w:hAnsi="Arial Narrow"/>
                <w:sz w:val="16"/>
                <w:szCs w:val="16"/>
              </w:rPr>
            </w:pPr>
            <w:r>
              <w:rPr>
                <w:rFonts w:ascii="Arial Narrow" w:hAnsi="Arial Narrow"/>
                <w:sz w:val="16"/>
                <w:szCs w:val="16"/>
              </w:rPr>
              <w:t>273 (6)</w:t>
            </w:r>
          </w:p>
        </w:tc>
        <w:tc>
          <w:tcPr>
            <w:tcW w:w="497" w:type="dxa"/>
            <w:tcBorders>
              <w:top w:val="single" w:sz="8" w:space="0" w:color="000000"/>
              <w:left w:val="single" w:sz="8" w:space="0" w:color="999999"/>
              <w:bottom w:val="single" w:sz="8" w:space="0" w:color="000000"/>
              <w:right w:val="single" w:sz="8" w:space="0" w:color="999999"/>
            </w:tcBorders>
            <w:shd w:val="clear" w:color="000000" w:fill="FFFFFF"/>
            <w:vAlign w:val="center"/>
          </w:tcPr>
          <w:p w14:paraId="11D90D54" w14:textId="77777777" w:rsidR="000923BB" w:rsidRDefault="000923BB" w:rsidP="003A385F">
            <w:pPr>
              <w:jc w:val="both"/>
              <w:rPr>
                <w:rFonts w:ascii="Arial Narrow" w:hAnsi="Arial Narrow"/>
                <w:sz w:val="16"/>
                <w:szCs w:val="16"/>
              </w:rPr>
            </w:pPr>
            <w:r>
              <w:rPr>
                <w:rFonts w:ascii="Arial Narrow" w:hAnsi="Arial Narrow"/>
                <w:sz w:val="16"/>
                <w:szCs w:val="16"/>
              </w:rPr>
              <w:t>355 (8)</w:t>
            </w:r>
          </w:p>
        </w:tc>
        <w:tc>
          <w:tcPr>
            <w:tcW w:w="776" w:type="dxa"/>
            <w:tcBorders>
              <w:top w:val="single" w:sz="8" w:space="0" w:color="000000"/>
              <w:left w:val="single" w:sz="8" w:space="0" w:color="999999"/>
              <w:bottom w:val="single" w:sz="8" w:space="0" w:color="000000"/>
              <w:right w:val="single" w:sz="8" w:space="0" w:color="000000"/>
            </w:tcBorders>
            <w:shd w:val="clear" w:color="000000" w:fill="FFFFFF"/>
            <w:vAlign w:val="center"/>
          </w:tcPr>
          <w:p w14:paraId="4EE10C35" w14:textId="77777777" w:rsidR="000923BB" w:rsidRDefault="000923BB" w:rsidP="003A385F">
            <w:pPr>
              <w:jc w:val="both"/>
              <w:rPr>
                <w:rFonts w:ascii="Arial Narrow" w:hAnsi="Arial Narrow"/>
                <w:sz w:val="16"/>
                <w:szCs w:val="16"/>
              </w:rPr>
            </w:pPr>
            <w:r>
              <w:rPr>
                <w:rFonts w:ascii="Arial Narrow" w:hAnsi="Arial Narrow"/>
                <w:sz w:val="16"/>
                <w:szCs w:val="16"/>
              </w:rPr>
              <w:t>271 (7)</w:t>
            </w:r>
          </w:p>
        </w:tc>
        <w:tc>
          <w:tcPr>
            <w:tcW w:w="794" w:type="dxa"/>
            <w:tcBorders>
              <w:top w:val="single" w:sz="8" w:space="0" w:color="000000"/>
              <w:left w:val="single" w:sz="8" w:space="0" w:color="000000"/>
              <w:bottom w:val="single" w:sz="8" w:space="0" w:color="000000"/>
              <w:right w:val="single" w:sz="8" w:space="0" w:color="999999"/>
            </w:tcBorders>
            <w:shd w:val="clear" w:color="000000" w:fill="FFFFFF"/>
            <w:vAlign w:val="center"/>
          </w:tcPr>
          <w:p w14:paraId="2A9E2C0A" w14:textId="77777777" w:rsidR="000923BB" w:rsidRDefault="000923BB" w:rsidP="003A385F">
            <w:pPr>
              <w:jc w:val="both"/>
              <w:rPr>
                <w:rFonts w:ascii="Arial Narrow" w:hAnsi="Arial Narrow"/>
                <w:sz w:val="16"/>
                <w:szCs w:val="16"/>
              </w:rPr>
            </w:pPr>
            <w:r>
              <w:rPr>
                <w:rFonts w:ascii="Arial Narrow" w:hAnsi="Arial Narrow"/>
                <w:sz w:val="16"/>
                <w:szCs w:val="16"/>
              </w:rPr>
              <w:t>273 (6)</w:t>
            </w:r>
          </w:p>
        </w:tc>
        <w:tc>
          <w:tcPr>
            <w:tcW w:w="517" w:type="dxa"/>
            <w:tcBorders>
              <w:top w:val="single" w:sz="8" w:space="0" w:color="000000"/>
              <w:left w:val="single" w:sz="8" w:space="0" w:color="999999"/>
              <w:bottom w:val="single" w:sz="8" w:space="0" w:color="000000"/>
              <w:right w:val="single" w:sz="8" w:space="0" w:color="999999"/>
            </w:tcBorders>
            <w:shd w:val="clear" w:color="000000" w:fill="FFFFFF"/>
            <w:vAlign w:val="center"/>
          </w:tcPr>
          <w:p w14:paraId="110C4CDC" w14:textId="77777777" w:rsidR="000923BB" w:rsidRDefault="000923BB" w:rsidP="003A385F">
            <w:pPr>
              <w:jc w:val="both"/>
              <w:rPr>
                <w:rFonts w:ascii="Arial Narrow" w:hAnsi="Arial Narrow"/>
                <w:sz w:val="16"/>
                <w:szCs w:val="16"/>
              </w:rPr>
            </w:pPr>
            <w:r>
              <w:rPr>
                <w:rFonts w:ascii="Arial Narrow" w:hAnsi="Arial Narrow"/>
                <w:sz w:val="16"/>
                <w:szCs w:val="16"/>
              </w:rPr>
              <w:t>352 (8)</w:t>
            </w:r>
          </w:p>
        </w:tc>
        <w:tc>
          <w:tcPr>
            <w:tcW w:w="644" w:type="dxa"/>
            <w:tcBorders>
              <w:top w:val="single" w:sz="8" w:space="0" w:color="000000"/>
              <w:left w:val="single" w:sz="8" w:space="0" w:color="999999"/>
              <w:bottom w:val="single" w:sz="8" w:space="0" w:color="000000"/>
              <w:right w:val="single" w:sz="8" w:space="0" w:color="000000"/>
            </w:tcBorders>
            <w:shd w:val="clear" w:color="000000" w:fill="FFFFFF"/>
            <w:vAlign w:val="center"/>
          </w:tcPr>
          <w:p w14:paraId="1FED4381" w14:textId="77777777" w:rsidR="000923BB" w:rsidRDefault="000923BB" w:rsidP="003A385F">
            <w:pPr>
              <w:jc w:val="both"/>
              <w:rPr>
                <w:rFonts w:ascii="Arial Narrow" w:hAnsi="Arial Narrow"/>
                <w:sz w:val="16"/>
                <w:szCs w:val="16"/>
              </w:rPr>
            </w:pPr>
            <w:r>
              <w:rPr>
                <w:rFonts w:ascii="Arial Narrow" w:hAnsi="Arial Narrow"/>
                <w:sz w:val="16"/>
                <w:szCs w:val="16"/>
              </w:rPr>
              <w:t>267 (7)</w:t>
            </w:r>
          </w:p>
        </w:tc>
      </w:tr>
      <w:tr w:rsidR="000923BB" w14:paraId="052D8A59" w14:textId="77777777" w:rsidTr="00A24042">
        <w:trPr>
          <w:trHeight w:val="405"/>
          <w:jc w:val="center"/>
        </w:trPr>
        <w:tc>
          <w:tcPr>
            <w:tcW w:w="1088"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71A467A5" w14:textId="77777777" w:rsidR="000923BB" w:rsidRDefault="000923BB" w:rsidP="003A385F">
            <w:pPr>
              <w:autoSpaceDE w:val="0"/>
              <w:autoSpaceDN w:val="0"/>
              <w:adjustRightInd w:val="0"/>
              <w:jc w:val="both"/>
              <w:rPr>
                <w:rFonts w:ascii="Arial Narrow" w:hAnsi="Arial Narrow"/>
                <w:b/>
                <w:bCs/>
                <w:color w:val="000000"/>
                <w:sz w:val="16"/>
                <w:szCs w:val="16"/>
              </w:rPr>
            </w:pPr>
            <w:r>
              <w:rPr>
                <w:rFonts w:ascii="Arial Narrow" w:hAnsi="Arial Narrow"/>
                <w:b/>
                <w:bCs/>
                <w:color w:val="000000"/>
                <w:sz w:val="16"/>
                <w:szCs w:val="16"/>
              </w:rPr>
              <w:t>Chi-square:</w:t>
            </w:r>
          </w:p>
        </w:tc>
        <w:tc>
          <w:tcPr>
            <w:tcW w:w="1508" w:type="dxa"/>
            <w:gridSpan w:val="3"/>
            <w:tcBorders>
              <w:top w:val="single" w:sz="8" w:space="0" w:color="000000"/>
              <w:left w:val="single" w:sz="8" w:space="0" w:color="000000"/>
              <w:bottom w:val="single" w:sz="8" w:space="0" w:color="000000"/>
              <w:right w:val="single" w:sz="8" w:space="0" w:color="000000"/>
            </w:tcBorders>
            <w:shd w:val="clear" w:color="000000" w:fill="FFFFFF"/>
            <w:vAlign w:val="center"/>
          </w:tcPr>
          <w:p w14:paraId="4B290620" w14:textId="77777777" w:rsidR="000923BB" w:rsidRDefault="000923BB" w:rsidP="003A385F">
            <w:pPr>
              <w:jc w:val="both"/>
              <w:rPr>
                <w:rFonts w:ascii="Arial Narrow" w:hAnsi="Arial Narrow"/>
                <w:sz w:val="16"/>
                <w:szCs w:val="16"/>
              </w:rPr>
            </w:pPr>
            <w:r>
              <w:rPr>
                <w:rFonts w:ascii="Arial Narrow" w:hAnsi="Arial Narrow"/>
                <w:sz w:val="16"/>
                <w:szCs w:val="16"/>
              </w:rPr>
              <w:t>338.0 (p &lt; 0.001)</w:t>
            </w:r>
          </w:p>
        </w:tc>
        <w:tc>
          <w:tcPr>
            <w:tcW w:w="1937" w:type="dxa"/>
            <w:gridSpan w:val="3"/>
            <w:tcBorders>
              <w:top w:val="single" w:sz="8" w:space="0" w:color="000000"/>
              <w:left w:val="single" w:sz="8" w:space="0" w:color="000000"/>
              <w:bottom w:val="single" w:sz="8" w:space="0" w:color="000000"/>
              <w:right w:val="single" w:sz="8" w:space="0" w:color="000000"/>
            </w:tcBorders>
            <w:shd w:val="clear" w:color="000000" w:fill="FFFFFF"/>
            <w:vAlign w:val="center"/>
          </w:tcPr>
          <w:p w14:paraId="7FDCC3BA" w14:textId="77777777" w:rsidR="000923BB" w:rsidRDefault="000923BB" w:rsidP="003A385F">
            <w:pPr>
              <w:jc w:val="both"/>
              <w:rPr>
                <w:rFonts w:ascii="Arial Narrow" w:hAnsi="Arial Narrow"/>
                <w:sz w:val="16"/>
                <w:szCs w:val="16"/>
              </w:rPr>
            </w:pPr>
            <w:r>
              <w:rPr>
                <w:rFonts w:ascii="Arial Narrow" w:hAnsi="Arial Narrow"/>
                <w:sz w:val="16"/>
                <w:szCs w:val="16"/>
              </w:rPr>
              <w:t>306.2 (p &lt; 0.001)</w:t>
            </w:r>
          </w:p>
        </w:tc>
        <w:tc>
          <w:tcPr>
            <w:tcW w:w="1918" w:type="dxa"/>
            <w:gridSpan w:val="3"/>
            <w:tcBorders>
              <w:top w:val="single" w:sz="8" w:space="0" w:color="000000"/>
              <w:left w:val="single" w:sz="8" w:space="0" w:color="000000"/>
              <w:bottom w:val="single" w:sz="8" w:space="0" w:color="000000"/>
              <w:right w:val="single" w:sz="8" w:space="0" w:color="000000"/>
            </w:tcBorders>
            <w:shd w:val="clear" w:color="000000" w:fill="FFFFFF"/>
            <w:vAlign w:val="center"/>
          </w:tcPr>
          <w:p w14:paraId="534DA90F" w14:textId="77777777" w:rsidR="000923BB" w:rsidRDefault="000923BB" w:rsidP="003A385F">
            <w:pPr>
              <w:jc w:val="both"/>
              <w:rPr>
                <w:rFonts w:ascii="Arial Narrow" w:hAnsi="Arial Narrow"/>
                <w:sz w:val="16"/>
                <w:szCs w:val="16"/>
              </w:rPr>
            </w:pPr>
            <w:r>
              <w:rPr>
                <w:rFonts w:ascii="Arial Narrow" w:hAnsi="Arial Narrow"/>
                <w:sz w:val="16"/>
                <w:szCs w:val="16"/>
              </w:rPr>
              <w:t>313.1 (p &lt; 0.001)</w:t>
            </w:r>
          </w:p>
        </w:tc>
        <w:tc>
          <w:tcPr>
            <w:tcW w:w="1955" w:type="dxa"/>
            <w:gridSpan w:val="3"/>
            <w:tcBorders>
              <w:top w:val="single" w:sz="8" w:space="0" w:color="000000"/>
              <w:left w:val="single" w:sz="8" w:space="0" w:color="000000"/>
              <w:bottom w:val="single" w:sz="8" w:space="0" w:color="000000"/>
              <w:right w:val="single" w:sz="8" w:space="0" w:color="000000"/>
            </w:tcBorders>
            <w:shd w:val="clear" w:color="000000" w:fill="FFFFFF"/>
            <w:vAlign w:val="center"/>
          </w:tcPr>
          <w:p w14:paraId="655B9344" w14:textId="77777777" w:rsidR="000923BB" w:rsidRDefault="000923BB" w:rsidP="003A385F">
            <w:pPr>
              <w:jc w:val="both"/>
              <w:rPr>
                <w:rFonts w:ascii="Arial Narrow" w:hAnsi="Arial Narrow"/>
                <w:sz w:val="16"/>
                <w:szCs w:val="16"/>
              </w:rPr>
            </w:pPr>
            <w:r>
              <w:rPr>
                <w:rFonts w:ascii="Arial Narrow" w:hAnsi="Arial Narrow"/>
                <w:sz w:val="16"/>
                <w:szCs w:val="16"/>
              </w:rPr>
              <w:t>190.3 (p &lt; 0.001)</w:t>
            </w:r>
          </w:p>
        </w:tc>
      </w:tr>
    </w:tbl>
    <w:p w14:paraId="3F21285D" w14:textId="77777777" w:rsidR="000923BB" w:rsidRDefault="000923BB" w:rsidP="000923BB">
      <w:pPr>
        <w:jc w:val="both"/>
        <w:rPr>
          <w:sz w:val="16"/>
          <w:szCs w:val="16"/>
        </w:rPr>
      </w:pPr>
    </w:p>
    <w:p w14:paraId="76163BD1" w14:textId="77777777" w:rsidR="000923BB" w:rsidRDefault="000923BB" w:rsidP="000923BB">
      <w:pPr>
        <w:jc w:val="both"/>
        <w:rPr>
          <w:rFonts w:cs="Arial"/>
          <w:b/>
          <w:bCs/>
          <w:sz w:val="20"/>
          <w:szCs w:val="20"/>
        </w:rPr>
      </w:pPr>
    </w:p>
    <w:p w14:paraId="4E01BE6E" w14:textId="77777777" w:rsidR="000923BB" w:rsidRPr="002215F7" w:rsidRDefault="000923BB" w:rsidP="000923BB">
      <w:pPr>
        <w:jc w:val="both"/>
        <w:rPr>
          <w:rFonts w:cs="Arial"/>
          <w:sz w:val="22"/>
          <w:szCs w:val="22"/>
        </w:rPr>
      </w:pPr>
      <w:r>
        <w:rPr>
          <w:rFonts w:cs="Arial"/>
          <w:sz w:val="22"/>
          <w:szCs w:val="22"/>
        </w:rPr>
        <w:t xml:space="preserve">For heart failure reviews, while there are still statistically significant differences between the three groups, the differences between the groups are less strong, with similarities the doctors and nurses for phases of care and little difference between the groups for overall care (Table 12).  </w:t>
      </w:r>
    </w:p>
    <w:p w14:paraId="33F36564" w14:textId="77777777" w:rsidR="000923BB" w:rsidRDefault="000923BB" w:rsidP="000923BB">
      <w:pPr>
        <w:jc w:val="both"/>
        <w:rPr>
          <w:rFonts w:cs="Arial"/>
          <w:b/>
          <w:bCs/>
          <w:sz w:val="20"/>
          <w:szCs w:val="20"/>
        </w:rPr>
      </w:pPr>
    </w:p>
    <w:p w14:paraId="1B858898" w14:textId="77777777" w:rsidR="000923BB" w:rsidRDefault="000923BB" w:rsidP="000923BB">
      <w:pPr>
        <w:rPr>
          <w:rFonts w:cs="Arial"/>
          <w:b/>
          <w:bCs/>
          <w:sz w:val="20"/>
          <w:szCs w:val="20"/>
        </w:rPr>
      </w:pPr>
      <w:r>
        <w:rPr>
          <w:rFonts w:cs="Arial"/>
          <w:b/>
          <w:bCs/>
          <w:sz w:val="20"/>
          <w:szCs w:val="20"/>
        </w:rPr>
        <w:t>Table 12:  Heart Failure: Types of comment made by different staff types (“highest level” comment per review)</w:t>
      </w:r>
    </w:p>
    <w:p w14:paraId="6CD5EBD5" w14:textId="77777777" w:rsidR="000923BB" w:rsidRDefault="000923BB" w:rsidP="000923BB">
      <w:pPr>
        <w:pStyle w:val="Footer"/>
        <w:tabs>
          <w:tab w:val="clear" w:pos="4153"/>
          <w:tab w:val="clear" w:pos="8306"/>
        </w:tabs>
      </w:pPr>
    </w:p>
    <w:tbl>
      <w:tblPr>
        <w:tblW w:w="829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3"/>
        <w:gridCol w:w="658"/>
        <w:gridCol w:w="658"/>
        <w:gridCol w:w="658"/>
        <w:gridCol w:w="526"/>
        <w:gridCol w:w="658"/>
        <w:gridCol w:w="527"/>
        <w:gridCol w:w="526"/>
        <w:gridCol w:w="658"/>
        <w:gridCol w:w="659"/>
        <w:gridCol w:w="526"/>
        <w:gridCol w:w="657"/>
        <w:gridCol w:w="527"/>
      </w:tblGrid>
      <w:tr w:rsidR="000923BB" w14:paraId="5B445E79" w14:textId="77777777" w:rsidTr="00A24042">
        <w:trPr>
          <w:trHeight w:val="308"/>
        </w:trPr>
        <w:tc>
          <w:tcPr>
            <w:tcW w:w="1053" w:type="dxa"/>
            <w:tcBorders>
              <w:top w:val="nil"/>
              <w:left w:val="nil"/>
              <w:bottom w:val="single" w:sz="4" w:space="0" w:color="auto"/>
              <w:right w:val="single" w:sz="4" w:space="0" w:color="auto"/>
            </w:tcBorders>
            <w:vAlign w:val="bottom"/>
          </w:tcPr>
          <w:p w14:paraId="65C5488E" w14:textId="77777777" w:rsidR="000923BB" w:rsidRDefault="000923BB" w:rsidP="003A385F">
            <w:pPr>
              <w:tabs>
                <w:tab w:val="left" w:pos="874"/>
              </w:tabs>
              <w:rPr>
                <w:rFonts w:ascii="Arial Narrow" w:hAnsi="Arial Narrow"/>
                <w:b/>
                <w:bCs/>
                <w:sz w:val="16"/>
                <w:szCs w:val="16"/>
              </w:rPr>
            </w:pPr>
          </w:p>
        </w:tc>
        <w:tc>
          <w:tcPr>
            <w:tcW w:w="1974" w:type="dxa"/>
            <w:gridSpan w:val="3"/>
            <w:tcBorders>
              <w:top w:val="single" w:sz="4" w:space="0" w:color="auto"/>
              <w:left w:val="single" w:sz="4" w:space="0" w:color="auto"/>
              <w:bottom w:val="single" w:sz="4" w:space="0" w:color="auto"/>
              <w:right w:val="single" w:sz="4" w:space="0" w:color="auto"/>
            </w:tcBorders>
            <w:vAlign w:val="bottom"/>
          </w:tcPr>
          <w:p w14:paraId="5C7D6B4B" w14:textId="77777777" w:rsidR="000923BB" w:rsidRDefault="000923BB" w:rsidP="003A385F">
            <w:pPr>
              <w:jc w:val="center"/>
              <w:rPr>
                <w:rFonts w:ascii="Arial Narrow" w:hAnsi="Arial Narrow"/>
                <w:b/>
                <w:bCs/>
                <w:sz w:val="16"/>
                <w:szCs w:val="16"/>
              </w:rPr>
            </w:pPr>
            <w:r>
              <w:rPr>
                <w:rFonts w:ascii="Arial Narrow" w:hAnsi="Arial Narrow"/>
                <w:b/>
                <w:bCs/>
                <w:sz w:val="16"/>
                <w:szCs w:val="16"/>
              </w:rPr>
              <w:t>Admission</w:t>
            </w:r>
          </w:p>
        </w:tc>
        <w:tc>
          <w:tcPr>
            <w:tcW w:w="1711" w:type="dxa"/>
            <w:gridSpan w:val="3"/>
            <w:tcBorders>
              <w:top w:val="single" w:sz="4" w:space="0" w:color="auto"/>
              <w:left w:val="single" w:sz="4" w:space="0" w:color="auto"/>
              <w:bottom w:val="single" w:sz="4" w:space="0" w:color="auto"/>
              <w:right w:val="single" w:sz="4" w:space="0" w:color="auto"/>
            </w:tcBorders>
            <w:vAlign w:val="bottom"/>
          </w:tcPr>
          <w:p w14:paraId="5289F1D0" w14:textId="77777777" w:rsidR="000923BB" w:rsidRDefault="000923BB" w:rsidP="003A385F">
            <w:pPr>
              <w:jc w:val="center"/>
              <w:rPr>
                <w:rFonts w:ascii="Arial Narrow" w:hAnsi="Arial Narrow"/>
                <w:b/>
                <w:bCs/>
                <w:sz w:val="16"/>
                <w:szCs w:val="16"/>
              </w:rPr>
            </w:pPr>
            <w:r>
              <w:rPr>
                <w:rFonts w:ascii="Arial Narrow" w:hAnsi="Arial Narrow"/>
                <w:b/>
                <w:bCs/>
                <w:sz w:val="16"/>
                <w:szCs w:val="16"/>
              </w:rPr>
              <w:t>Initial management</w:t>
            </w:r>
          </w:p>
        </w:tc>
        <w:tc>
          <w:tcPr>
            <w:tcW w:w="1843" w:type="dxa"/>
            <w:gridSpan w:val="3"/>
            <w:tcBorders>
              <w:top w:val="single" w:sz="4" w:space="0" w:color="auto"/>
              <w:left w:val="single" w:sz="4" w:space="0" w:color="auto"/>
              <w:bottom w:val="single" w:sz="4" w:space="0" w:color="auto"/>
              <w:right w:val="single" w:sz="4" w:space="0" w:color="auto"/>
            </w:tcBorders>
            <w:vAlign w:val="bottom"/>
          </w:tcPr>
          <w:p w14:paraId="110EA30A" w14:textId="77777777" w:rsidR="000923BB" w:rsidRDefault="000923BB" w:rsidP="003A385F">
            <w:pPr>
              <w:jc w:val="center"/>
              <w:rPr>
                <w:rFonts w:ascii="Arial Narrow" w:hAnsi="Arial Narrow"/>
                <w:b/>
                <w:bCs/>
                <w:sz w:val="16"/>
                <w:szCs w:val="16"/>
              </w:rPr>
            </w:pPr>
            <w:r>
              <w:rPr>
                <w:rFonts w:ascii="Arial Narrow" w:hAnsi="Arial Narrow"/>
                <w:b/>
                <w:bCs/>
                <w:sz w:val="16"/>
                <w:szCs w:val="16"/>
              </w:rPr>
              <w:t>Pre-discharge</w:t>
            </w:r>
          </w:p>
        </w:tc>
        <w:tc>
          <w:tcPr>
            <w:tcW w:w="1710" w:type="dxa"/>
            <w:gridSpan w:val="3"/>
            <w:tcBorders>
              <w:top w:val="single" w:sz="4" w:space="0" w:color="auto"/>
              <w:left w:val="single" w:sz="4" w:space="0" w:color="auto"/>
              <w:bottom w:val="single" w:sz="4" w:space="0" w:color="auto"/>
              <w:right w:val="single" w:sz="4" w:space="0" w:color="auto"/>
            </w:tcBorders>
            <w:vAlign w:val="bottom"/>
          </w:tcPr>
          <w:p w14:paraId="79916E60" w14:textId="77777777" w:rsidR="000923BB" w:rsidRDefault="000923BB" w:rsidP="003A385F">
            <w:pPr>
              <w:jc w:val="center"/>
              <w:rPr>
                <w:rFonts w:ascii="Arial Narrow" w:hAnsi="Arial Narrow"/>
                <w:b/>
                <w:bCs/>
                <w:sz w:val="16"/>
                <w:szCs w:val="16"/>
              </w:rPr>
            </w:pPr>
            <w:r>
              <w:rPr>
                <w:rFonts w:ascii="Arial Narrow" w:hAnsi="Arial Narrow"/>
                <w:b/>
                <w:bCs/>
                <w:sz w:val="16"/>
                <w:szCs w:val="16"/>
              </w:rPr>
              <w:t>Overall</w:t>
            </w:r>
          </w:p>
        </w:tc>
      </w:tr>
      <w:tr w:rsidR="00A24042" w14:paraId="020F19E8" w14:textId="77777777" w:rsidTr="00A24042">
        <w:trPr>
          <w:trHeight w:val="947"/>
        </w:trPr>
        <w:tc>
          <w:tcPr>
            <w:tcW w:w="1053" w:type="dxa"/>
            <w:tcBorders>
              <w:top w:val="single" w:sz="4" w:space="0" w:color="auto"/>
              <w:left w:val="single" w:sz="4" w:space="0" w:color="auto"/>
              <w:bottom w:val="single" w:sz="4" w:space="0" w:color="auto"/>
              <w:right w:val="single" w:sz="4" w:space="0" w:color="auto"/>
            </w:tcBorders>
            <w:vAlign w:val="bottom"/>
          </w:tcPr>
          <w:p w14:paraId="68E91CB3" w14:textId="77777777" w:rsidR="000923BB" w:rsidRDefault="000923BB" w:rsidP="003A385F">
            <w:pPr>
              <w:rPr>
                <w:rFonts w:ascii="Arial Narrow" w:hAnsi="Arial Narrow"/>
                <w:b/>
                <w:bCs/>
                <w:sz w:val="16"/>
                <w:szCs w:val="16"/>
              </w:rPr>
            </w:pPr>
            <w:r>
              <w:rPr>
                <w:rFonts w:ascii="Arial Narrow" w:hAnsi="Arial Narrow"/>
                <w:b/>
                <w:bCs/>
                <w:sz w:val="16"/>
                <w:szCs w:val="16"/>
              </w:rPr>
              <w:t>Coding bands</w:t>
            </w:r>
          </w:p>
        </w:tc>
        <w:tc>
          <w:tcPr>
            <w:tcW w:w="658" w:type="dxa"/>
            <w:tcBorders>
              <w:top w:val="single" w:sz="4" w:space="0" w:color="auto"/>
              <w:left w:val="single" w:sz="4" w:space="0" w:color="auto"/>
              <w:bottom w:val="single" w:sz="4" w:space="0" w:color="auto"/>
              <w:right w:val="single" w:sz="4" w:space="0" w:color="999999"/>
            </w:tcBorders>
            <w:vAlign w:val="bottom"/>
          </w:tcPr>
          <w:p w14:paraId="51FEE993" w14:textId="77777777" w:rsidR="000923BB" w:rsidRDefault="000923BB" w:rsidP="003A385F">
            <w:pPr>
              <w:jc w:val="center"/>
              <w:rPr>
                <w:rFonts w:ascii="Arial Narrow" w:hAnsi="Arial Narrow"/>
                <w:b/>
                <w:bCs/>
                <w:sz w:val="16"/>
                <w:szCs w:val="16"/>
              </w:rPr>
            </w:pPr>
            <w:r>
              <w:rPr>
                <w:rFonts w:ascii="Arial Narrow" w:hAnsi="Arial Narrow"/>
                <w:b/>
                <w:bCs/>
                <w:sz w:val="16"/>
                <w:szCs w:val="16"/>
              </w:rPr>
              <w:t>Doctor</w:t>
            </w:r>
          </w:p>
        </w:tc>
        <w:tc>
          <w:tcPr>
            <w:tcW w:w="658" w:type="dxa"/>
            <w:tcBorders>
              <w:top w:val="single" w:sz="4" w:space="0" w:color="auto"/>
              <w:left w:val="single" w:sz="4" w:space="0" w:color="999999"/>
              <w:bottom w:val="single" w:sz="4" w:space="0" w:color="auto"/>
              <w:right w:val="single" w:sz="4" w:space="0" w:color="999999"/>
            </w:tcBorders>
            <w:vAlign w:val="bottom"/>
          </w:tcPr>
          <w:p w14:paraId="3B53917B" w14:textId="77777777" w:rsidR="000923BB" w:rsidRDefault="000923BB" w:rsidP="003A385F">
            <w:pPr>
              <w:jc w:val="center"/>
              <w:rPr>
                <w:rFonts w:ascii="Arial Narrow" w:hAnsi="Arial Narrow"/>
                <w:b/>
                <w:bCs/>
                <w:sz w:val="16"/>
                <w:szCs w:val="16"/>
              </w:rPr>
            </w:pPr>
            <w:r>
              <w:rPr>
                <w:rFonts w:ascii="Arial Narrow" w:hAnsi="Arial Narrow"/>
                <w:b/>
                <w:bCs/>
                <w:sz w:val="16"/>
                <w:szCs w:val="16"/>
              </w:rPr>
              <w:t>Clinical (nurse or other)</w:t>
            </w:r>
          </w:p>
        </w:tc>
        <w:tc>
          <w:tcPr>
            <w:tcW w:w="657" w:type="dxa"/>
            <w:tcBorders>
              <w:top w:val="single" w:sz="4" w:space="0" w:color="auto"/>
              <w:left w:val="single" w:sz="4" w:space="0" w:color="999999"/>
              <w:bottom w:val="single" w:sz="4" w:space="0" w:color="auto"/>
              <w:right w:val="single" w:sz="4" w:space="0" w:color="auto"/>
            </w:tcBorders>
            <w:vAlign w:val="bottom"/>
          </w:tcPr>
          <w:p w14:paraId="1000F6CD" w14:textId="77777777" w:rsidR="000923BB" w:rsidRDefault="000923BB" w:rsidP="003A385F">
            <w:pPr>
              <w:jc w:val="center"/>
              <w:rPr>
                <w:rFonts w:ascii="Arial Narrow" w:hAnsi="Arial Narrow"/>
                <w:b/>
                <w:bCs/>
                <w:sz w:val="16"/>
                <w:szCs w:val="16"/>
              </w:rPr>
            </w:pPr>
            <w:r>
              <w:rPr>
                <w:rFonts w:ascii="Arial Narrow" w:hAnsi="Arial Narrow"/>
                <w:b/>
                <w:bCs/>
                <w:sz w:val="16"/>
                <w:szCs w:val="16"/>
              </w:rPr>
              <w:t>Non-clinical audit</w:t>
            </w:r>
          </w:p>
        </w:tc>
        <w:tc>
          <w:tcPr>
            <w:tcW w:w="526" w:type="dxa"/>
            <w:tcBorders>
              <w:top w:val="single" w:sz="4" w:space="0" w:color="auto"/>
              <w:left w:val="single" w:sz="4" w:space="0" w:color="auto"/>
              <w:bottom w:val="single" w:sz="4" w:space="0" w:color="auto"/>
              <w:right w:val="single" w:sz="4" w:space="0" w:color="999999"/>
            </w:tcBorders>
            <w:vAlign w:val="bottom"/>
          </w:tcPr>
          <w:p w14:paraId="1008C528" w14:textId="77777777" w:rsidR="000923BB" w:rsidRDefault="000923BB" w:rsidP="003A385F">
            <w:pPr>
              <w:jc w:val="center"/>
              <w:rPr>
                <w:rFonts w:ascii="Arial Narrow" w:hAnsi="Arial Narrow"/>
                <w:b/>
                <w:bCs/>
                <w:sz w:val="16"/>
                <w:szCs w:val="16"/>
              </w:rPr>
            </w:pPr>
            <w:r>
              <w:rPr>
                <w:rFonts w:ascii="Arial Narrow" w:hAnsi="Arial Narrow"/>
                <w:b/>
                <w:bCs/>
                <w:sz w:val="16"/>
                <w:szCs w:val="16"/>
              </w:rPr>
              <w:t>Doctor</w:t>
            </w:r>
          </w:p>
        </w:tc>
        <w:tc>
          <w:tcPr>
            <w:tcW w:w="658" w:type="dxa"/>
            <w:tcBorders>
              <w:top w:val="single" w:sz="4" w:space="0" w:color="auto"/>
              <w:left w:val="single" w:sz="4" w:space="0" w:color="999999"/>
              <w:bottom w:val="single" w:sz="4" w:space="0" w:color="auto"/>
              <w:right w:val="single" w:sz="4" w:space="0" w:color="999999"/>
            </w:tcBorders>
            <w:vAlign w:val="bottom"/>
          </w:tcPr>
          <w:p w14:paraId="3B80493A" w14:textId="77777777" w:rsidR="000923BB" w:rsidRDefault="000923BB" w:rsidP="003A385F">
            <w:pPr>
              <w:jc w:val="center"/>
              <w:rPr>
                <w:rFonts w:ascii="Arial Narrow" w:hAnsi="Arial Narrow"/>
                <w:b/>
                <w:bCs/>
                <w:sz w:val="16"/>
                <w:szCs w:val="16"/>
              </w:rPr>
            </w:pPr>
            <w:r>
              <w:rPr>
                <w:rFonts w:ascii="Arial Narrow" w:hAnsi="Arial Narrow"/>
                <w:b/>
                <w:bCs/>
                <w:sz w:val="16"/>
                <w:szCs w:val="16"/>
              </w:rPr>
              <w:t>Clinical (nurse or other)</w:t>
            </w:r>
          </w:p>
        </w:tc>
        <w:tc>
          <w:tcPr>
            <w:tcW w:w="526" w:type="dxa"/>
            <w:tcBorders>
              <w:top w:val="single" w:sz="4" w:space="0" w:color="auto"/>
              <w:left w:val="single" w:sz="4" w:space="0" w:color="999999"/>
              <w:bottom w:val="single" w:sz="4" w:space="0" w:color="auto"/>
              <w:right w:val="single" w:sz="4" w:space="0" w:color="auto"/>
            </w:tcBorders>
            <w:vAlign w:val="bottom"/>
          </w:tcPr>
          <w:p w14:paraId="43860AAA" w14:textId="77777777" w:rsidR="000923BB" w:rsidRDefault="000923BB" w:rsidP="003A385F">
            <w:pPr>
              <w:jc w:val="center"/>
              <w:rPr>
                <w:rFonts w:ascii="Arial Narrow" w:hAnsi="Arial Narrow"/>
                <w:b/>
                <w:bCs/>
                <w:sz w:val="16"/>
                <w:szCs w:val="16"/>
              </w:rPr>
            </w:pPr>
            <w:r>
              <w:rPr>
                <w:rFonts w:ascii="Arial Narrow" w:hAnsi="Arial Narrow"/>
                <w:b/>
                <w:bCs/>
                <w:sz w:val="16"/>
                <w:szCs w:val="16"/>
              </w:rPr>
              <w:t>Non-clinical audit</w:t>
            </w:r>
          </w:p>
        </w:tc>
        <w:tc>
          <w:tcPr>
            <w:tcW w:w="526" w:type="dxa"/>
            <w:tcBorders>
              <w:top w:val="single" w:sz="4" w:space="0" w:color="auto"/>
              <w:left w:val="single" w:sz="4" w:space="0" w:color="auto"/>
              <w:bottom w:val="single" w:sz="4" w:space="0" w:color="auto"/>
              <w:right w:val="single" w:sz="4" w:space="0" w:color="999999"/>
            </w:tcBorders>
            <w:vAlign w:val="bottom"/>
          </w:tcPr>
          <w:p w14:paraId="0853F85F" w14:textId="77777777" w:rsidR="000923BB" w:rsidRDefault="000923BB" w:rsidP="003A385F">
            <w:pPr>
              <w:jc w:val="center"/>
              <w:rPr>
                <w:rFonts w:ascii="Arial Narrow" w:hAnsi="Arial Narrow"/>
                <w:b/>
                <w:bCs/>
                <w:sz w:val="16"/>
                <w:szCs w:val="16"/>
              </w:rPr>
            </w:pPr>
            <w:r>
              <w:rPr>
                <w:rFonts w:ascii="Arial Narrow" w:hAnsi="Arial Narrow"/>
                <w:b/>
                <w:bCs/>
                <w:sz w:val="16"/>
                <w:szCs w:val="16"/>
              </w:rPr>
              <w:t>Doctor</w:t>
            </w:r>
          </w:p>
        </w:tc>
        <w:tc>
          <w:tcPr>
            <w:tcW w:w="658" w:type="dxa"/>
            <w:tcBorders>
              <w:top w:val="single" w:sz="4" w:space="0" w:color="auto"/>
              <w:left w:val="single" w:sz="4" w:space="0" w:color="999999"/>
              <w:bottom w:val="single" w:sz="4" w:space="0" w:color="auto"/>
              <w:right w:val="single" w:sz="4" w:space="0" w:color="999999"/>
            </w:tcBorders>
            <w:vAlign w:val="bottom"/>
          </w:tcPr>
          <w:p w14:paraId="186C1B79" w14:textId="77777777" w:rsidR="000923BB" w:rsidRDefault="000923BB" w:rsidP="003A385F">
            <w:pPr>
              <w:jc w:val="center"/>
              <w:rPr>
                <w:rFonts w:ascii="Arial Narrow" w:hAnsi="Arial Narrow"/>
                <w:b/>
                <w:bCs/>
                <w:sz w:val="16"/>
                <w:szCs w:val="16"/>
              </w:rPr>
            </w:pPr>
            <w:r>
              <w:rPr>
                <w:rFonts w:ascii="Arial Narrow" w:hAnsi="Arial Narrow"/>
                <w:b/>
                <w:bCs/>
                <w:sz w:val="16"/>
                <w:szCs w:val="16"/>
              </w:rPr>
              <w:t>Clinical (nurse or other)</w:t>
            </w:r>
          </w:p>
        </w:tc>
        <w:tc>
          <w:tcPr>
            <w:tcW w:w="658" w:type="dxa"/>
            <w:tcBorders>
              <w:top w:val="single" w:sz="4" w:space="0" w:color="auto"/>
              <w:left w:val="single" w:sz="4" w:space="0" w:color="999999"/>
              <w:bottom w:val="single" w:sz="4" w:space="0" w:color="auto"/>
              <w:right w:val="single" w:sz="4" w:space="0" w:color="auto"/>
            </w:tcBorders>
            <w:vAlign w:val="bottom"/>
          </w:tcPr>
          <w:p w14:paraId="0666A4F6" w14:textId="77777777" w:rsidR="000923BB" w:rsidRDefault="000923BB" w:rsidP="003A385F">
            <w:pPr>
              <w:jc w:val="center"/>
              <w:rPr>
                <w:rFonts w:ascii="Arial Narrow" w:hAnsi="Arial Narrow"/>
                <w:b/>
                <w:bCs/>
                <w:sz w:val="16"/>
                <w:szCs w:val="16"/>
              </w:rPr>
            </w:pPr>
            <w:r>
              <w:rPr>
                <w:rFonts w:ascii="Arial Narrow" w:hAnsi="Arial Narrow"/>
                <w:b/>
                <w:bCs/>
                <w:sz w:val="16"/>
                <w:szCs w:val="16"/>
              </w:rPr>
              <w:t>Non-clinical audit</w:t>
            </w:r>
          </w:p>
        </w:tc>
        <w:tc>
          <w:tcPr>
            <w:tcW w:w="526" w:type="dxa"/>
            <w:tcBorders>
              <w:top w:val="single" w:sz="4" w:space="0" w:color="auto"/>
              <w:left w:val="single" w:sz="4" w:space="0" w:color="auto"/>
              <w:bottom w:val="single" w:sz="4" w:space="0" w:color="auto"/>
              <w:right w:val="single" w:sz="4" w:space="0" w:color="999999"/>
            </w:tcBorders>
            <w:vAlign w:val="bottom"/>
          </w:tcPr>
          <w:p w14:paraId="2AD32718" w14:textId="77777777" w:rsidR="000923BB" w:rsidRDefault="000923BB" w:rsidP="003A385F">
            <w:pPr>
              <w:jc w:val="center"/>
              <w:rPr>
                <w:rFonts w:ascii="Arial Narrow" w:hAnsi="Arial Narrow"/>
                <w:b/>
                <w:bCs/>
                <w:sz w:val="16"/>
                <w:szCs w:val="16"/>
              </w:rPr>
            </w:pPr>
            <w:r>
              <w:rPr>
                <w:rFonts w:ascii="Arial Narrow" w:hAnsi="Arial Narrow"/>
                <w:b/>
                <w:bCs/>
                <w:sz w:val="16"/>
                <w:szCs w:val="16"/>
              </w:rPr>
              <w:t>Doctor</w:t>
            </w:r>
          </w:p>
        </w:tc>
        <w:tc>
          <w:tcPr>
            <w:tcW w:w="657" w:type="dxa"/>
            <w:tcBorders>
              <w:top w:val="single" w:sz="4" w:space="0" w:color="auto"/>
              <w:left w:val="single" w:sz="4" w:space="0" w:color="999999"/>
              <w:bottom w:val="single" w:sz="4" w:space="0" w:color="auto"/>
              <w:right w:val="single" w:sz="4" w:space="0" w:color="999999"/>
            </w:tcBorders>
            <w:vAlign w:val="bottom"/>
          </w:tcPr>
          <w:p w14:paraId="018F8044" w14:textId="77777777" w:rsidR="000923BB" w:rsidRDefault="000923BB" w:rsidP="003A385F">
            <w:pPr>
              <w:jc w:val="center"/>
              <w:rPr>
                <w:rFonts w:ascii="Arial Narrow" w:hAnsi="Arial Narrow"/>
                <w:b/>
                <w:bCs/>
                <w:sz w:val="16"/>
                <w:szCs w:val="16"/>
              </w:rPr>
            </w:pPr>
            <w:r>
              <w:rPr>
                <w:rFonts w:ascii="Arial Narrow" w:hAnsi="Arial Narrow"/>
                <w:b/>
                <w:bCs/>
                <w:sz w:val="16"/>
                <w:szCs w:val="16"/>
              </w:rPr>
              <w:t>Clinical (nurse or other)</w:t>
            </w:r>
          </w:p>
        </w:tc>
        <w:tc>
          <w:tcPr>
            <w:tcW w:w="526" w:type="dxa"/>
            <w:tcBorders>
              <w:top w:val="single" w:sz="4" w:space="0" w:color="auto"/>
              <w:left w:val="single" w:sz="4" w:space="0" w:color="999999"/>
              <w:bottom w:val="single" w:sz="4" w:space="0" w:color="auto"/>
              <w:right w:val="single" w:sz="4" w:space="0" w:color="auto"/>
            </w:tcBorders>
            <w:vAlign w:val="bottom"/>
          </w:tcPr>
          <w:p w14:paraId="79385B2F" w14:textId="77777777" w:rsidR="000923BB" w:rsidRDefault="000923BB" w:rsidP="003A385F">
            <w:pPr>
              <w:jc w:val="center"/>
              <w:rPr>
                <w:rFonts w:ascii="Arial Narrow" w:hAnsi="Arial Narrow"/>
                <w:b/>
                <w:bCs/>
                <w:sz w:val="16"/>
                <w:szCs w:val="16"/>
              </w:rPr>
            </w:pPr>
            <w:r>
              <w:rPr>
                <w:rFonts w:ascii="Arial Narrow" w:hAnsi="Arial Narrow"/>
                <w:b/>
                <w:bCs/>
                <w:sz w:val="16"/>
                <w:szCs w:val="16"/>
              </w:rPr>
              <w:t>Non-clinical audit</w:t>
            </w:r>
          </w:p>
        </w:tc>
      </w:tr>
      <w:tr w:rsidR="00A24042" w14:paraId="06C2C79E" w14:textId="77777777" w:rsidTr="00A24042">
        <w:trPr>
          <w:trHeight w:val="1329"/>
        </w:trPr>
        <w:tc>
          <w:tcPr>
            <w:tcW w:w="1053" w:type="dxa"/>
            <w:tcBorders>
              <w:top w:val="single" w:sz="4" w:space="0" w:color="auto"/>
              <w:left w:val="single" w:sz="4" w:space="0" w:color="auto"/>
              <w:bottom w:val="nil"/>
              <w:right w:val="single" w:sz="4" w:space="0" w:color="auto"/>
            </w:tcBorders>
            <w:vAlign w:val="bottom"/>
          </w:tcPr>
          <w:p w14:paraId="186193A7" w14:textId="77777777" w:rsidR="000923BB" w:rsidRDefault="000923BB" w:rsidP="003A385F">
            <w:pPr>
              <w:tabs>
                <w:tab w:val="left" w:pos="2869"/>
              </w:tabs>
              <w:rPr>
                <w:rFonts w:ascii="Arial Narrow" w:hAnsi="Arial Narrow"/>
                <w:sz w:val="16"/>
                <w:szCs w:val="16"/>
              </w:rPr>
            </w:pPr>
            <w:r>
              <w:rPr>
                <w:rFonts w:ascii="Arial Narrow" w:hAnsi="Arial Narrow"/>
                <w:sz w:val="16"/>
                <w:szCs w:val="16"/>
              </w:rPr>
              <w:t>Codes 1-5 (</w:t>
            </w:r>
            <w:r w:rsidRPr="003E40D0">
              <w:rPr>
                <w:rFonts w:ascii="Arial Narrow" w:hAnsi="Arial Narrow" w:cs="Arial"/>
                <w:sz w:val="16"/>
                <w:szCs w:val="16"/>
              </w:rPr>
              <w:t>Little or no comment about care and little of no judgement</w:t>
            </w:r>
            <w:r>
              <w:rPr>
                <w:rFonts w:ascii="Arial Narrow" w:hAnsi="Arial Narrow"/>
                <w:sz w:val="16"/>
                <w:szCs w:val="16"/>
              </w:rPr>
              <w:t>)</w:t>
            </w:r>
          </w:p>
        </w:tc>
        <w:tc>
          <w:tcPr>
            <w:tcW w:w="658" w:type="dxa"/>
            <w:tcBorders>
              <w:top w:val="single" w:sz="4" w:space="0" w:color="auto"/>
              <w:left w:val="single" w:sz="4" w:space="0" w:color="auto"/>
              <w:bottom w:val="nil"/>
              <w:right w:val="single" w:sz="4" w:space="0" w:color="999999"/>
            </w:tcBorders>
            <w:vAlign w:val="bottom"/>
          </w:tcPr>
          <w:p w14:paraId="726A3440" w14:textId="77777777" w:rsidR="000923BB" w:rsidRDefault="000923BB" w:rsidP="003A385F">
            <w:pPr>
              <w:autoSpaceDE w:val="0"/>
              <w:autoSpaceDN w:val="0"/>
              <w:adjustRightInd w:val="0"/>
              <w:jc w:val="center"/>
              <w:rPr>
                <w:rFonts w:ascii="Arial Narrow" w:hAnsi="Arial Narrow"/>
                <w:color w:val="000000"/>
                <w:sz w:val="16"/>
                <w:szCs w:val="16"/>
                <w:lang w:val="en-US"/>
              </w:rPr>
            </w:pPr>
            <w:r>
              <w:rPr>
                <w:rFonts w:ascii="Arial Narrow" w:hAnsi="Arial Narrow"/>
                <w:color w:val="000000"/>
                <w:sz w:val="16"/>
                <w:szCs w:val="16"/>
                <w:lang w:val="en-US"/>
              </w:rPr>
              <w:t>10%</w:t>
            </w:r>
          </w:p>
        </w:tc>
        <w:tc>
          <w:tcPr>
            <w:tcW w:w="658" w:type="dxa"/>
            <w:tcBorders>
              <w:top w:val="single" w:sz="4" w:space="0" w:color="auto"/>
              <w:left w:val="single" w:sz="4" w:space="0" w:color="999999"/>
              <w:bottom w:val="nil"/>
              <w:right w:val="single" w:sz="4" w:space="0" w:color="999999"/>
            </w:tcBorders>
            <w:vAlign w:val="bottom"/>
          </w:tcPr>
          <w:p w14:paraId="6F637023" w14:textId="77777777" w:rsidR="000923BB" w:rsidRDefault="000923BB" w:rsidP="003A385F">
            <w:pPr>
              <w:autoSpaceDE w:val="0"/>
              <w:autoSpaceDN w:val="0"/>
              <w:adjustRightInd w:val="0"/>
              <w:jc w:val="center"/>
              <w:rPr>
                <w:rFonts w:ascii="Arial Narrow" w:hAnsi="Arial Narrow"/>
                <w:color w:val="000000"/>
                <w:sz w:val="16"/>
                <w:szCs w:val="16"/>
                <w:lang w:val="en-US"/>
              </w:rPr>
            </w:pPr>
            <w:r>
              <w:rPr>
                <w:rFonts w:ascii="Arial Narrow" w:hAnsi="Arial Narrow"/>
                <w:color w:val="000000"/>
                <w:sz w:val="16"/>
                <w:szCs w:val="16"/>
                <w:lang w:val="en-US"/>
              </w:rPr>
              <w:t>5%</w:t>
            </w:r>
          </w:p>
        </w:tc>
        <w:tc>
          <w:tcPr>
            <w:tcW w:w="657" w:type="dxa"/>
            <w:tcBorders>
              <w:top w:val="single" w:sz="4" w:space="0" w:color="auto"/>
              <w:left w:val="single" w:sz="4" w:space="0" w:color="999999"/>
              <w:bottom w:val="nil"/>
              <w:right w:val="single" w:sz="4" w:space="0" w:color="auto"/>
            </w:tcBorders>
            <w:vAlign w:val="bottom"/>
          </w:tcPr>
          <w:p w14:paraId="54D1D657" w14:textId="77777777" w:rsidR="000923BB" w:rsidRDefault="000923BB" w:rsidP="003A385F">
            <w:pPr>
              <w:autoSpaceDE w:val="0"/>
              <w:autoSpaceDN w:val="0"/>
              <w:adjustRightInd w:val="0"/>
              <w:jc w:val="center"/>
              <w:rPr>
                <w:rFonts w:ascii="Arial Narrow" w:hAnsi="Arial Narrow"/>
                <w:color w:val="000000"/>
                <w:sz w:val="16"/>
                <w:szCs w:val="16"/>
                <w:lang w:val="en-US"/>
              </w:rPr>
            </w:pPr>
            <w:r>
              <w:rPr>
                <w:rFonts w:ascii="Arial Narrow" w:hAnsi="Arial Narrow"/>
                <w:color w:val="000000"/>
                <w:sz w:val="16"/>
                <w:szCs w:val="16"/>
                <w:lang w:val="en-US"/>
              </w:rPr>
              <w:t>6%</w:t>
            </w:r>
          </w:p>
        </w:tc>
        <w:tc>
          <w:tcPr>
            <w:tcW w:w="526" w:type="dxa"/>
            <w:tcBorders>
              <w:top w:val="single" w:sz="4" w:space="0" w:color="auto"/>
              <w:left w:val="single" w:sz="4" w:space="0" w:color="auto"/>
              <w:bottom w:val="nil"/>
              <w:right w:val="single" w:sz="4" w:space="0" w:color="999999"/>
            </w:tcBorders>
            <w:vAlign w:val="bottom"/>
          </w:tcPr>
          <w:p w14:paraId="1118A98A" w14:textId="77777777" w:rsidR="000923BB" w:rsidRDefault="000923BB" w:rsidP="003A385F">
            <w:pPr>
              <w:autoSpaceDE w:val="0"/>
              <w:autoSpaceDN w:val="0"/>
              <w:adjustRightInd w:val="0"/>
              <w:jc w:val="center"/>
              <w:rPr>
                <w:rFonts w:ascii="Arial Narrow" w:hAnsi="Arial Narrow"/>
                <w:color w:val="000000"/>
                <w:sz w:val="16"/>
                <w:szCs w:val="16"/>
                <w:lang w:val="en-US"/>
              </w:rPr>
            </w:pPr>
            <w:r>
              <w:rPr>
                <w:rFonts w:ascii="Arial Narrow" w:hAnsi="Arial Narrow"/>
                <w:color w:val="000000"/>
                <w:sz w:val="16"/>
                <w:szCs w:val="16"/>
                <w:lang w:val="en-US"/>
              </w:rPr>
              <w:t>12%</w:t>
            </w:r>
          </w:p>
        </w:tc>
        <w:tc>
          <w:tcPr>
            <w:tcW w:w="658" w:type="dxa"/>
            <w:tcBorders>
              <w:top w:val="single" w:sz="4" w:space="0" w:color="auto"/>
              <w:left w:val="single" w:sz="4" w:space="0" w:color="999999"/>
              <w:bottom w:val="nil"/>
              <w:right w:val="single" w:sz="4" w:space="0" w:color="999999"/>
            </w:tcBorders>
            <w:vAlign w:val="bottom"/>
          </w:tcPr>
          <w:p w14:paraId="7A2CD61E" w14:textId="77777777" w:rsidR="000923BB" w:rsidRDefault="000923BB" w:rsidP="003A385F">
            <w:pPr>
              <w:autoSpaceDE w:val="0"/>
              <w:autoSpaceDN w:val="0"/>
              <w:adjustRightInd w:val="0"/>
              <w:jc w:val="center"/>
              <w:rPr>
                <w:rFonts w:ascii="Arial Narrow" w:hAnsi="Arial Narrow"/>
                <w:color w:val="000000"/>
                <w:sz w:val="16"/>
                <w:szCs w:val="16"/>
                <w:lang w:val="en-US"/>
              </w:rPr>
            </w:pPr>
            <w:r>
              <w:rPr>
                <w:rFonts w:ascii="Arial Narrow" w:hAnsi="Arial Narrow"/>
                <w:color w:val="000000"/>
                <w:sz w:val="16"/>
                <w:szCs w:val="16"/>
                <w:lang w:val="en-US"/>
              </w:rPr>
              <w:t>4%</w:t>
            </w:r>
          </w:p>
        </w:tc>
        <w:tc>
          <w:tcPr>
            <w:tcW w:w="526" w:type="dxa"/>
            <w:tcBorders>
              <w:top w:val="single" w:sz="4" w:space="0" w:color="auto"/>
              <w:left w:val="single" w:sz="4" w:space="0" w:color="999999"/>
              <w:bottom w:val="nil"/>
              <w:right w:val="single" w:sz="4" w:space="0" w:color="auto"/>
            </w:tcBorders>
            <w:vAlign w:val="bottom"/>
          </w:tcPr>
          <w:p w14:paraId="251F2593" w14:textId="77777777" w:rsidR="000923BB" w:rsidRDefault="000923BB" w:rsidP="003A385F">
            <w:pPr>
              <w:autoSpaceDE w:val="0"/>
              <w:autoSpaceDN w:val="0"/>
              <w:adjustRightInd w:val="0"/>
              <w:jc w:val="center"/>
              <w:rPr>
                <w:rFonts w:ascii="Arial Narrow" w:hAnsi="Arial Narrow"/>
                <w:color w:val="000000"/>
                <w:sz w:val="16"/>
                <w:szCs w:val="16"/>
                <w:lang w:val="en-US"/>
              </w:rPr>
            </w:pPr>
            <w:r>
              <w:rPr>
                <w:rFonts w:ascii="Arial Narrow" w:hAnsi="Arial Narrow"/>
                <w:color w:val="000000"/>
                <w:sz w:val="16"/>
                <w:szCs w:val="16"/>
                <w:lang w:val="en-US"/>
              </w:rPr>
              <w:t>1%</w:t>
            </w:r>
          </w:p>
        </w:tc>
        <w:tc>
          <w:tcPr>
            <w:tcW w:w="526" w:type="dxa"/>
            <w:tcBorders>
              <w:top w:val="single" w:sz="4" w:space="0" w:color="auto"/>
              <w:left w:val="single" w:sz="4" w:space="0" w:color="auto"/>
              <w:bottom w:val="nil"/>
              <w:right w:val="single" w:sz="4" w:space="0" w:color="999999"/>
            </w:tcBorders>
            <w:vAlign w:val="bottom"/>
          </w:tcPr>
          <w:p w14:paraId="36F148CD" w14:textId="77777777" w:rsidR="000923BB" w:rsidRDefault="000923BB" w:rsidP="003A385F">
            <w:pPr>
              <w:autoSpaceDE w:val="0"/>
              <w:autoSpaceDN w:val="0"/>
              <w:adjustRightInd w:val="0"/>
              <w:jc w:val="center"/>
              <w:rPr>
                <w:rFonts w:ascii="Arial Narrow" w:hAnsi="Arial Narrow"/>
                <w:color w:val="000000"/>
                <w:sz w:val="16"/>
                <w:szCs w:val="16"/>
                <w:lang w:val="en-US"/>
              </w:rPr>
            </w:pPr>
            <w:r>
              <w:rPr>
                <w:rFonts w:ascii="Arial Narrow" w:hAnsi="Arial Narrow"/>
                <w:color w:val="000000"/>
                <w:sz w:val="16"/>
                <w:szCs w:val="16"/>
                <w:lang w:val="en-US"/>
              </w:rPr>
              <w:t>19%</w:t>
            </w:r>
          </w:p>
        </w:tc>
        <w:tc>
          <w:tcPr>
            <w:tcW w:w="658" w:type="dxa"/>
            <w:tcBorders>
              <w:top w:val="single" w:sz="4" w:space="0" w:color="auto"/>
              <w:left w:val="single" w:sz="4" w:space="0" w:color="999999"/>
              <w:bottom w:val="nil"/>
              <w:right w:val="single" w:sz="4" w:space="0" w:color="999999"/>
            </w:tcBorders>
            <w:vAlign w:val="bottom"/>
          </w:tcPr>
          <w:p w14:paraId="6182B67D" w14:textId="77777777" w:rsidR="000923BB" w:rsidRDefault="000923BB" w:rsidP="003A385F">
            <w:pPr>
              <w:autoSpaceDE w:val="0"/>
              <w:autoSpaceDN w:val="0"/>
              <w:adjustRightInd w:val="0"/>
              <w:jc w:val="center"/>
              <w:rPr>
                <w:rFonts w:ascii="Arial Narrow" w:hAnsi="Arial Narrow"/>
                <w:color w:val="000000"/>
                <w:sz w:val="16"/>
                <w:szCs w:val="16"/>
                <w:lang w:val="en-US"/>
              </w:rPr>
            </w:pPr>
            <w:r>
              <w:rPr>
                <w:rFonts w:ascii="Arial Narrow" w:hAnsi="Arial Narrow"/>
                <w:color w:val="000000"/>
                <w:sz w:val="16"/>
                <w:szCs w:val="16"/>
                <w:lang w:val="en-US"/>
              </w:rPr>
              <w:t>3%</w:t>
            </w:r>
          </w:p>
        </w:tc>
        <w:tc>
          <w:tcPr>
            <w:tcW w:w="658" w:type="dxa"/>
            <w:tcBorders>
              <w:top w:val="single" w:sz="4" w:space="0" w:color="auto"/>
              <w:left w:val="single" w:sz="4" w:space="0" w:color="999999"/>
              <w:bottom w:val="nil"/>
              <w:right w:val="single" w:sz="4" w:space="0" w:color="auto"/>
            </w:tcBorders>
            <w:vAlign w:val="bottom"/>
          </w:tcPr>
          <w:p w14:paraId="6E9FC754" w14:textId="77777777" w:rsidR="000923BB" w:rsidRDefault="000923BB" w:rsidP="003A385F">
            <w:pPr>
              <w:autoSpaceDE w:val="0"/>
              <w:autoSpaceDN w:val="0"/>
              <w:adjustRightInd w:val="0"/>
              <w:jc w:val="center"/>
              <w:rPr>
                <w:rFonts w:ascii="Arial Narrow" w:hAnsi="Arial Narrow"/>
                <w:color w:val="000000"/>
                <w:sz w:val="16"/>
                <w:szCs w:val="16"/>
                <w:lang w:val="en-US"/>
              </w:rPr>
            </w:pPr>
            <w:r>
              <w:rPr>
                <w:rFonts w:ascii="Arial Narrow" w:hAnsi="Arial Narrow"/>
                <w:color w:val="000000"/>
                <w:sz w:val="16"/>
                <w:szCs w:val="16"/>
                <w:lang w:val="en-US"/>
              </w:rPr>
              <w:t>17%</w:t>
            </w:r>
          </w:p>
        </w:tc>
        <w:tc>
          <w:tcPr>
            <w:tcW w:w="526" w:type="dxa"/>
            <w:tcBorders>
              <w:top w:val="single" w:sz="4" w:space="0" w:color="auto"/>
              <w:left w:val="single" w:sz="4" w:space="0" w:color="auto"/>
              <w:bottom w:val="nil"/>
              <w:right w:val="single" w:sz="4" w:space="0" w:color="999999"/>
            </w:tcBorders>
            <w:vAlign w:val="bottom"/>
          </w:tcPr>
          <w:p w14:paraId="02AECD44" w14:textId="77777777" w:rsidR="000923BB" w:rsidRDefault="000923BB" w:rsidP="003A385F">
            <w:pPr>
              <w:autoSpaceDE w:val="0"/>
              <w:autoSpaceDN w:val="0"/>
              <w:adjustRightInd w:val="0"/>
              <w:jc w:val="center"/>
              <w:rPr>
                <w:rFonts w:ascii="Arial Narrow" w:hAnsi="Arial Narrow"/>
                <w:color w:val="000000"/>
                <w:sz w:val="16"/>
                <w:szCs w:val="16"/>
                <w:lang w:val="en-US"/>
              </w:rPr>
            </w:pPr>
            <w:r>
              <w:rPr>
                <w:rFonts w:ascii="Arial Narrow" w:hAnsi="Arial Narrow"/>
                <w:color w:val="000000"/>
                <w:sz w:val="16"/>
                <w:szCs w:val="16"/>
                <w:lang w:val="en-US"/>
              </w:rPr>
              <w:t>10%</w:t>
            </w:r>
          </w:p>
        </w:tc>
        <w:tc>
          <w:tcPr>
            <w:tcW w:w="657" w:type="dxa"/>
            <w:tcBorders>
              <w:top w:val="single" w:sz="4" w:space="0" w:color="auto"/>
              <w:left w:val="single" w:sz="4" w:space="0" w:color="999999"/>
              <w:bottom w:val="nil"/>
              <w:right w:val="single" w:sz="4" w:space="0" w:color="999999"/>
            </w:tcBorders>
            <w:vAlign w:val="bottom"/>
          </w:tcPr>
          <w:p w14:paraId="070564FA" w14:textId="77777777" w:rsidR="000923BB" w:rsidRDefault="000923BB" w:rsidP="003A385F">
            <w:pPr>
              <w:autoSpaceDE w:val="0"/>
              <w:autoSpaceDN w:val="0"/>
              <w:adjustRightInd w:val="0"/>
              <w:jc w:val="center"/>
              <w:rPr>
                <w:rFonts w:ascii="Arial Narrow" w:hAnsi="Arial Narrow"/>
                <w:color w:val="000000"/>
                <w:sz w:val="16"/>
                <w:szCs w:val="16"/>
                <w:lang w:val="en-US"/>
              </w:rPr>
            </w:pPr>
            <w:r>
              <w:rPr>
                <w:rFonts w:ascii="Arial Narrow" w:hAnsi="Arial Narrow"/>
                <w:color w:val="000000"/>
                <w:sz w:val="16"/>
                <w:szCs w:val="16"/>
                <w:lang w:val="en-US"/>
              </w:rPr>
              <w:t>3%</w:t>
            </w:r>
          </w:p>
        </w:tc>
        <w:tc>
          <w:tcPr>
            <w:tcW w:w="526" w:type="dxa"/>
            <w:tcBorders>
              <w:top w:val="single" w:sz="4" w:space="0" w:color="auto"/>
              <w:left w:val="single" w:sz="4" w:space="0" w:color="999999"/>
              <w:bottom w:val="nil"/>
              <w:right w:val="single" w:sz="4" w:space="0" w:color="auto"/>
            </w:tcBorders>
            <w:vAlign w:val="bottom"/>
          </w:tcPr>
          <w:p w14:paraId="74FF71EF" w14:textId="77777777" w:rsidR="000923BB" w:rsidRDefault="000923BB" w:rsidP="003A385F">
            <w:pPr>
              <w:autoSpaceDE w:val="0"/>
              <w:autoSpaceDN w:val="0"/>
              <w:adjustRightInd w:val="0"/>
              <w:jc w:val="center"/>
              <w:rPr>
                <w:rFonts w:ascii="Arial Narrow" w:hAnsi="Arial Narrow"/>
                <w:color w:val="000000"/>
                <w:sz w:val="16"/>
                <w:szCs w:val="16"/>
                <w:lang w:val="en-US"/>
              </w:rPr>
            </w:pPr>
            <w:r w:rsidRPr="0061331B">
              <w:rPr>
                <w:rFonts w:ascii="Arial Narrow" w:hAnsi="Arial Narrow"/>
                <w:color w:val="000000"/>
                <w:sz w:val="16"/>
                <w:szCs w:val="16"/>
                <w:lang w:val="en-US"/>
              </w:rPr>
              <w:t>4%</w:t>
            </w:r>
          </w:p>
        </w:tc>
      </w:tr>
      <w:tr w:rsidR="00A24042" w14:paraId="576169AC" w14:textId="77777777" w:rsidTr="00A24042">
        <w:trPr>
          <w:trHeight w:val="1329"/>
        </w:trPr>
        <w:tc>
          <w:tcPr>
            <w:tcW w:w="1053" w:type="dxa"/>
            <w:tcBorders>
              <w:top w:val="nil"/>
              <w:left w:val="single" w:sz="4" w:space="0" w:color="auto"/>
              <w:bottom w:val="nil"/>
              <w:right w:val="single" w:sz="4" w:space="0" w:color="auto"/>
            </w:tcBorders>
            <w:vAlign w:val="bottom"/>
          </w:tcPr>
          <w:p w14:paraId="7970AF05" w14:textId="77777777" w:rsidR="000923BB" w:rsidRDefault="000923BB" w:rsidP="003A385F">
            <w:pPr>
              <w:rPr>
                <w:rFonts w:ascii="Arial Narrow" w:hAnsi="Arial Narrow"/>
                <w:sz w:val="16"/>
                <w:szCs w:val="16"/>
              </w:rPr>
            </w:pPr>
            <w:r>
              <w:rPr>
                <w:rFonts w:ascii="Arial Narrow" w:hAnsi="Arial Narrow"/>
                <w:sz w:val="16"/>
                <w:szCs w:val="16"/>
              </w:rPr>
              <w:t>Codes 6-8 (Limited</w:t>
            </w:r>
            <w:r w:rsidRPr="003E40D0">
              <w:rPr>
                <w:rFonts w:ascii="Arial Narrow" w:hAnsi="Arial Narrow" w:cs="Arial"/>
                <w:sz w:val="16"/>
                <w:szCs w:val="16"/>
              </w:rPr>
              <w:t xml:space="preserve"> comment about care and implied judgement</w:t>
            </w:r>
            <w:r>
              <w:rPr>
                <w:rFonts w:ascii="Arial Narrow" w:hAnsi="Arial Narrow"/>
                <w:sz w:val="16"/>
                <w:szCs w:val="16"/>
              </w:rPr>
              <w:t>)</w:t>
            </w:r>
          </w:p>
        </w:tc>
        <w:tc>
          <w:tcPr>
            <w:tcW w:w="658" w:type="dxa"/>
            <w:tcBorders>
              <w:top w:val="nil"/>
              <w:left w:val="single" w:sz="4" w:space="0" w:color="auto"/>
              <w:bottom w:val="nil"/>
              <w:right w:val="single" w:sz="4" w:space="0" w:color="999999"/>
            </w:tcBorders>
            <w:vAlign w:val="bottom"/>
          </w:tcPr>
          <w:p w14:paraId="72F73C9D" w14:textId="77777777" w:rsidR="000923BB" w:rsidRDefault="000923BB" w:rsidP="003A385F">
            <w:pPr>
              <w:autoSpaceDE w:val="0"/>
              <w:autoSpaceDN w:val="0"/>
              <w:adjustRightInd w:val="0"/>
              <w:jc w:val="center"/>
              <w:rPr>
                <w:rFonts w:ascii="Arial Narrow" w:hAnsi="Arial Narrow"/>
                <w:color w:val="000000"/>
                <w:sz w:val="16"/>
                <w:szCs w:val="16"/>
                <w:lang w:val="en-US"/>
              </w:rPr>
            </w:pPr>
            <w:r>
              <w:rPr>
                <w:rFonts w:ascii="Arial Narrow" w:hAnsi="Arial Narrow"/>
                <w:color w:val="000000"/>
                <w:sz w:val="16"/>
                <w:szCs w:val="16"/>
                <w:lang w:val="en-US"/>
              </w:rPr>
              <w:t>6%</w:t>
            </w:r>
          </w:p>
        </w:tc>
        <w:tc>
          <w:tcPr>
            <w:tcW w:w="658" w:type="dxa"/>
            <w:tcBorders>
              <w:top w:val="nil"/>
              <w:left w:val="single" w:sz="4" w:space="0" w:color="999999"/>
              <w:bottom w:val="nil"/>
              <w:right w:val="single" w:sz="4" w:space="0" w:color="999999"/>
            </w:tcBorders>
            <w:vAlign w:val="bottom"/>
          </w:tcPr>
          <w:p w14:paraId="11DD3F29" w14:textId="77777777" w:rsidR="000923BB" w:rsidRDefault="000923BB" w:rsidP="003A385F">
            <w:pPr>
              <w:autoSpaceDE w:val="0"/>
              <w:autoSpaceDN w:val="0"/>
              <w:adjustRightInd w:val="0"/>
              <w:jc w:val="center"/>
              <w:rPr>
                <w:rFonts w:ascii="Arial Narrow" w:hAnsi="Arial Narrow"/>
                <w:color w:val="000000"/>
                <w:sz w:val="16"/>
                <w:szCs w:val="16"/>
                <w:lang w:val="en-US"/>
              </w:rPr>
            </w:pPr>
            <w:r>
              <w:rPr>
                <w:rFonts w:ascii="Arial Narrow" w:hAnsi="Arial Narrow"/>
                <w:color w:val="000000"/>
                <w:sz w:val="16"/>
                <w:szCs w:val="16"/>
                <w:lang w:val="en-US"/>
              </w:rPr>
              <w:t>12%</w:t>
            </w:r>
          </w:p>
        </w:tc>
        <w:tc>
          <w:tcPr>
            <w:tcW w:w="657" w:type="dxa"/>
            <w:tcBorders>
              <w:top w:val="nil"/>
              <w:left w:val="single" w:sz="4" w:space="0" w:color="999999"/>
              <w:bottom w:val="nil"/>
              <w:right w:val="single" w:sz="4" w:space="0" w:color="auto"/>
            </w:tcBorders>
            <w:vAlign w:val="bottom"/>
          </w:tcPr>
          <w:p w14:paraId="6FCCBF90" w14:textId="77777777" w:rsidR="000923BB" w:rsidRDefault="000923BB" w:rsidP="003A385F">
            <w:pPr>
              <w:autoSpaceDE w:val="0"/>
              <w:autoSpaceDN w:val="0"/>
              <w:adjustRightInd w:val="0"/>
              <w:jc w:val="center"/>
              <w:rPr>
                <w:rFonts w:ascii="Arial Narrow" w:hAnsi="Arial Narrow"/>
                <w:color w:val="000000"/>
                <w:sz w:val="16"/>
                <w:szCs w:val="16"/>
                <w:lang w:val="en-US"/>
              </w:rPr>
            </w:pPr>
            <w:r>
              <w:rPr>
                <w:rFonts w:ascii="Arial Narrow" w:hAnsi="Arial Narrow"/>
                <w:color w:val="000000"/>
                <w:sz w:val="16"/>
                <w:szCs w:val="16"/>
                <w:lang w:val="en-US"/>
              </w:rPr>
              <w:t>77%</w:t>
            </w:r>
          </w:p>
        </w:tc>
        <w:tc>
          <w:tcPr>
            <w:tcW w:w="526" w:type="dxa"/>
            <w:tcBorders>
              <w:top w:val="nil"/>
              <w:left w:val="single" w:sz="4" w:space="0" w:color="auto"/>
              <w:bottom w:val="nil"/>
              <w:right w:val="single" w:sz="4" w:space="0" w:color="999999"/>
            </w:tcBorders>
            <w:vAlign w:val="bottom"/>
          </w:tcPr>
          <w:p w14:paraId="1CDDF5F2" w14:textId="77777777" w:rsidR="000923BB" w:rsidRDefault="000923BB" w:rsidP="003A385F">
            <w:pPr>
              <w:autoSpaceDE w:val="0"/>
              <w:autoSpaceDN w:val="0"/>
              <w:adjustRightInd w:val="0"/>
              <w:jc w:val="center"/>
              <w:rPr>
                <w:rFonts w:ascii="Arial Narrow" w:hAnsi="Arial Narrow"/>
                <w:color w:val="000000"/>
                <w:sz w:val="16"/>
                <w:szCs w:val="16"/>
                <w:lang w:val="en-US"/>
              </w:rPr>
            </w:pPr>
            <w:r>
              <w:rPr>
                <w:rFonts w:ascii="Arial Narrow" w:hAnsi="Arial Narrow"/>
                <w:color w:val="000000"/>
                <w:sz w:val="16"/>
                <w:szCs w:val="16"/>
                <w:lang w:val="en-US"/>
              </w:rPr>
              <w:t>6%</w:t>
            </w:r>
          </w:p>
        </w:tc>
        <w:tc>
          <w:tcPr>
            <w:tcW w:w="658" w:type="dxa"/>
            <w:tcBorders>
              <w:top w:val="nil"/>
              <w:left w:val="single" w:sz="4" w:space="0" w:color="999999"/>
              <w:bottom w:val="nil"/>
              <w:right w:val="single" w:sz="4" w:space="0" w:color="999999"/>
            </w:tcBorders>
            <w:vAlign w:val="bottom"/>
          </w:tcPr>
          <w:p w14:paraId="0A30F77F" w14:textId="77777777" w:rsidR="000923BB" w:rsidRDefault="000923BB" w:rsidP="003A385F">
            <w:pPr>
              <w:autoSpaceDE w:val="0"/>
              <w:autoSpaceDN w:val="0"/>
              <w:adjustRightInd w:val="0"/>
              <w:jc w:val="center"/>
              <w:rPr>
                <w:rFonts w:ascii="Arial Narrow" w:hAnsi="Arial Narrow"/>
                <w:color w:val="000000"/>
                <w:sz w:val="16"/>
                <w:szCs w:val="16"/>
                <w:lang w:val="en-US"/>
              </w:rPr>
            </w:pPr>
            <w:r>
              <w:rPr>
                <w:rFonts w:ascii="Arial Narrow" w:hAnsi="Arial Narrow"/>
                <w:color w:val="000000"/>
                <w:sz w:val="16"/>
                <w:szCs w:val="16"/>
                <w:lang w:val="en-US"/>
              </w:rPr>
              <w:t>12%</w:t>
            </w:r>
          </w:p>
        </w:tc>
        <w:tc>
          <w:tcPr>
            <w:tcW w:w="526" w:type="dxa"/>
            <w:tcBorders>
              <w:top w:val="nil"/>
              <w:left w:val="single" w:sz="4" w:space="0" w:color="999999"/>
              <w:bottom w:val="nil"/>
              <w:right w:val="single" w:sz="4" w:space="0" w:color="auto"/>
            </w:tcBorders>
            <w:vAlign w:val="bottom"/>
          </w:tcPr>
          <w:p w14:paraId="1393678E" w14:textId="77777777" w:rsidR="000923BB" w:rsidRDefault="000923BB" w:rsidP="003A385F">
            <w:pPr>
              <w:autoSpaceDE w:val="0"/>
              <w:autoSpaceDN w:val="0"/>
              <w:adjustRightInd w:val="0"/>
              <w:jc w:val="center"/>
              <w:rPr>
                <w:rFonts w:ascii="Arial Narrow" w:hAnsi="Arial Narrow"/>
                <w:color w:val="000000"/>
                <w:sz w:val="16"/>
                <w:szCs w:val="16"/>
                <w:lang w:val="en-US"/>
              </w:rPr>
            </w:pPr>
            <w:r>
              <w:rPr>
                <w:rFonts w:ascii="Arial Narrow" w:hAnsi="Arial Narrow"/>
                <w:color w:val="000000"/>
                <w:sz w:val="16"/>
                <w:szCs w:val="16"/>
                <w:lang w:val="en-US"/>
              </w:rPr>
              <w:t>72%</w:t>
            </w:r>
          </w:p>
        </w:tc>
        <w:tc>
          <w:tcPr>
            <w:tcW w:w="526" w:type="dxa"/>
            <w:tcBorders>
              <w:top w:val="nil"/>
              <w:left w:val="single" w:sz="4" w:space="0" w:color="auto"/>
              <w:bottom w:val="nil"/>
              <w:right w:val="single" w:sz="4" w:space="0" w:color="999999"/>
            </w:tcBorders>
            <w:vAlign w:val="bottom"/>
          </w:tcPr>
          <w:p w14:paraId="18F870B4" w14:textId="77777777" w:rsidR="000923BB" w:rsidRDefault="000923BB" w:rsidP="003A385F">
            <w:pPr>
              <w:autoSpaceDE w:val="0"/>
              <w:autoSpaceDN w:val="0"/>
              <w:adjustRightInd w:val="0"/>
              <w:jc w:val="center"/>
              <w:rPr>
                <w:rFonts w:ascii="Arial Narrow" w:hAnsi="Arial Narrow"/>
                <w:color w:val="000000"/>
                <w:sz w:val="16"/>
                <w:szCs w:val="16"/>
                <w:lang w:val="en-US"/>
              </w:rPr>
            </w:pPr>
            <w:r>
              <w:rPr>
                <w:rFonts w:ascii="Arial Narrow" w:hAnsi="Arial Narrow"/>
                <w:color w:val="000000"/>
                <w:sz w:val="16"/>
                <w:szCs w:val="16"/>
                <w:lang w:val="en-US"/>
              </w:rPr>
              <w:t>21%</w:t>
            </w:r>
          </w:p>
        </w:tc>
        <w:tc>
          <w:tcPr>
            <w:tcW w:w="658" w:type="dxa"/>
            <w:tcBorders>
              <w:top w:val="nil"/>
              <w:left w:val="single" w:sz="4" w:space="0" w:color="999999"/>
              <w:bottom w:val="nil"/>
              <w:right w:val="single" w:sz="4" w:space="0" w:color="999999"/>
            </w:tcBorders>
            <w:vAlign w:val="bottom"/>
          </w:tcPr>
          <w:p w14:paraId="0E087320" w14:textId="77777777" w:rsidR="000923BB" w:rsidRDefault="000923BB" w:rsidP="003A385F">
            <w:pPr>
              <w:autoSpaceDE w:val="0"/>
              <w:autoSpaceDN w:val="0"/>
              <w:adjustRightInd w:val="0"/>
              <w:jc w:val="center"/>
              <w:rPr>
                <w:rFonts w:ascii="Arial Narrow" w:hAnsi="Arial Narrow"/>
                <w:color w:val="000000"/>
                <w:sz w:val="16"/>
                <w:szCs w:val="16"/>
                <w:lang w:val="en-US"/>
              </w:rPr>
            </w:pPr>
            <w:r>
              <w:rPr>
                <w:rFonts w:ascii="Arial Narrow" w:hAnsi="Arial Narrow"/>
                <w:color w:val="000000"/>
                <w:sz w:val="16"/>
                <w:szCs w:val="16"/>
                <w:lang w:val="en-US"/>
              </w:rPr>
              <w:t>51%</w:t>
            </w:r>
          </w:p>
        </w:tc>
        <w:tc>
          <w:tcPr>
            <w:tcW w:w="658" w:type="dxa"/>
            <w:tcBorders>
              <w:top w:val="nil"/>
              <w:left w:val="single" w:sz="4" w:space="0" w:color="999999"/>
              <w:bottom w:val="nil"/>
              <w:right w:val="single" w:sz="4" w:space="0" w:color="auto"/>
            </w:tcBorders>
            <w:vAlign w:val="bottom"/>
          </w:tcPr>
          <w:p w14:paraId="75353BE8" w14:textId="77777777" w:rsidR="000923BB" w:rsidRDefault="000923BB" w:rsidP="003A385F">
            <w:pPr>
              <w:autoSpaceDE w:val="0"/>
              <w:autoSpaceDN w:val="0"/>
              <w:adjustRightInd w:val="0"/>
              <w:jc w:val="center"/>
              <w:rPr>
                <w:rFonts w:ascii="Arial Narrow" w:hAnsi="Arial Narrow"/>
                <w:color w:val="000000"/>
                <w:sz w:val="16"/>
                <w:szCs w:val="16"/>
                <w:lang w:val="en-US"/>
              </w:rPr>
            </w:pPr>
            <w:r>
              <w:rPr>
                <w:rFonts w:ascii="Arial Narrow" w:hAnsi="Arial Narrow"/>
                <w:color w:val="000000"/>
                <w:sz w:val="16"/>
                <w:szCs w:val="16"/>
                <w:lang w:val="en-US"/>
              </w:rPr>
              <w:t>64%</w:t>
            </w:r>
          </w:p>
        </w:tc>
        <w:tc>
          <w:tcPr>
            <w:tcW w:w="526" w:type="dxa"/>
            <w:tcBorders>
              <w:top w:val="nil"/>
              <w:left w:val="single" w:sz="4" w:space="0" w:color="auto"/>
              <w:bottom w:val="nil"/>
              <w:right w:val="single" w:sz="4" w:space="0" w:color="999999"/>
            </w:tcBorders>
            <w:vAlign w:val="bottom"/>
          </w:tcPr>
          <w:p w14:paraId="164836B5" w14:textId="77777777" w:rsidR="000923BB" w:rsidRDefault="000923BB" w:rsidP="003A385F">
            <w:pPr>
              <w:autoSpaceDE w:val="0"/>
              <w:autoSpaceDN w:val="0"/>
              <w:adjustRightInd w:val="0"/>
              <w:jc w:val="center"/>
              <w:rPr>
                <w:rFonts w:ascii="Arial Narrow" w:hAnsi="Arial Narrow"/>
                <w:color w:val="000000"/>
                <w:sz w:val="16"/>
                <w:szCs w:val="16"/>
                <w:lang w:val="en-US"/>
              </w:rPr>
            </w:pPr>
            <w:r>
              <w:rPr>
                <w:rFonts w:ascii="Arial Narrow" w:hAnsi="Arial Narrow"/>
                <w:color w:val="000000"/>
                <w:sz w:val="16"/>
                <w:szCs w:val="16"/>
                <w:lang w:val="en-US"/>
              </w:rPr>
              <w:t>2%</w:t>
            </w:r>
          </w:p>
        </w:tc>
        <w:tc>
          <w:tcPr>
            <w:tcW w:w="657" w:type="dxa"/>
            <w:tcBorders>
              <w:top w:val="nil"/>
              <w:left w:val="single" w:sz="4" w:space="0" w:color="999999"/>
              <w:bottom w:val="nil"/>
              <w:right w:val="single" w:sz="4" w:space="0" w:color="999999"/>
            </w:tcBorders>
            <w:vAlign w:val="bottom"/>
          </w:tcPr>
          <w:p w14:paraId="6B67884E" w14:textId="77777777" w:rsidR="000923BB" w:rsidRDefault="000923BB" w:rsidP="003A385F">
            <w:pPr>
              <w:autoSpaceDE w:val="0"/>
              <w:autoSpaceDN w:val="0"/>
              <w:adjustRightInd w:val="0"/>
              <w:jc w:val="center"/>
              <w:rPr>
                <w:rFonts w:ascii="Arial Narrow" w:hAnsi="Arial Narrow"/>
                <w:color w:val="000000"/>
                <w:sz w:val="16"/>
                <w:szCs w:val="16"/>
                <w:lang w:val="en-US"/>
              </w:rPr>
            </w:pPr>
            <w:r>
              <w:rPr>
                <w:rFonts w:ascii="Arial Narrow" w:hAnsi="Arial Narrow"/>
                <w:color w:val="000000"/>
                <w:sz w:val="16"/>
                <w:szCs w:val="16"/>
                <w:lang w:val="en-US"/>
              </w:rPr>
              <w:t>8%</w:t>
            </w:r>
          </w:p>
        </w:tc>
        <w:tc>
          <w:tcPr>
            <w:tcW w:w="526" w:type="dxa"/>
            <w:tcBorders>
              <w:top w:val="nil"/>
              <w:left w:val="single" w:sz="4" w:space="0" w:color="999999"/>
              <w:bottom w:val="nil"/>
              <w:right w:val="single" w:sz="4" w:space="0" w:color="auto"/>
            </w:tcBorders>
            <w:vAlign w:val="bottom"/>
          </w:tcPr>
          <w:p w14:paraId="7DE50E45" w14:textId="77777777" w:rsidR="000923BB" w:rsidRDefault="000923BB" w:rsidP="003A385F">
            <w:pPr>
              <w:autoSpaceDE w:val="0"/>
              <w:autoSpaceDN w:val="0"/>
              <w:adjustRightInd w:val="0"/>
              <w:jc w:val="center"/>
              <w:rPr>
                <w:rFonts w:ascii="Arial Narrow" w:hAnsi="Arial Narrow"/>
                <w:color w:val="000000"/>
                <w:sz w:val="16"/>
                <w:szCs w:val="16"/>
                <w:lang w:val="en-US"/>
              </w:rPr>
            </w:pPr>
          </w:p>
        </w:tc>
      </w:tr>
      <w:tr w:rsidR="00A24042" w14:paraId="27C96D47" w14:textId="77777777" w:rsidTr="00A24042">
        <w:trPr>
          <w:trHeight w:val="2490"/>
        </w:trPr>
        <w:tc>
          <w:tcPr>
            <w:tcW w:w="1053" w:type="dxa"/>
            <w:tcBorders>
              <w:top w:val="nil"/>
              <w:left w:val="single" w:sz="4" w:space="0" w:color="auto"/>
              <w:bottom w:val="single" w:sz="4" w:space="0" w:color="auto"/>
              <w:right w:val="single" w:sz="4" w:space="0" w:color="auto"/>
            </w:tcBorders>
            <w:vAlign w:val="bottom"/>
          </w:tcPr>
          <w:p w14:paraId="4F1FC805" w14:textId="77777777" w:rsidR="000923BB" w:rsidRDefault="000923BB" w:rsidP="003A385F">
            <w:pPr>
              <w:rPr>
                <w:rFonts w:ascii="Arial Narrow" w:hAnsi="Arial Narrow"/>
                <w:sz w:val="16"/>
                <w:szCs w:val="16"/>
              </w:rPr>
            </w:pPr>
            <w:r>
              <w:rPr>
                <w:rFonts w:ascii="Arial Narrow" w:hAnsi="Arial Narrow"/>
                <w:sz w:val="16"/>
                <w:szCs w:val="16"/>
              </w:rPr>
              <w:t xml:space="preserve">Codes 9-13 </w:t>
            </w:r>
          </w:p>
          <w:p w14:paraId="11494E2C" w14:textId="77777777" w:rsidR="000923BB" w:rsidRDefault="000923BB" w:rsidP="003A385F">
            <w:pPr>
              <w:rPr>
                <w:rFonts w:ascii="Arial Narrow" w:hAnsi="Arial Narrow"/>
                <w:sz w:val="16"/>
                <w:szCs w:val="16"/>
              </w:rPr>
            </w:pPr>
            <w:r>
              <w:rPr>
                <w:rFonts w:ascii="Arial Narrow" w:hAnsi="Arial Narrow"/>
                <w:color w:val="000000"/>
                <w:sz w:val="16"/>
                <w:szCs w:val="16"/>
              </w:rPr>
              <w:t>(explicit judgement of care [9] or more sophisticated comments about care with explicit judgements and views)</w:t>
            </w:r>
          </w:p>
        </w:tc>
        <w:tc>
          <w:tcPr>
            <w:tcW w:w="658" w:type="dxa"/>
            <w:tcBorders>
              <w:top w:val="nil"/>
              <w:left w:val="single" w:sz="4" w:space="0" w:color="auto"/>
              <w:bottom w:val="single" w:sz="4" w:space="0" w:color="auto"/>
              <w:right w:val="single" w:sz="4" w:space="0" w:color="999999"/>
            </w:tcBorders>
            <w:vAlign w:val="bottom"/>
          </w:tcPr>
          <w:p w14:paraId="4448A61B" w14:textId="77777777" w:rsidR="000923BB" w:rsidRDefault="000923BB" w:rsidP="003A385F">
            <w:pPr>
              <w:autoSpaceDE w:val="0"/>
              <w:autoSpaceDN w:val="0"/>
              <w:adjustRightInd w:val="0"/>
              <w:jc w:val="center"/>
              <w:rPr>
                <w:rFonts w:ascii="Arial Narrow" w:hAnsi="Arial Narrow"/>
                <w:color w:val="000000"/>
                <w:sz w:val="16"/>
                <w:szCs w:val="16"/>
                <w:lang w:val="en-US"/>
              </w:rPr>
            </w:pPr>
            <w:r>
              <w:rPr>
                <w:rFonts w:ascii="Arial Narrow" w:hAnsi="Arial Narrow"/>
                <w:color w:val="000000"/>
                <w:sz w:val="16"/>
                <w:szCs w:val="16"/>
                <w:lang w:val="en-US"/>
              </w:rPr>
              <w:t>84%</w:t>
            </w:r>
          </w:p>
        </w:tc>
        <w:tc>
          <w:tcPr>
            <w:tcW w:w="658" w:type="dxa"/>
            <w:tcBorders>
              <w:top w:val="nil"/>
              <w:left w:val="single" w:sz="4" w:space="0" w:color="999999"/>
              <w:bottom w:val="single" w:sz="4" w:space="0" w:color="auto"/>
              <w:right w:val="single" w:sz="4" w:space="0" w:color="999999"/>
            </w:tcBorders>
            <w:vAlign w:val="bottom"/>
          </w:tcPr>
          <w:p w14:paraId="32193586" w14:textId="77777777" w:rsidR="000923BB" w:rsidRDefault="000923BB" w:rsidP="003A385F">
            <w:pPr>
              <w:autoSpaceDE w:val="0"/>
              <w:autoSpaceDN w:val="0"/>
              <w:adjustRightInd w:val="0"/>
              <w:jc w:val="center"/>
              <w:rPr>
                <w:rFonts w:ascii="Arial Narrow" w:hAnsi="Arial Narrow"/>
                <w:color w:val="000000"/>
                <w:sz w:val="16"/>
                <w:szCs w:val="16"/>
                <w:lang w:val="en-US"/>
              </w:rPr>
            </w:pPr>
            <w:r>
              <w:rPr>
                <w:rFonts w:ascii="Arial Narrow" w:hAnsi="Arial Narrow"/>
                <w:color w:val="000000"/>
                <w:sz w:val="16"/>
                <w:szCs w:val="16"/>
                <w:lang w:val="en-US"/>
              </w:rPr>
              <w:t>83%</w:t>
            </w:r>
          </w:p>
        </w:tc>
        <w:tc>
          <w:tcPr>
            <w:tcW w:w="657" w:type="dxa"/>
            <w:tcBorders>
              <w:top w:val="nil"/>
              <w:left w:val="single" w:sz="4" w:space="0" w:color="999999"/>
              <w:bottom w:val="single" w:sz="4" w:space="0" w:color="auto"/>
              <w:right w:val="single" w:sz="4" w:space="0" w:color="auto"/>
            </w:tcBorders>
            <w:vAlign w:val="bottom"/>
          </w:tcPr>
          <w:p w14:paraId="0C2715BF" w14:textId="77777777" w:rsidR="000923BB" w:rsidRDefault="000923BB" w:rsidP="003A385F">
            <w:pPr>
              <w:autoSpaceDE w:val="0"/>
              <w:autoSpaceDN w:val="0"/>
              <w:adjustRightInd w:val="0"/>
              <w:jc w:val="center"/>
              <w:rPr>
                <w:rFonts w:ascii="Arial Narrow" w:hAnsi="Arial Narrow"/>
                <w:color w:val="000000"/>
                <w:sz w:val="16"/>
                <w:szCs w:val="16"/>
                <w:lang w:val="en-US"/>
              </w:rPr>
            </w:pPr>
            <w:r>
              <w:rPr>
                <w:rFonts w:ascii="Arial Narrow" w:hAnsi="Arial Narrow"/>
                <w:color w:val="000000"/>
                <w:sz w:val="16"/>
                <w:szCs w:val="16"/>
                <w:lang w:val="en-US"/>
              </w:rPr>
              <w:t>17%</w:t>
            </w:r>
          </w:p>
        </w:tc>
        <w:tc>
          <w:tcPr>
            <w:tcW w:w="526" w:type="dxa"/>
            <w:tcBorders>
              <w:top w:val="nil"/>
              <w:left w:val="single" w:sz="4" w:space="0" w:color="auto"/>
              <w:bottom w:val="single" w:sz="4" w:space="0" w:color="auto"/>
              <w:right w:val="single" w:sz="4" w:space="0" w:color="999999"/>
            </w:tcBorders>
            <w:vAlign w:val="bottom"/>
          </w:tcPr>
          <w:p w14:paraId="5279FF7A" w14:textId="77777777" w:rsidR="000923BB" w:rsidRDefault="000923BB" w:rsidP="003A385F">
            <w:pPr>
              <w:autoSpaceDE w:val="0"/>
              <w:autoSpaceDN w:val="0"/>
              <w:adjustRightInd w:val="0"/>
              <w:jc w:val="center"/>
              <w:rPr>
                <w:rFonts w:ascii="Arial Narrow" w:hAnsi="Arial Narrow"/>
                <w:color w:val="000000"/>
                <w:sz w:val="16"/>
                <w:szCs w:val="16"/>
                <w:lang w:val="en-US"/>
              </w:rPr>
            </w:pPr>
            <w:r>
              <w:rPr>
                <w:rFonts w:ascii="Arial Narrow" w:hAnsi="Arial Narrow"/>
                <w:color w:val="000000"/>
                <w:sz w:val="16"/>
                <w:szCs w:val="16"/>
                <w:lang w:val="en-US"/>
              </w:rPr>
              <w:t>82%</w:t>
            </w:r>
          </w:p>
        </w:tc>
        <w:tc>
          <w:tcPr>
            <w:tcW w:w="658" w:type="dxa"/>
            <w:tcBorders>
              <w:top w:val="nil"/>
              <w:left w:val="single" w:sz="4" w:space="0" w:color="999999"/>
              <w:bottom w:val="single" w:sz="4" w:space="0" w:color="auto"/>
              <w:right w:val="single" w:sz="4" w:space="0" w:color="999999"/>
            </w:tcBorders>
            <w:vAlign w:val="bottom"/>
          </w:tcPr>
          <w:p w14:paraId="2D4AC2EA" w14:textId="77777777" w:rsidR="000923BB" w:rsidRDefault="000923BB" w:rsidP="003A385F">
            <w:pPr>
              <w:autoSpaceDE w:val="0"/>
              <w:autoSpaceDN w:val="0"/>
              <w:adjustRightInd w:val="0"/>
              <w:jc w:val="center"/>
              <w:rPr>
                <w:rFonts w:ascii="Arial Narrow" w:hAnsi="Arial Narrow"/>
                <w:color w:val="000000"/>
                <w:sz w:val="16"/>
                <w:szCs w:val="16"/>
                <w:lang w:val="en-US"/>
              </w:rPr>
            </w:pPr>
            <w:r>
              <w:rPr>
                <w:rFonts w:ascii="Arial Narrow" w:hAnsi="Arial Narrow"/>
                <w:color w:val="000000"/>
                <w:sz w:val="16"/>
                <w:szCs w:val="16"/>
                <w:lang w:val="en-US"/>
              </w:rPr>
              <w:t>84%</w:t>
            </w:r>
          </w:p>
        </w:tc>
        <w:tc>
          <w:tcPr>
            <w:tcW w:w="526" w:type="dxa"/>
            <w:tcBorders>
              <w:top w:val="nil"/>
              <w:left w:val="single" w:sz="4" w:space="0" w:color="999999"/>
              <w:bottom w:val="single" w:sz="4" w:space="0" w:color="auto"/>
              <w:right w:val="single" w:sz="4" w:space="0" w:color="auto"/>
            </w:tcBorders>
            <w:vAlign w:val="bottom"/>
          </w:tcPr>
          <w:p w14:paraId="28244B73" w14:textId="77777777" w:rsidR="000923BB" w:rsidRDefault="000923BB" w:rsidP="003A385F">
            <w:pPr>
              <w:autoSpaceDE w:val="0"/>
              <w:autoSpaceDN w:val="0"/>
              <w:adjustRightInd w:val="0"/>
              <w:jc w:val="center"/>
              <w:rPr>
                <w:rFonts w:ascii="Arial Narrow" w:hAnsi="Arial Narrow"/>
                <w:color w:val="000000"/>
                <w:sz w:val="16"/>
                <w:szCs w:val="16"/>
                <w:lang w:val="en-US"/>
              </w:rPr>
            </w:pPr>
            <w:r>
              <w:rPr>
                <w:rFonts w:ascii="Arial Narrow" w:hAnsi="Arial Narrow"/>
                <w:color w:val="000000"/>
                <w:sz w:val="16"/>
                <w:szCs w:val="16"/>
                <w:lang w:val="en-US"/>
              </w:rPr>
              <w:t>26%</w:t>
            </w:r>
          </w:p>
        </w:tc>
        <w:tc>
          <w:tcPr>
            <w:tcW w:w="526" w:type="dxa"/>
            <w:tcBorders>
              <w:top w:val="nil"/>
              <w:left w:val="single" w:sz="4" w:space="0" w:color="auto"/>
              <w:bottom w:val="single" w:sz="4" w:space="0" w:color="auto"/>
              <w:right w:val="single" w:sz="4" w:space="0" w:color="999999"/>
            </w:tcBorders>
            <w:vAlign w:val="bottom"/>
          </w:tcPr>
          <w:p w14:paraId="136F3659" w14:textId="77777777" w:rsidR="000923BB" w:rsidRDefault="000923BB" w:rsidP="003A385F">
            <w:pPr>
              <w:autoSpaceDE w:val="0"/>
              <w:autoSpaceDN w:val="0"/>
              <w:adjustRightInd w:val="0"/>
              <w:jc w:val="center"/>
              <w:rPr>
                <w:rFonts w:ascii="Arial Narrow" w:hAnsi="Arial Narrow"/>
                <w:color w:val="000000"/>
                <w:sz w:val="16"/>
                <w:szCs w:val="16"/>
                <w:lang w:val="en-US"/>
              </w:rPr>
            </w:pPr>
            <w:r>
              <w:rPr>
                <w:rFonts w:ascii="Arial Narrow" w:hAnsi="Arial Narrow"/>
                <w:color w:val="000000"/>
                <w:sz w:val="16"/>
                <w:szCs w:val="16"/>
                <w:lang w:val="en-US"/>
              </w:rPr>
              <w:t>60%</w:t>
            </w:r>
          </w:p>
        </w:tc>
        <w:tc>
          <w:tcPr>
            <w:tcW w:w="658" w:type="dxa"/>
            <w:tcBorders>
              <w:top w:val="nil"/>
              <w:left w:val="single" w:sz="4" w:space="0" w:color="999999"/>
              <w:bottom w:val="single" w:sz="4" w:space="0" w:color="auto"/>
              <w:right w:val="single" w:sz="4" w:space="0" w:color="999999"/>
            </w:tcBorders>
            <w:vAlign w:val="bottom"/>
          </w:tcPr>
          <w:p w14:paraId="2C84B752" w14:textId="77777777" w:rsidR="000923BB" w:rsidRDefault="000923BB" w:rsidP="003A385F">
            <w:pPr>
              <w:autoSpaceDE w:val="0"/>
              <w:autoSpaceDN w:val="0"/>
              <w:adjustRightInd w:val="0"/>
              <w:jc w:val="center"/>
              <w:rPr>
                <w:rFonts w:ascii="Arial Narrow" w:hAnsi="Arial Narrow"/>
                <w:color w:val="000000"/>
                <w:sz w:val="16"/>
                <w:szCs w:val="16"/>
                <w:lang w:val="en-US"/>
              </w:rPr>
            </w:pPr>
            <w:r>
              <w:rPr>
                <w:rFonts w:ascii="Arial Narrow" w:hAnsi="Arial Narrow"/>
                <w:color w:val="000000"/>
                <w:sz w:val="16"/>
                <w:szCs w:val="16"/>
                <w:lang w:val="en-US"/>
              </w:rPr>
              <w:t>42%</w:t>
            </w:r>
          </w:p>
        </w:tc>
        <w:tc>
          <w:tcPr>
            <w:tcW w:w="658" w:type="dxa"/>
            <w:tcBorders>
              <w:top w:val="nil"/>
              <w:left w:val="single" w:sz="4" w:space="0" w:color="999999"/>
              <w:bottom w:val="single" w:sz="4" w:space="0" w:color="auto"/>
              <w:right w:val="single" w:sz="4" w:space="0" w:color="auto"/>
            </w:tcBorders>
            <w:vAlign w:val="bottom"/>
          </w:tcPr>
          <w:p w14:paraId="7A798719" w14:textId="77777777" w:rsidR="000923BB" w:rsidRDefault="000923BB" w:rsidP="003A385F">
            <w:pPr>
              <w:autoSpaceDE w:val="0"/>
              <w:autoSpaceDN w:val="0"/>
              <w:adjustRightInd w:val="0"/>
              <w:jc w:val="center"/>
              <w:rPr>
                <w:rFonts w:ascii="Arial Narrow" w:hAnsi="Arial Narrow"/>
                <w:color w:val="000000"/>
                <w:sz w:val="16"/>
                <w:szCs w:val="16"/>
                <w:lang w:val="en-US"/>
              </w:rPr>
            </w:pPr>
            <w:r>
              <w:rPr>
                <w:rFonts w:ascii="Arial Narrow" w:hAnsi="Arial Narrow"/>
                <w:color w:val="000000"/>
                <w:sz w:val="16"/>
                <w:szCs w:val="16"/>
                <w:lang w:val="en-US"/>
              </w:rPr>
              <w:t>19%</w:t>
            </w:r>
          </w:p>
        </w:tc>
        <w:tc>
          <w:tcPr>
            <w:tcW w:w="526" w:type="dxa"/>
            <w:tcBorders>
              <w:top w:val="nil"/>
              <w:left w:val="single" w:sz="4" w:space="0" w:color="auto"/>
              <w:bottom w:val="single" w:sz="4" w:space="0" w:color="auto"/>
              <w:right w:val="single" w:sz="4" w:space="0" w:color="999999"/>
            </w:tcBorders>
            <w:vAlign w:val="bottom"/>
          </w:tcPr>
          <w:p w14:paraId="2340C0C5" w14:textId="77777777" w:rsidR="000923BB" w:rsidRDefault="000923BB" w:rsidP="003A385F">
            <w:pPr>
              <w:autoSpaceDE w:val="0"/>
              <w:autoSpaceDN w:val="0"/>
              <w:adjustRightInd w:val="0"/>
              <w:jc w:val="center"/>
              <w:rPr>
                <w:rFonts w:ascii="Arial Narrow" w:hAnsi="Arial Narrow"/>
                <w:color w:val="000000"/>
                <w:sz w:val="16"/>
                <w:szCs w:val="16"/>
                <w:lang w:val="en-US"/>
              </w:rPr>
            </w:pPr>
            <w:r>
              <w:rPr>
                <w:rFonts w:ascii="Arial Narrow" w:hAnsi="Arial Narrow"/>
                <w:color w:val="000000"/>
                <w:sz w:val="16"/>
                <w:szCs w:val="16"/>
                <w:lang w:val="en-US"/>
              </w:rPr>
              <w:t>89%</w:t>
            </w:r>
          </w:p>
        </w:tc>
        <w:tc>
          <w:tcPr>
            <w:tcW w:w="657" w:type="dxa"/>
            <w:tcBorders>
              <w:top w:val="nil"/>
              <w:left w:val="single" w:sz="4" w:space="0" w:color="999999"/>
              <w:bottom w:val="single" w:sz="4" w:space="0" w:color="auto"/>
              <w:right w:val="single" w:sz="4" w:space="0" w:color="999999"/>
            </w:tcBorders>
            <w:vAlign w:val="bottom"/>
          </w:tcPr>
          <w:p w14:paraId="0630149F" w14:textId="77777777" w:rsidR="000923BB" w:rsidRDefault="000923BB" w:rsidP="003A385F">
            <w:pPr>
              <w:autoSpaceDE w:val="0"/>
              <w:autoSpaceDN w:val="0"/>
              <w:adjustRightInd w:val="0"/>
              <w:jc w:val="center"/>
              <w:rPr>
                <w:rFonts w:ascii="Arial Narrow" w:hAnsi="Arial Narrow"/>
                <w:color w:val="000000"/>
                <w:sz w:val="16"/>
                <w:szCs w:val="16"/>
                <w:lang w:val="en-US"/>
              </w:rPr>
            </w:pPr>
            <w:r>
              <w:rPr>
                <w:rFonts w:ascii="Arial Narrow" w:hAnsi="Arial Narrow"/>
                <w:color w:val="000000"/>
                <w:sz w:val="16"/>
                <w:szCs w:val="16"/>
                <w:lang w:val="en-US"/>
              </w:rPr>
              <w:t>89%</w:t>
            </w:r>
          </w:p>
        </w:tc>
        <w:tc>
          <w:tcPr>
            <w:tcW w:w="526" w:type="dxa"/>
            <w:tcBorders>
              <w:top w:val="nil"/>
              <w:left w:val="single" w:sz="4" w:space="0" w:color="999999"/>
              <w:bottom w:val="single" w:sz="4" w:space="0" w:color="auto"/>
              <w:right w:val="single" w:sz="4" w:space="0" w:color="auto"/>
            </w:tcBorders>
            <w:vAlign w:val="bottom"/>
          </w:tcPr>
          <w:p w14:paraId="7D93BD13" w14:textId="77777777" w:rsidR="000923BB" w:rsidRDefault="000923BB" w:rsidP="003A385F">
            <w:pPr>
              <w:autoSpaceDE w:val="0"/>
              <w:autoSpaceDN w:val="0"/>
              <w:adjustRightInd w:val="0"/>
              <w:jc w:val="center"/>
              <w:rPr>
                <w:rFonts w:ascii="Arial Narrow" w:hAnsi="Arial Narrow"/>
                <w:color w:val="000000"/>
                <w:sz w:val="16"/>
                <w:szCs w:val="16"/>
                <w:lang w:val="en-US"/>
              </w:rPr>
            </w:pPr>
            <w:r w:rsidRPr="0061331B">
              <w:rPr>
                <w:rFonts w:ascii="Arial Narrow" w:hAnsi="Arial Narrow"/>
                <w:color w:val="000000"/>
                <w:sz w:val="16"/>
                <w:szCs w:val="16"/>
                <w:lang w:val="en-US"/>
              </w:rPr>
              <w:t>96%</w:t>
            </w:r>
          </w:p>
        </w:tc>
      </w:tr>
      <w:tr w:rsidR="00A24042" w14:paraId="6D516985" w14:textId="77777777" w:rsidTr="00A24042">
        <w:trPr>
          <w:trHeight w:val="391"/>
        </w:trPr>
        <w:tc>
          <w:tcPr>
            <w:tcW w:w="1053" w:type="dxa"/>
            <w:tcBorders>
              <w:top w:val="single" w:sz="4" w:space="0" w:color="auto"/>
              <w:left w:val="single" w:sz="4" w:space="0" w:color="auto"/>
              <w:bottom w:val="single" w:sz="4" w:space="0" w:color="auto"/>
              <w:right w:val="single" w:sz="4" w:space="0" w:color="auto"/>
            </w:tcBorders>
            <w:vAlign w:val="bottom"/>
          </w:tcPr>
          <w:p w14:paraId="7571FB81" w14:textId="77777777" w:rsidR="000923BB" w:rsidRDefault="000923BB" w:rsidP="003A385F">
            <w:pPr>
              <w:rPr>
                <w:rFonts w:ascii="Arial Narrow" w:hAnsi="Arial Narrow"/>
                <w:b/>
                <w:bCs/>
                <w:sz w:val="16"/>
                <w:szCs w:val="16"/>
              </w:rPr>
            </w:pPr>
            <w:r>
              <w:rPr>
                <w:rFonts w:ascii="Arial Narrow" w:hAnsi="Arial Narrow"/>
                <w:b/>
                <w:bCs/>
                <w:sz w:val="16"/>
                <w:szCs w:val="16"/>
              </w:rPr>
              <w:t>Number of reviews (and reviewers):</w:t>
            </w:r>
          </w:p>
        </w:tc>
        <w:tc>
          <w:tcPr>
            <w:tcW w:w="658" w:type="dxa"/>
            <w:tcBorders>
              <w:top w:val="single" w:sz="4" w:space="0" w:color="auto"/>
              <w:left w:val="single" w:sz="4" w:space="0" w:color="auto"/>
              <w:bottom w:val="single" w:sz="4" w:space="0" w:color="auto"/>
              <w:right w:val="single" w:sz="4" w:space="0" w:color="999999"/>
            </w:tcBorders>
            <w:vAlign w:val="bottom"/>
          </w:tcPr>
          <w:p w14:paraId="30CA8557" w14:textId="77777777" w:rsidR="000923BB" w:rsidRDefault="000923BB" w:rsidP="003A385F">
            <w:pPr>
              <w:jc w:val="center"/>
              <w:rPr>
                <w:rFonts w:ascii="Arial Narrow" w:hAnsi="Arial Narrow"/>
                <w:sz w:val="16"/>
                <w:szCs w:val="16"/>
              </w:rPr>
            </w:pPr>
            <w:r>
              <w:rPr>
                <w:rFonts w:ascii="Arial Narrow" w:hAnsi="Arial Narrow"/>
                <w:sz w:val="16"/>
                <w:szCs w:val="16"/>
              </w:rPr>
              <w:t>329 (10)</w:t>
            </w:r>
          </w:p>
        </w:tc>
        <w:tc>
          <w:tcPr>
            <w:tcW w:w="658" w:type="dxa"/>
            <w:tcBorders>
              <w:top w:val="single" w:sz="4" w:space="0" w:color="auto"/>
              <w:left w:val="single" w:sz="4" w:space="0" w:color="999999"/>
              <w:bottom w:val="single" w:sz="4" w:space="0" w:color="auto"/>
              <w:right w:val="single" w:sz="4" w:space="0" w:color="999999"/>
            </w:tcBorders>
            <w:vAlign w:val="bottom"/>
          </w:tcPr>
          <w:p w14:paraId="646A2FA6" w14:textId="77777777" w:rsidR="000923BB" w:rsidRDefault="000923BB" w:rsidP="003A385F">
            <w:pPr>
              <w:jc w:val="center"/>
              <w:rPr>
                <w:rFonts w:ascii="Arial Narrow" w:hAnsi="Arial Narrow"/>
                <w:sz w:val="16"/>
                <w:szCs w:val="16"/>
              </w:rPr>
            </w:pPr>
            <w:r>
              <w:rPr>
                <w:rFonts w:ascii="Arial Narrow" w:hAnsi="Arial Narrow"/>
                <w:sz w:val="16"/>
                <w:szCs w:val="16"/>
              </w:rPr>
              <w:t>172 (5)</w:t>
            </w:r>
          </w:p>
        </w:tc>
        <w:tc>
          <w:tcPr>
            <w:tcW w:w="657" w:type="dxa"/>
            <w:tcBorders>
              <w:top w:val="single" w:sz="4" w:space="0" w:color="auto"/>
              <w:left w:val="single" w:sz="4" w:space="0" w:color="999999"/>
              <w:bottom w:val="single" w:sz="4" w:space="0" w:color="auto"/>
              <w:right w:val="single" w:sz="4" w:space="0" w:color="auto"/>
            </w:tcBorders>
            <w:vAlign w:val="bottom"/>
          </w:tcPr>
          <w:p w14:paraId="58B2D35D" w14:textId="77777777" w:rsidR="000923BB" w:rsidRDefault="000923BB" w:rsidP="003A385F">
            <w:pPr>
              <w:jc w:val="center"/>
              <w:rPr>
                <w:rFonts w:ascii="Arial Narrow" w:hAnsi="Arial Narrow"/>
                <w:sz w:val="16"/>
                <w:szCs w:val="16"/>
              </w:rPr>
            </w:pPr>
            <w:r>
              <w:rPr>
                <w:rFonts w:ascii="Arial Narrow" w:hAnsi="Arial Narrow"/>
                <w:sz w:val="16"/>
                <w:szCs w:val="16"/>
              </w:rPr>
              <w:t>70 (3)</w:t>
            </w:r>
          </w:p>
        </w:tc>
        <w:tc>
          <w:tcPr>
            <w:tcW w:w="526" w:type="dxa"/>
            <w:tcBorders>
              <w:top w:val="single" w:sz="4" w:space="0" w:color="auto"/>
              <w:left w:val="single" w:sz="4" w:space="0" w:color="auto"/>
              <w:bottom w:val="single" w:sz="4" w:space="0" w:color="auto"/>
              <w:right w:val="single" w:sz="4" w:space="0" w:color="999999"/>
            </w:tcBorders>
            <w:vAlign w:val="bottom"/>
          </w:tcPr>
          <w:p w14:paraId="5F636B61" w14:textId="77777777" w:rsidR="000923BB" w:rsidRDefault="000923BB" w:rsidP="003A385F">
            <w:pPr>
              <w:jc w:val="center"/>
              <w:rPr>
                <w:rFonts w:ascii="Arial Narrow" w:hAnsi="Arial Narrow"/>
                <w:sz w:val="16"/>
                <w:szCs w:val="16"/>
              </w:rPr>
            </w:pPr>
            <w:r>
              <w:rPr>
                <w:rFonts w:ascii="Arial Narrow" w:hAnsi="Arial Narrow"/>
                <w:sz w:val="16"/>
                <w:szCs w:val="16"/>
              </w:rPr>
              <w:t>329 (10)</w:t>
            </w:r>
          </w:p>
        </w:tc>
        <w:tc>
          <w:tcPr>
            <w:tcW w:w="658" w:type="dxa"/>
            <w:tcBorders>
              <w:top w:val="single" w:sz="4" w:space="0" w:color="auto"/>
              <w:left w:val="single" w:sz="4" w:space="0" w:color="999999"/>
              <w:bottom w:val="single" w:sz="4" w:space="0" w:color="auto"/>
              <w:right w:val="single" w:sz="4" w:space="0" w:color="999999"/>
            </w:tcBorders>
            <w:vAlign w:val="bottom"/>
          </w:tcPr>
          <w:p w14:paraId="041B44DB" w14:textId="77777777" w:rsidR="000923BB" w:rsidRDefault="000923BB" w:rsidP="003A385F">
            <w:pPr>
              <w:jc w:val="center"/>
              <w:rPr>
                <w:rFonts w:ascii="Arial Narrow" w:hAnsi="Arial Narrow"/>
                <w:sz w:val="16"/>
                <w:szCs w:val="16"/>
              </w:rPr>
            </w:pPr>
            <w:r>
              <w:rPr>
                <w:rFonts w:ascii="Arial Narrow" w:hAnsi="Arial Narrow"/>
                <w:sz w:val="16"/>
                <w:szCs w:val="16"/>
              </w:rPr>
              <w:t>172 (5)</w:t>
            </w:r>
          </w:p>
        </w:tc>
        <w:tc>
          <w:tcPr>
            <w:tcW w:w="526" w:type="dxa"/>
            <w:tcBorders>
              <w:top w:val="single" w:sz="4" w:space="0" w:color="auto"/>
              <w:left w:val="single" w:sz="4" w:space="0" w:color="999999"/>
              <w:bottom w:val="single" w:sz="4" w:space="0" w:color="auto"/>
              <w:right w:val="single" w:sz="4" w:space="0" w:color="auto"/>
            </w:tcBorders>
            <w:vAlign w:val="bottom"/>
          </w:tcPr>
          <w:p w14:paraId="252D2628" w14:textId="77777777" w:rsidR="000923BB" w:rsidRDefault="000923BB" w:rsidP="003A385F">
            <w:pPr>
              <w:jc w:val="center"/>
              <w:rPr>
                <w:rFonts w:ascii="Arial Narrow" w:hAnsi="Arial Narrow"/>
                <w:sz w:val="16"/>
                <w:szCs w:val="16"/>
              </w:rPr>
            </w:pPr>
            <w:r>
              <w:rPr>
                <w:rFonts w:ascii="Arial Narrow" w:hAnsi="Arial Narrow"/>
                <w:sz w:val="16"/>
                <w:szCs w:val="16"/>
              </w:rPr>
              <w:t>69 (3)</w:t>
            </w:r>
          </w:p>
        </w:tc>
        <w:tc>
          <w:tcPr>
            <w:tcW w:w="526" w:type="dxa"/>
            <w:tcBorders>
              <w:top w:val="single" w:sz="4" w:space="0" w:color="auto"/>
              <w:left w:val="single" w:sz="4" w:space="0" w:color="auto"/>
              <w:bottom w:val="single" w:sz="4" w:space="0" w:color="auto"/>
              <w:right w:val="single" w:sz="4" w:space="0" w:color="999999"/>
            </w:tcBorders>
            <w:vAlign w:val="bottom"/>
          </w:tcPr>
          <w:p w14:paraId="501D8088" w14:textId="77777777" w:rsidR="000923BB" w:rsidRDefault="000923BB" w:rsidP="003A385F">
            <w:pPr>
              <w:jc w:val="center"/>
              <w:rPr>
                <w:rFonts w:ascii="Arial Narrow" w:hAnsi="Arial Narrow"/>
                <w:sz w:val="16"/>
                <w:szCs w:val="16"/>
              </w:rPr>
            </w:pPr>
            <w:r>
              <w:rPr>
                <w:rFonts w:ascii="Arial Narrow" w:hAnsi="Arial Narrow"/>
                <w:sz w:val="16"/>
                <w:szCs w:val="16"/>
              </w:rPr>
              <w:t>324 (10)</w:t>
            </w:r>
          </w:p>
        </w:tc>
        <w:tc>
          <w:tcPr>
            <w:tcW w:w="658" w:type="dxa"/>
            <w:tcBorders>
              <w:top w:val="single" w:sz="4" w:space="0" w:color="auto"/>
              <w:left w:val="single" w:sz="4" w:space="0" w:color="999999"/>
              <w:bottom w:val="single" w:sz="4" w:space="0" w:color="auto"/>
              <w:right w:val="single" w:sz="4" w:space="0" w:color="999999"/>
            </w:tcBorders>
            <w:vAlign w:val="bottom"/>
          </w:tcPr>
          <w:p w14:paraId="16D8BD7F" w14:textId="77777777" w:rsidR="000923BB" w:rsidRDefault="000923BB" w:rsidP="003A385F">
            <w:pPr>
              <w:jc w:val="center"/>
              <w:rPr>
                <w:rFonts w:ascii="Arial Narrow" w:hAnsi="Arial Narrow"/>
                <w:sz w:val="16"/>
                <w:szCs w:val="16"/>
              </w:rPr>
            </w:pPr>
            <w:r>
              <w:rPr>
                <w:rFonts w:ascii="Arial Narrow" w:hAnsi="Arial Narrow"/>
                <w:sz w:val="16"/>
                <w:szCs w:val="16"/>
              </w:rPr>
              <w:t>172 (5)</w:t>
            </w:r>
          </w:p>
        </w:tc>
        <w:tc>
          <w:tcPr>
            <w:tcW w:w="658" w:type="dxa"/>
            <w:tcBorders>
              <w:top w:val="single" w:sz="4" w:space="0" w:color="auto"/>
              <w:left w:val="single" w:sz="4" w:space="0" w:color="999999"/>
              <w:bottom w:val="single" w:sz="4" w:space="0" w:color="auto"/>
              <w:right w:val="single" w:sz="4" w:space="0" w:color="auto"/>
            </w:tcBorders>
            <w:vAlign w:val="bottom"/>
          </w:tcPr>
          <w:p w14:paraId="13EA6DAF" w14:textId="77777777" w:rsidR="000923BB" w:rsidRDefault="000923BB" w:rsidP="003A385F">
            <w:pPr>
              <w:jc w:val="center"/>
              <w:rPr>
                <w:rFonts w:ascii="Arial Narrow" w:hAnsi="Arial Narrow"/>
                <w:sz w:val="16"/>
                <w:szCs w:val="16"/>
              </w:rPr>
            </w:pPr>
            <w:r>
              <w:rPr>
                <w:rFonts w:ascii="Arial Narrow" w:hAnsi="Arial Narrow"/>
                <w:sz w:val="16"/>
                <w:szCs w:val="16"/>
              </w:rPr>
              <w:t>70 (3)</w:t>
            </w:r>
          </w:p>
        </w:tc>
        <w:tc>
          <w:tcPr>
            <w:tcW w:w="526" w:type="dxa"/>
            <w:tcBorders>
              <w:top w:val="single" w:sz="4" w:space="0" w:color="auto"/>
              <w:left w:val="single" w:sz="4" w:space="0" w:color="auto"/>
              <w:bottom w:val="single" w:sz="4" w:space="0" w:color="auto"/>
              <w:right w:val="single" w:sz="4" w:space="0" w:color="999999"/>
            </w:tcBorders>
            <w:vAlign w:val="bottom"/>
          </w:tcPr>
          <w:p w14:paraId="237E7D10" w14:textId="77777777" w:rsidR="000923BB" w:rsidRDefault="000923BB" w:rsidP="003A385F">
            <w:pPr>
              <w:jc w:val="center"/>
              <w:rPr>
                <w:rFonts w:ascii="Arial Narrow" w:hAnsi="Arial Narrow"/>
                <w:sz w:val="16"/>
                <w:szCs w:val="16"/>
              </w:rPr>
            </w:pPr>
            <w:r>
              <w:rPr>
                <w:rFonts w:ascii="Arial Narrow" w:hAnsi="Arial Narrow"/>
                <w:sz w:val="16"/>
                <w:szCs w:val="16"/>
              </w:rPr>
              <w:t>326 (10)</w:t>
            </w:r>
          </w:p>
        </w:tc>
        <w:tc>
          <w:tcPr>
            <w:tcW w:w="657" w:type="dxa"/>
            <w:tcBorders>
              <w:top w:val="single" w:sz="4" w:space="0" w:color="auto"/>
              <w:left w:val="single" w:sz="4" w:space="0" w:color="999999"/>
              <w:bottom w:val="single" w:sz="4" w:space="0" w:color="auto"/>
              <w:right w:val="single" w:sz="4" w:space="0" w:color="999999"/>
            </w:tcBorders>
            <w:vAlign w:val="bottom"/>
          </w:tcPr>
          <w:p w14:paraId="469081EA" w14:textId="77777777" w:rsidR="000923BB" w:rsidRDefault="000923BB" w:rsidP="003A385F">
            <w:pPr>
              <w:jc w:val="center"/>
              <w:rPr>
                <w:rFonts w:ascii="Arial Narrow" w:hAnsi="Arial Narrow"/>
                <w:sz w:val="16"/>
                <w:szCs w:val="16"/>
              </w:rPr>
            </w:pPr>
            <w:r>
              <w:rPr>
                <w:rFonts w:ascii="Arial Narrow" w:hAnsi="Arial Narrow"/>
                <w:sz w:val="16"/>
                <w:szCs w:val="16"/>
              </w:rPr>
              <w:t>172 (5)</w:t>
            </w:r>
          </w:p>
        </w:tc>
        <w:tc>
          <w:tcPr>
            <w:tcW w:w="526" w:type="dxa"/>
            <w:tcBorders>
              <w:top w:val="single" w:sz="4" w:space="0" w:color="auto"/>
              <w:left w:val="single" w:sz="4" w:space="0" w:color="999999"/>
              <w:bottom w:val="single" w:sz="4" w:space="0" w:color="auto"/>
              <w:right w:val="single" w:sz="4" w:space="0" w:color="auto"/>
            </w:tcBorders>
            <w:vAlign w:val="bottom"/>
          </w:tcPr>
          <w:p w14:paraId="30D4C334" w14:textId="77777777" w:rsidR="000923BB" w:rsidRDefault="000923BB" w:rsidP="003A385F">
            <w:pPr>
              <w:jc w:val="center"/>
              <w:rPr>
                <w:rFonts w:ascii="Arial Narrow" w:hAnsi="Arial Narrow"/>
                <w:sz w:val="16"/>
                <w:szCs w:val="16"/>
              </w:rPr>
            </w:pPr>
            <w:r>
              <w:rPr>
                <w:rFonts w:ascii="Arial Narrow" w:hAnsi="Arial Narrow"/>
                <w:sz w:val="16"/>
                <w:szCs w:val="16"/>
              </w:rPr>
              <w:t>70 (3)</w:t>
            </w:r>
          </w:p>
        </w:tc>
      </w:tr>
      <w:tr w:rsidR="000923BB" w14:paraId="0B657F59" w14:textId="77777777" w:rsidTr="00A24042">
        <w:trPr>
          <w:trHeight w:val="364"/>
        </w:trPr>
        <w:tc>
          <w:tcPr>
            <w:tcW w:w="1053" w:type="dxa"/>
            <w:tcBorders>
              <w:top w:val="single" w:sz="4" w:space="0" w:color="auto"/>
              <w:left w:val="single" w:sz="4" w:space="0" w:color="auto"/>
              <w:bottom w:val="single" w:sz="4" w:space="0" w:color="auto"/>
              <w:right w:val="single" w:sz="4" w:space="0" w:color="auto"/>
            </w:tcBorders>
            <w:vAlign w:val="bottom"/>
          </w:tcPr>
          <w:p w14:paraId="674A0608" w14:textId="77777777" w:rsidR="000923BB" w:rsidRDefault="000923BB" w:rsidP="003A385F">
            <w:pPr>
              <w:rPr>
                <w:rFonts w:ascii="Arial Narrow" w:hAnsi="Arial Narrow"/>
                <w:b/>
                <w:bCs/>
                <w:sz w:val="16"/>
                <w:szCs w:val="16"/>
              </w:rPr>
            </w:pPr>
            <w:r>
              <w:rPr>
                <w:rFonts w:ascii="Arial Narrow" w:hAnsi="Arial Narrow"/>
                <w:b/>
                <w:bCs/>
                <w:sz w:val="16"/>
                <w:szCs w:val="16"/>
              </w:rPr>
              <w:t>Chi-square:</w:t>
            </w:r>
          </w:p>
        </w:tc>
        <w:tc>
          <w:tcPr>
            <w:tcW w:w="1974" w:type="dxa"/>
            <w:gridSpan w:val="3"/>
            <w:tcBorders>
              <w:top w:val="single" w:sz="4" w:space="0" w:color="auto"/>
              <w:left w:val="single" w:sz="4" w:space="0" w:color="auto"/>
              <w:bottom w:val="single" w:sz="4" w:space="0" w:color="auto"/>
              <w:right w:val="single" w:sz="4" w:space="0" w:color="auto"/>
            </w:tcBorders>
            <w:vAlign w:val="bottom"/>
          </w:tcPr>
          <w:p w14:paraId="1DD63E58" w14:textId="77777777" w:rsidR="000923BB" w:rsidRDefault="000923BB" w:rsidP="003A385F">
            <w:pPr>
              <w:jc w:val="center"/>
              <w:rPr>
                <w:rFonts w:ascii="Arial Narrow" w:hAnsi="Arial Narrow"/>
                <w:sz w:val="16"/>
                <w:szCs w:val="16"/>
              </w:rPr>
            </w:pPr>
            <w:r>
              <w:rPr>
                <w:rFonts w:ascii="Arial Narrow" w:hAnsi="Arial Narrow"/>
                <w:sz w:val="16"/>
                <w:szCs w:val="16"/>
              </w:rPr>
              <w:t>217.9 (p &lt; 0.001)</w:t>
            </w:r>
          </w:p>
        </w:tc>
        <w:tc>
          <w:tcPr>
            <w:tcW w:w="1711" w:type="dxa"/>
            <w:gridSpan w:val="3"/>
            <w:tcBorders>
              <w:top w:val="single" w:sz="4" w:space="0" w:color="auto"/>
              <w:left w:val="single" w:sz="4" w:space="0" w:color="auto"/>
              <w:bottom w:val="single" w:sz="4" w:space="0" w:color="auto"/>
              <w:right w:val="single" w:sz="4" w:space="0" w:color="auto"/>
            </w:tcBorders>
            <w:vAlign w:val="bottom"/>
          </w:tcPr>
          <w:p w14:paraId="3F227CDA" w14:textId="77777777" w:rsidR="000923BB" w:rsidRDefault="000923BB" w:rsidP="003A385F">
            <w:pPr>
              <w:jc w:val="center"/>
              <w:rPr>
                <w:rFonts w:ascii="Arial Narrow" w:hAnsi="Arial Narrow"/>
                <w:sz w:val="16"/>
                <w:szCs w:val="16"/>
              </w:rPr>
            </w:pPr>
            <w:r>
              <w:rPr>
                <w:rFonts w:ascii="Arial Narrow" w:hAnsi="Arial Narrow"/>
                <w:sz w:val="16"/>
                <w:szCs w:val="16"/>
              </w:rPr>
              <w:t>200.2 (p &lt; 0.001)</w:t>
            </w:r>
          </w:p>
        </w:tc>
        <w:tc>
          <w:tcPr>
            <w:tcW w:w="1843" w:type="dxa"/>
            <w:gridSpan w:val="3"/>
            <w:tcBorders>
              <w:top w:val="single" w:sz="4" w:space="0" w:color="auto"/>
              <w:left w:val="single" w:sz="4" w:space="0" w:color="auto"/>
              <w:bottom w:val="single" w:sz="4" w:space="0" w:color="auto"/>
              <w:right w:val="single" w:sz="4" w:space="0" w:color="auto"/>
            </w:tcBorders>
            <w:vAlign w:val="bottom"/>
          </w:tcPr>
          <w:p w14:paraId="291C8A98" w14:textId="77777777" w:rsidR="000923BB" w:rsidRDefault="000923BB" w:rsidP="003A385F">
            <w:pPr>
              <w:jc w:val="center"/>
              <w:rPr>
                <w:rFonts w:ascii="Arial Narrow" w:hAnsi="Arial Narrow"/>
                <w:sz w:val="16"/>
                <w:szCs w:val="16"/>
              </w:rPr>
            </w:pPr>
            <w:r>
              <w:rPr>
                <w:rFonts w:ascii="Arial Narrow" w:hAnsi="Arial Narrow"/>
                <w:sz w:val="16"/>
                <w:szCs w:val="16"/>
              </w:rPr>
              <w:t>81.0 (p &lt; 0.001)</w:t>
            </w:r>
          </w:p>
        </w:tc>
        <w:tc>
          <w:tcPr>
            <w:tcW w:w="1710" w:type="dxa"/>
            <w:gridSpan w:val="3"/>
            <w:tcBorders>
              <w:top w:val="single" w:sz="4" w:space="0" w:color="auto"/>
              <w:left w:val="single" w:sz="4" w:space="0" w:color="auto"/>
              <w:bottom w:val="single" w:sz="4" w:space="0" w:color="auto"/>
              <w:right w:val="single" w:sz="4" w:space="0" w:color="auto"/>
            </w:tcBorders>
            <w:vAlign w:val="bottom"/>
          </w:tcPr>
          <w:p w14:paraId="46FDA310" w14:textId="77777777" w:rsidR="000923BB" w:rsidRDefault="000923BB" w:rsidP="003A385F">
            <w:pPr>
              <w:jc w:val="center"/>
              <w:rPr>
                <w:rFonts w:ascii="Arial Narrow" w:hAnsi="Arial Narrow"/>
                <w:sz w:val="16"/>
                <w:szCs w:val="16"/>
              </w:rPr>
            </w:pPr>
            <w:r w:rsidRPr="0061331B">
              <w:rPr>
                <w:rFonts w:ascii="Arial Narrow" w:hAnsi="Arial Narrow"/>
                <w:sz w:val="16"/>
                <w:szCs w:val="16"/>
              </w:rPr>
              <w:t>25.1 (p &lt; 0.001)</w:t>
            </w:r>
          </w:p>
        </w:tc>
      </w:tr>
    </w:tbl>
    <w:p w14:paraId="4FD32756" w14:textId="77777777" w:rsidR="000923BB" w:rsidRDefault="000923BB" w:rsidP="000923BB">
      <w:pPr>
        <w:rPr>
          <w:rFonts w:ascii="Arial Narrow" w:hAnsi="Arial Narrow"/>
          <w:sz w:val="16"/>
          <w:szCs w:val="16"/>
        </w:rPr>
      </w:pPr>
    </w:p>
    <w:p w14:paraId="7298FC4F" w14:textId="77777777" w:rsidR="000923BB" w:rsidRDefault="000923BB" w:rsidP="000923BB">
      <w:pPr>
        <w:jc w:val="both"/>
        <w:rPr>
          <w:rFonts w:cs="Arial"/>
          <w:sz w:val="22"/>
          <w:szCs w:val="22"/>
        </w:rPr>
      </w:pPr>
    </w:p>
    <w:p w14:paraId="72145C61" w14:textId="77777777" w:rsidR="000923BB" w:rsidRDefault="000923BB" w:rsidP="000923BB">
      <w:pPr>
        <w:jc w:val="both"/>
        <w:rPr>
          <w:rFonts w:cs="Arial"/>
          <w:sz w:val="22"/>
          <w:szCs w:val="22"/>
        </w:rPr>
      </w:pPr>
      <w:r w:rsidRPr="004E1F7E">
        <w:rPr>
          <w:rFonts w:cs="Arial"/>
          <w:bCs/>
          <w:sz w:val="22"/>
          <w:szCs w:val="22"/>
        </w:rPr>
        <w:t xml:space="preserve">The high percentage of high-level codes in the overall section for non-clinical audit </w:t>
      </w:r>
      <w:r>
        <w:rPr>
          <w:rFonts w:cs="Arial"/>
          <w:bCs/>
          <w:sz w:val="22"/>
          <w:szCs w:val="22"/>
        </w:rPr>
        <w:t xml:space="preserve">staff </w:t>
      </w:r>
      <w:r w:rsidRPr="004E1F7E">
        <w:rPr>
          <w:rFonts w:cs="Arial"/>
          <w:bCs/>
          <w:sz w:val="22"/>
          <w:szCs w:val="22"/>
        </w:rPr>
        <w:t>may be due to the fact that there were only 3 non-clinical audit reviewers for heart failure, and 49 out of 70 of these re</w:t>
      </w:r>
      <w:r>
        <w:rPr>
          <w:rFonts w:cs="Arial"/>
          <w:bCs/>
          <w:sz w:val="22"/>
          <w:szCs w:val="22"/>
        </w:rPr>
        <w:t>views were done by one reviewer.  U</w:t>
      </w:r>
      <w:r w:rsidRPr="004E1F7E">
        <w:rPr>
          <w:rFonts w:cs="Arial"/>
          <w:bCs/>
          <w:sz w:val="22"/>
          <w:szCs w:val="22"/>
        </w:rPr>
        <w:t>nusually for non-clinical audit reviewers</w:t>
      </w:r>
      <w:r>
        <w:rPr>
          <w:rFonts w:cs="Arial"/>
          <w:bCs/>
          <w:sz w:val="22"/>
          <w:szCs w:val="22"/>
        </w:rPr>
        <w:t xml:space="preserve">, </w:t>
      </w:r>
      <w:r w:rsidRPr="00607364">
        <w:rPr>
          <w:rFonts w:cs="Arial"/>
          <w:bCs/>
          <w:sz w:val="22"/>
          <w:szCs w:val="22"/>
        </w:rPr>
        <w:t>this reviewer, in the overall phase</w:t>
      </w:r>
      <w:r>
        <w:rPr>
          <w:rFonts w:cs="Arial"/>
          <w:bCs/>
          <w:sz w:val="22"/>
          <w:szCs w:val="22"/>
        </w:rPr>
        <w:t>,</w:t>
      </w:r>
      <w:r w:rsidRPr="00607364">
        <w:rPr>
          <w:rFonts w:cs="Arial"/>
          <w:bCs/>
          <w:sz w:val="22"/>
          <w:szCs w:val="22"/>
        </w:rPr>
        <w:t xml:space="preserve"> usually put a </w:t>
      </w:r>
      <w:r w:rsidRPr="00607364">
        <w:rPr>
          <w:rFonts w:cs="Arial"/>
          <w:bCs/>
          <w:sz w:val="22"/>
          <w:szCs w:val="22"/>
        </w:rPr>
        <w:lastRenderedPageBreak/>
        <w:t>comment like “good all round care” or “good nursing and medical care”, hence it has been coded 9</w:t>
      </w:r>
      <w:r>
        <w:rPr>
          <w:rFonts w:cs="Arial"/>
          <w:bCs/>
          <w:sz w:val="22"/>
          <w:szCs w:val="22"/>
        </w:rPr>
        <w:t xml:space="preserve"> - </w:t>
      </w:r>
      <w:r w:rsidRPr="004E1F7E">
        <w:rPr>
          <w:rFonts w:cs="Arial"/>
          <w:bCs/>
          <w:sz w:val="22"/>
          <w:szCs w:val="22"/>
        </w:rPr>
        <w:t>explicit judgement</w:t>
      </w:r>
      <w:r>
        <w:rPr>
          <w:rFonts w:cs="Arial"/>
          <w:bCs/>
          <w:sz w:val="22"/>
          <w:szCs w:val="22"/>
        </w:rPr>
        <w:t>. H</w:t>
      </w:r>
      <w:r w:rsidRPr="004E1F7E">
        <w:rPr>
          <w:rFonts w:cs="Arial"/>
          <w:bCs/>
          <w:sz w:val="22"/>
          <w:szCs w:val="22"/>
        </w:rPr>
        <w:t xml:space="preserve">owever this </w:t>
      </w:r>
      <w:r>
        <w:rPr>
          <w:rFonts w:cs="Arial"/>
          <w:bCs/>
          <w:sz w:val="22"/>
          <w:szCs w:val="22"/>
        </w:rPr>
        <w:t xml:space="preserve">judgement by the reviewer </w:t>
      </w:r>
      <w:r w:rsidRPr="004E1F7E">
        <w:rPr>
          <w:rFonts w:cs="Arial"/>
          <w:bCs/>
          <w:sz w:val="22"/>
          <w:szCs w:val="22"/>
        </w:rPr>
        <w:t xml:space="preserve">wasn’t reflected in the individual phases of care. It </w:t>
      </w:r>
      <w:r>
        <w:rPr>
          <w:rFonts w:cs="Arial"/>
          <w:bCs/>
          <w:sz w:val="22"/>
          <w:szCs w:val="22"/>
        </w:rPr>
        <w:t xml:space="preserve">also </w:t>
      </w:r>
      <w:r w:rsidRPr="004E1F7E">
        <w:rPr>
          <w:rFonts w:cs="Arial"/>
          <w:bCs/>
          <w:sz w:val="22"/>
          <w:szCs w:val="22"/>
        </w:rPr>
        <w:t xml:space="preserve">appears that the nurses gave more high-level comments for heart failure than </w:t>
      </w:r>
      <w:r>
        <w:rPr>
          <w:rFonts w:cs="Arial"/>
          <w:bCs/>
          <w:sz w:val="22"/>
          <w:szCs w:val="22"/>
        </w:rPr>
        <w:t xml:space="preserve">did </w:t>
      </w:r>
      <w:r w:rsidRPr="004E1F7E">
        <w:rPr>
          <w:rFonts w:cs="Arial"/>
          <w:bCs/>
          <w:sz w:val="22"/>
          <w:szCs w:val="22"/>
        </w:rPr>
        <w:t>those for COPD</w:t>
      </w:r>
      <w:r>
        <w:rPr>
          <w:rFonts w:cs="Arial"/>
          <w:bCs/>
          <w:sz w:val="22"/>
          <w:szCs w:val="22"/>
        </w:rPr>
        <w:t>, perhaps because there were a greater proportion of specialist nurses in the heart failure group</w:t>
      </w:r>
      <w:r w:rsidRPr="004E1F7E">
        <w:rPr>
          <w:rFonts w:cs="Arial"/>
          <w:bCs/>
          <w:sz w:val="22"/>
          <w:szCs w:val="22"/>
        </w:rPr>
        <w:t>.</w:t>
      </w:r>
      <w:r w:rsidR="00315DA5">
        <w:rPr>
          <w:rFonts w:cs="Arial"/>
          <w:bCs/>
          <w:sz w:val="22"/>
          <w:szCs w:val="22"/>
        </w:rPr>
        <w:t xml:space="preserve">  </w:t>
      </w:r>
      <w:r>
        <w:rPr>
          <w:rFonts w:cs="Arial"/>
          <w:sz w:val="22"/>
          <w:szCs w:val="22"/>
        </w:rPr>
        <w:t xml:space="preserve">Figures 8 and 9 provide a graphical representation of the data.  </w:t>
      </w:r>
    </w:p>
    <w:p w14:paraId="1228F4D8" w14:textId="77777777" w:rsidR="000923BB" w:rsidRDefault="000923BB" w:rsidP="000923BB">
      <w:pPr>
        <w:jc w:val="both"/>
        <w:rPr>
          <w:rFonts w:cs="Arial"/>
          <w:sz w:val="22"/>
          <w:szCs w:val="22"/>
        </w:rPr>
      </w:pPr>
    </w:p>
    <w:p w14:paraId="4845C2D5" w14:textId="77777777" w:rsidR="000923BB" w:rsidRPr="00332604" w:rsidRDefault="000923BB" w:rsidP="000923BB">
      <w:pPr>
        <w:rPr>
          <w:sz w:val="20"/>
          <w:szCs w:val="20"/>
        </w:rPr>
      </w:pPr>
      <w:r>
        <w:rPr>
          <w:rFonts w:cs="Arial"/>
          <w:sz w:val="22"/>
          <w:szCs w:val="22"/>
        </w:rPr>
        <w:br w:type="page"/>
      </w:r>
      <w:r w:rsidRPr="00332604">
        <w:rPr>
          <w:rFonts w:cs="Arial"/>
          <w:b/>
          <w:sz w:val="20"/>
          <w:szCs w:val="20"/>
        </w:rPr>
        <w:lastRenderedPageBreak/>
        <w:t>Figure 8:</w:t>
      </w:r>
      <w:r w:rsidRPr="00332604">
        <w:rPr>
          <w:sz w:val="20"/>
          <w:szCs w:val="20"/>
        </w:rPr>
        <w:t xml:space="preserve">  </w:t>
      </w:r>
      <w:r w:rsidRPr="00332604">
        <w:rPr>
          <w:rFonts w:cs="Arial"/>
          <w:b/>
          <w:sz w:val="20"/>
          <w:szCs w:val="20"/>
        </w:rPr>
        <w:t>COPD coding according to types of comment</w:t>
      </w:r>
    </w:p>
    <w:p w14:paraId="37504058" w14:textId="77777777" w:rsidR="000923BB" w:rsidRDefault="000923BB" w:rsidP="000923BB"/>
    <w:p w14:paraId="1CC13714" w14:textId="77777777" w:rsidR="000923BB" w:rsidRPr="001C2250" w:rsidRDefault="00784AC3" w:rsidP="00784AC3">
      <w:pPr>
        <w:pBdr>
          <w:top w:val="single" w:sz="4" w:space="1" w:color="auto"/>
          <w:left w:val="single" w:sz="4" w:space="1" w:color="auto"/>
          <w:bottom w:val="single" w:sz="4" w:space="1" w:color="auto"/>
          <w:right w:val="single" w:sz="4" w:space="4" w:color="auto"/>
        </w:pBdr>
        <w:rPr>
          <w:rFonts w:cs="Arial"/>
          <w:sz w:val="20"/>
          <w:szCs w:val="20"/>
        </w:rPr>
      </w:pPr>
      <w:r>
        <w:rPr>
          <w:rFonts w:cs="Arial"/>
          <w:sz w:val="20"/>
          <w:szCs w:val="20"/>
        </w:rPr>
        <w:t xml:space="preserve">        </w:t>
      </w:r>
      <w:r w:rsidR="000923BB" w:rsidRPr="001C2250">
        <w:rPr>
          <w:rFonts w:cs="Arial"/>
          <w:sz w:val="20"/>
          <w:szCs w:val="20"/>
        </w:rPr>
        <w:t>N = 273 reviews by 6 doctors</w:t>
      </w:r>
    </w:p>
    <w:p w14:paraId="3B6ABC34" w14:textId="77777777" w:rsidR="000923BB" w:rsidRPr="001C2250" w:rsidRDefault="000923BB" w:rsidP="00784AC3">
      <w:pPr>
        <w:pBdr>
          <w:top w:val="single" w:sz="4" w:space="1" w:color="auto"/>
          <w:left w:val="single" w:sz="4" w:space="1" w:color="auto"/>
          <w:bottom w:val="single" w:sz="4" w:space="1" w:color="auto"/>
          <w:right w:val="single" w:sz="4" w:space="4" w:color="auto"/>
        </w:pBdr>
        <w:rPr>
          <w:rFonts w:cs="Arial"/>
          <w:sz w:val="20"/>
          <w:szCs w:val="20"/>
        </w:rPr>
      </w:pPr>
      <w:r w:rsidRPr="001C2250">
        <w:rPr>
          <w:rFonts w:cs="Arial"/>
          <w:sz w:val="20"/>
          <w:szCs w:val="20"/>
        </w:rPr>
        <w:t xml:space="preserve">      </w:t>
      </w:r>
      <w:r w:rsidR="00784AC3">
        <w:rPr>
          <w:rFonts w:cs="Arial"/>
          <w:sz w:val="20"/>
          <w:szCs w:val="20"/>
        </w:rPr>
        <w:t xml:space="preserve"> </w:t>
      </w:r>
      <w:r w:rsidRPr="001C2250">
        <w:rPr>
          <w:rFonts w:cs="Arial"/>
          <w:sz w:val="20"/>
          <w:szCs w:val="20"/>
        </w:rPr>
        <w:t xml:space="preserve"> 271 reviews by 7 non-clinical staff</w:t>
      </w:r>
    </w:p>
    <w:p w14:paraId="08C2EABD" w14:textId="77777777" w:rsidR="000923BB" w:rsidRPr="001C2250" w:rsidRDefault="000923BB" w:rsidP="00784AC3">
      <w:pPr>
        <w:pBdr>
          <w:top w:val="single" w:sz="4" w:space="1" w:color="auto"/>
          <w:left w:val="single" w:sz="4" w:space="1" w:color="auto"/>
          <w:bottom w:val="single" w:sz="4" w:space="1" w:color="auto"/>
          <w:right w:val="single" w:sz="4" w:space="4" w:color="auto"/>
        </w:pBdr>
        <w:rPr>
          <w:rFonts w:cs="Arial"/>
          <w:b/>
          <w:sz w:val="20"/>
          <w:szCs w:val="20"/>
        </w:rPr>
      </w:pPr>
      <w:r w:rsidRPr="001C2250">
        <w:rPr>
          <w:rFonts w:cs="Arial"/>
          <w:sz w:val="20"/>
          <w:szCs w:val="20"/>
        </w:rPr>
        <w:t xml:space="preserve">      </w:t>
      </w:r>
      <w:r w:rsidR="00784AC3">
        <w:rPr>
          <w:rFonts w:cs="Arial"/>
          <w:sz w:val="20"/>
          <w:szCs w:val="20"/>
        </w:rPr>
        <w:t xml:space="preserve"> </w:t>
      </w:r>
      <w:r w:rsidRPr="001C2250">
        <w:rPr>
          <w:rFonts w:cs="Arial"/>
          <w:sz w:val="20"/>
          <w:szCs w:val="20"/>
        </w:rPr>
        <w:t xml:space="preserve"> 357 reviews by 8 clinical staff</w:t>
      </w:r>
    </w:p>
    <w:p w14:paraId="38B411F4" w14:textId="77777777" w:rsidR="000923BB" w:rsidRDefault="000923BB" w:rsidP="000923BB"/>
    <w:p w14:paraId="6F218771" w14:textId="77777777" w:rsidR="000923BB" w:rsidRDefault="000923BB" w:rsidP="000923BB">
      <w:r>
        <w:rPr>
          <w:noProof/>
          <w:lang w:eastAsia="en-GB" w:bidi="ar-SA"/>
        </w:rPr>
        <w:drawing>
          <wp:anchor distT="0" distB="0" distL="114300" distR="114300" simplePos="0" relativeHeight="252654592" behindDoc="0" locked="0" layoutInCell="1" allowOverlap="1" wp14:anchorId="1A6B72BF" wp14:editId="271DD717">
            <wp:simplePos x="0" y="0"/>
            <wp:positionH relativeFrom="column">
              <wp:posOffset>3721100</wp:posOffset>
            </wp:positionH>
            <wp:positionV relativeFrom="paragraph">
              <wp:posOffset>6985</wp:posOffset>
            </wp:positionV>
            <wp:extent cx="1557020" cy="3463290"/>
            <wp:effectExtent l="19050" t="0" r="5080" b="0"/>
            <wp:wrapNone/>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60" cstate="print"/>
                    <a:srcRect/>
                    <a:stretch>
                      <a:fillRect/>
                    </a:stretch>
                  </pic:blipFill>
                  <pic:spPr bwMode="auto">
                    <a:xfrm>
                      <a:off x="0" y="0"/>
                      <a:ext cx="1557020" cy="3463290"/>
                    </a:xfrm>
                    <a:prstGeom prst="rect">
                      <a:avLst/>
                    </a:prstGeom>
                    <a:noFill/>
                    <a:ln w="9525">
                      <a:noFill/>
                      <a:miter lim="800000"/>
                      <a:headEnd/>
                      <a:tailEnd/>
                    </a:ln>
                  </pic:spPr>
                </pic:pic>
              </a:graphicData>
            </a:graphic>
          </wp:anchor>
        </w:drawing>
      </w:r>
      <w:r>
        <w:rPr>
          <w:noProof/>
          <w:lang w:eastAsia="en-GB" w:bidi="ar-SA"/>
        </w:rPr>
        <w:drawing>
          <wp:anchor distT="0" distB="0" distL="114300" distR="114300" simplePos="0" relativeHeight="252653568" behindDoc="0" locked="0" layoutInCell="1" allowOverlap="1" wp14:anchorId="3ED14EB1" wp14:editId="7EC4C51F">
            <wp:simplePos x="0" y="0"/>
            <wp:positionH relativeFrom="column">
              <wp:posOffset>148590</wp:posOffset>
            </wp:positionH>
            <wp:positionV relativeFrom="paragraph">
              <wp:posOffset>41275</wp:posOffset>
            </wp:positionV>
            <wp:extent cx="2417445" cy="3314700"/>
            <wp:effectExtent l="19050" t="0" r="1905" b="0"/>
            <wp:wrapNone/>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61" cstate="print"/>
                    <a:srcRect/>
                    <a:stretch>
                      <a:fillRect/>
                    </a:stretch>
                  </pic:blipFill>
                  <pic:spPr bwMode="auto">
                    <a:xfrm>
                      <a:off x="0" y="0"/>
                      <a:ext cx="2417445" cy="3314700"/>
                    </a:xfrm>
                    <a:prstGeom prst="rect">
                      <a:avLst/>
                    </a:prstGeom>
                    <a:noFill/>
                    <a:ln w="9525">
                      <a:noFill/>
                      <a:miter lim="800000"/>
                      <a:headEnd/>
                      <a:tailEnd/>
                    </a:ln>
                  </pic:spPr>
                </pic:pic>
              </a:graphicData>
            </a:graphic>
          </wp:anchor>
        </w:drawing>
      </w:r>
    </w:p>
    <w:p w14:paraId="7455F707" w14:textId="77777777" w:rsidR="000923BB" w:rsidRDefault="000923BB" w:rsidP="000923BB">
      <w:pPr>
        <w:rPr>
          <w:rFonts w:cs="Arial"/>
          <w:sz w:val="22"/>
          <w:szCs w:val="22"/>
        </w:rPr>
      </w:pPr>
    </w:p>
    <w:p w14:paraId="20F2C6D9" w14:textId="77777777" w:rsidR="000923BB" w:rsidRDefault="000923BB" w:rsidP="000923BB">
      <w:pPr>
        <w:rPr>
          <w:rFonts w:cs="Arial"/>
          <w:sz w:val="22"/>
          <w:szCs w:val="22"/>
        </w:rPr>
      </w:pPr>
    </w:p>
    <w:p w14:paraId="1CC33DB0" w14:textId="77777777" w:rsidR="000923BB" w:rsidRDefault="000923BB" w:rsidP="000923BB">
      <w:pPr>
        <w:rPr>
          <w:rFonts w:cs="Arial"/>
          <w:sz w:val="22"/>
          <w:szCs w:val="22"/>
        </w:rPr>
      </w:pPr>
    </w:p>
    <w:p w14:paraId="09224E06" w14:textId="77777777" w:rsidR="000923BB" w:rsidRDefault="000923BB" w:rsidP="000923BB">
      <w:pPr>
        <w:rPr>
          <w:rFonts w:cs="Arial"/>
          <w:sz w:val="22"/>
          <w:szCs w:val="22"/>
        </w:rPr>
      </w:pPr>
    </w:p>
    <w:p w14:paraId="041801CB" w14:textId="77777777" w:rsidR="000923BB" w:rsidRDefault="000923BB" w:rsidP="000923BB">
      <w:pPr>
        <w:rPr>
          <w:rFonts w:cs="Arial"/>
          <w:sz w:val="22"/>
          <w:szCs w:val="22"/>
        </w:rPr>
      </w:pPr>
    </w:p>
    <w:p w14:paraId="28097268" w14:textId="77777777" w:rsidR="000923BB" w:rsidRDefault="000923BB" w:rsidP="000923BB">
      <w:pPr>
        <w:rPr>
          <w:rFonts w:cs="Arial"/>
          <w:sz w:val="22"/>
          <w:szCs w:val="22"/>
        </w:rPr>
      </w:pPr>
    </w:p>
    <w:p w14:paraId="0D76D953" w14:textId="77777777" w:rsidR="000923BB" w:rsidRDefault="000923BB" w:rsidP="000923BB">
      <w:pPr>
        <w:rPr>
          <w:rFonts w:cs="Arial"/>
          <w:sz w:val="22"/>
          <w:szCs w:val="22"/>
        </w:rPr>
      </w:pPr>
    </w:p>
    <w:p w14:paraId="237BFAF4" w14:textId="77777777" w:rsidR="000923BB" w:rsidRDefault="000923BB" w:rsidP="000923BB">
      <w:pPr>
        <w:rPr>
          <w:rFonts w:cs="Arial"/>
          <w:sz w:val="22"/>
          <w:szCs w:val="22"/>
        </w:rPr>
      </w:pPr>
    </w:p>
    <w:p w14:paraId="66572626" w14:textId="77777777" w:rsidR="000923BB" w:rsidRDefault="000923BB" w:rsidP="000923BB">
      <w:pPr>
        <w:rPr>
          <w:rFonts w:cs="Arial"/>
          <w:sz w:val="22"/>
          <w:szCs w:val="22"/>
        </w:rPr>
      </w:pPr>
    </w:p>
    <w:p w14:paraId="385F72E5" w14:textId="77777777" w:rsidR="000923BB" w:rsidRDefault="000923BB" w:rsidP="000923BB">
      <w:pPr>
        <w:rPr>
          <w:rFonts w:cs="Arial"/>
          <w:sz w:val="22"/>
          <w:szCs w:val="22"/>
        </w:rPr>
      </w:pPr>
    </w:p>
    <w:p w14:paraId="40C79508" w14:textId="77777777" w:rsidR="000923BB" w:rsidRDefault="000923BB" w:rsidP="000923BB">
      <w:pPr>
        <w:rPr>
          <w:rFonts w:cs="Arial"/>
          <w:sz w:val="22"/>
          <w:szCs w:val="22"/>
        </w:rPr>
      </w:pPr>
    </w:p>
    <w:p w14:paraId="43AD2594" w14:textId="77777777" w:rsidR="000923BB" w:rsidRDefault="00B201FA" w:rsidP="000923BB">
      <w:pPr>
        <w:rPr>
          <w:rFonts w:cs="Arial"/>
          <w:sz w:val="22"/>
          <w:szCs w:val="22"/>
        </w:rPr>
      </w:pPr>
      <w:r>
        <w:rPr>
          <w:rFonts w:cs="Arial"/>
          <w:noProof/>
          <w:sz w:val="22"/>
          <w:szCs w:val="22"/>
          <w:lang w:eastAsia="en-GB" w:bidi="ar-SA"/>
        </w:rPr>
        <w:drawing>
          <wp:anchor distT="0" distB="0" distL="114300" distR="114300" simplePos="0" relativeHeight="252656640" behindDoc="0" locked="0" layoutInCell="1" allowOverlap="1" wp14:anchorId="5DCB3AE2" wp14:editId="589EDD6C">
            <wp:simplePos x="0" y="0"/>
            <wp:positionH relativeFrom="column">
              <wp:posOffset>3813128</wp:posOffset>
            </wp:positionH>
            <wp:positionV relativeFrom="paragraph">
              <wp:posOffset>208792</wp:posOffset>
            </wp:positionV>
            <wp:extent cx="1336567" cy="2723705"/>
            <wp:effectExtent l="19050" t="0" r="0" b="0"/>
            <wp:wrapNone/>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62" cstate="print"/>
                    <a:srcRect/>
                    <a:stretch>
                      <a:fillRect/>
                    </a:stretch>
                  </pic:blipFill>
                  <pic:spPr bwMode="auto">
                    <a:xfrm>
                      <a:off x="0" y="0"/>
                      <a:ext cx="1339985" cy="2730671"/>
                    </a:xfrm>
                    <a:prstGeom prst="rect">
                      <a:avLst/>
                    </a:prstGeom>
                    <a:noFill/>
                    <a:ln w="9525">
                      <a:noFill/>
                      <a:miter lim="800000"/>
                      <a:headEnd/>
                      <a:tailEnd/>
                    </a:ln>
                  </pic:spPr>
                </pic:pic>
              </a:graphicData>
            </a:graphic>
          </wp:anchor>
        </w:drawing>
      </w:r>
      <w:r>
        <w:rPr>
          <w:rFonts w:cs="Arial"/>
          <w:noProof/>
          <w:sz w:val="22"/>
          <w:szCs w:val="22"/>
          <w:lang w:eastAsia="en-GB" w:bidi="ar-SA"/>
        </w:rPr>
        <w:drawing>
          <wp:anchor distT="0" distB="0" distL="114300" distR="114300" simplePos="0" relativeHeight="252655616" behindDoc="0" locked="0" layoutInCell="1" allowOverlap="1" wp14:anchorId="61A15299" wp14:editId="04EA93AC">
            <wp:simplePos x="0" y="0"/>
            <wp:positionH relativeFrom="column">
              <wp:posOffset>1019005</wp:posOffset>
            </wp:positionH>
            <wp:positionV relativeFrom="paragraph">
              <wp:posOffset>85962</wp:posOffset>
            </wp:positionV>
            <wp:extent cx="1437592" cy="2866030"/>
            <wp:effectExtent l="19050" t="0" r="0" b="0"/>
            <wp:wrapNone/>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63" cstate="print"/>
                    <a:srcRect/>
                    <a:stretch>
                      <a:fillRect/>
                    </a:stretch>
                  </pic:blipFill>
                  <pic:spPr bwMode="auto">
                    <a:xfrm>
                      <a:off x="0" y="0"/>
                      <a:ext cx="1442623" cy="2876061"/>
                    </a:xfrm>
                    <a:prstGeom prst="rect">
                      <a:avLst/>
                    </a:prstGeom>
                    <a:noFill/>
                    <a:ln w="9525">
                      <a:noFill/>
                      <a:miter lim="800000"/>
                      <a:headEnd/>
                      <a:tailEnd/>
                    </a:ln>
                  </pic:spPr>
                </pic:pic>
              </a:graphicData>
            </a:graphic>
          </wp:anchor>
        </w:drawing>
      </w:r>
    </w:p>
    <w:p w14:paraId="64877827" w14:textId="77777777" w:rsidR="000923BB" w:rsidRDefault="000923BB" w:rsidP="000923BB">
      <w:pPr>
        <w:rPr>
          <w:rFonts w:cs="Arial"/>
          <w:sz w:val="22"/>
          <w:szCs w:val="22"/>
        </w:rPr>
      </w:pPr>
    </w:p>
    <w:p w14:paraId="3C1964C2" w14:textId="77777777" w:rsidR="000923BB" w:rsidRDefault="000923BB" w:rsidP="000923BB">
      <w:pPr>
        <w:rPr>
          <w:rFonts w:cs="Arial"/>
          <w:sz w:val="22"/>
          <w:szCs w:val="22"/>
        </w:rPr>
      </w:pPr>
    </w:p>
    <w:p w14:paraId="353B323B" w14:textId="77777777" w:rsidR="000923BB" w:rsidRDefault="000923BB" w:rsidP="000923BB">
      <w:pPr>
        <w:rPr>
          <w:rFonts w:cs="Arial"/>
          <w:sz w:val="22"/>
          <w:szCs w:val="22"/>
        </w:rPr>
      </w:pPr>
    </w:p>
    <w:p w14:paraId="3B02CD69" w14:textId="77777777" w:rsidR="000923BB" w:rsidRPr="00332604" w:rsidRDefault="000923BB" w:rsidP="000923BB">
      <w:pPr>
        <w:rPr>
          <w:rFonts w:cs="Arial"/>
          <w:b/>
          <w:sz w:val="20"/>
          <w:szCs w:val="20"/>
        </w:rPr>
      </w:pPr>
      <w:r>
        <w:rPr>
          <w:rFonts w:cs="Arial"/>
          <w:sz w:val="22"/>
          <w:szCs w:val="22"/>
        </w:rPr>
        <w:br w:type="page"/>
      </w:r>
      <w:r w:rsidR="00B201FA">
        <w:rPr>
          <w:rFonts w:cs="Arial"/>
          <w:sz w:val="22"/>
          <w:szCs w:val="22"/>
        </w:rPr>
        <w:lastRenderedPageBreak/>
        <w:t>F</w:t>
      </w:r>
      <w:r w:rsidRPr="00332604">
        <w:rPr>
          <w:rFonts w:cs="Arial"/>
          <w:b/>
          <w:sz w:val="20"/>
          <w:szCs w:val="20"/>
        </w:rPr>
        <w:t>igure 9: Heart Failure coding according to types of comment</w:t>
      </w:r>
    </w:p>
    <w:p w14:paraId="758F1606" w14:textId="77777777" w:rsidR="000923BB" w:rsidRPr="0001552C" w:rsidRDefault="000923BB" w:rsidP="000923BB">
      <w:pPr>
        <w:rPr>
          <w: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0"/>
        <w:gridCol w:w="4043"/>
      </w:tblGrid>
      <w:tr w:rsidR="000923BB" w:rsidRPr="00F955C6" w14:paraId="4566D995" w14:textId="77777777" w:rsidTr="00784AC3">
        <w:trPr>
          <w:trHeight w:val="4738"/>
        </w:trPr>
        <w:tc>
          <w:tcPr>
            <w:tcW w:w="3700" w:type="dxa"/>
          </w:tcPr>
          <w:p w14:paraId="0D4CDF11" w14:textId="77777777" w:rsidR="000923BB" w:rsidRPr="00F955C6" w:rsidRDefault="000923BB" w:rsidP="003A385F">
            <w:pPr>
              <w:rPr>
                <w:b/>
              </w:rPr>
            </w:pPr>
            <w:r>
              <w:rPr>
                <w:noProof/>
                <w:sz w:val="14"/>
                <w:szCs w:val="14"/>
                <w:lang w:eastAsia="en-GB" w:bidi="ar-SA"/>
              </w:rPr>
              <w:drawing>
                <wp:inline distT="0" distB="0" distL="0" distR="0" wp14:anchorId="362FEA07" wp14:editId="6731DF63">
                  <wp:extent cx="1820545" cy="3005455"/>
                  <wp:effectExtent l="1905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srcRect/>
                          <a:stretch>
                            <a:fillRect/>
                          </a:stretch>
                        </pic:blipFill>
                        <pic:spPr bwMode="auto">
                          <a:xfrm>
                            <a:off x="0" y="0"/>
                            <a:ext cx="1820545" cy="3005455"/>
                          </a:xfrm>
                          <a:prstGeom prst="rect">
                            <a:avLst/>
                          </a:prstGeom>
                          <a:noFill/>
                          <a:ln w="9525">
                            <a:noFill/>
                            <a:miter lim="800000"/>
                            <a:headEnd/>
                            <a:tailEnd/>
                          </a:ln>
                        </pic:spPr>
                      </pic:pic>
                    </a:graphicData>
                  </a:graphic>
                </wp:inline>
              </w:drawing>
            </w:r>
          </w:p>
        </w:tc>
        <w:tc>
          <w:tcPr>
            <w:tcW w:w="4043" w:type="dxa"/>
          </w:tcPr>
          <w:p w14:paraId="59163E74" w14:textId="77777777" w:rsidR="000923BB" w:rsidRPr="00F955C6" w:rsidRDefault="000923BB" w:rsidP="003A385F">
            <w:pPr>
              <w:rPr>
                <w:b/>
              </w:rPr>
            </w:pPr>
            <w:r>
              <w:rPr>
                <w:noProof/>
                <w:sz w:val="14"/>
                <w:szCs w:val="14"/>
                <w:lang w:eastAsia="en-GB" w:bidi="ar-SA"/>
              </w:rPr>
              <w:drawing>
                <wp:inline distT="0" distB="0" distL="0" distR="0" wp14:anchorId="7F53D8CA" wp14:editId="4EB0B8F0">
                  <wp:extent cx="1248410" cy="2862580"/>
                  <wp:effectExtent l="1905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srcRect/>
                          <a:stretch>
                            <a:fillRect/>
                          </a:stretch>
                        </pic:blipFill>
                        <pic:spPr bwMode="auto">
                          <a:xfrm>
                            <a:off x="0" y="0"/>
                            <a:ext cx="1248410" cy="2862580"/>
                          </a:xfrm>
                          <a:prstGeom prst="rect">
                            <a:avLst/>
                          </a:prstGeom>
                          <a:noFill/>
                          <a:ln w="9525">
                            <a:noFill/>
                            <a:miter lim="800000"/>
                            <a:headEnd/>
                            <a:tailEnd/>
                          </a:ln>
                        </pic:spPr>
                      </pic:pic>
                    </a:graphicData>
                  </a:graphic>
                </wp:inline>
              </w:drawing>
            </w:r>
          </w:p>
        </w:tc>
      </w:tr>
      <w:tr w:rsidR="000923BB" w:rsidRPr="00F955C6" w14:paraId="2D82CD60" w14:textId="77777777" w:rsidTr="00784AC3">
        <w:trPr>
          <w:trHeight w:val="4770"/>
        </w:trPr>
        <w:tc>
          <w:tcPr>
            <w:tcW w:w="3700" w:type="dxa"/>
          </w:tcPr>
          <w:p w14:paraId="15B6031F" w14:textId="77777777" w:rsidR="000923BB" w:rsidRPr="00F955C6" w:rsidRDefault="000923BB" w:rsidP="003A385F">
            <w:pPr>
              <w:rPr>
                <w:b/>
              </w:rPr>
            </w:pPr>
            <w:r>
              <w:rPr>
                <w:noProof/>
                <w:sz w:val="14"/>
                <w:szCs w:val="14"/>
                <w:lang w:eastAsia="en-GB" w:bidi="ar-SA"/>
              </w:rPr>
              <w:drawing>
                <wp:inline distT="0" distB="0" distL="0" distR="0" wp14:anchorId="6CB3BD41" wp14:editId="4670604C">
                  <wp:extent cx="1503045" cy="2878455"/>
                  <wp:effectExtent l="1905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srcRect/>
                          <a:stretch>
                            <a:fillRect/>
                          </a:stretch>
                        </pic:blipFill>
                        <pic:spPr bwMode="auto">
                          <a:xfrm>
                            <a:off x="0" y="0"/>
                            <a:ext cx="1503045" cy="2878455"/>
                          </a:xfrm>
                          <a:prstGeom prst="rect">
                            <a:avLst/>
                          </a:prstGeom>
                          <a:noFill/>
                          <a:ln w="9525">
                            <a:noFill/>
                            <a:miter lim="800000"/>
                            <a:headEnd/>
                            <a:tailEnd/>
                          </a:ln>
                        </pic:spPr>
                      </pic:pic>
                    </a:graphicData>
                  </a:graphic>
                </wp:inline>
              </w:drawing>
            </w:r>
          </w:p>
        </w:tc>
        <w:tc>
          <w:tcPr>
            <w:tcW w:w="4043" w:type="dxa"/>
          </w:tcPr>
          <w:p w14:paraId="02A27583" w14:textId="77777777" w:rsidR="000923BB" w:rsidRPr="00F955C6" w:rsidRDefault="000923BB" w:rsidP="003A385F">
            <w:pPr>
              <w:rPr>
                <w:b/>
              </w:rPr>
            </w:pPr>
            <w:r>
              <w:rPr>
                <w:noProof/>
                <w:sz w:val="14"/>
                <w:szCs w:val="14"/>
                <w:lang w:eastAsia="en-GB" w:bidi="ar-SA"/>
              </w:rPr>
              <w:drawing>
                <wp:inline distT="0" distB="0" distL="0" distR="0" wp14:anchorId="602B1CD9" wp14:editId="70FE977B">
                  <wp:extent cx="1359535" cy="302958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srcRect/>
                          <a:stretch>
                            <a:fillRect/>
                          </a:stretch>
                        </pic:blipFill>
                        <pic:spPr bwMode="auto">
                          <a:xfrm>
                            <a:off x="0" y="0"/>
                            <a:ext cx="1359535" cy="3029585"/>
                          </a:xfrm>
                          <a:prstGeom prst="rect">
                            <a:avLst/>
                          </a:prstGeom>
                          <a:noFill/>
                          <a:ln w="9525">
                            <a:noFill/>
                            <a:miter lim="800000"/>
                            <a:headEnd/>
                            <a:tailEnd/>
                          </a:ln>
                        </pic:spPr>
                      </pic:pic>
                    </a:graphicData>
                  </a:graphic>
                </wp:inline>
              </w:drawing>
            </w:r>
          </w:p>
        </w:tc>
      </w:tr>
      <w:tr w:rsidR="000923BB" w:rsidRPr="00F955C6" w14:paraId="0B6C7BD9" w14:textId="77777777" w:rsidTr="00784AC3">
        <w:trPr>
          <w:trHeight w:val="1260"/>
        </w:trPr>
        <w:tc>
          <w:tcPr>
            <w:tcW w:w="3700" w:type="dxa"/>
          </w:tcPr>
          <w:p w14:paraId="0E0DAADB" w14:textId="77777777" w:rsidR="000923BB" w:rsidRPr="00F955C6" w:rsidRDefault="000923BB" w:rsidP="003A385F">
            <w:pPr>
              <w:rPr>
                <w:rFonts w:cs="Arial"/>
                <w:sz w:val="18"/>
                <w:szCs w:val="18"/>
              </w:rPr>
            </w:pPr>
            <w:r w:rsidRPr="00F955C6">
              <w:rPr>
                <w:rFonts w:cs="Arial"/>
                <w:sz w:val="18"/>
                <w:szCs w:val="18"/>
              </w:rPr>
              <w:t>N = 329 reviews by 10 doctors</w:t>
            </w:r>
          </w:p>
          <w:p w14:paraId="3D6048E8" w14:textId="77777777" w:rsidR="000923BB" w:rsidRPr="00F955C6" w:rsidRDefault="000923BB" w:rsidP="003A385F">
            <w:pPr>
              <w:rPr>
                <w:rFonts w:cs="Arial"/>
                <w:sz w:val="18"/>
                <w:szCs w:val="18"/>
              </w:rPr>
            </w:pPr>
            <w:r w:rsidRPr="00F955C6">
              <w:rPr>
                <w:rFonts w:cs="Arial"/>
                <w:sz w:val="18"/>
                <w:szCs w:val="18"/>
              </w:rPr>
              <w:t xml:space="preserve">       70 reviews by non-clinical audit staff</w:t>
            </w:r>
          </w:p>
          <w:p w14:paraId="31D9D2B6" w14:textId="77777777" w:rsidR="000923BB" w:rsidRPr="00F955C6" w:rsidRDefault="000923BB" w:rsidP="003A385F">
            <w:pPr>
              <w:rPr>
                <w:b/>
              </w:rPr>
            </w:pPr>
            <w:r w:rsidRPr="00F955C6">
              <w:rPr>
                <w:rFonts w:cs="Arial"/>
                <w:sz w:val="18"/>
                <w:szCs w:val="18"/>
              </w:rPr>
              <w:t xml:space="preserve">      180 reviews by nurses/other clinical staff</w:t>
            </w:r>
          </w:p>
        </w:tc>
        <w:tc>
          <w:tcPr>
            <w:tcW w:w="4043" w:type="dxa"/>
          </w:tcPr>
          <w:p w14:paraId="0C754F36" w14:textId="77777777" w:rsidR="000923BB" w:rsidRPr="00F955C6" w:rsidRDefault="000923BB" w:rsidP="003A385F">
            <w:pPr>
              <w:rPr>
                <w:b/>
              </w:rPr>
            </w:pPr>
          </w:p>
        </w:tc>
      </w:tr>
    </w:tbl>
    <w:p w14:paraId="5BD7F445" w14:textId="77777777" w:rsidR="000923BB" w:rsidRDefault="000923BB" w:rsidP="000923BB">
      <w:pPr>
        <w:rPr>
          <w:b/>
        </w:rPr>
      </w:pPr>
    </w:p>
    <w:p w14:paraId="06C2DD00" w14:textId="156ACC84" w:rsidR="000923BB" w:rsidRDefault="00003011" w:rsidP="000923BB">
      <w:pPr>
        <w:rPr>
          <w:sz w:val="14"/>
          <w:szCs w:val="14"/>
          <w:lang w:val="en-US"/>
        </w:rPr>
      </w:pPr>
      <w:r>
        <w:rPr>
          <w:noProof/>
          <w:lang w:val="en-US"/>
        </w:rPr>
        <mc:AlternateContent>
          <mc:Choice Requires="wps">
            <w:drawing>
              <wp:anchor distT="0" distB="0" distL="114300" distR="114300" simplePos="0" relativeHeight="252652544" behindDoc="0" locked="0" layoutInCell="1" allowOverlap="1" wp14:anchorId="7206440A" wp14:editId="6EF7043F">
                <wp:simplePos x="0" y="0"/>
                <wp:positionH relativeFrom="column">
                  <wp:posOffset>1705610</wp:posOffset>
                </wp:positionH>
                <wp:positionV relativeFrom="paragraph">
                  <wp:posOffset>3429000</wp:posOffset>
                </wp:positionV>
                <wp:extent cx="2946400" cy="685800"/>
                <wp:effectExtent l="10160" t="6350" r="5715" b="12700"/>
                <wp:wrapNone/>
                <wp:docPr id="86"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685800"/>
                        </a:xfrm>
                        <a:prstGeom prst="rect">
                          <a:avLst/>
                        </a:prstGeom>
                        <a:solidFill>
                          <a:srgbClr val="FFFFFF"/>
                        </a:solidFill>
                        <a:ln w="9525">
                          <a:solidFill>
                            <a:srgbClr val="000000"/>
                          </a:solidFill>
                          <a:miter lim="800000"/>
                          <a:headEnd/>
                          <a:tailEnd/>
                        </a:ln>
                      </wps:spPr>
                      <wps:txbx>
                        <w:txbxContent>
                          <w:p w14:paraId="7ACB87D4" w14:textId="77777777" w:rsidR="001C117D" w:rsidRDefault="001C117D" w:rsidP="000923BB">
                            <w:r>
                              <w:t>N = 329 reviews by 10 doctors</w:t>
                            </w:r>
                          </w:p>
                          <w:p w14:paraId="6D26D4B6" w14:textId="77777777" w:rsidR="001C117D" w:rsidRDefault="001C117D" w:rsidP="000923BB">
                            <w:r>
                              <w:t xml:space="preserve">       70 reviews by 3 non-clinical staff</w:t>
                            </w:r>
                          </w:p>
                          <w:p w14:paraId="05BB3E56" w14:textId="77777777" w:rsidR="001C117D" w:rsidRDefault="001C117D" w:rsidP="000923BB">
                            <w:r>
                              <w:t xml:space="preserve">       180 reviews by 6 clinical staff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6440A" id="Text Box 1026" o:spid="_x0000_s1085" type="#_x0000_t202" style="position:absolute;margin-left:134.3pt;margin-top:270pt;width:232pt;height:54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">
                <v:textbox>
                  <w:txbxContent>
                    <w:p w14:paraId="7ACB87D4" w14:textId="77777777" w:rsidR="001C117D" w:rsidRDefault="001C117D" w:rsidP="000923BB">
                      <w:r>
                        <w:t>N = 329 reviews by 10 doctors</w:t>
                      </w:r>
                    </w:p>
                    <w:p w14:paraId="6D26D4B6" w14:textId="77777777" w:rsidR="001C117D" w:rsidRDefault="001C117D" w:rsidP="000923BB">
                      <w:r>
                        <w:t xml:space="preserve">       70 reviews by 3 non-clinical staff</w:t>
                      </w:r>
                    </w:p>
                    <w:p w14:paraId="05BB3E56" w14:textId="77777777" w:rsidR="001C117D" w:rsidRDefault="001C117D" w:rsidP="000923BB">
                      <w:r>
                        <w:t xml:space="preserve">       180 reviews by 6 clinical staff</w:t>
                      </w:r>
                    </w:p>
                  </w:txbxContent>
                </v:textbox>
              </v:shape>
            </w:pict>
          </mc:Fallback>
        </mc:AlternateContent>
      </w:r>
    </w:p>
    <w:p w14:paraId="7CA50BFC" w14:textId="77777777" w:rsidR="000923BB" w:rsidRPr="00122F87" w:rsidRDefault="000923BB" w:rsidP="000923BB">
      <w:pPr>
        <w:rPr>
          <w:sz w:val="22"/>
        </w:rPr>
      </w:pPr>
      <w:r>
        <w:br w:type="page"/>
      </w:r>
      <w:r w:rsidRPr="00122F87">
        <w:rPr>
          <w:rFonts w:cs="Arial"/>
          <w:b/>
          <w:sz w:val="22"/>
        </w:rPr>
        <w:lastRenderedPageBreak/>
        <w:t xml:space="preserve">Resource implications </w:t>
      </w:r>
      <w:r w:rsidRPr="00122F87">
        <w:rPr>
          <w:sz w:val="22"/>
        </w:rPr>
        <w:t xml:space="preserve"> </w:t>
      </w:r>
    </w:p>
    <w:p w14:paraId="62C9AB38" w14:textId="77777777" w:rsidR="000923BB" w:rsidRDefault="000923BB" w:rsidP="000923BB">
      <w:pPr>
        <w:jc w:val="both"/>
        <w:rPr>
          <w:rFonts w:cs="Arial"/>
          <w:sz w:val="22"/>
          <w:szCs w:val="22"/>
        </w:rPr>
      </w:pPr>
    </w:p>
    <w:p w14:paraId="6DBA7A1A" w14:textId="77777777" w:rsidR="000923BB" w:rsidRDefault="000923BB" w:rsidP="000923BB">
      <w:pPr>
        <w:jc w:val="both"/>
        <w:rPr>
          <w:rFonts w:cs="Arial"/>
          <w:sz w:val="22"/>
          <w:szCs w:val="22"/>
        </w:rPr>
      </w:pPr>
      <w:r>
        <w:rPr>
          <w:rFonts w:cs="Arial"/>
          <w:sz w:val="22"/>
          <w:szCs w:val="22"/>
        </w:rPr>
        <w:t>Tables 13 and 14 summarise the data on resource use on holistic review and criterion based review respectively.  For COPD holistic review (Table 13), doctors and nurses both took a similar amount of time to review each record (approx 18 minutes per review). However the non-clinical audit staff took much longer to review each COPD record using holistic methods, with a mean review time of 34 minutes. The mean total cost per review data indicates that nurses had the lowest cost per COPD holistic review at £6.73, non-clinical staff had a cost per review of £8.53 and doctors incurred the highest cost per review at £10.16, despite taking the least time to undertake the reviews. Doctors incur higher costs per review than the other staff types because of the higher overall staff costs compared with the other staff groups in the study.</w:t>
      </w:r>
    </w:p>
    <w:p w14:paraId="25EB33D4" w14:textId="77777777" w:rsidR="000923BB" w:rsidRDefault="000923BB" w:rsidP="000923BB">
      <w:pPr>
        <w:jc w:val="both"/>
        <w:rPr>
          <w:rFonts w:cs="Arial"/>
          <w:sz w:val="22"/>
          <w:szCs w:val="22"/>
        </w:rPr>
      </w:pPr>
    </w:p>
    <w:p w14:paraId="4B301392" w14:textId="77777777" w:rsidR="000923BB" w:rsidRDefault="000923BB" w:rsidP="000923BB">
      <w:pPr>
        <w:jc w:val="both"/>
        <w:rPr>
          <w:rFonts w:cs="Arial"/>
          <w:sz w:val="22"/>
          <w:szCs w:val="22"/>
        </w:rPr>
      </w:pPr>
      <w:r>
        <w:rPr>
          <w:rFonts w:cs="Arial"/>
          <w:sz w:val="22"/>
          <w:szCs w:val="22"/>
        </w:rPr>
        <w:t xml:space="preserve">There was less variation between the different staff groups for the time taken to review heart failure records holistically (mean range 24.06 – 29.48 minutes). Doctors were again found to be the most expensive staff group, with non-clinical audit staff incurring the least cost per review. </w:t>
      </w:r>
    </w:p>
    <w:p w14:paraId="0E6BB3CA" w14:textId="77777777" w:rsidR="000923BB" w:rsidRDefault="000923BB" w:rsidP="000923BB">
      <w:pPr>
        <w:jc w:val="both"/>
        <w:rPr>
          <w:rFonts w:cs="Arial"/>
          <w:sz w:val="22"/>
          <w:szCs w:val="22"/>
        </w:rPr>
      </w:pPr>
    </w:p>
    <w:p w14:paraId="54DD0780" w14:textId="77777777" w:rsidR="000923BB" w:rsidRDefault="000923BB" w:rsidP="000923BB">
      <w:pPr>
        <w:jc w:val="both"/>
        <w:rPr>
          <w:rFonts w:cs="Arial"/>
          <w:sz w:val="22"/>
          <w:szCs w:val="22"/>
        </w:rPr>
      </w:pPr>
      <w:r>
        <w:rPr>
          <w:rFonts w:cs="Arial"/>
          <w:sz w:val="22"/>
          <w:szCs w:val="22"/>
        </w:rPr>
        <w:t xml:space="preserve">Cost per review for Heart Failure holistic reviews were slightly lower for each staff group than for the COPD holistic reviews. </w:t>
      </w:r>
    </w:p>
    <w:p w14:paraId="3E759F67" w14:textId="77777777" w:rsidR="000923BB" w:rsidRDefault="000923BB" w:rsidP="000923BB">
      <w:pPr>
        <w:jc w:val="both"/>
        <w:rPr>
          <w:rFonts w:cs="Arial"/>
          <w:sz w:val="22"/>
          <w:szCs w:val="22"/>
        </w:rPr>
      </w:pPr>
    </w:p>
    <w:p w14:paraId="41710D75" w14:textId="77777777" w:rsidR="000923BB" w:rsidRDefault="000923BB" w:rsidP="000923BB">
      <w:pPr>
        <w:jc w:val="both"/>
        <w:rPr>
          <w:rFonts w:cs="Arial"/>
          <w:sz w:val="22"/>
          <w:szCs w:val="22"/>
        </w:rPr>
      </w:pPr>
      <w:r>
        <w:rPr>
          <w:rFonts w:cs="Arial"/>
          <w:sz w:val="22"/>
          <w:szCs w:val="22"/>
        </w:rPr>
        <w:t xml:space="preserve">For the COPD criterion based reviews (Table 14) the non-clinical staff took the most time to complete each review. However, as with the holistic review data the doctors incurred the highest cost per review. This pattern is repeated in the Heart Failure criterion data. </w:t>
      </w:r>
    </w:p>
    <w:p w14:paraId="291E0F95" w14:textId="77777777" w:rsidR="00B201FA" w:rsidRDefault="00B201FA">
      <w:pPr>
        <w:rPr>
          <w:rFonts w:cs="Arial"/>
          <w:sz w:val="22"/>
          <w:szCs w:val="22"/>
        </w:rPr>
      </w:pPr>
      <w:r>
        <w:rPr>
          <w:rFonts w:cs="Arial"/>
          <w:sz w:val="22"/>
          <w:szCs w:val="22"/>
        </w:rPr>
        <w:br w:type="page"/>
      </w:r>
    </w:p>
    <w:p w14:paraId="014884F3" w14:textId="77777777" w:rsidR="000923BB" w:rsidRDefault="000923BB" w:rsidP="000923BB">
      <w:pPr>
        <w:jc w:val="both"/>
        <w:rPr>
          <w:rFonts w:cs="Arial"/>
          <w:sz w:val="22"/>
          <w:szCs w:val="22"/>
        </w:rPr>
      </w:pPr>
    </w:p>
    <w:p w14:paraId="56210C22" w14:textId="77777777" w:rsidR="000923BB" w:rsidRPr="00332604" w:rsidRDefault="000923BB" w:rsidP="000923BB">
      <w:pPr>
        <w:jc w:val="both"/>
        <w:rPr>
          <w:rFonts w:cs="Arial"/>
          <w:sz w:val="20"/>
          <w:szCs w:val="20"/>
        </w:rPr>
      </w:pPr>
      <w:r w:rsidRPr="00332604">
        <w:rPr>
          <w:rFonts w:cs="Arial"/>
          <w:b/>
          <w:bCs/>
          <w:sz w:val="20"/>
          <w:szCs w:val="20"/>
        </w:rPr>
        <w:t xml:space="preserve">Table  13:  Resource used during the holistic review process, by staff type </w:t>
      </w:r>
    </w:p>
    <w:p w14:paraId="4CDB547C" w14:textId="77777777" w:rsidR="000923BB" w:rsidRDefault="000923BB" w:rsidP="000923BB">
      <w:pPr>
        <w:rPr>
          <w:rFonts w:cs="Arial"/>
          <w:sz w:val="20"/>
          <w:szCs w:val="20"/>
        </w:rPr>
      </w:pPr>
    </w:p>
    <w:tbl>
      <w:tblPr>
        <w:tblW w:w="451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1"/>
        <w:gridCol w:w="812"/>
        <w:gridCol w:w="754"/>
        <w:gridCol w:w="868"/>
        <w:gridCol w:w="809"/>
        <w:gridCol w:w="812"/>
        <w:gridCol w:w="809"/>
        <w:gridCol w:w="812"/>
        <w:gridCol w:w="808"/>
      </w:tblGrid>
      <w:tr w:rsidR="00784AC3" w14:paraId="03A2B264" w14:textId="77777777" w:rsidTr="00784AC3">
        <w:trPr>
          <w:trHeight w:val="1098"/>
        </w:trPr>
        <w:tc>
          <w:tcPr>
            <w:tcW w:w="714" w:type="pct"/>
            <w:tcBorders>
              <w:top w:val="single" w:sz="4" w:space="0" w:color="auto"/>
              <w:left w:val="single" w:sz="4" w:space="0" w:color="auto"/>
              <w:bottom w:val="single" w:sz="4" w:space="0" w:color="auto"/>
              <w:right w:val="single" w:sz="4" w:space="0" w:color="auto"/>
            </w:tcBorders>
          </w:tcPr>
          <w:p w14:paraId="15450014" w14:textId="77777777" w:rsidR="000923BB" w:rsidRPr="00A5425E" w:rsidRDefault="000923BB" w:rsidP="003A385F">
            <w:pPr>
              <w:rPr>
                <w:rFonts w:cs="Arial"/>
                <w:b/>
                <w:bCs/>
                <w:sz w:val="18"/>
                <w:szCs w:val="18"/>
              </w:rPr>
            </w:pPr>
            <w:r w:rsidRPr="00A5425E">
              <w:rPr>
                <w:rFonts w:cs="Arial"/>
                <w:b/>
                <w:bCs/>
                <w:sz w:val="18"/>
                <w:szCs w:val="18"/>
              </w:rPr>
              <w:t>Condition</w:t>
            </w:r>
          </w:p>
        </w:tc>
        <w:tc>
          <w:tcPr>
            <w:tcW w:w="536" w:type="pct"/>
            <w:tcBorders>
              <w:top w:val="single" w:sz="4" w:space="0" w:color="auto"/>
              <w:left w:val="single" w:sz="4" w:space="0" w:color="auto"/>
              <w:bottom w:val="single" w:sz="4" w:space="0" w:color="auto"/>
              <w:right w:val="single" w:sz="4" w:space="0" w:color="auto"/>
            </w:tcBorders>
          </w:tcPr>
          <w:p w14:paraId="1320A961" w14:textId="77777777" w:rsidR="000923BB" w:rsidRPr="00A5425E" w:rsidRDefault="000923BB" w:rsidP="003A385F">
            <w:pPr>
              <w:rPr>
                <w:rFonts w:cs="Arial"/>
                <w:b/>
                <w:bCs/>
                <w:sz w:val="18"/>
                <w:szCs w:val="18"/>
              </w:rPr>
            </w:pPr>
            <w:r w:rsidRPr="00A5425E">
              <w:rPr>
                <w:rFonts w:cs="Arial"/>
                <w:b/>
                <w:bCs/>
                <w:sz w:val="18"/>
                <w:szCs w:val="18"/>
              </w:rPr>
              <w:t>Staff type</w:t>
            </w:r>
          </w:p>
        </w:tc>
        <w:tc>
          <w:tcPr>
            <w:tcW w:w="498" w:type="pct"/>
            <w:tcBorders>
              <w:top w:val="single" w:sz="4" w:space="0" w:color="auto"/>
              <w:left w:val="single" w:sz="4" w:space="0" w:color="auto"/>
              <w:bottom w:val="single" w:sz="4" w:space="0" w:color="auto"/>
              <w:right w:val="single" w:sz="4" w:space="0" w:color="auto"/>
            </w:tcBorders>
          </w:tcPr>
          <w:p w14:paraId="670EA4DC" w14:textId="77777777" w:rsidR="000923BB" w:rsidRDefault="000923BB" w:rsidP="003A385F">
            <w:pPr>
              <w:rPr>
                <w:rFonts w:cs="Arial"/>
                <w:b/>
                <w:bCs/>
                <w:sz w:val="18"/>
                <w:szCs w:val="18"/>
              </w:rPr>
            </w:pPr>
            <w:r w:rsidRPr="00A5425E">
              <w:rPr>
                <w:rFonts w:cs="Arial"/>
                <w:b/>
                <w:bCs/>
                <w:sz w:val="18"/>
                <w:szCs w:val="18"/>
              </w:rPr>
              <w:t>No. valid reviews</w:t>
            </w:r>
            <w:r w:rsidRPr="00A5425E" w:rsidDel="00BE4F18">
              <w:rPr>
                <w:rFonts w:cs="Arial"/>
                <w:b/>
                <w:bCs/>
                <w:sz w:val="18"/>
                <w:szCs w:val="18"/>
              </w:rPr>
              <w:t xml:space="preserve"> </w:t>
            </w:r>
          </w:p>
          <w:p w14:paraId="37D775B9" w14:textId="77777777" w:rsidR="000923BB" w:rsidRPr="00A5425E" w:rsidRDefault="000923BB" w:rsidP="003A385F">
            <w:pPr>
              <w:rPr>
                <w:rFonts w:cs="Arial"/>
                <w:b/>
                <w:bCs/>
                <w:sz w:val="18"/>
                <w:szCs w:val="18"/>
              </w:rPr>
            </w:pPr>
            <w:r w:rsidRPr="00A5425E">
              <w:rPr>
                <w:rFonts w:cs="Arial"/>
                <w:b/>
                <w:bCs/>
                <w:sz w:val="18"/>
                <w:szCs w:val="18"/>
              </w:rPr>
              <w:t>Missing data</w:t>
            </w:r>
            <w:r>
              <w:rPr>
                <w:rFonts w:cs="Arial"/>
                <w:b/>
                <w:bCs/>
                <w:sz w:val="18"/>
                <w:szCs w:val="18"/>
              </w:rPr>
              <w:t xml:space="preserve"> ()</w:t>
            </w:r>
          </w:p>
        </w:tc>
        <w:tc>
          <w:tcPr>
            <w:tcW w:w="573" w:type="pct"/>
            <w:tcBorders>
              <w:top w:val="single" w:sz="4" w:space="0" w:color="auto"/>
              <w:left w:val="single" w:sz="4" w:space="0" w:color="auto"/>
              <w:bottom w:val="single" w:sz="4" w:space="0" w:color="auto"/>
              <w:right w:val="single" w:sz="4" w:space="0" w:color="auto"/>
            </w:tcBorders>
          </w:tcPr>
          <w:p w14:paraId="5FCBFFF7" w14:textId="77777777" w:rsidR="000923BB" w:rsidRPr="00A5425E" w:rsidRDefault="000923BB" w:rsidP="003A385F">
            <w:pPr>
              <w:rPr>
                <w:rFonts w:cs="Arial"/>
                <w:b/>
                <w:bCs/>
                <w:sz w:val="18"/>
                <w:szCs w:val="18"/>
              </w:rPr>
            </w:pPr>
            <w:r w:rsidRPr="00A5425E">
              <w:rPr>
                <w:rFonts w:cs="Arial"/>
                <w:b/>
                <w:bCs/>
                <w:sz w:val="18"/>
                <w:szCs w:val="18"/>
              </w:rPr>
              <w:t>Mean review time in minutes</w:t>
            </w:r>
          </w:p>
          <w:p w14:paraId="302784B1" w14:textId="77777777" w:rsidR="000923BB" w:rsidRPr="00A5425E" w:rsidRDefault="000923BB" w:rsidP="003A385F">
            <w:pPr>
              <w:rPr>
                <w:rFonts w:cs="Arial"/>
                <w:b/>
                <w:bCs/>
                <w:sz w:val="18"/>
                <w:szCs w:val="18"/>
              </w:rPr>
            </w:pPr>
            <w:r w:rsidRPr="00A5425E">
              <w:rPr>
                <w:rFonts w:cs="Arial"/>
                <w:b/>
                <w:bCs/>
                <w:sz w:val="18"/>
                <w:szCs w:val="18"/>
              </w:rPr>
              <w:t>(SD)</w:t>
            </w:r>
          </w:p>
        </w:tc>
        <w:tc>
          <w:tcPr>
            <w:tcW w:w="535" w:type="pct"/>
            <w:tcBorders>
              <w:top w:val="single" w:sz="4" w:space="0" w:color="auto"/>
              <w:left w:val="single" w:sz="4" w:space="0" w:color="auto"/>
              <w:bottom w:val="single" w:sz="4" w:space="0" w:color="auto"/>
              <w:right w:val="single" w:sz="4" w:space="0" w:color="auto"/>
            </w:tcBorders>
          </w:tcPr>
          <w:p w14:paraId="771A4B98" w14:textId="77777777" w:rsidR="000923BB" w:rsidRPr="00A5425E" w:rsidRDefault="000923BB" w:rsidP="003A385F">
            <w:pPr>
              <w:rPr>
                <w:rFonts w:cs="Arial"/>
                <w:b/>
                <w:bCs/>
                <w:sz w:val="18"/>
                <w:szCs w:val="18"/>
              </w:rPr>
            </w:pPr>
            <w:r w:rsidRPr="00A5425E">
              <w:rPr>
                <w:rFonts w:cs="Arial"/>
                <w:b/>
                <w:bCs/>
                <w:sz w:val="18"/>
                <w:szCs w:val="18"/>
              </w:rPr>
              <w:t>SD time per review</w:t>
            </w:r>
          </w:p>
        </w:tc>
        <w:tc>
          <w:tcPr>
            <w:tcW w:w="537" w:type="pct"/>
            <w:tcBorders>
              <w:top w:val="single" w:sz="4" w:space="0" w:color="auto"/>
              <w:left w:val="single" w:sz="4" w:space="0" w:color="auto"/>
              <w:bottom w:val="single" w:sz="4" w:space="0" w:color="auto"/>
              <w:right w:val="single" w:sz="4" w:space="0" w:color="auto"/>
            </w:tcBorders>
          </w:tcPr>
          <w:p w14:paraId="46D3097E" w14:textId="77777777" w:rsidR="000923BB" w:rsidRPr="00A5425E" w:rsidRDefault="000923BB" w:rsidP="003A385F">
            <w:pPr>
              <w:rPr>
                <w:rFonts w:cs="Arial"/>
                <w:b/>
                <w:bCs/>
                <w:sz w:val="18"/>
                <w:szCs w:val="18"/>
              </w:rPr>
            </w:pPr>
            <w:r w:rsidRPr="00A5425E">
              <w:rPr>
                <w:rFonts w:cs="Arial"/>
                <w:b/>
                <w:bCs/>
                <w:sz w:val="18"/>
                <w:szCs w:val="18"/>
              </w:rPr>
              <w:t>Time per review</w:t>
            </w:r>
          </w:p>
          <w:p w14:paraId="2920099B" w14:textId="77777777" w:rsidR="000923BB" w:rsidRPr="00A5425E" w:rsidRDefault="000923BB" w:rsidP="003A385F">
            <w:pPr>
              <w:rPr>
                <w:rFonts w:cs="Arial"/>
                <w:b/>
                <w:bCs/>
                <w:sz w:val="18"/>
                <w:szCs w:val="18"/>
              </w:rPr>
            </w:pPr>
            <w:r w:rsidRPr="00A5425E">
              <w:rPr>
                <w:rFonts w:cs="Arial"/>
                <w:b/>
                <w:bCs/>
                <w:sz w:val="18"/>
                <w:szCs w:val="18"/>
              </w:rPr>
              <w:t>Min - Max</w:t>
            </w:r>
          </w:p>
        </w:tc>
        <w:tc>
          <w:tcPr>
            <w:tcW w:w="535" w:type="pct"/>
            <w:tcBorders>
              <w:top w:val="single" w:sz="4" w:space="0" w:color="auto"/>
              <w:left w:val="single" w:sz="4" w:space="0" w:color="auto"/>
              <w:bottom w:val="single" w:sz="4" w:space="0" w:color="auto"/>
              <w:right w:val="single" w:sz="4" w:space="0" w:color="auto"/>
            </w:tcBorders>
          </w:tcPr>
          <w:p w14:paraId="4D1D4930" w14:textId="77777777" w:rsidR="003052E6" w:rsidRDefault="000923BB" w:rsidP="003052E6">
            <w:pPr>
              <w:rPr>
                <w:rFonts w:cs="Arial"/>
                <w:b/>
                <w:bCs/>
                <w:sz w:val="18"/>
                <w:szCs w:val="18"/>
              </w:rPr>
            </w:pPr>
            <w:r w:rsidRPr="00A5425E">
              <w:rPr>
                <w:rFonts w:cs="Arial"/>
                <w:b/>
                <w:bCs/>
                <w:sz w:val="18"/>
                <w:szCs w:val="18"/>
              </w:rPr>
              <w:t>Mean total cost per review</w:t>
            </w:r>
          </w:p>
          <w:p w14:paraId="778D9405" w14:textId="77777777" w:rsidR="000923BB" w:rsidRPr="00A5425E" w:rsidRDefault="000923BB" w:rsidP="003052E6">
            <w:pPr>
              <w:rPr>
                <w:rFonts w:cs="Arial"/>
                <w:b/>
                <w:bCs/>
                <w:sz w:val="18"/>
                <w:szCs w:val="18"/>
              </w:rPr>
            </w:pPr>
            <w:r w:rsidRPr="00A5425E">
              <w:rPr>
                <w:rFonts w:cs="Arial"/>
                <w:b/>
                <w:bCs/>
                <w:sz w:val="18"/>
                <w:szCs w:val="18"/>
              </w:rPr>
              <w:t>(£)</w:t>
            </w:r>
          </w:p>
        </w:tc>
        <w:tc>
          <w:tcPr>
            <w:tcW w:w="537" w:type="pct"/>
            <w:tcBorders>
              <w:top w:val="single" w:sz="4" w:space="0" w:color="auto"/>
              <w:left w:val="single" w:sz="4" w:space="0" w:color="auto"/>
              <w:bottom w:val="single" w:sz="4" w:space="0" w:color="auto"/>
              <w:right w:val="single" w:sz="4" w:space="0" w:color="auto"/>
            </w:tcBorders>
          </w:tcPr>
          <w:p w14:paraId="0D747F00" w14:textId="77777777" w:rsidR="000923BB" w:rsidRPr="00A5425E" w:rsidRDefault="000923BB" w:rsidP="003A385F">
            <w:pPr>
              <w:rPr>
                <w:rFonts w:cs="Arial"/>
                <w:b/>
                <w:bCs/>
                <w:sz w:val="18"/>
                <w:szCs w:val="18"/>
              </w:rPr>
            </w:pPr>
            <w:r w:rsidRPr="00A5425E">
              <w:rPr>
                <w:rFonts w:cs="Arial"/>
                <w:b/>
                <w:bCs/>
                <w:sz w:val="18"/>
                <w:szCs w:val="18"/>
              </w:rPr>
              <w:t>SD</w:t>
            </w:r>
          </w:p>
          <w:p w14:paraId="4938EE27" w14:textId="77777777" w:rsidR="000923BB" w:rsidRPr="00A5425E" w:rsidRDefault="000923BB" w:rsidP="003A385F">
            <w:pPr>
              <w:rPr>
                <w:rFonts w:cs="Arial"/>
                <w:b/>
                <w:bCs/>
                <w:sz w:val="18"/>
                <w:szCs w:val="18"/>
              </w:rPr>
            </w:pPr>
            <w:r w:rsidRPr="00A5425E">
              <w:rPr>
                <w:rFonts w:cs="Arial"/>
                <w:b/>
                <w:bCs/>
                <w:sz w:val="18"/>
                <w:szCs w:val="18"/>
              </w:rPr>
              <w:t>cost per review</w:t>
            </w:r>
          </w:p>
          <w:p w14:paraId="28152F21" w14:textId="77777777" w:rsidR="000923BB" w:rsidRPr="00A5425E" w:rsidRDefault="000923BB" w:rsidP="003A385F">
            <w:pPr>
              <w:rPr>
                <w:rFonts w:cs="Arial"/>
                <w:b/>
                <w:bCs/>
                <w:sz w:val="18"/>
                <w:szCs w:val="18"/>
              </w:rPr>
            </w:pPr>
            <w:r w:rsidRPr="00A5425E">
              <w:rPr>
                <w:rFonts w:cs="Arial"/>
                <w:b/>
                <w:bCs/>
                <w:sz w:val="18"/>
                <w:szCs w:val="18"/>
              </w:rPr>
              <w:t>(£)</w:t>
            </w:r>
          </w:p>
        </w:tc>
        <w:tc>
          <w:tcPr>
            <w:tcW w:w="534" w:type="pct"/>
            <w:tcBorders>
              <w:top w:val="single" w:sz="4" w:space="0" w:color="auto"/>
              <w:left w:val="single" w:sz="4" w:space="0" w:color="auto"/>
              <w:bottom w:val="single" w:sz="4" w:space="0" w:color="auto"/>
              <w:right w:val="single" w:sz="4" w:space="0" w:color="auto"/>
            </w:tcBorders>
          </w:tcPr>
          <w:p w14:paraId="4FBDBA1D" w14:textId="77777777" w:rsidR="000923BB" w:rsidRPr="00A5425E" w:rsidRDefault="000923BB" w:rsidP="003A385F">
            <w:pPr>
              <w:rPr>
                <w:rFonts w:cs="Arial"/>
                <w:b/>
                <w:bCs/>
                <w:sz w:val="18"/>
                <w:szCs w:val="18"/>
              </w:rPr>
            </w:pPr>
            <w:r w:rsidRPr="00A5425E">
              <w:rPr>
                <w:rFonts w:cs="Arial"/>
                <w:b/>
                <w:bCs/>
                <w:sz w:val="18"/>
                <w:szCs w:val="18"/>
              </w:rPr>
              <w:t>Cost per review</w:t>
            </w:r>
          </w:p>
          <w:p w14:paraId="3C99BC0F" w14:textId="77777777" w:rsidR="000923BB" w:rsidRPr="00A5425E" w:rsidRDefault="000923BB" w:rsidP="003A385F">
            <w:pPr>
              <w:rPr>
                <w:rFonts w:cs="Arial"/>
                <w:b/>
                <w:bCs/>
                <w:sz w:val="18"/>
                <w:szCs w:val="18"/>
              </w:rPr>
            </w:pPr>
            <w:r w:rsidRPr="00A5425E">
              <w:rPr>
                <w:rFonts w:cs="Arial"/>
                <w:b/>
                <w:bCs/>
                <w:sz w:val="18"/>
                <w:szCs w:val="18"/>
              </w:rPr>
              <w:t>Min-Max</w:t>
            </w:r>
          </w:p>
          <w:p w14:paraId="70D056E6" w14:textId="77777777" w:rsidR="000923BB" w:rsidRPr="00A5425E" w:rsidRDefault="000923BB" w:rsidP="003A385F">
            <w:pPr>
              <w:rPr>
                <w:rFonts w:cs="Arial"/>
                <w:b/>
                <w:bCs/>
                <w:sz w:val="18"/>
                <w:szCs w:val="18"/>
              </w:rPr>
            </w:pPr>
            <w:r w:rsidRPr="00A5425E">
              <w:rPr>
                <w:rFonts w:cs="Arial"/>
                <w:b/>
                <w:bCs/>
                <w:sz w:val="18"/>
                <w:szCs w:val="18"/>
              </w:rPr>
              <w:t>(£)</w:t>
            </w:r>
          </w:p>
        </w:tc>
      </w:tr>
      <w:tr w:rsidR="00784AC3" w14:paraId="167B6500" w14:textId="77777777" w:rsidTr="00784AC3">
        <w:trPr>
          <w:trHeight w:val="778"/>
        </w:trPr>
        <w:tc>
          <w:tcPr>
            <w:tcW w:w="714" w:type="pct"/>
            <w:tcBorders>
              <w:top w:val="single" w:sz="4" w:space="0" w:color="auto"/>
              <w:left w:val="single" w:sz="4" w:space="0" w:color="auto"/>
              <w:bottom w:val="single" w:sz="4" w:space="0" w:color="auto"/>
              <w:right w:val="single" w:sz="4" w:space="0" w:color="auto"/>
            </w:tcBorders>
          </w:tcPr>
          <w:p w14:paraId="13A24B1F" w14:textId="77777777" w:rsidR="000923BB" w:rsidRPr="00A5425E" w:rsidRDefault="000923BB" w:rsidP="003A385F">
            <w:pPr>
              <w:rPr>
                <w:rFonts w:cs="Arial"/>
                <w:sz w:val="18"/>
                <w:szCs w:val="18"/>
              </w:rPr>
            </w:pPr>
            <w:r w:rsidRPr="00A5425E">
              <w:rPr>
                <w:rFonts w:cs="Arial"/>
                <w:sz w:val="18"/>
                <w:szCs w:val="18"/>
              </w:rPr>
              <w:t>COPD</w:t>
            </w:r>
          </w:p>
        </w:tc>
        <w:tc>
          <w:tcPr>
            <w:tcW w:w="536" w:type="pct"/>
            <w:tcBorders>
              <w:top w:val="single" w:sz="4" w:space="0" w:color="auto"/>
              <w:left w:val="single" w:sz="4" w:space="0" w:color="auto"/>
              <w:bottom w:val="single" w:sz="4" w:space="0" w:color="auto"/>
              <w:right w:val="single" w:sz="4" w:space="0" w:color="auto"/>
            </w:tcBorders>
          </w:tcPr>
          <w:p w14:paraId="54289EDB" w14:textId="77777777" w:rsidR="000923BB" w:rsidRPr="00A5425E" w:rsidRDefault="000923BB" w:rsidP="003A385F">
            <w:pPr>
              <w:rPr>
                <w:rFonts w:cs="Arial"/>
                <w:sz w:val="18"/>
                <w:szCs w:val="18"/>
              </w:rPr>
            </w:pPr>
            <w:r w:rsidRPr="00A5425E">
              <w:rPr>
                <w:rFonts w:cs="Arial"/>
                <w:sz w:val="18"/>
                <w:szCs w:val="18"/>
              </w:rPr>
              <w:t>Doctor</w:t>
            </w:r>
          </w:p>
        </w:tc>
        <w:tc>
          <w:tcPr>
            <w:tcW w:w="498" w:type="pct"/>
            <w:tcBorders>
              <w:top w:val="single" w:sz="4" w:space="0" w:color="auto"/>
              <w:left w:val="single" w:sz="4" w:space="0" w:color="auto"/>
              <w:bottom w:val="single" w:sz="4" w:space="0" w:color="auto"/>
              <w:right w:val="single" w:sz="4" w:space="0" w:color="auto"/>
            </w:tcBorders>
          </w:tcPr>
          <w:p w14:paraId="3563130C" w14:textId="77777777" w:rsidR="000923BB" w:rsidRPr="00A5425E" w:rsidRDefault="000923BB" w:rsidP="003A385F">
            <w:pPr>
              <w:rPr>
                <w:rFonts w:cs="Arial"/>
                <w:sz w:val="18"/>
                <w:szCs w:val="18"/>
              </w:rPr>
            </w:pPr>
            <w:r w:rsidRPr="00A5425E">
              <w:rPr>
                <w:rFonts w:cs="Arial"/>
                <w:sz w:val="18"/>
                <w:szCs w:val="18"/>
              </w:rPr>
              <w:t>266</w:t>
            </w:r>
          </w:p>
          <w:p w14:paraId="34DE84E2" w14:textId="77777777" w:rsidR="000923BB" w:rsidRPr="00A5425E" w:rsidRDefault="000923BB" w:rsidP="003A385F">
            <w:pPr>
              <w:rPr>
                <w:rFonts w:cs="Arial"/>
                <w:sz w:val="18"/>
                <w:szCs w:val="18"/>
              </w:rPr>
            </w:pPr>
            <w:r w:rsidRPr="00A5425E">
              <w:rPr>
                <w:rFonts w:cs="Arial"/>
                <w:sz w:val="18"/>
                <w:szCs w:val="18"/>
              </w:rPr>
              <w:t>(7)</w:t>
            </w:r>
          </w:p>
        </w:tc>
        <w:tc>
          <w:tcPr>
            <w:tcW w:w="573" w:type="pct"/>
            <w:tcBorders>
              <w:top w:val="single" w:sz="4" w:space="0" w:color="auto"/>
              <w:left w:val="single" w:sz="4" w:space="0" w:color="auto"/>
              <w:bottom w:val="single" w:sz="4" w:space="0" w:color="auto"/>
              <w:right w:val="single" w:sz="4" w:space="0" w:color="auto"/>
            </w:tcBorders>
          </w:tcPr>
          <w:p w14:paraId="579C9D8E" w14:textId="77777777" w:rsidR="000923BB" w:rsidRPr="00A5425E" w:rsidRDefault="000923BB" w:rsidP="003A385F">
            <w:pPr>
              <w:rPr>
                <w:rFonts w:cs="Arial"/>
                <w:sz w:val="18"/>
                <w:szCs w:val="18"/>
              </w:rPr>
            </w:pPr>
            <w:r w:rsidRPr="00A5425E">
              <w:rPr>
                <w:rFonts w:cs="Arial"/>
                <w:sz w:val="18"/>
                <w:szCs w:val="18"/>
              </w:rPr>
              <w:t>18.5</w:t>
            </w:r>
          </w:p>
        </w:tc>
        <w:tc>
          <w:tcPr>
            <w:tcW w:w="535" w:type="pct"/>
            <w:tcBorders>
              <w:top w:val="single" w:sz="4" w:space="0" w:color="auto"/>
              <w:left w:val="single" w:sz="4" w:space="0" w:color="auto"/>
              <w:bottom w:val="single" w:sz="4" w:space="0" w:color="auto"/>
              <w:right w:val="single" w:sz="4" w:space="0" w:color="auto"/>
            </w:tcBorders>
          </w:tcPr>
          <w:p w14:paraId="2E55270E" w14:textId="77777777" w:rsidR="000923BB" w:rsidRPr="00A5425E" w:rsidRDefault="000923BB" w:rsidP="003A385F">
            <w:pPr>
              <w:rPr>
                <w:rFonts w:cs="Arial"/>
                <w:sz w:val="18"/>
                <w:szCs w:val="18"/>
              </w:rPr>
            </w:pPr>
            <w:r w:rsidRPr="00A5425E">
              <w:rPr>
                <w:rFonts w:cs="Arial"/>
                <w:sz w:val="18"/>
                <w:szCs w:val="18"/>
              </w:rPr>
              <w:t>9.9</w:t>
            </w:r>
          </w:p>
        </w:tc>
        <w:tc>
          <w:tcPr>
            <w:tcW w:w="537" w:type="pct"/>
            <w:tcBorders>
              <w:top w:val="single" w:sz="4" w:space="0" w:color="auto"/>
              <w:left w:val="single" w:sz="4" w:space="0" w:color="auto"/>
              <w:bottom w:val="single" w:sz="4" w:space="0" w:color="auto"/>
              <w:right w:val="single" w:sz="4" w:space="0" w:color="auto"/>
            </w:tcBorders>
          </w:tcPr>
          <w:p w14:paraId="13C80F18" w14:textId="77777777" w:rsidR="000923BB" w:rsidRPr="00A5425E" w:rsidRDefault="000923BB" w:rsidP="003A385F">
            <w:pPr>
              <w:rPr>
                <w:rFonts w:cs="Arial"/>
                <w:sz w:val="18"/>
                <w:szCs w:val="18"/>
              </w:rPr>
            </w:pPr>
            <w:r w:rsidRPr="00A5425E">
              <w:rPr>
                <w:rFonts w:cs="Arial"/>
                <w:sz w:val="18"/>
                <w:szCs w:val="18"/>
              </w:rPr>
              <w:t>5 -52</w:t>
            </w:r>
          </w:p>
        </w:tc>
        <w:tc>
          <w:tcPr>
            <w:tcW w:w="535" w:type="pct"/>
            <w:tcBorders>
              <w:top w:val="single" w:sz="4" w:space="0" w:color="auto"/>
              <w:left w:val="single" w:sz="4" w:space="0" w:color="auto"/>
              <w:bottom w:val="single" w:sz="4" w:space="0" w:color="auto"/>
              <w:right w:val="single" w:sz="4" w:space="0" w:color="auto"/>
            </w:tcBorders>
          </w:tcPr>
          <w:p w14:paraId="7CF7B85F" w14:textId="77777777" w:rsidR="000923BB" w:rsidRPr="00A5425E" w:rsidRDefault="000923BB" w:rsidP="003A385F">
            <w:pPr>
              <w:rPr>
                <w:rFonts w:cs="Arial"/>
                <w:sz w:val="18"/>
                <w:szCs w:val="18"/>
              </w:rPr>
            </w:pPr>
            <w:r w:rsidRPr="00A5425E">
              <w:rPr>
                <w:rFonts w:cs="Arial"/>
                <w:sz w:val="18"/>
                <w:szCs w:val="18"/>
              </w:rPr>
              <w:t>10.16</w:t>
            </w:r>
          </w:p>
        </w:tc>
        <w:tc>
          <w:tcPr>
            <w:tcW w:w="537" w:type="pct"/>
            <w:tcBorders>
              <w:top w:val="single" w:sz="4" w:space="0" w:color="auto"/>
              <w:left w:val="single" w:sz="4" w:space="0" w:color="auto"/>
              <w:bottom w:val="single" w:sz="4" w:space="0" w:color="auto"/>
              <w:right w:val="single" w:sz="4" w:space="0" w:color="auto"/>
            </w:tcBorders>
          </w:tcPr>
          <w:p w14:paraId="46691E9B" w14:textId="77777777" w:rsidR="000923BB" w:rsidRPr="00A5425E" w:rsidRDefault="000923BB" w:rsidP="003A385F">
            <w:pPr>
              <w:rPr>
                <w:rFonts w:cs="Arial"/>
                <w:sz w:val="18"/>
                <w:szCs w:val="18"/>
              </w:rPr>
            </w:pPr>
            <w:r w:rsidRPr="00A5425E">
              <w:rPr>
                <w:rFonts w:cs="Arial"/>
                <w:sz w:val="18"/>
                <w:szCs w:val="18"/>
              </w:rPr>
              <w:t>5.46</w:t>
            </w:r>
          </w:p>
        </w:tc>
        <w:tc>
          <w:tcPr>
            <w:tcW w:w="534" w:type="pct"/>
            <w:tcBorders>
              <w:top w:val="single" w:sz="4" w:space="0" w:color="auto"/>
              <w:left w:val="single" w:sz="4" w:space="0" w:color="auto"/>
              <w:bottom w:val="single" w:sz="4" w:space="0" w:color="auto"/>
              <w:right w:val="single" w:sz="4" w:space="0" w:color="auto"/>
            </w:tcBorders>
          </w:tcPr>
          <w:p w14:paraId="49C7F128" w14:textId="77777777" w:rsidR="000923BB" w:rsidRPr="00A5425E" w:rsidRDefault="000923BB" w:rsidP="003A385F">
            <w:pPr>
              <w:rPr>
                <w:rFonts w:cs="Arial"/>
                <w:sz w:val="18"/>
                <w:szCs w:val="18"/>
              </w:rPr>
            </w:pPr>
            <w:r w:rsidRPr="00A5425E">
              <w:rPr>
                <w:rFonts w:cs="Arial"/>
                <w:sz w:val="18"/>
                <w:szCs w:val="18"/>
              </w:rPr>
              <w:t>2.75 – 28.60</w:t>
            </w:r>
          </w:p>
        </w:tc>
      </w:tr>
      <w:tr w:rsidR="00784AC3" w14:paraId="02502D2A" w14:textId="77777777" w:rsidTr="00784AC3">
        <w:trPr>
          <w:trHeight w:val="816"/>
        </w:trPr>
        <w:tc>
          <w:tcPr>
            <w:tcW w:w="714" w:type="pct"/>
            <w:tcBorders>
              <w:top w:val="single" w:sz="4" w:space="0" w:color="auto"/>
              <w:left w:val="single" w:sz="4" w:space="0" w:color="auto"/>
              <w:bottom w:val="single" w:sz="4" w:space="0" w:color="auto"/>
              <w:right w:val="single" w:sz="4" w:space="0" w:color="auto"/>
            </w:tcBorders>
          </w:tcPr>
          <w:p w14:paraId="16DE5FD5" w14:textId="77777777" w:rsidR="000923BB" w:rsidRPr="00A5425E" w:rsidRDefault="000923BB" w:rsidP="003A385F">
            <w:pPr>
              <w:rPr>
                <w:rFonts w:cs="Arial"/>
                <w:sz w:val="18"/>
                <w:szCs w:val="18"/>
              </w:rPr>
            </w:pPr>
            <w:r w:rsidRPr="00A5425E">
              <w:rPr>
                <w:rFonts w:cs="Arial"/>
                <w:sz w:val="18"/>
                <w:szCs w:val="18"/>
              </w:rPr>
              <w:t>COPD</w:t>
            </w:r>
          </w:p>
        </w:tc>
        <w:tc>
          <w:tcPr>
            <w:tcW w:w="536" w:type="pct"/>
            <w:tcBorders>
              <w:top w:val="single" w:sz="4" w:space="0" w:color="auto"/>
              <w:left w:val="single" w:sz="4" w:space="0" w:color="auto"/>
              <w:bottom w:val="single" w:sz="4" w:space="0" w:color="auto"/>
              <w:right w:val="single" w:sz="4" w:space="0" w:color="auto"/>
            </w:tcBorders>
          </w:tcPr>
          <w:p w14:paraId="6C0F3602" w14:textId="77777777" w:rsidR="000923BB" w:rsidRPr="00A5425E" w:rsidRDefault="000923BB" w:rsidP="003A385F">
            <w:pPr>
              <w:rPr>
                <w:rFonts w:cs="Arial"/>
                <w:sz w:val="18"/>
                <w:szCs w:val="18"/>
              </w:rPr>
            </w:pPr>
            <w:r w:rsidRPr="00A5425E">
              <w:rPr>
                <w:rFonts w:cs="Arial"/>
                <w:sz w:val="18"/>
                <w:szCs w:val="18"/>
              </w:rPr>
              <w:t>Nurse/ Other Clinical</w:t>
            </w:r>
          </w:p>
        </w:tc>
        <w:tc>
          <w:tcPr>
            <w:tcW w:w="498" w:type="pct"/>
            <w:tcBorders>
              <w:top w:val="single" w:sz="4" w:space="0" w:color="auto"/>
              <w:left w:val="single" w:sz="4" w:space="0" w:color="auto"/>
              <w:bottom w:val="single" w:sz="4" w:space="0" w:color="auto"/>
              <w:right w:val="single" w:sz="4" w:space="0" w:color="auto"/>
            </w:tcBorders>
          </w:tcPr>
          <w:p w14:paraId="1E97DD72" w14:textId="77777777" w:rsidR="000923BB" w:rsidRPr="00A5425E" w:rsidRDefault="000923BB" w:rsidP="003A385F">
            <w:pPr>
              <w:rPr>
                <w:rFonts w:cs="Arial"/>
                <w:sz w:val="18"/>
                <w:szCs w:val="18"/>
              </w:rPr>
            </w:pPr>
            <w:r w:rsidRPr="00A5425E">
              <w:rPr>
                <w:rFonts w:cs="Arial"/>
                <w:sz w:val="18"/>
                <w:szCs w:val="18"/>
              </w:rPr>
              <w:t>347</w:t>
            </w:r>
          </w:p>
          <w:p w14:paraId="4317157D" w14:textId="77777777" w:rsidR="000923BB" w:rsidRPr="00A5425E" w:rsidRDefault="000923BB" w:rsidP="003A385F">
            <w:pPr>
              <w:rPr>
                <w:rFonts w:cs="Arial"/>
                <w:sz w:val="18"/>
                <w:szCs w:val="18"/>
              </w:rPr>
            </w:pPr>
            <w:r w:rsidRPr="00A5425E">
              <w:rPr>
                <w:rFonts w:cs="Arial"/>
                <w:sz w:val="18"/>
                <w:szCs w:val="18"/>
              </w:rPr>
              <w:t>(10)</w:t>
            </w:r>
          </w:p>
        </w:tc>
        <w:tc>
          <w:tcPr>
            <w:tcW w:w="573" w:type="pct"/>
            <w:tcBorders>
              <w:top w:val="single" w:sz="4" w:space="0" w:color="auto"/>
              <w:left w:val="single" w:sz="4" w:space="0" w:color="auto"/>
              <w:bottom w:val="single" w:sz="4" w:space="0" w:color="auto"/>
              <w:right w:val="single" w:sz="4" w:space="0" w:color="auto"/>
            </w:tcBorders>
          </w:tcPr>
          <w:p w14:paraId="67A0234A" w14:textId="77777777" w:rsidR="000923BB" w:rsidRPr="00A5425E" w:rsidRDefault="000923BB" w:rsidP="003A385F">
            <w:pPr>
              <w:rPr>
                <w:rFonts w:cs="Arial"/>
                <w:sz w:val="18"/>
                <w:szCs w:val="18"/>
              </w:rPr>
            </w:pPr>
            <w:r w:rsidRPr="00A5425E">
              <w:rPr>
                <w:rFonts w:cs="Arial"/>
                <w:sz w:val="18"/>
                <w:szCs w:val="18"/>
              </w:rPr>
              <w:t>18.6</w:t>
            </w:r>
          </w:p>
        </w:tc>
        <w:tc>
          <w:tcPr>
            <w:tcW w:w="535" w:type="pct"/>
            <w:tcBorders>
              <w:top w:val="single" w:sz="4" w:space="0" w:color="auto"/>
              <w:left w:val="single" w:sz="4" w:space="0" w:color="auto"/>
              <w:bottom w:val="single" w:sz="4" w:space="0" w:color="auto"/>
              <w:right w:val="single" w:sz="4" w:space="0" w:color="auto"/>
            </w:tcBorders>
          </w:tcPr>
          <w:p w14:paraId="0576C7A5" w14:textId="77777777" w:rsidR="000923BB" w:rsidRPr="00A5425E" w:rsidRDefault="000923BB" w:rsidP="003A385F">
            <w:pPr>
              <w:rPr>
                <w:rFonts w:cs="Arial"/>
                <w:sz w:val="18"/>
                <w:szCs w:val="18"/>
              </w:rPr>
            </w:pPr>
            <w:r w:rsidRPr="00A5425E">
              <w:rPr>
                <w:rFonts w:cs="Arial"/>
                <w:sz w:val="18"/>
                <w:szCs w:val="18"/>
              </w:rPr>
              <w:t>9.3</w:t>
            </w:r>
          </w:p>
        </w:tc>
        <w:tc>
          <w:tcPr>
            <w:tcW w:w="537" w:type="pct"/>
            <w:tcBorders>
              <w:top w:val="single" w:sz="4" w:space="0" w:color="auto"/>
              <w:left w:val="single" w:sz="4" w:space="0" w:color="auto"/>
              <w:bottom w:val="single" w:sz="4" w:space="0" w:color="auto"/>
              <w:right w:val="single" w:sz="4" w:space="0" w:color="auto"/>
            </w:tcBorders>
          </w:tcPr>
          <w:p w14:paraId="38D5BEC9" w14:textId="77777777" w:rsidR="000923BB" w:rsidRPr="00A5425E" w:rsidRDefault="000923BB" w:rsidP="003A385F">
            <w:pPr>
              <w:rPr>
                <w:rFonts w:cs="Arial"/>
                <w:sz w:val="18"/>
                <w:szCs w:val="18"/>
              </w:rPr>
            </w:pPr>
            <w:r w:rsidRPr="00A5425E">
              <w:rPr>
                <w:rFonts w:cs="Arial"/>
                <w:sz w:val="18"/>
                <w:szCs w:val="18"/>
              </w:rPr>
              <w:t>2 - 60</w:t>
            </w:r>
          </w:p>
        </w:tc>
        <w:tc>
          <w:tcPr>
            <w:tcW w:w="535" w:type="pct"/>
            <w:tcBorders>
              <w:top w:val="single" w:sz="4" w:space="0" w:color="auto"/>
              <w:left w:val="single" w:sz="4" w:space="0" w:color="auto"/>
              <w:bottom w:val="single" w:sz="4" w:space="0" w:color="auto"/>
              <w:right w:val="single" w:sz="4" w:space="0" w:color="auto"/>
            </w:tcBorders>
          </w:tcPr>
          <w:p w14:paraId="7B05078C" w14:textId="77777777" w:rsidR="000923BB" w:rsidRPr="00A5425E" w:rsidRDefault="000923BB" w:rsidP="003A385F">
            <w:pPr>
              <w:rPr>
                <w:rFonts w:cs="Arial"/>
                <w:sz w:val="18"/>
                <w:szCs w:val="18"/>
              </w:rPr>
            </w:pPr>
            <w:r w:rsidRPr="00A5425E">
              <w:rPr>
                <w:rFonts w:cs="Arial"/>
                <w:sz w:val="18"/>
                <w:szCs w:val="18"/>
              </w:rPr>
              <w:t>6.73</w:t>
            </w:r>
          </w:p>
        </w:tc>
        <w:tc>
          <w:tcPr>
            <w:tcW w:w="537" w:type="pct"/>
            <w:tcBorders>
              <w:top w:val="single" w:sz="4" w:space="0" w:color="auto"/>
              <w:left w:val="single" w:sz="4" w:space="0" w:color="auto"/>
              <w:bottom w:val="single" w:sz="4" w:space="0" w:color="auto"/>
              <w:right w:val="single" w:sz="4" w:space="0" w:color="auto"/>
            </w:tcBorders>
          </w:tcPr>
          <w:p w14:paraId="0AFF8098" w14:textId="77777777" w:rsidR="000923BB" w:rsidRPr="00A5425E" w:rsidRDefault="000923BB" w:rsidP="003A385F">
            <w:pPr>
              <w:rPr>
                <w:rFonts w:cs="Arial"/>
                <w:sz w:val="18"/>
                <w:szCs w:val="18"/>
              </w:rPr>
            </w:pPr>
            <w:r w:rsidRPr="00A5425E">
              <w:rPr>
                <w:rFonts w:cs="Arial"/>
                <w:sz w:val="18"/>
                <w:szCs w:val="18"/>
              </w:rPr>
              <w:t>3.62</w:t>
            </w:r>
          </w:p>
        </w:tc>
        <w:tc>
          <w:tcPr>
            <w:tcW w:w="534" w:type="pct"/>
            <w:tcBorders>
              <w:top w:val="single" w:sz="4" w:space="0" w:color="auto"/>
              <w:left w:val="single" w:sz="4" w:space="0" w:color="auto"/>
              <w:bottom w:val="single" w:sz="4" w:space="0" w:color="auto"/>
              <w:right w:val="single" w:sz="4" w:space="0" w:color="auto"/>
            </w:tcBorders>
          </w:tcPr>
          <w:p w14:paraId="06F50F14" w14:textId="77777777" w:rsidR="000923BB" w:rsidRPr="00A5425E" w:rsidRDefault="000923BB" w:rsidP="003A385F">
            <w:pPr>
              <w:rPr>
                <w:rFonts w:cs="Arial"/>
                <w:sz w:val="18"/>
                <w:szCs w:val="18"/>
              </w:rPr>
            </w:pPr>
            <w:r w:rsidRPr="00A5425E">
              <w:rPr>
                <w:rFonts w:cs="Arial"/>
                <w:sz w:val="18"/>
                <w:szCs w:val="18"/>
              </w:rPr>
              <w:t>0.67 – 27.00</w:t>
            </w:r>
          </w:p>
        </w:tc>
      </w:tr>
      <w:tr w:rsidR="00784AC3" w14:paraId="311E1301" w14:textId="77777777" w:rsidTr="00784AC3">
        <w:trPr>
          <w:trHeight w:val="787"/>
        </w:trPr>
        <w:tc>
          <w:tcPr>
            <w:tcW w:w="714" w:type="pct"/>
            <w:tcBorders>
              <w:top w:val="single" w:sz="4" w:space="0" w:color="auto"/>
              <w:left w:val="single" w:sz="4" w:space="0" w:color="auto"/>
              <w:bottom w:val="single" w:sz="4" w:space="0" w:color="auto"/>
              <w:right w:val="single" w:sz="4" w:space="0" w:color="auto"/>
            </w:tcBorders>
          </w:tcPr>
          <w:p w14:paraId="58E14EE4" w14:textId="77777777" w:rsidR="000923BB" w:rsidRPr="00A5425E" w:rsidRDefault="000923BB" w:rsidP="003A385F">
            <w:pPr>
              <w:rPr>
                <w:rFonts w:cs="Arial"/>
                <w:sz w:val="18"/>
                <w:szCs w:val="18"/>
              </w:rPr>
            </w:pPr>
            <w:r w:rsidRPr="00A5425E">
              <w:rPr>
                <w:rFonts w:cs="Arial"/>
                <w:sz w:val="18"/>
                <w:szCs w:val="18"/>
              </w:rPr>
              <w:t>COPD</w:t>
            </w:r>
          </w:p>
        </w:tc>
        <w:tc>
          <w:tcPr>
            <w:tcW w:w="536" w:type="pct"/>
            <w:tcBorders>
              <w:top w:val="single" w:sz="4" w:space="0" w:color="auto"/>
              <w:left w:val="single" w:sz="4" w:space="0" w:color="auto"/>
              <w:bottom w:val="single" w:sz="4" w:space="0" w:color="auto"/>
              <w:right w:val="single" w:sz="4" w:space="0" w:color="auto"/>
            </w:tcBorders>
          </w:tcPr>
          <w:p w14:paraId="569C683B" w14:textId="77777777" w:rsidR="000923BB" w:rsidRPr="00A5425E" w:rsidRDefault="000923BB" w:rsidP="003A385F">
            <w:pPr>
              <w:rPr>
                <w:rFonts w:cs="Arial"/>
                <w:i/>
                <w:iCs/>
                <w:sz w:val="18"/>
                <w:szCs w:val="18"/>
              </w:rPr>
            </w:pPr>
            <w:r w:rsidRPr="00A5425E">
              <w:rPr>
                <w:rFonts w:cs="Arial"/>
                <w:sz w:val="18"/>
                <w:szCs w:val="18"/>
              </w:rPr>
              <w:t>Non-clinical</w:t>
            </w:r>
          </w:p>
        </w:tc>
        <w:tc>
          <w:tcPr>
            <w:tcW w:w="498" w:type="pct"/>
            <w:tcBorders>
              <w:top w:val="single" w:sz="4" w:space="0" w:color="auto"/>
              <w:left w:val="single" w:sz="4" w:space="0" w:color="auto"/>
              <w:bottom w:val="single" w:sz="4" w:space="0" w:color="auto"/>
              <w:right w:val="single" w:sz="4" w:space="0" w:color="auto"/>
            </w:tcBorders>
          </w:tcPr>
          <w:p w14:paraId="49578363" w14:textId="77777777" w:rsidR="000923BB" w:rsidRPr="00A5425E" w:rsidRDefault="000923BB" w:rsidP="003A385F">
            <w:pPr>
              <w:rPr>
                <w:rFonts w:cs="Arial"/>
                <w:sz w:val="18"/>
                <w:szCs w:val="18"/>
              </w:rPr>
            </w:pPr>
            <w:r w:rsidRPr="00A5425E">
              <w:rPr>
                <w:rFonts w:cs="Arial"/>
                <w:sz w:val="18"/>
                <w:szCs w:val="18"/>
              </w:rPr>
              <w:t>268</w:t>
            </w:r>
          </w:p>
          <w:p w14:paraId="3D5852A5" w14:textId="77777777" w:rsidR="000923BB" w:rsidRPr="00A5425E" w:rsidRDefault="000923BB" w:rsidP="003A385F">
            <w:pPr>
              <w:rPr>
                <w:rFonts w:cs="Arial"/>
                <w:i/>
                <w:iCs/>
                <w:sz w:val="18"/>
                <w:szCs w:val="18"/>
              </w:rPr>
            </w:pPr>
            <w:r w:rsidRPr="00A5425E">
              <w:rPr>
                <w:rFonts w:cs="Arial"/>
                <w:sz w:val="18"/>
                <w:szCs w:val="18"/>
              </w:rPr>
              <w:t>(3)</w:t>
            </w:r>
          </w:p>
        </w:tc>
        <w:tc>
          <w:tcPr>
            <w:tcW w:w="573" w:type="pct"/>
            <w:tcBorders>
              <w:top w:val="single" w:sz="4" w:space="0" w:color="auto"/>
              <w:left w:val="single" w:sz="4" w:space="0" w:color="auto"/>
              <w:bottom w:val="single" w:sz="4" w:space="0" w:color="auto"/>
              <w:right w:val="single" w:sz="4" w:space="0" w:color="auto"/>
            </w:tcBorders>
          </w:tcPr>
          <w:p w14:paraId="00674A14" w14:textId="77777777" w:rsidR="000923BB" w:rsidRPr="00A5425E" w:rsidRDefault="000923BB" w:rsidP="003A385F">
            <w:pPr>
              <w:rPr>
                <w:rFonts w:cs="Arial"/>
                <w:sz w:val="18"/>
                <w:szCs w:val="18"/>
              </w:rPr>
            </w:pPr>
            <w:r w:rsidRPr="00A5425E">
              <w:rPr>
                <w:rFonts w:cs="Arial"/>
                <w:sz w:val="18"/>
                <w:szCs w:val="18"/>
              </w:rPr>
              <w:t>34.12</w:t>
            </w:r>
          </w:p>
        </w:tc>
        <w:tc>
          <w:tcPr>
            <w:tcW w:w="535" w:type="pct"/>
            <w:tcBorders>
              <w:top w:val="single" w:sz="4" w:space="0" w:color="auto"/>
              <w:left w:val="single" w:sz="4" w:space="0" w:color="auto"/>
              <w:bottom w:val="single" w:sz="4" w:space="0" w:color="auto"/>
              <w:right w:val="single" w:sz="4" w:space="0" w:color="auto"/>
            </w:tcBorders>
          </w:tcPr>
          <w:p w14:paraId="15919558" w14:textId="77777777" w:rsidR="000923BB" w:rsidRPr="00A5425E" w:rsidRDefault="000923BB" w:rsidP="003A385F">
            <w:pPr>
              <w:rPr>
                <w:rFonts w:cs="Arial"/>
                <w:sz w:val="18"/>
                <w:szCs w:val="18"/>
              </w:rPr>
            </w:pPr>
            <w:r w:rsidRPr="00A5425E">
              <w:rPr>
                <w:rFonts w:cs="Arial"/>
                <w:sz w:val="18"/>
                <w:szCs w:val="18"/>
              </w:rPr>
              <w:t>16.7</w:t>
            </w:r>
          </w:p>
        </w:tc>
        <w:tc>
          <w:tcPr>
            <w:tcW w:w="537" w:type="pct"/>
            <w:tcBorders>
              <w:top w:val="single" w:sz="4" w:space="0" w:color="auto"/>
              <w:left w:val="single" w:sz="4" w:space="0" w:color="auto"/>
              <w:bottom w:val="single" w:sz="4" w:space="0" w:color="auto"/>
              <w:right w:val="single" w:sz="4" w:space="0" w:color="auto"/>
            </w:tcBorders>
          </w:tcPr>
          <w:p w14:paraId="0D1B0DAA" w14:textId="77777777" w:rsidR="000923BB" w:rsidRPr="00A5425E" w:rsidRDefault="000923BB" w:rsidP="003A385F">
            <w:pPr>
              <w:rPr>
                <w:rFonts w:cs="Arial"/>
                <w:sz w:val="18"/>
                <w:szCs w:val="18"/>
              </w:rPr>
            </w:pPr>
            <w:r w:rsidRPr="00A5425E">
              <w:rPr>
                <w:rFonts w:cs="Arial"/>
                <w:sz w:val="18"/>
                <w:szCs w:val="18"/>
              </w:rPr>
              <w:t>5 - 105</w:t>
            </w:r>
          </w:p>
        </w:tc>
        <w:tc>
          <w:tcPr>
            <w:tcW w:w="535" w:type="pct"/>
            <w:tcBorders>
              <w:top w:val="single" w:sz="4" w:space="0" w:color="auto"/>
              <w:left w:val="single" w:sz="4" w:space="0" w:color="auto"/>
              <w:bottom w:val="single" w:sz="4" w:space="0" w:color="auto"/>
              <w:right w:val="single" w:sz="4" w:space="0" w:color="auto"/>
            </w:tcBorders>
          </w:tcPr>
          <w:p w14:paraId="61E7F98B" w14:textId="77777777" w:rsidR="000923BB" w:rsidRPr="00A5425E" w:rsidRDefault="000923BB" w:rsidP="003A385F">
            <w:pPr>
              <w:rPr>
                <w:rFonts w:cs="Arial"/>
                <w:sz w:val="18"/>
                <w:szCs w:val="18"/>
              </w:rPr>
            </w:pPr>
            <w:r w:rsidRPr="00A5425E">
              <w:rPr>
                <w:rFonts w:cs="Arial"/>
                <w:sz w:val="18"/>
                <w:szCs w:val="18"/>
              </w:rPr>
              <w:t>8.53</w:t>
            </w:r>
          </w:p>
        </w:tc>
        <w:tc>
          <w:tcPr>
            <w:tcW w:w="537" w:type="pct"/>
            <w:tcBorders>
              <w:top w:val="single" w:sz="4" w:space="0" w:color="auto"/>
              <w:left w:val="single" w:sz="4" w:space="0" w:color="auto"/>
              <w:bottom w:val="single" w:sz="4" w:space="0" w:color="auto"/>
              <w:right w:val="single" w:sz="4" w:space="0" w:color="auto"/>
            </w:tcBorders>
          </w:tcPr>
          <w:p w14:paraId="1B5D4423" w14:textId="77777777" w:rsidR="000923BB" w:rsidRPr="00A5425E" w:rsidRDefault="000923BB" w:rsidP="003A385F">
            <w:pPr>
              <w:rPr>
                <w:rFonts w:cs="Arial"/>
                <w:sz w:val="18"/>
                <w:szCs w:val="18"/>
              </w:rPr>
            </w:pPr>
            <w:r w:rsidRPr="00A5425E">
              <w:rPr>
                <w:rFonts w:cs="Arial"/>
                <w:sz w:val="18"/>
                <w:szCs w:val="18"/>
              </w:rPr>
              <w:t>4.17</w:t>
            </w:r>
          </w:p>
        </w:tc>
        <w:tc>
          <w:tcPr>
            <w:tcW w:w="534" w:type="pct"/>
            <w:tcBorders>
              <w:top w:val="single" w:sz="4" w:space="0" w:color="auto"/>
              <w:left w:val="single" w:sz="4" w:space="0" w:color="auto"/>
              <w:bottom w:val="single" w:sz="4" w:space="0" w:color="auto"/>
              <w:right w:val="single" w:sz="4" w:space="0" w:color="auto"/>
            </w:tcBorders>
          </w:tcPr>
          <w:p w14:paraId="640BBB52" w14:textId="77777777" w:rsidR="000923BB" w:rsidRPr="00A5425E" w:rsidRDefault="000923BB" w:rsidP="003A385F">
            <w:pPr>
              <w:rPr>
                <w:rFonts w:cs="Arial"/>
                <w:sz w:val="18"/>
                <w:szCs w:val="18"/>
              </w:rPr>
            </w:pPr>
            <w:r w:rsidRPr="00A5425E">
              <w:rPr>
                <w:rFonts w:cs="Arial"/>
                <w:sz w:val="18"/>
                <w:szCs w:val="18"/>
              </w:rPr>
              <w:t>1.25 – 26.25</w:t>
            </w:r>
          </w:p>
        </w:tc>
      </w:tr>
      <w:tr w:rsidR="00784AC3" w14:paraId="5D513E35" w14:textId="77777777" w:rsidTr="00784AC3">
        <w:trPr>
          <w:trHeight w:val="778"/>
        </w:trPr>
        <w:tc>
          <w:tcPr>
            <w:tcW w:w="714" w:type="pct"/>
            <w:tcBorders>
              <w:top w:val="single" w:sz="4" w:space="0" w:color="auto"/>
              <w:left w:val="single" w:sz="4" w:space="0" w:color="auto"/>
              <w:bottom w:val="single" w:sz="4" w:space="0" w:color="auto"/>
              <w:right w:val="single" w:sz="4" w:space="0" w:color="auto"/>
            </w:tcBorders>
          </w:tcPr>
          <w:p w14:paraId="69CBDB83" w14:textId="77777777" w:rsidR="000923BB" w:rsidRPr="00A5425E" w:rsidRDefault="000923BB" w:rsidP="003A385F">
            <w:pPr>
              <w:rPr>
                <w:rFonts w:cs="Arial"/>
                <w:sz w:val="18"/>
                <w:szCs w:val="18"/>
              </w:rPr>
            </w:pPr>
          </w:p>
        </w:tc>
        <w:tc>
          <w:tcPr>
            <w:tcW w:w="536" w:type="pct"/>
            <w:tcBorders>
              <w:top w:val="single" w:sz="4" w:space="0" w:color="auto"/>
              <w:left w:val="single" w:sz="4" w:space="0" w:color="auto"/>
              <w:bottom w:val="single" w:sz="4" w:space="0" w:color="auto"/>
              <w:right w:val="single" w:sz="4" w:space="0" w:color="auto"/>
            </w:tcBorders>
          </w:tcPr>
          <w:p w14:paraId="4CB11BBD" w14:textId="77777777" w:rsidR="000923BB" w:rsidRPr="00A5425E" w:rsidRDefault="000923BB" w:rsidP="003A385F">
            <w:pPr>
              <w:rPr>
                <w:rFonts w:cs="Arial"/>
                <w:i/>
                <w:iCs/>
                <w:sz w:val="18"/>
                <w:szCs w:val="18"/>
              </w:rPr>
            </w:pPr>
            <w:r w:rsidRPr="00A5425E">
              <w:rPr>
                <w:rFonts w:cs="Arial"/>
                <w:i/>
                <w:iCs/>
                <w:sz w:val="18"/>
                <w:szCs w:val="18"/>
              </w:rPr>
              <w:t xml:space="preserve">All reviews </w:t>
            </w:r>
          </w:p>
        </w:tc>
        <w:tc>
          <w:tcPr>
            <w:tcW w:w="498" w:type="pct"/>
            <w:tcBorders>
              <w:top w:val="single" w:sz="4" w:space="0" w:color="auto"/>
              <w:left w:val="single" w:sz="4" w:space="0" w:color="auto"/>
              <w:bottom w:val="single" w:sz="4" w:space="0" w:color="auto"/>
              <w:right w:val="single" w:sz="4" w:space="0" w:color="auto"/>
            </w:tcBorders>
          </w:tcPr>
          <w:p w14:paraId="4181F1C2" w14:textId="77777777" w:rsidR="000923BB" w:rsidRPr="00A5425E" w:rsidRDefault="000923BB" w:rsidP="003A385F">
            <w:pPr>
              <w:rPr>
                <w:rFonts w:cs="Arial"/>
                <w:i/>
                <w:iCs/>
                <w:sz w:val="18"/>
                <w:szCs w:val="18"/>
              </w:rPr>
            </w:pPr>
            <w:r w:rsidRPr="00A5425E">
              <w:rPr>
                <w:rFonts w:cs="Arial"/>
                <w:i/>
                <w:iCs/>
                <w:sz w:val="18"/>
                <w:szCs w:val="18"/>
              </w:rPr>
              <w:t>881</w:t>
            </w:r>
          </w:p>
          <w:p w14:paraId="31247FFC" w14:textId="77777777" w:rsidR="000923BB" w:rsidRPr="00A5425E" w:rsidRDefault="000923BB" w:rsidP="003A385F">
            <w:pPr>
              <w:rPr>
                <w:rFonts w:cs="Arial"/>
                <w:i/>
                <w:iCs/>
                <w:sz w:val="18"/>
                <w:szCs w:val="18"/>
              </w:rPr>
            </w:pPr>
            <w:r w:rsidRPr="00A5425E">
              <w:rPr>
                <w:rFonts w:cs="Arial"/>
                <w:i/>
                <w:iCs/>
                <w:sz w:val="18"/>
                <w:szCs w:val="18"/>
              </w:rPr>
              <w:t>(20)</w:t>
            </w:r>
          </w:p>
        </w:tc>
        <w:tc>
          <w:tcPr>
            <w:tcW w:w="573" w:type="pct"/>
            <w:tcBorders>
              <w:top w:val="single" w:sz="4" w:space="0" w:color="auto"/>
              <w:left w:val="single" w:sz="4" w:space="0" w:color="auto"/>
              <w:bottom w:val="single" w:sz="4" w:space="0" w:color="auto"/>
              <w:right w:val="single" w:sz="4" w:space="0" w:color="auto"/>
            </w:tcBorders>
          </w:tcPr>
          <w:p w14:paraId="604EBE96" w14:textId="77777777" w:rsidR="000923BB" w:rsidRPr="00A5425E" w:rsidRDefault="000923BB" w:rsidP="003A385F">
            <w:pPr>
              <w:rPr>
                <w:rFonts w:cs="Arial"/>
                <w:sz w:val="18"/>
                <w:szCs w:val="18"/>
              </w:rPr>
            </w:pPr>
          </w:p>
        </w:tc>
        <w:tc>
          <w:tcPr>
            <w:tcW w:w="535" w:type="pct"/>
            <w:tcBorders>
              <w:top w:val="single" w:sz="4" w:space="0" w:color="auto"/>
              <w:left w:val="single" w:sz="4" w:space="0" w:color="auto"/>
              <w:bottom w:val="single" w:sz="4" w:space="0" w:color="auto"/>
              <w:right w:val="single" w:sz="4" w:space="0" w:color="auto"/>
            </w:tcBorders>
          </w:tcPr>
          <w:p w14:paraId="47F26ABE" w14:textId="77777777" w:rsidR="000923BB" w:rsidRPr="00A5425E" w:rsidRDefault="000923BB" w:rsidP="003A385F">
            <w:pPr>
              <w:rPr>
                <w:rFonts w:cs="Arial"/>
                <w:sz w:val="18"/>
                <w:szCs w:val="18"/>
              </w:rPr>
            </w:pPr>
          </w:p>
        </w:tc>
        <w:tc>
          <w:tcPr>
            <w:tcW w:w="537" w:type="pct"/>
            <w:tcBorders>
              <w:top w:val="single" w:sz="4" w:space="0" w:color="auto"/>
              <w:left w:val="single" w:sz="4" w:space="0" w:color="auto"/>
              <w:bottom w:val="single" w:sz="4" w:space="0" w:color="auto"/>
              <w:right w:val="single" w:sz="4" w:space="0" w:color="auto"/>
            </w:tcBorders>
          </w:tcPr>
          <w:p w14:paraId="39F5C43B" w14:textId="77777777" w:rsidR="000923BB" w:rsidRPr="00A5425E" w:rsidRDefault="000923BB" w:rsidP="003A385F">
            <w:pPr>
              <w:rPr>
                <w:rFonts w:cs="Arial"/>
                <w:sz w:val="18"/>
                <w:szCs w:val="18"/>
              </w:rPr>
            </w:pPr>
          </w:p>
        </w:tc>
        <w:tc>
          <w:tcPr>
            <w:tcW w:w="535" w:type="pct"/>
            <w:tcBorders>
              <w:top w:val="single" w:sz="4" w:space="0" w:color="auto"/>
              <w:left w:val="single" w:sz="4" w:space="0" w:color="auto"/>
              <w:bottom w:val="single" w:sz="4" w:space="0" w:color="auto"/>
              <w:right w:val="single" w:sz="4" w:space="0" w:color="auto"/>
            </w:tcBorders>
          </w:tcPr>
          <w:p w14:paraId="2475D0AB" w14:textId="77777777" w:rsidR="000923BB" w:rsidRPr="00A5425E" w:rsidRDefault="000923BB" w:rsidP="003A385F">
            <w:pPr>
              <w:rPr>
                <w:rFonts w:cs="Arial"/>
                <w:sz w:val="18"/>
                <w:szCs w:val="18"/>
              </w:rPr>
            </w:pPr>
          </w:p>
        </w:tc>
        <w:tc>
          <w:tcPr>
            <w:tcW w:w="537" w:type="pct"/>
            <w:tcBorders>
              <w:top w:val="single" w:sz="4" w:space="0" w:color="auto"/>
              <w:left w:val="single" w:sz="4" w:space="0" w:color="auto"/>
              <w:bottom w:val="single" w:sz="4" w:space="0" w:color="auto"/>
              <w:right w:val="single" w:sz="4" w:space="0" w:color="auto"/>
            </w:tcBorders>
          </w:tcPr>
          <w:p w14:paraId="56D303AA" w14:textId="77777777" w:rsidR="000923BB" w:rsidRPr="00A5425E" w:rsidRDefault="000923BB" w:rsidP="003A385F">
            <w:pPr>
              <w:rPr>
                <w:rFonts w:cs="Arial"/>
                <w:sz w:val="18"/>
                <w:szCs w:val="18"/>
              </w:rPr>
            </w:pPr>
          </w:p>
        </w:tc>
        <w:tc>
          <w:tcPr>
            <w:tcW w:w="534" w:type="pct"/>
            <w:tcBorders>
              <w:top w:val="single" w:sz="4" w:space="0" w:color="auto"/>
              <w:left w:val="single" w:sz="4" w:space="0" w:color="auto"/>
              <w:bottom w:val="single" w:sz="4" w:space="0" w:color="auto"/>
              <w:right w:val="single" w:sz="4" w:space="0" w:color="auto"/>
            </w:tcBorders>
          </w:tcPr>
          <w:p w14:paraId="78407EE6" w14:textId="77777777" w:rsidR="000923BB" w:rsidRPr="00A5425E" w:rsidRDefault="000923BB" w:rsidP="003A385F">
            <w:pPr>
              <w:rPr>
                <w:rFonts w:cs="Arial"/>
                <w:sz w:val="18"/>
                <w:szCs w:val="18"/>
              </w:rPr>
            </w:pPr>
          </w:p>
        </w:tc>
      </w:tr>
      <w:tr w:rsidR="00784AC3" w14:paraId="2F757F70" w14:textId="77777777" w:rsidTr="00784AC3">
        <w:trPr>
          <w:trHeight w:val="395"/>
        </w:trPr>
        <w:tc>
          <w:tcPr>
            <w:tcW w:w="714" w:type="pct"/>
            <w:tcBorders>
              <w:top w:val="single" w:sz="4" w:space="0" w:color="auto"/>
              <w:left w:val="single" w:sz="4" w:space="0" w:color="auto"/>
              <w:bottom w:val="single" w:sz="4" w:space="0" w:color="auto"/>
              <w:right w:val="single" w:sz="4" w:space="0" w:color="auto"/>
            </w:tcBorders>
          </w:tcPr>
          <w:p w14:paraId="10CC4C73" w14:textId="77777777" w:rsidR="000923BB" w:rsidRPr="00A5425E" w:rsidRDefault="000923BB" w:rsidP="003A385F">
            <w:pPr>
              <w:rPr>
                <w:rFonts w:cs="Arial"/>
                <w:sz w:val="18"/>
                <w:szCs w:val="18"/>
              </w:rPr>
            </w:pPr>
          </w:p>
        </w:tc>
        <w:tc>
          <w:tcPr>
            <w:tcW w:w="536" w:type="pct"/>
            <w:tcBorders>
              <w:top w:val="single" w:sz="4" w:space="0" w:color="auto"/>
              <w:left w:val="single" w:sz="4" w:space="0" w:color="auto"/>
              <w:bottom w:val="single" w:sz="4" w:space="0" w:color="auto"/>
              <w:right w:val="single" w:sz="4" w:space="0" w:color="auto"/>
            </w:tcBorders>
          </w:tcPr>
          <w:p w14:paraId="089D9F6A" w14:textId="77777777" w:rsidR="000923BB" w:rsidRPr="00A5425E" w:rsidRDefault="000923BB" w:rsidP="003A385F">
            <w:pPr>
              <w:rPr>
                <w:rFonts w:cs="Arial"/>
                <w:sz w:val="18"/>
                <w:szCs w:val="18"/>
              </w:rPr>
            </w:pPr>
          </w:p>
        </w:tc>
        <w:tc>
          <w:tcPr>
            <w:tcW w:w="498" w:type="pct"/>
            <w:tcBorders>
              <w:top w:val="single" w:sz="4" w:space="0" w:color="auto"/>
              <w:left w:val="single" w:sz="4" w:space="0" w:color="auto"/>
              <w:bottom w:val="single" w:sz="4" w:space="0" w:color="auto"/>
              <w:right w:val="single" w:sz="4" w:space="0" w:color="auto"/>
            </w:tcBorders>
          </w:tcPr>
          <w:p w14:paraId="21F94B80" w14:textId="77777777" w:rsidR="000923BB" w:rsidRPr="00A5425E" w:rsidRDefault="000923BB" w:rsidP="003A385F">
            <w:pPr>
              <w:rPr>
                <w:rFonts w:cs="Arial"/>
                <w:sz w:val="18"/>
                <w:szCs w:val="18"/>
              </w:rPr>
            </w:pPr>
          </w:p>
        </w:tc>
        <w:tc>
          <w:tcPr>
            <w:tcW w:w="573" w:type="pct"/>
            <w:tcBorders>
              <w:top w:val="single" w:sz="4" w:space="0" w:color="auto"/>
              <w:left w:val="single" w:sz="4" w:space="0" w:color="auto"/>
              <w:bottom w:val="single" w:sz="4" w:space="0" w:color="auto"/>
              <w:right w:val="single" w:sz="4" w:space="0" w:color="auto"/>
            </w:tcBorders>
          </w:tcPr>
          <w:p w14:paraId="73D2247F" w14:textId="77777777" w:rsidR="000923BB" w:rsidRPr="00A5425E" w:rsidRDefault="000923BB" w:rsidP="003A385F">
            <w:pPr>
              <w:rPr>
                <w:rFonts w:cs="Arial"/>
                <w:sz w:val="18"/>
                <w:szCs w:val="18"/>
              </w:rPr>
            </w:pPr>
          </w:p>
        </w:tc>
        <w:tc>
          <w:tcPr>
            <w:tcW w:w="535" w:type="pct"/>
            <w:tcBorders>
              <w:top w:val="single" w:sz="4" w:space="0" w:color="auto"/>
              <w:left w:val="single" w:sz="4" w:space="0" w:color="auto"/>
              <w:bottom w:val="single" w:sz="4" w:space="0" w:color="auto"/>
              <w:right w:val="single" w:sz="4" w:space="0" w:color="auto"/>
            </w:tcBorders>
          </w:tcPr>
          <w:p w14:paraId="5FCF026A" w14:textId="77777777" w:rsidR="000923BB" w:rsidRPr="00A5425E" w:rsidRDefault="000923BB" w:rsidP="003A385F">
            <w:pPr>
              <w:rPr>
                <w:rFonts w:cs="Arial"/>
                <w:sz w:val="18"/>
                <w:szCs w:val="18"/>
              </w:rPr>
            </w:pPr>
          </w:p>
        </w:tc>
        <w:tc>
          <w:tcPr>
            <w:tcW w:w="537" w:type="pct"/>
            <w:tcBorders>
              <w:top w:val="single" w:sz="4" w:space="0" w:color="auto"/>
              <w:left w:val="single" w:sz="4" w:space="0" w:color="auto"/>
              <w:bottom w:val="single" w:sz="4" w:space="0" w:color="auto"/>
              <w:right w:val="single" w:sz="4" w:space="0" w:color="auto"/>
            </w:tcBorders>
          </w:tcPr>
          <w:p w14:paraId="239C741A" w14:textId="77777777" w:rsidR="000923BB" w:rsidRPr="00A5425E" w:rsidRDefault="000923BB" w:rsidP="003A385F">
            <w:pPr>
              <w:rPr>
                <w:rFonts w:cs="Arial"/>
                <w:sz w:val="18"/>
                <w:szCs w:val="18"/>
              </w:rPr>
            </w:pPr>
          </w:p>
        </w:tc>
        <w:tc>
          <w:tcPr>
            <w:tcW w:w="535" w:type="pct"/>
            <w:tcBorders>
              <w:top w:val="single" w:sz="4" w:space="0" w:color="auto"/>
              <w:left w:val="single" w:sz="4" w:space="0" w:color="auto"/>
              <w:bottom w:val="single" w:sz="4" w:space="0" w:color="auto"/>
              <w:right w:val="single" w:sz="4" w:space="0" w:color="auto"/>
            </w:tcBorders>
          </w:tcPr>
          <w:p w14:paraId="441EC9E2" w14:textId="77777777" w:rsidR="000923BB" w:rsidRPr="00A5425E" w:rsidRDefault="000923BB" w:rsidP="003A385F">
            <w:pPr>
              <w:rPr>
                <w:rFonts w:cs="Arial"/>
                <w:sz w:val="18"/>
                <w:szCs w:val="18"/>
              </w:rPr>
            </w:pPr>
          </w:p>
        </w:tc>
        <w:tc>
          <w:tcPr>
            <w:tcW w:w="537" w:type="pct"/>
            <w:tcBorders>
              <w:top w:val="single" w:sz="4" w:space="0" w:color="auto"/>
              <w:left w:val="single" w:sz="4" w:space="0" w:color="auto"/>
              <w:bottom w:val="single" w:sz="4" w:space="0" w:color="auto"/>
              <w:right w:val="single" w:sz="4" w:space="0" w:color="auto"/>
            </w:tcBorders>
          </w:tcPr>
          <w:p w14:paraId="6C33C508" w14:textId="77777777" w:rsidR="000923BB" w:rsidRPr="00A5425E" w:rsidRDefault="000923BB" w:rsidP="003A385F">
            <w:pPr>
              <w:rPr>
                <w:rFonts w:cs="Arial"/>
                <w:sz w:val="18"/>
                <w:szCs w:val="18"/>
              </w:rPr>
            </w:pPr>
          </w:p>
        </w:tc>
        <w:tc>
          <w:tcPr>
            <w:tcW w:w="534" w:type="pct"/>
            <w:tcBorders>
              <w:top w:val="single" w:sz="4" w:space="0" w:color="auto"/>
              <w:left w:val="single" w:sz="4" w:space="0" w:color="auto"/>
              <w:bottom w:val="single" w:sz="4" w:space="0" w:color="auto"/>
              <w:right w:val="single" w:sz="4" w:space="0" w:color="auto"/>
            </w:tcBorders>
          </w:tcPr>
          <w:p w14:paraId="191AAD42" w14:textId="77777777" w:rsidR="000923BB" w:rsidRPr="00A5425E" w:rsidRDefault="000923BB" w:rsidP="003A385F">
            <w:pPr>
              <w:rPr>
                <w:rFonts w:cs="Arial"/>
                <w:sz w:val="18"/>
                <w:szCs w:val="18"/>
              </w:rPr>
            </w:pPr>
          </w:p>
        </w:tc>
      </w:tr>
      <w:tr w:rsidR="00784AC3" w14:paraId="25812889" w14:textId="77777777" w:rsidTr="00784AC3">
        <w:trPr>
          <w:trHeight w:val="787"/>
        </w:trPr>
        <w:tc>
          <w:tcPr>
            <w:tcW w:w="714" w:type="pct"/>
            <w:tcBorders>
              <w:top w:val="single" w:sz="4" w:space="0" w:color="auto"/>
              <w:left w:val="single" w:sz="4" w:space="0" w:color="auto"/>
              <w:bottom w:val="single" w:sz="4" w:space="0" w:color="auto"/>
              <w:right w:val="single" w:sz="4" w:space="0" w:color="auto"/>
            </w:tcBorders>
          </w:tcPr>
          <w:p w14:paraId="49A6C9F2" w14:textId="77777777" w:rsidR="000923BB" w:rsidRPr="00A5425E" w:rsidRDefault="000923BB" w:rsidP="003A385F">
            <w:pPr>
              <w:rPr>
                <w:rFonts w:cs="Arial"/>
                <w:sz w:val="18"/>
                <w:szCs w:val="18"/>
              </w:rPr>
            </w:pPr>
            <w:r w:rsidRPr="00A5425E">
              <w:rPr>
                <w:rFonts w:cs="Arial"/>
                <w:sz w:val="18"/>
                <w:szCs w:val="18"/>
              </w:rPr>
              <w:t>H</w:t>
            </w:r>
            <w:r>
              <w:rPr>
                <w:rFonts w:cs="Arial"/>
                <w:sz w:val="18"/>
                <w:szCs w:val="18"/>
              </w:rPr>
              <w:t xml:space="preserve">eart </w:t>
            </w:r>
            <w:r w:rsidRPr="00A5425E">
              <w:rPr>
                <w:rFonts w:cs="Arial"/>
                <w:sz w:val="18"/>
                <w:szCs w:val="18"/>
              </w:rPr>
              <w:t>F</w:t>
            </w:r>
            <w:r>
              <w:rPr>
                <w:rFonts w:cs="Arial"/>
                <w:sz w:val="18"/>
                <w:szCs w:val="18"/>
              </w:rPr>
              <w:t>ailure</w:t>
            </w:r>
          </w:p>
        </w:tc>
        <w:tc>
          <w:tcPr>
            <w:tcW w:w="536" w:type="pct"/>
            <w:tcBorders>
              <w:top w:val="single" w:sz="4" w:space="0" w:color="auto"/>
              <w:left w:val="single" w:sz="4" w:space="0" w:color="auto"/>
              <w:bottom w:val="single" w:sz="4" w:space="0" w:color="auto"/>
              <w:right w:val="single" w:sz="4" w:space="0" w:color="auto"/>
            </w:tcBorders>
          </w:tcPr>
          <w:p w14:paraId="1E9E3616" w14:textId="77777777" w:rsidR="000923BB" w:rsidRPr="00A5425E" w:rsidRDefault="000923BB" w:rsidP="003A385F">
            <w:pPr>
              <w:rPr>
                <w:rFonts w:cs="Arial"/>
                <w:sz w:val="18"/>
                <w:szCs w:val="18"/>
              </w:rPr>
            </w:pPr>
            <w:r w:rsidRPr="00A5425E">
              <w:rPr>
                <w:rFonts w:cs="Arial"/>
                <w:sz w:val="18"/>
                <w:szCs w:val="18"/>
              </w:rPr>
              <w:t>Doctors</w:t>
            </w:r>
          </w:p>
        </w:tc>
        <w:tc>
          <w:tcPr>
            <w:tcW w:w="498" w:type="pct"/>
            <w:tcBorders>
              <w:top w:val="single" w:sz="4" w:space="0" w:color="auto"/>
              <w:left w:val="single" w:sz="4" w:space="0" w:color="auto"/>
              <w:bottom w:val="single" w:sz="4" w:space="0" w:color="auto"/>
              <w:right w:val="single" w:sz="4" w:space="0" w:color="auto"/>
            </w:tcBorders>
          </w:tcPr>
          <w:p w14:paraId="368DB66C" w14:textId="77777777" w:rsidR="000923BB" w:rsidRPr="00A5425E" w:rsidRDefault="000923BB" w:rsidP="003A385F">
            <w:pPr>
              <w:rPr>
                <w:rFonts w:cs="Arial"/>
                <w:sz w:val="18"/>
                <w:szCs w:val="18"/>
              </w:rPr>
            </w:pPr>
            <w:r w:rsidRPr="00A5425E">
              <w:rPr>
                <w:rFonts w:cs="Arial"/>
                <w:sz w:val="18"/>
                <w:szCs w:val="18"/>
              </w:rPr>
              <w:t>309</w:t>
            </w:r>
          </w:p>
          <w:p w14:paraId="759C0B32" w14:textId="77777777" w:rsidR="000923BB" w:rsidRPr="00A5425E" w:rsidRDefault="000923BB" w:rsidP="003A385F">
            <w:pPr>
              <w:rPr>
                <w:rFonts w:cs="Arial"/>
                <w:sz w:val="18"/>
                <w:szCs w:val="18"/>
              </w:rPr>
            </w:pPr>
            <w:r w:rsidRPr="00A5425E">
              <w:rPr>
                <w:rFonts w:cs="Arial"/>
                <w:sz w:val="18"/>
                <w:szCs w:val="18"/>
              </w:rPr>
              <w:t>(21)</w:t>
            </w:r>
          </w:p>
        </w:tc>
        <w:tc>
          <w:tcPr>
            <w:tcW w:w="573" w:type="pct"/>
            <w:tcBorders>
              <w:top w:val="single" w:sz="4" w:space="0" w:color="auto"/>
              <w:left w:val="single" w:sz="4" w:space="0" w:color="auto"/>
              <w:bottom w:val="single" w:sz="4" w:space="0" w:color="auto"/>
              <w:right w:val="single" w:sz="4" w:space="0" w:color="auto"/>
            </w:tcBorders>
          </w:tcPr>
          <w:p w14:paraId="7E6685AE" w14:textId="77777777" w:rsidR="000923BB" w:rsidRPr="00A5425E" w:rsidRDefault="000923BB" w:rsidP="003A385F">
            <w:pPr>
              <w:rPr>
                <w:rFonts w:cs="Arial"/>
                <w:sz w:val="18"/>
                <w:szCs w:val="18"/>
              </w:rPr>
            </w:pPr>
            <w:r w:rsidRPr="00A5425E">
              <w:rPr>
                <w:rFonts w:cs="Arial"/>
                <w:sz w:val="18"/>
                <w:szCs w:val="18"/>
              </w:rPr>
              <w:t>24.1</w:t>
            </w:r>
          </w:p>
        </w:tc>
        <w:tc>
          <w:tcPr>
            <w:tcW w:w="535" w:type="pct"/>
            <w:tcBorders>
              <w:top w:val="single" w:sz="4" w:space="0" w:color="auto"/>
              <w:left w:val="single" w:sz="4" w:space="0" w:color="auto"/>
              <w:bottom w:val="single" w:sz="4" w:space="0" w:color="auto"/>
              <w:right w:val="single" w:sz="4" w:space="0" w:color="auto"/>
            </w:tcBorders>
          </w:tcPr>
          <w:p w14:paraId="3E23629E" w14:textId="77777777" w:rsidR="000923BB" w:rsidRPr="00A5425E" w:rsidRDefault="000923BB" w:rsidP="003A385F">
            <w:pPr>
              <w:rPr>
                <w:rFonts w:cs="Arial"/>
                <w:sz w:val="18"/>
                <w:szCs w:val="18"/>
              </w:rPr>
            </w:pPr>
            <w:r w:rsidRPr="00A5425E">
              <w:rPr>
                <w:rFonts w:cs="Arial"/>
                <w:sz w:val="18"/>
                <w:szCs w:val="18"/>
              </w:rPr>
              <w:t>10</w:t>
            </w:r>
          </w:p>
        </w:tc>
        <w:tc>
          <w:tcPr>
            <w:tcW w:w="537" w:type="pct"/>
            <w:tcBorders>
              <w:top w:val="single" w:sz="4" w:space="0" w:color="auto"/>
              <w:left w:val="single" w:sz="4" w:space="0" w:color="auto"/>
              <w:bottom w:val="single" w:sz="4" w:space="0" w:color="auto"/>
              <w:right w:val="single" w:sz="4" w:space="0" w:color="auto"/>
            </w:tcBorders>
          </w:tcPr>
          <w:p w14:paraId="6E8B0B5B" w14:textId="77777777" w:rsidR="000923BB" w:rsidRPr="00A5425E" w:rsidRDefault="000923BB" w:rsidP="003A385F">
            <w:pPr>
              <w:rPr>
                <w:rFonts w:cs="Arial"/>
                <w:sz w:val="18"/>
                <w:szCs w:val="18"/>
              </w:rPr>
            </w:pPr>
            <w:r w:rsidRPr="00A5425E">
              <w:rPr>
                <w:rFonts w:cs="Arial"/>
                <w:sz w:val="18"/>
                <w:szCs w:val="18"/>
              </w:rPr>
              <w:t>5 - 50</w:t>
            </w:r>
          </w:p>
        </w:tc>
        <w:tc>
          <w:tcPr>
            <w:tcW w:w="535" w:type="pct"/>
            <w:tcBorders>
              <w:top w:val="single" w:sz="4" w:space="0" w:color="auto"/>
              <w:left w:val="single" w:sz="4" w:space="0" w:color="auto"/>
              <w:bottom w:val="single" w:sz="4" w:space="0" w:color="auto"/>
              <w:right w:val="single" w:sz="4" w:space="0" w:color="auto"/>
            </w:tcBorders>
          </w:tcPr>
          <w:p w14:paraId="673F9898" w14:textId="77777777" w:rsidR="000923BB" w:rsidRPr="00A5425E" w:rsidRDefault="000923BB" w:rsidP="003A385F">
            <w:pPr>
              <w:rPr>
                <w:rFonts w:cs="Arial"/>
                <w:sz w:val="18"/>
                <w:szCs w:val="18"/>
              </w:rPr>
            </w:pPr>
            <w:r w:rsidRPr="00A5425E">
              <w:rPr>
                <w:rFonts w:cs="Arial"/>
                <w:sz w:val="18"/>
                <w:szCs w:val="18"/>
              </w:rPr>
              <w:t>12.96</w:t>
            </w:r>
          </w:p>
        </w:tc>
        <w:tc>
          <w:tcPr>
            <w:tcW w:w="537" w:type="pct"/>
            <w:tcBorders>
              <w:top w:val="single" w:sz="4" w:space="0" w:color="auto"/>
              <w:left w:val="single" w:sz="4" w:space="0" w:color="auto"/>
              <w:bottom w:val="single" w:sz="4" w:space="0" w:color="auto"/>
              <w:right w:val="single" w:sz="4" w:space="0" w:color="auto"/>
            </w:tcBorders>
          </w:tcPr>
          <w:p w14:paraId="0DCDE6D9" w14:textId="77777777" w:rsidR="000923BB" w:rsidRPr="00A5425E" w:rsidRDefault="000923BB" w:rsidP="003A385F">
            <w:pPr>
              <w:rPr>
                <w:rFonts w:cs="Arial"/>
                <w:sz w:val="18"/>
                <w:szCs w:val="18"/>
              </w:rPr>
            </w:pPr>
            <w:r w:rsidRPr="00A5425E">
              <w:rPr>
                <w:rFonts w:cs="Arial"/>
                <w:sz w:val="18"/>
                <w:szCs w:val="18"/>
              </w:rPr>
              <w:t>5.84</w:t>
            </w:r>
          </w:p>
        </w:tc>
        <w:tc>
          <w:tcPr>
            <w:tcW w:w="534" w:type="pct"/>
            <w:tcBorders>
              <w:top w:val="single" w:sz="4" w:space="0" w:color="auto"/>
              <w:left w:val="single" w:sz="4" w:space="0" w:color="auto"/>
              <w:bottom w:val="single" w:sz="4" w:space="0" w:color="auto"/>
              <w:right w:val="single" w:sz="4" w:space="0" w:color="auto"/>
            </w:tcBorders>
          </w:tcPr>
          <w:p w14:paraId="2F1DCE54" w14:textId="77777777" w:rsidR="000923BB" w:rsidRPr="00A5425E" w:rsidRDefault="000923BB" w:rsidP="003A385F">
            <w:pPr>
              <w:rPr>
                <w:rFonts w:cs="Arial"/>
                <w:sz w:val="18"/>
                <w:szCs w:val="18"/>
              </w:rPr>
            </w:pPr>
            <w:r w:rsidRPr="00A5425E">
              <w:rPr>
                <w:rFonts w:cs="Arial"/>
                <w:sz w:val="18"/>
                <w:szCs w:val="18"/>
              </w:rPr>
              <w:t>2.75 – 24.75</w:t>
            </w:r>
          </w:p>
        </w:tc>
      </w:tr>
      <w:tr w:rsidR="00784AC3" w14:paraId="3BCB233B" w14:textId="77777777" w:rsidTr="00784AC3">
        <w:trPr>
          <w:trHeight w:val="816"/>
        </w:trPr>
        <w:tc>
          <w:tcPr>
            <w:tcW w:w="714" w:type="pct"/>
            <w:tcBorders>
              <w:top w:val="single" w:sz="4" w:space="0" w:color="auto"/>
              <w:left w:val="single" w:sz="4" w:space="0" w:color="auto"/>
              <w:bottom w:val="single" w:sz="4" w:space="0" w:color="auto"/>
              <w:right w:val="single" w:sz="4" w:space="0" w:color="auto"/>
            </w:tcBorders>
          </w:tcPr>
          <w:p w14:paraId="66FCD633" w14:textId="77777777" w:rsidR="000923BB" w:rsidRPr="00A5425E" w:rsidRDefault="000923BB" w:rsidP="003A385F">
            <w:pPr>
              <w:rPr>
                <w:rFonts w:cs="Arial"/>
                <w:sz w:val="18"/>
                <w:szCs w:val="18"/>
              </w:rPr>
            </w:pPr>
            <w:r w:rsidRPr="00A5425E">
              <w:rPr>
                <w:rFonts w:cs="Arial"/>
                <w:sz w:val="18"/>
                <w:szCs w:val="18"/>
              </w:rPr>
              <w:t>H</w:t>
            </w:r>
            <w:r>
              <w:rPr>
                <w:rFonts w:cs="Arial"/>
                <w:sz w:val="18"/>
                <w:szCs w:val="18"/>
              </w:rPr>
              <w:t xml:space="preserve">eart </w:t>
            </w:r>
            <w:r w:rsidRPr="00A5425E">
              <w:rPr>
                <w:rFonts w:cs="Arial"/>
                <w:sz w:val="18"/>
                <w:szCs w:val="18"/>
              </w:rPr>
              <w:t>F</w:t>
            </w:r>
            <w:r>
              <w:rPr>
                <w:rFonts w:cs="Arial"/>
                <w:sz w:val="18"/>
                <w:szCs w:val="18"/>
              </w:rPr>
              <w:t>ailure</w:t>
            </w:r>
          </w:p>
        </w:tc>
        <w:tc>
          <w:tcPr>
            <w:tcW w:w="536" w:type="pct"/>
            <w:tcBorders>
              <w:top w:val="single" w:sz="4" w:space="0" w:color="auto"/>
              <w:left w:val="single" w:sz="4" w:space="0" w:color="auto"/>
              <w:bottom w:val="single" w:sz="4" w:space="0" w:color="auto"/>
              <w:right w:val="single" w:sz="4" w:space="0" w:color="auto"/>
            </w:tcBorders>
          </w:tcPr>
          <w:p w14:paraId="0CB258D8" w14:textId="77777777" w:rsidR="000923BB" w:rsidRPr="00A5425E" w:rsidRDefault="000923BB" w:rsidP="003A385F">
            <w:pPr>
              <w:rPr>
                <w:rFonts w:cs="Arial"/>
                <w:sz w:val="18"/>
                <w:szCs w:val="18"/>
              </w:rPr>
            </w:pPr>
            <w:r w:rsidRPr="00A5425E">
              <w:rPr>
                <w:rFonts w:cs="Arial"/>
                <w:sz w:val="18"/>
                <w:szCs w:val="18"/>
              </w:rPr>
              <w:t>Nurses/ Other Clinical</w:t>
            </w:r>
          </w:p>
        </w:tc>
        <w:tc>
          <w:tcPr>
            <w:tcW w:w="498" w:type="pct"/>
            <w:tcBorders>
              <w:top w:val="single" w:sz="4" w:space="0" w:color="auto"/>
              <w:left w:val="single" w:sz="4" w:space="0" w:color="auto"/>
              <w:bottom w:val="single" w:sz="4" w:space="0" w:color="auto"/>
              <w:right w:val="single" w:sz="4" w:space="0" w:color="auto"/>
            </w:tcBorders>
          </w:tcPr>
          <w:p w14:paraId="310702AD" w14:textId="77777777" w:rsidR="000923BB" w:rsidRPr="00A5425E" w:rsidRDefault="000923BB" w:rsidP="003A385F">
            <w:pPr>
              <w:rPr>
                <w:rFonts w:cs="Arial"/>
                <w:sz w:val="18"/>
                <w:szCs w:val="18"/>
              </w:rPr>
            </w:pPr>
            <w:r w:rsidRPr="00A5425E">
              <w:rPr>
                <w:rFonts w:cs="Arial"/>
                <w:sz w:val="18"/>
                <w:szCs w:val="18"/>
              </w:rPr>
              <w:t>177</w:t>
            </w:r>
          </w:p>
          <w:p w14:paraId="74FE8721" w14:textId="77777777" w:rsidR="000923BB" w:rsidRPr="00A5425E" w:rsidRDefault="000923BB" w:rsidP="003A385F">
            <w:pPr>
              <w:rPr>
                <w:rFonts w:cs="Arial"/>
                <w:sz w:val="18"/>
                <w:szCs w:val="18"/>
              </w:rPr>
            </w:pPr>
            <w:r w:rsidRPr="00A5425E">
              <w:rPr>
                <w:rFonts w:cs="Arial"/>
                <w:sz w:val="18"/>
                <w:szCs w:val="18"/>
              </w:rPr>
              <w:t>(3)</w:t>
            </w:r>
          </w:p>
        </w:tc>
        <w:tc>
          <w:tcPr>
            <w:tcW w:w="573" w:type="pct"/>
            <w:tcBorders>
              <w:top w:val="single" w:sz="4" w:space="0" w:color="auto"/>
              <w:left w:val="single" w:sz="4" w:space="0" w:color="auto"/>
              <w:bottom w:val="single" w:sz="4" w:space="0" w:color="auto"/>
              <w:right w:val="single" w:sz="4" w:space="0" w:color="auto"/>
            </w:tcBorders>
          </w:tcPr>
          <w:p w14:paraId="6392E67C" w14:textId="77777777" w:rsidR="000923BB" w:rsidRPr="00A5425E" w:rsidRDefault="000923BB" w:rsidP="003A385F">
            <w:pPr>
              <w:rPr>
                <w:rFonts w:cs="Arial"/>
                <w:sz w:val="18"/>
                <w:szCs w:val="18"/>
              </w:rPr>
            </w:pPr>
            <w:r w:rsidRPr="00A5425E">
              <w:rPr>
                <w:rFonts w:cs="Arial"/>
                <w:sz w:val="18"/>
                <w:szCs w:val="18"/>
              </w:rPr>
              <w:t>29</w:t>
            </w:r>
          </w:p>
        </w:tc>
        <w:tc>
          <w:tcPr>
            <w:tcW w:w="535" w:type="pct"/>
            <w:tcBorders>
              <w:top w:val="single" w:sz="4" w:space="0" w:color="auto"/>
              <w:left w:val="single" w:sz="4" w:space="0" w:color="auto"/>
              <w:bottom w:val="single" w:sz="4" w:space="0" w:color="auto"/>
              <w:right w:val="single" w:sz="4" w:space="0" w:color="auto"/>
            </w:tcBorders>
          </w:tcPr>
          <w:p w14:paraId="15A119A9" w14:textId="77777777" w:rsidR="000923BB" w:rsidRPr="00A5425E" w:rsidRDefault="000923BB" w:rsidP="003A385F">
            <w:pPr>
              <w:rPr>
                <w:rFonts w:cs="Arial"/>
                <w:sz w:val="18"/>
                <w:szCs w:val="18"/>
              </w:rPr>
            </w:pPr>
            <w:r w:rsidRPr="00A5425E">
              <w:rPr>
                <w:rFonts w:cs="Arial"/>
                <w:sz w:val="18"/>
                <w:szCs w:val="18"/>
              </w:rPr>
              <w:t>21</w:t>
            </w:r>
          </w:p>
        </w:tc>
        <w:tc>
          <w:tcPr>
            <w:tcW w:w="537" w:type="pct"/>
            <w:tcBorders>
              <w:top w:val="single" w:sz="4" w:space="0" w:color="auto"/>
              <w:left w:val="single" w:sz="4" w:space="0" w:color="auto"/>
              <w:bottom w:val="single" w:sz="4" w:space="0" w:color="auto"/>
              <w:right w:val="single" w:sz="4" w:space="0" w:color="auto"/>
            </w:tcBorders>
          </w:tcPr>
          <w:p w14:paraId="60623079" w14:textId="77777777" w:rsidR="000923BB" w:rsidRPr="00A5425E" w:rsidRDefault="000923BB" w:rsidP="003A385F">
            <w:pPr>
              <w:rPr>
                <w:rFonts w:cs="Arial"/>
                <w:sz w:val="18"/>
                <w:szCs w:val="18"/>
              </w:rPr>
            </w:pPr>
            <w:r w:rsidRPr="00A5425E">
              <w:rPr>
                <w:rFonts w:cs="Arial"/>
                <w:sz w:val="18"/>
                <w:szCs w:val="18"/>
              </w:rPr>
              <w:t>10 - 180</w:t>
            </w:r>
          </w:p>
        </w:tc>
        <w:tc>
          <w:tcPr>
            <w:tcW w:w="535" w:type="pct"/>
            <w:tcBorders>
              <w:top w:val="single" w:sz="4" w:space="0" w:color="auto"/>
              <w:left w:val="single" w:sz="4" w:space="0" w:color="auto"/>
              <w:bottom w:val="single" w:sz="4" w:space="0" w:color="auto"/>
              <w:right w:val="single" w:sz="4" w:space="0" w:color="auto"/>
            </w:tcBorders>
          </w:tcPr>
          <w:p w14:paraId="31EA881F" w14:textId="77777777" w:rsidR="000923BB" w:rsidRPr="00A5425E" w:rsidRDefault="000923BB" w:rsidP="003A385F">
            <w:pPr>
              <w:rPr>
                <w:rFonts w:cs="Arial"/>
                <w:sz w:val="18"/>
                <w:szCs w:val="18"/>
              </w:rPr>
            </w:pPr>
            <w:r w:rsidRPr="00A5425E">
              <w:rPr>
                <w:rFonts w:cs="Arial"/>
                <w:sz w:val="18"/>
                <w:szCs w:val="18"/>
              </w:rPr>
              <w:t>10.54</w:t>
            </w:r>
          </w:p>
        </w:tc>
        <w:tc>
          <w:tcPr>
            <w:tcW w:w="537" w:type="pct"/>
            <w:tcBorders>
              <w:top w:val="single" w:sz="4" w:space="0" w:color="auto"/>
              <w:left w:val="single" w:sz="4" w:space="0" w:color="auto"/>
              <w:bottom w:val="single" w:sz="4" w:space="0" w:color="auto"/>
              <w:right w:val="single" w:sz="4" w:space="0" w:color="auto"/>
            </w:tcBorders>
          </w:tcPr>
          <w:p w14:paraId="0D74D1E6" w14:textId="77777777" w:rsidR="000923BB" w:rsidRPr="00A5425E" w:rsidRDefault="000923BB" w:rsidP="003A385F">
            <w:pPr>
              <w:rPr>
                <w:rFonts w:cs="Arial"/>
                <w:sz w:val="18"/>
                <w:szCs w:val="18"/>
              </w:rPr>
            </w:pPr>
            <w:r w:rsidRPr="00A5425E">
              <w:rPr>
                <w:rFonts w:cs="Arial"/>
                <w:sz w:val="18"/>
                <w:szCs w:val="18"/>
              </w:rPr>
              <w:t>7.80</w:t>
            </w:r>
          </w:p>
        </w:tc>
        <w:tc>
          <w:tcPr>
            <w:tcW w:w="534" w:type="pct"/>
            <w:tcBorders>
              <w:top w:val="single" w:sz="4" w:space="0" w:color="auto"/>
              <w:left w:val="single" w:sz="4" w:space="0" w:color="auto"/>
              <w:bottom w:val="single" w:sz="4" w:space="0" w:color="auto"/>
              <w:right w:val="single" w:sz="4" w:space="0" w:color="auto"/>
            </w:tcBorders>
          </w:tcPr>
          <w:p w14:paraId="55A526B7" w14:textId="77777777" w:rsidR="000923BB" w:rsidRPr="00A5425E" w:rsidRDefault="000923BB" w:rsidP="003A385F">
            <w:pPr>
              <w:rPr>
                <w:rFonts w:cs="Arial"/>
                <w:sz w:val="18"/>
                <w:szCs w:val="18"/>
              </w:rPr>
            </w:pPr>
            <w:r w:rsidRPr="00A5425E">
              <w:rPr>
                <w:rFonts w:cs="Arial"/>
                <w:sz w:val="18"/>
                <w:szCs w:val="18"/>
              </w:rPr>
              <w:t>3.33 – 60.00</w:t>
            </w:r>
          </w:p>
        </w:tc>
      </w:tr>
      <w:tr w:rsidR="00784AC3" w14:paraId="0251AF58" w14:textId="77777777" w:rsidTr="00784AC3">
        <w:trPr>
          <w:trHeight w:val="778"/>
        </w:trPr>
        <w:tc>
          <w:tcPr>
            <w:tcW w:w="714" w:type="pct"/>
            <w:tcBorders>
              <w:top w:val="single" w:sz="4" w:space="0" w:color="auto"/>
              <w:left w:val="single" w:sz="4" w:space="0" w:color="auto"/>
              <w:bottom w:val="single" w:sz="4" w:space="0" w:color="auto"/>
              <w:right w:val="single" w:sz="4" w:space="0" w:color="auto"/>
            </w:tcBorders>
          </w:tcPr>
          <w:p w14:paraId="7B1365B9" w14:textId="77777777" w:rsidR="000923BB" w:rsidRPr="00A5425E" w:rsidRDefault="000923BB" w:rsidP="003A385F">
            <w:pPr>
              <w:rPr>
                <w:rFonts w:cs="Arial"/>
                <w:sz w:val="18"/>
                <w:szCs w:val="18"/>
              </w:rPr>
            </w:pPr>
            <w:r w:rsidRPr="00A5425E">
              <w:rPr>
                <w:rFonts w:cs="Arial"/>
                <w:sz w:val="18"/>
                <w:szCs w:val="18"/>
              </w:rPr>
              <w:t>H</w:t>
            </w:r>
            <w:r>
              <w:rPr>
                <w:rFonts w:cs="Arial"/>
                <w:sz w:val="18"/>
                <w:szCs w:val="18"/>
              </w:rPr>
              <w:t xml:space="preserve">eart </w:t>
            </w:r>
            <w:r w:rsidRPr="00A5425E">
              <w:rPr>
                <w:rFonts w:cs="Arial"/>
                <w:sz w:val="18"/>
                <w:szCs w:val="18"/>
              </w:rPr>
              <w:t>F</w:t>
            </w:r>
            <w:r>
              <w:rPr>
                <w:rFonts w:cs="Arial"/>
                <w:sz w:val="18"/>
                <w:szCs w:val="18"/>
              </w:rPr>
              <w:t>ailure</w:t>
            </w:r>
          </w:p>
        </w:tc>
        <w:tc>
          <w:tcPr>
            <w:tcW w:w="536" w:type="pct"/>
            <w:tcBorders>
              <w:top w:val="single" w:sz="4" w:space="0" w:color="auto"/>
              <w:left w:val="single" w:sz="4" w:space="0" w:color="auto"/>
              <w:bottom w:val="single" w:sz="4" w:space="0" w:color="auto"/>
              <w:right w:val="single" w:sz="4" w:space="0" w:color="auto"/>
            </w:tcBorders>
          </w:tcPr>
          <w:p w14:paraId="32325B80" w14:textId="77777777" w:rsidR="000923BB" w:rsidRPr="00A5425E" w:rsidRDefault="000923BB" w:rsidP="003A385F">
            <w:pPr>
              <w:rPr>
                <w:rFonts w:cs="Arial"/>
                <w:i/>
                <w:iCs/>
                <w:sz w:val="18"/>
                <w:szCs w:val="18"/>
              </w:rPr>
            </w:pPr>
            <w:r w:rsidRPr="00A5425E">
              <w:rPr>
                <w:rFonts w:cs="Arial"/>
                <w:sz w:val="18"/>
                <w:szCs w:val="18"/>
              </w:rPr>
              <w:t>Non-clinical</w:t>
            </w:r>
          </w:p>
        </w:tc>
        <w:tc>
          <w:tcPr>
            <w:tcW w:w="498" w:type="pct"/>
            <w:tcBorders>
              <w:top w:val="single" w:sz="4" w:space="0" w:color="auto"/>
              <w:left w:val="single" w:sz="4" w:space="0" w:color="auto"/>
              <w:bottom w:val="single" w:sz="4" w:space="0" w:color="auto"/>
              <w:right w:val="single" w:sz="4" w:space="0" w:color="auto"/>
            </w:tcBorders>
          </w:tcPr>
          <w:p w14:paraId="50ED098D" w14:textId="77777777" w:rsidR="000923BB" w:rsidRPr="00A5425E" w:rsidRDefault="000923BB" w:rsidP="003A385F">
            <w:pPr>
              <w:rPr>
                <w:rFonts w:cs="Arial"/>
                <w:sz w:val="18"/>
                <w:szCs w:val="18"/>
              </w:rPr>
            </w:pPr>
            <w:r w:rsidRPr="00A5425E">
              <w:rPr>
                <w:rFonts w:cs="Arial"/>
                <w:sz w:val="18"/>
                <w:szCs w:val="18"/>
              </w:rPr>
              <w:t>63</w:t>
            </w:r>
          </w:p>
          <w:p w14:paraId="30944E13" w14:textId="77777777" w:rsidR="000923BB" w:rsidRPr="00A5425E" w:rsidRDefault="000923BB" w:rsidP="003A385F">
            <w:pPr>
              <w:rPr>
                <w:rFonts w:cs="Arial"/>
                <w:i/>
                <w:iCs/>
                <w:color w:val="000000"/>
                <w:sz w:val="18"/>
                <w:szCs w:val="18"/>
              </w:rPr>
            </w:pPr>
            <w:r w:rsidRPr="00A5425E">
              <w:rPr>
                <w:rFonts w:cs="Arial"/>
                <w:sz w:val="18"/>
                <w:szCs w:val="18"/>
              </w:rPr>
              <w:t>(7)</w:t>
            </w:r>
          </w:p>
        </w:tc>
        <w:tc>
          <w:tcPr>
            <w:tcW w:w="573" w:type="pct"/>
            <w:tcBorders>
              <w:top w:val="single" w:sz="4" w:space="0" w:color="auto"/>
              <w:left w:val="single" w:sz="4" w:space="0" w:color="auto"/>
              <w:bottom w:val="single" w:sz="4" w:space="0" w:color="auto"/>
              <w:right w:val="single" w:sz="4" w:space="0" w:color="auto"/>
            </w:tcBorders>
          </w:tcPr>
          <w:p w14:paraId="4483FF4D" w14:textId="77777777" w:rsidR="000923BB" w:rsidRPr="00A5425E" w:rsidRDefault="000923BB" w:rsidP="003A385F">
            <w:pPr>
              <w:rPr>
                <w:rFonts w:cs="Arial"/>
                <w:sz w:val="18"/>
                <w:szCs w:val="18"/>
              </w:rPr>
            </w:pPr>
            <w:r w:rsidRPr="00A5425E">
              <w:rPr>
                <w:rFonts w:cs="Arial"/>
                <w:sz w:val="18"/>
                <w:szCs w:val="18"/>
              </w:rPr>
              <w:t>27.1</w:t>
            </w:r>
          </w:p>
        </w:tc>
        <w:tc>
          <w:tcPr>
            <w:tcW w:w="535" w:type="pct"/>
            <w:tcBorders>
              <w:top w:val="single" w:sz="4" w:space="0" w:color="auto"/>
              <w:left w:val="single" w:sz="4" w:space="0" w:color="auto"/>
              <w:bottom w:val="single" w:sz="4" w:space="0" w:color="auto"/>
              <w:right w:val="single" w:sz="4" w:space="0" w:color="auto"/>
            </w:tcBorders>
          </w:tcPr>
          <w:p w14:paraId="16E602FE" w14:textId="77777777" w:rsidR="000923BB" w:rsidRPr="00A5425E" w:rsidRDefault="000923BB" w:rsidP="003A385F">
            <w:pPr>
              <w:rPr>
                <w:rFonts w:cs="Arial"/>
                <w:sz w:val="18"/>
                <w:szCs w:val="18"/>
              </w:rPr>
            </w:pPr>
            <w:r w:rsidRPr="00A5425E">
              <w:rPr>
                <w:rFonts w:cs="Arial"/>
                <w:sz w:val="18"/>
                <w:szCs w:val="18"/>
              </w:rPr>
              <w:t>9.5</w:t>
            </w:r>
          </w:p>
        </w:tc>
        <w:tc>
          <w:tcPr>
            <w:tcW w:w="537" w:type="pct"/>
            <w:tcBorders>
              <w:top w:val="single" w:sz="4" w:space="0" w:color="auto"/>
              <w:left w:val="single" w:sz="4" w:space="0" w:color="auto"/>
              <w:bottom w:val="single" w:sz="4" w:space="0" w:color="auto"/>
              <w:right w:val="single" w:sz="4" w:space="0" w:color="auto"/>
            </w:tcBorders>
          </w:tcPr>
          <w:p w14:paraId="110D91D5" w14:textId="77777777" w:rsidR="000923BB" w:rsidRPr="00A5425E" w:rsidRDefault="000923BB" w:rsidP="003A385F">
            <w:pPr>
              <w:rPr>
                <w:rFonts w:cs="Arial"/>
                <w:sz w:val="18"/>
                <w:szCs w:val="18"/>
              </w:rPr>
            </w:pPr>
            <w:r w:rsidRPr="00A5425E">
              <w:rPr>
                <w:rFonts w:cs="Arial"/>
                <w:sz w:val="18"/>
                <w:szCs w:val="18"/>
              </w:rPr>
              <w:t>10 - 50</w:t>
            </w:r>
          </w:p>
        </w:tc>
        <w:tc>
          <w:tcPr>
            <w:tcW w:w="535" w:type="pct"/>
            <w:tcBorders>
              <w:top w:val="single" w:sz="4" w:space="0" w:color="auto"/>
              <w:left w:val="single" w:sz="4" w:space="0" w:color="auto"/>
              <w:bottom w:val="single" w:sz="4" w:space="0" w:color="auto"/>
              <w:right w:val="single" w:sz="4" w:space="0" w:color="auto"/>
            </w:tcBorders>
          </w:tcPr>
          <w:p w14:paraId="50A05DC3" w14:textId="77777777" w:rsidR="000923BB" w:rsidRPr="00A5425E" w:rsidRDefault="000923BB" w:rsidP="003A385F">
            <w:pPr>
              <w:rPr>
                <w:rFonts w:cs="Arial"/>
                <w:sz w:val="18"/>
                <w:szCs w:val="18"/>
              </w:rPr>
            </w:pPr>
            <w:r w:rsidRPr="00A5425E">
              <w:rPr>
                <w:rFonts w:cs="Arial"/>
                <w:sz w:val="18"/>
                <w:szCs w:val="18"/>
              </w:rPr>
              <w:t>6.78</w:t>
            </w:r>
          </w:p>
        </w:tc>
        <w:tc>
          <w:tcPr>
            <w:tcW w:w="537" w:type="pct"/>
            <w:tcBorders>
              <w:top w:val="single" w:sz="4" w:space="0" w:color="auto"/>
              <w:left w:val="single" w:sz="4" w:space="0" w:color="auto"/>
              <w:bottom w:val="single" w:sz="4" w:space="0" w:color="auto"/>
              <w:right w:val="single" w:sz="4" w:space="0" w:color="auto"/>
            </w:tcBorders>
          </w:tcPr>
          <w:p w14:paraId="3339E353" w14:textId="77777777" w:rsidR="000923BB" w:rsidRPr="00A5425E" w:rsidRDefault="000923BB" w:rsidP="003A385F">
            <w:pPr>
              <w:rPr>
                <w:rFonts w:cs="Arial"/>
                <w:sz w:val="18"/>
                <w:szCs w:val="18"/>
              </w:rPr>
            </w:pPr>
            <w:r w:rsidRPr="00A5425E">
              <w:rPr>
                <w:rFonts w:cs="Arial"/>
                <w:sz w:val="18"/>
                <w:szCs w:val="18"/>
              </w:rPr>
              <w:t>2.37</w:t>
            </w:r>
          </w:p>
        </w:tc>
        <w:tc>
          <w:tcPr>
            <w:tcW w:w="534" w:type="pct"/>
            <w:tcBorders>
              <w:top w:val="single" w:sz="4" w:space="0" w:color="auto"/>
              <w:left w:val="single" w:sz="4" w:space="0" w:color="auto"/>
              <w:bottom w:val="single" w:sz="4" w:space="0" w:color="auto"/>
              <w:right w:val="single" w:sz="4" w:space="0" w:color="auto"/>
            </w:tcBorders>
          </w:tcPr>
          <w:p w14:paraId="4ED2A6B1" w14:textId="77777777" w:rsidR="000923BB" w:rsidRPr="00A5425E" w:rsidRDefault="000923BB" w:rsidP="003A385F">
            <w:pPr>
              <w:rPr>
                <w:rFonts w:cs="Arial"/>
                <w:sz w:val="18"/>
                <w:szCs w:val="18"/>
              </w:rPr>
            </w:pPr>
            <w:r w:rsidRPr="00A5425E">
              <w:rPr>
                <w:rFonts w:cs="Arial"/>
                <w:sz w:val="18"/>
                <w:szCs w:val="18"/>
              </w:rPr>
              <w:t>2.50 – 12.50</w:t>
            </w:r>
          </w:p>
        </w:tc>
      </w:tr>
      <w:tr w:rsidR="00784AC3" w14:paraId="6DBB0896" w14:textId="77777777" w:rsidTr="00784AC3">
        <w:trPr>
          <w:trHeight w:val="787"/>
        </w:trPr>
        <w:tc>
          <w:tcPr>
            <w:tcW w:w="714" w:type="pct"/>
            <w:tcBorders>
              <w:top w:val="single" w:sz="4" w:space="0" w:color="auto"/>
              <w:left w:val="single" w:sz="4" w:space="0" w:color="auto"/>
              <w:bottom w:val="single" w:sz="4" w:space="0" w:color="auto"/>
              <w:right w:val="single" w:sz="4" w:space="0" w:color="auto"/>
            </w:tcBorders>
          </w:tcPr>
          <w:p w14:paraId="12C06AAF" w14:textId="77777777" w:rsidR="000923BB" w:rsidRPr="00A5425E" w:rsidRDefault="000923BB" w:rsidP="003A385F">
            <w:pPr>
              <w:rPr>
                <w:rFonts w:cs="Arial"/>
                <w:sz w:val="18"/>
                <w:szCs w:val="18"/>
              </w:rPr>
            </w:pPr>
          </w:p>
        </w:tc>
        <w:tc>
          <w:tcPr>
            <w:tcW w:w="536" w:type="pct"/>
            <w:tcBorders>
              <w:top w:val="single" w:sz="4" w:space="0" w:color="auto"/>
              <w:left w:val="single" w:sz="4" w:space="0" w:color="auto"/>
              <w:bottom w:val="single" w:sz="4" w:space="0" w:color="auto"/>
              <w:right w:val="single" w:sz="4" w:space="0" w:color="auto"/>
            </w:tcBorders>
          </w:tcPr>
          <w:p w14:paraId="7AC97964" w14:textId="77777777" w:rsidR="000923BB" w:rsidRPr="00A5425E" w:rsidRDefault="000923BB" w:rsidP="003A385F">
            <w:pPr>
              <w:rPr>
                <w:rFonts w:cs="Arial"/>
                <w:i/>
                <w:iCs/>
                <w:sz w:val="18"/>
                <w:szCs w:val="18"/>
              </w:rPr>
            </w:pPr>
            <w:r w:rsidRPr="00A5425E">
              <w:rPr>
                <w:rFonts w:cs="Arial"/>
                <w:i/>
                <w:iCs/>
                <w:sz w:val="18"/>
                <w:szCs w:val="18"/>
              </w:rPr>
              <w:t xml:space="preserve">All reviews </w:t>
            </w:r>
          </w:p>
        </w:tc>
        <w:tc>
          <w:tcPr>
            <w:tcW w:w="498" w:type="pct"/>
            <w:tcBorders>
              <w:top w:val="single" w:sz="4" w:space="0" w:color="auto"/>
              <w:left w:val="single" w:sz="4" w:space="0" w:color="auto"/>
              <w:bottom w:val="single" w:sz="4" w:space="0" w:color="auto"/>
              <w:right w:val="single" w:sz="4" w:space="0" w:color="auto"/>
            </w:tcBorders>
          </w:tcPr>
          <w:p w14:paraId="1E42DC8E" w14:textId="77777777" w:rsidR="000923BB" w:rsidRPr="00A5425E" w:rsidRDefault="000923BB" w:rsidP="003A385F">
            <w:pPr>
              <w:rPr>
                <w:rFonts w:cs="Arial"/>
                <w:i/>
                <w:iCs/>
                <w:color w:val="000000"/>
                <w:sz w:val="18"/>
                <w:szCs w:val="18"/>
              </w:rPr>
            </w:pPr>
            <w:r w:rsidRPr="00A5425E">
              <w:rPr>
                <w:rFonts w:cs="Arial"/>
                <w:i/>
                <w:iCs/>
                <w:color w:val="000000"/>
                <w:sz w:val="18"/>
                <w:szCs w:val="18"/>
              </w:rPr>
              <w:t>493</w:t>
            </w:r>
          </w:p>
          <w:p w14:paraId="0613E45E" w14:textId="77777777" w:rsidR="000923BB" w:rsidRPr="00A5425E" w:rsidRDefault="000923BB" w:rsidP="003A385F">
            <w:pPr>
              <w:rPr>
                <w:rFonts w:cs="Arial"/>
                <w:i/>
                <w:iCs/>
                <w:color w:val="000000"/>
                <w:sz w:val="18"/>
                <w:szCs w:val="18"/>
              </w:rPr>
            </w:pPr>
            <w:r w:rsidRPr="00A5425E">
              <w:rPr>
                <w:rFonts w:cs="Arial"/>
                <w:i/>
                <w:iCs/>
                <w:color w:val="000000"/>
                <w:sz w:val="18"/>
                <w:szCs w:val="18"/>
              </w:rPr>
              <w:t>(27)</w:t>
            </w:r>
          </w:p>
        </w:tc>
        <w:tc>
          <w:tcPr>
            <w:tcW w:w="573" w:type="pct"/>
            <w:tcBorders>
              <w:top w:val="single" w:sz="4" w:space="0" w:color="auto"/>
              <w:left w:val="single" w:sz="4" w:space="0" w:color="auto"/>
              <w:bottom w:val="single" w:sz="4" w:space="0" w:color="auto"/>
              <w:right w:val="single" w:sz="4" w:space="0" w:color="auto"/>
            </w:tcBorders>
          </w:tcPr>
          <w:p w14:paraId="442CA724" w14:textId="77777777" w:rsidR="000923BB" w:rsidRPr="00A5425E" w:rsidRDefault="000923BB" w:rsidP="003A385F">
            <w:pPr>
              <w:rPr>
                <w:rFonts w:cs="Arial"/>
                <w:sz w:val="18"/>
                <w:szCs w:val="18"/>
              </w:rPr>
            </w:pPr>
          </w:p>
        </w:tc>
        <w:tc>
          <w:tcPr>
            <w:tcW w:w="535" w:type="pct"/>
            <w:tcBorders>
              <w:top w:val="single" w:sz="4" w:space="0" w:color="auto"/>
              <w:left w:val="single" w:sz="4" w:space="0" w:color="auto"/>
              <w:bottom w:val="single" w:sz="4" w:space="0" w:color="auto"/>
              <w:right w:val="single" w:sz="4" w:space="0" w:color="auto"/>
            </w:tcBorders>
          </w:tcPr>
          <w:p w14:paraId="0014E460" w14:textId="77777777" w:rsidR="000923BB" w:rsidRPr="00A5425E" w:rsidRDefault="000923BB" w:rsidP="003A385F">
            <w:pPr>
              <w:rPr>
                <w:rFonts w:cs="Arial"/>
                <w:sz w:val="18"/>
                <w:szCs w:val="18"/>
              </w:rPr>
            </w:pPr>
          </w:p>
        </w:tc>
        <w:tc>
          <w:tcPr>
            <w:tcW w:w="537" w:type="pct"/>
            <w:tcBorders>
              <w:top w:val="single" w:sz="4" w:space="0" w:color="auto"/>
              <w:left w:val="single" w:sz="4" w:space="0" w:color="auto"/>
              <w:bottom w:val="single" w:sz="4" w:space="0" w:color="auto"/>
              <w:right w:val="single" w:sz="4" w:space="0" w:color="auto"/>
            </w:tcBorders>
          </w:tcPr>
          <w:p w14:paraId="3C89F79D" w14:textId="77777777" w:rsidR="000923BB" w:rsidRPr="00A5425E" w:rsidRDefault="000923BB" w:rsidP="003A385F">
            <w:pPr>
              <w:rPr>
                <w:rFonts w:cs="Arial"/>
                <w:sz w:val="18"/>
                <w:szCs w:val="18"/>
              </w:rPr>
            </w:pPr>
          </w:p>
        </w:tc>
        <w:tc>
          <w:tcPr>
            <w:tcW w:w="535" w:type="pct"/>
            <w:tcBorders>
              <w:top w:val="single" w:sz="4" w:space="0" w:color="auto"/>
              <w:left w:val="single" w:sz="4" w:space="0" w:color="auto"/>
              <w:bottom w:val="single" w:sz="4" w:space="0" w:color="auto"/>
              <w:right w:val="single" w:sz="4" w:space="0" w:color="auto"/>
            </w:tcBorders>
          </w:tcPr>
          <w:p w14:paraId="13ED197B" w14:textId="77777777" w:rsidR="000923BB" w:rsidRPr="00A5425E" w:rsidRDefault="000923BB" w:rsidP="003A385F">
            <w:pPr>
              <w:rPr>
                <w:rFonts w:cs="Arial"/>
                <w:sz w:val="18"/>
                <w:szCs w:val="18"/>
              </w:rPr>
            </w:pPr>
          </w:p>
        </w:tc>
        <w:tc>
          <w:tcPr>
            <w:tcW w:w="537" w:type="pct"/>
            <w:tcBorders>
              <w:top w:val="single" w:sz="4" w:space="0" w:color="auto"/>
              <w:left w:val="single" w:sz="4" w:space="0" w:color="auto"/>
              <w:bottom w:val="single" w:sz="4" w:space="0" w:color="auto"/>
              <w:right w:val="single" w:sz="4" w:space="0" w:color="auto"/>
            </w:tcBorders>
          </w:tcPr>
          <w:p w14:paraId="09F743D3" w14:textId="77777777" w:rsidR="000923BB" w:rsidRPr="00A5425E" w:rsidRDefault="000923BB" w:rsidP="003A385F">
            <w:pPr>
              <w:rPr>
                <w:rFonts w:cs="Arial"/>
                <w:sz w:val="18"/>
                <w:szCs w:val="18"/>
              </w:rPr>
            </w:pPr>
          </w:p>
        </w:tc>
        <w:tc>
          <w:tcPr>
            <w:tcW w:w="534" w:type="pct"/>
            <w:tcBorders>
              <w:top w:val="single" w:sz="4" w:space="0" w:color="auto"/>
              <w:left w:val="single" w:sz="4" w:space="0" w:color="auto"/>
              <w:bottom w:val="single" w:sz="4" w:space="0" w:color="auto"/>
              <w:right w:val="single" w:sz="4" w:space="0" w:color="auto"/>
            </w:tcBorders>
          </w:tcPr>
          <w:p w14:paraId="6DF1BBB5" w14:textId="77777777" w:rsidR="000923BB" w:rsidRPr="00A5425E" w:rsidRDefault="000923BB" w:rsidP="003A385F">
            <w:pPr>
              <w:rPr>
                <w:rFonts w:cs="Arial"/>
                <w:sz w:val="18"/>
                <w:szCs w:val="18"/>
              </w:rPr>
            </w:pPr>
          </w:p>
        </w:tc>
      </w:tr>
    </w:tbl>
    <w:p w14:paraId="3B4549D2" w14:textId="77777777" w:rsidR="000923BB" w:rsidRDefault="000923BB" w:rsidP="000923BB">
      <w:pPr>
        <w:jc w:val="both"/>
        <w:rPr>
          <w:rFonts w:cs="Arial"/>
          <w:sz w:val="22"/>
          <w:szCs w:val="22"/>
        </w:rPr>
      </w:pPr>
    </w:p>
    <w:p w14:paraId="6C2DC358" w14:textId="77777777" w:rsidR="00B201FA" w:rsidRDefault="00B201FA">
      <w:pPr>
        <w:rPr>
          <w:rFonts w:cs="Arial"/>
          <w:sz w:val="20"/>
          <w:szCs w:val="20"/>
        </w:rPr>
      </w:pPr>
      <w:r>
        <w:rPr>
          <w:rFonts w:cs="Arial"/>
          <w:sz w:val="20"/>
          <w:szCs w:val="20"/>
        </w:rPr>
        <w:br w:type="page"/>
      </w:r>
    </w:p>
    <w:p w14:paraId="32AC00CE" w14:textId="77777777" w:rsidR="000923BB" w:rsidRDefault="000923BB" w:rsidP="000923BB">
      <w:pPr>
        <w:jc w:val="both"/>
        <w:rPr>
          <w:rFonts w:cs="Arial"/>
          <w:sz w:val="20"/>
          <w:szCs w:val="20"/>
        </w:rPr>
      </w:pPr>
    </w:p>
    <w:p w14:paraId="0BA79FCD" w14:textId="77777777" w:rsidR="000923BB" w:rsidRPr="00332604" w:rsidRDefault="000923BB" w:rsidP="000923BB">
      <w:pPr>
        <w:jc w:val="both"/>
        <w:rPr>
          <w:rFonts w:cs="Arial"/>
          <w:b/>
          <w:bCs/>
          <w:sz w:val="20"/>
          <w:szCs w:val="20"/>
        </w:rPr>
      </w:pPr>
      <w:r w:rsidRPr="00332604">
        <w:rPr>
          <w:rFonts w:cs="Arial"/>
          <w:sz w:val="20"/>
          <w:szCs w:val="20"/>
        </w:rPr>
        <w:t>T</w:t>
      </w:r>
      <w:r w:rsidRPr="00332604">
        <w:rPr>
          <w:rFonts w:cs="Arial"/>
          <w:b/>
          <w:bCs/>
          <w:sz w:val="20"/>
          <w:szCs w:val="20"/>
        </w:rPr>
        <w:t xml:space="preserve">able  14:  Resource used during the criterion review process, by staff type </w:t>
      </w:r>
    </w:p>
    <w:tbl>
      <w:tblPr>
        <w:tblpPr w:leftFromText="180" w:rightFromText="180" w:vertAnchor="text" w:horzAnchor="page" w:tblpX="2367" w:tblpY="329"/>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828"/>
        <w:gridCol w:w="966"/>
        <w:gridCol w:w="965"/>
        <w:gridCol w:w="965"/>
        <w:gridCol w:w="970"/>
        <w:gridCol w:w="965"/>
        <w:gridCol w:w="827"/>
        <w:gridCol w:w="860"/>
      </w:tblGrid>
      <w:tr w:rsidR="00513F76" w14:paraId="3A176281" w14:textId="77777777" w:rsidTr="00513F76">
        <w:trPr>
          <w:trHeight w:val="1090"/>
        </w:trPr>
        <w:tc>
          <w:tcPr>
            <w:tcW w:w="507" w:type="pct"/>
            <w:tcBorders>
              <w:top w:val="single" w:sz="4" w:space="0" w:color="auto"/>
              <w:left w:val="single" w:sz="4" w:space="0" w:color="auto"/>
              <w:bottom w:val="single" w:sz="4" w:space="0" w:color="auto"/>
              <w:right w:val="single" w:sz="4" w:space="0" w:color="auto"/>
            </w:tcBorders>
          </w:tcPr>
          <w:p w14:paraId="38AA4175" w14:textId="77777777" w:rsidR="00784AC3" w:rsidRPr="00A5425E" w:rsidRDefault="00784AC3" w:rsidP="00513F76">
            <w:pPr>
              <w:rPr>
                <w:rFonts w:cs="Arial"/>
                <w:b/>
                <w:bCs/>
                <w:sz w:val="18"/>
                <w:szCs w:val="18"/>
              </w:rPr>
            </w:pPr>
            <w:r w:rsidRPr="00A5425E">
              <w:rPr>
                <w:rFonts w:cs="Arial"/>
                <w:b/>
                <w:bCs/>
                <w:sz w:val="18"/>
                <w:szCs w:val="18"/>
              </w:rPr>
              <w:t>Conditi</w:t>
            </w:r>
            <w:r w:rsidR="00513F76">
              <w:rPr>
                <w:rFonts w:cs="Arial"/>
                <w:b/>
                <w:bCs/>
                <w:sz w:val="18"/>
                <w:szCs w:val="18"/>
              </w:rPr>
              <w:t>-</w:t>
            </w:r>
            <w:r w:rsidRPr="00A5425E">
              <w:rPr>
                <w:rFonts w:cs="Arial"/>
                <w:b/>
                <w:bCs/>
                <w:sz w:val="18"/>
                <w:szCs w:val="18"/>
              </w:rPr>
              <w:t>on</w:t>
            </w:r>
          </w:p>
        </w:tc>
        <w:tc>
          <w:tcPr>
            <w:tcW w:w="506" w:type="pct"/>
            <w:tcBorders>
              <w:top w:val="single" w:sz="4" w:space="0" w:color="auto"/>
              <w:left w:val="single" w:sz="4" w:space="0" w:color="auto"/>
              <w:bottom w:val="single" w:sz="4" w:space="0" w:color="auto"/>
              <w:right w:val="single" w:sz="4" w:space="0" w:color="auto"/>
            </w:tcBorders>
          </w:tcPr>
          <w:p w14:paraId="769DF201" w14:textId="77777777" w:rsidR="00784AC3" w:rsidRPr="00A5425E" w:rsidRDefault="00784AC3" w:rsidP="00513F76">
            <w:pPr>
              <w:rPr>
                <w:rFonts w:cs="Arial"/>
                <w:b/>
                <w:bCs/>
                <w:sz w:val="18"/>
                <w:szCs w:val="18"/>
              </w:rPr>
            </w:pPr>
            <w:r w:rsidRPr="00A5425E">
              <w:rPr>
                <w:rFonts w:cs="Arial"/>
                <w:b/>
                <w:bCs/>
                <w:sz w:val="18"/>
                <w:szCs w:val="18"/>
              </w:rPr>
              <w:t>Staff type</w:t>
            </w:r>
          </w:p>
        </w:tc>
        <w:tc>
          <w:tcPr>
            <w:tcW w:w="591" w:type="pct"/>
            <w:tcBorders>
              <w:top w:val="single" w:sz="4" w:space="0" w:color="auto"/>
              <w:left w:val="single" w:sz="4" w:space="0" w:color="auto"/>
              <w:bottom w:val="single" w:sz="4" w:space="0" w:color="auto"/>
              <w:right w:val="single" w:sz="4" w:space="0" w:color="auto"/>
            </w:tcBorders>
          </w:tcPr>
          <w:p w14:paraId="2459FBAA" w14:textId="77777777" w:rsidR="00784AC3" w:rsidRPr="00A5425E" w:rsidRDefault="00784AC3" w:rsidP="00513F76">
            <w:pPr>
              <w:rPr>
                <w:rFonts w:cs="Arial"/>
                <w:b/>
                <w:bCs/>
                <w:sz w:val="18"/>
                <w:szCs w:val="18"/>
              </w:rPr>
            </w:pPr>
            <w:r w:rsidRPr="00A5425E">
              <w:rPr>
                <w:rFonts w:cs="Arial"/>
                <w:b/>
                <w:bCs/>
                <w:sz w:val="18"/>
                <w:szCs w:val="18"/>
              </w:rPr>
              <w:t>No. valid reviews</w:t>
            </w:r>
          </w:p>
          <w:p w14:paraId="2B18606E" w14:textId="77777777" w:rsidR="00784AC3" w:rsidRPr="00A5425E" w:rsidRDefault="00784AC3" w:rsidP="00513F76">
            <w:pPr>
              <w:rPr>
                <w:rFonts w:cs="Arial"/>
                <w:b/>
                <w:bCs/>
                <w:sz w:val="18"/>
                <w:szCs w:val="18"/>
              </w:rPr>
            </w:pPr>
          </w:p>
          <w:p w14:paraId="6138343A" w14:textId="77777777" w:rsidR="00784AC3" w:rsidRPr="00A5425E" w:rsidRDefault="00784AC3" w:rsidP="00513F76">
            <w:pPr>
              <w:rPr>
                <w:rFonts w:cs="Arial"/>
                <w:b/>
                <w:bCs/>
                <w:sz w:val="18"/>
                <w:szCs w:val="18"/>
              </w:rPr>
            </w:pPr>
            <w:r w:rsidRPr="00A5425E">
              <w:rPr>
                <w:rFonts w:cs="Arial"/>
                <w:b/>
                <w:bCs/>
                <w:sz w:val="18"/>
                <w:szCs w:val="18"/>
              </w:rPr>
              <w:t>Missing data ()</w:t>
            </w:r>
          </w:p>
        </w:tc>
        <w:tc>
          <w:tcPr>
            <w:tcW w:w="590" w:type="pct"/>
            <w:tcBorders>
              <w:top w:val="single" w:sz="4" w:space="0" w:color="auto"/>
              <w:left w:val="single" w:sz="4" w:space="0" w:color="auto"/>
              <w:bottom w:val="single" w:sz="4" w:space="0" w:color="auto"/>
              <w:right w:val="single" w:sz="4" w:space="0" w:color="auto"/>
            </w:tcBorders>
          </w:tcPr>
          <w:p w14:paraId="44386DDC" w14:textId="77777777" w:rsidR="00784AC3" w:rsidRPr="00A5425E" w:rsidRDefault="00784AC3" w:rsidP="00513F76">
            <w:pPr>
              <w:rPr>
                <w:rFonts w:cs="Arial"/>
                <w:b/>
                <w:bCs/>
                <w:sz w:val="18"/>
                <w:szCs w:val="18"/>
              </w:rPr>
            </w:pPr>
            <w:r w:rsidRPr="00A5425E">
              <w:rPr>
                <w:rFonts w:cs="Arial"/>
                <w:b/>
                <w:bCs/>
                <w:sz w:val="18"/>
                <w:szCs w:val="18"/>
              </w:rPr>
              <w:t>Mean review time in minutes</w:t>
            </w:r>
          </w:p>
          <w:p w14:paraId="43DB7421" w14:textId="77777777" w:rsidR="00784AC3" w:rsidRPr="00A5425E" w:rsidRDefault="00784AC3" w:rsidP="00513F76">
            <w:pPr>
              <w:rPr>
                <w:rFonts w:cs="Arial"/>
                <w:b/>
                <w:bCs/>
                <w:sz w:val="18"/>
                <w:szCs w:val="18"/>
              </w:rPr>
            </w:pPr>
            <w:r w:rsidRPr="00A5425E">
              <w:rPr>
                <w:rFonts w:cs="Arial"/>
                <w:b/>
                <w:bCs/>
                <w:sz w:val="18"/>
                <w:szCs w:val="18"/>
              </w:rPr>
              <w:t>(SD)</w:t>
            </w:r>
          </w:p>
        </w:tc>
        <w:tc>
          <w:tcPr>
            <w:tcW w:w="590" w:type="pct"/>
            <w:tcBorders>
              <w:top w:val="single" w:sz="4" w:space="0" w:color="auto"/>
              <w:left w:val="single" w:sz="4" w:space="0" w:color="auto"/>
              <w:bottom w:val="single" w:sz="4" w:space="0" w:color="auto"/>
              <w:right w:val="single" w:sz="4" w:space="0" w:color="auto"/>
            </w:tcBorders>
          </w:tcPr>
          <w:p w14:paraId="5502DC58" w14:textId="77777777" w:rsidR="00784AC3" w:rsidRPr="00A5425E" w:rsidRDefault="00784AC3" w:rsidP="00513F76">
            <w:pPr>
              <w:rPr>
                <w:rFonts w:cs="Arial"/>
                <w:b/>
                <w:bCs/>
                <w:sz w:val="18"/>
                <w:szCs w:val="18"/>
              </w:rPr>
            </w:pPr>
            <w:r w:rsidRPr="00A5425E">
              <w:rPr>
                <w:rFonts w:cs="Arial"/>
                <w:b/>
                <w:bCs/>
                <w:sz w:val="18"/>
                <w:szCs w:val="18"/>
              </w:rPr>
              <w:t>SD time per review</w:t>
            </w:r>
          </w:p>
        </w:tc>
        <w:tc>
          <w:tcPr>
            <w:tcW w:w="593" w:type="pct"/>
            <w:tcBorders>
              <w:top w:val="single" w:sz="4" w:space="0" w:color="auto"/>
              <w:left w:val="single" w:sz="4" w:space="0" w:color="auto"/>
              <w:bottom w:val="single" w:sz="4" w:space="0" w:color="auto"/>
              <w:right w:val="single" w:sz="4" w:space="0" w:color="auto"/>
            </w:tcBorders>
          </w:tcPr>
          <w:p w14:paraId="69CC0B4F" w14:textId="77777777" w:rsidR="00784AC3" w:rsidRPr="00A5425E" w:rsidRDefault="00784AC3" w:rsidP="00513F76">
            <w:pPr>
              <w:rPr>
                <w:rFonts w:cs="Arial"/>
                <w:b/>
                <w:bCs/>
                <w:sz w:val="18"/>
                <w:szCs w:val="18"/>
              </w:rPr>
            </w:pPr>
            <w:r w:rsidRPr="00A5425E">
              <w:rPr>
                <w:rFonts w:cs="Arial"/>
                <w:b/>
                <w:bCs/>
                <w:sz w:val="18"/>
                <w:szCs w:val="18"/>
              </w:rPr>
              <w:t>Time per review</w:t>
            </w:r>
          </w:p>
          <w:p w14:paraId="53DAD2C1" w14:textId="77777777" w:rsidR="00784AC3" w:rsidRPr="00A5425E" w:rsidRDefault="00784AC3" w:rsidP="00513F76">
            <w:pPr>
              <w:rPr>
                <w:rFonts w:cs="Arial"/>
                <w:b/>
                <w:bCs/>
                <w:sz w:val="18"/>
                <w:szCs w:val="18"/>
              </w:rPr>
            </w:pPr>
            <w:r w:rsidRPr="00A5425E">
              <w:rPr>
                <w:rFonts w:cs="Arial"/>
                <w:b/>
                <w:bCs/>
                <w:sz w:val="18"/>
                <w:szCs w:val="18"/>
              </w:rPr>
              <w:t>Min - Max</w:t>
            </w:r>
          </w:p>
        </w:tc>
        <w:tc>
          <w:tcPr>
            <w:tcW w:w="590" w:type="pct"/>
            <w:tcBorders>
              <w:top w:val="single" w:sz="4" w:space="0" w:color="auto"/>
              <w:left w:val="single" w:sz="4" w:space="0" w:color="auto"/>
              <w:bottom w:val="single" w:sz="4" w:space="0" w:color="auto"/>
              <w:right w:val="single" w:sz="4" w:space="0" w:color="auto"/>
            </w:tcBorders>
          </w:tcPr>
          <w:p w14:paraId="0CD41606" w14:textId="77777777" w:rsidR="00784AC3" w:rsidRPr="00A5425E" w:rsidRDefault="00784AC3" w:rsidP="00513F76">
            <w:pPr>
              <w:rPr>
                <w:rFonts w:cs="Arial"/>
                <w:b/>
                <w:bCs/>
                <w:sz w:val="18"/>
                <w:szCs w:val="18"/>
              </w:rPr>
            </w:pPr>
            <w:r w:rsidRPr="00A5425E">
              <w:rPr>
                <w:rFonts w:cs="Arial"/>
                <w:b/>
                <w:bCs/>
                <w:sz w:val="18"/>
                <w:szCs w:val="18"/>
              </w:rPr>
              <w:t>Mean total cost per review</w:t>
            </w:r>
          </w:p>
          <w:p w14:paraId="3F5DAAD6" w14:textId="77777777" w:rsidR="00784AC3" w:rsidRPr="00A5425E" w:rsidRDefault="00784AC3" w:rsidP="00513F76">
            <w:pPr>
              <w:rPr>
                <w:rFonts w:cs="Arial"/>
                <w:b/>
                <w:bCs/>
                <w:sz w:val="18"/>
                <w:szCs w:val="18"/>
              </w:rPr>
            </w:pPr>
            <w:r w:rsidRPr="00A5425E">
              <w:rPr>
                <w:rFonts w:cs="Arial"/>
                <w:b/>
                <w:bCs/>
                <w:sz w:val="18"/>
                <w:szCs w:val="18"/>
              </w:rPr>
              <w:t>(£)</w:t>
            </w:r>
          </w:p>
        </w:tc>
        <w:tc>
          <w:tcPr>
            <w:tcW w:w="506" w:type="pct"/>
            <w:tcBorders>
              <w:top w:val="single" w:sz="4" w:space="0" w:color="auto"/>
              <w:left w:val="single" w:sz="4" w:space="0" w:color="auto"/>
              <w:bottom w:val="single" w:sz="4" w:space="0" w:color="auto"/>
              <w:right w:val="single" w:sz="4" w:space="0" w:color="auto"/>
            </w:tcBorders>
          </w:tcPr>
          <w:p w14:paraId="076FB899" w14:textId="77777777" w:rsidR="00784AC3" w:rsidRPr="00A5425E" w:rsidRDefault="00784AC3" w:rsidP="00513F76">
            <w:pPr>
              <w:rPr>
                <w:rFonts w:cs="Arial"/>
                <w:b/>
                <w:bCs/>
                <w:sz w:val="18"/>
                <w:szCs w:val="18"/>
              </w:rPr>
            </w:pPr>
            <w:r w:rsidRPr="00A5425E">
              <w:rPr>
                <w:rFonts w:cs="Arial"/>
                <w:b/>
                <w:bCs/>
                <w:sz w:val="18"/>
                <w:szCs w:val="18"/>
              </w:rPr>
              <w:t>SD</w:t>
            </w:r>
          </w:p>
          <w:p w14:paraId="64098BCA" w14:textId="77777777" w:rsidR="00784AC3" w:rsidRPr="00A5425E" w:rsidRDefault="00784AC3" w:rsidP="00513F76">
            <w:pPr>
              <w:rPr>
                <w:rFonts w:cs="Arial"/>
                <w:b/>
                <w:bCs/>
                <w:sz w:val="18"/>
                <w:szCs w:val="18"/>
              </w:rPr>
            </w:pPr>
            <w:r w:rsidRPr="00A5425E">
              <w:rPr>
                <w:rFonts w:cs="Arial"/>
                <w:b/>
                <w:bCs/>
                <w:sz w:val="18"/>
                <w:szCs w:val="18"/>
              </w:rPr>
              <w:t>cost per review</w:t>
            </w:r>
          </w:p>
          <w:p w14:paraId="5D44A5CA" w14:textId="77777777" w:rsidR="00784AC3" w:rsidRPr="00A5425E" w:rsidRDefault="00784AC3" w:rsidP="00513F76">
            <w:pPr>
              <w:rPr>
                <w:rFonts w:cs="Arial"/>
                <w:b/>
                <w:bCs/>
                <w:sz w:val="18"/>
                <w:szCs w:val="18"/>
              </w:rPr>
            </w:pPr>
            <w:r w:rsidRPr="00A5425E">
              <w:rPr>
                <w:rFonts w:cs="Arial"/>
                <w:b/>
                <w:bCs/>
                <w:sz w:val="18"/>
                <w:szCs w:val="18"/>
              </w:rPr>
              <w:t>(£)</w:t>
            </w:r>
          </w:p>
        </w:tc>
        <w:tc>
          <w:tcPr>
            <w:tcW w:w="526" w:type="pct"/>
            <w:tcBorders>
              <w:top w:val="single" w:sz="4" w:space="0" w:color="auto"/>
              <w:left w:val="single" w:sz="4" w:space="0" w:color="auto"/>
              <w:bottom w:val="single" w:sz="4" w:space="0" w:color="auto"/>
              <w:right w:val="single" w:sz="4" w:space="0" w:color="auto"/>
            </w:tcBorders>
          </w:tcPr>
          <w:p w14:paraId="2D991552" w14:textId="77777777" w:rsidR="00784AC3" w:rsidRPr="00A5425E" w:rsidRDefault="00784AC3" w:rsidP="00513F76">
            <w:pPr>
              <w:rPr>
                <w:rFonts w:cs="Arial"/>
                <w:b/>
                <w:bCs/>
                <w:sz w:val="18"/>
                <w:szCs w:val="18"/>
              </w:rPr>
            </w:pPr>
            <w:r w:rsidRPr="00A5425E">
              <w:rPr>
                <w:rFonts w:cs="Arial"/>
                <w:b/>
                <w:bCs/>
                <w:sz w:val="18"/>
                <w:szCs w:val="18"/>
              </w:rPr>
              <w:t>Cost per review</w:t>
            </w:r>
          </w:p>
          <w:p w14:paraId="64D3A395" w14:textId="77777777" w:rsidR="00784AC3" w:rsidRPr="00A5425E" w:rsidRDefault="00784AC3" w:rsidP="00513F76">
            <w:pPr>
              <w:rPr>
                <w:rFonts w:cs="Arial"/>
                <w:b/>
                <w:bCs/>
                <w:sz w:val="18"/>
                <w:szCs w:val="18"/>
              </w:rPr>
            </w:pPr>
            <w:r w:rsidRPr="00A5425E">
              <w:rPr>
                <w:rFonts w:cs="Arial"/>
                <w:b/>
                <w:bCs/>
                <w:sz w:val="18"/>
                <w:szCs w:val="18"/>
              </w:rPr>
              <w:t>Min-Max</w:t>
            </w:r>
          </w:p>
          <w:p w14:paraId="26377F32" w14:textId="77777777" w:rsidR="00784AC3" w:rsidRPr="00A5425E" w:rsidRDefault="00784AC3" w:rsidP="00513F76">
            <w:pPr>
              <w:rPr>
                <w:rFonts w:cs="Arial"/>
                <w:b/>
                <w:bCs/>
                <w:sz w:val="18"/>
                <w:szCs w:val="18"/>
              </w:rPr>
            </w:pPr>
            <w:r w:rsidRPr="00A5425E">
              <w:rPr>
                <w:rFonts w:cs="Arial"/>
                <w:b/>
                <w:bCs/>
                <w:sz w:val="18"/>
                <w:szCs w:val="18"/>
              </w:rPr>
              <w:t>(£)</w:t>
            </w:r>
          </w:p>
        </w:tc>
      </w:tr>
      <w:tr w:rsidR="00513F76" w14:paraId="6F1EB634" w14:textId="77777777" w:rsidTr="00513F76">
        <w:trPr>
          <w:trHeight w:val="772"/>
        </w:trPr>
        <w:tc>
          <w:tcPr>
            <w:tcW w:w="507" w:type="pct"/>
            <w:tcBorders>
              <w:top w:val="single" w:sz="4" w:space="0" w:color="auto"/>
              <w:left w:val="single" w:sz="4" w:space="0" w:color="auto"/>
              <w:bottom w:val="single" w:sz="4" w:space="0" w:color="auto"/>
              <w:right w:val="single" w:sz="4" w:space="0" w:color="auto"/>
            </w:tcBorders>
          </w:tcPr>
          <w:p w14:paraId="2E2AB153" w14:textId="77777777" w:rsidR="00784AC3" w:rsidRPr="00A5425E" w:rsidRDefault="00784AC3" w:rsidP="00513F76">
            <w:pPr>
              <w:rPr>
                <w:rFonts w:cs="Arial"/>
                <w:sz w:val="18"/>
                <w:szCs w:val="18"/>
              </w:rPr>
            </w:pPr>
            <w:r w:rsidRPr="00A5425E">
              <w:rPr>
                <w:rFonts w:cs="Arial"/>
                <w:sz w:val="18"/>
                <w:szCs w:val="18"/>
              </w:rPr>
              <w:t>COPD</w:t>
            </w:r>
          </w:p>
        </w:tc>
        <w:tc>
          <w:tcPr>
            <w:tcW w:w="506" w:type="pct"/>
            <w:tcBorders>
              <w:top w:val="single" w:sz="4" w:space="0" w:color="auto"/>
              <w:left w:val="single" w:sz="4" w:space="0" w:color="auto"/>
              <w:bottom w:val="single" w:sz="4" w:space="0" w:color="auto"/>
              <w:right w:val="single" w:sz="4" w:space="0" w:color="auto"/>
            </w:tcBorders>
          </w:tcPr>
          <w:p w14:paraId="36E19B6A" w14:textId="77777777" w:rsidR="00784AC3" w:rsidRPr="00A5425E" w:rsidRDefault="00784AC3" w:rsidP="00513F76">
            <w:pPr>
              <w:rPr>
                <w:rFonts w:cs="Arial"/>
                <w:sz w:val="18"/>
                <w:szCs w:val="18"/>
              </w:rPr>
            </w:pPr>
            <w:r w:rsidRPr="00A5425E">
              <w:rPr>
                <w:rFonts w:cs="Arial"/>
                <w:sz w:val="18"/>
                <w:szCs w:val="18"/>
              </w:rPr>
              <w:t>Doctors</w:t>
            </w:r>
          </w:p>
        </w:tc>
        <w:tc>
          <w:tcPr>
            <w:tcW w:w="591" w:type="pct"/>
            <w:tcBorders>
              <w:top w:val="single" w:sz="4" w:space="0" w:color="auto"/>
              <w:left w:val="single" w:sz="4" w:space="0" w:color="auto"/>
              <w:bottom w:val="single" w:sz="4" w:space="0" w:color="auto"/>
              <w:right w:val="single" w:sz="4" w:space="0" w:color="auto"/>
            </w:tcBorders>
          </w:tcPr>
          <w:p w14:paraId="0813F852" w14:textId="77777777" w:rsidR="00784AC3" w:rsidRPr="00A5425E" w:rsidRDefault="00784AC3" w:rsidP="00513F76">
            <w:pPr>
              <w:rPr>
                <w:rFonts w:cs="Arial"/>
                <w:color w:val="000000"/>
                <w:sz w:val="18"/>
                <w:szCs w:val="18"/>
              </w:rPr>
            </w:pPr>
            <w:r w:rsidRPr="00A5425E">
              <w:rPr>
                <w:rFonts w:cs="Arial"/>
                <w:color w:val="000000"/>
                <w:sz w:val="18"/>
                <w:szCs w:val="18"/>
              </w:rPr>
              <w:t>254</w:t>
            </w:r>
          </w:p>
          <w:p w14:paraId="012A07DB" w14:textId="77777777" w:rsidR="00784AC3" w:rsidRPr="00A5425E" w:rsidRDefault="00784AC3" w:rsidP="00513F76">
            <w:pPr>
              <w:rPr>
                <w:rFonts w:cs="Arial"/>
                <w:sz w:val="18"/>
                <w:szCs w:val="18"/>
              </w:rPr>
            </w:pPr>
            <w:r w:rsidRPr="00A5425E">
              <w:rPr>
                <w:rFonts w:cs="Arial"/>
                <w:color w:val="000000"/>
                <w:sz w:val="18"/>
                <w:szCs w:val="18"/>
              </w:rPr>
              <w:t>(0)</w:t>
            </w:r>
          </w:p>
        </w:tc>
        <w:tc>
          <w:tcPr>
            <w:tcW w:w="590" w:type="pct"/>
            <w:tcBorders>
              <w:top w:val="single" w:sz="4" w:space="0" w:color="auto"/>
              <w:left w:val="single" w:sz="4" w:space="0" w:color="auto"/>
              <w:bottom w:val="single" w:sz="4" w:space="0" w:color="auto"/>
              <w:right w:val="single" w:sz="4" w:space="0" w:color="auto"/>
            </w:tcBorders>
          </w:tcPr>
          <w:p w14:paraId="447C1A86" w14:textId="77777777" w:rsidR="00784AC3" w:rsidRPr="00A5425E" w:rsidRDefault="00784AC3" w:rsidP="00513F76">
            <w:pPr>
              <w:rPr>
                <w:rFonts w:cs="Arial"/>
                <w:sz w:val="18"/>
                <w:szCs w:val="18"/>
              </w:rPr>
            </w:pPr>
            <w:r w:rsidRPr="00A5425E">
              <w:rPr>
                <w:rFonts w:cs="Arial"/>
                <w:sz w:val="18"/>
                <w:szCs w:val="18"/>
              </w:rPr>
              <w:t>19.5</w:t>
            </w:r>
          </w:p>
        </w:tc>
        <w:tc>
          <w:tcPr>
            <w:tcW w:w="590" w:type="pct"/>
            <w:tcBorders>
              <w:top w:val="single" w:sz="4" w:space="0" w:color="auto"/>
              <w:left w:val="single" w:sz="4" w:space="0" w:color="auto"/>
              <w:bottom w:val="single" w:sz="4" w:space="0" w:color="auto"/>
              <w:right w:val="single" w:sz="4" w:space="0" w:color="auto"/>
            </w:tcBorders>
          </w:tcPr>
          <w:p w14:paraId="681268D6" w14:textId="77777777" w:rsidR="00784AC3" w:rsidRPr="00A5425E" w:rsidRDefault="00784AC3" w:rsidP="00513F76">
            <w:pPr>
              <w:rPr>
                <w:rFonts w:cs="Arial"/>
                <w:sz w:val="18"/>
                <w:szCs w:val="18"/>
              </w:rPr>
            </w:pPr>
            <w:r w:rsidRPr="00A5425E">
              <w:rPr>
                <w:rFonts w:cs="Arial"/>
                <w:sz w:val="18"/>
                <w:szCs w:val="18"/>
              </w:rPr>
              <w:t>7.2</w:t>
            </w:r>
          </w:p>
        </w:tc>
        <w:tc>
          <w:tcPr>
            <w:tcW w:w="593" w:type="pct"/>
            <w:tcBorders>
              <w:top w:val="single" w:sz="4" w:space="0" w:color="auto"/>
              <w:left w:val="single" w:sz="4" w:space="0" w:color="auto"/>
              <w:bottom w:val="single" w:sz="4" w:space="0" w:color="auto"/>
              <w:right w:val="single" w:sz="4" w:space="0" w:color="auto"/>
            </w:tcBorders>
          </w:tcPr>
          <w:p w14:paraId="254CBD19" w14:textId="77777777" w:rsidR="00784AC3" w:rsidRPr="00A5425E" w:rsidRDefault="00784AC3" w:rsidP="00513F76">
            <w:pPr>
              <w:rPr>
                <w:rFonts w:cs="Arial"/>
                <w:sz w:val="18"/>
                <w:szCs w:val="18"/>
              </w:rPr>
            </w:pPr>
            <w:r w:rsidRPr="00A5425E">
              <w:rPr>
                <w:rFonts w:cs="Arial"/>
                <w:sz w:val="18"/>
                <w:szCs w:val="18"/>
              </w:rPr>
              <w:t xml:space="preserve">6 - 50   </w:t>
            </w:r>
          </w:p>
        </w:tc>
        <w:tc>
          <w:tcPr>
            <w:tcW w:w="590" w:type="pct"/>
            <w:tcBorders>
              <w:top w:val="single" w:sz="4" w:space="0" w:color="auto"/>
              <w:left w:val="single" w:sz="4" w:space="0" w:color="auto"/>
              <w:bottom w:val="single" w:sz="4" w:space="0" w:color="auto"/>
              <w:right w:val="single" w:sz="4" w:space="0" w:color="auto"/>
            </w:tcBorders>
          </w:tcPr>
          <w:p w14:paraId="0BFF3C61" w14:textId="77777777" w:rsidR="00784AC3" w:rsidRPr="00A5425E" w:rsidRDefault="00784AC3" w:rsidP="00513F76">
            <w:pPr>
              <w:rPr>
                <w:rFonts w:cs="Arial"/>
                <w:sz w:val="18"/>
                <w:szCs w:val="18"/>
              </w:rPr>
            </w:pPr>
            <w:r w:rsidRPr="00A5425E">
              <w:rPr>
                <w:rFonts w:cs="Arial"/>
                <w:sz w:val="18"/>
                <w:szCs w:val="18"/>
              </w:rPr>
              <w:t>9.16</w:t>
            </w:r>
          </w:p>
        </w:tc>
        <w:tc>
          <w:tcPr>
            <w:tcW w:w="506" w:type="pct"/>
            <w:tcBorders>
              <w:top w:val="single" w:sz="4" w:space="0" w:color="auto"/>
              <w:left w:val="single" w:sz="4" w:space="0" w:color="auto"/>
              <w:bottom w:val="single" w:sz="4" w:space="0" w:color="auto"/>
              <w:right w:val="single" w:sz="4" w:space="0" w:color="auto"/>
            </w:tcBorders>
          </w:tcPr>
          <w:p w14:paraId="59BC15FA" w14:textId="77777777" w:rsidR="00784AC3" w:rsidRPr="00A5425E" w:rsidRDefault="00784AC3" w:rsidP="00513F76">
            <w:pPr>
              <w:rPr>
                <w:rFonts w:cs="Arial"/>
                <w:sz w:val="18"/>
                <w:szCs w:val="18"/>
              </w:rPr>
            </w:pPr>
            <w:r w:rsidRPr="00A5425E">
              <w:rPr>
                <w:rFonts w:cs="Arial"/>
                <w:sz w:val="18"/>
                <w:szCs w:val="18"/>
              </w:rPr>
              <w:t>5.21</w:t>
            </w:r>
          </w:p>
        </w:tc>
        <w:tc>
          <w:tcPr>
            <w:tcW w:w="526" w:type="pct"/>
            <w:tcBorders>
              <w:top w:val="single" w:sz="4" w:space="0" w:color="auto"/>
              <w:left w:val="single" w:sz="4" w:space="0" w:color="auto"/>
              <w:bottom w:val="single" w:sz="4" w:space="0" w:color="auto"/>
              <w:right w:val="single" w:sz="4" w:space="0" w:color="auto"/>
            </w:tcBorders>
          </w:tcPr>
          <w:p w14:paraId="1FA3EF44" w14:textId="77777777" w:rsidR="00784AC3" w:rsidRPr="00A5425E" w:rsidRDefault="00784AC3" w:rsidP="00513F76">
            <w:pPr>
              <w:rPr>
                <w:rFonts w:cs="Arial"/>
                <w:sz w:val="18"/>
                <w:szCs w:val="18"/>
              </w:rPr>
            </w:pPr>
            <w:r w:rsidRPr="00A5425E">
              <w:rPr>
                <w:rFonts w:cs="Arial"/>
                <w:sz w:val="18"/>
                <w:szCs w:val="18"/>
              </w:rPr>
              <w:t>2.50 – 32.50</w:t>
            </w:r>
          </w:p>
        </w:tc>
      </w:tr>
      <w:tr w:rsidR="00513F76" w14:paraId="6215EE78" w14:textId="77777777" w:rsidTr="00513F76">
        <w:trPr>
          <w:trHeight w:val="811"/>
        </w:trPr>
        <w:tc>
          <w:tcPr>
            <w:tcW w:w="507" w:type="pct"/>
            <w:tcBorders>
              <w:top w:val="single" w:sz="4" w:space="0" w:color="auto"/>
              <w:left w:val="single" w:sz="4" w:space="0" w:color="auto"/>
              <w:bottom w:val="single" w:sz="4" w:space="0" w:color="auto"/>
              <w:right w:val="single" w:sz="4" w:space="0" w:color="auto"/>
            </w:tcBorders>
          </w:tcPr>
          <w:p w14:paraId="0840D311" w14:textId="77777777" w:rsidR="00784AC3" w:rsidRPr="00A5425E" w:rsidRDefault="00784AC3" w:rsidP="00513F76">
            <w:pPr>
              <w:rPr>
                <w:rFonts w:cs="Arial"/>
                <w:sz w:val="18"/>
                <w:szCs w:val="18"/>
              </w:rPr>
            </w:pPr>
            <w:r w:rsidRPr="00A5425E">
              <w:rPr>
                <w:rFonts w:cs="Arial"/>
                <w:sz w:val="18"/>
                <w:szCs w:val="18"/>
              </w:rPr>
              <w:t>COPD</w:t>
            </w:r>
          </w:p>
        </w:tc>
        <w:tc>
          <w:tcPr>
            <w:tcW w:w="506" w:type="pct"/>
            <w:tcBorders>
              <w:top w:val="single" w:sz="4" w:space="0" w:color="auto"/>
              <w:left w:val="single" w:sz="4" w:space="0" w:color="auto"/>
              <w:bottom w:val="single" w:sz="4" w:space="0" w:color="auto"/>
              <w:right w:val="single" w:sz="4" w:space="0" w:color="auto"/>
            </w:tcBorders>
          </w:tcPr>
          <w:p w14:paraId="39EDF57D" w14:textId="77777777" w:rsidR="00784AC3" w:rsidRPr="00A5425E" w:rsidRDefault="00784AC3" w:rsidP="00513F76">
            <w:pPr>
              <w:rPr>
                <w:rFonts w:cs="Arial"/>
                <w:sz w:val="18"/>
                <w:szCs w:val="18"/>
              </w:rPr>
            </w:pPr>
            <w:r w:rsidRPr="00A5425E">
              <w:rPr>
                <w:rFonts w:cs="Arial"/>
                <w:sz w:val="18"/>
                <w:szCs w:val="18"/>
              </w:rPr>
              <w:t>Nurses/ Other Clinical</w:t>
            </w:r>
          </w:p>
        </w:tc>
        <w:tc>
          <w:tcPr>
            <w:tcW w:w="591" w:type="pct"/>
            <w:tcBorders>
              <w:top w:val="single" w:sz="4" w:space="0" w:color="auto"/>
              <w:left w:val="single" w:sz="4" w:space="0" w:color="auto"/>
              <w:bottom w:val="single" w:sz="4" w:space="0" w:color="auto"/>
              <w:right w:val="single" w:sz="4" w:space="0" w:color="auto"/>
            </w:tcBorders>
          </w:tcPr>
          <w:p w14:paraId="78EF8CBB" w14:textId="77777777" w:rsidR="00784AC3" w:rsidRPr="00A5425E" w:rsidRDefault="00784AC3" w:rsidP="00513F76">
            <w:pPr>
              <w:rPr>
                <w:rFonts w:cs="Arial"/>
                <w:sz w:val="18"/>
                <w:szCs w:val="18"/>
              </w:rPr>
            </w:pPr>
            <w:r w:rsidRPr="00A5425E">
              <w:rPr>
                <w:rFonts w:cs="Arial"/>
                <w:sz w:val="18"/>
                <w:szCs w:val="18"/>
              </w:rPr>
              <w:t>335</w:t>
            </w:r>
          </w:p>
          <w:p w14:paraId="18F6D759" w14:textId="77777777" w:rsidR="00784AC3" w:rsidRPr="00A5425E" w:rsidRDefault="00784AC3" w:rsidP="00513F76">
            <w:pPr>
              <w:rPr>
                <w:rFonts w:cs="Arial"/>
                <w:sz w:val="18"/>
                <w:szCs w:val="18"/>
              </w:rPr>
            </w:pPr>
            <w:r w:rsidRPr="00A5425E">
              <w:rPr>
                <w:rFonts w:cs="Arial"/>
                <w:sz w:val="18"/>
                <w:szCs w:val="18"/>
              </w:rPr>
              <w:t>(1)</w:t>
            </w:r>
          </w:p>
        </w:tc>
        <w:tc>
          <w:tcPr>
            <w:tcW w:w="590" w:type="pct"/>
            <w:tcBorders>
              <w:top w:val="single" w:sz="4" w:space="0" w:color="auto"/>
              <w:left w:val="single" w:sz="4" w:space="0" w:color="auto"/>
              <w:bottom w:val="single" w:sz="4" w:space="0" w:color="auto"/>
              <w:right w:val="single" w:sz="4" w:space="0" w:color="auto"/>
            </w:tcBorders>
          </w:tcPr>
          <w:p w14:paraId="50B03D15" w14:textId="77777777" w:rsidR="00784AC3" w:rsidRPr="00A5425E" w:rsidRDefault="00784AC3" w:rsidP="00513F76">
            <w:pPr>
              <w:rPr>
                <w:rFonts w:cs="Arial"/>
                <w:sz w:val="18"/>
                <w:szCs w:val="18"/>
              </w:rPr>
            </w:pPr>
            <w:r w:rsidRPr="00A5425E">
              <w:rPr>
                <w:rFonts w:cs="Arial"/>
                <w:sz w:val="18"/>
                <w:szCs w:val="18"/>
              </w:rPr>
              <w:t>15.4</w:t>
            </w:r>
          </w:p>
          <w:p w14:paraId="142440F9" w14:textId="77777777" w:rsidR="00784AC3" w:rsidRPr="00A5425E" w:rsidRDefault="00784AC3" w:rsidP="00513F76">
            <w:pPr>
              <w:rPr>
                <w:rFonts w:cs="Arial"/>
                <w:sz w:val="18"/>
                <w:szCs w:val="18"/>
              </w:rPr>
            </w:pPr>
          </w:p>
        </w:tc>
        <w:tc>
          <w:tcPr>
            <w:tcW w:w="590" w:type="pct"/>
            <w:tcBorders>
              <w:top w:val="single" w:sz="4" w:space="0" w:color="auto"/>
              <w:left w:val="single" w:sz="4" w:space="0" w:color="auto"/>
              <w:bottom w:val="single" w:sz="4" w:space="0" w:color="auto"/>
              <w:right w:val="single" w:sz="4" w:space="0" w:color="auto"/>
            </w:tcBorders>
          </w:tcPr>
          <w:p w14:paraId="4DDD4AFA" w14:textId="77777777" w:rsidR="00784AC3" w:rsidRPr="00A5425E" w:rsidRDefault="00784AC3" w:rsidP="00513F76">
            <w:pPr>
              <w:rPr>
                <w:rFonts w:cs="Arial"/>
                <w:sz w:val="18"/>
                <w:szCs w:val="18"/>
              </w:rPr>
            </w:pPr>
            <w:r w:rsidRPr="00A5425E">
              <w:rPr>
                <w:rFonts w:cs="Arial"/>
                <w:sz w:val="18"/>
                <w:szCs w:val="18"/>
              </w:rPr>
              <w:t>5.8</w:t>
            </w:r>
          </w:p>
        </w:tc>
        <w:tc>
          <w:tcPr>
            <w:tcW w:w="593" w:type="pct"/>
            <w:tcBorders>
              <w:top w:val="single" w:sz="4" w:space="0" w:color="auto"/>
              <w:left w:val="single" w:sz="4" w:space="0" w:color="auto"/>
              <w:bottom w:val="single" w:sz="4" w:space="0" w:color="auto"/>
              <w:right w:val="single" w:sz="4" w:space="0" w:color="auto"/>
            </w:tcBorders>
          </w:tcPr>
          <w:p w14:paraId="3D922D57" w14:textId="77777777" w:rsidR="00784AC3" w:rsidRPr="00A5425E" w:rsidRDefault="00784AC3" w:rsidP="00513F76">
            <w:pPr>
              <w:rPr>
                <w:rFonts w:cs="Arial"/>
                <w:sz w:val="18"/>
                <w:szCs w:val="18"/>
              </w:rPr>
            </w:pPr>
            <w:r w:rsidRPr="00A5425E">
              <w:rPr>
                <w:rFonts w:cs="Arial"/>
                <w:sz w:val="18"/>
                <w:szCs w:val="18"/>
              </w:rPr>
              <w:t xml:space="preserve">3 - 45 </w:t>
            </w:r>
          </w:p>
        </w:tc>
        <w:tc>
          <w:tcPr>
            <w:tcW w:w="590" w:type="pct"/>
            <w:tcBorders>
              <w:top w:val="single" w:sz="4" w:space="0" w:color="auto"/>
              <w:left w:val="single" w:sz="4" w:space="0" w:color="auto"/>
              <w:bottom w:val="single" w:sz="4" w:space="0" w:color="auto"/>
              <w:right w:val="single" w:sz="4" w:space="0" w:color="auto"/>
            </w:tcBorders>
          </w:tcPr>
          <w:p w14:paraId="2BE23840" w14:textId="77777777" w:rsidR="00784AC3" w:rsidRPr="00A5425E" w:rsidRDefault="00784AC3" w:rsidP="00513F76">
            <w:pPr>
              <w:rPr>
                <w:rFonts w:cs="Arial"/>
                <w:sz w:val="18"/>
                <w:szCs w:val="18"/>
              </w:rPr>
            </w:pPr>
            <w:r w:rsidRPr="00A5425E">
              <w:rPr>
                <w:rFonts w:cs="Arial"/>
                <w:sz w:val="18"/>
                <w:szCs w:val="18"/>
              </w:rPr>
              <w:t>5.57</w:t>
            </w:r>
          </w:p>
        </w:tc>
        <w:tc>
          <w:tcPr>
            <w:tcW w:w="506" w:type="pct"/>
            <w:tcBorders>
              <w:top w:val="single" w:sz="4" w:space="0" w:color="auto"/>
              <w:left w:val="single" w:sz="4" w:space="0" w:color="auto"/>
              <w:bottom w:val="single" w:sz="4" w:space="0" w:color="auto"/>
              <w:right w:val="single" w:sz="4" w:space="0" w:color="auto"/>
            </w:tcBorders>
          </w:tcPr>
          <w:p w14:paraId="2094BA55" w14:textId="77777777" w:rsidR="00784AC3" w:rsidRPr="00A5425E" w:rsidRDefault="00784AC3" w:rsidP="00513F76">
            <w:pPr>
              <w:rPr>
                <w:rFonts w:cs="Arial"/>
                <w:sz w:val="18"/>
                <w:szCs w:val="18"/>
              </w:rPr>
            </w:pPr>
            <w:r w:rsidRPr="00A5425E">
              <w:rPr>
                <w:rFonts w:cs="Arial"/>
                <w:sz w:val="18"/>
                <w:szCs w:val="18"/>
              </w:rPr>
              <w:t>2.16</w:t>
            </w:r>
          </w:p>
        </w:tc>
        <w:tc>
          <w:tcPr>
            <w:tcW w:w="526" w:type="pct"/>
            <w:tcBorders>
              <w:top w:val="single" w:sz="4" w:space="0" w:color="auto"/>
              <w:left w:val="single" w:sz="4" w:space="0" w:color="auto"/>
              <w:bottom w:val="single" w:sz="4" w:space="0" w:color="auto"/>
              <w:right w:val="single" w:sz="4" w:space="0" w:color="auto"/>
            </w:tcBorders>
          </w:tcPr>
          <w:p w14:paraId="04BD0282" w14:textId="77777777" w:rsidR="00784AC3" w:rsidRPr="00A5425E" w:rsidRDefault="00784AC3" w:rsidP="00513F76">
            <w:pPr>
              <w:rPr>
                <w:rFonts w:cs="Arial"/>
                <w:sz w:val="18"/>
                <w:szCs w:val="18"/>
              </w:rPr>
            </w:pPr>
            <w:r w:rsidRPr="00A5425E">
              <w:rPr>
                <w:rFonts w:cs="Arial"/>
                <w:sz w:val="18"/>
                <w:szCs w:val="18"/>
              </w:rPr>
              <w:t>1.00 – 15.00</w:t>
            </w:r>
          </w:p>
        </w:tc>
      </w:tr>
      <w:tr w:rsidR="00513F76" w14:paraId="0478CCA4" w14:textId="77777777" w:rsidTr="00513F76">
        <w:trPr>
          <w:trHeight w:val="782"/>
        </w:trPr>
        <w:tc>
          <w:tcPr>
            <w:tcW w:w="507" w:type="pct"/>
            <w:tcBorders>
              <w:top w:val="single" w:sz="4" w:space="0" w:color="auto"/>
              <w:left w:val="single" w:sz="4" w:space="0" w:color="auto"/>
              <w:bottom w:val="single" w:sz="4" w:space="0" w:color="auto"/>
              <w:right w:val="single" w:sz="4" w:space="0" w:color="auto"/>
            </w:tcBorders>
          </w:tcPr>
          <w:p w14:paraId="7E6A691A" w14:textId="77777777" w:rsidR="00784AC3" w:rsidRPr="00A5425E" w:rsidRDefault="00784AC3" w:rsidP="00513F76">
            <w:pPr>
              <w:rPr>
                <w:rFonts w:cs="Arial"/>
                <w:sz w:val="18"/>
                <w:szCs w:val="18"/>
              </w:rPr>
            </w:pPr>
            <w:r w:rsidRPr="00A5425E">
              <w:rPr>
                <w:rFonts w:cs="Arial"/>
                <w:sz w:val="18"/>
                <w:szCs w:val="18"/>
              </w:rPr>
              <w:t>COPD</w:t>
            </w:r>
          </w:p>
        </w:tc>
        <w:tc>
          <w:tcPr>
            <w:tcW w:w="506" w:type="pct"/>
            <w:tcBorders>
              <w:top w:val="single" w:sz="4" w:space="0" w:color="auto"/>
              <w:left w:val="single" w:sz="4" w:space="0" w:color="auto"/>
              <w:bottom w:val="single" w:sz="4" w:space="0" w:color="auto"/>
              <w:right w:val="single" w:sz="4" w:space="0" w:color="auto"/>
            </w:tcBorders>
          </w:tcPr>
          <w:p w14:paraId="534EFFC8" w14:textId="77777777" w:rsidR="00784AC3" w:rsidRPr="00A5425E" w:rsidRDefault="00784AC3" w:rsidP="00513F76">
            <w:pPr>
              <w:rPr>
                <w:rFonts w:cs="Arial"/>
                <w:i/>
                <w:iCs/>
                <w:sz w:val="18"/>
                <w:szCs w:val="18"/>
              </w:rPr>
            </w:pPr>
            <w:r w:rsidRPr="00A5425E">
              <w:rPr>
                <w:rFonts w:cs="Arial"/>
                <w:sz w:val="18"/>
                <w:szCs w:val="18"/>
              </w:rPr>
              <w:t>Non-clinical</w:t>
            </w:r>
          </w:p>
        </w:tc>
        <w:tc>
          <w:tcPr>
            <w:tcW w:w="591" w:type="pct"/>
            <w:tcBorders>
              <w:top w:val="single" w:sz="4" w:space="0" w:color="auto"/>
              <w:left w:val="single" w:sz="4" w:space="0" w:color="auto"/>
              <w:bottom w:val="single" w:sz="4" w:space="0" w:color="auto"/>
              <w:right w:val="single" w:sz="4" w:space="0" w:color="auto"/>
            </w:tcBorders>
          </w:tcPr>
          <w:p w14:paraId="18B786E2" w14:textId="77777777" w:rsidR="00784AC3" w:rsidRPr="00A5425E" w:rsidRDefault="00784AC3" w:rsidP="00513F76">
            <w:pPr>
              <w:rPr>
                <w:rFonts w:cs="Arial"/>
                <w:sz w:val="18"/>
                <w:szCs w:val="18"/>
              </w:rPr>
            </w:pPr>
            <w:r w:rsidRPr="00A5425E">
              <w:rPr>
                <w:rFonts w:cs="Arial"/>
                <w:sz w:val="18"/>
                <w:szCs w:val="18"/>
              </w:rPr>
              <w:t>243</w:t>
            </w:r>
          </w:p>
          <w:p w14:paraId="53BE3CCE" w14:textId="77777777" w:rsidR="00784AC3" w:rsidRPr="00A5425E" w:rsidRDefault="00784AC3" w:rsidP="00513F76">
            <w:pPr>
              <w:rPr>
                <w:rFonts w:cs="Arial"/>
                <w:i/>
                <w:iCs/>
                <w:sz w:val="18"/>
                <w:szCs w:val="18"/>
              </w:rPr>
            </w:pPr>
            <w:r w:rsidRPr="00A5425E">
              <w:rPr>
                <w:rFonts w:cs="Arial"/>
                <w:sz w:val="18"/>
                <w:szCs w:val="18"/>
              </w:rPr>
              <w:t>(1)</w:t>
            </w:r>
          </w:p>
        </w:tc>
        <w:tc>
          <w:tcPr>
            <w:tcW w:w="590" w:type="pct"/>
            <w:tcBorders>
              <w:top w:val="single" w:sz="4" w:space="0" w:color="auto"/>
              <w:left w:val="single" w:sz="4" w:space="0" w:color="auto"/>
              <w:bottom w:val="single" w:sz="4" w:space="0" w:color="auto"/>
              <w:right w:val="single" w:sz="4" w:space="0" w:color="auto"/>
            </w:tcBorders>
          </w:tcPr>
          <w:p w14:paraId="442F8739" w14:textId="77777777" w:rsidR="00784AC3" w:rsidRPr="00A5425E" w:rsidRDefault="00784AC3" w:rsidP="00513F76">
            <w:pPr>
              <w:rPr>
                <w:rFonts w:cs="Arial"/>
                <w:sz w:val="18"/>
                <w:szCs w:val="18"/>
              </w:rPr>
            </w:pPr>
            <w:r w:rsidRPr="00A5425E">
              <w:rPr>
                <w:rFonts w:cs="Arial"/>
                <w:sz w:val="18"/>
                <w:szCs w:val="18"/>
              </w:rPr>
              <w:t>30</w:t>
            </w:r>
          </w:p>
        </w:tc>
        <w:tc>
          <w:tcPr>
            <w:tcW w:w="590" w:type="pct"/>
            <w:tcBorders>
              <w:top w:val="single" w:sz="4" w:space="0" w:color="auto"/>
              <w:left w:val="single" w:sz="4" w:space="0" w:color="auto"/>
              <w:bottom w:val="single" w:sz="4" w:space="0" w:color="auto"/>
              <w:right w:val="single" w:sz="4" w:space="0" w:color="auto"/>
            </w:tcBorders>
          </w:tcPr>
          <w:p w14:paraId="6E636E1F" w14:textId="77777777" w:rsidR="00784AC3" w:rsidRPr="00A5425E" w:rsidRDefault="00784AC3" w:rsidP="00513F76">
            <w:pPr>
              <w:rPr>
                <w:rFonts w:cs="Arial"/>
                <w:sz w:val="18"/>
                <w:szCs w:val="18"/>
              </w:rPr>
            </w:pPr>
            <w:r w:rsidRPr="00A5425E">
              <w:rPr>
                <w:rFonts w:cs="Arial"/>
                <w:sz w:val="18"/>
                <w:szCs w:val="18"/>
              </w:rPr>
              <w:t>26.2</w:t>
            </w:r>
          </w:p>
        </w:tc>
        <w:tc>
          <w:tcPr>
            <w:tcW w:w="593" w:type="pct"/>
            <w:tcBorders>
              <w:top w:val="single" w:sz="4" w:space="0" w:color="auto"/>
              <w:left w:val="single" w:sz="4" w:space="0" w:color="auto"/>
              <w:bottom w:val="single" w:sz="4" w:space="0" w:color="auto"/>
              <w:right w:val="single" w:sz="4" w:space="0" w:color="auto"/>
            </w:tcBorders>
          </w:tcPr>
          <w:p w14:paraId="778481FC" w14:textId="77777777" w:rsidR="00784AC3" w:rsidRPr="00A5425E" w:rsidRDefault="00784AC3" w:rsidP="00513F76">
            <w:pPr>
              <w:rPr>
                <w:rFonts w:cs="Arial"/>
                <w:sz w:val="18"/>
                <w:szCs w:val="18"/>
              </w:rPr>
            </w:pPr>
            <w:r w:rsidRPr="00A5425E">
              <w:rPr>
                <w:rFonts w:cs="Arial"/>
                <w:sz w:val="18"/>
                <w:szCs w:val="18"/>
              </w:rPr>
              <w:t>10 - 280</w:t>
            </w:r>
          </w:p>
        </w:tc>
        <w:tc>
          <w:tcPr>
            <w:tcW w:w="590" w:type="pct"/>
            <w:tcBorders>
              <w:top w:val="single" w:sz="4" w:space="0" w:color="auto"/>
              <w:left w:val="single" w:sz="4" w:space="0" w:color="auto"/>
              <w:bottom w:val="single" w:sz="4" w:space="0" w:color="auto"/>
              <w:right w:val="single" w:sz="4" w:space="0" w:color="auto"/>
            </w:tcBorders>
          </w:tcPr>
          <w:p w14:paraId="317BA1F3" w14:textId="77777777" w:rsidR="00784AC3" w:rsidRPr="00A5425E" w:rsidRDefault="00784AC3" w:rsidP="00513F76">
            <w:pPr>
              <w:rPr>
                <w:rFonts w:cs="Arial"/>
                <w:sz w:val="18"/>
                <w:szCs w:val="18"/>
              </w:rPr>
            </w:pPr>
            <w:r w:rsidRPr="00A5425E">
              <w:rPr>
                <w:rFonts w:cs="Arial"/>
                <w:sz w:val="18"/>
                <w:szCs w:val="18"/>
              </w:rPr>
              <w:t>6.00</w:t>
            </w:r>
          </w:p>
        </w:tc>
        <w:tc>
          <w:tcPr>
            <w:tcW w:w="506" w:type="pct"/>
            <w:tcBorders>
              <w:top w:val="single" w:sz="4" w:space="0" w:color="auto"/>
              <w:left w:val="single" w:sz="4" w:space="0" w:color="auto"/>
              <w:bottom w:val="single" w:sz="4" w:space="0" w:color="auto"/>
              <w:right w:val="single" w:sz="4" w:space="0" w:color="auto"/>
            </w:tcBorders>
          </w:tcPr>
          <w:p w14:paraId="6F00B56D" w14:textId="77777777" w:rsidR="00784AC3" w:rsidRPr="00A5425E" w:rsidRDefault="00784AC3" w:rsidP="00513F76">
            <w:pPr>
              <w:rPr>
                <w:rFonts w:cs="Arial"/>
                <w:sz w:val="18"/>
                <w:szCs w:val="18"/>
              </w:rPr>
            </w:pPr>
            <w:r w:rsidRPr="00A5425E">
              <w:rPr>
                <w:rFonts w:cs="Arial"/>
                <w:sz w:val="18"/>
                <w:szCs w:val="18"/>
              </w:rPr>
              <w:t>2.52</w:t>
            </w:r>
          </w:p>
        </w:tc>
        <w:tc>
          <w:tcPr>
            <w:tcW w:w="526" w:type="pct"/>
            <w:tcBorders>
              <w:top w:val="single" w:sz="4" w:space="0" w:color="auto"/>
              <w:left w:val="single" w:sz="4" w:space="0" w:color="auto"/>
              <w:bottom w:val="single" w:sz="4" w:space="0" w:color="auto"/>
              <w:right w:val="single" w:sz="4" w:space="0" w:color="auto"/>
            </w:tcBorders>
          </w:tcPr>
          <w:p w14:paraId="093D01C0" w14:textId="77777777" w:rsidR="00784AC3" w:rsidRPr="00A5425E" w:rsidRDefault="00784AC3" w:rsidP="00513F76">
            <w:pPr>
              <w:rPr>
                <w:rFonts w:cs="Arial"/>
                <w:sz w:val="18"/>
                <w:szCs w:val="18"/>
              </w:rPr>
            </w:pPr>
            <w:r w:rsidRPr="00A5425E">
              <w:rPr>
                <w:rFonts w:cs="Arial"/>
                <w:sz w:val="18"/>
                <w:szCs w:val="18"/>
              </w:rPr>
              <w:t>1.33 – 18.75</w:t>
            </w:r>
          </w:p>
        </w:tc>
      </w:tr>
      <w:tr w:rsidR="00513F76" w14:paraId="2C148F6E" w14:textId="77777777" w:rsidTr="00513F76">
        <w:trPr>
          <w:trHeight w:val="772"/>
        </w:trPr>
        <w:tc>
          <w:tcPr>
            <w:tcW w:w="507" w:type="pct"/>
            <w:tcBorders>
              <w:top w:val="single" w:sz="4" w:space="0" w:color="auto"/>
              <w:left w:val="single" w:sz="4" w:space="0" w:color="auto"/>
              <w:bottom w:val="single" w:sz="4" w:space="0" w:color="auto"/>
              <w:right w:val="single" w:sz="4" w:space="0" w:color="auto"/>
            </w:tcBorders>
          </w:tcPr>
          <w:p w14:paraId="294F514C" w14:textId="77777777" w:rsidR="00784AC3" w:rsidRPr="00A5425E" w:rsidRDefault="00784AC3" w:rsidP="00513F76">
            <w:pPr>
              <w:rPr>
                <w:rFonts w:cs="Arial"/>
                <w:sz w:val="18"/>
                <w:szCs w:val="18"/>
              </w:rPr>
            </w:pPr>
          </w:p>
        </w:tc>
        <w:tc>
          <w:tcPr>
            <w:tcW w:w="506" w:type="pct"/>
            <w:tcBorders>
              <w:top w:val="single" w:sz="4" w:space="0" w:color="auto"/>
              <w:left w:val="single" w:sz="4" w:space="0" w:color="auto"/>
              <w:bottom w:val="single" w:sz="4" w:space="0" w:color="auto"/>
              <w:right w:val="single" w:sz="4" w:space="0" w:color="auto"/>
            </w:tcBorders>
          </w:tcPr>
          <w:p w14:paraId="62EEA068" w14:textId="77777777" w:rsidR="00784AC3" w:rsidRPr="00A5425E" w:rsidRDefault="00784AC3" w:rsidP="00513F76">
            <w:pPr>
              <w:rPr>
                <w:rFonts w:cs="Arial"/>
                <w:i/>
                <w:iCs/>
                <w:sz w:val="18"/>
                <w:szCs w:val="18"/>
              </w:rPr>
            </w:pPr>
            <w:r w:rsidRPr="00A5425E">
              <w:rPr>
                <w:rFonts w:cs="Arial"/>
                <w:i/>
                <w:iCs/>
                <w:sz w:val="18"/>
                <w:szCs w:val="18"/>
              </w:rPr>
              <w:t xml:space="preserve">All reviews </w:t>
            </w:r>
          </w:p>
        </w:tc>
        <w:tc>
          <w:tcPr>
            <w:tcW w:w="591" w:type="pct"/>
            <w:tcBorders>
              <w:top w:val="single" w:sz="4" w:space="0" w:color="auto"/>
              <w:left w:val="single" w:sz="4" w:space="0" w:color="auto"/>
              <w:bottom w:val="single" w:sz="4" w:space="0" w:color="auto"/>
              <w:right w:val="single" w:sz="4" w:space="0" w:color="auto"/>
            </w:tcBorders>
          </w:tcPr>
          <w:p w14:paraId="778CA0C7" w14:textId="77777777" w:rsidR="00784AC3" w:rsidRPr="00A5425E" w:rsidRDefault="00784AC3" w:rsidP="00513F76">
            <w:pPr>
              <w:rPr>
                <w:rFonts w:cs="Arial"/>
                <w:i/>
                <w:iCs/>
                <w:sz w:val="18"/>
                <w:szCs w:val="18"/>
              </w:rPr>
            </w:pPr>
            <w:r w:rsidRPr="00A5425E">
              <w:rPr>
                <w:rFonts w:cs="Arial"/>
                <w:i/>
                <w:iCs/>
                <w:sz w:val="18"/>
                <w:szCs w:val="18"/>
              </w:rPr>
              <w:t>832</w:t>
            </w:r>
          </w:p>
          <w:p w14:paraId="6900DAD1" w14:textId="77777777" w:rsidR="00784AC3" w:rsidRPr="00A5425E" w:rsidRDefault="00784AC3" w:rsidP="00513F76">
            <w:pPr>
              <w:rPr>
                <w:rFonts w:cs="Arial"/>
                <w:i/>
                <w:iCs/>
                <w:sz w:val="18"/>
                <w:szCs w:val="18"/>
              </w:rPr>
            </w:pPr>
            <w:r w:rsidRPr="00A5425E">
              <w:rPr>
                <w:rFonts w:cs="Arial"/>
                <w:i/>
                <w:iCs/>
                <w:sz w:val="18"/>
                <w:szCs w:val="18"/>
              </w:rPr>
              <w:t>(2)</w:t>
            </w:r>
          </w:p>
        </w:tc>
        <w:tc>
          <w:tcPr>
            <w:tcW w:w="590" w:type="pct"/>
            <w:tcBorders>
              <w:top w:val="single" w:sz="4" w:space="0" w:color="auto"/>
              <w:left w:val="single" w:sz="4" w:space="0" w:color="auto"/>
              <w:bottom w:val="single" w:sz="4" w:space="0" w:color="auto"/>
              <w:right w:val="single" w:sz="4" w:space="0" w:color="auto"/>
            </w:tcBorders>
          </w:tcPr>
          <w:p w14:paraId="60D76CC0" w14:textId="77777777" w:rsidR="00784AC3" w:rsidRPr="00A5425E" w:rsidRDefault="00784AC3" w:rsidP="00513F76">
            <w:pPr>
              <w:rPr>
                <w:rFonts w:cs="Arial"/>
                <w:sz w:val="18"/>
                <w:szCs w:val="18"/>
              </w:rPr>
            </w:pPr>
          </w:p>
        </w:tc>
        <w:tc>
          <w:tcPr>
            <w:tcW w:w="590" w:type="pct"/>
            <w:tcBorders>
              <w:top w:val="single" w:sz="4" w:space="0" w:color="auto"/>
              <w:left w:val="single" w:sz="4" w:space="0" w:color="auto"/>
              <w:bottom w:val="single" w:sz="4" w:space="0" w:color="auto"/>
              <w:right w:val="single" w:sz="4" w:space="0" w:color="auto"/>
            </w:tcBorders>
          </w:tcPr>
          <w:p w14:paraId="4373E003" w14:textId="77777777" w:rsidR="00784AC3" w:rsidRPr="00A5425E" w:rsidRDefault="00784AC3" w:rsidP="00513F76">
            <w:pPr>
              <w:rPr>
                <w:rFonts w:cs="Arial"/>
                <w:sz w:val="18"/>
                <w:szCs w:val="18"/>
              </w:rPr>
            </w:pPr>
          </w:p>
        </w:tc>
        <w:tc>
          <w:tcPr>
            <w:tcW w:w="593" w:type="pct"/>
            <w:tcBorders>
              <w:top w:val="single" w:sz="4" w:space="0" w:color="auto"/>
              <w:left w:val="single" w:sz="4" w:space="0" w:color="auto"/>
              <w:bottom w:val="single" w:sz="4" w:space="0" w:color="auto"/>
              <w:right w:val="single" w:sz="4" w:space="0" w:color="auto"/>
            </w:tcBorders>
          </w:tcPr>
          <w:p w14:paraId="4F6599E5" w14:textId="77777777" w:rsidR="00784AC3" w:rsidRPr="00A5425E" w:rsidRDefault="00784AC3" w:rsidP="00513F76">
            <w:pPr>
              <w:rPr>
                <w:rFonts w:cs="Arial"/>
                <w:sz w:val="18"/>
                <w:szCs w:val="18"/>
              </w:rPr>
            </w:pPr>
          </w:p>
        </w:tc>
        <w:tc>
          <w:tcPr>
            <w:tcW w:w="590" w:type="pct"/>
            <w:tcBorders>
              <w:top w:val="single" w:sz="4" w:space="0" w:color="auto"/>
              <w:left w:val="single" w:sz="4" w:space="0" w:color="auto"/>
              <w:bottom w:val="single" w:sz="4" w:space="0" w:color="auto"/>
              <w:right w:val="single" w:sz="4" w:space="0" w:color="auto"/>
            </w:tcBorders>
          </w:tcPr>
          <w:p w14:paraId="07CDD8FC" w14:textId="77777777" w:rsidR="00784AC3" w:rsidRPr="00A5425E" w:rsidRDefault="00784AC3" w:rsidP="00513F76">
            <w:pPr>
              <w:rPr>
                <w:rFonts w:cs="Arial"/>
                <w:sz w:val="18"/>
                <w:szCs w:val="18"/>
              </w:rPr>
            </w:pPr>
          </w:p>
        </w:tc>
        <w:tc>
          <w:tcPr>
            <w:tcW w:w="506" w:type="pct"/>
            <w:tcBorders>
              <w:top w:val="single" w:sz="4" w:space="0" w:color="auto"/>
              <w:left w:val="single" w:sz="4" w:space="0" w:color="auto"/>
              <w:bottom w:val="single" w:sz="4" w:space="0" w:color="auto"/>
              <w:right w:val="single" w:sz="4" w:space="0" w:color="auto"/>
            </w:tcBorders>
          </w:tcPr>
          <w:p w14:paraId="7F09F982" w14:textId="77777777" w:rsidR="00784AC3" w:rsidRPr="00A5425E" w:rsidRDefault="00784AC3" w:rsidP="00513F76">
            <w:pPr>
              <w:rPr>
                <w:rFonts w:cs="Arial"/>
                <w:sz w:val="18"/>
                <w:szCs w:val="18"/>
              </w:rPr>
            </w:pPr>
          </w:p>
        </w:tc>
        <w:tc>
          <w:tcPr>
            <w:tcW w:w="526" w:type="pct"/>
            <w:tcBorders>
              <w:top w:val="single" w:sz="4" w:space="0" w:color="auto"/>
              <w:left w:val="single" w:sz="4" w:space="0" w:color="auto"/>
              <w:bottom w:val="single" w:sz="4" w:space="0" w:color="auto"/>
              <w:right w:val="single" w:sz="4" w:space="0" w:color="auto"/>
            </w:tcBorders>
          </w:tcPr>
          <w:p w14:paraId="3CB5F8BF" w14:textId="77777777" w:rsidR="00784AC3" w:rsidRPr="00A5425E" w:rsidRDefault="00784AC3" w:rsidP="00513F76">
            <w:pPr>
              <w:rPr>
                <w:rFonts w:cs="Arial"/>
                <w:sz w:val="18"/>
                <w:szCs w:val="18"/>
              </w:rPr>
            </w:pPr>
          </w:p>
        </w:tc>
      </w:tr>
      <w:tr w:rsidR="00513F76" w14:paraId="0B1A906C" w14:textId="77777777" w:rsidTr="00513F76">
        <w:trPr>
          <w:trHeight w:val="392"/>
        </w:trPr>
        <w:tc>
          <w:tcPr>
            <w:tcW w:w="507" w:type="pct"/>
            <w:tcBorders>
              <w:top w:val="single" w:sz="4" w:space="0" w:color="auto"/>
              <w:left w:val="single" w:sz="4" w:space="0" w:color="auto"/>
              <w:bottom w:val="single" w:sz="4" w:space="0" w:color="auto"/>
              <w:right w:val="single" w:sz="4" w:space="0" w:color="auto"/>
            </w:tcBorders>
          </w:tcPr>
          <w:p w14:paraId="2BCF32D9" w14:textId="77777777" w:rsidR="00784AC3" w:rsidRPr="00A5425E" w:rsidRDefault="00784AC3" w:rsidP="00513F76">
            <w:pPr>
              <w:rPr>
                <w:rFonts w:cs="Arial"/>
                <w:sz w:val="18"/>
                <w:szCs w:val="18"/>
              </w:rPr>
            </w:pPr>
          </w:p>
        </w:tc>
        <w:tc>
          <w:tcPr>
            <w:tcW w:w="506" w:type="pct"/>
            <w:tcBorders>
              <w:top w:val="single" w:sz="4" w:space="0" w:color="auto"/>
              <w:left w:val="single" w:sz="4" w:space="0" w:color="auto"/>
              <w:bottom w:val="single" w:sz="4" w:space="0" w:color="auto"/>
              <w:right w:val="single" w:sz="4" w:space="0" w:color="auto"/>
            </w:tcBorders>
          </w:tcPr>
          <w:p w14:paraId="46DE7809" w14:textId="77777777" w:rsidR="00784AC3" w:rsidRPr="00A5425E" w:rsidRDefault="00784AC3" w:rsidP="00513F76">
            <w:pPr>
              <w:rPr>
                <w:rFonts w:cs="Arial"/>
                <w:sz w:val="18"/>
                <w:szCs w:val="18"/>
              </w:rPr>
            </w:pPr>
          </w:p>
        </w:tc>
        <w:tc>
          <w:tcPr>
            <w:tcW w:w="591" w:type="pct"/>
            <w:tcBorders>
              <w:top w:val="single" w:sz="4" w:space="0" w:color="auto"/>
              <w:left w:val="single" w:sz="4" w:space="0" w:color="auto"/>
              <w:bottom w:val="single" w:sz="4" w:space="0" w:color="auto"/>
              <w:right w:val="single" w:sz="4" w:space="0" w:color="auto"/>
            </w:tcBorders>
          </w:tcPr>
          <w:p w14:paraId="5FAFDCDD" w14:textId="77777777" w:rsidR="00784AC3" w:rsidRPr="00A5425E" w:rsidRDefault="00784AC3" w:rsidP="00513F76">
            <w:pPr>
              <w:rPr>
                <w:rFonts w:cs="Arial"/>
                <w:sz w:val="18"/>
                <w:szCs w:val="18"/>
              </w:rPr>
            </w:pPr>
          </w:p>
        </w:tc>
        <w:tc>
          <w:tcPr>
            <w:tcW w:w="590" w:type="pct"/>
            <w:tcBorders>
              <w:top w:val="single" w:sz="4" w:space="0" w:color="auto"/>
              <w:left w:val="single" w:sz="4" w:space="0" w:color="auto"/>
              <w:bottom w:val="single" w:sz="4" w:space="0" w:color="auto"/>
              <w:right w:val="single" w:sz="4" w:space="0" w:color="auto"/>
            </w:tcBorders>
          </w:tcPr>
          <w:p w14:paraId="78B90431" w14:textId="77777777" w:rsidR="00784AC3" w:rsidRPr="00A5425E" w:rsidRDefault="00784AC3" w:rsidP="00513F76">
            <w:pPr>
              <w:rPr>
                <w:rFonts w:cs="Arial"/>
                <w:sz w:val="18"/>
                <w:szCs w:val="18"/>
              </w:rPr>
            </w:pPr>
          </w:p>
        </w:tc>
        <w:tc>
          <w:tcPr>
            <w:tcW w:w="590" w:type="pct"/>
            <w:tcBorders>
              <w:top w:val="single" w:sz="4" w:space="0" w:color="auto"/>
              <w:left w:val="single" w:sz="4" w:space="0" w:color="auto"/>
              <w:bottom w:val="single" w:sz="4" w:space="0" w:color="auto"/>
              <w:right w:val="single" w:sz="4" w:space="0" w:color="auto"/>
            </w:tcBorders>
          </w:tcPr>
          <w:p w14:paraId="6CE2B9F1" w14:textId="77777777" w:rsidR="00784AC3" w:rsidRPr="00A5425E" w:rsidRDefault="00784AC3" w:rsidP="00513F76">
            <w:pPr>
              <w:rPr>
                <w:rFonts w:cs="Arial"/>
                <w:sz w:val="18"/>
                <w:szCs w:val="18"/>
              </w:rPr>
            </w:pPr>
          </w:p>
        </w:tc>
        <w:tc>
          <w:tcPr>
            <w:tcW w:w="593" w:type="pct"/>
            <w:tcBorders>
              <w:top w:val="single" w:sz="4" w:space="0" w:color="auto"/>
              <w:left w:val="single" w:sz="4" w:space="0" w:color="auto"/>
              <w:bottom w:val="single" w:sz="4" w:space="0" w:color="auto"/>
              <w:right w:val="single" w:sz="4" w:space="0" w:color="auto"/>
            </w:tcBorders>
          </w:tcPr>
          <w:p w14:paraId="5104535A" w14:textId="77777777" w:rsidR="00784AC3" w:rsidRPr="00A5425E" w:rsidRDefault="00784AC3" w:rsidP="00513F76">
            <w:pPr>
              <w:rPr>
                <w:rFonts w:cs="Arial"/>
                <w:sz w:val="18"/>
                <w:szCs w:val="18"/>
              </w:rPr>
            </w:pPr>
          </w:p>
        </w:tc>
        <w:tc>
          <w:tcPr>
            <w:tcW w:w="590" w:type="pct"/>
            <w:tcBorders>
              <w:top w:val="single" w:sz="4" w:space="0" w:color="auto"/>
              <w:left w:val="single" w:sz="4" w:space="0" w:color="auto"/>
              <w:bottom w:val="single" w:sz="4" w:space="0" w:color="auto"/>
              <w:right w:val="single" w:sz="4" w:space="0" w:color="auto"/>
            </w:tcBorders>
          </w:tcPr>
          <w:p w14:paraId="2DFE86D4" w14:textId="77777777" w:rsidR="00784AC3" w:rsidRPr="00A5425E" w:rsidRDefault="00784AC3" w:rsidP="00513F76">
            <w:pPr>
              <w:rPr>
                <w:rFonts w:cs="Arial"/>
                <w:sz w:val="18"/>
                <w:szCs w:val="18"/>
              </w:rPr>
            </w:pPr>
          </w:p>
        </w:tc>
        <w:tc>
          <w:tcPr>
            <w:tcW w:w="506" w:type="pct"/>
            <w:tcBorders>
              <w:top w:val="single" w:sz="4" w:space="0" w:color="auto"/>
              <w:left w:val="single" w:sz="4" w:space="0" w:color="auto"/>
              <w:bottom w:val="single" w:sz="4" w:space="0" w:color="auto"/>
              <w:right w:val="single" w:sz="4" w:space="0" w:color="auto"/>
            </w:tcBorders>
          </w:tcPr>
          <w:p w14:paraId="18873268" w14:textId="77777777" w:rsidR="00784AC3" w:rsidRPr="00A5425E" w:rsidRDefault="00784AC3" w:rsidP="00513F76">
            <w:pPr>
              <w:rPr>
                <w:rFonts w:cs="Arial"/>
                <w:sz w:val="18"/>
                <w:szCs w:val="18"/>
              </w:rPr>
            </w:pPr>
          </w:p>
        </w:tc>
        <w:tc>
          <w:tcPr>
            <w:tcW w:w="526" w:type="pct"/>
            <w:tcBorders>
              <w:top w:val="single" w:sz="4" w:space="0" w:color="auto"/>
              <w:left w:val="single" w:sz="4" w:space="0" w:color="auto"/>
              <w:bottom w:val="single" w:sz="4" w:space="0" w:color="auto"/>
              <w:right w:val="single" w:sz="4" w:space="0" w:color="auto"/>
            </w:tcBorders>
          </w:tcPr>
          <w:p w14:paraId="15A58CE3" w14:textId="77777777" w:rsidR="00784AC3" w:rsidRPr="00A5425E" w:rsidRDefault="00784AC3" w:rsidP="00513F76">
            <w:pPr>
              <w:rPr>
                <w:rFonts w:cs="Arial"/>
                <w:sz w:val="18"/>
                <w:szCs w:val="18"/>
              </w:rPr>
            </w:pPr>
          </w:p>
        </w:tc>
      </w:tr>
      <w:tr w:rsidR="00513F76" w14:paraId="40F53A24" w14:textId="77777777" w:rsidTr="00513F76">
        <w:trPr>
          <w:trHeight w:val="772"/>
        </w:trPr>
        <w:tc>
          <w:tcPr>
            <w:tcW w:w="507" w:type="pct"/>
            <w:tcBorders>
              <w:top w:val="single" w:sz="4" w:space="0" w:color="auto"/>
              <w:left w:val="single" w:sz="4" w:space="0" w:color="auto"/>
              <w:bottom w:val="single" w:sz="4" w:space="0" w:color="auto"/>
              <w:right w:val="single" w:sz="4" w:space="0" w:color="auto"/>
            </w:tcBorders>
          </w:tcPr>
          <w:p w14:paraId="15233C4E" w14:textId="77777777" w:rsidR="00784AC3" w:rsidRPr="00A5425E" w:rsidRDefault="00784AC3" w:rsidP="00513F76">
            <w:pPr>
              <w:rPr>
                <w:rFonts w:cs="Arial"/>
                <w:sz w:val="18"/>
                <w:szCs w:val="18"/>
              </w:rPr>
            </w:pPr>
            <w:r w:rsidRPr="00A5425E">
              <w:rPr>
                <w:rFonts w:cs="Arial"/>
                <w:sz w:val="18"/>
                <w:szCs w:val="18"/>
              </w:rPr>
              <w:t>H</w:t>
            </w:r>
            <w:r>
              <w:rPr>
                <w:rFonts w:cs="Arial"/>
                <w:sz w:val="18"/>
                <w:szCs w:val="18"/>
              </w:rPr>
              <w:t xml:space="preserve">eart </w:t>
            </w:r>
            <w:r w:rsidRPr="00A5425E">
              <w:rPr>
                <w:rFonts w:cs="Arial"/>
                <w:sz w:val="18"/>
                <w:szCs w:val="18"/>
              </w:rPr>
              <w:t>F</w:t>
            </w:r>
            <w:r>
              <w:rPr>
                <w:rFonts w:cs="Arial"/>
                <w:sz w:val="18"/>
                <w:szCs w:val="18"/>
              </w:rPr>
              <w:t>ailure</w:t>
            </w:r>
            <w:r w:rsidRPr="00A5425E">
              <w:rPr>
                <w:rFonts w:cs="Arial"/>
                <w:sz w:val="18"/>
                <w:szCs w:val="18"/>
              </w:rPr>
              <w:t xml:space="preserve"> </w:t>
            </w:r>
          </w:p>
        </w:tc>
        <w:tc>
          <w:tcPr>
            <w:tcW w:w="506" w:type="pct"/>
            <w:tcBorders>
              <w:top w:val="single" w:sz="4" w:space="0" w:color="auto"/>
              <w:left w:val="single" w:sz="4" w:space="0" w:color="auto"/>
              <w:bottom w:val="single" w:sz="4" w:space="0" w:color="auto"/>
              <w:right w:val="single" w:sz="4" w:space="0" w:color="auto"/>
            </w:tcBorders>
          </w:tcPr>
          <w:p w14:paraId="03CD313D" w14:textId="77777777" w:rsidR="00784AC3" w:rsidRPr="00A5425E" w:rsidRDefault="00784AC3" w:rsidP="00513F76">
            <w:pPr>
              <w:rPr>
                <w:rFonts w:cs="Arial"/>
                <w:sz w:val="18"/>
                <w:szCs w:val="18"/>
              </w:rPr>
            </w:pPr>
            <w:r w:rsidRPr="00A5425E">
              <w:rPr>
                <w:rFonts w:cs="Arial"/>
                <w:sz w:val="18"/>
                <w:szCs w:val="18"/>
              </w:rPr>
              <w:t>Doctors</w:t>
            </w:r>
          </w:p>
        </w:tc>
        <w:tc>
          <w:tcPr>
            <w:tcW w:w="591" w:type="pct"/>
            <w:tcBorders>
              <w:top w:val="single" w:sz="4" w:space="0" w:color="auto"/>
              <w:left w:val="single" w:sz="4" w:space="0" w:color="auto"/>
              <w:bottom w:val="single" w:sz="4" w:space="0" w:color="auto"/>
              <w:right w:val="single" w:sz="4" w:space="0" w:color="auto"/>
            </w:tcBorders>
          </w:tcPr>
          <w:p w14:paraId="71E6ADC6" w14:textId="77777777" w:rsidR="00784AC3" w:rsidRPr="00A5425E" w:rsidRDefault="00784AC3" w:rsidP="00513F76">
            <w:pPr>
              <w:rPr>
                <w:rFonts w:cs="Arial"/>
                <w:sz w:val="18"/>
                <w:szCs w:val="18"/>
              </w:rPr>
            </w:pPr>
            <w:r w:rsidRPr="00A5425E">
              <w:rPr>
                <w:rFonts w:cs="Arial"/>
                <w:sz w:val="18"/>
                <w:szCs w:val="18"/>
              </w:rPr>
              <w:t>311</w:t>
            </w:r>
          </w:p>
          <w:p w14:paraId="39A5831C" w14:textId="77777777" w:rsidR="00784AC3" w:rsidRPr="00A5425E" w:rsidRDefault="00784AC3" w:rsidP="00513F76">
            <w:pPr>
              <w:rPr>
                <w:rFonts w:cs="Arial"/>
                <w:sz w:val="18"/>
                <w:szCs w:val="18"/>
              </w:rPr>
            </w:pPr>
            <w:r w:rsidRPr="00A5425E">
              <w:rPr>
                <w:rFonts w:cs="Arial"/>
                <w:sz w:val="18"/>
                <w:szCs w:val="18"/>
              </w:rPr>
              <w:t>(2)</w:t>
            </w:r>
          </w:p>
        </w:tc>
        <w:tc>
          <w:tcPr>
            <w:tcW w:w="590" w:type="pct"/>
            <w:tcBorders>
              <w:top w:val="single" w:sz="4" w:space="0" w:color="auto"/>
              <w:left w:val="single" w:sz="4" w:space="0" w:color="auto"/>
              <w:bottom w:val="single" w:sz="4" w:space="0" w:color="auto"/>
              <w:right w:val="single" w:sz="4" w:space="0" w:color="auto"/>
            </w:tcBorders>
          </w:tcPr>
          <w:p w14:paraId="1DA39E85" w14:textId="77777777" w:rsidR="00784AC3" w:rsidRPr="00A5425E" w:rsidRDefault="00784AC3" w:rsidP="00513F76">
            <w:pPr>
              <w:rPr>
                <w:rFonts w:cs="Arial"/>
                <w:sz w:val="18"/>
                <w:szCs w:val="18"/>
              </w:rPr>
            </w:pPr>
            <w:r w:rsidRPr="00A5425E">
              <w:rPr>
                <w:rFonts w:cs="Arial"/>
                <w:sz w:val="18"/>
                <w:szCs w:val="18"/>
              </w:rPr>
              <w:t>20.8</w:t>
            </w:r>
          </w:p>
        </w:tc>
        <w:tc>
          <w:tcPr>
            <w:tcW w:w="590" w:type="pct"/>
            <w:tcBorders>
              <w:top w:val="single" w:sz="4" w:space="0" w:color="auto"/>
              <w:left w:val="single" w:sz="4" w:space="0" w:color="auto"/>
              <w:bottom w:val="single" w:sz="4" w:space="0" w:color="auto"/>
              <w:right w:val="single" w:sz="4" w:space="0" w:color="auto"/>
            </w:tcBorders>
          </w:tcPr>
          <w:p w14:paraId="29050386" w14:textId="77777777" w:rsidR="00784AC3" w:rsidRPr="00A5425E" w:rsidRDefault="00784AC3" w:rsidP="00513F76">
            <w:pPr>
              <w:rPr>
                <w:rFonts w:cs="Arial"/>
                <w:sz w:val="18"/>
                <w:szCs w:val="18"/>
              </w:rPr>
            </w:pPr>
            <w:r w:rsidRPr="00A5425E">
              <w:rPr>
                <w:rFonts w:cs="Arial"/>
                <w:sz w:val="18"/>
                <w:szCs w:val="18"/>
              </w:rPr>
              <w:t>9.9</w:t>
            </w:r>
          </w:p>
        </w:tc>
        <w:tc>
          <w:tcPr>
            <w:tcW w:w="593" w:type="pct"/>
            <w:tcBorders>
              <w:top w:val="single" w:sz="4" w:space="0" w:color="auto"/>
              <w:left w:val="single" w:sz="4" w:space="0" w:color="auto"/>
              <w:bottom w:val="single" w:sz="4" w:space="0" w:color="auto"/>
              <w:right w:val="single" w:sz="4" w:space="0" w:color="auto"/>
            </w:tcBorders>
          </w:tcPr>
          <w:p w14:paraId="4064EFCA" w14:textId="77777777" w:rsidR="00784AC3" w:rsidRPr="00A5425E" w:rsidRDefault="00784AC3" w:rsidP="00513F76">
            <w:pPr>
              <w:rPr>
                <w:rFonts w:cs="Arial"/>
                <w:sz w:val="18"/>
                <w:szCs w:val="18"/>
              </w:rPr>
            </w:pPr>
            <w:r w:rsidRPr="00A5425E">
              <w:rPr>
                <w:rFonts w:cs="Arial"/>
                <w:sz w:val="18"/>
                <w:szCs w:val="18"/>
              </w:rPr>
              <w:t>5 - 50</w:t>
            </w:r>
          </w:p>
        </w:tc>
        <w:tc>
          <w:tcPr>
            <w:tcW w:w="590" w:type="pct"/>
            <w:tcBorders>
              <w:top w:val="single" w:sz="4" w:space="0" w:color="auto"/>
              <w:left w:val="single" w:sz="4" w:space="0" w:color="auto"/>
              <w:bottom w:val="single" w:sz="4" w:space="0" w:color="auto"/>
              <w:right w:val="single" w:sz="4" w:space="0" w:color="auto"/>
            </w:tcBorders>
          </w:tcPr>
          <w:p w14:paraId="7B4FF67D" w14:textId="77777777" w:rsidR="00784AC3" w:rsidRPr="00A5425E" w:rsidRDefault="00784AC3" w:rsidP="00513F76">
            <w:pPr>
              <w:rPr>
                <w:rFonts w:cs="Arial"/>
                <w:sz w:val="18"/>
                <w:szCs w:val="18"/>
              </w:rPr>
            </w:pPr>
            <w:r w:rsidRPr="00A5425E">
              <w:rPr>
                <w:rFonts w:cs="Arial"/>
                <w:sz w:val="18"/>
                <w:szCs w:val="18"/>
              </w:rPr>
              <w:t>10.44</w:t>
            </w:r>
          </w:p>
        </w:tc>
        <w:tc>
          <w:tcPr>
            <w:tcW w:w="506" w:type="pct"/>
            <w:tcBorders>
              <w:top w:val="single" w:sz="4" w:space="0" w:color="auto"/>
              <w:left w:val="single" w:sz="4" w:space="0" w:color="auto"/>
              <w:bottom w:val="single" w:sz="4" w:space="0" w:color="auto"/>
              <w:right w:val="single" w:sz="4" w:space="0" w:color="auto"/>
            </w:tcBorders>
          </w:tcPr>
          <w:p w14:paraId="45B01F02" w14:textId="77777777" w:rsidR="00784AC3" w:rsidRPr="00A5425E" w:rsidRDefault="00784AC3" w:rsidP="00513F76">
            <w:pPr>
              <w:rPr>
                <w:rFonts w:cs="Arial"/>
                <w:sz w:val="18"/>
                <w:szCs w:val="18"/>
              </w:rPr>
            </w:pPr>
            <w:r w:rsidRPr="00A5425E">
              <w:rPr>
                <w:rFonts w:cs="Arial"/>
                <w:sz w:val="18"/>
                <w:szCs w:val="18"/>
              </w:rPr>
              <w:t>4.89</w:t>
            </w:r>
          </w:p>
        </w:tc>
        <w:tc>
          <w:tcPr>
            <w:tcW w:w="526" w:type="pct"/>
            <w:tcBorders>
              <w:top w:val="single" w:sz="4" w:space="0" w:color="auto"/>
              <w:left w:val="single" w:sz="4" w:space="0" w:color="auto"/>
              <w:bottom w:val="single" w:sz="4" w:space="0" w:color="auto"/>
              <w:right w:val="single" w:sz="4" w:space="0" w:color="auto"/>
            </w:tcBorders>
          </w:tcPr>
          <w:p w14:paraId="10A26479" w14:textId="77777777" w:rsidR="00784AC3" w:rsidRPr="00A5425E" w:rsidRDefault="00784AC3" w:rsidP="00513F76">
            <w:pPr>
              <w:rPr>
                <w:rFonts w:cs="Arial"/>
                <w:sz w:val="18"/>
                <w:szCs w:val="18"/>
              </w:rPr>
            </w:pPr>
            <w:r w:rsidRPr="00A5425E">
              <w:rPr>
                <w:rFonts w:cs="Arial"/>
                <w:sz w:val="18"/>
                <w:szCs w:val="18"/>
              </w:rPr>
              <w:t>2.58 – 21.67</w:t>
            </w:r>
          </w:p>
        </w:tc>
      </w:tr>
      <w:tr w:rsidR="00513F76" w14:paraId="02463797" w14:textId="77777777" w:rsidTr="00513F76">
        <w:trPr>
          <w:trHeight w:val="811"/>
        </w:trPr>
        <w:tc>
          <w:tcPr>
            <w:tcW w:w="507" w:type="pct"/>
            <w:tcBorders>
              <w:top w:val="single" w:sz="4" w:space="0" w:color="auto"/>
              <w:left w:val="single" w:sz="4" w:space="0" w:color="auto"/>
              <w:bottom w:val="single" w:sz="4" w:space="0" w:color="auto"/>
              <w:right w:val="single" w:sz="4" w:space="0" w:color="auto"/>
            </w:tcBorders>
          </w:tcPr>
          <w:p w14:paraId="1AC45C29" w14:textId="77777777" w:rsidR="00784AC3" w:rsidRPr="00A5425E" w:rsidRDefault="00784AC3" w:rsidP="00513F76">
            <w:pPr>
              <w:rPr>
                <w:rFonts w:cs="Arial"/>
                <w:sz w:val="18"/>
                <w:szCs w:val="18"/>
              </w:rPr>
            </w:pPr>
            <w:r w:rsidRPr="00A5425E">
              <w:rPr>
                <w:rFonts w:cs="Arial"/>
                <w:sz w:val="18"/>
                <w:szCs w:val="18"/>
              </w:rPr>
              <w:t>H</w:t>
            </w:r>
            <w:r>
              <w:rPr>
                <w:rFonts w:cs="Arial"/>
                <w:sz w:val="18"/>
                <w:szCs w:val="18"/>
              </w:rPr>
              <w:t xml:space="preserve">eart </w:t>
            </w:r>
            <w:r w:rsidRPr="00A5425E">
              <w:rPr>
                <w:rFonts w:cs="Arial"/>
                <w:sz w:val="18"/>
                <w:szCs w:val="18"/>
              </w:rPr>
              <w:t>F</w:t>
            </w:r>
            <w:r>
              <w:rPr>
                <w:rFonts w:cs="Arial"/>
                <w:sz w:val="18"/>
                <w:szCs w:val="18"/>
              </w:rPr>
              <w:t>ailure</w:t>
            </w:r>
            <w:r w:rsidRPr="00A5425E">
              <w:rPr>
                <w:rFonts w:cs="Arial"/>
                <w:sz w:val="18"/>
                <w:szCs w:val="18"/>
              </w:rPr>
              <w:t xml:space="preserve"> </w:t>
            </w:r>
          </w:p>
        </w:tc>
        <w:tc>
          <w:tcPr>
            <w:tcW w:w="506" w:type="pct"/>
            <w:tcBorders>
              <w:top w:val="single" w:sz="4" w:space="0" w:color="auto"/>
              <w:left w:val="single" w:sz="4" w:space="0" w:color="auto"/>
              <w:bottom w:val="single" w:sz="4" w:space="0" w:color="auto"/>
              <w:right w:val="single" w:sz="4" w:space="0" w:color="auto"/>
            </w:tcBorders>
          </w:tcPr>
          <w:p w14:paraId="7A1045A4" w14:textId="77777777" w:rsidR="00784AC3" w:rsidRPr="00A5425E" w:rsidRDefault="00784AC3" w:rsidP="00513F76">
            <w:pPr>
              <w:rPr>
                <w:rFonts w:cs="Arial"/>
                <w:sz w:val="18"/>
                <w:szCs w:val="18"/>
              </w:rPr>
            </w:pPr>
            <w:r w:rsidRPr="00A5425E">
              <w:rPr>
                <w:rFonts w:cs="Arial"/>
                <w:sz w:val="18"/>
                <w:szCs w:val="18"/>
              </w:rPr>
              <w:t>Nurses/ Other Clinical</w:t>
            </w:r>
          </w:p>
        </w:tc>
        <w:tc>
          <w:tcPr>
            <w:tcW w:w="591" w:type="pct"/>
            <w:tcBorders>
              <w:top w:val="single" w:sz="4" w:space="0" w:color="auto"/>
              <w:left w:val="single" w:sz="4" w:space="0" w:color="auto"/>
              <w:bottom w:val="single" w:sz="4" w:space="0" w:color="auto"/>
              <w:right w:val="single" w:sz="4" w:space="0" w:color="auto"/>
            </w:tcBorders>
          </w:tcPr>
          <w:p w14:paraId="5D4C9FFC" w14:textId="77777777" w:rsidR="00784AC3" w:rsidRPr="00A5425E" w:rsidRDefault="00784AC3" w:rsidP="00513F76">
            <w:pPr>
              <w:rPr>
                <w:rFonts w:cs="Arial"/>
                <w:sz w:val="18"/>
                <w:szCs w:val="18"/>
              </w:rPr>
            </w:pPr>
            <w:r w:rsidRPr="00A5425E">
              <w:rPr>
                <w:rFonts w:cs="Arial"/>
                <w:sz w:val="18"/>
                <w:szCs w:val="18"/>
              </w:rPr>
              <w:t>177</w:t>
            </w:r>
          </w:p>
          <w:p w14:paraId="5FA266AE" w14:textId="77777777" w:rsidR="00784AC3" w:rsidRPr="00A5425E" w:rsidRDefault="00784AC3" w:rsidP="00513F76">
            <w:pPr>
              <w:rPr>
                <w:rFonts w:cs="Arial"/>
                <w:sz w:val="18"/>
                <w:szCs w:val="18"/>
              </w:rPr>
            </w:pPr>
            <w:r w:rsidRPr="00A5425E">
              <w:rPr>
                <w:rFonts w:cs="Arial"/>
                <w:sz w:val="18"/>
                <w:szCs w:val="18"/>
              </w:rPr>
              <w:t>(2)</w:t>
            </w:r>
          </w:p>
        </w:tc>
        <w:tc>
          <w:tcPr>
            <w:tcW w:w="590" w:type="pct"/>
            <w:tcBorders>
              <w:top w:val="single" w:sz="4" w:space="0" w:color="auto"/>
              <w:left w:val="single" w:sz="4" w:space="0" w:color="auto"/>
              <w:bottom w:val="single" w:sz="4" w:space="0" w:color="auto"/>
              <w:right w:val="single" w:sz="4" w:space="0" w:color="auto"/>
            </w:tcBorders>
          </w:tcPr>
          <w:p w14:paraId="7449FCC5" w14:textId="77777777" w:rsidR="00784AC3" w:rsidRPr="00A5425E" w:rsidRDefault="00784AC3" w:rsidP="00513F76">
            <w:pPr>
              <w:rPr>
                <w:rFonts w:cs="Arial"/>
                <w:sz w:val="18"/>
                <w:szCs w:val="18"/>
              </w:rPr>
            </w:pPr>
            <w:r w:rsidRPr="00A5425E">
              <w:rPr>
                <w:rFonts w:cs="Arial"/>
                <w:sz w:val="18"/>
                <w:szCs w:val="18"/>
              </w:rPr>
              <w:t>20.6</w:t>
            </w:r>
          </w:p>
        </w:tc>
        <w:tc>
          <w:tcPr>
            <w:tcW w:w="590" w:type="pct"/>
            <w:tcBorders>
              <w:top w:val="single" w:sz="4" w:space="0" w:color="auto"/>
              <w:left w:val="single" w:sz="4" w:space="0" w:color="auto"/>
              <w:bottom w:val="single" w:sz="4" w:space="0" w:color="auto"/>
              <w:right w:val="single" w:sz="4" w:space="0" w:color="auto"/>
            </w:tcBorders>
          </w:tcPr>
          <w:p w14:paraId="5573106B" w14:textId="77777777" w:rsidR="00784AC3" w:rsidRPr="00A5425E" w:rsidRDefault="00784AC3" w:rsidP="00513F76">
            <w:pPr>
              <w:rPr>
                <w:rFonts w:cs="Arial"/>
                <w:sz w:val="18"/>
                <w:szCs w:val="18"/>
              </w:rPr>
            </w:pPr>
            <w:r w:rsidRPr="00A5425E">
              <w:rPr>
                <w:rFonts w:cs="Arial"/>
                <w:sz w:val="18"/>
                <w:szCs w:val="18"/>
              </w:rPr>
              <w:t>8.1</w:t>
            </w:r>
          </w:p>
        </w:tc>
        <w:tc>
          <w:tcPr>
            <w:tcW w:w="593" w:type="pct"/>
            <w:tcBorders>
              <w:top w:val="single" w:sz="4" w:space="0" w:color="auto"/>
              <w:left w:val="single" w:sz="4" w:space="0" w:color="auto"/>
              <w:bottom w:val="single" w:sz="4" w:space="0" w:color="auto"/>
              <w:right w:val="single" w:sz="4" w:space="0" w:color="auto"/>
            </w:tcBorders>
          </w:tcPr>
          <w:p w14:paraId="3A49C6A4" w14:textId="77777777" w:rsidR="00784AC3" w:rsidRPr="00A5425E" w:rsidRDefault="00784AC3" w:rsidP="00513F76">
            <w:pPr>
              <w:rPr>
                <w:rFonts w:cs="Arial"/>
                <w:sz w:val="18"/>
                <w:szCs w:val="18"/>
              </w:rPr>
            </w:pPr>
            <w:r w:rsidRPr="00A5425E">
              <w:rPr>
                <w:rFonts w:cs="Arial"/>
                <w:sz w:val="18"/>
                <w:szCs w:val="18"/>
              </w:rPr>
              <w:t>10 - 60</w:t>
            </w:r>
          </w:p>
        </w:tc>
        <w:tc>
          <w:tcPr>
            <w:tcW w:w="590" w:type="pct"/>
            <w:tcBorders>
              <w:top w:val="single" w:sz="4" w:space="0" w:color="auto"/>
              <w:left w:val="single" w:sz="4" w:space="0" w:color="auto"/>
              <w:bottom w:val="single" w:sz="4" w:space="0" w:color="auto"/>
              <w:right w:val="single" w:sz="4" w:space="0" w:color="auto"/>
            </w:tcBorders>
          </w:tcPr>
          <w:p w14:paraId="3B565F64" w14:textId="77777777" w:rsidR="00784AC3" w:rsidRPr="00A5425E" w:rsidRDefault="00784AC3" w:rsidP="00513F76">
            <w:pPr>
              <w:rPr>
                <w:rFonts w:cs="Arial"/>
                <w:sz w:val="18"/>
                <w:szCs w:val="18"/>
              </w:rPr>
            </w:pPr>
            <w:r w:rsidRPr="00A5425E">
              <w:rPr>
                <w:rFonts w:cs="Arial"/>
                <w:sz w:val="18"/>
                <w:szCs w:val="18"/>
              </w:rPr>
              <w:t>6.27</w:t>
            </w:r>
          </w:p>
        </w:tc>
        <w:tc>
          <w:tcPr>
            <w:tcW w:w="506" w:type="pct"/>
            <w:tcBorders>
              <w:top w:val="single" w:sz="4" w:space="0" w:color="auto"/>
              <w:left w:val="single" w:sz="4" w:space="0" w:color="auto"/>
              <w:bottom w:val="single" w:sz="4" w:space="0" w:color="auto"/>
              <w:right w:val="single" w:sz="4" w:space="0" w:color="auto"/>
            </w:tcBorders>
          </w:tcPr>
          <w:p w14:paraId="7B9642AF" w14:textId="77777777" w:rsidR="00784AC3" w:rsidRPr="00A5425E" w:rsidRDefault="00784AC3" w:rsidP="00513F76">
            <w:pPr>
              <w:rPr>
                <w:rFonts w:cs="Arial"/>
                <w:sz w:val="18"/>
                <w:szCs w:val="18"/>
              </w:rPr>
            </w:pPr>
            <w:r w:rsidRPr="00A5425E">
              <w:rPr>
                <w:rFonts w:cs="Arial"/>
                <w:sz w:val="18"/>
                <w:szCs w:val="18"/>
              </w:rPr>
              <w:t>2.79</w:t>
            </w:r>
          </w:p>
        </w:tc>
        <w:tc>
          <w:tcPr>
            <w:tcW w:w="526" w:type="pct"/>
            <w:tcBorders>
              <w:top w:val="single" w:sz="4" w:space="0" w:color="auto"/>
              <w:left w:val="single" w:sz="4" w:space="0" w:color="auto"/>
              <w:bottom w:val="single" w:sz="4" w:space="0" w:color="auto"/>
              <w:right w:val="single" w:sz="4" w:space="0" w:color="auto"/>
            </w:tcBorders>
          </w:tcPr>
          <w:p w14:paraId="4E893F17" w14:textId="77777777" w:rsidR="00784AC3" w:rsidRPr="00A5425E" w:rsidRDefault="00784AC3" w:rsidP="00513F76">
            <w:pPr>
              <w:rPr>
                <w:rFonts w:cs="Arial"/>
                <w:sz w:val="18"/>
                <w:szCs w:val="18"/>
              </w:rPr>
            </w:pPr>
            <w:r w:rsidRPr="00A5425E">
              <w:rPr>
                <w:rFonts w:cs="Arial"/>
                <w:sz w:val="18"/>
                <w:szCs w:val="18"/>
              </w:rPr>
              <w:t>2.83 – 17.00</w:t>
            </w:r>
          </w:p>
        </w:tc>
      </w:tr>
      <w:tr w:rsidR="00513F76" w14:paraId="3B48630C" w14:textId="77777777" w:rsidTr="00513F76">
        <w:trPr>
          <w:trHeight w:val="782"/>
        </w:trPr>
        <w:tc>
          <w:tcPr>
            <w:tcW w:w="507" w:type="pct"/>
            <w:tcBorders>
              <w:top w:val="single" w:sz="4" w:space="0" w:color="auto"/>
              <w:left w:val="single" w:sz="4" w:space="0" w:color="auto"/>
              <w:bottom w:val="single" w:sz="4" w:space="0" w:color="auto"/>
              <w:right w:val="single" w:sz="4" w:space="0" w:color="auto"/>
            </w:tcBorders>
          </w:tcPr>
          <w:p w14:paraId="5ACF545A" w14:textId="77777777" w:rsidR="00784AC3" w:rsidRPr="00A5425E" w:rsidRDefault="00784AC3" w:rsidP="00513F76">
            <w:pPr>
              <w:rPr>
                <w:rFonts w:cs="Arial"/>
                <w:sz w:val="18"/>
                <w:szCs w:val="18"/>
              </w:rPr>
            </w:pPr>
            <w:r w:rsidRPr="00A5425E">
              <w:rPr>
                <w:rFonts w:cs="Arial"/>
                <w:sz w:val="18"/>
                <w:szCs w:val="18"/>
              </w:rPr>
              <w:t>H</w:t>
            </w:r>
            <w:r>
              <w:rPr>
                <w:rFonts w:cs="Arial"/>
                <w:sz w:val="18"/>
                <w:szCs w:val="18"/>
              </w:rPr>
              <w:t xml:space="preserve">eart </w:t>
            </w:r>
            <w:r w:rsidRPr="00A5425E">
              <w:rPr>
                <w:rFonts w:cs="Arial"/>
                <w:sz w:val="18"/>
                <w:szCs w:val="18"/>
              </w:rPr>
              <w:t>F</w:t>
            </w:r>
            <w:r>
              <w:rPr>
                <w:rFonts w:cs="Arial"/>
                <w:sz w:val="18"/>
                <w:szCs w:val="18"/>
              </w:rPr>
              <w:t>ailure</w:t>
            </w:r>
            <w:r w:rsidRPr="00A5425E">
              <w:rPr>
                <w:rFonts w:cs="Arial"/>
                <w:sz w:val="18"/>
                <w:szCs w:val="18"/>
              </w:rPr>
              <w:t xml:space="preserve"> </w:t>
            </w:r>
          </w:p>
        </w:tc>
        <w:tc>
          <w:tcPr>
            <w:tcW w:w="506" w:type="pct"/>
            <w:tcBorders>
              <w:top w:val="single" w:sz="4" w:space="0" w:color="auto"/>
              <w:left w:val="single" w:sz="4" w:space="0" w:color="auto"/>
              <w:bottom w:val="single" w:sz="4" w:space="0" w:color="auto"/>
              <w:right w:val="single" w:sz="4" w:space="0" w:color="auto"/>
            </w:tcBorders>
          </w:tcPr>
          <w:p w14:paraId="5EE3D8E3" w14:textId="77777777" w:rsidR="00784AC3" w:rsidRPr="00A5425E" w:rsidRDefault="00784AC3" w:rsidP="00513F76">
            <w:pPr>
              <w:rPr>
                <w:rFonts w:cs="Arial"/>
                <w:i/>
                <w:iCs/>
                <w:sz w:val="18"/>
                <w:szCs w:val="18"/>
              </w:rPr>
            </w:pPr>
            <w:r w:rsidRPr="00A5425E">
              <w:rPr>
                <w:rFonts w:cs="Arial"/>
                <w:sz w:val="18"/>
                <w:szCs w:val="18"/>
              </w:rPr>
              <w:t>Non-clinical</w:t>
            </w:r>
          </w:p>
        </w:tc>
        <w:tc>
          <w:tcPr>
            <w:tcW w:w="591" w:type="pct"/>
            <w:tcBorders>
              <w:top w:val="single" w:sz="4" w:space="0" w:color="auto"/>
              <w:left w:val="single" w:sz="4" w:space="0" w:color="auto"/>
              <w:bottom w:val="single" w:sz="4" w:space="0" w:color="auto"/>
              <w:right w:val="single" w:sz="4" w:space="0" w:color="auto"/>
            </w:tcBorders>
          </w:tcPr>
          <w:p w14:paraId="6604654A" w14:textId="77777777" w:rsidR="00784AC3" w:rsidRPr="00A5425E" w:rsidRDefault="00784AC3" w:rsidP="00513F76">
            <w:pPr>
              <w:rPr>
                <w:rFonts w:cs="Arial"/>
                <w:sz w:val="18"/>
                <w:szCs w:val="18"/>
              </w:rPr>
            </w:pPr>
            <w:r w:rsidRPr="00A5425E">
              <w:rPr>
                <w:rFonts w:cs="Arial"/>
                <w:sz w:val="18"/>
                <w:szCs w:val="18"/>
              </w:rPr>
              <w:t>71</w:t>
            </w:r>
          </w:p>
          <w:p w14:paraId="51AEA624" w14:textId="77777777" w:rsidR="00784AC3" w:rsidRPr="00A5425E" w:rsidRDefault="00784AC3" w:rsidP="00513F76">
            <w:pPr>
              <w:rPr>
                <w:rFonts w:cs="Arial"/>
                <w:i/>
                <w:iCs/>
                <w:sz w:val="18"/>
                <w:szCs w:val="18"/>
              </w:rPr>
            </w:pPr>
            <w:r w:rsidRPr="00A5425E">
              <w:rPr>
                <w:rFonts w:cs="Arial"/>
                <w:sz w:val="18"/>
                <w:szCs w:val="18"/>
              </w:rPr>
              <w:t>(0)</w:t>
            </w:r>
          </w:p>
        </w:tc>
        <w:tc>
          <w:tcPr>
            <w:tcW w:w="590" w:type="pct"/>
            <w:tcBorders>
              <w:top w:val="single" w:sz="4" w:space="0" w:color="auto"/>
              <w:left w:val="single" w:sz="4" w:space="0" w:color="auto"/>
              <w:bottom w:val="single" w:sz="4" w:space="0" w:color="auto"/>
              <w:right w:val="single" w:sz="4" w:space="0" w:color="auto"/>
            </w:tcBorders>
          </w:tcPr>
          <w:p w14:paraId="3428A040" w14:textId="77777777" w:rsidR="00784AC3" w:rsidRPr="00A5425E" w:rsidRDefault="00784AC3" w:rsidP="00513F76">
            <w:pPr>
              <w:rPr>
                <w:rFonts w:cs="Arial"/>
                <w:sz w:val="18"/>
                <w:szCs w:val="18"/>
              </w:rPr>
            </w:pPr>
            <w:r w:rsidRPr="00A5425E">
              <w:rPr>
                <w:rFonts w:cs="Arial"/>
                <w:sz w:val="18"/>
                <w:szCs w:val="18"/>
              </w:rPr>
              <w:t>27.5</w:t>
            </w:r>
          </w:p>
        </w:tc>
        <w:tc>
          <w:tcPr>
            <w:tcW w:w="590" w:type="pct"/>
            <w:tcBorders>
              <w:top w:val="single" w:sz="4" w:space="0" w:color="auto"/>
              <w:left w:val="single" w:sz="4" w:space="0" w:color="auto"/>
              <w:bottom w:val="single" w:sz="4" w:space="0" w:color="auto"/>
              <w:right w:val="single" w:sz="4" w:space="0" w:color="auto"/>
            </w:tcBorders>
          </w:tcPr>
          <w:p w14:paraId="159883AE" w14:textId="77777777" w:rsidR="00784AC3" w:rsidRPr="00A5425E" w:rsidRDefault="00784AC3" w:rsidP="00513F76">
            <w:pPr>
              <w:rPr>
                <w:rFonts w:cs="Arial"/>
                <w:sz w:val="18"/>
                <w:szCs w:val="18"/>
              </w:rPr>
            </w:pPr>
            <w:r w:rsidRPr="00A5425E">
              <w:rPr>
                <w:rFonts w:cs="Arial"/>
                <w:sz w:val="18"/>
                <w:szCs w:val="18"/>
              </w:rPr>
              <w:t>12</w:t>
            </w:r>
          </w:p>
        </w:tc>
        <w:tc>
          <w:tcPr>
            <w:tcW w:w="593" w:type="pct"/>
            <w:tcBorders>
              <w:top w:val="single" w:sz="4" w:space="0" w:color="auto"/>
              <w:left w:val="single" w:sz="4" w:space="0" w:color="auto"/>
              <w:bottom w:val="single" w:sz="4" w:space="0" w:color="auto"/>
              <w:right w:val="single" w:sz="4" w:space="0" w:color="auto"/>
            </w:tcBorders>
          </w:tcPr>
          <w:p w14:paraId="1700682E" w14:textId="77777777" w:rsidR="00784AC3" w:rsidRPr="00A5425E" w:rsidRDefault="00784AC3" w:rsidP="00513F76">
            <w:pPr>
              <w:rPr>
                <w:rFonts w:cs="Arial"/>
                <w:sz w:val="18"/>
                <w:szCs w:val="18"/>
              </w:rPr>
            </w:pPr>
            <w:r w:rsidRPr="00A5425E">
              <w:rPr>
                <w:rFonts w:cs="Arial"/>
                <w:sz w:val="18"/>
                <w:szCs w:val="18"/>
              </w:rPr>
              <w:t>10 - 50</w:t>
            </w:r>
          </w:p>
        </w:tc>
        <w:tc>
          <w:tcPr>
            <w:tcW w:w="590" w:type="pct"/>
            <w:tcBorders>
              <w:top w:val="single" w:sz="4" w:space="0" w:color="auto"/>
              <w:left w:val="single" w:sz="4" w:space="0" w:color="auto"/>
              <w:bottom w:val="single" w:sz="4" w:space="0" w:color="auto"/>
              <w:right w:val="single" w:sz="4" w:space="0" w:color="auto"/>
            </w:tcBorders>
          </w:tcPr>
          <w:p w14:paraId="05A96882" w14:textId="77777777" w:rsidR="00784AC3" w:rsidRPr="00A5425E" w:rsidRDefault="00784AC3" w:rsidP="00513F76">
            <w:pPr>
              <w:rPr>
                <w:rFonts w:cs="Arial"/>
                <w:sz w:val="18"/>
                <w:szCs w:val="18"/>
              </w:rPr>
            </w:pPr>
            <w:r w:rsidRPr="00A5425E">
              <w:rPr>
                <w:rFonts w:cs="Arial"/>
                <w:sz w:val="18"/>
                <w:szCs w:val="18"/>
              </w:rPr>
              <w:t>6.88</w:t>
            </w:r>
          </w:p>
        </w:tc>
        <w:tc>
          <w:tcPr>
            <w:tcW w:w="506" w:type="pct"/>
            <w:tcBorders>
              <w:top w:val="single" w:sz="4" w:space="0" w:color="auto"/>
              <w:left w:val="single" w:sz="4" w:space="0" w:color="auto"/>
              <w:bottom w:val="single" w:sz="4" w:space="0" w:color="auto"/>
              <w:right w:val="single" w:sz="4" w:space="0" w:color="auto"/>
            </w:tcBorders>
          </w:tcPr>
          <w:p w14:paraId="4F1AF4C1" w14:textId="77777777" w:rsidR="00784AC3" w:rsidRPr="00A5425E" w:rsidRDefault="00784AC3" w:rsidP="00513F76">
            <w:pPr>
              <w:rPr>
                <w:rFonts w:cs="Arial"/>
                <w:sz w:val="18"/>
                <w:szCs w:val="18"/>
              </w:rPr>
            </w:pPr>
            <w:r w:rsidRPr="00A5425E">
              <w:rPr>
                <w:rFonts w:cs="Arial"/>
                <w:sz w:val="18"/>
                <w:szCs w:val="18"/>
              </w:rPr>
              <w:t>2.99</w:t>
            </w:r>
          </w:p>
        </w:tc>
        <w:tc>
          <w:tcPr>
            <w:tcW w:w="526" w:type="pct"/>
            <w:tcBorders>
              <w:top w:val="single" w:sz="4" w:space="0" w:color="auto"/>
              <w:left w:val="single" w:sz="4" w:space="0" w:color="auto"/>
              <w:bottom w:val="single" w:sz="4" w:space="0" w:color="auto"/>
              <w:right w:val="single" w:sz="4" w:space="0" w:color="auto"/>
            </w:tcBorders>
          </w:tcPr>
          <w:p w14:paraId="582C6C6C" w14:textId="77777777" w:rsidR="00784AC3" w:rsidRPr="00A5425E" w:rsidRDefault="00784AC3" w:rsidP="00513F76">
            <w:pPr>
              <w:rPr>
                <w:rFonts w:cs="Arial"/>
                <w:sz w:val="18"/>
                <w:szCs w:val="18"/>
              </w:rPr>
            </w:pPr>
            <w:r w:rsidRPr="00A5425E">
              <w:rPr>
                <w:rFonts w:cs="Arial"/>
                <w:sz w:val="18"/>
                <w:szCs w:val="18"/>
              </w:rPr>
              <w:t>2.50 – 12.50</w:t>
            </w:r>
          </w:p>
        </w:tc>
      </w:tr>
      <w:tr w:rsidR="00513F76" w14:paraId="1839D729" w14:textId="77777777" w:rsidTr="00513F76">
        <w:trPr>
          <w:trHeight w:val="782"/>
        </w:trPr>
        <w:tc>
          <w:tcPr>
            <w:tcW w:w="507" w:type="pct"/>
            <w:tcBorders>
              <w:top w:val="single" w:sz="4" w:space="0" w:color="auto"/>
              <w:left w:val="single" w:sz="4" w:space="0" w:color="auto"/>
              <w:bottom w:val="single" w:sz="4" w:space="0" w:color="auto"/>
              <w:right w:val="single" w:sz="4" w:space="0" w:color="auto"/>
            </w:tcBorders>
          </w:tcPr>
          <w:p w14:paraId="630C87D8" w14:textId="77777777" w:rsidR="00784AC3" w:rsidRPr="00A5425E" w:rsidRDefault="00784AC3" w:rsidP="00513F76">
            <w:pPr>
              <w:rPr>
                <w:rFonts w:cs="Arial"/>
                <w:sz w:val="18"/>
                <w:szCs w:val="18"/>
              </w:rPr>
            </w:pPr>
          </w:p>
        </w:tc>
        <w:tc>
          <w:tcPr>
            <w:tcW w:w="506" w:type="pct"/>
            <w:tcBorders>
              <w:top w:val="single" w:sz="4" w:space="0" w:color="auto"/>
              <w:left w:val="single" w:sz="4" w:space="0" w:color="auto"/>
              <w:bottom w:val="single" w:sz="4" w:space="0" w:color="auto"/>
              <w:right w:val="single" w:sz="4" w:space="0" w:color="auto"/>
            </w:tcBorders>
          </w:tcPr>
          <w:p w14:paraId="72C4440E" w14:textId="77777777" w:rsidR="00784AC3" w:rsidRPr="00A5425E" w:rsidRDefault="00784AC3" w:rsidP="00513F76">
            <w:pPr>
              <w:rPr>
                <w:rFonts w:cs="Arial"/>
                <w:i/>
                <w:iCs/>
                <w:sz w:val="18"/>
                <w:szCs w:val="18"/>
              </w:rPr>
            </w:pPr>
            <w:r w:rsidRPr="00A5425E">
              <w:rPr>
                <w:rFonts w:cs="Arial"/>
                <w:i/>
                <w:iCs/>
                <w:sz w:val="18"/>
                <w:szCs w:val="18"/>
              </w:rPr>
              <w:t xml:space="preserve">All reviews </w:t>
            </w:r>
          </w:p>
        </w:tc>
        <w:tc>
          <w:tcPr>
            <w:tcW w:w="591" w:type="pct"/>
            <w:tcBorders>
              <w:top w:val="single" w:sz="4" w:space="0" w:color="auto"/>
              <w:left w:val="single" w:sz="4" w:space="0" w:color="auto"/>
              <w:bottom w:val="single" w:sz="4" w:space="0" w:color="auto"/>
              <w:right w:val="single" w:sz="4" w:space="0" w:color="auto"/>
            </w:tcBorders>
          </w:tcPr>
          <w:p w14:paraId="6E73BE13" w14:textId="77777777" w:rsidR="00784AC3" w:rsidRPr="00A5425E" w:rsidRDefault="00784AC3" w:rsidP="00513F76">
            <w:pPr>
              <w:rPr>
                <w:rFonts w:cs="Arial"/>
                <w:i/>
                <w:iCs/>
                <w:sz w:val="18"/>
                <w:szCs w:val="18"/>
              </w:rPr>
            </w:pPr>
            <w:r w:rsidRPr="00A5425E">
              <w:rPr>
                <w:rFonts w:cs="Arial"/>
                <w:i/>
                <w:iCs/>
                <w:sz w:val="18"/>
                <w:szCs w:val="18"/>
              </w:rPr>
              <w:t>559</w:t>
            </w:r>
          </w:p>
          <w:p w14:paraId="694FDBCE" w14:textId="77777777" w:rsidR="00784AC3" w:rsidRPr="00A5425E" w:rsidRDefault="00784AC3" w:rsidP="00513F76">
            <w:pPr>
              <w:rPr>
                <w:rFonts w:cs="Arial"/>
                <w:i/>
                <w:iCs/>
                <w:sz w:val="18"/>
                <w:szCs w:val="18"/>
              </w:rPr>
            </w:pPr>
            <w:r w:rsidRPr="00A5425E">
              <w:rPr>
                <w:rFonts w:cs="Arial"/>
                <w:i/>
                <w:iCs/>
                <w:sz w:val="18"/>
                <w:szCs w:val="18"/>
              </w:rPr>
              <w:t>(4)</w:t>
            </w:r>
          </w:p>
        </w:tc>
        <w:tc>
          <w:tcPr>
            <w:tcW w:w="590" w:type="pct"/>
            <w:tcBorders>
              <w:top w:val="single" w:sz="4" w:space="0" w:color="auto"/>
              <w:left w:val="single" w:sz="4" w:space="0" w:color="auto"/>
              <w:bottom w:val="single" w:sz="4" w:space="0" w:color="auto"/>
              <w:right w:val="single" w:sz="4" w:space="0" w:color="auto"/>
            </w:tcBorders>
          </w:tcPr>
          <w:p w14:paraId="37B0663F" w14:textId="77777777" w:rsidR="00784AC3" w:rsidRPr="00A5425E" w:rsidRDefault="00784AC3" w:rsidP="00513F76">
            <w:pPr>
              <w:rPr>
                <w:rFonts w:cs="Arial"/>
                <w:sz w:val="18"/>
                <w:szCs w:val="18"/>
              </w:rPr>
            </w:pPr>
          </w:p>
        </w:tc>
        <w:tc>
          <w:tcPr>
            <w:tcW w:w="590" w:type="pct"/>
            <w:tcBorders>
              <w:top w:val="single" w:sz="4" w:space="0" w:color="auto"/>
              <w:left w:val="single" w:sz="4" w:space="0" w:color="auto"/>
              <w:bottom w:val="single" w:sz="4" w:space="0" w:color="auto"/>
              <w:right w:val="single" w:sz="4" w:space="0" w:color="auto"/>
            </w:tcBorders>
          </w:tcPr>
          <w:p w14:paraId="054F54C2" w14:textId="77777777" w:rsidR="00784AC3" w:rsidRPr="00A5425E" w:rsidRDefault="00784AC3" w:rsidP="00513F76">
            <w:pPr>
              <w:rPr>
                <w:rFonts w:cs="Arial"/>
                <w:sz w:val="18"/>
                <w:szCs w:val="18"/>
              </w:rPr>
            </w:pPr>
          </w:p>
        </w:tc>
        <w:tc>
          <w:tcPr>
            <w:tcW w:w="593" w:type="pct"/>
            <w:tcBorders>
              <w:top w:val="single" w:sz="4" w:space="0" w:color="auto"/>
              <w:left w:val="single" w:sz="4" w:space="0" w:color="auto"/>
              <w:bottom w:val="single" w:sz="4" w:space="0" w:color="auto"/>
              <w:right w:val="single" w:sz="4" w:space="0" w:color="auto"/>
            </w:tcBorders>
          </w:tcPr>
          <w:p w14:paraId="4F735019" w14:textId="77777777" w:rsidR="00784AC3" w:rsidRPr="00A5425E" w:rsidRDefault="00784AC3" w:rsidP="00513F76">
            <w:pPr>
              <w:rPr>
                <w:rFonts w:cs="Arial"/>
                <w:sz w:val="18"/>
                <w:szCs w:val="18"/>
              </w:rPr>
            </w:pPr>
          </w:p>
        </w:tc>
        <w:tc>
          <w:tcPr>
            <w:tcW w:w="590" w:type="pct"/>
            <w:tcBorders>
              <w:top w:val="single" w:sz="4" w:space="0" w:color="auto"/>
              <w:left w:val="single" w:sz="4" w:space="0" w:color="auto"/>
              <w:bottom w:val="single" w:sz="4" w:space="0" w:color="auto"/>
              <w:right w:val="single" w:sz="4" w:space="0" w:color="auto"/>
            </w:tcBorders>
          </w:tcPr>
          <w:p w14:paraId="15D49CB6" w14:textId="77777777" w:rsidR="00784AC3" w:rsidRPr="00A5425E" w:rsidRDefault="00784AC3" w:rsidP="00513F76">
            <w:pPr>
              <w:rPr>
                <w:rFonts w:cs="Arial"/>
                <w:sz w:val="18"/>
                <w:szCs w:val="18"/>
              </w:rPr>
            </w:pPr>
          </w:p>
        </w:tc>
        <w:tc>
          <w:tcPr>
            <w:tcW w:w="506" w:type="pct"/>
            <w:tcBorders>
              <w:top w:val="single" w:sz="4" w:space="0" w:color="auto"/>
              <w:left w:val="single" w:sz="4" w:space="0" w:color="auto"/>
              <w:bottom w:val="single" w:sz="4" w:space="0" w:color="auto"/>
              <w:right w:val="single" w:sz="4" w:space="0" w:color="auto"/>
            </w:tcBorders>
          </w:tcPr>
          <w:p w14:paraId="188CAC7D" w14:textId="77777777" w:rsidR="00784AC3" w:rsidRPr="00A5425E" w:rsidRDefault="00784AC3" w:rsidP="00513F76">
            <w:pPr>
              <w:rPr>
                <w:rFonts w:cs="Arial"/>
                <w:sz w:val="18"/>
                <w:szCs w:val="18"/>
              </w:rPr>
            </w:pPr>
          </w:p>
        </w:tc>
        <w:tc>
          <w:tcPr>
            <w:tcW w:w="526" w:type="pct"/>
            <w:tcBorders>
              <w:top w:val="single" w:sz="4" w:space="0" w:color="auto"/>
              <w:left w:val="single" w:sz="4" w:space="0" w:color="auto"/>
              <w:bottom w:val="single" w:sz="4" w:space="0" w:color="auto"/>
              <w:right w:val="single" w:sz="4" w:space="0" w:color="auto"/>
            </w:tcBorders>
          </w:tcPr>
          <w:p w14:paraId="67C1FDFE" w14:textId="77777777" w:rsidR="00784AC3" w:rsidRPr="00A5425E" w:rsidRDefault="00784AC3" w:rsidP="00513F76">
            <w:pPr>
              <w:rPr>
                <w:rFonts w:cs="Arial"/>
                <w:sz w:val="18"/>
                <w:szCs w:val="18"/>
              </w:rPr>
            </w:pPr>
          </w:p>
        </w:tc>
      </w:tr>
    </w:tbl>
    <w:p w14:paraId="7E000A38" w14:textId="77777777" w:rsidR="000923BB" w:rsidRDefault="000923BB" w:rsidP="000923BB">
      <w:pPr>
        <w:rPr>
          <w:rFonts w:cs="Arial"/>
          <w:sz w:val="20"/>
          <w:szCs w:val="20"/>
        </w:rPr>
      </w:pPr>
    </w:p>
    <w:p w14:paraId="62950DBD" w14:textId="77777777" w:rsidR="000923BB" w:rsidRDefault="000923BB" w:rsidP="000923BB">
      <w:pPr>
        <w:tabs>
          <w:tab w:val="center" w:pos="2707"/>
        </w:tabs>
        <w:autoSpaceDE w:val="0"/>
        <w:autoSpaceDN w:val="0"/>
        <w:adjustRightInd w:val="0"/>
      </w:pPr>
    </w:p>
    <w:p w14:paraId="0B3CEE32" w14:textId="77777777" w:rsidR="000923BB" w:rsidRDefault="000923BB" w:rsidP="000923BB">
      <w:pPr>
        <w:jc w:val="both"/>
        <w:rPr>
          <w:rFonts w:cs="Arial"/>
          <w:sz w:val="22"/>
          <w:szCs w:val="22"/>
        </w:rPr>
      </w:pPr>
    </w:p>
    <w:p w14:paraId="3B8AA22C" w14:textId="77777777" w:rsidR="00282EAD" w:rsidRDefault="00282EAD" w:rsidP="000923BB">
      <w:pPr>
        <w:jc w:val="both"/>
        <w:rPr>
          <w:rFonts w:cs="Arial"/>
          <w:sz w:val="22"/>
          <w:szCs w:val="22"/>
        </w:rPr>
      </w:pPr>
    </w:p>
    <w:p w14:paraId="507C39B1" w14:textId="77777777" w:rsidR="00282EAD" w:rsidRDefault="00282EAD" w:rsidP="000923BB">
      <w:pPr>
        <w:jc w:val="both"/>
        <w:rPr>
          <w:rFonts w:cs="Arial"/>
          <w:sz w:val="22"/>
          <w:szCs w:val="22"/>
        </w:rPr>
      </w:pPr>
    </w:p>
    <w:p w14:paraId="48BE0E9F" w14:textId="77777777" w:rsidR="00282EAD" w:rsidRDefault="00282EAD" w:rsidP="000923BB">
      <w:pPr>
        <w:jc w:val="both"/>
        <w:rPr>
          <w:rFonts w:cs="Arial"/>
          <w:sz w:val="22"/>
          <w:szCs w:val="22"/>
        </w:rPr>
      </w:pPr>
    </w:p>
    <w:p w14:paraId="3E43C300" w14:textId="77777777" w:rsidR="00282EAD" w:rsidRDefault="00282EAD" w:rsidP="000923BB">
      <w:pPr>
        <w:jc w:val="both"/>
        <w:rPr>
          <w:rFonts w:cs="Arial"/>
          <w:sz w:val="22"/>
          <w:szCs w:val="22"/>
        </w:rPr>
      </w:pPr>
    </w:p>
    <w:p w14:paraId="489CBDA7" w14:textId="77777777" w:rsidR="000923BB" w:rsidRPr="003052E6" w:rsidRDefault="000923BB" w:rsidP="003052E6">
      <w:pPr>
        <w:pStyle w:val="BodyText"/>
        <w:rPr>
          <w:b/>
          <w:i/>
          <w:sz w:val="22"/>
          <w:szCs w:val="22"/>
        </w:rPr>
      </w:pPr>
      <w:r w:rsidRPr="003052E6">
        <w:rPr>
          <w:b/>
          <w:i/>
          <w:sz w:val="22"/>
          <w:szCs w:val="22"/>
        </w:rPr>
        <w:t>Quality of care – hospital mortality group relationship</w:t>
      </w:r>
    </w:p>
    <w:p w14:paraId="402483AA" w14:textId="77777777" w:rsidR="000923BB" w:rsidRPr="00C439FF" w:rsidRDefault="000923BB" w:rsidP="000923BB"/>
    <w:p w14:paraId="53DBDBFC" w14:textId="77777777" w:rsidR="000923BB" w:rsidRDefault="000923BB" w:rsidP="000923BB">
      <w:pPr>
        <w:jc w:val="both"/>
        <w:rPr>
          <w:rFonts w:cs="Arial"/>
          <w:sz w:val="22"/>
          <w:szCs w:val="22"/>
        </w:rPr>
      </w:pPr>
      <w:r>
        <w:rPr>
          <w:rFonts w:cs="Arial"/>
          <w:sz w:val="22"/>
          <w:szCs w:val="22"/>
        </w:rPr>
        <w:t>O</w:t>
      </w:r>
      <w:r w:rsidRPr="00984CC8">
        <w:rPr>
          <w:rFonts w:cs="Arial"/>
          <w:sz w:val="22"/>
          <w:szCs w:val="22"/>
        </w:rPr>
        <w:t>f the nine study hospitals, five were grou</w:t>
      </w:r>
      <w:r>
        <w:rPr>
          <w:rFonts w:cs="Arial"/>
          <w:sz w:val="22"/>
          <w:szCs w:val="22"/>
        </w:rPr>
        <w:t>p</w:t>
      </w:r>
      <w:r w:rsidRPr="00984CC8">
        <w:rPr>
          <w:rFonts w:cs="Arial"/>
          <w:sz w:val="22"/>
          <w:szCs w:val="22"/>
        </w:rPr>
        <w:t xml:space="preserve">ed together </w:t>
      </w:r>
      <w:r>
        <w:rPr>
          <w:rFonts w:cs="Arial"/>
          <w:sz w:val="22"/>
          <w:szCs w:val="22"/>
        </w:rPr>
        <w:t>in the</w:t>
      </w:r>
      <w:r w:rsidRPr="00984CC8">
        <w:rPr>
          <w:rFonts w:cs="Arial"/>
          <w:sz w:val="22"/>
          <w:szCs w:val="22"/>
        </w:rPr>
        <w:t xml:space="preserve"> low</w:t>
      </w:r>
      <w:r>
        <w:rPr>
          <w:rFonts w:cs="Arial"/>
          <w:sz w:val="22"/>
          <w:szCs w:val="22"/>
        </w:rPr>
        <w:t>er</w:t>
      </w:r>
      <w:r w:rsidRPr="00984CC8">
        <w:rPr>
          <w:rFonts w:cs="Arial"/>
          <w:sz w:val="22"/>
          <w:szCs w:val="22"/>
        </w:rPr>
        <w:t xml:space="preserve"> mortality </w:t>
      </w:r>
      <w:r>
        <w:rPr>
          <w:rFonts w:cs="Arial"/>
          <w:sz w:val="22"/>
          <w:szCs w:val="22"/>
        </w:rPr>
        <w:t xml:space="preserve">group </w:t>
      </w:r>
      <w:r w:rsidRPr="00984CC8">
        <w:rPr>
          <w:rFonts w:cs="Arial"/>
          <w:sz w:val="22"/>
          <w:szCs w:val="22"/>
        </w:rPr>
        <w:t>and four were in the</w:t>
      </w:r>
      <w:r>
        <w:rPr>
          <w:rFonts w:cs="Arial"/>
          <w:sz w:val="22"/>
          <w:szCs w:val="22"/>
        </w:rPr>
        <w:t xml:space="preserve"> higher mortality group, based on a calculation from Hospital Episode Statistics data (Figure 2, page 15).  This analysis explores the relationship between these two groups of hospitals, which are ranked and grouped by mortality rates, and the quality of care data expressed as the group mean holistic scale scores for overall care and the group mean percentage criterion score. </w:t>
      </w:r>
      <w:r w:rsidRPr="00334781">
        <w:rPr>
          <w:rFonts w:cs="Arial"/>
          <w:sz w:val="22"/>
          <w:szCs w:val="22"/>
        </w:rPr>
        <w:t xml:space="preserve">Data are presented </w:t>
      </w:r>
      <w:r>
        <w:rPr>
          <w:rFonts w:cs="Arial"/>
          <w:sz w:val="22"/>
          <w:szCs w:val="22"/>
        </w:rPr>
        <w:t>in tabular and graphical form.</w:t>
      </w:r>
    </w:p>
    <w:p w14:paraId="34933A79" w14:textId="77777777" w:rsidR="000923BB" w:rsidRDefault="000923BB" w:rsidP="000923BB">
      <w:pPr>
        <w:jc w:val="both"/>
        <w:rPr>
          <w:rFonts w:cs="Arial"/>
          <w:sz w:val="22"/>
          <w:szCs w:val="22"/>
        </w:rPr>
      </w:pPr>
    </w:p>
    <w:p w14:paraId="0F370B54" w14:textId="77777777" w:rsidR="000923BB" w:rsidRDefault="000923BB" w:rsidP="000923BB">
      <w:pPr>
        <w:tabs>
          <w:tab w:val="center" w:pos="7272"/>
        </w:tabs>
        <w:autoSpaceDE w:val="0"/>
        <w:autoSpaceDN w:val="0"/>
        <w:adjustRightInd w:val="0"/>
        <w:jc w:val="both"/>
        <w:rPr>
          <w:rFonts w:cs="Arial"/>
          <w:sz w:val="22"/>
          <w:szCs w:val="22"/>
        </w:rPr>
      </w:pPr>
      <w:r w:rsidRPr="00515C78">
        <w:rPr>
          <w:rFonts w:cs="Arial"/>
          <w:sz w:val="22"/>
          <w:szCs w:val="22"/>
        </w:rPr>
        <w:t xml:space="preserve">Table </w:t>
      </w:r>
      <w:r>
        <w:rPr>
          <w:rFonts w:cs="Arial"/>
          <w:sz w:val="22"/>
          <w:szCs w:val="22"/>
        </w:rPr>
        <w:t xml:space="preserve">15 </w:t>
      </w:r>
      <w:r w:rsidRPr="00515C78">
        <w:rPr>
          <w:rFonts w:cs="Arial"/>
          <w:sz w:val="22"/>
          <w:szCs w:val="22"/>
        </w:rPr>
        <w:t>shows the mean difference</w:t>
      </w:r>
      <w:r>
        <w:rPr>
          <w:rFonts w:cs="Arial"/>
          <w:sz w:val="22"/>
          <w:szCs w:val="22"/>
        </w:rPr>
        <w:t>,</w:t>
      </w:r>
      <w:r w:rsidRPr="00515C78">
        <w:rPr>
          <w:rFonts w:cs="Arial"/>
          <w:sz w:val="22"/>
          <w:szCs w:val="22"/>
        </w:rPr>
        <w:t xml:space="preserve"> </w:t>
      </w:r>
      <w:r>
        <w:rPr>
          <w:rFonts w:cs="Arial"/>
          <w:sz w:val="22"/>
          <w:szCs w:val="22"/>
        </w:rPr>
        <w:t>for each condition,</w:t>
      </w:r>
      <w:r w:rsidRPr="00515C78">
        <w:rPr>
          <w:rFonts w:cs="Arial"/>
          <w:sz w:val="22"/>
          <w:szCs w:val="22"/>
        </w:rPr>
        <w:t xml:space="preserve"> between the holistic overall quality of care rating </w:t>
      </w:r>
      <w:r>
        <w:rPr>
          <w:rFonts w:cs="Arial"/>
          <w:sz w:val="22"/>
          <w:szCs w:val="22"/>
        </w:rPr>
        <w:t xml:space="preserve">(based on a ten point scale) </w:t>
      </w:r>
      <w:r w:rsidRPr="00515C78">
        <w:rPr>
          <w:rFonts w:cs="Arial"/>
          <w:sz w:val="22"/>
          <w:szCs w:val="22"/>
        </w:rPr>
        <w:t>for hospitals classified as belonging to a high</w:t>
      </w:r>
      <w:r>
        <w:rPr>
          <w:rFonts w:cs="Arial"/>
          <w:sz w:val="22"/>
          <w:szCs w:val="22"/>
        </w:rPr>
        <w:t>er</w:t>
      </w:r>
      <w:r w:rsidRPr="00515C78">
        <w:rPr>
          <w:rFonts w:cs="Arial"/>
          <w:sz w:val="22"/>
          <w:szCs w:val="22"/>
        </w:rPr>
        <w:t xml:space="preserve"> mortality group or a low</w:t>
      </w:r>
      <w:r>
        <w:rPr>
          <w:rFonts w:cs="Arial"/>
          <w:sz w:val="22"/>
          <w:szCs w:val="22"/>
        </w:rPr>
        <w:t>er</w:t>
      </w:r>
      <w:r w:rsidRPr="00515C78">
        <w:rPr>
          <w:rFonts w:cs="Arial"/>
          <w:sz w:val="22"/>
          <w:szCs w:val="22"/>
        </w:rPr>
        <w:t xml:space="preserve"> mortality group. </w:t>
      </w:r>
      <w:r>
        <w:rPr>
          <w:rFonts w:cs="Arial"/>
          <w:sz w:val="22"/>
          <w:szCs w:val="22"/>
        </w:rPr>
        <w:t xml:space="preserve">  </w:t>
      </w:r>
      <w:r w:rsidRPr="004055B7">
        <w:rPr>
          <w:rFonts w:cs="Arial"/>
          <w:bCs/>
          <w:color w:val="000000"/>
          <w:sz w:val="22"/>
          <w:szCs w:val="22"/>
        </w:rPr>
        <w:t>Mean difference is the mean score for higher mortality hospitals minus the mean score for lower mortality hospitals</w:t>
      </w:r>
      <w:r>
        <w:rPr>
          <w:rFonts w:cs="Arial"/>
          <w:bCs/>
          <w:color w:val="000000"/>
          <w:sz w:val="22"/>
          <w:szCs w:val="22"/>
        </w:rPr>
        <w:t xml:space="preserve">.  A </w:t>
      </w:r>
      <w:r w:rsidRPr="002845B2">
        <w:rPr>
          <w:rFonts w:cs="Arial"/>
          <w:sz w:val="22"/>
          <w:szCs w:val="22"/>
        </w:rPr>
        <w:t xml:space="preserve">negative </w:t>
      </w:r>
      <w:r>
        <w:rPr>
          <w:rFonts w:cs="Arial"/>
          <w:sz w:val="22"/>
          <w:szCs w:val="22"/>
        </w:rPr>
        <w:t>mean difference</w:t>
      </w:r>
      <w:r w:rsidRPr="002845B2">
        <w:rPr>
          <w:rFonts w:cs="Arial"/>
          <w:sz w:val="22"/>
          <w:szCs w:val="22"/>
        </w:rPr>
        <w:t xml:space="preserve"> </w:t>
      </w:r>
      <w:r>
        <w:rPr>
          <w:rFonts w:cs="Arial"/>
          <w:sz w:val="22"/>
          <w:szCs w:val="22"/>
        </w:rPr>
        <w:t xml:space="preserve">in the table </w:t>
      </w:r>
      <w:r w:rsidRPr="002845B2">
        <w:rPr>
          <w:rFonts w:cs="Arial"/>
          <w:sz w:val="22"/>
          <w:szCs w:val="22"/>
        </w:rPr>
        <w:t>indicates</w:t>
      </w:r>
      <w:r>
        <w:rPr>
          <w:rFonts w:cs="Arial"/>
          <w:sz w:val="22"/>
          <w:szCs w:val="22"/>
        </w:rPr>
        <w:t xml:space="preserve"> that the lower mortality group mean score is higher than the mean score for the higher mortality group.</w:t>
      </w:r>
    </w:p>
    <w:p w14:paraId="4DBA410C" w14:textId="77777777" w:rsidR="000923BB" w:rsidRDefault="000923BB" w:rsidP="000923BB">
      <w:pPr>
        <w:tabs>
          <w:tab w:val="center" w:pos="7272"/>
        </w:tabs>
        <w:autoSpaceDE w:val="0"/>
        <w:autoSpaceDN w:val="0"/>
        <w:adjustRightInd w:val="0"/>
        <w:jc w:val="both"/>
        <w:rPr>
          <w:rFonts w:cs="Arial"/>
          <w:sz w:val="22"/>
          <w:szCs w:val="22"/>
        </w:rPr>
      </w:pPr>
    </w:p>
    <w:p w14:paraId="7D5E57A7" w14:textId="77777777" w:rsidR="000923BB" w:rsidRPr="00227DAA" w:rsidRDefault="000923BB" w:rsidP="000923BB">
      <w:pPr>
        <w:jc w:val="both"/>
        <w:rPr>
          <w:rFonts w:cs="Arial"/>
          <w:sz w:val="22"/>
          <w:szCs w:val="22"/>
        </w:rPr>
      </w:pPr>
      <w:r w:rsidRPr="00227DAA">
        <w:rPr>
          <w:rFonts w:cs="Arial"/>
          <w:sz w:val="22"/>
          <w:szCs w:val="22"/>
        </w:rPr>
        <w:t xml:space="preserve">The result trends are different for COPD and for heart failure.    For COPD, quality of care scores tend to be higher in the lower mortality group of hospitals than in the higher mortality group and there is a significant difference in the quality scores given by the doctors.  The significant score for all three groups of staff (p=0.033) is likely to be driven by the significant score for the doctors groups (p=0.012).  These findings might be thought of as being in an expected direction although research shows that process/outcome  relationships are by no means straightforward.[38]  </w:t>
      </w:r>
    </w:p>
    <w:p w14:paraId="275589E5" w14:textId="77777777" w:rsidR="000923BB" w:rsidRPr="00227DAA" w:rsidRDefault="000923BB" w:rsidP="000923BB">
      <w:pPr>
        <w:jc w:val="both"/>
        <w:rPr>
          <w:rFonts w:cs="Arial"/>
          <w:sz w:val="22"/>
          <w:szCs w:val="22"/>
        </w:rPr>
      </w:pPr>
    </w:p>
    <w:p w14:paraId="1797E325" w14:textId="77777777" w:rsidR="000923BB" w:rsidRPr="00227DAA" w:rsidRDefault="000923BB" w:rsidP="000923BB">
      <w:pPr>
        <w:jc w:val="both"/>
        <w:rPr>
          <w:rFonts w:cs="Arial"/>
          <w:sz w:val="22"/>
          <w:szCs w:val="22"/>
        </w:rPr>
      </w:pPr>
      <w:r w:rsidRPr="00227DAA">
        <w:rPr>
          <w:rFonts w:cs="Arial"/>
          <w:sz w:val="22"/>
          <w:szCs w:val="22"/>
        </w:rPr>
        <w:t xml:space="preserve">For heart failure, there are smaller mean differences in a negative direction, indicating that quality of care scores are higher in the higher mortality hospital group.  However the differences are quite small and none of the differences are significant.  </w:t>
      </w:r>
    </w:p>
    <w:p w14:paraId="38F1CAD3" w14:textId="77777777" w:rsidR="000923BB" w:rsidRPr="00227DAA" w:rsidRDefault="000923BB" w:rsidP="000923BB">
      <w:pPr>
        <w:jc w:val="both"/>
        <w:rPr>
          <w:rFonts w:cs="Arial"/>
          <w:sz w:val="22"/>
          <w:szCs w:val="22"/>
        </w:rPr>
      </w:pPr>
      <w:r w:rsidRPr="00227DAA">
        <w:rPr>
          <w:rFonts w:cs="Arial"/>
          <w:sz w:val="22"/>
          <w:szCs w:val="22"/>
        </w:rPr>
        <w:t>It is difficult to interpret the findings in Table 15 overall – there is certainly no overall trend to higher quality scores in lower mortality hospitals.  It may be that the contrasts are an example of the unexpected findings found by other researchers (for example, Gibbs et al,[7] where higher quality of care scores have been found among patients with poorer outcomes.</w:t>
      </w:r>
    </w:p>
    <w:p w14:paraId="2EFEC5F6" w14:textId="77777777" w:rsidR="003052E6" w:rsidRDefault="003052E6" w:rsidP="003052E6">
      <w:pPr>
        <w:jc w:val="both"/>
        <w:rPr>
          <w:rFonts w:cs="Arial"/>
          <w:sz w:val="22"/>
          <w:szCs w:val="22"/>
        </w:rPr>
      </w:pPr>
      <w:r>
        <w:rPr>
          <w:rFonts w:cs="Arial"/>
          <w:sz w:val="22"/>
          <w:szCs w:val="22"/>
        </w:rPr>
        <w:t xml:space="preserve">The holistic overall care review data in Table 15 are also presented as box plots in </w:t>
      </w:r>
      <w:r w:rsidRPr="003644DC">
        <w:rPr>
          <w:rFonts w:cs="Arial"/>
          <w:sz w:val="22"/>
          <w:szCs w:val="22"/>
        </w:rPr>
        <w:t xml:space="preserve">Figures </w:t>
      </w:r>
      <w:r>
        <w:rPr>
          <w:rFonts w:cs="Arial"/>
          <w:sz w:val="22"/>
          <w:szCs w:val="22"/>
        </w:rPr>
        <w:t>8 and 9</w:t>
      </w:r>
      <w:r w:rsidRPr="003644DC">
        <w:rPr>
          <w:rFonts w:cs="Arial"/>
          <w:sz w:val="22"/>
          <w:szCs w:val="22"/>
        </w:rPr>
        <w:t xml:space="preserve"> </w:t>
      </w:r>
      <w:r>
        <w:rPr>
          <w:rFonts w:cs="Arial"/>
          <w:sz w:val="22"/>
          <w:szCs w:val="22"/>
        </w:rPr>
        <w:t>to demonstrate the distribution of scores from individual reviewers (identified in the tails of the distributions by anonymous review numbers), together with medians and inter-quartile ranges, for the two hospital mortality groups.</w:t>
      </w:r>
    </w:p>
    <w:p w14:paraId="7EFD48E1" w14:textId="77777777" w:rsidR="003052E6" w:rsidRDefault="003052E6">
      <w:pPr>
        <w:rPr>
          <w:rFonts w:cs="Arial"/>
          <w:sz w:val="22"/>
          <w:szCs w:val="22"/>
        </w:rPr>
      </w:pPr>
      <w:r>
        <w:rPr>
          <w:rFonts w:cs="Arial"/>
          <w:sz w:val="22"/>
          <w:szCs w:val="22"/>
        </w:rPr>
        <w:br w:type="page"/>
      </w:r>
    </w:p>
    <w:p w14:paraId="55E1C9C3" w14:textId="77777777" w:rsidR="000923BB" w:rsidRPr="00332604" w:rsidRDefault="000923BB" w:rsidP="000923BB">
      <w:pPr>
        <w:jc w:val="both"/>
        <w:rPr>
          <w:rFonts w:cs="Arial"/>
          <w:b/>
          <w:sz w:val="20"/>
          <w:szCs w:val="20"/>
        </w:rPr>
      </w:pPr>
      <w:r w:rsidRPr="00332604">
        <w:rPr>
          <w:rFonts w:cs="Arial"/>
          <w:b/>
          <w:sz w:val="20"/>
          <w:szCs w:val="20"/>
        </w:rPr>
        <w:lastRenderedPageBreak/>
        <w:t xml:space="preserve">Table 15: Relationship between the holistic overall quality of care rating (10 point scale) and </w:t>
      </w:r>
      <w:r>
        <w:rPr>
          <w:rFonts w:cs="Arial"/>
          <w:b/>
          <w:sz w:val="20"/>
          <w:szCs w:val="20"/>
        </w:rPr>
        <w:t>mortality group</w:t>
      </w:r>
      <w:r w:rsidRPr="00332604">
        <w:rPr>
          <w:rFonts w:cs="Arial"/>
          <w:b/>
          <w:sz w:val="20"/>
          <w:szCs w:val="20"/>
        </w:rPr>
        <w:t xml:space="preserve"> </w:t>
      </w:r>
    </w:p>
    <w:p w14:paraId="52061894" w14:textId="77777777" w:rsidR="000923BB" w:rsidRPr="008D36CD" w:rsidRDefault="000923BB" w:rsidP="000923BB">
      <w:pPr>
        <w:rPr>
          <w:rFonts w:cs="Arial"/>
          <w:sz w:val="22"/>
          <w:szCs w:val="22"/>
        </w:rPr>
      </w:pP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4"/>
        <w:gridCol w:w="1018"/>
        <w:gridCol w:w="1317"/>
        <w:gridCol w:w="1317"/>
        <w:gridCol w:w="1268"/>
        <w:gridCol w:w="1276"/>
        <w:gridCol w:w="992"/>
      </w:tblGrid>
      <w:tr w:rsidR="000923BB" w:rsidRPr="00F955C6" w14:paraId="2972565D" w14:textId="77777777" w:rsidTr="009E2501">
        <w:trPr>
          <w:trHeight w:val="2216"/>
        </w:trPr>
        <w:tc>
          <w:tcPr>
            <w:tcW w:w="1034" w:type="dxa"/>
          </w:tcPr>
          <w:p w14:paraId="4EE9BE55" w14:textId="77777777" w:rsidR="000923BB" w:rsidRPr="00F955C6" w:rsidRDefault="000923BB" w:rsidP="003A385F">
            <w:pPr>
              <w:rPr>
                <w:rFonts w:cs="Arial"/>
                <w:b/>
                <w:sz w:val="20"/>
                <w:szCs w:val="20"/>
              </w:rPr>
            </w:pPr>
            <w:r w:rsidRPr="00F955C6">
              <w:rPr>
                <w:rFonts w:cs="Arial"/>
                <w:b/>
                <w:sz w:val="20"/>
                <w:szCs w:val="20"/>
              </w:rPr>
              <w:t xml:space="preserve">Staff type </w:t>
            </w:r>
          </w:p>
        </w:tc>
        <w:tc>
          <w:tcPr>
            <w:tcW w:w="1018" w:type="dxa"/>
          </w:tcPr>
          <w:p w14:paraId="7837912D" w14:textId="77777777" w:rsidR="000923BB" w:rsidRPr="00F955C6" w:rsidRDefault="000923BB" w:rsidP="003A385F">
            <w:pPr>
              <w:rPr>
                <w:rFonts w:cs="Arial"/>
                <w:b/>
                <w:sz w:val="20"/>
                <w:szCs w:val="20"/>
              </w:rPr>
            </w:pPr>
            <w:r w:rsidRPr="00F955C6">
              <w:rPr>
                <w:rFonts w:cs="Arial"/>
                <w:b/>
                <w:sz w:val="20"/>
                <w:szCs w:val="20"/>
              </w:rPr>
              <w:t>Condition</w:t>
            </w:r>
          </w:p>
        </w:tc>
        <w:tc>
          <w:tcPr>
            <w:tcW w:w="1317" w:type="dxa"/>
          </w:tcPr>
          <w:p w14:paraId="06C96470" w14:textId="77777777" w:rsidR="000923BB" w:rsidRPr="00F955C6" w:rsidRDefault="000923BB" w:rsidP="003A385F">
            <w:pPr>
              <w:rPr>
                <w:rFonts w:cs="Arial"/>
                <w:b/>
                <w:sz w:val="20"/>
                <w:szCs w:val="20"/>
              </w:rPr>
            </w:pPr>
            <w:r w:rsidRPr="00F955C6">
              <w:rPr>
                <w:rFonts w:cs="Arial"/>
                <w:b/>
                <w:sz w:val="20"/>
                <w:szCs w:val="20"/>
              </w:rPr>
              <w:t>Higher mortality (n=4)</w:t>
            </w:r>
          </w:p>
          <w:p w14:paraId="771EBE2D" w14:textId="77777777" w:rsidR="000923BB" w:rsidRPr="00F955C6" w:rsidRDefault="000923BB" w:rsidP="003A385F">
            <w:pPr>
              <w:rPr>
                <w:rFonts w:cs="Arial"/>
                <w:b/>
                <w:sz w:val="20"/>
                <w:szCs w:val="20"/>
              </w:rPr>
            </w:pPr>
            <w:r w:rsidRPr="00F955C6">
              <w:rPr>
                <w:rFonts w:cs="Arial"/>
                <w:b/>
                <w:sz w:val="20"/>
                <w:szCs w:val="20"/>
              </w:rPr>
              <w:t>Number of reviews; mean score (SD)</w:t>
            </w:r>
          </w:p>
        </w:tc>
        <w:tc>
          <w:tcPr>
            <w:tcW w:w="1317" w:type="dxa"/>
          </w:tcPr>
          <w:p w14:paraId="7172CBF7" w14:textId="77777777" w:rsidR="000923BB" w:rsidRPr="00F955C6" w:rsidRDefault="000923BB" w:rsidP="003A385F">
            <w:pPr>
              <w:rPr>
                <w:rFonts w:cs="Arial"/>
                <w:b/>
                <w:sz w:val="20"/>
                <w:szCs w:val="20"/>
              </w:rPr>
            </w:pPr>
            <w:r w:rsidRPr="00F955C6">
              <w:rPr>
                <w:rFonts w:cs="Arial"/>
                <w:b/>
                <w:sz w:val="20"/>
                <w:szCs w:val="20"/>
              </w:rPr>
              <w:t>Lower mortality (n=5)</w:t>
            </w:r>
          </w:p>
          <w:p w14:paraId="5C07BA3D" w14:textId="77777777" w:rsidR="000923BB" w:rsidRPr="00F955C6" w:rsidRDefault="000923BB" w:rsidP="003A385F">
            <w:pPr>
              <w:rPr>
                <w:rFonts w:cs="Arial"/>
                <w:b/>
                <w:sz w:val="20"/>
                <w:szCs w:val="20"/>
              </w:rPr>
            </w:pPr>
            <w:r w:rsidRPr="00F955C6">
              <w:rPr>
                <w:rFonts w:cs="Arial"/>
                <w:b/>
                <w:sz w:val="20"/>
                <w:szCs w:val="20"/>
              </w:rPr>
              <w:t>Number of reviews; mean score (SD)</w:t>
            </w:r>
          </w:p>
        </w:tc>
        <w:tc>
          <w:tcPr>
            <w:tcW w:w="1268" w:type="dxa"/>
          </w:tcPr>
          <w:p w14:paraId="2F80AB93" w14:textId="77777777" w:rsidR="000923BB" w:rsidRPr="00F955C6" w:rsidRDefault="000923BB" w:rsidP="003A385F">
            <w:pPr>
              <w:rPr>
                <w:rFonts w:cs="Arial"/>
                <w:b/>
                <w:sz w:val="20"/>
                <w:szCs w:val="20"/>
              </w:rPr>
            </w:pPr>
            <w:r w:rsidRPr="00F955C6">
              <w:rPr>
                <w:rFonts w:cs="Arial"/>
                <w:b/>
                <w:sz w:val="20"/>
                <w:szCs w:val="20"/>
              </w:rPr>
              <w:t>Mean difference</w:t>
            </w:r>
            <w:r w:rsidRPr="00F955C6">
              <w:rPr>
                <w:rFonts w:cs="Arial"/>
                <w:b/>
                <w:sz w:val="20"/>
                <w:szCs w:val="20"/>
                <w:vertAlign w:val="superscript"/>
              </w:rPr>
              <w:t>1</w:t>
            </w:r>
            <w:r w:rsidRPr="00F955C6">
              <w:rPr>
                <w:rFonts w:cs="Arial"/>
                <w:b/>
                <w:sz w:val="20"/>
                <w:szCs w:val="20"/>
              </w:rPr>
              <w:t xml:space="preserve"> </w:t>
            </w:r>
          </w:p>
          <w:p w14:paraId="7642F214" w14:textId="77777777" w:rsidR="000923BB" w:rsidRPr="00F955C6" w:rsidRDefault="000923BB" w:rsidP="003A385F">
            <w:pPr>
              <w:rPr>
                <w:rFonts w:cs="Arial"/>
                <w:b/>
                <w:sz w:val="20"/>
                <w:szCs w:val="20"/>
              </w:rPr>
            </w:pPr>
          </w:p>
        </w:tc>
        <w:tc>
          <w:tcPr>
            <w:tcW w:w="1276" w:type="dxa"/>
          </w:tcPr>
          <w:p w14:paraId="014DD4A4" w14:textId="77777777" w:rsidR="000923BB" w:rsidRPr="00F955C6" w:rsidRDefault="000923BB" w:rsidP="003A385F">
            <w:pPr>
              <w:rPr>
                <w:rFonts w:cs="Arial"/>
                <w:b/>
                <w:sz w:val="20"/>
                <w:szCs w:val="20"/>
              </w:rPr>
            </w:pPr>
            <w:r w:rsidRPr="00F955C6">
              <w:rPr>
                <w:rFonts w:cs="Arial"/>
                <w:b/>
                <w:sz w:val="20"/>
                <w:szCs w:val="20"/>
              </w:rPr>
              <w:t xml:space="preserve">95% confidence interval of the difference </w:t>
            </w:r>
          </w:p>
        </w:tc>
        <w:tc>
          <w:tcPr>
            <w:tcW w:w="992" w:type="dxa"/>
          </w:tcPr>
          <w:p w14:paraId="21E3564C" w14:textId="77777777" w:rsidR="000923BB" w:rsidRPr="00F955C6" w:rsidRDefault="000923BB" w:rsidP="003A385F">
            <w:pPr>
              <w:rPr>
                <w:rFonts w:cs="Arial"/>
                <w:b/>
                <w:sz w:val="20"/>
                <w:szCs w:val="20"/>
              </w:rPr>
            </w:pPr>
            <w:r w:rsidRPr="00F955C6">
              <w:rPr>
                <w:rFonts w:cs="Arial"/>
                <w:b/>
                <w:sz w:val="20"/>
                <w:szCs w:val="20"/>
              </w:rPr>
              <w:t xml:space="preserve">P-value </w:t>
            </w:r>
          </w:p>
        </w:tc>
      </w:tr>
      <w:tr w:rsidR="000923BB" w:rsidRPr="00F955C6" w14:paraId="571A71B2" w14:textId="77777777" w:rsidTr="009E2501">
        <w:trPr>
          <w:trHeight w:val="711"/>
        </w:trPr>
        <w:tc>
          <w:tcPr>
            <w:tcW w:w="1034" w:type="dxa"/>
          </w:tcPr>
          <w:p w14:paraId="2267E7F8" w14:textId="77777777" w:rsidR="000923BB" w:rsidRPr="00F955C6" w:rsidRDefault="000923BB" w:rsidP="003A385F">
            <w:pPr>
              <w:rPr>
                <w:rFonts w:cs="Arial"/>
                <w:sz w:val="20"/>
                <w:szCs w:val="20"/>
              </w:rPr>
            </w:pPr>
            <w:r w:rsidRPr="00F955C6">
              <w:rPr>
                <w:rFonts w:cs="Arial"/>
                <w:sz w:val="20"/>
                <w:szCs w:val="20"/>
              </w:rPr>
              <w:t xml:space="preserve">Doctors </w:t>
            </w:r>
          </w:p>
        </w:tc>
        <w:tc>
          <w:tcPr>
            <w:tcW w:w="1018" w:type="dxa"/>
          </w:tcPr>
          <w:p w14:paraId="073ADD71" w14:textId="77777777" w:rsidR="000923BB" w:rsidRPr="00F955C6" w:rsidRDefault="000923BB" w:rsidP="003A385F">
            <w:pPr>
              <w:rPr>
                <w:rFonts w:cs="Arial"/>
                <w:sz w:val="20"/>
                <w:szCs w:val="20"/>
              </w:rPr>
            </w:pPr>
            <w:r w:rsidRPr="00F955C6">
              <w:rPr>
                <w:rFonts w:cs="Arial"/>
                <w:sz w:val="20"/>
                <w:szCs w:val="20"/>
              </w:rPr>
              <w:t>COPD</w:t>
            </w:r>
          </w:p>
        </w:tc>
        <w:tc>
          <w:tcPr>
            <w:tcW w:w="1317" w:type="dxa"/>
          </w:tcPr>
          <w:p w14:paraId="784DE6B1" w14:textId="77777777" w:rsidR="000923BB" w:rsidRPr="00F955C6" w:rsidRDefault="000923BB" w:rsidP="003A385F">
            <w:pPr>
              <w:rPr>
                <w:rFonts w:cs="Arial"/>
                <w:sz w:val="20"/>
                <w:szCs w:val="20"/>
              </w:rPr>
            </w:pPr>
            <w:r w:rsidRPr="00F955C6">
              <w:rPr>
                <w:rFonts w:cs="Arial"/>
                <w:sz w:val="20"/>
                <w:szCs w:val="20"/>
              </w:rPr>
              <w:t>190; 7.19 (2.01)</w:t>
            </w:r>
          </w:p>
        </w:tc>
        <w:tc>
          <w:tcPr>
            <w:tcW w:w="1317" w:type="dxa"/>
          </w:tcPr>
          <w:p w14:paraId="5F98040E" w14:textId="77777777" w:rsidR="000923BB" w:rsidRPr="00F955C6" w:rsidRDefault="000923BB" w:rsidP="003A385F">
            <w:pPr>
              <w:rPr>
                <w:rFonts w:cs="Arial"/>
                <w:sz w:val="20"/>
                <w:szCs w:val="20"/>
              </w:rPr>
            </w:pPr>
            <w:r w:rsidRPr="00F955C6">
              <w:rPr>
                <w:rFonts w:cs="Arial"/>
                <w:sz w:val="20"/>
                <w:szCs w:val="20"/>
              </w:rPr>
              <w:t>82; 8.55 (0.788)</w:t>
            </w:r>
          </w:p>
        </w:tc>
        <w:tc>
          <w:tcPr>
            <w:tcW w:w="1268" w:type="dxa"/>
          </w:tcPr>
          <w:p w14:paraId="65E076F5" w14:textId="77777777" w:rsidR="000923BB" w:rsidRPr="00F955C6" w:rsidRDefault="000923BB" w:rsidP="003A385F">
            <w:pPr>
              <w:rPr>
                <w:rFonts w:cs="Arial"/>
                <w:sz w:val="20"/>
                <w:szCs w:val="20"/>
              </w:rPr>
            </w:pPr>
            <w:r w:rsidRPr="00F955C6">
              <w:rPr>
                <w:rFonts w:cs="Arial"/>
                <w:sz w:val="20"/>
                <w:szCs w:val="20"/>
              </w:rPr>
              <w:t>1.35</w:t>
            </w:r>
          </w:p>
        </w:tc>
        <w:tc>
          <w:tcPr>
            <w:tcW w:w="1276" w:type="dxa"/>
          </w:tcPr>
          <w:p w14:paraId="6F408817" w14:textId="77777777" w:rsidR="000923BB" w:rsidRPr="00F955C6" w:rsidRDefault="000923BB" w:rsidP="003A385F">
            <w:pPr>
              <w:rPr>
                <w:rFonts w:cs="Arial"/>
                <w:sz w:val="20"/>
                <w:szCs w:val="20"/>
              </w:rPr>
            </w:pPr>
            <w:r w:rsidRPr="00F955C6">
              <w:rPr>
                <w:rFonts w:cs="Arial"/>
                <w:sz w:val="20"/>
                <w:szCs w:val="20"/>
              </w:rPr>
              <w:t>0.45 to 2.26</w:t>
            </w:r>
          </w:p>
        </w:tc>
        <w:tc>
          <w:tcPr>
            <w:tcW w:w="992" w:type="dxa"/>
          </w:tcPr>
          <w:p w14:paraId="19B1DA8F" w14:textId="77777777" w:rsidR="000923BB" w:rsidRPr="00F955C6" w:rsidRDefault="000923BB" w:rsidP="003A385F">
            <w:pPr>
              <w:rPr>
                <w:rFonts w:cs="Arial"/>
                <w:sz w:val="20"/>
                <w:szCs w:val="20"/>
              </w:rPr>
            </w:pPr>
            <w:r w:rsidRPr="00F955C6">
              <w:rPr>
                <w:rFonts w:cs="Arial"/>
                <w:sz w:val="20"/>
                <w:szCs w:val="20"/>
              </w:rPr>
              <w:t>0.012*</w:t>
            </w:r>
          </w:p>
        </w:tc>
      </w:tr>
      <w:tr w:rsidR="000923BB" w:rsidRPr="00F955C6" w14:paraId="127FBA2C" w14:textId="77777777" w:rsidTr="009E2501">
        <w:trPr>
          <w:trHeight w:val="711"/>
        </w:trPr>
        <w:tc>
          <w:tcPr>
            <w:tcW w:w="1034" w:type="dxa"/>
          </w:tcPr>
          <w:p w14:paraId="2C889A06" w14:textId="77777777" w:rsidR="000923BB" w:rsidRPr="00F955C6" w:rsidRDefault="000923BB" w:rsidP="003A385F">
            <w:pPr>
              <w:rPr>
                <w:rFonts w:cs="Arial"/>
                <w:sz w:val="20"/>
                <w:szCs w:val="20"/>
              </w:rPr>
            </w:pPr>
            <w:r w:rsidRPr="00F955C6">
              <w:rPr>
                <w:rFonts w:cs="Arial"/>
                <w:sz w:val="20"/>
                <w:szCs w:val="20"/>
              </w:rPr>
              <w:t xml:space="preserve">Non-clinical </w:t>
            </w:r>
          </w:p>
        </w:tc>
        <w:tc>
          <w:tcPr>
            <w:tcW w:w="1018" w:type="dxa"/>
          </w:tcPr>
          <w:p w14:paraId="0F89A249" w14:textId="77777777" w:rsidR="000923BB" w:rsidRDefault="000923BB" w:rsidP="003A385F">
            <w:r w:rsidRPr="00F955C6">
              <w:rPr>
                <w:rFonts w:cs="Arial"/>
                <w:sz w:val="20"/>
                <w:szCs w:val="20"/>
              </w:rPr>
              <w:t>COPD</w:t>
            </w:r>
          </w:p>
        </w:tc>
        <w:tc>
          <w:tcPr>
            <w:tcW w:w="1317" w:type="dxa"/>
          </w:tcPr>
          <w:p w14:paraId="2E2396A6" w14:textId="77777777" w:rsidR="000923BB" w:rsidRPr="00F955C6" w:rsidRDefault="000923BB" w:rsidP="003A385F">
            <w:pPr>
              <w:rPr>
                <w:rFonts w:cs="Arial"/>
                <w:sz w:val="20"/>
                <w:szCs w:val="20"/>
              </w:rPr>
            </w:pPr>
            <w:r w:rsidRPr="00F955C6">
              <w:rPr>
                <w:rFonts w:cs="Arial"/>
                <w:sz w:val="20"/>
                <w:szCs w:val="20"/>
              </w:rPr>
              <w:t>80; 7.46 (1.40)</w:t>
            </w:r>
          </w:p>
        </w:tc>
        <w:tc>
          <w:tcPr>
            <w:tcW w:w="1317" w:type="dxa"/>
          </w:tcPr>
          <w:p w14:paraId="265726C3" w14:textId="77777777" w:rsidR="000923BB" w:rsidRPr="00F955C6" w:rsidRDefault="000923BB" w:rsidP="003A385F">
            <w:pPr>
              <w:rPr>
                <w:rFonts w:cs="Arial"/>
                <w:sz w:val="20"/>
                <w:szCs w:val="20"/>
              </w:rPr>
            </w:pPr>
            <w:r w:rsidRPr="00F955C6">
              <w:rPr>
                <w:rFonts w:cs="Arial"/>
                <w:sz w:val="20"/>
                <w:szCs w:val="20"/>
              </w:rPr>
              <w:t>147; 7.92 (1.44)</w:t>
            </w:r>
          </w:p>
        </w:tc>
        <w:tc>
          <w:tcPr>
            <w:tcW w:w="1268" w:type="dxa"/>
          </w:tcPr>
          <w:p w14:paraId="7876D31D" w14:textId="77777777" w:rsidR="000923BB" w:rsidRPr="00F955C6" w:rsidRDefault="000923BB" w:rsidP="003A385F">
            <w:pPr>
              <w:rPr>
                <w:rFonts w:cs="Arial"/>
                <w:sz w:val="20"/>
                <w:szCs w:val="20"/>
              </w:rPr>
            </w:pPr>
            <w:r w:rsidRPr="00F955C6">
              <w:rPr>
                <w:rFonts w:cs="Arial"/>
                <w:sz w:val="20"/>
                <w:szCs w:val="20"/>
              </w:rPr>
              <w:t>0.46</w:t>
            </w:r>
          </w:p>
        </w:tc>
        <w:tc>
          <w:tcPr>
            <w:tcW w:w="1276" w:type="dxa"/>
            <w:vAlign w:val="center"/>
          </w:tcPr>
          <w:p w14:paraId="018DFC4B" w14:textId="77777777" w:rsidR="000923BB" w:rsidRPr="00F955C6" w:rsidRDefault="000923BB" w:rsidP="003A385F">
            <w:pPr>
              <w:autoSpaceDE w:val="0"/>
              <w:autoSpaceDN w:val="0"/>
              <w:adjustRightInd w:val="0"/>
              <w:rPr>
                <w:rFonts w:cs="Arial"/>
                <w:sz w:val="20"/>
                <w:szCs w:val="20"/>
              </w:rPr>
            </w:pPr>
            <w:r w:rsidRPr="00F955C6">
              <w:rPr>
                <w:rFonts w:cs="Arial"/>
                <w:sz w:val="20"/>
                <w:szCs w:val="20"/>
              </w:rPr>
              <w:t>-0.17 to 1.08</w:t>
            </w:r>
          </w:p>
        </w:tc>
        <w:tc>
          <w:tcPr>
            <w:tcW w:w="992" w:type="dxa"/>
          </w:tcPr>
          <w:p w14:paraId="3F148D5B" w14:textId="77777777" w:rsidR="000923BB" w:rsidRPr="00F955C6" w:rsidRDefault="000923BB" w:rsidP="003A385F">
            <w:pPr>
              <w:rPr>
                <w:rFonts w:cs="Arial"/>
                <w:sz w:val="20"/>
                <w:szCs w:val="20"/>
              </w:rPr>
            </w:pPr>
            <w:r w:rsidRPr="00F955C6">
              <w:rPr>
                <w:rFonts w:cs="Arial"/>
                <w:sz w:val="20"/>
                <w:szCs w:val="20"/>
              </w:rPr>
              <w:t>0.118</w:t>
            </w:r>
          </w:p>
        </w:tc>
      </w:tr>
      <w:tr w:rsidR="000923BB" w:rsidRPr="00F955C6" w14:paraId="31D9BDC9" w14:textId="77777777" w:rsidTr="009E2501">
        <w:trPr>
          <w:trHeight w:val="711"/>
        </w:trPr>
        <w:tc>
          <w:tcPr>
            <w:tcW w:w="1034" w:type="dxa"/>
          </w:tcPr>
          <w:p w14:paraId="4915EE52" w14:textId="77777777" w:rsidR="000923BB" w:rsidRPr="00F955C6" w:rsidRDefault="000923BB" w:rsidP="003A385F">
            <w:pPr>
              <w:rPr>
                <w:rFonts w:cs="Arial"/>
                <w:sz w:val="20"/>
                <w:szCs w:val="20"/>
              </w:rPr>
            </w:pPr>
            <w:r w:rsidRPr="00F955C6">
              <w:rPr>
                <w:rFonts w:cs="Arial"/>
                <w:sz w:val="20"/>
                <w:szCs w:val="20"/>
              </w:rPr>
              <w:t>Clinical</w:t>
            </w:r>
          </w:p>
        </w:tc>
        <w:tc>
          <w:tcPr>
            <w:tcW w:w="1018" w:type="dxa"/>
          </w:tcPr>
          <w:p w14:paraId="69648C70" w14:textId="77777777" w:rsidR="000923BB" w:rsidRDefault="000923BB" w:rsidP="003A385F">
            <w:r w:rsidRPr="00F955C6">
              <w:rPr>
                <w:rFonts w:cs="Arial"/>
                <w:sz w:val="20"/>
                <w:szCs w:val="20"/>
              </w:rPr>
              <w:t>COPD</w:t>
            </w:r>
          </w:p>
        </w:tc>
        <w:tc>
          <w:tcPr>
            <w:tcW w:w="1317" w:type="dxa"/>
          </w:tcPr>
          <w:p w14:paraId="516C9DEC" w14:textId="77777777" w:rsidR="000923BB" w:rsidRPr="00F955C6" w:rsidRDefault="000923BB" w:rsidP="003A385F">
            <w:pPr>
              <w:rPr>
                <w:rFonts w:cs="Arial"/>
                <w:sz w:val="20"/>
                <w:szCs w:val="20"/>
              </w:rPr>
            </w:pPr>
            <w:r w:rsidRPr="00F955C6">
              <w:rPr>
                <w:rFonts w:cs="Arial"/>
                <w:sz w:val="20"/>
                <w:szCs w:val="20"/>
              </w:rPr>
              <w:t>206; 6.48 (2.24)</w:t>
            </w:r>
          </w:p>
        </w:tc>
        <w:tc>
          <w:tcPr>
            <w:tcW w:w="1317" w:type="dxa"/>
          </w:tcPr>
          <w:p w14:paraId="4EF33C87" w14:textId="77777777" w:rsidR="000923BB" w:rsidRPr="00F955C6" w:rsidRDefault="000923BB" w:rsidP="003A385F">
            <w:pPr>
              <w:rPr>
                <w:rFonts w:cs="Arial"/>
                <w:sz w:val="20"/>
                <w:szCs w:val="20"/>
              </w:rPr>
            </w:pPr>
            <w:r w:rsidRPr="00F955C6">
              <w:rPr>
                <w:rFonts w:cs="Arial"/>
                <w:sz w:val="20"/>
                <w:szCs w:val="20"/>
              </w:rPr>
              <w:t>147; 7.23 (1.74)</w:t>
            </w:r>
          </w:p>
        </w:tc>
        <w:tc>
          <w:tcPr>
            <w:tcW w:w="1268" w:type="dxa"/>
          </w:tcPr>
          <w:p w14:paraId="6465E00E" w14:textId="77777777" w:rsidR="000923BB" w:rsidRPr="00F955C6" w:rsidRDefault="000923BB" w:rsidP="003A385F">
            <w:pPr>
              <w:rPr>
                <w:rFonts w:cs="Arial"/>
                <w:sz w:val="20"/>
                <w:szCs w:val="20"/>
              </w:rPr>
            </w:pPr>
            <w:r w:rsidRPr="00F955C6">
              <w:rPr>
                <w:rFonts w:cs="Arial"/>
                <w:sz w:val="20"/>
                <w:szCs w:val="20"/>
              </w:rPr>
              <w:t>0.76</w:t>
            </w:r>
          </w:p>
        </w:tc>
        <w:tc>
          <w:tcPr>
            <w:tcW w:w="1276" w:type="dxa"/>
          </w:tcPr>
          <w:p w14:paraId="33517132" w14:textId="77777777" w:rsidR="000923BB" w:rsidRPr="00F955C6" w:rsidRDefault="000923BB" w:rsidP="003A385F">
            <w:pPr>
              <w:rPr>
                <w:rFonts w:cs="Arial"/>
                <w:sz w:val="20"/>
                <w:szCs w:val="20"/>
              </w:rPr>
            </w:pPr>
            <w:r w:rsidRPr="00F955C6">
              <w:rPr>
                <w:rFonts w:cs="Arial"/>
                <w:sz w:val="20"/>
                <w:szCs w:val="20"/>
              </w:rPr>
              <w:t>-0.79 to 2.30</w:t>
            </w:r>
          </w:p>
        </w:tc>
        <w:tc>
          <w:tcPr>
            <w:tcW w:w="992" w:type="dxa"/>
          </w:tcPr>
          <w:p w14:paraId="56706B85" w14:textId="77777777" w:rsidR="000923BB" w:rsidRPr="00F955C6" w:rsidRDefault="000923BB" w:rsidP="003A385F">
            <w:pPr>
              <w:rPr>
                <w:rFonts w:cs="Arial"/>
                <w:sz w:val="20"/>
                <w:szCs w:val="20"/>
              </w:rPr>
            </w:pPr>
            <w:r w:rsidRPr="00F955C6">
              <w:rPr>
                <w:rFonts w:cs="Arial"/>
                <w:sz w:val="20"/>
                <w:szCs w:val="20"/>
              </w:rPr>
              <w:t>0.286</w:t>
            </w:r>
          </w:p>
        </w:tc>
      </w:tr>
      <w:tr w:rsidR="000923BB" w:rsidRPr="00F955C6" w14:paraId="1F75BB87" w14:textId="77777777" w:rsidTr="009E2501">
        <w:trPr>
          <w:trHeight w:val="711"/>
        </w:trPr>
        <w:tc>
          <w:tcPr>
            <w:tcW w:w="1034" w:type="dxa"/>
          </w:tcPr>
          <w:p w14:paraId="09529426" w14:textId="77777777" w:rsidR="000923BB" w:rsidRPr="00F955C6" w:rsidRDefault="000923BB" w:rsidP="003A385F">
            <w:pPr>
              <w:rPr>
                <w:rFonts w:cs="Arial"/>
                <w:i/>
                <w:sz w:val="20"/>
                <w:szCs w:val="20"/>
              </w:rPr>
            </w:pPr>
            <w:r w:rsidRPr="00F955C6">
              <w:rPr>
                <w:rFonts w:cs="Arial"/>
                <w:i/>
                <w:sz w:val="20"/>
                <w:szCs w:val="20"/>
              </w:rPr>
              <w:t xml:space="preserve">All staff </w:t>
            </w:r>
          </w:p>
        </w:tc>
        <w:tc>
          <w:tcPr>
            <w:tcW w:w="1018" w:type="dxa"/>
          </w:tcPr>
          <w:p w14:paraId="400A3E43" w14:textId="77777777" w:rsidR="000923BB" w:rsidRPr="00F955C6" w:rsidRDefault="000923BB" w:rsidP="003A385F">
            <w:pPr>
              <w:rPr>
                <w:i/>
              </w:rPr>
            </w:pPr>
            <w:r w:rsidRPr="00F955C6">
              <w:rPr>
                <w:rFonts w:cs="Arial"/>
                <w:i/>
                <w:sz w:val="20"/>
                <w:szCs w:val="20"/>
              </w:rPr>
              <w:t>COPD</w:t>
            </w:r>
          </w:p>
        </w:tc>
        <w:tc>
          <w:tcPr>
            <w:tcW w:w="1317" w:type="dxa"/>
          </w:tcPr>
          <w:p w14:paraId="64035C9D" w14:textId="77777777" w:rsidR="000923BB" w:rsidRPr="00F955C6" w:rsidRDefault="000923BB" w:rsidP="003A385F">
            <w:pPr>
              <w:rPr>
                <w:rFonts w:cs="Arial"/>
                <w:i/>
                <w:sz w:val="20"/>
                <w:szCs w:val="20"/>
              </w:rPr>
            </w:pPr>
            <w:r w:rsidRPr="00F955C6">
              <w:rPr>
                <w:rFonts w:cs="Arial"/>
                <w:i/>
                <w:sz w:val="20"/>
                <w:szCs w:val="20"/>
              </w:rPr>
              <w:t>476; 6.93 (2.06)</w:t>
            </w:r>
          </w:p>
        </w:tc>
        <w:tc>
          <w:tcPr>
            <w:tcW w:w="1317" w:type="dxa"/>
          </w:tcPr>
          <w:p w14:paraId="7004EFCA" w14:textId="77777777" w:rsidR="000923BB" w:rsidRPr="00F955C6" w:rsidRDefault="000923BB" w:rsidP="003A385F">
            <w:pPr>
              <w:rPr>
                <w:rFonts w:cs="Arial"/>
                <w:i/>
                <w:sz w:val="20"/>
                <w:szCs w:val="20"/>
              </w:rPr>
            </w:pPr>
            <w:r w:rsidRPr="00F955C6">
              <w:rPr>
                <w:rFonts w:cs="Arial"/>
                <w:i/>
                <w:sz w:val="20"/>
                <w:szCs w:val="20"/>
              </w:rPr>
              <w:t>376; 7.79 (1.54)</w:t>
            </w:r>
          </w:p>
        </w:tc>
        <w:tc>
          <w:tcPr>
            <w:tcW w:w="1268" w:type="dxa"/>
          </w:tcPr>
          <w:p w14:paraId="087002C9" w14:textId="77777777" w:rsidR="000923BB" w:rsidRPr="00F955C6" w:rsidRDefault="000923BB" w:rsidP="003A385F">
            <w:pPr>
              <w:rPr>
                <w:rFonts w:cs="Arial"/>
                <w:i/>
                <w:sz w:val="20"/>
                <w:szCs w:val="20"/>
              </w:rPr>
            </w:pPr>
            <w:r w:rsidRPr="00F955C6">
              <w:rPr>
                <w:rFonts w:cs="Arial"/>
                <w:i/>
                <w:sz w:val="20"/>
                <w:szCs w:val="20"/>
              </w:rPr>
              <w:t>0.86</w:t>
            </w:r>
          </w:p>
        </w:tc>
        <w:tc>
          <w:tcPr>
            <w:tcW w:w="1276" w:type="dxa"/>
          </w:tcPr>
          <w:p w14:paraId="4C2789CC" w14:textId="77777777" w:rsidR="000923BB" w:rsidRPr="00F955C6" w:rsidRDefault="000923BB" w:rsidP="003A385F">
            <w:pPr>
              <w:rPr>
                <w:rFonts w:cs="Arial"/>
                <w:i/>
                <w:sz w:val="20"/>
                <w:szCs w:val="20"/>
              </w:rPr>
            </w:pPr>
            <w:r w:rsidRPr="00F955C6">
              <w:rPr>
                <w:rFonts w:cs="Arial"/>
                <w:i/>
                <w:sz w:val="20"/>
                <w:szCs w:val="20"/>
              </w:rPr>
              <w:t>0.08  to 1.64</w:t>
            </w:r>
          </w:p>
        </w:tc>
        <w:tc>
          <w:tcPr>
            <w:tcW w:w="992" w:type="dxa"/>
          </w:tcPr>
          <w:p w14:paraId="23DE3A77" w14:textId="77777777" w:rsidR="000923BB" w:rsidRPr="00F955C6" w:rsidRDefault="000923BB" w:rsidP="003A385F">
            <w:pPr>
              <w:rPr>
                <w:rFonts w:cs="Arial"/>
                <w:i/>
                <w:sz w:val="20"/>
                <w:szCs w:val="20"/>
              </w:rPr>
            </w:pPr>
            <w:r w:rsidRPr="00F955C6">
              <w:rPr>
                <w:rFonts w:cs="Arial"/>
                <w:i/>
                <w:sz w:val="20"/>
                <w:szCs w:val="20"/>
              </w:rPr>
              <w:t>0.033*</w:t>
            </w:r>
          </w:p>
        </w:tc>
      </w:tr>
      <w:tr w:rsidR="000923BB" w:rsidRPr="00F955C6" w14:paraId="5137618F" w14:textId="77777777" w:rsidTr="009E2501">
        <w:trPr>
          <w:trHeight w:val="463"/>
        </w:trPr>
        <w:tc>
          <w:tcPr>
            <w:tcW w:w="1034" w:type="dxa"/>
          </w:tcPr>
          <w:p w14:paraId="02A7EAC9" w14:textId="77777777" w:rsidR="000923BB" w:rsidRPr="00F955C6" w:rsidRDefault="000923BB" w:rsidP="003A385F">
            <w:pPr>
              <w:rPr>
                <w:rFonts w:cs="Arial"/>
                <w:sz w:val="20"/>
                <w:szCs w:val="20"/>
              </w:rPr>
            </w:pPr>
          </w:p>
        </w:tc>
        <w:tc>
          <w:tcPr>
            <w:tcW w:w="1018" w:type="dxa"/>
          </w:tcPr>
          <w:p w14:paraId="7EE6D218" w14:textId="77777777" w:rsidR="000923BB" w:rsidRPr="00F955C6" w:rsidRDefault="000923BB" w:rsidP="003A385F">
            <w:pPr>
              <w:rPr>
                <w:rFonts w:cs="Arial"/>
                <w:sz w:val="20"/>
                <w:szCs w:val="20"/>
              </w:rPr>
            </w:pPr>
          </w:p>
        </w:tc>
        <w:tc>
          <w:tcPr>
            <w:tcW w:w="1317" w:type="dxa"/>
          </w:tcPr>
          <w:p w14:paraId="7816E1F2" w14:textId="77777777" w:rsidR="000923BB" w:rsidRPr="00F955C6" w:rsidRDefault="000923BB" w:rsidP="003A385F">
            <w:pPr>
              <w:rPr>
                <w:rFonts w:cs="Arial"/>
                <w:sz w:val="18"/>
                <w:szCs w:val="18"/>
              </w:rPr>
            </w:pPr>
          </w:p>
        </w:tc>
        <w:tc>
          <w:tcPr>
            <w:tcW w:w="1317" w:type="dxa"/>
          </w:tcPr>
          <w:p w14:paraId="20E7022B" w14:textId="77777777" w:rsidR="000923BB" w:rsidRPr="00F955C6" w:rsidRDefault="000923BB" w:rsidP="003A385F">
            <w:pPr>
              <w:rPr>
                <w:rFonts w:cs="Arial"/>
                <w:sz w:val="18"/>
                <w:szCs w:val="18"/>
              </w:rPr>
            </w:pPr>
          </w:p>
        </w:tc>
        <w:tc>
          <w:tcPr>
            <w:tcW w:w="1268" w:type="dxa"/>
          </w:tcPr>
          <w:p w14:paraId="594AEBD5" w14:textId="77777777" w:rsidR="000923BB" w:rsidRPr="00F955C6" w:rsidRDefault="000923BB" w:rsidP="003A385F">
            <w:pPr>
              <w:rPr>
                <w:rFonts w:cs="Arial"/>
                <w:sz w:val="18"/>
                <w:szCs w:val="18"/>
              </w:rPr>
            </w:pPr>
          </w:p>
        </w:tc>
        <w:tc>
          <w:tcPr>
            <w:tcW w:w="1276" w:type="dxa"/>
          </w:tcPr>
          <w:p w14:paraId="2A463DC5" w14:textId="77777777" w:rsidR="000923BB" w:rsidRPr="00F955C6" w:rsidRDefault="000923BB" w:rsidP="003A385F">
            <w:pPr>
              <w:rPr>
                <w:rFonts w:cs="Arial"/>
                <w:sz w:val="18"/>
                <w:szCs w:val="18"/>
              </w:rPr>
            </w:pPr>
          </w:p>
        </w:tc>
        <w:tc>
          <w:tcPr>
            <w:tcW w:w="992" w:type="dxa"/>
          </w:tcPr>
          <w:p w14:paraId="63BC7DEA" w14:textId="77777777" w:rsidR="000923BB" w:rsidRPr="00F955C6" w:rsidRDefault="000923BB" w:rsidP="003A385F">
            <w:pPr>
              <w:rPr>
                <w:rFonts w:cs="Arial"/>
                <w:sz w:val="20"/>
                <w:szCs w:val="20"/>
              </w:rPr>
            </w:pPr>
          </w:p>
        </w:tc>
      </w:tr>
      <w:tr w:rsidR="000923BB" w:rsidRPr="00F955C6" w14:paraId="201D48C9" w14:textId="77777777" w:rsidTr="009E2501">
        <w:trPr>
          <w:trHeight w:val="910"/>
        </w:trPr>
        <w:tc>
          <w:tcPr>
            <w:tcW w:w="1034" w:type="dxa"/>
          </w:tcPr>
          <w:p w14:paraId="54A685D6" w14:textId="77777777" w:rsidR="000923BB" w:rsidRPr="00F955C6" w:rsidRDefault="000923BB" w:rsidP="003A385F">
            <w:pPr>
              <w:rPr>
                <w:rFonts w:cs="Arial"/>
                <w:sz w:val="20"/>
                <w:szCs w:val="20"/>
              </w:rPr>
            </w:pPr>
            <w:r w:rsidRPr="00F955C6">
              <w:rPr>
                <w:rFonts w:cs="Arial"/>
                <w:sz w:val="20"/>
                <w:szCs w:val="20"/>
              </w:rPr>
              <w:t xml:space="preserve">Doctors </w:t>
            </w:r>
          </w:p>
        </w:tc>
        <w:tc>
          <w:tcPr>
            <w:tcW w:w="1018" w:type="dxa"/>
          </w:tcPr>
          <w:p w14:paraId="1369493F" w14:textId="77777777" w:rsidR="000923BB" w:rsidRPr="00F955C6" w:rsidRDefault="000923BB" w:rsidP="003A385F">
            <w:pPr>
              <w:rPr>
                <w:rFonts w:cs="Arial"/>
                <w:sz w:val="20"/>
                <w:szCs w:val="20"/>
              </w:rPr>
            </w:pPr>
            <w:r w:rsidRPr="00F955C6">
              <w:rPr>
                <w:rFonts w:cs="Arial"/>
                <w:sz w:val="20"/>
                <w:szCs w:val="20"/>
              </w:rPr>
              <w:t xml:space="preserve">Heart </w:t>
            </w:r>
          </w:p>
          <w:p w14:paraId="492BBBF2" w14:textId="77777777" w:rsidR="000923BB" w:rsidRPr="00F955C6" w:rsidRDefault="000923BB" w:rsidP="003A385F">
            <w:pPr>
              <w:rPr>
                <w:rFonts w:cs="Arial"/>
                <w:sz w:val="20"/>
                <w:szCs w:val="20"/>
              </w:rPr>
            </w:pPr>
            <w:r w:rsidRPr="00F955C6">
              <w:rPr>
                <w:rFonts w:cs="Arial"/>
                <w:sz w:val="20"/>
                <w:szCs w:val="20"/>
              </w:rPr>
              <w:t>Failure</w:t>
            </w:r>
          </w:p>
        </w:tc>
        <w:tc>
          <w:tcPr>
            <w:tcW w:w="1317" w:type="dxa"/>
          </w:tcPr>
          <w:p w14:paraId="2DD60663" w14:textId="77777777" w:rsidR="000923BB" w:rsidRPr="00F955C6" w:rsidRDefault="000923BB" w:rsidP="003A385F">
            <w:pPr>
              <w:rPr>
                <w:rFonts w:cs="Arial"/>
                <w:sz w:val="20"/>
                <w:szCs w:val="20"/>
              </w:rPr>
            </w:pPr>
            <w:r w:rsidRPr="00F955C6">
              <w:rPr>
                <w:rFonts w:cs="Arial"/>
                <w:sz w:val="20"/>
                <w:szCs w:val="20"/>
              </w:rPr>
              <w:t>166; 8.11 (1.94)</w:t>
            </w:r>
          </w:p>
        </w:tc>
        <w:tc>
          <w:tcPr>
            <w:tcW w:w="1317" w:type="dxa"/>
          </w:tcPr>
          <w:p w14:paraId="06BFC4C8" w14:textId="77777777" w:rsidR="000923BB" w:rsidRPr="00F955C6" w:rsidRDefault="000923BB" w:rsidP="003A385F">
            <w:pPr>
              <w:rPr>
                <w:rFonts w:cs="Arial"/>
                <w:sz w:val="20"/>
                <w:szCs w:val="20"/>
              </w:rPr>
            </w:pPr>
            <w:r w:rsidRPr="00F955C6">
              <w:rPr>
                <w:rFonts w:cs="Arial"/>
                <w:sz w:val="20"/>
                <w:szCs w:val="20"/>
              </w:rPr>
              <w:t>156: 7.69 (1.42)</w:t>
            </w:r>
          </w:p>
        </w:tc>
        <w:tc>
          <w:tcPr>
            <w:tcW w:w="1268" w:type="dxa"/>
          </w:tcPr>
          <w:p w14:paraId="05ECE4B5" w14:textId="77777777" w:rsidR="000923BB" w:rsidRPr="00F955C6" w:rsidRDefault="000923BB" w:rsidP="003A385F">
            <w:pPr>
              <w:rPr>
                <w:rFonts w:cs="Arial"/>
                <w:sz w:val="20"/>
                <w:szCs w:val="20"/>
              </w:rPr>
            </w:pPr>
            <w:r w:rsidRPr="00F955C6">
              <w:rPr>
                <w:rFonts w:cs="Arial"/>
                <w:sz w:val="20"/>
                <w:szCs w:val="20"/>
              </w:rPr>
              <w:t>-0.42</w:t>
            </w:r>
          </w:p>
        </w:tc>
        <w:tc>
          <w:tcPr>
            <w:tcW w:w="1276" w:type="dxa"/>
          </w:tcPr>
          <w:p w14:paraId="6C0EA222" w14:textId="77777777" w:rsidR="000923BB" w:rsidRPr="00F955C6" w:rsidRDefault="000923BB" w:rsidP="003A385F">
            <w:pPr>
              <w:rPr>
                <w:rFonts w:cs="Arial"/>
                <w:sz w:val="20"/>
                <w:szCs w:val="20"/>
              </w:rPr>
            </w:pPr>
            <w:r w:rsidRPr="00F955C6">
              <w:rPr>
                <w:rFonts w:cs="Arial"/>
                <w:sz w:val="20"/>
                <w:szCs w:val="20"/>
              </w:rPr>
              <w:t>-1.52 to 0.69</w:t>
            </w:r>
          </w:p>
        </w:tc>
        <w:tc>
          <w:tcPr>
            <w:tcW w:w="992" w:type="dxa"/>
          </w:tcPr>
          <w:p w14:paraId="086EDCE7" w14:textId="77777777" w:rsidR="000923BB" w:rsidRPr="00F955C6" w:rsidRDefault="000923BB" w:rsidP="003A385F">
            <w:pPr>
              <w:rPr>
                <w:rFonts w:cs="Arial"/>
                <w:sz w:val="20"/>
                <w:szCs w:val="20"/>
              </w:rPr>
            </w:pPr>
            <w:r w:rsidRPr="00F955C6">
              <w:rPr>
                <w:rFonts w:cs="Arial"/>
                <w:sz w:val="20"/>
                <w:szCs w:val="20"/>
              </w:rPr>
              <w:t>0.415</w:t>
            </w:r>
          </w:p>
        </w:tc>
      </w:tr>
      <w:tr w:rsidR="000923BB" w:rsidRPr="00F955C6" w14:paraId="3AA98166" w14:textId="77777777" w:rsidTr="009E2501">
        <w:trPr>
          <w:trHeight w:val="910"/>
        </w:trPr>
        <w:tc>
          <w:tcPr>
            <w:tcW w:w="1034" w:type="dxa"/>
          </w:tcPr>
          <w:p w14:paraId="1E7E09B5" w14:textId="77777777" w:rsidR="000923BB" w:rsidRPr="00F955C6" w:rsidRDefault="000923BB" w:rsidP="003A385F">
            <w:pPr>
              <w:rPr>
                <w:rFonts w:cs="Arial"/>
                <w:sz w:val="20"/>
                <w:szCs w:val="20"/>
              </w:rPr>
            </w:pPr>
            <w:r w:rsidRPr="00F955C6">
              <w:rPr>
                <w:rFonts w:cs="Arial"/>
                <w:sz w:val="20"/>
                <w:szCs w:val="20"/>
              </w:rPr>
              <w:t xml:space="preserve">Non-clinical </w:t>
            </w:r>
          </w:p>
        </w:tc>
        <w:tc>
          <w:tcPr>
            <w:tcW w:w="1018" w:type="dxa"/>
          </w:tcPr>
          <w:p w14:paraId="6447318E" w14:textId="77777777" w:rsidR="000923BB" w:rsidRPr="00F955C6" w:rsidRDefault="000923BB" w:rsidP="003A385F">
            <w:pPr>
              <w:rPr>
                <w:rFonts w:cs="Arial"/>
                <w:sz w:val="20"/>
                <w:szCs w:val="20"/>
              </w:rPr>
            </w:pPr>
            <w:r w:rsidRPr="00F955C6">
              <w:rPr>
                <w:rFonts w:cs="Arial"/>
                <w:sz w:val="20"/>
                <w:szCs w:val="20"/>
              </w:rPr>
              <w:t xml:space="preserve">Heart </w:t>
            </w:r>
          </w:p>
          <w:p w14:paraId="1A44F565" w14:textId="77777777" w:rsidR="000923BB" w:rsidRPr="006E28FA" w:rsidRDefault="000923BB" w:rsidP="003A385F">
            <w:r w:rsidRPr="00F955C6">
              <w:rPr>
                <w:rFonts w:cs="Arial"/>
                <w:sz w:val="20"/>
                <w:szCs w:val="20"/>
              </w:rPr>
              <w:t>Failure</w:t>
            </w:r>
          </w:p>
        </w:tc>
        <w:tc>
          <w:tcPr>
            <w:tcW w:w="1317" w:type="dxa"/>
          </w:tcPr>
          <w:p w14:paraId="6286F13E" w14:textId="77777777" w:rsidR="000923BB" w:rsidRPr="00F955C6" w:rsidRDefault="000923BB" w:rsidP="003A385F">
            <w:pPr>
              <w:rPr>
                <w:rFonts w:cs="Arial"/>
                <w:sz w:val="20"/>
                <w:szCs w:val="20"/>
              </w:rPr>
            </w:pPr>
            <w:r w:rsidRPr="00F955C6">
              <w:rPr>
                <w:rFonts w:cs="Arial"/>
                <w:sz w:val="20"/>
                <w:szCs w:val="20"/>
              </w:rPr>
              <w:t xml:space="preserve">9; 8.22 </w:t>
            </w:r>
          </w:p>
          <w:p w14:paraId="6DE1B149" w14:textId="77777777" w:rsidR="000923BB" w:rsidRPr="00F955C6" w:rsidRDefault="000923BB" w:rsidP="003A385F">
            <w:pPr>
              <w:rPr>
                <w:rFonts w:cs="Arial"/>
                <w:sz w:val="20"/>
                <w:szCs w:val="20"/>
              </w:rPr>
            </w:pPr>
            <w:r w:rsidRPr="00F955C6">
              <w:rPr>
                <w:rFonts w:cs="Arial"/>
                <w:sz w:val="20"/>
                <w:szCs w:val="20"/>
              </w:rPr>
              <w:t>(0.83)</w:t>
            </w:r>
          </w:p>
        </w:tc>
        <w:tc>
          <w:tcPr>
            <w:tcW w:w="1317" w:type="dxa"/>
          </w:tcPr>
          <w:p w14:paraId="065B2E97" w14:textId="77777777" w:rsidR="000923BB" w:rsidRPr="00F955C6" w:rsidRDefault="000923BB" w:rsidP="003A385F">
            <w:pPr>
              <w:rPr>
                <w:rFonts w:cs="Arial"/>
                <w:sz w:val="20"/>
                <w:szCs w:val="20"/>
              </w:rPr>
            </w:pPr>
            <w:r w:rsidRPr="00F955C6">
              <w:rPr>
                <w:rFonts w:cs="Arial"/>
                <w:sz w:val="20"/>
                <w:szCs w:val="20"/>
              </w:rPr>
              <w:t>61; 8.15 (0.51)</w:t>
            </w:r>
          </w:p>
        </w:tc>
        <w:tc>
          <w:tcPr>
            <w:tcW w:w="1268" w:type="dxa"/>
          </w:tcPr>
          <w:p w14:paraId="73170E13" w14:textId="77777777" w:rsidR="000923BB" w:rsidRPr="00F955C6" w:rsidRDefault="000923BB" w:rsidP="003A385F">
            <w:pPr>
              <w:rPr>
                <w:rFonts w:cs="Arial"/>
                <w:sz w:val="20"/>
                <w:szCs w:val="20"/>
              </w:rPr>
            </w:pPr>
            <w:r w:rsidRPr="00F955C6">
              <w:rPr>
                <w:rFonts w:cs="Arial"/>
                <w:sz w:val="20"/>
                <w:szCs w:val="20"/>
              </w:rPr>
              <w:t>-0.07</w:t>
            </w:r>
          </w:p>
        </w:tc>
        <w:tc>
          <w:tcPr>
            <w:tcW w:w="1276" w:type="dxa"/>
          </w:tcPr>
          <w:p w14:paraId="5683EA15" w14:textId="77777777" w:rsidR="000923BB" w:rsidRPr="00F955C6" w:rsidRDefault="000923BB" w:rsidP="003A385F">
            <w:pPr>
              <w:rPr>
                <w:rFonts w:cs="Arial"/>
                <w:sz w:val="20"/>
                <w:szCs w:val="20"/>
              </w:rPr>
            </w:pPr>
            <w:r w:rsidRPr="00F955C6">
              <w:rPr>
                <w:rFonts w:cs="Arial"/>
                <w:sz w:val="20"/>
                <w:szCs w:val="20"/>
              </w:rPr>
              <w:t>-1.09 to 0.94</w:t>
            </w:r>
          </w:p>
        </w:tc>
        <w:tc>
          <w:tcPr>
            <w:tcW w:w="992" w:type="dxa"/>
          </w:tcPr>
          <w:p w14:paraId="1DB81926" w14:textId="77777777" w:rsidR="000923BB" w:rsidRPr="00F955C6" w:rsidRDefault="000923BB" w:rsidP="003A385F">
            <w:pPr>
              <w:rPr>
                <w:rFonts w:cs="Arial"/>
                <w:sz w:val="20"/>
                <w:szCs w:val="20"/>
              </w:rPr>
            </w:pPr>
            <w:r w:rsidRPr="00F955C6">
              <w:rPr>
                <w:rFonts w:cs="Arial"/>
                <w:sz w:val="20"/>
                <w:szCs w:val="20"/>
              </w:rPr>
              <w:t>0.781</w:t>
            </w:r>
          </w:p>
        </w:tc>
      </w:tr>
      <w:tr w:rsidR="000923BB" w:rsidRPr="00F955C6" w14:paraId="4122AB25" w14:textId="77777777" w:rsidTr="009E2501">
        <w:trPr>
          <w:trHeight w:val="910"/>
        </w:trPr>
        <w:tc>
          <w:tcPr>
            <w:tcW w:w="1034" w:type="dxa"/>
          </w:tcPr>
          <w:p w14:paraId="13D6018C" w14:textId="77777777" w:rsidR="000923BB" w:rsidRPr="00F955C6" w:rsidRDefault="000923BB" w:rsidP="003A385F">
            <w:pPr>
              <w:rPr>
                <w:rFonts w:cs="Arial"/>
                <w:sz w:val="20"/>
                <w:szCs w:val="20"/>
              </w:rPr>
            </w:pPr>
            <w:r w:rsidRPr="00F955C6">
              <w:rPr>
                <w:rFonts w:cs="Arial"/>
                <w:sz w:val="20"/>
                <w:szCs w:val="20"/>
              </w:rPr>
              <w:t>Clinical</w:t>
            </w:r>
          </w:p>
        </w:tc>
        <w:tc>
          <w:tcPr>
            <w:tcW w:w="1018" w:type="dxa"/>
          </w:tcPr>
          <w:p w14:paraId="14060305" w14:textId="77777777" w:rsidR="000923BB" w:rsidRPr="00F955C6" w:rsidRDefault="000923BB" w:rsidP="003A385F">
            <w:pPr>
              <w:rPr>
                <w:rFonts w:cs="Arial"/>
                <w:sz w:val="20"/>
                <w:szCs w:val="20"/>
              </w:rPr>
            </w:pPr>
            <w:r w:rsidRPr="00F955C6">
              <w:rPr>
                <w:rFonts w:cs="Arial"/>
                <w:sz w:val="20"/>
                <w:szCs w:val="20"/>
              </w:rPr>
              <w:t xml:space="preserve">Heart </w:t>
            </w:r>
          </w:p>
          <w:p w14:paraId="45AEA245" w14:textId="77777777" w:rsidR="000923BB" w:rsidRPr="006E28FA" w:rsidRDefault="000923BB" w:rsidP="003A385F">
            <w:r w:rsidRPr="00F955C6">
              <w:rPr>
                <w:rFonts w:cs="Arial"/>
                <w:sz w:val="20"/>
                <w:szCs w:val="20"/>
              </w:rPr>
              <w:t>Failure</w:t>
            </w:r>
          </w:p>
        </w:tc>
        <w:tc>
          <w:tcPr>
            <w:tcW w:w="1317" w:type="dxa"/>
          </w:tcPr>
          <w:p w14:paraId="57940788" w14:textId="77777777" w:rsidR="000923BB" w:rsidRPr="00F955C6" w:rsidRDefault="000923BB" w:rsidP="003A385F">
            <w:pPr>
              <w:rPr>
                <w:rFonts w:cs="Arial"/>
                <w:sz w:val="20"/>
                <w:szCs w:val="20"/>
              </w:rPr>
            </w:pPr>
            <w:r w:rsidRPr="00F955C6">
              <w:rPr>
                <w:rFonts w:cs="Arial"/>
                <w:sz w:val="20"/>
                <w:szCs w:val="20"/>
              </w:rPr>
              <w:t>137; 7.53 (1.56)</w:t>
            </w:r>
          </w:p>
        </w:tc>
        <w:tc>
          <w:tcPr>
            <w:tcW w:w="1317" w:type="dxa"/>
          </w:tcPr>
          <w:p w14:paraId="64F1DDC5" w14:textId="77777777" w:rsidR="000923BB" w:rsidRPr="00F955C6" w:rsidRDefault="000923BB" w:rsidP="003A385F">
            <w:pPr>
              <w:rPr>
                <w:rFonts w:cs="Arial"/>
                <w:sz w:val="20"/>
                <w:szCs w:val="20"/>
              </w:rPr>
            </w:pPr>
            <w:r w:rsidRPr="00F955C6">
              <w:rPr>
                <w:rFonts w:cs="Arial"/>
                <w:sz w:val="20"/>
                <w:szCs w:val="20"/>
              </w:rPr>
              <w:t>42: 7.09 (2.02)</w:t>
            </w:r>
          </w:p>
        </w:tc>
        <w:tc>
          <w:tcPr>
            <w:tcW w:w="1268" w:type="dxa"/>
          </w:tcPr>
          <w:p w14:paraId="2DD5C7F4" w14:textId="77777777" w:rsidR="000923BB" w:rsidRPr="00F955C6" w:rsidRDefault="000923BB" w:rsidP="003A385F">
            <w:pPr>
              <w:rPr>
                <w:rFonts w:cs="Arial"/>
                <w:sz w:val="20"/>
                <w:szCs w:val="20"/>
              </w:rPr>
            </w:pPr>
            <w:r w:rsidRPr="00F955C6">
              <w:rPr>
                <w:rFonts w:cs="Arial"/>
                <w:sz w:val="20"/>
                <w:szCs w:val="20"/>
              </w:rPr>
              <w:t>-0.43</w:t>
            </w:r>
          </w:p>
        </w:tc>
        <w:tc>
          <w:tcPr>
            <w:tcW w:w="1276" w:type="dxa"/>
          </w:tcPr>
          <w:p w14:paraId="7D649901" w14:textId="77777777" w:rsidR="000923BB" w:rsidRPr="00F955C6" w:rsidRDefault="000923BB" w:rsidP="003A385F">
            <w:pPr>
              <w:rPr>
                <w:rFonts w:cs="Arial"/>
                <w:sz w:val="20"/>
                <w:szCs w:val="20"/>
              </w:rPr>
            </w:pPr>
            <w:r w:rsidRPr="00F955C6">
              <w:rPr>
                <w:rFonts w:cs="Arial"/>
                <w:sz w:val="20"/>
                <w:szCs w:val="20"/>
              </w:rPr>
              <w:t>-1.47 to 0.60</w:t>
            </w:r>
          </w:p>
        </w:tc>
        <w:tc>
          <w:tcPr>
            <w:tcW w:w="992" w:type="dxa"/>
          </w:tcPr>
          <w:p w14:paraId="174EB281" w14:textId="77777777" w:rsidR="000923BB" w:rsidRPr="00F955C6" w:rsidRDefault="000923BB" w:rsidP="003A385F">
            <w:pPr>
              <w:rPr>
                <w:rFonts w:cs="Arial"/>
                <w:sz w:val="20"/>
                <w:szCs w:val="20"/>
              </w:rPr>
            </w:pPr>
            <w:r w:rsidRPr="00F955C6">
              <w:rPr>
                <w:rFonts w:cs="Arial"/>
                <w:sz w:val="20"/>
                <w:szCs w:val="20"/>
              </w:rPr>
              <w:t>0.332</w:t>
            </w:r>
          </w:p>
        </w:tc>
      </w:tr>
      <w:tr w:rsidR="000923BB" w:rsidRPr="00F955C6" w14:paraId="6D836384" w14:textId="77777777" w:rsidTr="009E2501">
        <w:trPr>
          <w:trHeight w:val="926"/>
        </w:trPr>
        <w:tc>
          <w:tcPr>
            <w:tcW w:w="1034" w:type="dxa"/>
          </w:tcPr>
          <w:p w14:paraId="6A0C91B1" w14:textId="77777777" w:rsidR="000923BB" w:rsidRPr="00F955C6" w:rsidRDefault="000923BB" w:rsidP="003A385F">
            <w:pPr>
              <w:rPr>
                <w:rFonts w:cs="Arial"/>
                <w:i/>
                <w:sz w:val="20"/>
                <w:szCs w:val="20"/>
              </w:rPr>
            </w:pPr>
            <w:r w:rsidRPr="00F955C6">
              <w:rPr>
                <w:rFonts w:cs="Arial"/>
                <w:i/>
                <w:sz w:val="20"/>
                <w:szCs w:val="20"/>
              </w:rPr>
              <w:t xml:space="preserve">All staff </w:t>
            </w:r>
          </w:p>
        </w:tc>
        <w:tc>
          <w:tcPr>
            <w:tcW w:w="1018" w:type="dxa"/>
          </w:tcPr>
          <w:p w14:paraId="7F3E18AD" w14:textId="77777777" w:rsidR="000923BB" w:rsidRPr="00F955C6" w:rsidRDefault="000923BB" w:rsidP="003A385F">
            <w:pPr>
              <w:rPr>
                <w:rFonts w:cs="Arial"/>
                <w:i/>
                <w:sz w:val="20"/>
                <w:szCs w:val="20"/>
              </w:rPr>
            </w:pPr>
            <w:r w:rsidRPr="00F955C6">
              <w:rPr>
                <w:rFonts w:cs="Arial"/>
                <w:i/>
                <w:sz w:val="20"/>
                <w:szCs w:val="20"/>
              </w:rPr>
              <w:t xml:space="preserve">Heart </w:t>
            </w:r>
          </w:p>
          <w:p w14:paraId="0C459BD6" w14:textId="77777777" w:rsidR="000923BB" w:rsidRPr="00F955C6" w:rsidRDefault="000923BB" w:rsidP="003A385F">
            <w:pPr>
              <w:rPr>
                <w:i/>
              </w:rPr>
            </w:pPr>
            <w:r w:rsidRPr="00F955C6">
              <w:rPr>
                <w:rFonts w:cs="Arial"/>
                <w:i/>
                <w:sz w:val="20"/>
                <w:szCs w:val="20"/>
              </w:rPr>
              <w:t>Failure</w:t>
            </w:r>
          </w:p>
        </w:tc>
        <w:tc>
          <w:tcPr>
            <w:tcW w:w="1317" w:type="dxa"/>
          </w:tcPr>
          <w:p w14:paraId="6578254D" w14:textId="77777777" w:rsidR="000923BB" w:rsidRPr="00F955C6" w:rsidRDefault="000923BB" w:rsidP="003A385F">
            <w:pPr>
              <w:rPr>
                <w:rFonts w:cs="Arial"/>
                <w:i/>
                <w:sz w:val="20"/>
                <w:szCs w:val="20"/>
              </w:rPr>
            </w:pPr>
            <w:r w:rsidRPr="00F955C6">
              <w:rPr>
                <w:rFonts w:cs="Arial"/>
                <w:i/>
                <w:sz w:val="20"/>
                <w:szCs w:val="20"/>
              </w:rPr>
              <w:t>312; 7.86 (1.78)</w:t>
            </w:r>
          </w:p>
        </w:tc>
        <w:tc>
          <w:tcPr>
            <w:tcW w:w="1317" w:type="dxa"/>
          </w:tcPr>
          <w:p w14:paraId="4D3BDC87" w14:textId="77777777" w:rsidR="000923BB" w:rsidRPr="00F955C6" w:rsidRDefault="000923BB" w:rsidP="003A385F">
            <w:pPr>
              <w:rPr>
                <w:rFonts w:cs="Arial"/>
                <w:i/>
                <w:sz w:val="20"/>
                <w:szCs w:val="20"/>
              </w:rPr>
            </w:pPr>
            <w:r w:rsidRPr="00F955C6">
              <w:rPr>
                <w:rFonts w:cs="Arial"/>
                <w:i/>
                <w:sz w:val="20"/>
                <w:szCs w:val="20"/>
              </w:rPr>
              <w:t>259; 7.70 (1.42)</w:t>
            </w:r>
          </w:p>
        </w:tc>
        <w:tc>
          <w:tcPr>
            <w:tcW w:w="1268" w:type="dxa"/>
          </w:tcPr>
          <w:p w14:paraId="0C8813EB" w14:textId="77777777" w:rsidR="000923BB" w:rsidRPr="00F955C6" w:rsidRDefault="000923BB" w:rsidP="003A385F">
            <w:pPr>
              <w:rPr>
                <w:rFonts w:cs="Arial"/>
                <w:i/>
                <w:sz w:val="20"/>
                <w:szCs w:val="20"/>
              </w:rPr>
            </w:pPr>
            <w:r w:rsidRPr="00F955C6">
              <w:rPr>
                <w:rFonts w:cs="Arial"/>
                <w:i/>
                <w:sz w:val="20"/>
                <w:szCs w:val="20"/>
              </w:rPr>
              <w:t>-0.15</w:t>
            </w:r>
          </w:p>
        </w:tc>
        <w:tc>
          <w:tcPr>
            <w:tcW w:w="1276" w:type="dxa"/>
          </w:tcPr>
          <w:p w14:paraId="5B70CEEC" w14:textId="77777777" w:rsidR="000923BB" w:rsidRPr="00F955C6" w:rsidRDefault="000923BB" w:rsidP="003A385F">
            <w:pPr>
              <w:rPr>
                <w:rFonts w:cs="Arial"/>
                <w:i/>
                <w:sz w:val="20"/>
                <w:szCs w:val="20"/>
              </w:rPr>
            </w:pPr>
            <w:r w:rsidRPr="00F955C6">
              <w:rPr>
                <w:rFonts w:cs="Arial"/>
                <w:i/>
                <w:sz w:val="20"/>
                <w:szCs w:val="20"/>
              </w:rPr>
              <w:t>-0.83</w:t>
            </w:r>
            <w:r w:rsidRPr="00F955C6">
              <w:rPr>
                <w:rFonts w:cs="Arial"/>
                <w:sz w:val="20"/>
                <w:szCs w:val="20"/>
              </w:rPr>
              <w:t xml:space="preserve"> </w:t>
            </w:r>
            <w:r w:rsidRPr="00F955C6">
              <w:rPr>
                <w:rFonts w:cs="Arial"/>
                <w:i/>
                <w:sz w:val="20"/>
                <w:szCs w:val="20"/>
              </w:rPr>
              <w:t>to 0.52</w:t>
            </w:r>
          </w:p>
        </w:tc>
        <w:tc>
          <w:tcPr>
            <w:tcW w:w="992" w:type="dxa"/>
          </w:tcPr>
          <w:p w14:paraId="11BF288D" w14:textId="77777777" w:rsidR="000923BB" w:rsidRPr="00F955C6" w:rsidRDefault="000923BB" w:rsidP="003A385F">
            <w:pPr>
              <w:rPr>
                <w:rFonts w:cs="Arial"/>
                <w:i/>
                <w:sz w:val="20"/>
                <w:szCs w:val="20"/>
              </w:rPr>
            </w:pPr>
            <w:r w:rsidRPr="00F955C6">
              <w:rPr>
                <w:rFonts w:cs="Arial"/>
                <w:i/>
                <w:sz w:val="20"/>
                <w:szCs w:val="20"/>
              </w:rPr>
              <w:t>0.637</w:t>
            </w:r>
          </w:p>
        </w:tc>
      </w:tr>
    </w:tbl>
    <w:p w14:paraId="648DA4EE" w14:textId="77777777" w:rsidR="000923BB" w:rsidRDefault="000923BB" w:rsidP="000923BB"/>
    <w:p w14:paraId="28FD208B" w14:textId="77777777" w:rsidR="000923BB" w:rsidRDefault="000923BB" w:rsidP="000923BB">
      <w:pPr>
        <w:rPr>
          <w:rFonts w:cs="Arial"/>
          <w:sz w:val="18"/>
          <w:szCs w:val="18"/>
        </w:rPr>
      </w:pPr>
      <w:r w:rsidRPr="00712AB9">
        <w:rPr>
          <w:rFonts w:cs="Arial"/>
          <w:sz w:val="18"/>
          <w:szCs w:val="18"/>
        </w:rPr>
        <w:t>1. Mean difference i</w:t>
      </w:r>
      <w:r>
        <w:rPr>
          <w:rFonts w:cs="Arial"/>
          <w:sz w:val="18"/>
          <w:szCs w:val="18"/>
        </w:rPr>
        <w:t>s the mean score for the lower</w:t>
      </w:r>
      <w:r w:rsidRPr="00712AB9">
        <w:rPr>
          <w:rFonts w:cs="Arial"/>
          <w:sz w:val="18"/>
          <w:szCs w:val="18"/>
        </w:rPr>
        <w:t xml:space="preserve"> mortality hospitals group mi</w:t>
      </w:r>
      <w:r>
        <w:rPr>
          <w:rFonts w:cs="Arial"/>
          <w:sz w:val="18"/>
          <w:szCs w:val="18"/>
        </w:rPr>
        <w:t>nus the mean score for the higher</w:t>
      </w:r>
      <w:r w:rsidRPr="00712AB9">
        <w:rPr>
          <w:rFonts w:cs="Arial"/>
          <w:sz w:val="18"/>
          <w:szCs w:val="18"/>
        </w:rPr>
        <w:t xml:space="preserve"> mortality hospitals group</w:t>
      </w:r>
    </w:p>
    <w:p w14:paraId="11D6456C" w14:textId="77777777" w:rsidR="000923BB" w:rsidRPr="000E207E" w:rsidRDefault="000923BB" w:rsidP="000923BB">
      <w:pPr>
        <w:rPr>
          <w:rFonts w:cs="Arial"/>
          <w:sz w:val="18"/>
          <w:szCs w:val="18"/>
        </w:rPr>
      </w:pPr>
      <w:r w:rsidRPr="005F1A9C">
        <w:rPr>
          <w:rFonts w:cs="Arial"/>
          <w:sz w:val="18"/>
          <w:szCs w:val="18"/>
        </w:rPr>
        <w:t xml:space="preserve">* </w:t>
      </w:r>
      <w:r>
        <w:rPr>
          <w:rFonts w:cs="Arial"/>
          <w:sz w:val="18"/>
          <w:szCs w:val="18"/>
        </w:rPr>
        <w:t>P-values and 95% confidence intervals adjusted for potential clustering by reviewer.</w:t>
      </w:r>
    </w:p>
    <w:p w14:paraId="6431FA4D" w14:textId="77777777" w:rsidR="000923BB" w:rsidRDefault="000923BB" w:rsidP="000923BB">
      <w:pPr>
        <w:spacing w:line="360" w:lineRule="auto"/>
        <w:jc w:val="both"/>
        <w:rPr>
          <w:rFonts w:cs="Arial"/>
          <w:b/>
          <w:sz w:val="20"/>
          <w:szCs w:val="20"/>
        </w:rPr>
      </w:pPr>
    </w:p>
    <w:p w14:paraId="6C5C5368" w14:textId="77777777" w:rsidR="000923BB" w:rsidRPr="00E625C6" w:rsidRDefault="000923BB" w:rsidP="000923BB">
      <w:pPr>
        <w:rPr>
          <w:rFonts w:cs="Arial"/>
          <w:sz w:val="18"/>
          <w:szCs w:val="18"/>
        </w:rPr>
      </w:pPr>
    </w:p>
    <w:p w14:paraId="2CF8AB27" w14:textId="77777777" w:rsidR="000923BB" w:rsidRDefault="000923BB" w:rsidP="000923BB">
      <w:pPr>
        <w:jc w:val="both"/>
        <w:rPr>
          <w:rFonts w:cs="Arial"/>
          <w:sz w:val="22"/>
          <w:szCs w:val="22"/>
        </w:rPr>
      </w:pPr>
    </w:p>
    <w:p w14:paraId="5ACAC012" w14:textId="77777777" w:rsidR="009E2501" w:rsidRDefault="000923BB" w:rsidP="009E2501">
      <w:pPr>
        <w:spacing w:line="240" w:lineRule="auto"/>
        <w:jc w:val="both"/>
        <w:rPr>
          <w:rFonts w:cs="Arial"/>
          <w:b/>
          <w:sz w:val="20"/>
          <w:szCs w:val="20"/>
        </w:rPr>
      </w:pPr>
      <w:r w:rsidRPr="00332604">
        <w:rPr>
          <w:rFonts w:cs="Arial"/>
          <w:b/>
          <w:sz w:val="20"/>
          <w:szCs w:val="20"/>
        </w:rPr>
        <w:lastRenderedPageBreak/>
        <w:t xml:space="preserve">Figure 8:  COPD </w:t>
      </w:r>
      <w:r w:rsidRPr="00332604">
        <w:rPr>
          <w:rFonts w:cs="Arial"/>
          <w:sz w:val="20"/>
          <w:szCs w:val="20"/>
        </w:rPr>
        <w:t xml:space="preserve">- </w:t>
      </w:r>
      <w:r w:rsidRPr="00332604">
        <w:rPr>
          <w:rFonts w:cs="Arial"/>
          <w:b/>
          <w:sz w:val="20"/>
          <w:szCs w:val="20"/>
        </w:rPr>
        <w:t xml:space="preserve">holistic overall quality of care box plots to show the </w:t>
      </w:r>
    </w:p>
    <w:p w14:paraId="2F3768A1" w14:textId="77777777" w:rsidR="009E2501" w:rsidRDefault="000923BB" w:rsidP="009E2501">
      <w:pPr>
        <w:spacing w:line="240" w:lineRule="auto"/>
        <w:jc w:val="both"/>
        <w:rPr>
          <w:rFonts w:cs="Arial"/>
          <w:b/>
          <w:sz w:val="20"/>
          <w:szCs w:val="20"/>
        </w:rPr>
      </w:pPr>
      <w:r w:rsidRPr="00332604">
        <w:rPr>
          <w:rFonts w:cs="Arial"/>
          <w:b/>
          <w:sz w:val="20"/>
          <w:szCs w:val="20"/>
        </w:rPr>
        <w:t>difference between the overall quality of care ratings</w:t>
      </w:r>
      <w:r w:rsidRPr="00332604">
        <w:rPr>
          <w:rFonts w:cs="Arial"/>
          <w:sz w:val="20"/>
          <w:szCs w:val="20"/>
        </w:rPr>
        <w:t xml:space="preserve"> </w:t>
      </w:r>
      <w:r w:rsidRPr="00332604">
        <w:rPr>
          <w:rFonts w:cs="Arial"/>
          <w:b/>
          <w:sz w:val="20"/>
          <w:szCs w:val="20"/>
        </w:rPr>
        <w:t xml:space="preserve">for hospitals </w:t>
      </w:r>
    </w:p>
    <w:p w14:paraId="7BB5A627" w14:textId="77777777" w:rsidR="000923BB" w:rsidRPr="00332604" w:rsidRDefault="000923BB" w:rsidP="009E2501">
      <w:pPr>
        <w:spacing w:line="240" w:lineRule="auto"/>
        <w:jc w:val="both"/>
        <w:rPr>
          <w:rFonts w:cs="Arial"/>
          <w:b/>
          <w:sz w:val="20"/>
          <w:szCs w:val="20"/>
        </w:rPr>
      </w:pPr>
      <w:r w:rsidRPr="00332604">
        <w:rPr>
          <w:rFonts w:cs="Arial"/>
          <w:b/>
          <w:sz w:val="20"/>
          <w:szCs w:val="20"/>
        </w:rPr>
        <w:t>classified as in a high mortality group or in a low mortality group</w:t>
      </w:r>
    </w:p>
    <w:p w14:paraId="02B412D1" w14:textId="77777777" w:rsidR="000923BB" w:rsidRDefault="000923BB" w:rsidP="000923BB">
      <w:pPr>
        <w:rPr>
          <w:rFonts w:cs="Arial"/>
          <w:sz w:val="22"/>
          <w:szCs w:val="22"/>
        </w:rPr>
      </w:pPr>
    </w:p>
    <w:tbl>
      <w:tblPr>
        <w:tblW w:w="7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3946"/>
      </w:tblGrid>
      <w:tr w:rsidR="000923BB" w:rsidRPr="00F955C6" w14:paraId="7C4760A6" w14:textId="77777777" w:rsidTr="009E2501">
        <w:trPr>
          <w:trHeight w:val="930"/>
        </w:trPr>
        <w:tc>
          <w:tcPr>
            <w:tcW w:w="3969" w:type="dxa"/>
          </w:tcPr>
          <w:p w14:paraId="51429E16" w14:textId="77777777" w:rsidR="000923BB" w:rsidRPr="00F955C6" w:rsidRDefault="000923BB" w:rsidP="003A385F">
            <w:pPr>
              <w:jc w:val="center"/>
              <w:rPr>
                <w:rFonts w:cs="Arial"/>
                <w:b/>
                <w:sz w:val="22"/>
                <w:szCs w:val="22"/>
              </w:rPr>
            </w:pPr>
            <w:r w:rsidRPr="00F955C6">
              <w:rPr>
                <w:rFonts w:cs="Arial"/>
                <w:b/>
                <w:sz w:val="22"/>
                <w:szCs w:val="22"/>
              </w:rPr>
              <w:t xml:space="preserve">Doctors </w:t>
            </w:r>
          </w:p>
          <w:p w14:paraId="03B79AC0" w14:textId="77777777" w:rsidR="000923BB" w:rsidRPr="00F955C6" w:rsidRDefault="000923BB" w:rsidP="003A385F">
            <w:pPr>
              <w:jc w:val="center"/>
              <w:rPr>
                <w:rFonts w:cs="Arial"/>
                <w:b/>
                <w:sz w:val="22"/>
                <w:szCs w:val="22"/>
              </w:rPr>
            </w:pPr>
          </w:p>
        </w:tc>
        <w:tc>
          <w:tcPr>
            <w:tcW w:w="3946" w:type="dxa"/>
          </w:tcPr>
          <w:p w14:paraId="35B85952" w14:textId="77777777" w:rsidR="000923BB" w:rsidRPr="00F955C6" w:rsidRDefault="000923BB" w:rsidP="003A385F">
            <w:pPr>
              <w:jc w:val="center"/>
              <w:rPr>
                <w:rFonts w:cs="Arial"/>
                <w:b/>
                <w:sz w:val="22"/>
                <w:szCs w:val="22"/>
              </w:rPr>
            </w:pPr>
            <w:r w:rsidRPr="00F955C6">
              <w:rPr>
                <w:rFonts w:cs="Arial"/>
                <w:b/>
                <w:sz w:val="22"/>
                <w:szCs w:val="22"/>
              </w:rPr>
              <w:t xml:space="preserve">Clinical/Other </w:t>
            </w:r>
          </w:p>
        </w:tc>
      </w:tr>
      <w:tr w:rsidR="000923BB" w:rsidRPr="00F955C6" w14:paraId="7324DD99" w14:textId="77777777" w:rsidTr="009E2501">
        <w:trPr>
          <w:trHeight w:val="3559"/>
        </w:trPr>
        <w:tc>
          <w:tcPr>
            <w:tcW w:w="3969" w:type="dxa"/>
          </w:tcPr>
          <w:p w14:paraId="5953B38B" w14:textId="77777777" w:rsidR="000923BB" w:rsidRPr="00F955C6" w:rsidRDefault="000923BB" w:rsidP="003A385F">
            <w:pPr>
              <w:rPr>
                <w:rFonts w:cs="Arial"/>
                <w:sz w:val="22"/>
                <w:szCs w:val="22"/>
              </w:rPr>
            </w:pPr>
            <w:r>
              <w:rPr>
                <w:rFonts w:cs="Arial"/>
                <w:noProof/>
                <w:sz w:val="14"/>
                <w:szCs w:val="14"/>
                <w:lang w:eastAsia="en-GB" w:bidi="ar-SA"/>
              </w:rPr>
              <w:drawing>
                <wp:inline distT="0" distB="0" distL="0" distR="0" wp14:anchorId="756D254C" wp14:editId="773CC393">
                  <wp:extent cx="2401570" cy="221043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cstate="print"/>
                          <a:srcRect/>
                          <a:stretch>
                            <a:fillRect/>
                          </a:stretch>
                        </pic:blipFill>
                        <pic:spPr bwMode="auto">
                          <a:xfrm>
                            <a:off x="0" y="0"/>
                            <a:ext cx="2401570" cy="2210435"/>
                          </a:xfrm>
                          <a:prstGeom prst="rect">
                            <a:avLst/>
                          </a:prstGeom>
                          <a:noFill/>
                          <a:ln w="9525">
                            <a:noFill/>
                            <a:miter lim="800000"/>
                            <a:headEnd/>
                            <a:tailEnd/>
                          </a:ln>
                        </pic:spPr>
                      </pic:pic>
                    </a:graphicData>
                  </a:graphic>
                </wp:inline>
              </w:drawing>
            </w:r>
          </w:p>
        </w:tc>
        <w:tc>
          <w:tcPr>
            <w:tcW w:w="3946" w:type="dxa"/>
          </w:tcPr>
          <w:p w14:paraId="7B1BC36B" w14:textId="77777777" w:rsidR="000923BB" w:rsidRPr="00F955C6" w:rsidRDefault="000923BB" w:rsidP="003A385F">
            <w:pPr>
              <w:rPr>
                <w:rFonts w:cs="Arial"/>
                <w:sz w:val="22"/>
                <w:szCs w:val="22"/>
              </w:rPr>
            </w:pPr>
            <w:r>
              <w:rPr>
                <w:rFonts w:cs="Arial"/>
                <w:noProof/>
                <w:sz w:val="14"/>
                <w:szCs w:val="14"/>
                <w:lang w:eastAsia="en-GB" w:bidi="ar-SA"/>
              </w:rPr>
              <w:drawing>
                <wp:inline distT="0" distB="0" distL="0" distR="0" wp14:anchorId="7127DF0D" wp14:editId="21A4F148">
                  <wp:extent cx="2401570" cy="221043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cstate="print"/>
                          <a:srcRect/>
                          <a:stretch>
                            <a:fillRect/>
                          </a:stretch>
                        </pic:blipFill>
                        <pic:spPr bwMode="auto">
                          <a:xfrm>
                            <a:off x="0" y="0"/>
                            <a:ext cx="2401570" cy="2210435"/>
                          </a:xfrm>
                          <a:prstGeom prst="rect">
                            <a:avLst/>
                          </a:prstGeom>
                          <a:noFill/>
                          <a:ln w="9525">
                            <a:noFill/>
                            <a:miter lim="800000"/>
                            <a:headEnd/>
                            <a:tailEnd/>
                          </a:ln>
                        </pic:spPr>
                      </pic:pic>
                    </a:graphicData>
                  </a:graphic>
                </wp:inline>
              </w:drawing>
            </w:r>
          </w:p>
        </w:tc>
      </w:tr>
      <w:tr w:rsidR="000923BB" w:rsidRPr="00F955C6" w14:paraId="659A2A54" w14:textId="77777777" w:rsidTr="009E2501">
        <w:trPr>
          <w:trHeight w:val="930"/>
        </w:trPr>
        <w:tc>
          <w:tcPr>
            <w:tcW w:w="3969" w:type="dxa"/>
          </w:tcPr>
          <w:p w14:paraId="68562EFD" w14:textId="77777777" w:rsidR="000923BB" w:rsidRPr="00F955C6" w:rsidRDefault="000923BB" w:rsidP="003A385F">
            <w:pPr>
              <w:jc w:val="center"/>
              <w:rPr>
                <w:rFonts w:cs="Arial"/>
                <w:b/>
                <w:sz w:val="22"/>
                <w:szCs w:val="22"/>
              </w:rPr>
            </w:pPr>
            <w:r w:rsidRPr="00F955C6">
              <w:rPr>
                <w:rFonts w:cs="Arial"/>
                <w:b/>
                <w:sz w:val="22"/>
                <w:szCs w:val="22"/>
              </w:rPr>
              <w:t>Non-Clinical Audit</w:t>
            </w:r>
          </w:p>
          <w:p w14:paraId="4D559C37" w14:textId="77777777" w:rsidR="000923BB" w:rsidRPr="00F955C6" w:rsidRDefault="000923BB" w:rsidP="003A385F">
            <w:pPr>
              <w:jc w:val="center"/>
              <w:rPr>
                <w:rFonts w:cs="Arial"/>
                <w:b/>
                <w:sz w:val="22"/>
                <w:szCs w:val="22"/>
              </w:rPr>
            </w:pPr>
          </w:p>
        </w:tc>
        <w:tc>
          <w:tcPr>
            <w:tcW w:w="3946" w:type="dxa"/>
          </w:tcPr>
          <w:p w14:paraId="6856D0EE" w14:textId="77777777" w:rsidR="000923BB" w:rsidRPr="00F955C6" w:rsidRDefault="000923BB" w:rsidP="003A385F">
            <w:pPr>
              <w:jc w:val="center"/>
              <w:rPr>
                <w:rFonts w:cs="Arial"/>
                <w:b/>
                <w:sz w:val="22"/>
                <w:szCs w:val="22"/>
              </w:rPr>
            </w:pPr>
            <w:r w:rsidRPr="00F955C6">
              <w:rPr>
                <w:rFonts w:cs="Arial"/>
                <w:b/>
                <w:sz w:val="22"/>
                <w:szCs w:val="22"/>
              </w:rPr>
              <w:t>All staff</w:t>
            </w:r>
          </w:p>
        </w:tc>
      </w:tr>
      <w:tr w:rsidR="000923BB" w:rsidRPr="00F955C6" w14:paraId="5326E4B7" w14:textId="77777777" w:rsidTr="009E2501">
        <w:trPr>
          <w:trHeight w:val="3559"/>
        </w:trPr>
        <w:tc>
          <w:tcPr>
            <w:tcW w:w="3969" w:type="dxa"/>
          </w:tcPr>
          <w:p w14:paraId="6656B99F" w14:textId="77777777" w:rsidR="000923BB" w:rsidRPr="00F955C6" w:rsidRDefault="000923BB" w:rsidP="003A385F">
            <w:pPr>
              <w:rPr>
                <w:rFonts w:cs="Arial"/>
                <w:sz w:val="22"/>
                <w:szCs w:val="22"/>
              </w:rPr>
            </w:pPr>
            <w:r>
              <w:rPr>
                <w:rFonts w:cs="Arial"/>
                <w:noProof/>
                <w:sz w:val="14"/>
                <w:szCs w:val="14"/>
                <w:lang w:eastAsia="en-GB" w:bidi="ar-SA"/>
              </w:rPr>
              <w:drawing>
                <wp:inline distT="0" distB="0" distL="0" distR="0" wp14:anchorId="4FC91EDD" wp14:editId="71B1D79A">
                  <wp:extent cx="2329815" cy="221043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print"/>
                          <a:srcRect/>
                          <a:stretch>
                            <a:fillRect/>
                          </a:stretch>
                        </pic:blipFill>
                        <pic:spPr bwMode="auto">
                          <a:xfrm>
                            <a:off x="0" y="0"/>
                            <a:ext cx="2329815" cy="2210435"/>
                          </a:xfrm>
                          <a:prstGeom prst="rect">
                            <a:avLst/>
                          </a:prstGeom>
                          <a:noFill/>
                          <a:ln w="9525">
                            <a:noFill/>
                            <a:miter lim="800000"/>
                            <a:headEnd/>
                            <a:tailEnd/>
                          </a:ln>
                        </pic:spPr>
                      </pic:pic>
                    </a:graphicData>
                  </a:graphic>
                </wp:inline>
              </w:drawing>
            </w:r>
          </w:p>
        </w:tc>
        <w:tc>
          <w:tcPr>
            <w:tcW w:w="3946" w:type="dxa"/>
          </w:tcPr>
          <w:p w14:paraId="281BF230" w14:textId="77777777" w:rsidR="000923BB" w:rsidRPr="00F955C6" w:rsidRDefault="000923BB" w:rsidP="003A385F">
            <w:pPr>
              <w:rPr>
                <w:rFonts w:cs="Arial"/>
                <w:sz w:val="14"/>
                <w:szCs w:val="14"/>
              </w:rPr>
            </w:pPr>
            <w:r>
              <w:rPr>
                <w:rFonts w:cs="Arial"/>
                <w:noProof/>
                <w:sz w:val="14"/>
                <w:szCs w:val="14"/>
                <w:lang w:eastAsia="en-GB" w:bidi="ar-SA"/>
              </w:rPr>
              <w:drawing>
                <wp:inline distT="0" distB="0" distL="0" distR="0" wp14:anchorId="4EA92E8C" wp14:editId="4B6B9796">
                  <wp:extent cx="2329815" cy="221043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print"/>
                          <a:srcRect/>
                          <a:stretch>
                            <a:fillRect/>
                          </a:stretch>
                        </pic:blipFill>
                        <pic:spPr bwMode="auto">
                          <a:xfrm>
                            <a:off x="0" y="0"/>
                            <a:ext cx="2329815" cy="2210435"/>
                          </a:xfrm>
                          <a:prstGeom prst="rect">
                            <a:avLst/>
                          </a:prstGeom>
                          <a:noFill/>
                          <a:ln w="9525">
                            <a:noFill/>
                            <a:miter lim="800000"/>
                            <a:headEnd/>
                            <a:tailEnd/>
                          </a:ln>
                        </pic:spPr>
                      </pic:pic>
                    </a:graphicData>
                  </a:graphic>
                </wp:inline>
              </w:drawing>
            </w:r>
          </w:p>
        </w:tc>
      </w:tr>
    </w:tbl>
    <w:p w14:paraId="1621330C" w14:textId="77777777" w:rsidR="000923BB" w:rsidRDefault="000923BB" w:rsidP="000923BB">
      <w:pPr>
        <w:rPr>
          <w:rFonts w:cs="Arial"/>
          <w:sz w:val="22"/>
          <w:szCs w:val="22"/>
        </w:rPr>
      </w:pPr>
      <w:r>
        <w:rPr>
          <w:rFonts w:cs="Arial"/>
          <w:sz w:val="22"/>
          <w:szCs w:val="22"/>
        </w:rPr>
        <w:t xml:space="preserve"> </w:t>
      </w:r>
    </w:p>
    <w:p w14:paraId="12B022C9" w14:textId="77777777" w:rsidR="000923BB" w:rsidRDefault="000923BB" w:rsidP="000923BB">
      <w:pPr>
        <w:rPr>
          <w:rFonts w:cs="Arial"/>
          <w:sz w:val="22"/>
          <w:szCs w:val="22"/>
        </w:rPr>
      </w:pPr>
      <w:r>
        <w:rPr>
          <w:rFonts w:cs="Arial"/>
          <w:sz w:val="22"/>
          <w:szCs w:val="22"/>
        </w:rPr>
        <w:t>Note: - ‘tails’ of the plots show the results from individual reviewers.</w:t>
      </w:r>
    </w:p>
    <w:p w14:paraId="0A33412E" w14:textId="77777777" w:rsidR="000923BB" w:rsidRDefault="000923BB" w:rsidP="000923BB">
      <w:pPr>
        <w:jc w:val="both"/>
        <w:rPr>
          <w:rFonts w:cs="Arial"/>
          <w:b/>
          <w:sz w:val="22"/>
          <w:szCs w:val="22"/>
        </w:rPr>
      </w:pPr>
    </w:p>
    <w:p w14:paraId="6B58321D" w14:textId="77777777" w:rsidR="000923BB" w:rsidRDefault="000923BB" w:rsidP="000923BB">
      <w:pPr>
        <w:jc w:val="both"/>
        <w:rPr>
          <w:rFonts w:cs="Arial"/>
          <w:b/>
          <w:sz w:val="22"/>
          <w:szCs w:val="22"/>
        </w:rPr>
      </w:pPr>
    </w:p>
    <w:p w14:paraId="3187696A" w14:textId="77777777" w:rsidR="000923BB" w:rsidRDefault="000923BB" w:rsidP="000923BB">
      <w:pPr>
        <w:jc w:val="both"/>
        <w:rPr>
          <w:rFonts w:cs="Arial"/>
          <w:b/>
          <w:sz w:val="22"/>
          <w:szCs w:val="22"/>
        </w:rPr>
      </w:pPr>
    </w:p>
    <w:p w14:paraId="32E3CA1F" w14:textId="77777777" w:rsidR="000923BB" w:rsidRDefault="000923BB" w:rsidP="000923BB">
      <w:pPr>
        <w:jc w:val="both"/>
        <w:rPr>
          <w:rFonts w:cs="Arial"/>
          <w:b/>
          <w:sz w:val="22"/>
          <w:szCs w:val="22"/>
        </w:rPr>
      </w:pPr>
    </w:p>
    <w:p w14:paraId="67CDCD18" w14:textId="77777777" w:rsidR="000923BB" w:rsidRDefault="000923BB" w:rsidP="000923BB">
      <w:pPr>
        <w:jc w:val="both"/>
        <w:rPr>
          <w:rFonts w:cs="Arial"/>
          <w:sz w:val="22"/>
          <w:szCs w:val="22"/>
        </w:rPr>
      </w:pPr>
      <w:r w:rsidRPr="003E702C">
        <w:rPr>
          <w:rFonts w:cs="Arial"/>
          <w:b/>
          <w:sz w:val="22"/>
          <w:szCs w:val="22"/>
        </w:rPr>
        <w:lastRenderedPageBreak/>
        <w:t xml:space="preserve">Figure </w:t>
      </w:r>
      <w:r>
        <w:rPr>
          <w:rFonts w:cs="Arial"/>
          <w:b/>
          <w:sz w:val="22"/>
          <w:szCs w:val="22"/>
        </w:rPr>
        <w:t xml:space="preserve">9: </w:t>
      </w:r>
      <w:r w:rsidRPr="00793A64">
        <w:rPr>
          <w:rFonts w:cs="Arial"/>
          <w:b/>
          <w:sz w:val="22"/>
          <w:szCs w:val="22"/>
        </w:rPr>
        <w:t>Heart Failure holistic overall quality of care box plots to show the difference between the overall quality of care ratings</w:t>
      </w:r>
      <w:r>
        <w:rPr>
          <w:rFonts w:cs="Arial"/>
          <w:sz w:val="22"/>
          <w:szCs w:val="22"/>
        </w:rPr>
        <w:t xml:space="preserve"> </w:t>
      </w:r>
      <w:r w:rsidRPr="001D02EF">
        <w:rPr>
          <w:rFonts w:cs="Arial"/>
          <w:b/>
          <w:sz w:val="22"/>
          <w:szCs w:val="22"/>
        </w:rPr>
        <w:t>for hospitals classified as in a high mortality group or in a low mortality group</w:t>
      </w:r>
      <w:r>
        <w:rPr>
          <w:rFonts w:cs="Arial"/>
          <w:sz w:val="22"/>
          <w:szCs w:val="22"/>
        </w:rPr>
        <w:t xml:space="preserve">. </w:t>
      </w:r>
    </w:p>
    <w:p w14:paraId="5D41F6A5" w14:textId="77777777" w:rsidR="000923BB" w:rsidRPr="003E702C" w:rsidRDefault="000923BB" w:rsidP="000923BB">
      <w:pPr>
        <w:rPr>
          <w:rFonts w:cs="Arial"/>
          <w:b/>
          <w:sz w:val="22"/>
          <w:szCs w:val="22"/>
        </w:rPr>
      </w:pPr>
    </w:p>
    <w:p w14:paraId="46A00B7B" w14:textId="77777777" w:rsidR="000923BB" w:rsidRDefault="000923BB" w:rsidP="000923BB">
      <w:pPr>
        <w:rPr>
          <w:rFonts w:cs="Arial"/>
          <w:sz w:val="22"/>
          <w:szCs w:val="22"/>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111"/>
      </w:tblGrid>
      <w:tr w:rsidR="000923BB" w:rsidRPr="00F955C6" w14:paraId="61B0BA9E" w14:textId="77777777" w:rsidTr="009E2501">
        <w:trPr>
          <w:trHeight w:val="873"/>
        </w:trPr>
        <w:tc>
          <w:tcPr>
            <w:tcW w:w="4253" w:type="dxa"/>
          </w:tcPr>
          <w:p w14:paraId="04E54AF9" w14:textId="77777777" w:rsidR="000923BB" w:rsidRPr="00F955C6" w:rsidRDefault="000923BB" w:rsidP="003A385F">
            <w:pPr>
              <w:jc w:val="center"/>
              <w:rPr>
                <w:rFonts w:cs="Arial"/>
                <w:b/>
                <w:sz w:val="22"/>
                <w:szCs w:val="22"/>
              </w:rPr>
            </w:pPr>
            <w:r w:rsidRPr="00F955C6">
              <w:rPr>
                <w:rFonts w:cs="Arial"/>
                <w:b/>
                <w:sz w:val="22"/>
                <w:szCs w:val="22"/>
              </w:rPr>
              <w:t xml:space="preserve">Doctors </w:t>
            </w:r>
          </w:p>
          <w:p w14:paraId="6B79EB66" w14:textId="77777777" w:rsidR="000923BB" w:rsidRPr="00F955C6" w:rsidRDefault="000923BB" w:rsidP="003A385F">
            <w:pPr>
              <w:jc w:val="center"/>
              <w:rPr>
                <w:rFonts w:cs="Arial"/>
                <w:b/>
                <w:sz w:val="22"/>
                <w:szCs w:val="22"/>
              </w:rPr>
            </w:pPr>
          </w:p>
        </w:tc>
        <w:tc>
          <w:tcPr>
            <w:tcW w:w="4111" w:type="dxa"/>
          </w:tcPr>
          <w:p w14:paraId="3F48AA0E" w14:textId="77777777" w:rsidR="000923BB" w:rsidRPr="00F955C6" w:rsidRDefault="000923BB" w:rsidP="003A385F">
            <w:pPr>
              <w:jc w:val="center"/>
              <w:rPr>
                <w:rFonts w:cs="Arial"/>
                <w:b/>
                <w:sz w:val="22"/>
                <w:szCs w:val="22"/>
              </w:rPr>
            </w:pPr>
            <w:r w:rsidRPr="00F955C6">
              <w:rPr>
                <w:rFonts w:cs="Arial"/>
                <w:b/>
                <w:sz w:val="22"/>
                <w:szCs w:val="22"/>
              </w:rPr>
              <w:t xml:space="preserve">Clinical/other </w:t>
            </w:r>
          </w:p>
        </w:tc>
      </w:tr>
      <w:tr w:rsidR="000923BB" w:rsidRPr="00F955C6" w14:paraId="3E434F3B" w14:textId="77777777" w:rsidTr="009E2501">
        <w:trPr>
          <w:trHeight w:val="3762"/>
        </w:trPr>
        <w:tc>
          <w:tcPr>
            <w:tcW w:w="4253" w:type="dxa"/>
          </w:tcPr>
          <w:p w14:paraId="53F42FF1" w14:textId="77777777" w:rsidR="000923BB" w:rsidRPr="00F955C6" w:rsidRDefault="000923BB" w:rsidP="003A385F">
            <w:pPr>
              <w:rPr>
                <w:rFonts w:cs="Arial"/>
                <w:sz w:val="14"/>
                <w:szCs w:val="14"/>
              </w:rPr>
            </w:pPr>
            <w:r>
              <w:rPr>
                <w:rFonts w:cs="Arial"/>
                <w:noProof/>
                <w:sz w:val="14"/>
                <w:szCs w:val="14"/>
                <w:lang w:eastAsia="en-GB" w:bidi="ar-SA"/>
              </w:rPr>
              <w:drawing>
                <wp:inline distT="0" distB="0" distL="0" distR="0" wp14:anchorId="79A33074" wp14:editId="0486BF9D">
                  <wp:extent cx="2623820" cy="2210435"/>
                  <wp:effectExtent l="1905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cstate="print"/>
                          <a:srcRect/>
                          <a:stretch>
                            <a:fillRect/>
                          </a:stretch>
                        </pic:blipFill>
                        <pic:spPr bwMode="auto">
                          <a:xfrm>
                            <a:off x="0" y="0"/>
                            <a:ext cx="2623820" cy="2210435"/>
                          </a:xfrm>
                          <a:prstGeom prst="rect">
                            <a:avLst/>
                          </a:prstGeom>
                          <a:noFill/>
                          <a:ln w="9525">
                            <a:noFill/>
                            <a:miter lim="800000"/>
                            <a:headEnd/>
                            <a:tailEnd/>
                          </a:ln>
                        </pic:spPr>
                      </pic:pic>
                    </a:graphicData>
                  </a:graphic>
                </wp:inline>
              </w:drawing>
            </w:r>
          </w:p>
          <w:p w14:paraId="59E003A5" w14:textId="77777777" w:rsidR="000923BB" w:rsidRPr="00F955C6" w:rsidRDefault="000923BB" w:rsidP="003A385F">
            <w:pPr>
              <w:rPr>
                <w:rFonts w:cs="Arial"/>
                <w:sz w:val="22"/>
                <w:szCs w:val="22"/>
              </w:rPr>
            </w:pPr>
          </w:p>
        </w:tc>
        <w:tc>
          <w:tcPr>
            <w:tcW w:w="4111" w:type="dxa"/>
          </w:tcPr>
          <w:p w14:paraId="01F8BBA5" w14:textId="77777777" w:rsidR="000923BB" w:rsidRPr="00F955C6" w:rsidRDefault="000923BB" w:rsidP="003A385F">
            <w:pPr>
              <w:rPr>
                <w:rFonts w:cs="Arial"/>
                <w:sz w:val="22"/>
                <w:szCs w:val="22"/>
              </w:rPr>
            </w:pPr>
            <w:r>
              <w:rPr>
                <w:rFonts w:cs="Arial"/>
                <w:noProof/>
                <w:sz w:val="14"/>
                <w:szCs w:val="14"/>
                <w:lang w:eastAsia="en-GB" w:bidi="ar-SA"/>
              </w:rPr>
              <w:drawing>
                <wp:inline distT="0" distB="0" distL="0" distR="0" wp14:anchorId="4071AC0C" wp14:editId="63E2232C">
                  <wp:extent cx="2512695" cy="2210435"/>
                  <wp:effectExtent l="1905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print"/>
                          <a:srcRect/>
                          <a:stretch>
                            <a:fillRect/>
                          </a:stretch>
                        </pic:blipFill>
                        <pic:spPr bwMode="auto">
                          <a:xfrm>
                            <a:off x="0" y="0"/>
                            <a:ext cx="2512695" cy="2210435"/>
                          </a:xfrm>
                          <a:prstGeom prst="rect">
                            <a:avLst/>
                          </a:prstGeom>
                          <a:noFill/>
                          <a:ln w="9525">
                            <a:noFill/>
                            <a:miter lim="800000"/>
                            <a:headEnd/>
                            <a:tailEnd/>
                          </a:ln>
                        </pic:spPr>
                      </pic:pic>
                    </a:graphicData>
                  </a:graphic>
                </wp:inline>
              </w:drawing>
            </w:r>
          </w:p>
        </w:tc>
      </w:tr>
      <w:tr w:rsidR="000923BB" w:rsidRPr="00F955C6" w14:paraId="0A3EBA8C" w14:textId="77777777" w:rsidTr="009E2501">
        <w:trPr>
          <w:trHeight w:val="873"/>
        </w:trPr>
        <w:tc>
          <w:tcPr>
            <w:tcW w:w="4253" w:type="dxa"/>
          </w:tcPr>
          <w:p w14:paraId="37435D4F" w14:textId="77777777" w:rsidR="000923BB" w:rsidRPr="00F955C6" w:rsidRDefault="000923BB" w:rsidP="003A385F">
            <w:pPr>
              <w:jc w:val="center"/>
              <w:rPr>
                <w:rFonts w:cs="Arial"/>
                <w:b/>
                <w:sz w:val="22"/>
                <w:szCs w:val="22"/>
              </w:rPr>
            </w:pPr>
            <w:r w:rsidRPr="00F955C6">
              <w:rPr>
                <w:rFonts w:cs="Arial"/>
                <w:b/>
                <w:sz w:val="22"/>
                <w:szCs w:val="22"/>
              </w:rPr>
              <w:t xml:space="preserve">Non-Clinical audit </w:t>
            </w:r>
          </w:p>
          <w:p w14:paraId="2E5F6622" w14:textId="77777777" w:rsidR="000923BB" w:rsidRPr="00F955C6" w:rsidRDefault="000923BB" w:rsidP="003A385F">
            <w:pPr>
              <w:jc w:val="center"/>
              <w:rPr>
                <w:rFonts w:cs="Arial"/>
                <w:b/>
                <w:sz w:val="22"/>
                <w:szCs w:val="22"/>
              </w:rPr>
            </w:pPr>
          </w:p>
        </w:tc>
        <w:tc>
          <w:tcPr>
            <w:tcW w:w="4111" w:type="dxa"/>
          </w:tcPr>
          <w:p w14:paraId="1CDDF64D" w14:textId="77777777" w:rsidR="000923BB" w:rsidRPr="00F955C6" w:rsidRDefault="000923BB" w:rsidP="003A385F">
            <w:pPr>
              <w:jc w:val="center"/>
              <w:rPr>
                <w:rFonts w:cs="Arial"/>
                <w:b/>
                <w:sz w:val="22"/>
                <w:szCs w:val="22"/>
              </w:rPr>
            </w:pPr>
            <w:r w:rsidRPr="00F955C6">
              <w:rPr>
                <w:rFonts w:cs="Arial"/>
                <w:b/>
                <w:sz w:val="22"/>
                <w:szCs w:val="22"/>
              </w:rPr>
              <w:t>All staff</w:t>
            </w:r>
          </w:p>
        </w:tc>
      </w:tr>
      <w:tr w:rsidR="000923BB" w:rsidRPr="00F955C6" w14:paraId="4F5720FE" w14:textId="77777777" w:rsidTr="009E2501">
        <w:trPr>
          <w:trHeight w:val="3356"/>
        </w:trPr>
        <w:tc>
          <w:tcPr>
            <w:tcW w:w="4253" w:type="dxa"/>
          </w:tcPr>
          <w:p w14:paraId="238746C8" w14:textId="77777777" w:rsidR="000923BB" w:rsidRPr="00F955C6" w:rsidRDefault="000923BB" w:rsidP="003A385F">
            <w:pPr>
              <w:rPr>
                <w:rFonts w:cs="Arial"/>
                <w:sz w:val="22"/>
                <w:szCs w:val="22"/>
              </w:rPr>
            </w:pPr>
            <w:r>
              <w:rPr>
                <w:rFonts w:cs="Arial"/>
                <w:noProof/>
                <w:sz w:val="14"/>
                <w:szCs w:val="14"/>
                <w:lang w:eastAsia="en-GB" w:bidi="ar-SA"/>
              </w:rPr>
              <w:drawing>
                <wp:inline distT="0" distB="0" distL="0" distR="0" wp14:anchorId="756C2E84" wp14:editId="52416E7F">
                  <wp:extent cx="2552065" cy="2210435"/>
                  <wp:effectExtent l="1905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cstate="print"/>
                          <a:srcRect/>
                          <a:stretch>
                            <a:fillRect/>
                          </a:stretch>
                        </pic:blipFill>
                        <pic:spPr bwMode="auto">
                          <a:xfrm>
                            <a:off x="0" y="0"/>
                            <a:ext cx="2552065" cy="2210435"/>
                          </a:xfrm>
                          <a:prstGeom prst="rect">
                            <a:avLst/>
                          </a:prstGeom>
                          <a:noFill/>
                          <a:ln w="9525">
                            <a:noFill/>
                            <a:miter lim="800000"/>
                            <a:headEnd/>
                            <a:tailEnd/>
                          </a:ln>
                        </pic:spPr>
                      </pic:pic>
                    </a:graphicData>
                  </a:graphic>
                </wp:inline>
              </w:drawing>
            </w:r>
          </w:p>
        </w:tc>
        <w:tc>
          <w:tcPr>
            <w:tcW w:w="4111" w:type="dxa"/>
          </w:tcPr>
          <w:p w14:paraId="17B329CB" w14:textId="77777777" w:rsidR="000923BB" w:rsidRPr="00F955C6" w:rsidRDefault="000923BB" w:rsidP="003A385F">
            <w:pPr>
              <w:rPr>
                <w:rFonts w:cs="Arial"/>
                <w:sz w:val="14"/>
                <w:szCs w:val="14"/>
              </w:rPr>
            </w:pPr>
            <w:r>
              <w:rPr>
                <w:rFonts w:cs="Arial"/>
                <w:noProof/>
                <w:sz w:val="14"/>
                <w:szCs w:val="14"/>
                <w:lang w:eastAsia="en-GB" w:bidi="ar-SA"/>
              </w:rPr>
              <w:drawing>
                <wp:inline distT="0" distB="0" distL="0" distR="0" wp14:anchorId="3338D162" wp14:editId="25C56EE0">
                  <wp:extent cx="2552065" cy="2210435"/>
                  <wp:effectExtent l="1905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cstate="print"/>
                          <a:srcRect/>
                          <a:stretch>
                            <a:fillRect/>
                          </a:stretch>
                        </pic:blipFill>
                        <pic:spPr bwMode="auto">
                          <a:xfrm>
                            <a:off x="0" y="0"/>
                            <a:ext cx="2552065" cy="2210435"/>
                          </a:xfrm>
                          <a:prstGeom prst="rect">
                            <a:avLst/>
                          </a:prstGeom>
                          <a:noFill/>
                          <a:ln w="9525">
                            <a:noFill/>
                            <a:miter lim="800000"/>
                            <a:headEnd/>
                            <a:tailEnd/>
                          </a:ln>
                        </pic:spPr>
                      </pic:pic>
                    </a:graphicData>
                  </a:graphic>
                </wp:inline>
              </w:drawing>
            </w:r>
          </w:p>
        </w:tc>
      </w:tr>
    </w:tbl>
    <w:p w14:paraId="5C999EB7" w14:textId="77777777" w:rsidR="000923BB" w:rsidRPr="000B1D67" w:rsidRDefault="000923BB" w:rsidP="000923BB">
      <w:pPr>
        <w:rPr>
          <w:rFonts w:cs="Arial"/>
          <w:sz w:val="20"/>
          <w:szCs w:val="20"/>
        </w:rPr>
      </w:pPr>
      <w:r>
        <w:rPr>
          <w:rFonts w:cs="Arial"/>
          <w:sz w:val="22"/>
          <w:szCs w:val="22"/>
        </w:rPr>
        <w:t xml:space="preserve"> </w:t>
      </w:r>
      <w:r w:rsidRPr="000B1D67">
        <w:rPr>
          <w:rFonts w:cs="Arial"/>
          <w:sz w:val="20"/>
          <w:szCs w:val="20"/>
        </w:rPr>
        <w:t>Note: - ‘tails’ of the plots show the results from individual reviewers.</w:t>
      </w:r>
    </w:p>
    <w:p w14:paraId="0C6AC8A5" w14:textId="77777777" w:rsidR="000923BB" w:rsidRDefault="000923BB" w:rsidP="000923BB">
      <w:pPr>
        <w:rPr>
          <w:rFonts w:cs="Arial"/>
          <w:sz w:val="22"/>
          <w:szCs w:val="22"/>
        </w:rPr>
      </w:pPr>
    </w:p>
    <w:p w14:paraId="77A02693" w14:textId="77777777" w:rsidR="000923BB" w:rsidRDefault="000923BB" w:rsidP="000923BB">
      <w:pPr>
        <w:spacing w:line="360" w:lineRule="auto"/>
        <w:jc w:val="both"/>
        <w:rPr>
          <w:rFonts w:cs="Arial"/>
          <w:sz w:val="22"/>
          <w:szCs w:val="22"/>
        </w:rPr>
      </w:pPr>
    </w:p>
    <w:p w14:paraId="55F4BDED" w14:textId="77777777" w:rsidR="000923BB" w:rsidRDefault="000923BB" w:rsidP="000923BB">
      <w:pPr>
        <w:jc w:val="both"/>
        <w:rPr>
          <w:rFonts w:cs="Arial"/>
          <w:sz w:val="22"/>
          <w:szCs w:val="22"/>
        </w:rPr>
      </w:pPr>
      <w:r w:rsidRPr="00515C78">
        <w:rPr>
          <w:rFonts w:cs="Arial"/>
          <w:sz w:val="22"/>
          <w:szCs w:val="22"/>
        </w:rPr>
        <w:lastRenderedPageBreak/>
        <w:t xml:space="preserve">Table </w:t>
      </w:r>
      <w:r>
        <w:rPr>
          <w:rFonts w:cs="Arial"/>
          <w:sz w:val="22"/>
          <w:szCs w:val="22"/>
        </w:rPr>
        <w:t xml:space="preserve">16 </w:t>
      </w:r>
      <w:r w:rsidRPr="00515C78">
        <w:rPr>
          <w:rFonts w:cs="Arial"/>
          <w:sz w:val="22"/>
          <w:szCs w:val="22"/>
        </w:rPr>
        <w:t>shows the mean difference for the</w:t>
      </w:r>
      <w:r>
        <w:rPr>
          <w:rFonts w:cs="Arial"/>
          <w:sz w:val="22"/>
          <w:szCs w:val="22"/>
        </w:rPr>
        <w:t xml:space="preserve"> mean of the </w:t>
      </w:r>
      <w:r w:rsidRPr="00515C78">
        <w:rPr>
          <w:rFonts w:cs="Arial"/>
          <w:sz w:val="22"/>
          <w:szCs w:val="22"/>
        </w:rPr>
        <w:t xml:space="preserve">total </w:t>
      </w:r>
      <w:r>
        <w:rPr>
          <w:rFonts w:cs="Arial"/>
          <w:sz w:val="22"/>
          <w:szCs w:val="22"/>
        </w:rPr>
        <w:t xml:space="preserve">percentage </w:t>
      </w:r>
      <w:r w:rsidRPr="00515C78">
        <w:rPr>
          <w:rFonts w:cs="Arial"/>
          <w:sz w:val="22"/>
          <w:szCs w:val="22"/>
        </w:rPr>
        <w:t>scores from the criterion based reviews</w:t>
      </w:r>
      <w:r>
        <w:rPr>
          <w:rFonts w:cs="Arial"/>
          <w:sz w:val="22"/>
          <w:szCs w:val="22"/>
        </w:rPr>
        <w:t xml:space="preserve"> for each condition for the </w:t>
      </w:r>
      <w:r w:rsidRPr="00515C78">
        <w:rPr>
          <w:rFonts w:cs="Arial"/>
          <w:sz w:val="22"/>
          <w:szCs w:val="22"/>
        </w:rPr>
        <w:t>high</w:t>
      </w:r>
      <w:r>
        <w:rPr>
          <w:rFonts w:cs="Arial"/>
          <w:sz w:val="22"/>
          <w:szCs w:val="22"/>
        </w:rPr>
        <w:t>er</w:t>
      </w:r>
      <w:r w:rsidRPr="00515C78">
        <w:rPr>
          <w:rFonts w:cs="Arial"/>
          <w:sz w:val="22"/>
          <w:szCs w:val="22"/>
        </w:rPr>
        <w:t xml:space="preserve"> and low</w:t>
      </w:r>
      <w:r>
        <w:rPr>
          <w:rFonts w:cs="Arial"/>
          <w:sz w:val="22"/>
          <w:szCs w:val="22"/>
        </w:rPr>
        <w:t>er</w:t>
      </w:r>
      <w:r w:rsidRPr="00515C78">
        <w:rPr>
          <w:rFonts w:cs="Arial"/>
          <w:sz w:val="22"/>
          <w:szCs w:val="22"/>
        </w:rPr>
        <w:t xml:space="preserve"> </w:t>
      </w:r>
      <w:r>
        <w:rPr>
          <w:rFonts w:cs="Arial"/>
          <w:sz w:val="22"/>
          <w:szCs w:val="22"/>
        </w:rPr>
        <w:t xml:space="preserve">hospital </w:t>
      </w:r>
      <w:r w:rsidRPr="00515C78">
        <w:rPr>
          <w:rFonts w:cs="Arial"/>
          <w:sz w:val="22"/>
          <w:szCs w:val="22"/>
        </w:rPr>
        <w:t>mortality groups.</w:t>
      </w:r>
      <w:r>
        <w:rPr>
          <w:rFonts w:cs="Arial"/>
          <w:sz w:val="22"/>
          <w:szCs w:val="22"/>
        </w:rPr>
        <w:t xml:space="preserve">   Here there are not dissimilar findings from Table 15, with many of the criterion scores tending to be higher in the lower mortality group of hospitals.  In this analysis  there is also only one significant difference found but this time it is in the physician reviewers score for heart failure – a higher quality score for the lower mortality hospital group.   </w:t>
      </w:r>
    </w:p>
    <w:p w14:paraId="292715ED" w14:textId="77777777" w:rsidR="000923BB" w:rsidRDefault="000923BB" w:rsidP="000923BB">
      <w:pPr>
        <w:jc w:val="both"/>
        <w:rPr>
          <w:rFonts w:cs="Arial"/>
          <w:sz w:val="22"/>
          <w:szCs w:val="22"/>
        </w:rPr>
      </w:pPr>
    </w:p>
    <w:p w14:paraId="5B80DCFE" w14:textId="77777777" w:rsidR="000923BB" w:rsidRDefault="000923BB" w:rsidP="000923BB">
      <w:pPr>
        <w:jc w:val="both"/>
        <w:rPr>
          <w:rFonts w:cs="Arial"/>
          <w:b/>
          <w:bCs/>
          <w:color w:val="000000"/>
          <w:sz w:val="22"/>
          <w:szCs w:val="22"/>
        </w:rPr>
      </w:pPr>
      <w:r>
        <w:rPr>
          <w:rFonts w:cs="Arial"/>
          <w:sz w:val="22"/>
          <w:szCs w:val="22"/>
        </w:rPr>
        <w:t xml:space="preserve">Overall, there does tend to be a higher quality score for criterion review in the lower mortality hospitals.  However, note that when contrasting the results of Tables 15 &amp; 16, the reviewers were using implicit judgements to score care in Table 15 but there were explicit standards set through the review criteria in Table 16.  </w:t>
      </w:r>
      <w:r w:rsidRPr="00C215DC">
        <w:rPr>
          <w:rFonts w:cs="Arial"/>
          <w:sz w:val="22"/>
          <w:szCs w:val="22"/>
        </w:rPr>
        <w:t>Judgement based h</w:t>
      </w:r>
      <w:r w:rsidRPr="00C215DC">
        <w:rPr>
          <w:rFonts w:cs="Arial"/>
          <w:bCs/>
          <w:color w:val="000000"/>
          <w:sz w:val="22"/>
          <w:szCs w:val="22"/>
        </w:rPr>
        <w:t>olistic scale scoring tends to show larger ‘tails’ at both ends of scoring than does criterion scoring, which is unlikely to be influenced by outcome</w:t>
      </w:r>
      <w:r>
        <w:rPr>
          <w:rFonts w:cs="Arial"/>
          <w:bCs/>
          <w:color w:val="000000"/>
          <w:sz w:val="22"/>
          <w:szCs w:val="22"/>
        </w:rPr>
        <w:t xml:space="preserve"> (Figures 8 – 11)</w:t>
      </w:r>
      <w:r w:rsidRPr="00C215DC">
        <w:rPr>
          <w:rFonts w:cs="Arial"/>
          <w:bCs/>
          <w:color w:val="000000"/>
          <w:sz w:val="22"/>
          <w:szCs w:val="22"/>
        </w:rPr>
        <w:t>.</w:t>
      </w:r>
      <w:r>
        <w:rPr>
          <w:rFonts w:cs="Arial"/>
          <w:bCs/>
          <w:color w:val="000000"/>
          <w:sz w:val="22"/>
          <w:szCs w:val="22"/>
        </w:rPr>
        <w:t xml:space="preserve"> </w:t>
      </w:r>
      <w:r w:rsidRPr="00C215DC">
        <w:rPr>
          <w:rFonts w:cs="Arial"/>
          <w:bCs/>
          <w:color w:val="000000"/>
          <w:sz w:val="22"/>
          <w:szCs w:val="22"/>
        </w:rPr>
        <w:t xml:space="preserve"> </w:t>
      </w:r>
      <w:r>
        <w:rPr>
          <w:rFonts w:cs="Arial"/>
          <w:bCs/>
          <w:color w:val="000000"/>
          <w:sz w:val="22"/>
          <w:szCs w:val="22"/>
        </w:rPr>
        <w:t>F</w:t>
      </w:r>
      <w:r w:rsidRPr="00C215DC">
        <w:rPr>
          <w:rFonts w:cs="Arial"/>
          <w:bCs/>
          <w:color w:val="000000"/>
          <w:sz w:val="22"/>
          <w:szCs w:val="22"/>
        </w:rPr>
        <w:t>or ‘poor’ care at the individual case level, reviewers using holistic methods can be very critical, as some of our textual data shows, and the reverse is the case</w:t>
      </w:r>
      <w:r w:rsidRPr="00C215DC">
        <w:rPr>
          <w:rFonts w:cs="Arial"/>
          <w:bCs/>
          <w:i/>
          <w:color w:val="000000"/>
          <w:sz w:val="22"/>
          <w:szCs w:val="22"/>
        </w:rPr>
        <w:t xml:space="preserve"> </w:t>
      </w:r>
      <w:r w:rsidRPr="00C215DC">
        <w:rPr>
          <w:rFonts w:cs="Arial"/>
          <w:bCs/>
          <w:color w:val="000000"/>
          <w:sz w:val="22"/>
          <w:szCs w:val="22"/>
        </w:rPr>
        <w:t>for good care</w:t>
      </w:r>
      <w:r w:rsidRPr="00C215DC">
        <w:rPr>
          <w:rFonts w:cs="Arial"/>
          <w:b/>
          <w:bCs/>
          <w:color w:val="000000"/>
          <w:sz w:val="22"/>
          <w:szCs w:val="22"/>
        </w:rPr>
        <w:t xml:space="preserve">.  </w:t>
      </w:r>
    </w:p>
    <w:p w14:paraId="79AAE971" w14:textId="77777777" w:rsidR="00886AA0" w:rsidRDefault="00886AA0" w:rsidP="000923BB">
      <w:pPr>
        <w:jc w:val="both"/>
        <w:rPr>
          <w:rFonts w:cs="Arial"/>
          <w:b/>
          <w:bCs/>
          <w:color w:val="000000"/>
          <w:sz w:val="22"/>
          <w:szCs w:val="22"/>
        </w:rPr>
      </w:pPr>
    </w:p>
    <w:p w14:paraId="2CCA86D8" w14:textId="77777777" w:rsidR="00886AA0" w:rsidRPr="00C215DC" w:rsidRDefault="00886AA0" w:rsidP="00886AA0">
      <w:pPr>
        <w:jc w:val="both"/>
        <w:rPr>
          <w:rFonts w:cs="Arial"/>
          <w:sz w:val="22"/>
          <w:szCs w:val="22"/>
        </w:rPr>
      </w:pPr>
      <w:r>
        <w:rPr>
          <w:rFonts w:cs="Arial"/>
          <w:sz w:val="22"/>
          <w:szCs w:val="22"/>
        </w:rPr>
        <w:t>The criterion based review data that are presented in Table 16 are also shown in Figures 10 and 11.</w:t>
      </w:r>
    </w:p>
    <w:p w14:paraId="70A3CA6F" w14:textId="77777777" w:rsidR="00886AA0" w:rsidRDefault="00886AA0">
      <w:pPr>
        <w:rPr>
          <w:rFonts w:cs="Arial"/>
          <w:b/>
          <w:sz w:val="20"/>
          <w:szCs w:val="20"/>
        </w:rPr>
      </w:pPr>
      <w:r>
        <w:rPr>
          <w:rFonts w:cs="Arial"/>
          <w:b/>
          <w:sz w:val="20"/>
          <w:szCs w:val="20"/>
        </w:rPr>
        <w:br w:type="page"/>
      </w:r>
    </w:p>
    <w:p w14:paraId="5699E67B" w14:textId="77777777" w:rsidR="000923BB" w:rsidRPr="00332604" w:rsidRDefault="000923BB" w:rsidP="000923BB">
      <w:pPr>
        <w:spacing w:line="360" w:lineRule="auto"/>
        <w:jc w:val="both"/>
        <w:rPr>
          <w:rFonts w:cs="Arial"/>
          <w:b/>
          <w:sz w:val="20"/>
          <w:szCs w:val="20"/>
        </w:rPr>
      </w:pPr>
      <w:r w:rsidRPr="00332604">
        <w:rPr>
          <w:rFonts w:cs="Arial"/>
          <w:b/>
          <w:sz w:val="20"/>
          <w:szCs w:val="20"/>
        </w:rPr>
        <w:lastRenderedPageBreak/>
        <w:t xml:space="preserve">Table 16: Relationship between the mean criterion score (scaled to 100) and </w:t>
      </w:r>
      <w:r>
        <w:rPr>
          <w:rFonts w:cs="Arial"/>
          <w:b/>
          <w:sz w:val="20"/>
          <w:szCs w:val="20"/>
        </w:rPr>
        <w:t>mortality group</w:t>
      </w:r>
      <w:r w:rsidRPr="00332604">
        <w:rPr>
          <w:rFonts w:cs="Arial"/>
          <w:b/>
          <w:sz w:val="20"/>
          <w:szCs w:val="20"/>
        </w:rPr>
        <w:t xml:space="preserve"> </w:t>
      </w:r>
    </w:p>
    <w:p w14:paraId="692BD4B9" w14:textId="77777777" w:rsidR="000923BB" w:rsidRPr="008D36CD" w:rsidRDefault="000923BB" w:rsidP="000923BB">
      <w:pPr>
        <w:rPr>
          <w:rFonts w:cs="Arial"/>
          <w:sz w:val="22"/>
          <w:szCs w:val="22"/>
        </w:rPr>
      </w:pPr>
    </w:p>
    <w:tbl>
      <w:tblPr>
        <w:tblW w:w="84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5"/>
        <w:gridCol w:w="1195"/>
        <w:gridCol w:w="1195"/>
        <w:gridCol w:w="1327"/>
        <w:gridCol w:w="1195"/>
        <w:gridCol w:w="1195"/>
        <w:gridCol w:w="1117"/>
      </w:tblGrid>
      <w:tr w:rsidR="000923BB" w:rsidRPr="00F955C6" w14:paraId="17113600" w14:textId="77777777" w:rsidTr="009E2501">
        <w:trPr>
          <w:trHeight w:val="1602"/>
        </w:trPr>
        <w:tc>
          <w:tcPr>
            <w:tcW w:w="1195" w:type="dxa"/>
          </w:tcPr>
          <w:p w14:paraId="518CA774" w14:textId="77777777" w:rsidR="000923BB" w:rsidRPr="00F955C6" w:rsidRDefault="000923BB" w:rsidP="003A385F">
            <w:pPr>
              <w:rPr>
                <w:rFonts w:cs="Arial"/>
                <w:b/>
                <w:sz w:val="20"/>
                <w:szCs w:val="20"/>
              </w:rPr>
            </w:pPr>
            <w:r w:rsidRPr="00F955C6">
              <w:rPr>
                <w:rFonts w:cs="Arial"/>
                <w:b/>
                <w:sz w:val="20"/>
                <w:szCs w:val="20"/>
              </w:rPr>
              <w:t xml:space="preserve">Staff type </w:t>
            </w:r>
          </w:p>
        </w:tc>
        <w:tc>
          <w:tcPr>
            <w:tcW w:w="1195" w:type="dxa"/>
          </w:tcPr>
          <w:p w14:paraId="1C00FCB6" w14:textId="77777777" w:rsidR="000923BB" w:rsidRPr="00F955C6" w:rsidRDefault="000923BB" w:rsidP="003A385F">
            <w:pPr>
              <w:rPr>
                <w:rFonts w:cs="Arial"/>
                <w:b/>
                <w:sz w:val="20"/>
                <w:szCs w:val="20"/>
              </w:rPr>
            </w:pPr>
            <w:r w:rsidRPr="00F955C6">
              <w:rPr>
                <w:rFonts w:cs="Arial"/>
                <w:b/>
                <w:sz w:val="20"/>
                <w:szCs w:val="20"/>
              </w:rPr>
              <w:t>Condition</w:t>
            </w:r>
          </w:p>
        </w:tc>
        <w:tc>
          <w:tcPr>
            <w:tcW w:w="1195" w:type="dxa"/>
          </w:tcPr>
          <w:p w14:paraId="6CEB9759" w14:textId="77777777" w:rsidR="000923BB" w:rsidRPr="00F955C6" w:rsidRDefault="000923BB" w:rsidP="003A385F">
            <w:pPr>
              <w:rPr>
                <w:rFonts w:cs="Arial"/>
                <w:b/>
                <w:sz w:val="20"/>
                <w:szCs w:val="20"/>
              </w:rPr>
            </w:pPr>
            <w:r w:rsidRPr="00F955C6">
              <w:rPr>
                <w:rFonts w:cs="Arial"/>
                <w:b/>
                <w:sz w:val="20"/>
                <w:szCs w:val="20"/>
              </w:rPr>
              <w:t>Higher mortality (n=4)</w:t>
            </w:r>
          </w:p>
          <w:p w14:paraId="251A2B3E" w14:textId="77777777" w:rsidR="000923BB" w:rsidRPr="00F955C6" w:rsidRDefault="000923BB" w:rsidP="003A385F">
            <w:pPr>
              <w:rPr>
                <w:rFonts w:cs="Arial"/>
                <w:b/>
                <w:sz w:val="20"/>
                <w:szCs w:val="20"/>
              </w:rPr>
            </w:pPr>
            <w:r w:rsidRPr="00F955C6">
              <w:rPr>
                <w:rFonts w:cs="Arial"/>
                <w:b/>
                <w:sz w:val="20"/>
                <w:szCs w:val="20"/>
              </w:rPr>
              <w:t>N; mean  (SD)</w:t>
            </w:r>
          </w:p>
        </w:tc>
        <w:tc>
          <w:tcPr>
            <w:tcW w:w="1327" w:type="dxa"/>
          </w:tcPr>
          <w:p w14:paraId="77F9B160" w14:textId="77777777" w:rsidR="000923BB" w:rsidRPr="00F955C6" w:rsidRDefault="000923BB" w:rsidP="003A385F">
            <w:pPr>
              <w:rPr>
                <w:rFonts w:cs="Arial"/>
                <w:b/>
                <w:sz w:val="20"/>
                <w:szCs w:val="20"/>
              </w:rPr>
            </w:pPr>
            <w:r w:rsidRPr="00F955C6">
              <w:rPr>
                <w:rFonts w:cs="Arial"/>
                <w:b/>
                <w:sz w:val="20"/>
                <w:szCs w:val="20"/>
              </w:rPr>
              <w:t>Lower mortality (n=5)</w:t>
            </w:r>
          </w:p>
          <w:p w14:paraId="4116B77F" w14:textId="77777777" w:rsidR="000923BB" w:rsidRPr="00F955C6" w:rsidRDefault="000923BB" w:rsidP="003A385F">
            <w:pPr>
              <w:rPr>
                <w:rFonts w:cs="Arial"/>
                <w:b/>
                <w:sz w:val="20"/>
                <w:szCs w:val="20"/>
              </w:rPr>
            </w:pPr>
            <w:r w:rsidRPr="00F955C6">
              <w:rPr>
                <w:rFonts w:cs="Arial"/>
                <w:b/>
                <w:sz w:val="20"/>
                <w:szCs w:val="20"/>
              </w:rPr>
              <w:t>N; mean (SD)</w:t>
            </w:r>
          </w:p>
        </w:tc>
        <w:tc>
          <w:tcPr>
            <w:tcW w:w="1195" w:type="dxa"/>
          </w:tcPr>
          <w:p w14:paraId="1F8A5449" w14:textId="77777777" w:rsidR="000923BB" w:rsidRPr="00F955C6" w:rsidRDefault="000923BB" w:rsidP="003A385F">
            <w:pPr>
              <w:rPr>
                <w:rFonts w:cs="Arial"/>
                <w:b/>
                <w:sz w:val="20"/>
                <w:szCs w:val="20"/>
              </w:rPr>
            </w:pPr>
            <w:r w:rsidRPr="00F955C6">
              <w:rPr>
                <w:rFonts w:cs="Arial"/>
                <w:b/>
                <w:sz w:val="20"/>
                <w:szCs w:val="20"/>
              </w:rPr>
              <w:t>Mean difference</w:t>
            </w:r>
            <w:r w:rsidRPr="00F955C6">
              <w:rPr>
                <w:rFonts w:cs="Arial"/>
                <w:b/>
                <w:sz w:val="20"/>
                <w:szCs w:val="20"/>
                <w:vertAlign w:val="superscript"/>
              </w:rPr>
              <w:t>1</w:t>
            </w:r>
            <w:r w:rsidRPr="00F955C6">
              <w:rPr>
                <w:rFonts w:cs="Arial"/>
                <w:b/>
                <w:sz w:val="20"/>
                <w:szCs w:val="20"/>
              </w:rPr>
              <w:t xml:space="preserve"> </w:t>
            </w:r>
          </w:p>
          <w:p w14:paraId="18D0437F" w14:textId="77777777" w:rsidR="000923BB" w:rsidRPr="00F955C6" w:rsidRDefault="000923BB" w:rsidP="003A385F">
            <w:pPr>
              <w:rPr>
                <w:rFonts w:cs="Arial"/>
                <w:b/>
                <w:sz w:val="20"/>
                <w:szCs w:val="20"/>
              </w:rPr>
            </w:pPr>
          </w:p>
        </w:tc>
        <w:tc>
          <w:tcPr>
            <w:tcW w:w="1195" w:type="dxa"/>
          </w:tcPr>
          <w:p w14:paraId="08BA23DA" w14:textId="77777777" w:rsidR="000923BB" w:rsidRPr="00F955C6" w:rsidRDefault="000923BB" w:rsidP="003A385F">
            <w:pPr>
              <w:rPr>
                <w:rFonts w:cs="Arial"/>
                <w:b/>
                <w:sz w:val="20"/>
                <w:szCs w:val="20"/>
              </w:rPr>
            </w:pPr>
            <w:r w:rsidRPr="00F955C6">
              <w:rPr>
                <w:rFonts w:cs="Arial"/>
                <w:b/>
                <w:sz w:val="20"/>
                <w:szCs w:val="20"/>
              </w:rPr>
              <w:t xml:space="preserve">95% confidence interval of the difference </w:t>
            </w:r>
          </w:p>
        </w:tc>
        <w:tc>
          <w:tcPr>
            <w:tcW w:w="1117" w:type="dxa"/>
          </w:tcPr>
          <w:p w14:paraId="67FE04F6" w14:textId="77777777" w:rsidR="000923BB" w:rsidRPr="00F955C6" w:rsidRDefault="000923BB" w:rsidP="003A385F">
            <w:pPr>
              <w:rPr>
                <w:rFonts w:cs="Arial"/>
                <w:b/>
                <w:sz w:val="20"/>
                <w:szCs w:val="20"/>
              </w:rPr>
            </w:pPr>
            <w:r w:rsidRPr="00F955C6">
              <w:rPr>
                <w:rFonts w:cs="Arial"/>
                <w:b/>
                <w:sz w:val="20"/>
                <w:szCs w:val="20"/>
              </w:rPr>
              <w:t>P-value</w:t>
            </w:r>
          </w:p>
        </w:tc>
      </w:tr>
      <w:tr w:rsidR="000923BB" w:rsidRPr="00F955C6" w14:paraId="10F9EBA6" w14:textId="77777777" w:rsidTr="009E2501">
        <w:trPr>
          <w:trHeight w:val="669"/>
        </w:trPr>
        <w:tc>
          <w:tcPr>
            <w:tcW w:w="1195" w:type="dxa"/>
          </w:tcPr>
          <w:p w14:paraId="0A514F4E" w14:textId="77777777" w:rsidR="000923BB" w:rsidRPr="00F955C6" w:rsidRDefault="000923BB" w:rsidP="003A385F">
            <w:pPr>
              <w:rPr>
                <w:rFonts w:cs="Arial"/>
                <w:sz w:val="20"/>
                <w:szCs w:val="20"/>
              </w:rPr>
            </w:pPr>
            <w:r w:rsidRPr="00F955C6">
              <w:rPr>
                <w:rFonts w:cs="Arial"/>
                <w:sz w:val="20"/>
                <w:szCs w:val="20"/>
              </w:rPr>
              <w:t xml:space="preserve">Doctors </w:t>
            </w:r>
          </w:p>
        </w:tc>
        <w:tc>
          <w:tcPr>
            <w:tcW w:w="1195" w:type="dxa"/>
          </w:tcPr>
          <w:p w14:paraId="6C5C2ABD" w14:textId="77777777" w:rsidR="000923BB" w:rsidRPr="00F955C6" w:rsidRDefault="000923BB" w:rsidP="003A385F">
            <w:pPr>
              <w:rPr>
                <w:rFonts w:cs="Arial"/>
                <w:sz w:val="20"/>
                <w:szCs w:val="20"/>
              </w:rPr>
            </w:pPr>
            <w:r w:rsidRPr="00F955C6">
              <w:rPr>
                <w:rFonts w:cs="Arial"/>
                <w:sz w:val="20"/>
                <w:szCs w:val="20"/>
              </w:rPr>
              <w:t>COPD</w:t>
            </w:r>
          </w:p>
        </w:tc>
        <w:tc>
          <w:tcPr>
            <w:tcW w:w="1195" w:type="dxa"/>
          </w:tcPr>
          <w:p w14:paraId="26E098D6" w14:textId="77777777" w:rsidR="000923BB" w:rsidRPr="00F955C6" w:rsidRDefault="000923BB" w:rsidP="003A385F">
            <w:pPr>
              <w:rPr>
                <w:rFonts w:cs="Arial"/>
                <w:color w:val="000000"/>
                <w:sz w:val="20"/>
                <w:szCs w:val="20"/>
              </w:rPr>
            </w:pPr>
            <w:r w:rsidRPr="00F955C6">
              <w:rPr>
                <w:rFonts w:cs="Arial"/>
                <w:color w:val="000000"/>
                <w:sz w:val="20"/>
                <w:szCs w:val="20"/>
              </w:rPr>
              <w:t>187; 77.33 (10.47)</w:t>
            </w:r>
          </w:p>
        </w:tc>
        <w:tc>
          <w:tcPr>
            <w:tcW w:w="1327" w:type="dxa"/>
          </w:tcPr>
          <w:p w14:paraId="11540D1B" w14:textId="77777777" w:rsidR="000923BB" w:rsidRPr="00F955C6" w:rsidRDefault="000923BB" w:rsidP="003A385F">
            <w:pPr>
              <w:rPr>
                <w:rFonts w:cs="Arial"/>
                <w:color w:val="000000"/>
                <w:sz w:val="20"/>
                <w:szCs w:val="20"/>
              </w:rPr>
            </w:pPr>
            <w:r w:rsidRPr="00F955C6">
              <w:rPr>
                <w:rFonts w:cs="Arial"/>
                <w:color w:val="000000"/>
                <w:sz w:val="20"/>
                <w:szCs w:val="20"/>
              </w:rPr>
              <w:t>67; 77.99 (7.85)</w:t>
            </w:r>
          </w:p>
        </w:tc>
        <w:tc>
          <w:tcPr>
            <w:tcW w:w="1195" w:type="dxa"/>
          </w:tcPr>
          <w:p w14:paraId="60878399" w14:textId="77777777" w:rsidR="000923BB" w:rsidRPr="00F955C6" w:rsidRDefault="000923BB" w:rsidP="003A385F">
            <w:pPr>
              <w:rPr>
                <w:rFonts w:cs="Arial"/>
                <w:color w:val="000000"/>
                <w:sz w:val="20"/>
                <w:szCs w:val="20"/>
              </w:rPr>
            </w:pPr>
            <w:r w:rsidRPr="00F955C6">
              <w:rPr>
                <w:rFonts w:cs="Arial"/>
                <w:color w:val="000000"/>
                <w:sz w:val="20"/>
                <w:szCs w:val="20"/>
              </w:rPr>
              <w:t>0.67</w:t>
            </w:r>
          </w:p>
        </w:tc>
        <w:tc>
          <w:tcPr>
            <w:tcW w:w="1195" w:type="dxa"/>
          </w:tcPr>
          <w:p w14:paraId="49D066AA" w14:textId="77777777" w:rsidR="000923BB" w:rsidRPr="00F955C6" w:rsidRDefault="000923BB" w:rsidP="003A385F">
            <w:pPr>
              <w:rPr>
                <w:rFonts w:cs="Arial"/>
                <w:color w:val="000000"/>
                <w:sz w:val="20"/>
                <w:szCs w:val="20"/>
              </w:rPr>
            </w:pPr>
            <w:r w:rsidRPr="00F955C6">
              <w:rPr>
                <w:rFonts w:cs="Arial"/>
                <w:color w:val="000000"/>
                <w:sz w:val="20"/>
                <w:szCs w:val="20"/>
              </w:rPr>
              <w:t>-5.63 to 6.97</w:t>
            </w:r>
          </w:p>
        </w:tc>
        <w:tc>
          <w:tcPr>
            <w:tcW w:w="1117" w:type="dxa"/>
          </w:tcPr>
          <w:p w14:paraId="5AFF58AE" w14:textId="77777777" w:rsidR="000923BB" w:rsidRPr="00F955C6" w:rsidRDefault="000923BB" w:rsidP="003A385F">
            <w:pPr>
              <w:rPr>
                <w:rFonts w:cs="Arial"/>
                <w:sz w:val="20"/>
                <w:szCs w:val="20"/>
              </w:rPr>
            </w:pPr>
            <w:r w:rsidRPr="00F955C6">
              <w:rPr>
                <w:rFonts w:cs="Arial"/>
                <w:sz w:val="20"/>
                <w:szCs w:val="20"/>
              </w:rPr>
              <w:t>0.796</w:t>
            </w:r>
          </w:p>
        </w:tc>
      </w:tr>
      <w:tr w:rsidR="000923BB" w:rsidRPr="00F955C6" w14:paraId="0C3CD7C2" w14:textId="77777777" w:rsidTr="009E2501">
        <w:trPr>
          <w:trHeight w:val="669"/>
        </w:trPr>
        <w:tc>
          <w:tcPr>
            <w:tcW w:w="1195" w:type="dxa"/>
          </w:tcPr>
          <w:p w14:paraId="5ED1EA03" w14:textId="77777777" w:rsidR="000923BB" w:rsidRPr="00F955C6" w:rsidRDefault="000923BB" w:rsidP="003A385F">
            <w:pPr>
              <w:rPr>
                <w:rFonts w:cs="Arial"/>
                <w:sz w:val="20"/>
                <w:szCs w:val="20"/>
              </w:rPr>
            </w:pPr>
            <w:r w:rsidRPr="00F955C6">
              <w:rPr>
                <w:rFonts w:cs="Arial"/>
                <w:sz w:val="20"/>
                <w:szCs w:val="20"/>
              </w:rPr>
              <w:t xml:space="preserve">Non-clinical </w:t>
            </w:r>
          </w:p>
        </w:tc>
        <w:tc>
          <w:tcPr>
            <w:tcW w:w="1195" w:type="dxa"/>
          </w:tcPr>
          <w:p w14:paraId="360B6376" w14:textId="77777777" w:rsidR="000923BB" w:rsidRDefault="000923BB" w:rsidP="003A385F">
            <w:r w:rsidRPr="00F955C6">
              <w:rPr>
                <w:rFonts w:cs="Arial"/>
                <w:sz w:val="20"/>
                <w:szCs w:val="20"/>
              </w:rPr>
              <w:t>COPD</w:t>
            </w:r>
          </w:p>
        </w:tc>
        <w:tc>
          <w:tcPr>
            <w:tcW w:w="1195" w:type="dxa"/>
          </w:tcPr>
          <w:p w14:paraId="6DF36EB2" w14:textId="77777777" w:rsidR="000923BB" w:rsidRPr="00F955C6" w:rsidRDefault="000923BB" w:rsidP="003A385F">
            <w:pPr>
              <w:rPr>
                <w:rFonts w:cs="Arial"/>
                <w:color w:val="000000"/>
                <w:sz w:val="20"/>
                <w:szCs w:val="20"/>
              </w:rPr>
            </w:pPr>
            <w:r w:rsidRPr="00F955C6">
              <w:rPr>
                <w:rFonts w:cs="Arial"/>
                <w:color w:val="000000"/>
                <w:sz w:val="20"/>
                <w:szCs w:val="20"/>
              </w:rPr>
              <w:t>120; 74.26 (12.90)</w:t>
            </w:r>
          </w:p>
        </w:tc>
        <w:tc>
          <w:tcPr>
            <w:tcW w:w="1327" w:type="dxa"/>
          </w:tcPr>
          <w:p w14:paraId="2EEA91C9" w14:textId="77777777" w:rsidR="000923BB" w:rsidRPr="00F955C6" w:rsidRDefault="000923BB" w:rsidP="003A385F">
            <w:pPr>
              <w:rPr>
                <w:rFonts w:cs="Arial"/>
                <w:color w:val="000000"/>
                <w:sz w:val="20"/>
                <w:szCs w:val="20"/>
              </w:rPr>
            </w:pPr>
            <w:r w:rsidRPr="00F955C6">
              <w:rPr>
                <w:rFonts w:cs="Arial"/>
                <w:color w:val="000000"/>
                <w:sz w:val="20"/>
                <w:szCs w:val="20"/>
              </w:rPr>
              <w:t>124; 74.78 (9.31)</w:t>
            </w:r>
          </w:p>
        </w:tc>
        <w:tc>
          <w:tcPr>
            <w:tcW w:w="1195" w:type="dxa"/>
          </w:tcPr>
          <w:p w14:paraId="77E78DE1" w14:textId="77777777" w:rsidR="000923BB" w:rsidRPr="00F955C6" w:rsidRDefault="000923BB" w:rsidP="003A385F">
            <w:pPr>
              <w:rPr>
                <w:rFonts w:cs="Arial"/>
                <w:color w:val="000000"/>
                <w:sz w:val="20"/>
                <w:szCs w:val="20"/>
              </w:rPr>
            </w:pPr>
            <w:r w:rsidRPr="00F955C6">
              <w:rPr>
                <w:rFonts w:cs="Arial"/>
                <w:color w:val="000000"/>
                <w:sz w:val="20"/>
                <w:szCs w:val="20"/>
              </w:rPr>
              <w:t>0.52</w:t>
            </w:r>
          </w:p>
        </w:tc>
        <w:tc>
          <w:tcPr>
            <w:tcW w:w="1195" w:type="dxa"/>
          </w:tcPr>
          <w:p w14:paraId="093AE3FB" w14:textId="77777777" w:rsidR="000923BB" w:rsidRPr="00F955C6" w:rsidRDefault="000923BB" w:rsidP="003A385F">
            <w:pPr>
              <w:rPr>
                <w:rFonts w:cs="Arial"/>
                <w:color w:val="000000"/>
                <w:sz w:val="20"/>
                <w:szCs w:val="20"/>
              </w:rPr>
            </w:pPr>
            <w:r w:rsidRPr="00F955C6">
              <w:rPr>
                <w:rFonts w:cs="Arial"/>
                <w:color w:val="000000"/>
                <w:sz w:val="20"/>
                <w:szCs w:val="20"/>
              </w:rPr>
              <w:t>-9.09 to 10.13</w:t>
            </w:r>
          </w:p>
        </w:tc>
        <w:tc>
          <w:tcPr>
            <w:tcW w:w="1117" w:type="dxa"/>
          </w:tcPr>
          <w:p w14:paraId="3348D5BF" w14:textId="77777777" w:rsidR="000923BB" w:rsidRPr="00F955C6" w:rsidRDefault="000923BB" w:rsidP="003A385F">
            <w:pPr>
              <w:rPr>
                <w:rFonts w:cs="Arial"/>
                <w:sz w:val="20"/>
                <w:szCs w:val="20"/>
              </w:rPr>
            </w:pPr>
            <w:r w:rsidRPr="00F955C6">
              <w:rPr>
                <w:rFonts w:cs="Arial"/>
                <w:sz w:val="20"/>
                <w:szCs w:val="20"/>
              </w:rPr>
              <w:t>0.895</w:t>
            </w:r>
          </w:p>
        </w:tc>
      </w:tr>
      <w:tr w:rsidR="000923BB" w:rsidRPr="00F955C6" w14:paraId="38A15393" w14:textId="77777777" w:rsidTr="009E2501">
        <w:trPr>
          <w:trHeight w:val="669"/>
        </w:trPr>
        <w:tc>
          <w:tcPr>
            <w:tcW w:w="1195" w:type="dxa"/>
          </w:tcPr>
          <w:p w14:paraId="152DD903" w14:textId="77777777" w:rsidR="000923BB" w:rsidRPr="00F955C6" w:rsidRDefault="000923BB" w:rsidP="003A385F">
            <w:pPr>
              <w:rPr>
                <w:rFonts w:cs="Arial"/>
                <w:sz w:val="20"/>
                <w:szCs w:val="20"/>
              </w:rPr>
            </w:pPr>
            <w:r w:rsidRPr="00F955C6">
              <w:rPr>
                <w:rFonts w:cs="Arial"/>
                <w:sz w:val="20"/>
                <w:szCs w:val="20"/>
              </w:rPr>
              <w:t>Clinical</w:t>
            </w:r>
          </w:p>
        </w:tc>
        <w:tc>
          <w:tcPr>
            <w:tcW w:w="1195" w:type="dxa"/>
          </w:tcPr>
          <w:p w14:paraId="1AEB1006" w14:textId="77777777" w:rsidR="000923BB" w:rsidRDefault="000923BB" w:rsidP="003A385F">
            <w:r w:rsidRPr="00F955C6">
              <w:rPr>
                <w:rFonts w:cs="Arial"/>
                <w:sz w:val="20"/>
                <w:szCs w:val="20"/>
              </w:rPr>
              <w:t>COPD</w:t>
            </w:r>
          </w:p>
        </w:tc>
        <w:tc>
          <w:tcPr>
            <w:tcW w:w="1195" w:type="dxa"/>
          </w:tcPr>
          <w:p w14:paraId="46D2780B" w14:textId="77777777" w:rsidR="000923BB" w:rsidRPr="00F955C6" w:rsidRDefault="000923BB" w:rsidP="003A385F">
            <w:pPr>
              <w:rPr>
                <w:rFonts w:cs="Arial"/>
                <w:color w:val="000000"/>
                <w:sz w:val="20"/>
                <w:szCs w:val="20"/>
              </w:rPr>
            </w:pPr>
            <w:r w:rsidRPr="00F955C6">
              <w:rPr>
                <w:rFonts w:cs="Arial"/>
                <w:color w:val="000000"/>
                <w:sz w:val="20"/>
                <w:szCs w:val="20"/>
              </w:rPr>
              <w:t>189; 73.63 (11.98)</w:t>
            </w:r>
          </w:p>
        </w:tc>
        <w:tc>
          <w:tcPr>
            <w:tcW w:w="1327" w:type="dxa"/>
          </w:tcPr>
          <w:p w14:paraId="13540AE0" w14:textId="77777777" w:rsidR="000923BB" w:rsidRPr="00F955C6" w:rsidRDefault="000923BB" w:rsidP="003A385F">
            <w:pPr>
              <w:rPr>
                <w:rFonts w:cs="Arial"/>
                <w:color w:val="000000"/>
                <w:sz w:val="20"/>
                <w:szCs w:val="20"/>
              </w:rPr>
            </w:pPr>
            <w:r w:rsidRPr="00F955C6">
              <w:rPr>
                <w:rFonts w:cs="Arial"/>
                <w:color w:val="000000"/>
                <w:sz w:val="20"/>
                <w:szCs w:val="20"/>
              </w:rPr>
              <w:t>147; 76.02 (9.73)</w:t>
            </w:r>
          </w:p>
        </w:tc>
        <w:tc>
          <w:tcPr>
            <w:tcW w:w="1195" w:type="dxa"/>
          </w:tcPr>
          <w:p w14:paraId="1A31F4CA" w14:textId="77777777" w:rsidR="000923BB" w:rsidRPr="00F955C6" w:rsidRDefault="000923BB" w:rsidP="003A385F">
            <w:pPr>
              <w:rPr>
                <w:rFonts w:cs="Arial"/>
                <w:color w:val="000000"/>
                <w:sz w:val="20"/>
                <w:szCs w:val="20"/>
              </w:rPr>
            </w:pPr>
            <w:r w:rsidRPr="00F955C6">
              <w:rPr>
                <w:rFonts w:cs="Arial"/>
                <w:color w:val="000000"/>
                <w:sz w:val="20"/>
                <w:szCs w:val="20"/>
              </w:rPr>
              <w:t>2.39</w:t>
            </w:r>
          </w:p>
        </w:tc>
        <w:tc>
          <w:tcPr>
            <w:tcW w:w="1195" w:type="dxa"/>
          </w:tcPr>
          <w:p w14:paraId="0988B2D1" w14:textId="77777777" w:rsidR="000923BB" w:rsidRPr="00F955C6" w:rsidRDefault="000923BB" w:rsidP="003A385F">
            <w:pPr>
              <w:rPr>
                <w:rFonts w:cs="Arial"/>
                <w:color w:val="000000"/>
                <w:sz w:val="20"/>
                <w:szCs w:val="20"/>
              </w:rPr>
            </w:pPr>
            <w:r w:rsidRPr="00F955C6">
              <w:rPr>
                <w:rFonts w:cs="Arial"/>
                <w:color w:val="000000"/>
                <w:sz w:val="20"/>
                <w:szCs w:val="20"/>
              </w:rPr>
              <w:t>-5.54 to 10.33</w:t>
            </w:r>
          </w:p>
        </w:tc>
        <w:tc>
          <w:tcPr>
            <w:tcW w:w="1117" w:type="dxa"/>
          </w:tcPr>
          <w:p w14:paraId="5C40AFB3" w14:textId="77777777" w:rsidR="000923BB" w:rsidRPr="00F955C6" w:rsidRDefault="000923BB" w:rsidP="003A385F">
            <w:pPr>
              <w:rPr>
                <w:rFonts w:cs="Arial"/>
                <w:sz w:val="20"/>
                <w:szCs w:val="20"/>
              </w:rPr>
            </w:pPr>
            <w:r w:rsidRPr="00F955C6">
              <w:rPr>
                <w:rFonts w:cs="Arial"/>
                <w:sz w:val="20"/>
                <w:szCs w:val="20"/>
              </w:rPr>
              <w:t>0.499</w:t>
            </w:r>
          </w:p>
        </w:tc>
      </w:tr>
      <w:tr w:rsidR="000923BB" w:rsidRPr="00F955C6" w14:paraId="36F553DF" w14:textId="77777777" w:rsidTr="009E2501">
        <w:trPr>
          <w:trHeight w:val="669"/>
        </w:trPr>
        <w:tc>
          <w:tcPr>
            <w:tcW w:w="1195" w:type="dxa"/>
          </w:tcPr>
          <w:p w14:paraId="200FF74F" w14:textId="77777777" w:rsidR="000923BB" w:rsidRPr="00F955C6" w:rsidRDefault="000923BB" w:rsidP="003A385F">
            <w:pPr>
              <w:rPr>
                <w:rFonts w:cs="Arial"/>
                <w:i/>
                <w:sz w:val="20"/>
                <w:szCs w:val="20"/>
              </w:rPr>
            </w:pPr>
            <w:r w:rsidRPr="00F955C6">
              <w:rPr>
                <w:rFonts w:cs="Arial"/>
                <w:i/>
                <w:sz w:val="20"/>
                <w:szCs w:val="20"/>
              </w:rPr>
              <w:t xml:space="preserve">All staff </w:t>
            </w:r>
          </w:p>
        </w:tc>
        <w:tc>
          <w:tcPr>
            <w:tcW w:w="1195" w:type="dxa"/>
          </w:tcPr>
          <w:p w14:paraId="1F8F616D" w14:textId="77777777" w:rsidR="000923BB" w:rsidRPr="00F955C6" w:rsidRDefault="000923BB" w:rsidP="003A385F">
            <w:pPr>
              <w:rPr>
                <w:i/>
              </w:rPr>
            </w:pPr>
            <w:r w:rsidRPr="00F955C6">
              <w:rPr>
                <w:rFonts w:cs="Arial"/>
                <w:i/>
                <w:sz w:val="20"/>
                <w:szCs w:val="20"/>
              </w:rPr>
              <w:t>COPD</w:t>
            </w:r>
          </w:p>
        </w:tc>
        <w:tc>
          <w:tcPr>
            <w:tcW w:w="1195" w:type="dxa"/>
          </w:tcPr>
          <w:p w14:paraId="5A995043" w14:textId="77777777" w:rsidR="000923BB" w:rsidRPr="00F955C6" w:rsidRDefault="000923BB" w:rsidP="003A385F">
            <w:pPr>
              <w:rPr>
                <w:rFonts w:cs="Arial"/>
                <w:i/>
                <w:color w:val="000000"/>
                <w:sz w:val="20"/>
                <w:szCs w:val="20"/>
              </w:rPr>
            </w:pPr>
            <w:r w:rsidRPr="00F955C6">
              <w:rPr>
                <w:rFonts w:cs="Arial"/>
                <w:i/>
                <w:color w:val="000000"/>
                <w:sz w:val="20"/>
                <w:szCs w:val="20"/>
              </w:rPr>
              <w:t>496; 75.18 (11.77)</w:t>
            </w:r>
          </w:p>
        </w:tc>
        <w:tc>
          <w:tcPr>
            <w:tcW w:w="1327" w:type="dxa"/>
          </w:tcPr>
          <w:p w14:paraId="46A906FC" w14:textId="77777777" w:rsidR="000923BB" w:rsidRPr="00F955C6" w:rsidRDefault="000923BB" w:rsidP="003A385F">
            <w:pPr>
              <w:rPr>
                <w:rFonts w:cs="Arial"/>
                <w:i/>
                <w:color w:val="000000"/>
                <w:sz w:val="20"/>
                <w:szCs w:val="20"/>
              </w:rPr>
            </w:pPr>
            <w:r w:rsidRPr="00F955C6">
              <w:rPr>
                <w:rFonts w:cs="Arial"/>
                <w:i/>
                <w:color w:val="000000"/>
                <w:sz w:val="20"/>
                <w:szCs w:val="20"/>
              </w:rPr>
              <w:t>338; 75.96 (9.28)</w:t>
            </w:r>
          </w:p>
        </w:tc>
        <w:tc>
          <w:tcPr>
            <w:tcW w:w="1195" w:type="dxa"/>
          </w:tcPr>
          <w:p w14:paraId="5D7DD9EC" w14:textId="77777777" w:rsidR="000923BB" w:rsidRPr="00F955C6" w:rsidRDefault="000923BB" w:rsidP="003A385F">
            <w:pPr>
              <w:rPr>
                <w:rFonts w:cs="Arial"/>
                <w:i/>
                <w:color w:val="000000"/>
                <w:sz w:val="20"/>
                <w:szCs w:val="20"/>
              </w:rPr>
            </w:pPr>
            <w:r w:rsidRPr="00F955C6">
              <w:rPr>
                <w:rFonts w:cs="Arial"/>
                <w:i/>
                <w:color w:val="000000"/>
                <w:sz w:val="20"/>
                <w:szCs w:val="20"/>
              </w:rPr>
              <w:t>0.78</w:t>
            </w:r>
          </w:p>
        </w:tc>
        <w:tc>
          <w:tcPr>
            <w:tcW w:w="1195" w:type="dxa"/>
          </w:tcPr>
          <w:p w14:paraId="401E0D8C" w14:textId="77777777" w:rsidR="000923BB" w:rsidRPr="00F955C6" w:rsidRDefault="000923BB" w:rsidP="003A385F">
            <w:pPr>
              <w:rPr>
                <w:rFonts w:cs="Arial"/>
                <w:i/>
                <w:color w:val="000000"/>
                <w:sz w:val="20"/>
                <w:szCs w:val="20"/>
              </w:rPr>
            </w:pPr>
            <w:r w:rsidRPr="00F955C6">
              <w:rPr>
                <w:rFonts w:cs="Arial"/>
                <w:i/>
                <w:color w:val="000000"/>
                <w:sz w:val="20"/>
                <w:szCs w:val="20"/>
              </w:rPr>
              <w:t>-3.27</w:t>
            </w:r>
            <w:r w:rsidRPr="00F955C6">
              <w:rPr>
                <w:rFonts w:cs="Arial"/>
                <w:color w:val="000000"/>
                <w:sz w:val="20"/>
                <w:szCs w:val="20"/>
              </w:rPr>
              <w:t xml:space="preserve"> </w:t>
            </w:r>
            <w:r w:rsidRPr="00F955C6">
              <w:rPr>
                <w:rFonts w:cs="Arial"/>
                <w:i/>
                <w:color w:val="000000"/>
                <w:sz w:val="20"/>
                <w:szCs w:val="20"/>
              </w:rPr>
              <w:t>to 4.83</w:t>
            </w:r>
          </w:p>
        </w:tc>
        <w:tc>
          <w:tcPr>
            <w:tcW w:w="1117" w:type="dxa"/>
          </w:tcPr>
          <w:p w14:paraId="5BFA9364" w14:textId="77777777" w:rsidR="000923BB" w:rsidRPr="00F955C6" w:rsidRDefault="000923BB" w:rsidP="003A385F">
            <w:pPr>
              <w:rPr>
                <w:rFonts w:cs="Arial"/>
                <w:i/>
                <w:sz w:val="20"/>
                <w:szCs w:val="20"/>
              </w:rPr>
            </w:pPr>
            <w:r w:rsidRPr="00F955C6">
              <w:rPr>
                <w:rFonts w:cs="Arial"/>
                <w:i/>
                <w:sz w:val="20"/>
                <w:szCs w:val="20"/>
              </w:rPr>
              <w:t>0.691</w:t>
            </w:r>
          </w:p>
        </w:tc>
      </w:tr>
      <w:tr w:rsidR="000923BB" w:rsidRPr="00F955C6" w14:paraId="38C98136" w14:textId="77777777" w:rsidTr="009E2501">
        <w:trPr>
          <w:trHeight w:val="436"/>
        </w:trPr>
        <w:tc>
          <w:tcPr>
            <w:tcW w:w="1195" w:type="dxa"/>
          </w:tcPr>
          <w:p w14:paraId="7C9F651B" w14:textId="77777777" w:rsidR="000923BB" w:rsidRPr="00F955C6" w:rsidRDefault="000923BB" w:rsidP="003A385F">
            <w:pPr>
              <w:rPr>
                <w:rFonts w:cs="Arial"/>
                <w:sz w:val="20"/>
                <w:szCs w:val="20"/>
              </w:rPr>
            </w:pPr>
          </w:p>
        </w:tc>
        <w:tc>
          <w:tcPr>
            <w:tcW w:w="1195" w:type="dxa"/>
          </w:tcPr>
          <w:p w14:paraId="09F6A783" w14:textId="77777777" w:rsidR="000923BB" w:rsidRPr="00F955C6" w:rsidRDefault="000923BB" w:rsidP="003A385F">
            <w:pPr>
              <w:rPr>
                <w:rFonts w:cs="Arial"/>
                <w:sz w:val="20"/>
                <w:szCs w:val="20"/>
              </w:rPr>
            </w:pPr>
          </w:p>
        </w:tc>
        <w:tc>
          <w:tcPr>
            <w:tcW w:w="1195" w:type="dxa"/>
          </w:tcPr>
          <w:p w14:paraId="5684F2E1" w14:textId="77777777" w:rsidR="000923BB" w:rsidRPr="00F955C6" w:rsidRDefault="000923BB" w:rsidP="003A385F">
            <w:pPr>
              <w:rPr>
                <w:rFonts w:cs="Arial"/>
                <w:color w:val="000000"/>
                <w:sz w:val="18"/>
                <w:szCs w:val="18"/>
              </w:rPr>
            </w:pPr>
          </w:p>
        </w:tc>
        <w:tc>
          <w:tcPr>
            <w:tcW w:w="1327" w:type="dxa"/>
          </w:tcPr>
          <w:p w14:paraId="4566749C" w14:textId="77777777" w:rsidR="000923BB" w:rsidRPr="00F955C6" w:rsidRDefault="000923BB" w:rsidP="003A385F">
            <w:pPr>
              <w:rPr>
                <w:rFonts w:cs="Arial"/>
                <w:color w:val="000000"/>
                <w:sz w:val="18"/>
                <w:szCs w:val="18"/>
              </w:rPr>
            </w:pPr>
          </w:p>
        </w:tc>
        <w:tc>
          <w:tcPr>
            <w:tcW w:w="1195" w:type="dxa"/>
          </w:tcPr>
          <w:p w14:paraId="06945A78" w14:textId="77777777" w:rsidR="000923BB" w:rsidRPr="00F955C6" w:rsidRDefault="000923BB" w:rsidP="003A385F">
            <w:pPr>
              <w:rPr>
                <w:rFonts w:cs="Arial"/>
                <w:color w:val="000000"/>
                <w:sz w:val="18"/>
                <w:szCs w:val="18"/>
              </w:rPr>
            </w:pPr>
          </w:p>
        </w:tc>
        <w:tc>
          <w:tcPr>
            <w:tcW w:w="1195" w:type="dxa"/>
          </w:tcPr>
          <w:p w14:paraId="045F6040" w14:textId="77777777" w:rsidR="000923BB" w:rsidRPr="00F955C6" w:rsidRDefault="000923BB" w:rsidP="003A385F">
            <w:pPr>
              <w:rPr>
                <w:rFonts w:cs="Arial"/>
                <w:color w:val="000000"/>
                <w:sz w:val="18"/>
                <w:szCs w:val="18"/>
              </w:rPr>
            </w:pPr>
          </w:p>
        </w:tc>
        <w:tc>
          <w:tcPr>
            <w:tcW w:w="1117" w:type="dxa"/>
          </w:tcPr>
          <w:p w14:paraId="59FC22A2" w14:textId="77777777" w:rsidR="000923BB" w:rsidRPr="00F955C6" w:rsidRDefault="000923BB" w:rsidP="003A385F">
            <w:pPr>
              <w:rPr>
                <w:rFonts w:cs="Arial"/>
                <w:sz w:val="20"/>
                <w:szCs w:val="20"/>
              </w:rPr>
            </w:pPr>
          </w:p>
        </w:tc>
      </w:tr>
      <w:tr w:rsidR="000923BB" w:rsidRPr="00F955C6" w14:paraId="6C65D276" w14:textId="77777777" w:rsidTr="009E2501">
        <w:trPr>
          <w:trHeight w:val="855"/>
        </w:trPr>
        <w:tc>
          <w:tcPr>
            <w:tcW w:w="1195" w:type="dxa"/>
          </w:tcPr>
          <w:p w14:paraId="256EBEB9" w14:textId="77777777" w:rsidR="000923BB" w:rsidRPr="00F955C6" w:rsidRDefault="000923BB" w:rsidP="003A385F">
            <w:pPr>
              <w:rPr>
                <w:rFonts w:cs="Arial"/>
                <w:sz w:val="20"/>
                <w:szCs w:val="20"/>
              </w:rPr>
            </w:pPr>
            <w:r w:rsidRPr="00F955C6">
              <w:rPr>
                <w:rFonts w:cs="Arial"/>
                <w:sz w:val="20"/>
                <w:szCs w:val="20"/>
              </w:rPr>
              <w:t xml:space="preserve">Doctors </w:t>
            </w:r>
          </w:p>
        </w:tc>
        <w:tc>
          <w:tcPr>
            <w:tcW w:w="1195" w:type="dxa"/>
          </w:tcPr>
          <w:p w14:paraId="24978B56" w14:textId="77777777" w:rsidR="000923BB" w:rsidRPr="00F955C6" w:rsidRDefault="000923BB" w:rsidP="003A385F">
            <w:pPr>
              <w:rPr>
                <w:rFonts w:cs="Arial"/>
                <w:sz w:val="20"/>
                <w:szCs w:val="20"/>
              </w:rPr>
            </w:pPr>
            <w:r w:rsidRPr="00F955C6">
              <w:rPr>
                <w:rFonts w:cs="Arial"/>
                <w:sz w:val="20"/>
                <w:szCs w:val="20"/>
              </w:rPr>
              <w:t xml:space="preserve">Heart </w:t>
            </w:r>
          </w:p>
          <w:p w14:paraId="64C92AB2" w14:textId="77777777" w:rsidR="000923BB" w:rsidRPr="00F955C6" w:rsidRDefault="000923BB" w:rsidP="003A385F">
            <w:pPr>
              <w:rPr>
                <w:rFonts w:cs="Arial"/>
                <w:sz w:val="20"/>
                <w:szCs w:val="20"/>
              </w:rPr>
            </w:pPr>
            <w:r w:rsidRPr="00F955C6">
              <w:rPr>
                <w:rFonts w:cs="Arial"/>
                <w:sz w:val="20"/>
                <w:szCs w:val="20"/>
              </w:rPr>
              <w:t>Failure</w:t>
            </w:r>
          </w:p>
        </w:tc>
        <w:tc>
          <w:tcPr>
            <w:tcW w:w="1195" w:type="dxa"/>
          </w:tcPr>
          <w:p w14:paraId="1477E14F" w14:textId="77777777" w:rsidR="000923BB" w:rsidRPr="00F955C6" w:rsidRDefault="000923BB" w:rsidP="003A385F">
            <w:pPr>
              <w:rPr>
                <w:rFonts w:cs="Arial"/>
                <w:color w:val="000000"/>
                <w:sz w:val="20"/>
                <w:szCs w:val="20"/>
              </w:rPr>
            </w:pPr>
            <w:r w:rsidRPr="00F955C6">
              <w:rPr>
                <w:rFonts w:cs="Arial"/>
                <w:color w:val="000000"/>
                <w:sz w:val="20"/>
                <w:szCs w:val="20"/>
              </w:rPr>
              <w:t>163; 71.41 (14.65)</w:t>
            </w:r>
          </w:p>
        </w:tc>
        <w:tc>
          <w:tcPr>
            <w:tcW w:w="1327" w:type="dxa"/>
          </w:tcPr>
          <w:p w14:paraId="560B43BA" w14:textId="77777777" w:rsidR="000923BB" w:rsidRPr="00F955C6" w:rsidRDefault="000923BB" w:rsidP="003A385F">
            <w:pPr>
              <w:rPr>
                <w:rFonts w:cs="Arial"/>
                <w:color w:val="000000"/>
                <w:sz w:val="20"/>
                <w:szCs w:val="20"/>
              </w:rPr>
            </w:pPr>
            <w:r w:rsidRPr="00F955C6">
              <w:rPr>
                <w:rFonts w:cs="Arial"/>
                <w:color w:val="000000"/>
                <w:sz w:val="20"/>
                <w:szCs w:val="20"/>
              </w:rPr>
              <w:t>150; 77.90 (9.23)</w:t>
            </w:r>
          </w:p>
        </w:tc>
        <w:tc>
          <w:tcPr>
            <w:tcW w:w="1195" w:type="dxa"/>
          </w:tcPr>
          <w:p w14:paraId="093220F9" w14:textId="77777777" w:rsidR="000923BB" w:rsidRPr="00F955C6" w:rsidRDefault="000923BB" w:rsidP="003A385F">
            <w:pPr>
              <w:rPr>
                <w:rFonts w:cs="Arial"/>
                <w:i/>
                <w:color w:val="000000"/>
                <w:sz w:val="20"/>
                <w:szCs w:val="20"/>
              </w:rPr>
            </w:pPr>
            <w:r w:rsidRPr="00F955C6">
              <w:rPr>
                <w:rFonts w:cs="Arial"/>
                <w:i/>
                <w:color w:val="000000"/>
                <w:sz w:val="20"/>
                <w:szCs w:val="20"/>
              </w:rPr>
              <w:t>6.49</w:t>
            </w:r>
          </w:p>
        </w:tc>
        <w:tc>
          <w:tcPr>
            <w:tcW w:w="1195" w:type="dxa"/>
          </w:tcPr>
          <w:p w14:paraId="6327A13C" w14:textId="77777777" w:rsidR="000923BB" w:rsidRPr="00F955C6" w:rsidRDefault="000923BB" w:rsidP="003A385F">
            <w:pPr>
              <w:rPr>
                <w:rFonts w:cs="Arial"/>
                <w:color w:val="000000"/>
                <w:sz w:val="20"/>
                <w:szCs w:val="20"/>
              </w:rPr>
            </w:pPr>
            <w:r w:rsidRPr="00F955C6">
              <w:rPr>
                <w:rFonts w:cs="Arial"/>
                <w:color w:val="000000"/>
                <w:sz w:val="20"/>
                <w:szCs w:val="20"/>
              </w:rPr>
              <w:t>1.52 to 11.46</w:t>
            </w:r>
          </w:p>
        </w:tc>
        <w:tc>
          <w:tcPr>
            <w:tcW w:w="1117" w:type="dxa"/>
          </w:tcPr>
          <w:p w14:paraId="02615E28" w14:textId="77777777" w:rsidR="000923BB" w:rsidRPr="00F955C6" w:rsidRDefault="000923BB" w:rsidP="003A385F">
            <w:pPr>
              <w:rPr>
                <w:rFonts w:cs="Arial"/>
                <w:i/>
                <w:sz w:val="20"/>
                <w:szCs w:val="20"/>
              </w:rPr>
            </w:pPr>
            <w:r w:rsidRPr="00F955C6">
              <w:rPr>
                <w:rFonts w:cs="Arial"/>
                <w:i/>
                <w:sz w:val="20"/>
                <w:szCs w:val="20"/>
              </w:rPr>
              <w:t>0.016*</w:t>
            </w:r>
          </w:p>
        </w:tc>
      </w:tr>
      <w:tr w:rsidR="000923BB" w:rsidRPr="00F955C6" w14:paraId="51CF74AD" w14:textId="77777777" w:rsidTr="009E2501">
        <w:trPr>
          <w:trHeight w:val="855"/>
        </w:trPr>
        <w:tc>
          <w:tcPr>
            <w:tcW w:w="1195" w:type="dxa"/>
          </w:tcPr>
          <w:p w14:paraId="1947DFF9" w14:textId="77777777" w:rsidR="000923BB" w:rsidRPr="00F955C6" w:rsidRDefault="000923BB" w:rsidP="003A385F">
            <w:pPr>
              <w:rPr>
                <w:rFonts w:cs="Arial"/>
                <w:sz w:val="20"/>
                <w:szCs w:val="20"/>
              </w:rPr>
            </w:pPr>
            <w:r w:rsidRPr="00F955C6">
              <w:rPr>
                <w:rFonts w:cs="Arial"/>
                <w:sz w:val="20"/>
                <w:szCs w:val="20"/>
              </w:rPr>
              <w:t xml:space="preserve">Non-clinical </w:t>
            </w:r>
          </w:p>
        </w:tc>
        <w:tc>
          <w:tcPr>
            <w:tcW w:w="1195" w:type="dxa"/>
          </w:tcPr>
          <w:p w14:paraId="75681B9C" w14:textId="77777777" w:rsidR="000923BB" w:rsidRPr="00F955C6" w:rsidRDefault="000923BB" w:rsidP="003A385F">
            <w:pPr>
              <w:rPr>
                <w:rFonts w:cs="Arial"/>
                <w:sz w:val="20"/>
                <w:szCs w:val="20"/>
              </w:rPr>
            </w:pPr>
            <w:r w:rsidRPr="00F955C6">
              <w:rPr>
                <w:rFonts w:cs="Arial"/>
                <w:sz w:val="20"/>
                <w:szCs w:val="20"/>
              </w:rPr>
              <w:t xml:space="preserve">Heart </w:t>
            </w:r>
          </w:p>
          <w:p w14:paraId="35F82CCE" w14:textId="77777777" w:rsidR="000923BB" w:rsidRPr="006E28FA" w:rsidRDefault="000923BB" w:rsidP="003A385F">
            <w:r w:rsidRPr="00F955C6">
              <w:rPr>
                <w:rFonts w:cs="Arial"/>
                <w:sz w:val="20"/>
                <w:szCs w:val="20"/>
              </w:rPr>
              <w:t>Failure</w:t>
            </w:r>
          </w:p>
        </w:tc>
        <w:tc>
          <w:tcPr>
            <w:tcW w:w="1195" w:type="dxa"/>
          </w:tcPr>
          <w:p w14:paraId="0CDB9B81" w14:textId="77777777" w:rsidR="000923BB" w:rsidRPr="00F955C6" w:rsidRDefault="000923BB" w:rsidP="003A385F">
            <w:pPr>
              <w:rPr>
                <w:rFonts w:cs="Arial"/>
                <w:color w:val="000000"/>
                <w:sz w:val="20"/>
                <w:szCs w:val="20"/>
              </w:rPr>
            </w:pPr>
            <w:r w:rsidRPr="00F955C6">
              <w:rPr>
                <w:rFonts w:cs="Arial"/>
                <w:color w:val="000000"/>
                <w:sz w:val="20"/>
                <w:szCs w:val="20"/>
              </w:rPr>
              <w:t>10; 79.00 (7.74)</w:t>
            </w:r>
          </w:p>
        </w:tc>
        <w:tc>
          <w:tcPr>
            <w:tcW w:w="1327" w:type="dxa"/>
          </w:tcPr>
          <w:p w14:paraId="5FE94DF9" w14:textId="77777777" w:rsidR="000923BB" w:rsidRPr="00F955C6" w:rsidRDefault="000923BB" w:rsidP="003A385F">
            <w:pPr>
              <w:rPr>
                <w:rFonts w:cs="Arial"/>
                <w:color w:val="000000"/>
                <w:sz w:val="20"/>
                <w:szCs w:val="20"/>
              </w:rPr>
            </w:pPr>
            <w:r w:rsidRPr="00F955C6">
              <w:rPr>
                <w:rFonts w:cs="Arial"/>
                <w:color w:val="000000"/>
                <w:sz w:val="20"/>
                <w:szCs w:val="20"/>
              </w:rPr>
              <w:t>61; 74.96 (8.72)</w:t>
            </w:r>
          </w:p>
        </w:tc>
        <w:tc>
          <w:tcPr>
            <w:tcW w:w="1195" w:type="dxa"/>
          </w:tcPr>
          <w:p w14:paraId="14612672" w14:textId="77777777" w:rsidR="000923BB" w:rsidRPr="00F955C6" w:rsidRDefault="000923BB" w:rsidP="003A385F">
            <w:pPr>
              <w:rPr>
                <w:rFonts w:cs="Arial"/>
                <w:i/>
                <w:color w:val="000000"/>
                <w:sz w:val="20"/>
                <w:szCs w:val="20"/>
              </w:rPr>
            </w:pPr>
            <w:r w:rsidRPr="00F955C6">
              <w:rPr>
                <w:rFonts w:cs="Arial"/>
                <w:i/>
                <w:color w:val="000000"/>
                <w:sz w:val="20"/>
                <w:szCs w:val="20"/>
              </w:rPr>
              <w:t>-4.04</w:t>
            </w:r>
          </w:p>
        </w:tc>
        <w:tc>
          <w:tcPr>
            <w:tcW w:w="1195" w:type="dxa"/>
          </w:tcPr>
          <w:p w14:paraId="6E0CA6D9" w14:textId="77777777" w:rsidR="000923BB" w:rsidRPr="00F955C6" w:rsidRDefault="000923BB" w:rsidP="003A385F">
            <w:pPr>
              <w:rPr>
                <w:rFonts w:cs="Arial"/>
                <w:color w:val="000000"/>
                <w:sz w:val="20"/>
                <w:szCs w:val="20"/>
              </w:rPr>
            </w:pPr>
            <w:r w:rsidRPr="00F955C6">
              <w:rPr>
                <w:rFonts w:cs="Arial"/>
                <w:color w:val="000000"/>
                <w:sz w:val="20"/>
                <w:szCs w:val="20"/>
              </w:rPr>
              <w:t>-20.39 to 12.31</w:t>
            </w:r>
          </w:p>
        </w:tc>
        <w:tc>
          <w:tcPr>
            <w:tcW w:w="1117" w:type="dxa"/>
          </w:tcPr>
          <w:p w14:paraId="7669BEF3" w14:textId="77777777" w:rsidR="000923BB" w:rsidRPr="00F955C6" w:rsidRDefault="000923BB" w:rsidP="003A385F">
            <w:pPr>
              <w:rPr>
                <w:rFonts w:cs="Arial"/>
                <w:i/>
                <w:sz w:val="20"/>
                <w:szCs w:val="20"/>
              </w:rPr>
            </w:pPr>
            <w:r w:rsidRPr="00F955C6">
              <w:rPr>
                <w:rFonts w:cs="Arial"/>
                <w:i/>
                <w:sz w:val="20"/>
                <w:szCs w:val="20"/>
              </w:rPr>
              <w:t>0.399</w:t>
            </w:r>
          </w:p>
        </w:tc>
      </w:tr>
      <w:tr w:rsidR="000923BB" w:rsidRPr="00F955C6" w14:paraId="2CB8BCF0" w14:textId="77777777" w:rsidTr="009E2501">
        <w:trPr>
          <w:trHeight w:val="855"/>
        </w:trPr>
        <w:tc>
          <w:tcPr>
            <w:tcW w:w="1195" w:type="dxa"/>
          </w:tcPr>
          <w:p w14:paraId="1EBBE931" w14:textId="77777777" w:rsidR="000923BB" w:rsidRPr="00F955C6" w:rsidRDefault="000923BB" w:rsidP="003A385F">
            <w:pPr>
              <w:rPr>
                <w:rFonts w:cs="Arial"/>
                <w:sz w:val="20"/>
                <w:szCs w:val="20"/>
              </w:rPr>
            </w:pPr>
            <w:r w:rsidRPr="00F955C6">
              <w:rPr>
                <w:rFonts w:cs="Arial"/>
                <w:sz w:val="20"/>
                <w:szCs w:val="20"/>
              </w:rPr>
              <w:t>Clinical</w:t>
            </w:r>
          </w:p>
        </w:tc>
        <w:tc>
          <w:tcPr>
            <w:tcW w:w="1195" w:type="dxa"/>
          </w:tcPr>
          <w:p w14:paraId="29EDB633" w14:textId="77777777" w:rsidR="000923BB" w:rsidRPr="00F955C6" w:rsidRDefault="000923BB" w:rsidP="003A385F">
            <w:pPr>
              <w:rPr>
                <w:rFonts w:cs="Arial"/>
                <w:sz w:val="20"/>
                <w:szCs w:val="20"/>
              </w:rPr>
            </w:pPr>
            <w:r w:rsidRPr="00F955C6">
              <w:rPr>
                <w:rFonts w:cs="Arial"/>
                <w:sz w:val="20"/>
                <w:szCs w:val="20"/>
              </w:rPr>
              <w:t xml:space="preserve">Heart </w:t>
            </w:r>
          </w:p>
          <w:p w14:paraId="1F737B40" w14:textId="77777777" w:rsidR="000923BB" w:rsidRPr="006E28FA" w:rsidRDefault="000923BB" w:rsidP="003A385F">
            <w:r w:rsidRPr="00F955C6">
              <w:rPr>
                <w:rFonts w:cs="Arial"/>
                <w:sz w:val="20"/>
                <w:szCs w:val="20"/>
              </w:rPr>
              <w:t>Failure</w:t>
            </w:r>
          </w:p>
        </w:tc>
        <w:tc>
          <w:tcPr>
            <w:tcW w:w="1195" w:type="dxa"/>
          </w:tcPr>
          <w:p w14:paraId="2C4C0CFC" w14:textId="77777777" w:rsidR="000923BB" w:rsidRPr="00F955C6" w:rsidRDefault="000923BB" w:rsidP="003A385F">
            <w:pPr>
              <w:rPr>
                <w:rFonts w:cs="Arial"/>
                <w:color w:val="000000"/>
                <w:sz w:val="20"/>
                <w:szCs w:val="20"/>
              </w:rPr>
            </w:pPr>
            <w:r w:rsidRPr="00F955C6">
              <w:rPr>
                <w:rFonts w:cs="Arial"/>
                <w:color w:val="000000"/>
                <w:sz w:val="20"/>
                <w:szCs w:val="20"/>
              </w:rPr>
              <w:t>135; 80.0 (5.62)</w:t>
            </w:r>
          </w:p>
        </w:tc>
        <w:tc>
          <w:tcPr>
            <w:tcW w:w="1327" w:type="dxa"/>
          </w:tcPr>
          <w:p w14:paraId="7C9AE501" w14:textId="77777777" w:rsidR="000923BB" w:rsidRPr="00F955C6" w:rsidRDefault="000923BB" w:rsidP="003A385F">
            <w:pPr>
              <w:rPr>
                <w:rFonts w:cs="Arial"/>
                <w:color w:val="000000"/>
                <w:sz w:val="20"/>
                <w:szCs w:val="20"/>
              </w:rPr>
            </w:pPr>
            <w:r w:rsidRPr="00F955C6">
              <w:rPr>
                <w:rFonts w:cs="Arial"/>
                <w:color w:val="000000"/>
                <w:sz w:val="20"/>
                <w:szCs w:val="20"/>
              </w:rPr>
              <w:t>42; 80.65 3.86)</w:t>
            </w:r>
          </w:p>
        </w:tc>
        <w:tc>
          <w:tcPr>
            <w:tcW w:w="1195" w:type="dxa"/>
          </w:tcPr>
          <w:p w14:paraId="5D503FD0" w14:textId="77777777" w:rsidR="000923BB" w:rsidRPr="00F955C6" w:rsidRDefault="000923BB" w:rsidP="003A385F">
            <w:pPr>
              <w:rPr>
                <w:rFonts w:cs="Arial"/>
                <w:i/>
                <w:color w:val="000000"/>
                <w:sz w:val="20"/>
                <w:szCs w:val="20"/>
              </w:rPr>
            </w:pPr>
            <w:r w:rsidRPr="00F955C6">
              <w:rPr>
                <w:rFonts w:cs="Arial"/>
                <w:i/>
                <w:color w:val="000000"/>
                <w:sz w:val="20"/>
                <w:szCs w:val="20"/>
              </w:rPr>
              <w:t>0.65</w:t>
            </w:r>
          </w:p>
        </w:tc>
        <w:tc>
          <w:tcPr>
            <w:tcW w:w="1195" w:type="dxa"/>
          </w:tcPr>
          <w:p w14:paraId="6AACF07E" w14:textId="77777777" w:rsidR="000923BB" w:rsidRPr="00F955C6" w:rsidRDefault="000923BB" w:rsidP="003A385F">
            <w:pPr>
              <w:rPr>
                <w:rFonts w:cs="Arial"/>
                <w:color w:val="000000"/>
                <w:sz w:val="20"/>
                <w:szCs w:val="20"/>
              </w:rPr>
            </w:pPr>
            <w:r w:rsidRPr="00F955C6">
              <w:rPr>
                <w:rFonts w:cs="Arial"/>
                <w:color w:val="000000"/>
                <w:sz w:val="20"/>
                <w:szCs w:val="20"/>
              </w:rPr>
              <w:t>-2.98 to 4.27</w:t>
            </w:r>
          </w:p>
        </w:tc>
        <w:tc>
          <w:tcPr>
            <w:tcW w:w="1117" w:type="dxa"/>
          </w:tcPr>
          <w:p w14:paraId="0792FB20" w14:textId="77777777" w:rsidR="000923BB" w:rsidRPr="00F955C6" w:rsidRDefault="000923BB" w:rsidP="003A385F">
            <w:pPr>
              <w:rPr>
                <w:rFonts w:cs="Arial"/>
                <w:i/>
                <w:sz w:val="20"/>
                <w:szCs w:val="20"/>
              </w:rPr>
            </w:pPr>
            <w:r w:rsidRPr="00F955C6">
              <w:rPr>
                <w:rFonts w:cs="Arial"/>
                <w:i/>
                <w:sz w:val="20"/>
                <w:szCs w:val="20"/>
              </w:rPr>
              <w:t>0.664</w:t>
            </w:r>
          </w:p>
        </w:tc>
      </w:tr>
      <w:tr w:rsidR="000923BB" w:rsidRPr="00F955C6" w14:paraId="51157351" w14:textId="77777777" w:rsidTr="009E2501">
        <w:trPr>
          <w:trHeight w:val="871"/>
        </w:trPr>
        <w:tc>
          <w:tcPr>
            <w:tcW w:w="1195" w:type="dxa"/>
          </w:tcPr>
          <w:p w14:paraId="46351383" w14:textId="77777777" w:rsidR="000923BB" w:rsidRPr="00F955C6" w:rsidRDefault="000923BB" w:rsidP="003A385F">
            <w:pPr>
              <w:rPr>
                <w:rFonts w:cs="Arial"/>
                <w:i/>
                <w:sz w:val="20"/>
                <w:szCs w:val="20"/>
              </w:rPr>
            </w:pPr>
            <w:r w:rsidRPr="00F955C6">
              <w:rPr>
                <w:rFonts w:cs="Arial"/>
                <w:i/>
                <w:sz w:val="20"/>
                <w:szCs w:val="20"/>
              </w:rPr>
              <w:t xml:space="preserve">All staff </w:t>
            </w:r>
          </w:p>
        </w:tc>
        <w:tc>
          <w:tcPr>
            <w:tcW w:w="1195" w:type="dxa"/>
          </w:tcPr>
          <w:p w14:paraId="7D3A57A3" w14:textId="77777777" w:rsidR="000923BB" w:rsidRPr="00F955C6" w:rsidRDefault="000923BB" w:rsidP="003A385F">
            <w:pPr>
              <w:rPr>
                <w:rFonts w:cs="Arial"/>
                <w:i/>
                <w:sz w:val="20"/>
                <w:szCs w:val="20"/>
              </w:rPr>
            </w:pPr>
            <w:r w:rsidRPr="00F955C6">
              <w:rPr>
                <w:rFonts w:cs="Arial"/>
                <w:i/>
                <w:sz w:val="20"/>
                <w:szCs w:val="20"/>
              </w:rPr>
              <w:t xml:space="preserve">Heart </w:t>
            </w:r>
          </w:p>
          <w:p w14:paraId="4240FA42" w14:textId="77777777" w:rsidR="000923BB" w:rsidRPr="00F955C6" w:rsidRDefault="000923BB" w:rsidP="003A385F">
            <w:pPr>
              <w:rPr>
                <w:i/>
              </w:rPr>
            </w:pPr>
            <w:r w:rsidRPr="00F955C6">
              <w:rPr>
                <w:rFonts w:cs="Arial"/>
                <w:i/>
                <w:sz w:val="20"/>
                <w:szCs w:val="20"/>
              </w:rPr>
              <w:t>Failure</w:t>
            </w:r>
          </w:p>
        </w:tc>
        <w:tc>
          <w:tcPr>
            <w:tcW w:w="1195" w:type="dxa"/>
          </w:tcPr>
          <w:p w14:paraId="51CD7B22" w14:textId="77777777" w:rsidR="000923BB" w:rsidRPr="00F955C6" w:rsidRDefault="000923BB" w:rsidP="003A385F">
            <w:pPr>
              <w:rPr>
                <w:rFonts w:cs="Arial"/>
                <w:i/>
                <w:color w:val="000000"/>
                <w:sz w:val="20"/>
                <w:szCs w:val="20"/>
              </w:rPr>
            </w:pPr>
            <w:r w:rsidRPr="00F955C6">
              <w:rPr>
                <w:rFonts w:cs="Arial"/>
                <w:i/>
                <w:color w:val="000000"/>
                <w:sz w:val="20"/>
                <w:szCs w:val="20"/>
              </w:rPr>
              <w:t>308; 75.41 12.12)</w:t>
            </w:r>
          </w:p>
        </w:tc>
        <w:tc>
          <w:tcPr>
            <w:tcW w:w="1327" w:type="dxa"/>
          </w:tcPr>
          <w:p w14:paraId="52F9BA4A" w14:textId="77777777" w:rsidR="000923BB" w:rsidRPr="00F955C6" w:rsidRDefault="000923BB" w:rsidP="003A385F">
            <w:pPr>
              <w:rPr>
                <w:rFonts w:cs="Arial"/>
                <w:i/>
                <w:color w:val="000000"/>
                <w:sz w:val="20"/>
                <w:szCs w:val="20"/>
              </w:rPr>
            </w:pPr>
            <w:r w:rsidRPr="00F955C6">
              <w:rPr>
                <w:rFonts w:cs="Arial"/>
                <w:i/>
                <w:color w:val="000000"/>
                <w:sz w:val="20"/>
                <w:szCs w:val="20"/>
              </w:rPr>
              <w:t>253; 77.64 (8.62)</w:t>
            </w:r>
          </w:p>
        </w:tc>
        <w:tc>
          <w:tcPr>
            <w:tcW w:w="1195" w:type="dxa"/>
          </w:tcPr>
          <w:p w14:paraId="516C9B26" w14:textId="77777777" w:rsidR="000923BB" w:rsidRPr="00F955C6" w:rsidRDefault="000923BB" w:rsidP="003A385F">
            <w:pPr>
              <w:rPr>
                <w:rFonts w:cs="Arial"/>
                <w:i/>
                <w:color w:val="000000"/>
                <w:sz w:val="20"/>
                <w:szCs w:val="20"/>
              </w:rPr>
            </w:pPr>
            <w:r w:rsidRPr="00F955C6">
              <w:rPr>
                <w:rFonts w:cs="Arial"/>
                <w:i/>
                <w:color w:val="000000"/>
                <w:sz w:val="20"/>
                <w:szCs w:val="20"/>
              </w:rPr>
              <w:t>2.23</w:t>
            </w:r>
          </w:p>
        </w:tc>
        <w:tc>
          <w:tcPr>
            <w:tcW w:w="1195" w:type="dxa"/>
          </w:tcPr>
          <w:p w14:paraId="4E88DAB8" w14:textId="77777777" w:rsidR="000923BB" w:rsidRPr="00F955C6" w:rsidRDefault="000923BB" w:rsidP="003A385F">
            <w:pPr>
              <w:rPr>
                <w:rFonts w:cs="Arial"/>
                <w:i/>
                <w:color w:val="000000"/>
                <w:sz w:val="20"/>
                <w:szCs w:val="20"/>
              </w:rPr>
            </w:pPr>
            <w:r w:rsidRPr="00F955C6">
              <w:rPr>
                <w:rFonts w:cs="Arial"/>
                <w:i/>
                <w:color w:val="000000"/>
                <w:sz w:val="20"/>
                <w:szCs w:val="20"/>
              </w:rPr>
              <w:t>-2.55 to 7.00</w:t>
            </w:r>
          </w:p>
        </w:tc>
        <w:tc>
          <w:tcPr>
            <w:tcW w:w="1117" w:type="dxa"/>
          </w:tcPr>
          <w:p w14:paraId="733B9D7B" w14:textId="77777777" w:rsidR="000923BB" w:rsidRPr="00F955C6" w:rsidRDefault="000923BB" w:rsidP="003A385F">
            <w:pPr>
              <w:rPr>
                <w:rFonts w:cs="Arial"/>
                <w:i/>
                <w:sz w:val="20"/>
                <w:szCs w:val="20"/>
              </w:rPr>
            </w:pPr>
            <w:r w:rsidRPr="00F955C6">
              <w:rPr>
                <w:rFonts w:cs="Arial"/>
                <w:i/>
                <w:sz w:val="20"/>
                <w:szCs w:val="20"/>
              </w:rPr>
              <w:t>0.340</w:t>
            </w:r>
          </w:p>
        </w:tc>
      </w:tr>
    </w:tbl>
    <w:p w14:paraId="3EF5B92D" w14:textId="77777777" w:rsidR="000923BB" w:rsidRDefault="000923BB" w:rsidP="000923BB"/>
    <w:p w14:paraId="73CDC983" w14:textId="77777777" w:rsidR="000923BB" w:rsidRDefault="000923BB" w:rsidP="000923BB">
      <w:pPr>
        <w:rPr>
          <w:rFonts w:cs="Arial"/>
          <w:sz w:val="18"/>
          <w:szCs w:val="18"/>
        </w:rPr>
      </w:pPr>
      <w:r w:rsidRPr="00712AB9">
        <w:rPr>
          <w:rFonts w:cs="Arial"/>
          <w:sz w:val="18"/>
          <w:szCs w:val="18"/>
        </w:rPr>
        <w:t>1. Mean difference i</w:t>
      </w:r>
      <w:r>
        <w:rPr>
          <w:rFonts w:cs="Arial"/>
          <w:sz w:val="18"/>
          <w:szCs w:val="18"/>
        </w:rPr>
        <w:t>s the mean score for the lower</w:t>
      </w:r>
      <w:r w:rsidRPr="00712AB9">
        <w:rPr>
          <w:rFonts w:cs="Arial"/>
          <w:sz w:val="18"/>
          <w:szCs w:val="18"/>
        </w:rPr>
        <w:t xml:space="preserve"> mortality hospitals group mi</w:t>
      </w:r>
      <w:r>
        <w:rPr>
          <w:rFonts w:cs="Arial"/>
          <w:sz w:val="18"/>
          <w:szCs w:val="18"/>
        </w:rPr>
        <w:t>nus the mean score for the higher</w:t>
      </w:r>
      <w:r w:rsidRPr="00712AB9">
        <w:rPr>
          <w:rFonts w:cs="Arial"/>
          <w:sz w:val="18"/>
          <w:szCs w:val="18"/>
        </w:rPr>
        <w:t xml:space="preserve"> mortality hospitals group</w:t>
      </w:r>
    </w:p>
    <w:p w14:paraId="38B8A272" w14:textId="77777777" w:rsidR="000923BB" w:rsidRDefault="000923BB" w:rsidP="000923BB">
      <w:r w:rsidRPr="005F1A9C">
        <w:rPr>
          <w:rFonts w:cs="Arial"/>
          <w:sz w:val="18"/>
          <w:szCs w:val="18"/>
        </w:rPr>
        <w:t xml:space="preserve">* </w:t>
      </w:r>
      <w:r>
        <w:rPr>
          <w:rFonts w:cs="Arial"/>
          <w:sz w:val="18"/>
          <w:szCs w:val="18"/>
        </w:rPr>
        <w:t>P-values and 95% confidence intervals adjusted for potential clustering by reviewer.</w:t>
      </w:r>
    </w:p>
    <w:p w14:paraId="1E3CD2FF" w14:textId="77777777" w:rsidR="000923BB" w:rsidRDefault="000923BB" w:rsidP="000923BB">
      <w:pPr>
        <w:jc w:val="both"/>
        <w:rPr>
          <w:rFonts w:cs="Arial"/>
          <w:b/>
          <w:sz w:val="20"/>
          <w:szCs w:val="20"/>
        </w:rPr>
      </w:pPr>
    </w:p>
    <w:p w14:paraId="1E77437A" w14:textId="77777777" w:rsidR="000923BB" w:rsidRDefault="000923BB" w:rsidP="000923BB">
      <w:pPr>
        <w:jc w:val="both"/>
        <w:rPr>
          <w:rFonts w:cs="Arial"/>
          <w:sz w:val="22"/>
          <w:szCs w:val="22"/>
        </w:rPr>
      </w:pPr>
    </w:p>
    <w:p w14:paraId="606453B2" w14:textId="77777777" w:rsidR="000923BB" w:rsidRDefault="000923BB" w:rsidP="000923BB">
      <w:pPr>
        <w:jc w:val="both"/>
        <w:rPr>
          <w:rFonts w:cs="Arial"/>
          <w:sz w:val="22"/>
          <w:szCs w:val="22"/>
        </w:rPr>
      </w:pPr>
    </w:p>
    <w:p w14:paraId="03EBAC3C" w14:textId="77777777" w:rsidR="000923BB" w:rsidRDefault="000923BB" w:rsidP="000923BB">
      <w:pPr>
        <w:rPr>
          <w:rFonts w:cs="Arial"/>
          <w:sz w:val="22"/>
          <w:szCs w:val="22"/>
        </w:rPr>
      </w:pPr>
    </w:p>
    <w:p w14:paraId="033B21BD" w14:textId="77777777" w:rsidR="000923BB" w:rsidRDefault="000923BB" w:rsidP="000923BB">
      <w:pPr>
        <w:jc w:val="both"/>
        <w:rPr>
          <w:rFonts w:cs="Arial"/>
          <w:b/>
          <w:sz w:val="20"/>
          <w:szCs w:val="20"/>
        </w:rPr>
      </w:pPr>
    </w:p>
    <w:p w14:paraId="0E89FC05" w14:textId="77777777" w:rsidR="000923BB" w:rsidRPr="00332604" w:rsidRDefault="000923BB" w:rsidP="000923BB">
      <w:pPr>
        <w:jc w:val="both"/>
        <w:rPr>
          <w:rFonts w:cs="Arial"/>
          <w:b/>
          <w:sz w:val="20"/>
          <w:szCs w:val="20"/>
        </w:rPr>
      </w:pPr>
      <w:r w:rsidRPr="00332604">
        <w:rPr>
          <w:rFonts w:cs="Arial"/>
          <w:b/>
          <w:sz w:val="20"/>
          <w:szCs w:val="20"/>
        </w:rPr>
        <w:t>Figure 10: COPD criterion based total score box plots to show the difference between the criterion based total score</w:t>
      </w:r>
      <w:r w:rsidRPr="00332604">
        <w:rPr>
          <w:rFonts w:cs="Arial"/>
          <w:sz w:val="20"/>
          <w:szCs w:val="20"/>
        </w:rPr>
        <w:t xml:space="preserve"> </w:t>
      </w:r>
      <w:r w:rsidRPr="00332604">
        <w:rPr>
          <w:rFonts w:cs="Arial"/>
          <w:b/>
          <w:sz w:val="20"/>
          <w:szCs w:val="20"/>
        </w:rPr>
        <w:t xml:space="preserve">for hospitals </w:t>
      </w:r>
      <w:r>
        <w:rPr>
          <w:rFonts w:cs="Arial"/>
          <w:b/>
          <w:sz w:val="20"/>
          <w:szCs w:val="20"/>
        </w:rPr>
        <w:t xml:space="preserve">in the </w:t>
      </w:r>
      <w:r w:rsidRPr="00332604">
        <w:rPr>
          <w:rFonts w:cs="Arial"/>
          <w:b/>
          <w:sz w:val="20"/>
          <w:szCs w:val="20"/>
        </w:rPr>
        <w:t>high</w:t>
      </w:r>
      <w:r>
        <w:rPr>
          <w:rFonts w:cs="Arial"/>
          <w:b/>
          <w:sz w:val="20"/>
          <w:szCs w:val="20"/>
        </w:rPr>
        <w:t>er</w:t>
      </w:r>
      <w:r w:rsidRPr="00332604">
        <w:rPr>
          <w:rFonts w:cs="Arial"/>
          <w:b/>
          <w:sz w:val="20"/>
          <w:szCs w:val="20"/>
        </w:rPr>
        <w:t xml:space="preserve"> mortality group or low</w:t>
      </w:r>
      <w:r>
        <w:rPr>
          <w:rFonts w:cs="Arial"/>
          <w:b/>
          <w:sz w:val="20"/>
          <w:szCs w:val="20"/>
        </w:rPr>
        <w:t>er</w:t>
      </w:r>
      <w:r w:rsidRPr="00332604">
        <w:rPr>
          <w:rFonts w:cs="Arial"/>
          <w:b/>
          <w:sz w:val="20"/>
          <w:szCs w:val="20"/>
        </w:rPr>
        <w:t xml:space="preserve"> mortality group</w:t>
      </w:r>
    </w:p>
    <w:p w14:paraId="5E9613AC" w14:textId="77777777" w:rsidR="000923BB" w:rsidRPr="003E702C" w:rsidRDefault="000923BB" w:rsidP="000923BB">
      <w:pPr>
        <w:rPr>
          <w:rFonts w:cs="Arial"/>
          <w:b/>
          <w:sz w:val="22"/>
          <w:szCs w:val="22"/>
        </w:rPr>
      </w:pPr>
    </w:p>
    <w:p w14:paraId="3E7DA5BF" w14:textId="77777777" w:rsidR="000923BB" w:rsidRDefault="000923BB" w:rsidP="000923BB">
      <w:pPr>
        <w:rPr>
          <w:rFonts w:cs="Arial"/>
          <w:sz w:val="22"/>
          <w:szCs w:val="22"/>
        </w:rPr>
      </w:pPr>
    </w:p>
    <w:tbl>
      <w:tblPr>
        <w:tblW w:w="8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6"/>
        <w:gridCol w:w="4102"/>
      </w:tblGrid>
      <w:tr w:rsidR="000923BB" w:rsidRPr="00F955C6" w14:paraId="053A9E25" w14:textId="77777777" w:rsidTr="009E2501">
        <w:trPr>
          <w:trHeight w:val="900"/>
        </w:trPr>
        <w:tc>
          <w:tcPr>
            <w:tcW w:w="4036" w:type="dxa"/>
          </w:tcPr>
          <w:p w14:paraId="754C5851" w14:textId="77777777" w:rsidR="000923BB" w:rsidRPr="00F955C6" w:rsidRDefault="000923BB" w:rsidP="003A385F">
            <w:pPr>
              <w:jc w:val="center"/>
              <w:rPr>
                <w:rFonts w:cs="Arial"/>
                <w:b/>
                <w:sz w:val="22"/>
                <w:szCs w:val="22"/>
              </w:rPr>
            </w:pPr>
            <w:r w:rsidRPr="00F955C6">
              <w:rPr>
                <w:rFonts w:cs="Arial"/>
                <w:b/>
                <w:sz w:val="22"/>
                <w:szCs w:val="22"/>
              </w:rPr>
              <w:t xml:space="preserve">Doctors </w:t>
            </w:r>
          </w:p>
          <w:p w14:paraId="0CE503A8" w14:textId="77777777" w:rsidR="000923BB" w:rsidRPr="00F955C6" w:rsidRDefault="000923BB" w:rsidP="003A385F">
            <w:pPr>
              <w:jc w:val="center"/>
              <w:rPr>
                <w:rFonts w:cs="Arial"/>
                <w:b/>
                <w:sz w:val="22"/>
                <w:szCs w:val="22"/>
              </w:rPr>
            </w:pPr>
          </w:p>
        </w:tc>
        <w:tc>
          <w:tcPr>
            <w:tcW w:w="4102" w:type="dxa"/>
          </w:tcPr>
          <w:p w14:paraId="48C9EA9E" w14:textId="77777777" w:rsidR="000923BB" w:rsidRPr="00F955C6" w:rsidRDefault="000923BB" w:rsidP="003A385F">
            <w:pPr>
              <w:jc w:val="center"/>
              <w:rPr>
                <w:rFonts w:cs="Arial"/>
                <w:b/>
                <w:sz w:val="22"/>
                <w:szCs w:val="22"/>
              </w:rPr>
            </w:pPr>
            <w:r w:rsidRPr="00F955C6">
              <w:rPr>
                <w:rFonts w:cs="Arial"/>
                <w:b/>
                <w:sz w:val="22"/>
                <w:szCs w:val="22"/>
              </w:rPr>
              <w:t xml:space="preserve">Clinical/other </w:t>
            </w:r>
          </w:p>
        </w:tc>
      </w:tr>
      <w:tr w:rsidR="000923BB" w:rsidRPr="00F955C6" w14:paraId="29C09C86" w14:textId="77777777" w:rsidTr="009E2501">
        <w:trPr>
          <w:trHeight w:val="3881"/>
        </w:trPr>
        <w:tc>
          <w:tcPr>
            <w:tcW w:w="4036" w:type="dxa"/>
          </w:tcPr>
          <w:p w14:paraId="34D1B6C0" w14:textId="77777777" w:rsidR="000923BB" w:rsidRPr="00F955C6" w:rsidRDefault="000923BB" w:rsidP="003A385F">
            <w:pPr>
              <w:rPr>
                <w:rFonts w:cs="Arial"/>
                <w:sz w:val="14"/>
                <w:szCs w:val="14"/>
              </w:rPr>
            </w:pPr>
            <w:r>
              <w:rPr>
                <w:rFonts w:cs="Arial"/>
                <w:noProof/>
                <w:sz w:val="14"/>
                <w:szCs w:val="14"/>
                <w:lang w:eastAsia="en-GB" w:bidi="ar-SA"/>
              </w:rPr>
              <w:drawing>
                <wp:inline distT="0" distB="0" distL="0" distR="0" wp14:anchorId="223B4BC9" wp14:editId="57D731A3">
                  <wp:extent cx="2512695" cy="2210435"/>
                  <wp:effectExtent l="1905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cstate="print"/>
                          <a:srcRect/>
                          <a:stretch>
                            <a:fillRect/>
                          </a:stretch>
                        </pic:blipFill>
                        <pic:spPr bwMode="auto">
                          <a:xfrm>
                            <a:off x="0" y="0"/>
                            <a:ext cx="2512695" cy="2210435"/>
                          </a:xfrm>
                          <a:prstGeom prst="rect">
                            <a:avLst/>
                          </a:prstGeom>
                          <a:noFill/>
                          <a:ln w="9525">
                            <a:noFill/>
                            <a:miter lim="800000"/>
                            <a:headEnd/>
                            <a:tailEnd/>
                          </a:ln>
                        </pic:spPr>
                      </pic:pic>
                    </a:graphicData>
                  </a:graphic>
                </wp:inline>
              </w:drawing>
            </w:r>
          </w:p>
          <w:p w14:paraId="6C5CBE43" w14:textId="77777777" w:rsidR="000923BB" w:rsidRPr="00F955C6" w:rsidRDefault="000923BB" w:rsidP="003A385F">
            <w:pPr>
              <w:rPr>
                <w:rFonts w:cs="Arial"/>
                <w:sz w:val="22"/>
                <w:szCs w:val="22"/>
              </w:rPr>
            </w:pPr>
          </w:p>
        </w:tc>
        <w:tc>
          <w:tcPr>
            <w:tcW w:w="4102" w:type="dxa"/>
          </w:tcPr>
          <w:p w14:paraId="3CFBFA5D" w14:textId="77777777" w:rsidR="000923BB" w:rsidRPr="00F955C6" w:rsidRDefault="000923BB" w:rsidP="003A385F">
            <w:pPr>
              <w:rPr>
                <w:rFonts w:cs="Arial"/>
                <w:sz w:val="22"/>
                <w:szCs w:val="22"/>
              </w:rPr>
            </w:pPr>
            <w:r>
              <w:rPr>
                <w:rFonts w:cs="Arial"/>
                <w:noProof/>
                <w:sz w:val="14"/>
                <w:szCs w:val="14"/>
                <w:lang w:eastAsia="en-GB" w:bidi="ar-SA"/>
              </w:rPr>
              <w:drawing>
                <wp:inline distT="0" distB="0" distL="0" distR="0" wp14:anchorId="75982F53" wp14:editId="6A5C7FAE">
                  <wp:extent cx="2512695" cy="2210435"/>
                  <wp:effectExtent l="1905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cstate="print"/>
                          <a:srcRect/>
                          <a:stretch>
                            <a:fillRect/>
                          </a:stretch>
                        </pic:blipFill>
                        <pic:spPr bwMode="auto">
                          <a:xfrm>
                            <a:off x="0" y="0"/>
                            <a:ext cx="2512695" cy="2210435"/>
                          </a:xfrm>
                          <a:prstGeom prst="rect">
                            <a:avLst/>
                          </a:prstGeom>
                          <a:noFill/>
                          <a:ln w="9525">
                            <a:noFill/>
                            <a:miter lim="800000"/>
                            <a:headEnd/>
                            <a:tailEnd/>
                          </a:ln>
                        </pic:spPr>
                      </pic:pic>
                    </a:graphicData>
                  </a:graphic>
                </wp:inline>
              </w:drawing>
            </w:r>
          </w:p>
        </w:tc>
      </w:tr>
      <w:tr w:rsidR="000923BB" w:rsidRPr="00F955C6" w14:paraId="48BAD4C0" w14:textId="77777777" w:rsidTr="009E2501">
        <w:trPr>
          <w:trHeight w:val="900"/>
        </w:trPr>
        <w:tc>
          <w:tcPr>
            <w:tcW w:w="4036" w:type="dxa"/>
          </w:tcPr>
          <w:p w14:paraId="5D41993E" w14:textId="77777777" w:rsidR="000923BB" w:rsidRPr="00F955C6" w:rsidRDefault="000923BB" w:rsidP="003A385F">
            <w:pPr>
              <w:jc w:val="center"/>
              <w:rPr>
                <w:rFonts w:cs="Arial"/>
                <w:b/>
                <w:sz w:val="22"/>
                <w:szCs w:val="22"/>
              </w:rPr>
            </w:pPr>
            <w:r w:rsidRPr="00F955C6">
              <w:rPr>
                <w:rFonts w:cs="Arial"/>
                <w:b/>
                <w:sz w:val="22"/>
                <w:szCs w:val="22"/>
              </w:rPr>
              <w:t xml:space="preserve">Non-Clinical Audit </w:t>
            </w:r>
          </w:p>
          <w:p w14:paraId="38A0D430" w14:textId="77777777" w:rsidR="000923BB" w:rsidRPr="00F955C6" w:rsidRDefault="000923BB" w:rsidP="003A385F">
            <w:pPr>
              <w:jc w:val="center"/>
              <w:rPr>
                <w:rFonts w:cs="Arial"/>
                <w:b/>
                <w:sz w:val="22"/>
                <w:szCs w:val="22"/>
              </w:rPr>
            </w:pPr>
          </w:p>
        </w:tc>
        <w:tc>
          <w:tcPr>
            <w:tcW w:w="4102" w:type="dxa"/>
          </w:tcPr>
          <w:p w14:paraId="0CF90829" w14:textId="77777777" w:rsidR="000923BB" w:rsidRPr="00F955C6" w:rsidRDefault="000923BB" w:rsidP="003A385F">
            <w:pPr>
              <w:jc w:val="center"/>
              <w:rPr>
                <w:rFonts w:cs="Arial"/>
                <w:b/>
                <w:sz w:val="22"/>
                <w:szCs w:val="22"/>
              </w:rPr>
            </w:pPr>
            <w:r w:rsidRPr="00F955C6">
              <w:rPr>
                <w:rFonts w:cs="Arial"/>
                <w:b/>
                <w:sz w:val="22"/>
                <w:szCs w:val="22"/>
              </w:rPr>
              <w:t>All staff</w:t>
            </w:r>
          </w:p>
        </w:tc>
      </w:tr>
      <w:tr w:rsidR="000923BB" w:rsidRPr="00F955C6" w14:paraId="2B7F6C9C" w14:textId="77777777" w:rsidTr="009E2501">
        <w:trPr>
          <w:trHeight w:val="3447"/>
        </w:trPr>
        <w:tc>
          <w:tcPr>
            <w:tcW w:w="4036" w:type="dxa"/>
          </w:tcPr>
          <w:p w14:paraId="4280AB02" w14:textId="77777777" w:rsidR="000923BB" w:rsidRPr="00F955C6" w:rsidRDefault="000923BB" w:rsidP="003A385F">
            <w:pPr>
              <w:rPr>
                <w:rFonts w:cs="Arial"/>
                <w:sz w:val="22"/>
                <w:szCs w:val="22"/>
              </w:rPr>
            </w:pPr>
            <w:r>
              <w:rPr>
                <w:rFonts w:cs="Arial"/>
                <w:noProof/>
                <w:sz w:val="14"/>
                <w:szCs w:val="14"/>
                <w:lang w:eastAsia="en-GB" w:bidi="ar-SA"/>
              </w:rPr>
              <w:drawing>
                <wp:inline distT="0" distB="0" distL="0" distR="0" wp14:anchorId="799B3237" wp14:editId="51E2596C">
                  <wp:extent cx="2552065" cy="2202815"/>
                  <wp:effectExtent l="1905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cstate="print"/>
                          <a:srcRect/>
                          <a:stretch>
                            <a:fillRect/>
                          </a:stretch>
                        </pic:blipFill>
                        <pic:spPr bwMode="auto">
                          <a:xfrm>
                            <a:off x="0" y="0"/>
                            <a:ext cx="2552065" cy="2202815"/>
                          </a:xfrm>
                          <a:prstGeom prst="rect">
                            <a:avLst/>
                          </a:prstGeom>
                          <a:noFill/>
                          <a:ln w="9525">
                            <a:noFill/>
                            <a:miter lim="800000"/>
                            <a:headEnd/>
                            <a:tailEnd/>
                          </a:ln>
                        </pic:spPr>
                      </pic:pic>
                    </a:graphicData>
                  </a:graphic>
                </wp:inline>
              </w:drawing>
            </w:r>
          </w:p>
        </w:tc>
        <w:tc>
          <w:tcPr>
            <w:tcW w:w="4102" w:type="dxa"/>
          </w:tcPr>
          <w:p w14:paraId="5D2D3CB9" w14:textId="77777777" w:rsidR="000923BB" w:rsidRPr="00F955C6" w:rsidRDefault="000923BB" w:rsidP="003A385F">
            <w:pPr>
              <w:rPr>
                <w:rFonts w:cs="Arial"/>
                <w:sz w:val="14"/>
                <w:szCs w:val="14"/>
              </w:rPr>
            </w:pPr>
            <w:r>
              <w:rPr>
                <w:rFonts w:cs="Arial"/>
                <w:noProof/>
                <w:sz w:val="14"/>
                <w:szCs w:val="14"/>
                <w:lang w:eastAsia="en-GB" w:bidi="ar-SA"/>
              </w:rPr>
              <w:drawing>
                <wp:inline distT="0" distB="0" distL="0" distR="0" wp14:anchorId="738D5E5F" wp14:editId="116A500F">
                  <wp:extent cx="2440940" cy="221043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cstate="print"/>
                          <a:srcRect/>
                          <a:stretch>
                            <a:fillRect/>
                          </a:stretch>
                        </pic:blipFill>
                        <pic:spPr bwMode="auto">
                          <a:xfrm>
                            <a:off x="0" y="0"/>
                            <a:ext cx="2440940" cy="2210435"/>
                          </a:xfrm>
                          <a:prstGeom prst="rect">
                            <a:avLst/>
                          </a:prstGeom>
                          <a:noFill/>
                          <a:ln w="9525">
                            <a:noFill/>
                            <a:miter lim="800000"/>
                            <a:headEnd/>
                            <a:tailEnd/>
                          </a:ln>
                        </pic:spPr>
                      </pic:pic>
                    </a:graphicData>
                  </a:graphic>
                </wp:inline>
              </w:drawing>
            </w:r>
          </w:p>
        </w:tc>
      </w:tr>
    </w:tbl>
    <w:p w14:paraId="5276699F" w14:textId="77777777" w:rsidR="000923BB" w:rsidRPr="00C215DC" w:rsidRDefault="000923BB" w:rsidP="000923BB">
      <w:pPr>
        <w:rPr>
          <w:rFonts w:cs="Arial"/>
          <w:sz w:val="20"/>
          <w:szCs w:val="20"/>
        </w:rPr>
      </w:pPr>
      <w:r w:rsidRPr="00C215DC">
        <w:rPr>
          <w:rFonts w:cs="Arial"/>
          <w:sz w:val="20"/>
          <w:szCs w:val="20"/>
        </w:rPr>
        <w:t>Note: - ‘tails’ of the plots show the results from individual reviewers.</w:t>
      </w:r>
    </w:p>
    <w:p w14:paraId="23BEE782" w14:textId="77777777" w:rsidR="000923BB" w:rsidRDefault="000923BB" w:rsidP="000923BB">
      <w:pPr>
        <w:rPr>
          <w:rFonts w:cs="Arial"/>
          <w:sz w:val="22"/>
          <w:szCs w:val="22"/>
        </w:rPr>
      </w:pPr>
    </w:p>
    <w:p w14:paraId="6DC42B88" w14:textId="77777777" w:rsidR="000923BB" w:rsidRDefault="000923BB" w:rsidP="000923BB">
      <w:pPr>
        <w:rPr>
          <w:rFonts w:cs="Arial"/>
          <w:sz w:val="22"/>
          <w:szCs w:val="22"/>
        </w:rPr>
      </w:pPr>
    </w:p>
    <w:p w14:paraId="19C70149" w14:textId="77777777" w:rsidR="000923BB" w:rsidRPr="00332604" w:rsidRDefault="000923BB" w:rsidP="000923BB">
      <w:pPr>
        <w:jc w:val="both"/>
        <w:rPr>
          <w:rFonts w:cs="Arial"/>
          <w:b/>
          <w:sz w:val="20"/>
          <w:szCs w:val="20"/>
        </w:rPr>
      </w:pPr>
      <w:r w:rsidRPr="00332604">
        <w:rPr>
          <w:rFonts w:cs="Arial"/>
          <w:b/>
          <w:sz w:val="20"/>
          <w:szCs w:val="20"/>
        </w:rPr>
        <w:lastRenderedPageBreak/>
        <w:t xml:space="preserve">Figure 11: Heart Failure criterion based total score box plots to show the difference between the criterion based total score for hospitals </w:t>
      </w:r>
      <w:r>
        <w:rPr>
          <w:rFonts w:cs="Arial"/>
          <w:b/>
          <w:sz w:val="20"/>
          <w:szCs w:val="20"/>
        </w:rPr>
        <w:t xml:space="preserve">in the </w:t>
      </w:r>
      <w:r w:rsidRPr="00332604">
        <w:rPr>
          <w:rFonts w:cs="Arial"/>
          <w:b/>
          <w:sz w:val="20"/>
          <w:szCs w:val="20"/>
        </w:rPr>
        <w:t>high</w:t>
      </w:r>
      <w:r>
        <w:rPr>
          <w:rFonts w:cs="Arial"/>
          <w:b/>
          <w:sz w:val="20"/>
          <w:szCs w:val="20"/>
        </w:rPr>
        <w:t>er</w:t>
      </w:r>
      <w:r w:rsidRPr="00332604">
        <w:rPr>
          <w:rFonts w:cs="Arial"/>
          <w:b/>
          <w:sz w:val="20"/>
          <w:szCs w:val="20"/>
        </w:rPr>
        <w:t xml:space="preserve"> mortality group or low</w:t>
      </w:r>
      <w:r>
        <w:rPr>
          <w:rFonts w:cs="Arial"/>
          <w:b/>
          <w:sz w:val="20"/>
          <w:szCs w:val="20"/>
        </w:rPr>
        <w:t>er</w:t>
      </w:r>
      <w:r w:rsidRPr="00332604">
        <w:rPr>
          <w:rFonts w:cs="Arial"/>
          <w:b/>
          <w:sz w:val="20"/>
          <w:szCs w:val="20"/>
        </w:rPr>
        <w:t xml:space="preserve"> mortality group</w:t>
      </w:r>
    </w:p>
    <w:p w14:paraId="0289112F" w14:textId="77777777" w:rsidR="000923BB" w:rsidRDefault="000923BB" w:rsidP="000923BB">
      <w:pPr>
        <w:rPr>
          <w:rFonts w:cs="Arial"/>
          <w:sz w:val="22"/>
          <w:szCs w:val="22"/>
        </w:rPr>
      </w:pPr>
    </w:p>
    <w:tbl>
      <w:tblPr>
        <w:tblW w:w="82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164"/>
      </w:tblGrid>
      <w:tr w:rsidR="000923BB" w:rsidRPr="00F955C6" w14:paraId="741CE7E1" w14:textId="77777777" w:rsidTr="002E5971">
        <w:trPr>
          <w:trHeight w:val="928"/>
        </w:trPr>
        <w:tc>
          <w:tcPr>
            <w:tcW w:w="4111" w:type="dxa"/>
          </w:tcPr>
          <w:p w14:paraId="5F64EC5F" w14:textId="77777777" w:rsidR="000923BB" w:rsidRPr="00F955C6" w:rsidRDefault="000923BB" w:rsidP="003A385F">
            <w:pPr>
              <w:jc w:val="center"/>
              <w:rPr>
                <w:rFonts w:cs="Arial"/>
                <w:b/>
                <w:sz w:val="22"/>
                <w:szCs w:val="22"/>
              </w:rPr>
            </w:pPr>
            <w:r w:rsidRPr="00F955C6">
              <w:rPr>
                <w:rFonts w:cs="Arial"/>
                <w:b/>
                <w:sz w:val="22"/>
                <w:szCs w:val="22"/>
              </w:rPr>
              <w:t xml:space="preserve">Doctors </w:t>
            </w:r>
          </w:p>
          <w:p w14:paraId="3DCCF07A" w14:textId="77777777" w:rsidR="000923BB" w:rsidRPr="00F955C6" w:rsidRDefault="000923BB" w:rsidP="003A385F">
            <w:pPr>
              <w:jc w:val="center"/>
              <w:rPr>
                <w:rFonts w:cs="Arial"/>
                <w:b/>
                <w:sz w:val="22"/>
                <w:szCs w:val="22"/>
              </w:rPr>
            </w:pPr>
          </w:p>
        </w:tc>
        <w:tc>
          <w:tcPr>
            <w:tcW w:w="4164" w:type="dxa"/>
          </w:tcPr>
          <w:p w14:paraId="7A323B61" w14:textId="77777777" w:rsidR="000923BB" w:rsidRPr="00F955C6" w:rsidRDefault="000923BB" w:rsidP="003A385F">
            <w:pPr>
              <w:jc w:val="center"/>
              <w:rPr>
                <w:rFonts w:cs="Arial"/>
                <w:b/>
                <w:sz w:val="22"/>
                <w:szCs w:val="22"/>
              </w:rPr>
            </w:pPr>
            <w:r w:rsidRPr="00F955C6">
              <w:rPr>
                <w:rFonts w:cs="Arial"/>
                <w:b/>
                <w:sz w:val="22"/>
                <w:szCs w:val="22"/>
              </w:rPr>
              <w:t xml:space="preserve">Clinical/other </w:t>
            </w:r>
          </w:p>
        </w:tc>
      </w:tr>
      <w:tr w:rsidR="000923BB" w:rsidRPr="00F955C6" w14:paraId="51A7D4A6" w14:textId="77777777" w:rsidTr="002E5971">
        <w:trPr>
          <w:trHeight w:val="3477"/>
        </w:trPr>
        <w:tc>
          <w:tcPr>
            <w:tcW w:w="4111" w:type="dxa"/>
          </w:tcPr>
          <w:p w14:paraId="13F89575" w14:textId="77777777" w:rsidR="000923BB" w:rsidRPr="00F955C6" w:rsidRDefault="000923BB" w:rsidP="003A385F">
            <w:pPr>
              <w:rPr>
                <w:rFonts w:cs="Arial"/>
                <w:sz w:val="22"/>
                <w:szCs w:val="22"/>
              </w:rPr>
            </w:pPr>
            <w:r>
              <w:rPr>
                <w:rFonts w:cs="Arial"/>
                <w:noProof/>
                <w:sz w:val="14"/>
                <w:szCs w:val="14"/>
                <w:lang w:eastAsia="en-GB" w:bidi="ar-SA"/>
              </w:rPr>
              <w:drawing>
                <wp:inline distT="0" distB="0" distL="0" distR="0" wp14:anchorId="368E1881" wp14:editId="044EEA87">
                  <wp:extent cx="2512695" cy="2210435"/>
                  <wp:effectExtent l="1905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cstate="print"/>
                          <a:srcRect/>
                          <a:stretch>
                            <a:fillRect/>
                          </a:stretch>
                        </pic:blipFill>
                        <pic:spPr bwMode="auto">
                          <a:xfrm>
                            <a:off x="0" y="0"/>
                            <a:ext cx="2512695" cy="2210435"/>
                          </a:xfrm>
                          <a:prstGeom prst="rect">
                            <a:avLst/>
                          </a:prstGeom>
                          <a:noFill/>
                          <a:ln w="9525">
                            <a:noFill/>
                            <a:miter lim="800000"/>
                            <a:headEnd/>
                            <a:tailEnd/>
                          </a:ln>
                        </pic:spPr>
                      </pic:pic>
                    </a:graphicData>
                  </a:graphic>
                </wp:inline>
              </w:drawing>
            </w:r>
          </w:p>
        </w:tc>
        <w:tc>
          <w:tcPr>
            <w:tcW w:w="4164" w:type="dxa"/>
          </w:tcPr>
          <w:p w14:paraId="428A6094" w14:textId="77777777" w:rsidR="000923BB" w:rsidRPr="00F955C6" w:rsidRDefault="000923BB" w:rsidP="003A385F">
            <w:pPr>
              <w:rPr>
                <w:rFonts w:cs="Arial"/>
                <w:sz w:val="22"/>
                <w:szCs w:val="22"/>
              </w:rPr>
            </w:pPr>
            <w:r>
              <w:rPr>
                <w:rFonts w:cs="Arial"/>
                <w:noProof/>
                <w:sz w:val="14"/>
                <w:szCs w:val="14"/>
                <w:lang w:eastAsia="en-GB" w:bidi="ar-SA"/>
              </w:rPr>
              <w:drawing>
                <wp:inline distT="0" distB="0" distL="0" distR="0" wp14:anchorId="6287F277" wp14:editId="146DACA1">
                  <wp:extent cx="2512695" cy="2210435"/>
                  <wp:effectExtent l="1905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cstate="print"/>
                          <a:srcRect/>
                          <a:stretch>
                            <a:fillRect/>
                          </a:stretch>
                        </pic:blipFill>
                        <pic:spPr bwMode="auto">
                          <a:xfrm>
                            <a:off x="0" y="0"/>
                            <a:ext cx="2512695" cy="2210435"/>
                          </a:xfrm>
                          <a:prstGeom prst="rect">
                            <a:avLst/>
                          </a:prstGeom>
                          <a:noFill/>
                          <a:ln w="9525">
                            <a:noFill/>
                            <a:miter lim="800000"/>
                            <a:headEnd/>
                            <a:tailEnd/>
                          </a:ln>
                        </pic:spPr>
                      </pic:pic>
                    </a:graphicData>
                  </a:graphic>
                </wp:inline>
              </w:drawing>
            </w:r>
          </w:p>
        </w:tc>
      </w:tr>
      <w:tr w:rsidR="000923BB" w:rsidRPr="00F955C6" w14:paraId="1482E8E3" w14:textId="77777777" w:rsidTr="002E5971">
        <w:trPr>
          <w:trHeight w:val="912"/>
        </w:trPr>
        <w:tc>
          <w:tcPr>
            <w:tcW w:w="4111" w:type="dxa"/>
          </w:tcPr>
          <w:p w14:paraId="2E95B7B4" w14:textId="77777777" w:rsidR="000923BB" w:rsidRPr="00F955C6" w:rsidRDefault="000923BB" w:rsidP="003A385F">
            <w:pPr>
              <w:jc w:val="center"/>
              <w:rPr>
                <w:rFonts w:cs="Arial"/>
                <w:b/>
                <w:sz w:val="22"/>
                <w:szCs w:val="22"/>
              </w:rPr>
            </w:pPr>
            <w:r w:rsidRPr="00F955C6">
              <w:rPr>
                <w:rFonts w:cs="Arial"/>
                <w:b/>
                <w:sz w:val="22"/>
                <w:szCs w:val="22"/>
              </w:rPr>
              <w:t xml:space="preserve">Non-Clinical Audit </w:t>
            </w:r>
          </w:p>
          <w:p w14:paraId="40B52E3C" w14:textId="77777777" w:rsidR="000923BB" w:rsidRPr="00F955C6" w:rsidRDefault="000923BB" w:rsidP="003A385F">
            <w:pPr>
              <w:jc w:val="center"/>
              <w:rPr>
                <w:rFonts w:cs="Arial"/>
                <w:b/>
                <w:sz w:val="22"/>
                <w:szCs w:val="22"/>
              </w:rPr>
            </w:pPr>
          </w:p>
        </w:tc>
        <w:tc>
          <w:tcPr>
            <w:tcW w:w="4164" w:type="dxa"/>
          </w:tcPr>
          <w:p w14:paraId="01BB9655" w14:textId="77777777" w:rsidR="000923BB" w:rsidRPr="00F955C6" w:rsidRDefault="000923BB" w:rsidP="003A385F">
            <w:pPr>
              <w:jc w:val="center"/>
              <w:rPr>
                <w:rFonts w:cs="Arial"/>
                <w:b/>
                <w:sz w:val="22"/>
                <w:szCs w:val="22"/>
              </w:rPr>
            </w:pPr>
            <w:r w:rsidRPr="00F955C6">
              <w:rPr>
                <w:rFonts w:cs="Arial"/>
                <w:b/>
                <w:sz w:val="22"/>
                <w:szCs w:val="22"/>
              </w:rPr>
              <w:t>All staff</w:t>
            </w:r>
          </w:p>
        </w:tc>
      </w:tr>
      <w:tr w:rsidR="000923BB" w:rsidRPr="00F955C6" w14:paraId="52A394F2" w14:textId="77777777" w:rsidTr="002E5971">
        <w:trPr>
          <w:trHeight w:val="3509"/>
        </w:trPr>
        <w:tc>
          <w:tcPr>
            <w:tcW w:w="4111" w:type="dxa"/>
          </w:tcPr>
          <w:p w14:paraId="7D2D142C" w14:textId="77777777" w:rsidR="000923BB" w:rsidRPr="00F955C6" w:rsidRDefault="000923BB" w:rsidP="003A385F">
            <w:pPr>
              <w:rPr>
                <w:rFonts w:cs="Arial"/>
                <w:sz w:val="22"/>
                <w:szCs w:val="22"/>
              </w:rPr>
            </w:pPr>
            <w:r>
              <w:rPr>
                <w:rFonts w:cs="Arial"/>
                <w:noProof/>
                <w:sz w:val="14"/>
                <w:szCs w:val="14"/>
                <w:lang w:eastAsia="en-GB" w:bidi="ar-SA"/>
              </w:rPr>
              <w:drawing>
                <wp:inline distT="0" distB="0" distL="0" distR="0" wp14:anchorId="4E845775" wp14:editId="461BFB78">
                  <wp:extent cx="2552065" cy="2210435"/>
                  <wp:effectExtent l="1905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cstate="print"/>
                          <a:srcRect/>
                          <a:stretch>
                            <a:fillRect/>
                          </a:stretch>
                        </pic:blipFill>
                        <pic:spPr bwMode="auto">
                          <a:xfrm>
                            <a:off x="0" y="0"/>
                            <a:ext cx="2552065" cy="2210435"/>
                          </a:xfrm>
                          <a:prstGeom prst="rect">
                            <a:avLst/>
                          </a:prstGeom>
                          <a:noFill/>
                          <a:ln w="9525">
                            <a:noFill/>
                            <a:miter lim="800000"/>
                            <a:headEnd/>
                            <a:tailEnd/>
                          </a:ln>
                        </pic:spPr>
                      </pic:pic>
                    </a:graphicData>
                  </a:graphic>
                </wp:inline>
              </w:drawing>
            </w:r>
          </w:p>
        </w:tc>
        <w:tc>
          <w:tcPr>
            <w:tcW w:w="4164" w:type="dxa"/>
          </w:tcPr>
          <w:p w14:paraId="456BC64F" w14:textId="77777777" w:rsidR="000923BB" w:rsidRPr="00F955C6" w:rsidRDefault="000923BB" w:rsidP="003A385F">
            <w:pPr>
              <w:rPr>
                <w:rFonts w:cs="Arial"/>
                <w:sz w:val="14"/>
                <w:szCs w:val="14"/>
              </w:rPr>
            </w:pPr>
            <w:r>
              <w:rPr>
                <w:rFonts w:cs="Arial"/>
                <w:noProof/>
                <w:sz w:val="14"/>
                <w:szCs w:val="14"/>
                <w:lang w:eastAsia="en-GB" w:bidi="ar-SA"/>
              </w:rPr>
              <w:drawing>
                <wp:inline distT="0" distB="0" distL="0" distR="0" wp14:anchorId="3A8B0DE0" wp14:editId="03A017B4">
                  <wp:extent cx="2552065" cy="2210435"/>
                  <wp:effectExtent l="1905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 cstate="print"/>
                          <a:srcRect/>
                          <a:stretch>
                            <a:fillRect/>
                          </a:stretch>
                        </pic:blipFill>
                        <pic:spPr bwMode="auto">
                          <a:xfrm>
                            <a:off x="0" y="0"/>
                            <a:ext cx="2552065" cy="2210435"/>
                          </a:xfrm>
                          <a:prstGeom prst="rect">
                            <a:avLst/>
                          </a:prstGeom>
                          <a:noFill/>
                          <a:ln w="9525">
                            <a:noFill/>
                            <a:miter lim="800000"/>
                            <a:headEnd/>
                            <a:tailEnd/>
                          </a:ln>
                        </pic:spPr>
                      </pic:pic>
                    </a:graphicData>
                  </a:graphic>
                </wp:inline>
              </w:drawing>
            </w:r>
          </w:p>
        </w:tc>
      </w:tr>
    </w:tbl>
    <w:p w14:paraId="6895F65B" w14:textId="77777777" w:rsidR="000923BB" w:rsidRDefault="000923BB" w:rsidP="000923BB">
      <w:pPr>
        <w:jc w:val="both"/>
        <w:rPr>
          <w:rFonts w:cs="Arial"/>
          <w:b/>
          <w:i/>
          <w:sz w:val="22"/>
          <w:szCs w:val="22"/>
        </w:rPr>
      </w:pPr>
      <w:r w:rsidRPr="00C215DC">
        <w:rPr>
          <w:rFonts w:cs="Arial"/>
          <w:sz w:val="20"/>
          <w:szCs w:val="20"/>
        </w:rPr>
        <w:t>Note: - ‘tails’ of the plots show the results from individual reviewers.</w:t>
      </w:r>
    </w:p>
    <w:p w14:paraId="5C18F738" w14:textId="77777777" w:rsidR="000923BB" w:rsidRDefault="000923BB" w:rsidP="000923BB">
      <w:pPr>
        <w:jc w:val="both"/>
        <w:rPr>
          <w:rFonts w:cs="Arial"/>
          <w:b/>
          <w:i/>
          <w:sz w:val="22"/>
          <w:szCs w:val="22"/>
        </w:rPr>
      </w:pPr>
    </w:p>
    <w:p w14:paraId="44D10A57" w14:textId="77777777" w:rsidR="000923BB" w:rsidRDefault="000923BB" w:rsidP="000923BB">
      <w:pPr>
        <w:jc w:val="both"/>
        <w:rPr>
          <w:rFonts w:cs="Arial"/>
          <w:b/>
          <w:i/>
          <w:sz w:val="22"/>
          <w:szCs w:val="22"/>
        </w:rPr>
      </w:pPr>
    </w:p>
    <w:p w14:paraId="22869422" w14:textId="77777777" w:rsidR="000923BB" w:rsidRDefault="000923BB" w:rsidP="000923BB">
      <w:pPr>
        <w:jc w:val="both"/>
        <w:rPr>
          <w:rFonts w:cs="Arial"/>
          <w:b/>
          <w:i/>
          <w:sz w:val="22"/>
          <w:szCs w:val="22"/>
        </w:rPr>
      </w:pPr>
    </w:p>
    <w:p w14:paraId="1FED9EBE" w14:textId="77777777" w:rsidR="00D3676D" w:rsidRDefault="00D3676D" w:rsidP="000923BB">
      <w:pPr>
        <w:jc w:val="both"/>
        <w:rPr>
          <w:rFonts w:cs="Arial"/>
          <w:b/>
          <w:sz w:val="22"/>
          <w:szCs w:val="22"/>
        </w:rPr>
      </w:pPr>
    </w:p>
    <w:p w14:paraId="79EF8FF3" w14:textId="77777777" w:rsidR="00D3676D" w:rsidRDefault="00D3676D" w:rsidP="000923BB">
      <w:pPr>
        <w:jc w:val="both"/>
        <w:rPr>
          <w:rFonts w:cs="Arial"/>
          <w:b/>
          <w:sz w:val="22"/>
          <w:szCs w:val="22"/>
        </w:rPr>
      </w:pPr>
    </w:p>
    <w:p w14:paraId="76724E91" w14:textId="77777777" w:rsidR="000923BB" w:rsidRPr="008C7736" w:rsidRDefault="00886AA0" w:rsidP="000923BB">
      <w:pPr>
        <w:jc w:val="both"/>
        <w:rPr>
          <w:rFonts w:cs="Arial"/>
          <w:b/>
          <w:sz w:val="22"/>
          <w:szCs w:val="22"/>
        </w:rPr>
      </w:pPr>
      <w:r>
        <w:rPr>
          <w:rFonts w:cs="Arial"/>
          <w:b/>
          <w:sz w:val="22"/>
          <w:szCs w:val="22"/>
        </w:rPr>
        <w:lastRenderedPageBreak/>
        <w:t>F</w:t>
      </w:r>
      <w:r w:rsidR="000923BB" w:rsidRPr="008C7736">
        <w:rPr>
          <w:rFonts w:cs="Arial"/>
          <w:b/>
          <w:sz w:val="22"/>
          <w:szCs w:val="22"/>
        </w:rPr>
        <w:t>eedback to study hospitals and teams</w:t>
      </w:r>
    </w:p>
    <w:p w14:paraId="1A3D0318" w14:textId="77777777" w:rsidR="000923BB" w:rsidRPr="00CA3A50" w:rsidRDefault="000923BB" w:rsidP="000923BB">
      <w:pPr>
        <w:jc w:val="both"/>
        <w:rPr>
          <w:rFonts w:cs="Arial"/>
          <w:i/>
          <w:sz w:val="22"/>
          <w:szCs w:val="22"/>
        </w:rPr>
      </w:pPr>
    </w:p>
    <w:p w14:paraId="31AC7148" w14:textId="77777777" w:rsidR="000923BB" w:rsidRDefault="000923BB" w:rsidP="000923BB">
      <w:pPr>
        <w:jc w:val="both"/>
        <w:rPr>
          <w:rFonts w:cs="Arial"/>
          <w:sz w:val="22"/>
          <w:szCs w:val="22"/>
        </w:rPr>
      </w:pPr>
      <w:r>
        <w:rPr>
          <w:rFonts w:cs="Arial"/>
          <w:sz w:val="22"/>
          <w:szCs w:val="22"/>
        </w:rPr>
        <w:t xml:space="preserve">Following the completion of the reviews, each reviewer received a feedback report containing there own data. Individual hospitals or reviewers were not identified in the report. The report contained summary statistics and frequencies for the algorithmic criterion and the holistic quality of care scores for all phases of care and the quality of records element of the review. The holistic quality of care scores were compared with those from other reviewers reviewing the same records. A mean quality of care score was calculated for each hospital and this was also provided in the report.  </w:t>
      </w:r>
      <w:r w:rsidRPr="00B04603">
        <w:rPr>
          <w:rFonts w:cs="Arial"/>
          <w:sz w:val="22"/>
          <w:szCs w:val="22"/>
        </w:rPr>
        <w:t>Appendix 6</w:t>
      </w:r>
      <w:r>
        <w:rPr>
          <w:rFonts w:cs="Arial"/>
          <w:sz w:val="22"/>
          <w:szCs w:val="22"/>
        </w:rPr>
        <w:t xml:space="preserve"> contains an example report that has been anonymised. </w:t>
      </w:r>
    </w:p>
    <w:p w14:paraId="3F82AE86" w14:textId="77777777" w:rsidR="000923BB" w:rsidRDefault="000923BB" w:rsidP="000923BB">
      <w:pPr>
        <w:jc w:val="both"/>
        <w:rPr>
          <w:rFonts w:cs="Arial"/>
          <w:sz w:val="22"/>
          <w:szCs w:val="22"/>
        </w:rPr>
      </w:pPr>
    </w:p>
    <w:p w14:paraId="136E1C94" w14:textId="77777777" w:rsidR="000923BB" w:rsidRDefault="000923BB" w:rsidP="000923BB">
      <w:pPr>
        <w:jc w:val="both"/>
        <w:rPr>
          <w:rFonts w:cs="Arial"/>
          <w:sz w:val="22"/>
          <w:szCs w:val="22"/>
        </w:rPr>
      </w:pPr>
      <w:r>
        <w:rPr>
          <w:rFonts w:cs="Arial"/>
          <w:sz w:val="22"/>
          <w:szCs w:val="22"/>
        </w:rPr>
        <w:t xml:space="preserve">Each reviewer received an electronic copy of the report since it was envisaged that the report would provide a useful basis for local audit presentations. Where requested, individual assistance was provided to reviewers wishing to present their data at local audit meetings. For example, advice was given on the meaning of the data or producing specific graphs/tables in PowerPoint. </w:t>
      </w:r>
    </w:p>
    <w:p w14:paraId="024B21B3" w14:textId="77777777" w:rsidR="000923BB" w:rsidRDefault="000923BB" w:rsidP="000923BB">
      <w:pPr>
        <w:jc w:val="both"/>
        <w:rPr>
          <w:rFonts w:cs="Arial"/>
          <w:sz w:val="22"/>
          <w:szCs w:val="22"/>
        </w:rPr>
      </w:pPr>
    </w:p>
    <w:p w14:paraId="175891E4" w14:textId="77777777" w:rsidR="000923BB" w:rsidRDefault="000923BB" w:rsidP="000923BB">
      <w:pPr>
        <w:jc w:val="both"/>
        <w:rPr>
          <w:rFonts w:cs="Arial"/>
          <w:sz w:val="22"/>
          <w:szCs w:val="22"/>
        </w:rPr>
      </w:pPr>
      <w:r>
        <w:rPr>
          <w:rFonts w:cs="Arial"/>
          <w:sz w:val="22"/>
          <w:szCs w:val="22"/>
        </w:rPr>
        <w:t xml:space="preserve">From the feedback we received from the reviewers about the reports, most found the reports to be useful and interesting. </w:t>
      </w:r>
    </w:p>
    <w:p w14:paraId="3BE1A4B5" w14:textId="77777777" w:rsidR="000923BB" w:rsidRPr="00122F87" w:rsidRDefault="000923BB" w:rsidP="000923BB">
      <w:pPr>
        <w:jc w:val="both"/>
        <w:rPr>
          <w:rFonts w:cs="Arial"/>
          <w:b/>
          <w:bCs/>
        </w:rPr>
      </w:pPr>
      <w:r>
        <w:rPr>
          <w:rFonts w:cs="Arial"/>
          <w:sz w:val="22"/>
          <w:szCs w:val="22"/>
        </w:rPr>
        <w:br w:type="page"/>
      </w:r>
      <w:r w:rsidRPr="00122F87">
        <w:rPr>
          <w:rFonts w:cs="Arial"/>
          <w:b/>
          <w:bCs/>
        </w:rPr>
        <w:lastRenderedPageBreak/>
        <w:t xml:space="preserve">Conclusions </w:t>
      </w:r>
    </w:p>
    <w:p w14:paraId="5A788C2B" w14:textId="77777777" w:rsidR="000923BB" w:rsidRDefault="000923BB" w:rsidP="000923BB">
      <w:pPr>
        <w:jc w:val="both"/>
        <w:rPr>
          <w:rFonts w:cs="Arial"/>
          <w:sz w:val="22"/>
          <w:szCs w:val="22"/>
        </w:rPr>
      </w:pPr>
    </w:p>
    <w:p w14:paraId="5DA63459" w14:textId="77777777" w:rsidR="000923BB" w:rsidRDefault="000923BB" w:rsidP="000923BB">
      <w:pPr>
        <w:jc w:val="both"/>
        <w:rPr>
          <w:rFonts w:cs="Arial"/>
          <w:sz w:val="22"/>
          <w:szCs w:val="22"/>
        </w:rPr>
      </w:pPr>
      <w:r>
        <w:rPr>
          <w:rFonts w:cs="Arial"/>
          <w:sz w:val="22"/>
          <w:szCs w:val="22"/>
        </w:rPr>
        <w:t>Retrospective assessment of the quality and safety of care primarily depends on review of information from the clinical record and the literature suggests that both holistic and criterion based review methods make valuable contributions but also have methodological limitations.</w:t>
      </w:r>
    </w:p>
    <w:p w14:paraId="4C33154B" w14:textId="77777777" w:rsidR="000923BB" w:rsidRDefault="000923BB" w:rsidP="000923BB">
      <w:pPr>
        <w:jc w:val="both"/>
        <w:rPr>
          <w:rFonts w:cs="Arial"/>
          <w:sz w:val="22"/>
          <w:szCs w:val="22"/>
        </w:rPr>
      </w:pPr>
    </w:p>
    <w:p w14:paraId="5EC4CBB7" w14:textId="77777777" w:rsidR="000923BB" w:rsidRDefault="000923BB" w:rsidP="000923BB">
      <w:pPr>
        <w:jc w:val="both"/>
        <w:rPr>
          <w:rFonts w:cs="Arial"/>
          <w:sz w:val="22"/>
          <w:szCs w:val="22"/>
        </w:rPr>
      </w:pPr>
      <w:r>
        <w:rPr>
          <w:rFonts w:cs="Arial"/>
          <w:sz w:val="22"/>
          <w:szCs w:val="22"/>
        </w:rPr>
        <w:t xml:space="preserve">This is the first study in the </w:t>
      </w:r>
      <w:smartTag w:uri="urn:schemas-microsoft-com:office:smarttags" w:element="place">
        <w:smartTag w:uri="urn:schemas-microsoft-com:office:smarttags" w:element="country-region">
          <w:r>
            <w:rPr>
              <w:rFonts w:cs="Arial"/>
              <w:sz w:val="22"/>
              <w:szCs w:val="22"/>
            </w:rPr>
            <w:t>UK</w:t>
          </w:r>
        </w:smartTag>
      </w:smartTag>
      <w:r>
        <w:rPr>
          <w:rFonts w:cs="Arial"/>
          <w:sz w:val="22"/>
          <w:szCs w:val="22"/>
        </w:rPr>
        <w:t xml:space="preserve"> that has compared the two methods of review and it has additionally contrasted the results of three different professional groups. Few international studies have contrasted the review results of different professional groups using the same methods, although Weingart et al[6] compared the results of explicit [criterion based] review undertaken by nurses with implicit review of the same record undertaken by physicians. They found that when examining medical records, ‘nurse and physician reviewers often came to substantially different conclusions’.[6] </w:t>
      </w:r>
    </w:p>
    <w:p w14:paraId="3EC813C8" w14:textId="77777777" w:rsidR="000923BB" w:rsidRDefault="000923BB" w:rsidP="000923BB">
      <w:pPr>
        <w:jc w:val="both"/>
        <w:rPr>
          <w:rFonts w:cs="Arial"/>
          <w:sz w:val="22"/>
          <w:szCs w:val="22"/>
        </w:rPr>
      </w:pPr>
    </w:p>
    <w:p w14:paraId="1CABB381" w14:textId="77777777" w:rsidR="000923BB" w:rsidRDefault="000923BB" w:rsidP="000923BB">
      <w:pPr>
        <w:jc w:val="both"/>
        <w:rPr>
          <w:rFonts w:cs="Arial"/>
          <w:sz w:val="22"/>
          <w:szCs w:val="22"/>
        </w:rPr>
      </w:pPr>
      <w:r>
        <w:rPr>
          <w:rFonts w:cs="Arial"/>
          <w:sz w:val="22"/>
          <w:szCs w:val="22"/>
        </w:rPr>
        <w:t>Key results from the study include:</w:t>
      </w:r>
    </w:p>
    <w:p w14:paraId="02121929" w14:textId="77777777" w:rsidR="000923BB" w:rsidRDefault="000923BB" w:rsidP="008A6C6D">
      <w:pPr>
        <w:numPr>
          <w:ilvl w:val="0"/>
          <w:numId w:val="18"/>
        </w:numPr>
        <w:spacing w:after="0" w:line="240" w:lineRule="auto"/>
        <w:jc w:val="both"/>
        <w:rPr>
          <w:rFonts w:cs="Arial"/>
          <w:sz w:val="22"/>
          <w:szCs w:val="22"/>
        </w:rPr>
      </w:pPr>
      <w:r>
        <w:rPr>
          <w:rFonts w:cs="Arial"/>
          <w:sz w:val="22"/>
          <w:szCs w:val="22"/>
        </w:rPr>
        <w:t>Reviewers are relatively internally consistent</w:t>
      </w:r>
    </w:p>
    <w:p w14:paraId="0B5BDD57" w14:textId="77777777" w:rsidR="000923BB" w:rsidRDefault="000923BB" w:rsidP="008A6C6D">
      <w:pPr>
        <w:numPr>
          <w:ilvl w:val="0"/>
          <w:numId w:val="18"/>
        </w:numPr>
        <w:spacing w:after="0" w:line="240" w:lineRule="auto"/>
        <w:jc w:val="both"/>
        <w:rPr>
          <w:rFonts w:cs="Arial"/>
          <w:sz w:val="22"/>
          <w:szCs w:val="22"/>
        </w:rPr>
      </w:pPr>
      <w:r>
        <w:rPr>
          <w:rFonts w:cs="Arial"/>
          <w:sz w:val="22"/>
          <w:szCs w:val="22"/>
        </w:rPr>
        <w:t>The is some evidence of moderate to good within group reliability for holistic review</w:t>
      </w:r>
    </w:p>
    <w:p w14:paraId="5E4702DC" w14:textId="77777777" w:rsidR="000923BB" w:rsidRDefault="000923BB" w:rsidP="008A6C6D">
      <w:pPr>
        <w:numPr>
          <w:ilvl w:val="0"/>
          <w:numId w:val="18"/>
        </w:numPr>
        <w:spacing w:after="0" w:line="240" w:lineRule="auto"/>
        <w:jc w:val="both"/>
        <w:rPr>
          <w:rFonts w:cs="Arial"/>
          <w:sz w:val="22"/>
          <w:szCs w:val="22"/>
        </w:rPr>
      </w:pPr>
      <w:r>
        <w:rPr>
          <w:rFonts w:cs="Arial"/>
          <w:sz w:val="22"/>
          <w:szCs w:val="22"/>
        </w:rPr>
        <w:t>All three professional groups were good at criterion review</w:t>
      </w:r>
    </w:p>
    <w:p w14:paraId="6545A1DA" w14:textId="77777777" w:rsidR="000923BB" w:rsidRDefault="000923BB" w:rsidP="008A6C6D">
      <w:pPr>
        <w:numPr>
          <w:ilvl w:val="0"/>
          <w:numId w:val="18"/>
        </w:numPr>
        <w:spacing w:after="0" w:line="240" w:lineRule="auto"/>
        <w:jc w:val="both"/>
        <w:rPr>
          <w:rFonts w:cs="Arial"/>
          <w:sz w:val="22"/>
          <w:szCs w:val="22"/>
        </w:rPr>
      </w:pPr>
      <w:r>
        <w:rPr>
          <w:rFonts w:cs="Arial"/>
          <w:sz w:val="22"/>
          <w:szCs w:val="22"/>
        </w:rPr>
        <w:t>There is evidence of agreement between the results of holistic and criterion review in the hands of physician reviewers</w:t>
      </w:r>
    </w:p>
    <w:p w14:paraId="3B5F2759" w14:textId="77777777" w:rsidR="000923BB" w:rsidRDefault="000923BB" w:rsidP="008A6C6D">
      <w:pPr>
        <w:numPr>
          <w:ilvl w:val="0"/>
          <w:numId w:val="18"/>
        </w:numPr>
        <w:spacing w:after="0" w:line="240" w:lineRule="auto"/>
        <w:jc w:val="both"/>
        <w:rPr>
          <w:rFonts w:cs="Arial"/>
          <w:sz w:val="22"/>
          <w:szCs w:val="22"/>
        </w:rPr>
      </w:pPr>
      <w:r>
        <w:rPr>
          <w:rFonts w:cs="Arial"/>
          <w:sz w:val="22"/>
          <w:szCs w:val="22"/>
        </w:rPr>
        <w:t>The is some difference in review focus between nurses and physicians</w:t>
      </w:r>
    </w:p>
    <w:p w14:paraId="4C756489" w14:textId="77777777" w:rsidR="000923BB" w:rsidRDefault="000923BB" w:rsidP="000923BB">
      <w:pPr>
        <w:jc w:val="both"/>
        <w:rPr>
          <w:rFonts w:cs="Arial"/>
          <w:sz w:val="22"/>
          <w:szCs w:val="22"/>
        </w:rPr>
      </w:pPr>
    </w:p>
    <w:p w14:paraId="4E9EC87D" w14:textId="77777777" w:rsidR="000923BB" w:rsidRDefault="000923BB" w:rsidP="000923BB">
      <w:pPr>
        <w:jc w:val="both"/>
        <w:rPr>
          <w:rFonts w:cs="Arial"/>
          <w:sz w:val="22"/>
          <w:szCs w:val="22"/>
        </w:rPr>
      </w:pPr>
    </w:p>
    <w:p w14:paraId="3C7E52C1" w14:textId="77777777" w:rsidR="000923BB" w:rsidRDefault="000923BB" w:rsidP="000923BB">
      <w:pPr>
        <w:jc w:val="both"/>
        <w:rPr>
          <w:rFonts w:cs="Arial"/>
          <w:sz w:val="22"/>
          <w:szCs w:val="22"/>
        </w:rPr>
      </w:pPr>
      <w:r>
        <w:rPr>
          <w:rFonts w:cs="Arial"/>
          <w:sz w:val="22"/>
          <w:szCs w:val="22"/>
        </w:rPr>
        <w:t>Our most important research questions have been first, to determine the level of agreement between healthcare professionals, from different backgrounds, when they review the same record.  This agreement, or reliability, relates to the repeatability of the results from the review – whether a different reviewer would come to the same conclusion about the quality of care from the same data source, using the same method.  This is clearly a practical question, as well as a research question. Second, we have used review of the same record to explore the relationship between holistic and criterion based methods.</w:t>
      </w:r>
    </w:p>
    <w:p w14:paraId="55398CCE" w14:textId="77777777" w:rsidR="000923BB" w:rsidRDefault="000923BB" w:rsidP="000923BB">
      <w:pPr>
        <w:jc w:val="both"/>
        <w:rPr>
          <w:rFonts w:cs="Arial"/>
          <w:sz w:val="22"/>
          <w:szCs w:val="22"/>
        </w:rPr>
      </w:pPr>
    </w:p>
    <w:p w14:paraId="1BDB9ABF" w14:textId="77777777" w:rsidR="000923BB" w:rsidRDefault="000923BB" w:rsidP="000923BB">
      <w:pPr>
        <w:jc w:val="both"/>
        <w:rPr>
          <w:rFonts w:cs="Arial"/>
          <w:sz w:val="22"/>
          <w:szCs w:val="22"/>
        </w:rPr>
      </w:pPr>
      <w:r>
        <w:rPr>
          <w:rFonts w:cs="Arial"/>
          <w:sz w:val="22"/>
          <w:szCs w:val="22"/>
        </w:rPr>
        <w:t xml:space="preserve">Reviewers undertaking holistic review, using scale scores, were relatively consistent in the scores for each case note allocated to care quality across the individual phases of care and overall for the entire episode of care.  All three professional groups had moderate within-group inter-rater reliability, ranging from 0.46 (95% CI 0.34 to 0.59) to 0.52 (95% CI 0.41 to 0.62).  The physician reviewers had the highest values.  These results were replicated for the physician reviewers in the kappa analysis (Table 6a), although the kappa scores for the other two professional groups were considerably </w:t>
      </w:r>
      <w:r>
        <w:rPr>
          <w:rFonts w:cs="Arial"/>
          <w:sz w:val="22"/>
          <w:szCs w:val="22"/>
        </w:rPr>
        <w:lastRenderedPageBreak/>
        <w:t xml:space="preserve">lower.  The ICC reliability values were rather higher than the average found in a systematic by Lilford et al[5] in which, for implicit structured review, studies of case note review concerned with causality and process of care had kappa values below 0.4 (causality; kappa 0.39 (SD 0.19), process; kappa 0.35 (SD 0.19)). </w:t>
      </w:r>
    </w:p>
    <w:p w14:paraId="52CC580B" w14:textId="77777777" w:rsidR="000923BB" w:rsidRDefault="000923BB" w:rsidP="000923BB">
      <w:pPr>
        <w:jc w:val="both"/>
        <w:rPr>
          <w:rFonts w:cs="Arial"/>
          <w:sz w:val="22"/>
          <w:szCs w:val="22"/>
        </w:rPr>
      </w:pPr>
    </w:p>
    <w:p w14:paraId="045A82DB" w14:textId="77777777" w:rsidR="000923BB" w:rsidRDefault="000923BB" w:rsidP="000923BB">
      <w:pPr>
        <w:jc w:val="both"/>
        <w:rPr>
          <w:rFonts w:cs="Arial"/>
          <w:color w:val="000000"/>
          <w:sz w:val="22"/>
          <w:szCs w:val="22"/>
        </w:rPr>
      </w:pPr>
      <w:r>
        <w:rPr>
          <w:rFonts w:cs="Arial"/>
          <w:sz w:val="22"/>
          <w:szCs w:val="22"/>
        </w:rPr>
        <w:t xml:space="preserve">The inter-rater reliability results of the study are also somewhat similar to those of Hofer and colleagues,[10] who also used Intra-Class Correlation Coefficients and found a reliability of 0.46 for a structured holistic review of diabetes and heart failure records by physician reviewers (though only 0.26 for COPD records). </w:t>
      </w:r>
      <w:r>
        <w:rPr>
          <w:rFonts w:cs="Arial"/>
          <w:color w:val="000000"/>
          <w:sz w:val="22"/>
          <w:szCs w:val="22"/>
        </w:rPr>
        <w:t xml:space="preserve">In comparison, a recent holistic assessment of patients dying in </w:t>
      </w:r>
      <w:smartTag w:uri="urn:schemas-microsoft-com:office:smarttags" w:element="country-region">
        <w:smartTag w:uri="urn:schemas-microsoft-com:office:smarttags" w:element="place">
          <w:r>
            <w:rPr>
              <w:rFonts w:cs="Arial"/>
              <w:color w:val="000000"/>
              <w:sz w:val="22"/>
              <w:szCs w:val="22"/>
            </w:rPr>
            <w:t>UK</w:t>
          </w:r>
        </w:smartTag>
      </w:smartTag>
      <w:r>
        <w:rPr>
          <w:rFonts w:cs="Arial"/>
          <w:color w:val="000000"/>
          <w:sz w:val="22"/>
          <w:szCs w:val="22"/>
        </w:rPr>
        <w:t xml:space="preserve"> hospitals achieved a Kappa score of </w:t>
      </w:r>
      <w:r>
        <w:rPr>
          <w:rFonts w:cs="Arial"/>
          <w:sz w:val="22"/>
          <w:szCs w:val="22"/>
        </w:rPr>
        <w:t>0.39</w:t>
      </w:r>
      <w:r>
        <w:rPr>
          <w:rFonts w:cs="Arial"/>
          <w:color w:val="000000"/>
          <w:sz w:val="22"/>
          <w:szCs w:val="22"/>
        </w:rPr>
        <w:t xml:space="preserve"> on the key indicator of quality of medical care.[41]  Nevertheless, our study found that there was still a considerable range of reliability scores between individual reviewer pairs, even between the doctor reviewers.  This variation might be a reflection of either training or experience, or perhaps it represents other aspects of the causes of holistic review variation identified in the literature, such as bias or harshness in reviewing.[12][13][14][15][16] </w:t>
      </w:r>
    </w:p>
    <w:p w14:paraId="1F5AAB68" w14:textId="77777777" w:rsidR="000923BB" w:rsidRDefault="000923BB" w:rsidP="000923BB">
      <w:pPr>
        <w:jc w:val="both"/>
        <w:rPr>
          <w:rFonts w:cs="Arial"/>
          <w:color w:val="000000"/>
          <w:sz w:val="22"/>
          <w:szCs w:val="22"/>
        </w:rPr>
      </w:pPr>
    </w:p>
    <w:p w14:paraId="746E6FD2" w14:textId="77777777" w:rsidR="000923BB" w:rsidRDefault="000923BB" w:rsidP="000923BB">
      <w:pPr>
        <w:jc w:val="both"/>
        <w:rPr>
          <w:rFonts w:cs="Arial"/>
          <w:color w:val="000000"/>
          <w:sz w:val="22"/>
          <w:szCs w:val="22"/>
        </w:rPr>
      </w:pPr>
      <w:r>
        <w:rPr>
          <w:rFonts w:cs="Arial"/>
          <w:color w:val="000000"/>
          <w:sz w:val="22"/>
          <w:szCs w:val="22"/>
        </w:rPr>
        <w:t xml:space="preserve">Most of our reviewers had not undertaken a formal holistic review before.  Training and support was provided but it was deliberately designed not to influence the effect of implicit judgement and the training may therefore not have been sufficient to reduce the element variation due to inexperience with the review methods.  The large quality and safety review programmes in the </w:t>
      </w:r>
      <w:smartTag w:uri="urn:schemas-microsoft-com:office:smarttags" w:element="country-region">
        <w:r>
          <w:rPr>
            <w:rFonts w:cs="Arial"/>
            <w:color w:val="000000"/>
            <w:sz w:val="22"/>
            <w:szCs w:val="22"/>
          </w:rPr>
          <w:t>United States</w:t>
        </w:r>
      </w:smartTag>
      <w:r>
        <w:rPr>
          <w:rFonts w:cs="Arial"/>
          <w:color w:val="000000"/>
          <w:sz w:val="22"/>
          <w:szCs w:val="22"/>
        </w:rPr>
        <w:t xml:space="preserve"> (for example in the </w:t>
      </w:r>
      <w:smartTag w:uri="urn:schemas-microsoft-com:office:smarttags" w:element="State">
        <w:r>
          <w:rPr>
            <w:rFonts w:cs="Arial"/>
            <w:color w:val="000000"/>
            <w:sz w:val="22"/>
            <w:szCs w:val="22"/>
          </w:rPr>
          <w:t>Colorado</w:t>
        </w:r>
      </w:smartTag>
      <w:r>
        <w:rPr>
          <w:rFonts w:cs="Arial"/>
          <w:color w:val="000000"/>
          <w:sz w:val="22"/>
          <w:szCs w:val="22"/>
        </w:rPr>
        <w:t xml:space="preserve"> and </w:t>
      </w:r>
      <w:smartTag w:uri="urn:schemas-microsoft-com:office:smarttags" w:element="State">
        <w:smartTag w:uri="urn:schemas-microsoft-com:office:smarttags" w:element="place">
          <w:r>
            <w:rPr>
              <w:rFonts w:cs="Arial"/>
              <w:color w:val="000000"/>
              <w:sz w:val="22"/>
              <w:szCs w:val="22"/>
            </w:rPr>
            <w:t>Utah</w:t>
          </w:r>
        </w:smartTag>
      </w:smartTag>
      <w:r>
        <w:rPr>
          <w:rFonts w:cs="Arial"/>
          <w:color w:val="000000"/>
          <w:sz w:val="22"/>
          <w:szCs w:val="22"/>
        </w:rPr>
        <w:t xml:space="preserve"> study[5] and the study by Daley and colleagues[37]) use senior physician reviewers who have been screened to identify and exclude those who may have particular biases.  This approach might have had a positive impact on the inter-rater reliability results but was not an option open to this study because of cost and availability of senior staff.</w:t>
      </w:r>
    </w:p>
    <w:p w14:paraId="4BC4D096" w14:textId="77777777" w:rsidR="000923BB" w:rsidRDefault="000923BB" w:rsidP="000923BB">
      <w:pPr>
        <w:jc w:val="both"/>
        <w:rPr>
          <w:rFonts w:cs="Arial"/>
          <w:sz w:val="22"/>
          <w:szCs w:val="22"/>
        </w:rPr>
      </w:pPr>
    </w:p>
    <w:p w14:paraId="5882E9BA" w14:textId="77777777" w:rsidR="000923BB" w:rsidRDefault="000923BB" w:rsidP="000923BB">
      <w:pPr>
        <w:jc w:val="both"/>
        <w:rPr>
          <w:rFonts w:cs="Arial"/>
          <w:sz w:val="22"/>
          <w:szCs w:val="22"/>
        </w:rPr>
      </w:pPr>
      <w:r w:rsidRPr="007A70C1">
        <w:rPr>
          <w:rFonts w:cs="Arial"/>
          <w:sz w:val="22"/>
          <w:szCs w:val="22"/>
        </w:rPr>
        <w:t>Completeness of the clinical record is a significant feature in the success of review methods, since a review can only consider what is written in the record and reviewers have to depend on the abstracted details of the case.  Not recording an event does not mean that the event did not occur.   It may be, for instance, that a practitioner did not record the event because they considered it to be too trivial</w:t>
      </w:r>
      <w:r>
        <w:rPr>
          <w:rFonts w:cs="Arial"/>
          <w:sz w:val="22"/>
          <w:szCs w:val="22"/>
        </w:rPr>
        <w:t xml:space="preserve">.  However, non recording or very limited recording is a definite constraint on the effectiveness of records review as a means of assessing quality of care among groups of patients. </w:t>
      </w:r>
      <w:r w:rsidRPr="007A70C1">
        <w:rPr>
          <w:rFonts w:cs="Arial"/>
          <w:sz w:val="22"/>
          <w:szCs w:val="22"/>
        </w:rPr>
        <w:t>On the other hand, direct observation of the quality of care, suggested as an alternative to records review,[</w:t>
      </w:r>
      <w:r>
        <w:rPr>
          <w:rFonts w:cs="Arial"/>
          <w:sz w:val="22"/>
          <w:szCs w:val="22"/>
        </w:rPr>
        <w:t>9</w:t>
      </w:r>
      <w:r w:rsidRPr="007A70C1">
        <w:rPr>
          <w:rFonts w:cs="Arial"/>
          <w:sz w:val="22"/>
          <w:szCs w:val="22"/>
        </w:rPr>
        <w:t xml:space="preserve">] would be very expensive </w:t>
      </w:r>
      <w:r>
        <w:rPr>
          <w:rFonts w:cs="Arial"/>
          <w:sz w:val="22"/>
          <w:szCs w:val="22"/>
        </w:rPr>
        <w:t xml:space="preserve">if it were to be used </w:t>
      </w:r>
      <w:r w:rsidRPr="007A70C1">
        <w:rPr>
          <w:rFonts w:cs="Arial"/>
          <w:sz w:val="22"/>
          <w:szCs w:val="22"/>
        </w:rPr>
        <w:t xml:space="preserve">as a standard procedure. </w:t>
      </w:r>
      <w:r>
        <w:rPr>
          <w:rFonts w:cs="Arial"/>
          <w:sz w:val="22"/>
          <w:szCs w:val="22"/>
        </w:rPr>
        <w:t xml:space="preserve"> Nevertheless, reviewers judged the quality of recording in the case notes as reasonable (over 4 on a score of 1-6) although some notable poor exceptions were commented on in the textual reviews.</w:t>
      </w:r>
    </w:p>
    <w:p w14:paraId="314D593E" w14:textId="77777777" w:rsidR="000923BB" w:rsidRPr="007A70C1" w:rsidRDefault="000923BB" w:rsidP="000923BB">
      <w:pPr>
        <w:jc w:val="both"/>
        <w:rPr>
          <w:rFonts w:cs="Arial"/>
          <w:sz w:val="22"/>
          <w:szCs w:val="22"/>
        </w:rPr>
      </w:pPr>
    </w:p>
    <w:p w14:paraId="7F655CBC" w14:textId="77777777" w:rsidR="000923BB" w:rsidRDefault="000923BB" w:rsidP="000923BB">
      <w:pPr>
        <w:jc w:val="both"/>
        <w:rPr>
          <w:rFonts w:cs="Arial"/>
          <w:sz w:val="22"/>
          <w:szCs w:val="22"/>
        </w:rPr>
      </w:pPr>
      <w:r>
        <w:rPr>
          <w:rFonts w:cs="Arial"/>
          <w:sz w:val="22"/>
          <w:szCs w:val="22"/>
        </w:rPr>
        <w:lastRenderedPageBreak/>
        <w:t>The levels of inter-rater reliability for criterion based review ranged from moderate (0.61 for non-clinical audit staff) to quite high (clinical staff 0.74, doctors 0.88) and are similar to those found in the large UK national clinical audit programmes of stroke care[24]</w:t>
      </w:r>
      <w:r w:rsidRPr="009069CA">
        <w:rPr>
          <w:rFonts w:cs="Arial"/>
          <w:sz w:val="22"/>
          <w:szCs w:val="22"/>
        </w:rPr>
        <w:t>[</w:t>
      </w:r>
      <w:r>
        <w:rPr>
          <w:rFonts w:cs="Arial"/>
          <w:sz w:val="22"/>
          <w:szCs w:val="22"/>
        </w:rPr>
        <w:t>25] and continence care.[42]  All three staff types performed equally well at capturing criterion based data from records, despite differences in their backgrounds, again confirming the findings of UK stroke care audit.[24</w:t>
      </w:r>
      <w:r w:rsidRPr="009069CA">
        <w:rPr>
          <w:rFonts w:cs="Arial"/>
          <w:sz w:val="22"/>
          <w:szCs w:val="22"/>
        </w:rPr>
        <w:t>][2</w:t>
      </w:r>
      <w:r>
        <w:rPr>
          <w:rFonts w:cs="Arial"/>
          <w:sz w:val="22"/>
          <w:szCs w:val="22"/>
        </w:rPr>
        <w:t xml:space="preserve">5]  It is unsurprising that criterion based review has higher levels of inter-rater reliability than holistic review since the criteria are pre-determined, directly evidence based, have been subject to peer review and are explicit rather than implicit.  Under these circumstances an ICC of less than 0.75 might be deemed unsatisfactory and any large study using explicit criteria might best train reviewers with this target in mind.  </w:t>
      </w:r>
    </w:p>
    <w:p w14:paraId="6EA3A7DB" w14:textId="77777777" w:rsidR="000923BB" w:rsidRDefault="000923BB" w:rsidP="000923BB">
      <w:pPr>
        <w:jc w:val="both"/>
        <w:rPr>
          <w:rFonts w:cs="Arial"/>
          <w:sz w:val="22"/>
          <w:szCs w:val="22"/>
        </w:rPr>
      </w:pPr>
    </w:p>
    <w:p w14:paraId="176B7DAA" w14:textId="77777777" w:rsidR="000923BB" w:rsidRDefault="000923BB" w:rsidP="000923BB">
      <w:pPr>
        <w:jc w:val="both"/>
        <w:rPr>
          <w:rFonts w:cs="Arial"/>
          <w:sz w:val="22"/>
          <w:szCs w:val="22"/>
        </w:rPr>
      </w:pPr>
      <w:r>
        <w:rPr>
          <w:rFonts w:cs="Arial"/>
          <w:sz w:val="22"/>
          <w:szCs w:val="22"/>
        </w:rPr>
        <w:t xml:space="preserve">Criterion based review demonstrated that the reviewers from all three groups could identify relevant data where it existed (the effectiveness of reviewer scores were around a mean of 95%) and that in general sufficient case note data were available from which to assess quality of care using the review criteria.  The quality of care scores for both criterion based review and from holistic review using overall scale scores were </w:t>
      </w:r>
      <w:r>
        <w:rPr>
          <w:rFonts w:cs="Arial"/>
          <w:color w:val="000000"/>
          <w:sz w:val="22"/>
          <w:szCs w:val="22"/>
        </w:rPr>
        <w:t>similarly rated by the three staff types at between 70% and 79% (Table 10), where 100% represents excellent care.</w:t>
      </w:r>
    </w:p>
    <w:p w14:paraId="11C0950A" w14:textId="77777777" w:rsidR="000923BB" w:rsidRDefault="000923BB" w:rsidP="000923BB">
      <w:pPr>
        <w:jc w:val="both"/>
        <w:rPr>
          <w:rFonts w:cs="Arial"/>
          <w:sz w:val="22"/>
          <w:szCs w:val="22"/>
        </w:rPr>
      </w:pPr>
    </w:p>
    <w:p w14:paraId="24224F8A" w14:textId="77777777" w:rsidR="000923BB" w:rsidRDefault="000923BB" w:rsidP="000923BB">
      <w:pPr>
        <w:jc w:val="both"/>
        <w:rPr>
          <w:rFonts w:cs="Arial"/>
          <w:iCs/>
          <w:color w:val="000000"/>
          <w:sz w:val="22"/>
          <w:szCs w:val="22"/>
        </w:rPr>
      </w:pPr>
      <w:r>
        <w:rPr>
          <w:rFonts w:cs="Arial"/>
          <w:iCs/>
          <w:color w:val="000000"/>
          <w:sz w:val="22"/>
          <w:szCs w:val="22"/>
        </w:rPr>
        <w:t>We found that in the hands of medically trained and of non-clinical audit reviewers, although not for the nurse and other clinical group, there was a significant level of agreement between the results of holistic and criterion based review, suggesting that the two methods are measuring related elements of quality. This may have important implications for the choice of review method when evaluating the quality of care from case notes.   Criterion based review methods may give sufficient information on which to judge the overall quality of care, performing as a screening tool for large clinical audit studies, provided that the appropriate review criteria are chosen.  On the other hand, a structured form of holistic review such as described here can, in the right hands, also give a reliable picture of the quality of care and pick up the nuances of quality variation that criterion based review is unable to provide.</w:t>
      </w:r>
    </w:p>
    <w:p w14:paraId="53522FBB" w14:textId="77777777" w:rsidR="000923BB" w:rsidRDefault="000923BB" w:rsidP="000923BB">
      <w:pPr>
        <w:jc w:val="both"/>
        <w:rPr>
          <w:rFonts w:cs="Arial"/>
          <w:iCs/>
          <w:color w:val="000000"/>
          <w:sz w:val="22"/>
          <w:szCs w:val="22"/>
        </w:rPr>
      </w:pPr>
    </w:p>
    <w:p w14:paraId="12FE0788" w14:textId="77777777" w:rsidR="000923BB" w:rsidRDefault="000923BB" w:rsidP="000923BB">
      <w:pPr>
        <w:jc w:val="both"/>
        <w:rPr>
          <w:rFonts w:cs="Arial"/>
          <w:iCs/>
          <w:color w:val="000000"/>
          <w:sz w:val="22"/>
          <w:szCs w:val="22"/>
        </w:rPr>
      </w:pPr>
      <w:r w:rsidRPr="00F04274">
        <w:rPr>
          <w:rFonts w:cs="Arial"/>
          <w:i/>
          <w:iCs/>
          <w:color w:val="000000"/>
          <w:sz w:val="22"/>
          <w:szCs w:val="22"/>
        </w:rPr>
        <w:t>What additional contribution does holistic textual data make to the assessment of quality of care?</w:t>
      </w:r>
      <w:r>
        <w:rPr>
          <w:rFonts w:cs="Arial"/>
          <w:iCs/>
          <w:color w:val="000000"/>
          <w:sz w:val="22"/>
          <w:szCs w:val="22"/>
        </w:rPr>
        <w:t xml:space="preserve">  </w:t>
      </w:r>
    </w:p>
    <w:p w14:paraId="3673A3C7" w14:textId="77777777" w:rsidR="000923BB" w:rsidRDefault="000923BB" w:rsidP="000923BB">
      <w:pPr>
        <w:jc w:val="both"/>
        <w:rPr>
          <w:rFonts w:cs="Arial"/>
          <w:iCs/>
          <w:color w:val="000000"/>
          <w:sz w:val="22"/>
          <w:szCs w:val="22"/>
        </w:rPr>
      </w:pPr>
    </w:p>
    <w:p w14:paraId="0D5EEC0D" w14:textId="77777777" w:rsidR="000923BB" w:rsidRDefault="000923BB" w:rsidP="000923BB">
      <w:pPr>
        <w:jc w:val="both"/>
        <w:rPr>
          <w:rFonts w:cs="Arial"/>
          <w:iCs/>
          <w:color w:val="000000"/>
          <w:sz w:val="22"/>
          <w:szCs w:val="22"/>
        </w:rPr>
      </w:pPr>
      <w:r>
        <w:rPr>
          <w:rFonts w:cs="Arial"/>
          <w:iCs/>
          <w:color w:val="000000"/>
          <w:sz w:val="22"/>
          <w:szCs w:val="22"/>
        </w:rPr>
        <w:t xml:space="preserve">Although there was some overlap between the results from the three professional groups, across the spectrum from descriptive statements to judgements some distinctive patterns also emerged (Tables 11 &amp; 12, Boxes 5 &amp; 6).  It is not surprising that in general the reviewers without any clinical training tended to provide mainly descriptions of care process and only relatively rarely offered judgements on quality.  The nursing group offered some judgements, especially about process or care issues, and in general were more concerned about the nursing process and the care plan </w:t>
      </w:r>
      <w:r>
        <w:rPr>
          <w:rFonts w:cs="Arial"/>
          <w:iCs/>
          <w:color w:val="000000"/>
          <w:sz w:val="22"/>
          <w:szCs w:val="22"/>
        </w:rPr>
        <w:lastRenderedPageBreak/>
        <w:t xml:space="preserve">than about the interventions offered to the patient.  The doctors, on the other hand, were in general more concerned with assessing the quality and safety of the therapies and strategies for dealing with the acute illness rather than about the overall care plan. </w:t>
      </w:r>
    </w:p>
    <w:p w14:paraId="0D9271A3" w14:textId="77777777" w:rsidR="000923BB" w:rsidRDefault="000923BB" w:rsidP="000923BB">
      <w:pPr>
        <w:jc w:val="both"/>
        <w:rPr>
          <w:rFonts w:cs="Arial"/>
          <w:iCs/>
          <w:color w:val="000000"/>
          <w:sz w:val="22"/>
          <w:szCs w:val="22"/>
        </w:rPr>
      </w:pPr>
      <w:r>
        <w:rPr>
          <w:rFonts w:cs="Arial"/>
          <w:iCs/>
          <w:color w:val="000000"/>
          <w:sz w:val="22"/>
          <w:szCs w:val="22"/>
        </w:rPr>
        <w:t xml:space="preserve"> </w:t>
      </w:r>
    </w:p>
    <w:p w14:paraId="461E358F" w14:textId="77777777" w:rsidR="000923BB" w:rsidRDefault="000923BB" w:rsidP="000923BB">
      <w:pPr>
        <w:jc w:val="both"/>
        <w:rPr>
          <w:rFonts w:cs="Arial"/>
          <w:iCs/>
          <w:color w:val="000000"/>
          <w:sz w:val="22"/>
          <w:szCs w:val="22"/>
        </w:rPr>
      </w:pPr>
      <w:r>
        <w:rPr>
          <w:rFonts w:cs="Arial"/>
          <w:sz w:val="22"/>
          <w:szCs w:val="22"/>
        </w:rPr>
        <w:t>N</w:t>
      </w:r>
      <w:r w:rsidRPr="00ED6A6B">
        <w:rPr>
          <w:rFonts w:cs="Arial"/>
          <w:sz w:val="22"/>
          <w:szCs w:val="22"/>
        </w:rPr>
        <w:t xml:space="preserve">urses tend to be close to the hospital medical care process because of frequent contacts with the patient </w:t>
      </w:r>
      <w:r>
        <w:rPr>
          <w:rFonts w:cs="Arial"/>
          <w:sz w:val="22"/>
          <w:szCs w:val="22"/>
        </w:rPr>
        <w:t>so it might have been expected that the results from the nursing/clinical staff reviewers might have been close to those of the medical reviewers.  B</w:t>
      </w:r>
      <w:r w:rsidRPr="00ED6A6B">
        <w:rPr>
          <w:rFonts w:cs="Arial"/>
          <w:sz w:val="22"/>
          <w:szCs w:val="22"/>
        </w:rPr>
        <w:t xml:space="preserve">ut the limited agreement between the doctors and the nurses may </w:t>
      </w:r>
      <w:r>
        <w:rPr>
          <w:rFonts w:cs="Arial"/>
          <w:sz w:val="22"/>
          <w:szCs w:val="22"/>
        </w:rPr>
        <w:t xml:space="preserve">also </w:t>
      </w:r>
      <w:r w:rsidRPr="00ED6A6B">
        <w:rPr>
          <w:rFonts w:cs="Arial"/>
          <w:sz w:val="22"/>
          <w:szCs w:val="22"/>
        </w:rPr>
        <w:t xml:space="preserve">reflect different internal professional standards for assessing quality and safety of care when reviewing a record.  Weingart and colleagues[6] conjectured that nurses and doctors reviewed in different ways, that nurses sought data on the routines of care while doctors looked for a wider picture and that, in general, neither group considered both dimensions.  Analysis of the textual data tends to support the notion that the doctors and nurses in this study commented on different aspects of care when assessing quality.  Judgements by the nurses tended to be implicit rather than explicit and they tended towards reviews of nursing process of care.  </w:t>
      </w:r>
      <w:r>
        <w:rPr>
          <w:rFonts w:cs="Arial"/>
          <w:sz w:val="22"/>
          <w:szCs w:val="22"/>
        </w:rPr>
        <w:t>Our doctors were the group who tended to mention outcomes or impact on future care, more so than the other groups, on the whole</w:t>
      </w:r>
      <w:r w:rsidRPr="00ED6A6B">
        <w:rPr>
          <w:rFonts w:cs="Arial"/>
          <w:sz w:val="22"/>
          <w:szCs w:val="22"/>
        </w:rPr>
        <w:t xml:space="preserve"> us</w:t>
      </w:r>
      <w:r>
        <w:rPr>
          <w:rFonts w:cs="Arial"/>
          <w:sz w:val="22"/>
          <w:szCs w:val="22"/>
        </w:rPr>
        <w:t>ing</w:t>
      </w:r>
      <w:r w:rsidRPr="00ED6A6B">
        <w:rPr>
          <w:rFonts w:cs="Arial"/>
          <w:sz w:val="22"/>
          <w:szCs w:val="22"/>
        </w:rPr>
        <w:t xml:space="preserve"> explicit statements</w:t>
      </w:r>
      <w:r>
        <w:rPr>
          <w:rFonts w:cs="Arial"/>
          <w:sz w:val="22"/>
          <w:szCs w:val="22"/>
        </w:rPr>
        <w:t>.  Some</w:t>
      </w:r>
      <w:r w:rsidRPr="00ED6A6B">
        <w:rPr>
          <w:rFonts w:cs="Arial"/>
          <w:sz w:val="22"/>
          <w:szCs w:val="22"/>
        </w:rPr>
        <w:t xml:space="preserve"> were willing to justify why they thought care was good or unsatisfactory.  </w:t>
      </w:r>
      <w:r w:rsidRPr="00ED6A6B">
        <w:rPr>
          <w:rFonts w:cs="Arial"/>
          <w:iCs/>
          <w:color w:val="000000"/>
          <w:sz w:val="22"/>
          <w:szCs w:val="22"/>
        </w:rPr>
        <w:t>Our results suggest that the hypot</w:t>
      </w:r>
      <w:r>
        <w:rPr>
          <w:rFonts w:cs="Arial"/>
          <w:iCs/>
          <w:color w:val="000000"/>
          <w:sz w:val="22"/>
          <w:szCs w:val="22"/>
        </w:rPr>
        <w:t>hesis posited by Weingart et al</w:t>
      </w:r>
      <w:r w:rsidRPr="00ED6A6B">
        <w:rPr>
          <w:rFonts w:cs="Arial"/>
          <w:iCs/>
          <w:color w:val="000000"/>
          <w:sz w:val="22"/>
          <w:szCs w:val="22"/>
        </w:rPr>
        <w:t xml:space="preserve">[6] may have some validity – in reviewing quality of care nurses </w:t>
      </w:r>
      <w:r>
        <w:rPr>
          <w:rFonts w:cs="Arial"/>
          <w:iCs/>
          <w:color w:val="000000"/>
          <w:sz w:val="22"/>
          <w:szCs w:val="22"/>
        </w:rPr>
        <w:t>tend to</w:t>
      </w:r>
      <w:r w:rsidRPr="00ED6A6B">
        <w:rPr>
          <w:rFonts w:cs="Arial"/>
          <w:iCs/>
          <w:color w:val="000000"/>
          <w:sz w:val="22"/>
          <w:szCs w:val="22"/>
        </w:rPr>
        <w:t xml:space="preserve"> concern themselves </w:t>
      </w:r>
      <w:r>
        <w:rPr>
          <w:rFonts w:cs="Arial"/>
          <w:iCs/>
          <w:color w:val="000000"/>
          <w:sz w:val="22"/>
          <w:szCs w:val="22"/>
        </w:rPr>
        <w:t>with</w:t>
      </w:r>
      <w:r w:rsidRPr="00ED6A6B">
        <w:rPr>
          <w:rFonts w:cs="Arial"/>
          <w:iCs/>
          <w:color w:val="000000"/>
          <w:sz w:val="22"/>
          <w:szCs w:val="22"/>
        </w:rPr>
        <w:t xml:space="preserve"> care processes</w:t>
      </w:r>
      <w:r>
        <w:rPr>
          <w:rFonts w:cs="Arial"/>
          <w:iCs/>
          <w:color w:val="000000"/>
          <w:sz w:val="22"/>
          <w:szCs w:val="22"/>
        </w:rPr>
        <w:t xml:space="preserve"> and pathways</w:t>
      </w:r>
      <w:r w:rsidRPr="00ED6A6B">
        <w:rPr>
          <w:rFonts w:cs="Arial"/>
          <w:iCs/>
          <w:color w:val="000000"/>
          <w:sz w:val="22"/>
          <w:szCs w:val="22"/>
        </w:rPr>
        <w:t xml:space="preserve"> while doctors tend to be concerned with diagnosis and interventions.  Each professional type may therefore </w:t>
      </w:r>
      <w:r>
        <w:rPr>
          <w:rFonts w:cs="Arial"/>
          <w:iCs/>
          <w:color w:val="000000"/>
          <w:sz w:val="22"/>
          <w:szCs w:val="22"/>
        </w:rPr>
        <w:t>identify</w:t>
      </w:r>
      <w:r w:rsidRPr="00ED6A6B">
        <w:rPr>
          <w:rFonts w:cs="Arial"/>
          <w:iCs/>
          <w:color w:val="000000"/>
          <w:sz w:val="22"/>
          <w:szCs w:val="22"/>
        </w:rPr>
        <w:t xml:space="preserve"> nuances of care that the other does not.  </w:t>
      </w:r>
    </w:p>
    <w:p w14:paraId="0FF98366" w14:textId="77777777" w:rsidR="000923BB" w:rsidRDefault="000923BB" w:rsidP="000923BB">
      <w:pPr>
        <w:jc w:val="both"/>
        <w:rPr>
          <w:rFonts w:cs="Arial"/>
          <w:iCs/>
          <w:color w:val="000000"/>
          <w:sz w:val="22"/>
          <w:szCs w:val="22"/>
        </w:rPr>
      </w:pPr>
    </w:p>
    <w:p w14:paraId="7232885D" w14:textId="77777777" w:rsidR="000923BB" w:rsidRDefault="000923BB" w:rsidP="000923BB">
      <w:pPr>
        <w:jc w:val="both"/>
        <w:rPr>
          <w:rFonts w:cs="Arial"/>
          <w:sz w:val="22"/>
          <w:szCs w:val="22"/>
        </w:rPr>
      </w:pPr>
      <w:r w:rsidRPr="00ED6A6B">
        <w:rPr>
          <w:rFonts w:cs="Arial"/>
          <w:iCs/>
          <w:color w:val="000000"/>
          <w:sz w:val="22"/>
          <w:szCs w:val="22"/>
        </w:rPr>
        <w:t xml:space="preserve">Mean review times for both methods were quite similar for the doctor and nurse reviewers and the costs for the doctor group were consequently higher for each review. </w:t>
      </w:r>
      <w:r w:rsidRPr="00ED6A6B">
        <w:rPr>
          <w:rFonts w:cs="Arial"/>
          <w:sz w:val="22"/>
          <w:szCs w:val="22"/>
        </w:rPr>
        <w:t>The cost differences between the nurse reviewers and the doctor reviewers were rather less for holistic review than for criterion based review.</w:t>
      </w:r>
      <w:r>
        <w:rPr>
          <w:rFonts w:cs="Arial"/>
          <w:sz w:val="22"/>
          <w:szCs w:val="22"/>
        </w:rPr>
        <w:t xml:space="preserve">  So the decision on which reviewer type to use for a review process will principally depend on which type of information is required from the review, though with an eye to the cost differentials.  Because the cost of analysis of the textual data is high and requires specialist skills, and because there is some evidence from the relationship between criterion review and holistic scale score data, it is likely that any large scale study using holistic review would use scale scores to judge quality of care, rather than a full textual data analysis.  On the other hand, for smaller scale, more detailed studies, analysis of textual commentary on quality of care provides a very rich data set on which to judge quality and safety. </w:t>
      </w:r>
    </w:p>
    <w:p w14:paraId="17A64D5A" w14:textId="77777777" w:rsidR="000923BB" w:rsidRDefault="000923BB" w:rsidP="000923BB">
      <w:pPr>
        <w:jc w:val="both"/>
        <w:rPr>
          <w:rFonts w:cs="Arial"/>
          <w:sz w:val="22"/>
          <w:szCs w:val="22"/>
        </w:rPr>
      </w:pPr>
    </w:p>
    <w:p w14:paraId="61F22905" w14:textId="77777777" w:rsidR="000923BB" w:rsidRDefault="000923BB" w:rsidP="000923BB">
      <w:pPr>
        <w:jc w:val="both"/>
        <w:rPr>
          <w:rFonts w:cs="Arial"/>
          <w:sz w:val="22"/>
          <w:szCs w:val="22"/>
        </w:rPr>
      </w:pPr>
      <w:r w:rsidRPr="00F124B0">
        <w:rPr>
          <w:rFonts w:cs="Arial"/>
          <w:bCs/>
          <w:iCs/>
          <w:color w:val="000000"/>
          <w:sz w:val="22"/>
          <w:szCs w:val="22"/>
        </w:rPr>
        <w:t xml:space="preserve">Examination </w:t>
      </w:r>
      <w:r w:rsidRPr="00F124B0">
        <w:rPr>
          <w:rFonts w:cs="Arial"/>
          <w:iCs/>
          <w:color w:val="000000"/>
          <w:sz w:val="22"/>
          <w:szCs w:val="22"/>
        </w:rPr>
        <w:t>of the more than 100 reviews of cases judged to be unsatisfactory shows very few defined adverse events, the commonest of these being decisions to give the wrong drug.</w:t>
      </w:r>
      <w:r>
        <w:rPr>
          <w:rFonts w:cs="Arial"/>
          <w:iCs/>
          <w:color w:val="000000"/>
          <w:sz w:val="22"/>
          <w:szCs w:val="22"/>
        </w:rPr>
        <w:t>[43]</w:t>
      </w:r>
      <w:r w:rsidRPr="00F124B0">
        <w:rPr>
          <w:rFonts w:cs="Arial"/>
          <w:iCs/>
          <w:color w:val="000000"/>
          <w:sz w:val="22"/>
          <w:szCs w:val="22"/>
        </w:rPr>
        <w:t xml:space="preserve">  Other, fewer, more serious events include missed or erroneous diagnoses.  Much more commonly in the reviews there appear unsatisfactory aspects </w:t>
      </w:r>
      <w:r w:rsidRPr="00F124B0">
        <w:rPr>
          <w:rFonts w:cs="Arial"/>
          <w:iCs/>
          <w:color w:val="000000"/>
          <w:sz w:val="22"/>
          <w:szCs w:val="22"/>
        </w:rPr>
        <w:lastRenderedPageBreak/>
        <w:t xml:space="preserve">of care which may run as a thread throughout the hospital admission. What might be regarded individually as ‘minor shortcomings’ on their own become fused together to create an ‘event’.  These shortcomings do not always translate across all of the phases of care.  Sometimes, for example when care is handed over from one team to another, missed diagnoses or inappropriate or sub-optimal treatment (for example not following evidence based practice) is seen to be recovered by the receiving team and overall care is judged satisfactory.  </w:t>
      </w:r>
      <w:r w:rsidRPr="00F124B0">
        <w:rPr>
          <w:rFonts w:cs="Arial"/>
          <w:bCs/>
          <w:iCs/>
          <w:color w:val="000000"/>
          <w:sz w:val="22"/>
          <w:szCs w:val="22"/>
        </w:rPr>
        <w:t>From our study we have been able to show that adverse events are at least as likely to be non-discrete constellations of sub-optimal components of care that</w:t>
      </w:r>
      <w:r>
        <w:rPr>
          <w:rFonts w:cs="Arial"/>
          <w:bCs/>
          <w:iCs/>
          <w:color w:val="000000"/>
          <w:sz w:val="22"/>
          <w:szCs w:val="22"/>
        </w:rPr>
        <w:t>,</w:t>
      </w:r>
      <w:r w:rsidRPr="00F124B0">
        <w:rPr>
          <w:rFonts w:cs="Arial"/>
          <w:bCs/>
          <w:iCs/>
          <w:color w:val="000000"/>
          <w:sz w:val="22"/>
          <w:szCs w:val="22"/>
        </w:rPr>
        <w:t xml:space="preserve"> taken together</w:t>
      </w:r>
      <w:r>
        <w:rPr>
          <w:rFonts w:cs="Arial"/>
          <w:bCs/>
          <w:iCs/>
          <w:color w:val="000000"/>
          <w:sz w:val="22"/>
          <w:szCs w:val="22"/>
        </w:rPr>
        <w:t>,</w:t>
      </w:r>
      <w:r w:rsidRPr="00F124B0">
        <w:rPr>
          <w:rFonts w:cs="Arial"/>
          <w:bCs/>
          <w:iCs/>
          <w:color w:val="000000"/>
          <w:sz w:val="22"/>
          <w:szCs w:val="22"/>
        </w:rPr>
        <w:t xml:space="preserve"> put the patient at risk.  </w:t>
      </w:r>
      <w:r>
        <w:rPr>
          <w:rFonts w:cs="Arial"/>
          <w:bCs/>
          <w:iCs/>
          <w:color w:val="000000"/>
          <w:sz w:val="22"/>
          <w:szCs w:val="22"/>
        </w:rPr>
        <w:t xml:space="preserve"> Not withstanding the additional costs, narrative descriptions of care through holistic analysis can considerably enhance understanding of healthcare quality and may be of particular value in locally based clinical audit.</w:t>
      </w:r>
    </w:p>
    <w:p w14:paraId="221C8EEB" w14:textId="77777777" w:rsidR="000923BB" w:rsidRDefault="000923BB" w:rsidP="000923BB">
      <w:pPr>
        <w:jc w:val="both"/>
        <w:rPr>
          <w:rFonts w:cs="Arial"/>
          <w:i/>
          <w:sz w:val="22"/>
          <w:szCs w:val="22"/>
        </w:rPr>
      </w:pPr>
    </w:p>
    <w:p w14:paraId="3CA388A4" w14:textId="77777777" w:rsidR="000923BB" w:rsidRDefault="000923BB" w:rsidP="000923BB">
      <w:pPr>
        <w:jc w:val="both"/>
        <w:rPr>
          <w:rFonts w:cs="Arial"/>
          <w:sz w:val="22"/>
          <w:szCs w:val="22"/>
        </w:rPr>
      </w:pPr>
      <w:r w:rsidRPr="009E1BCC">
        <w:rPr>
          <w:rFonts w:cs="Arial"/>
          <w:i/>
          <w:sz w:val="22"/>
          <w:szCs w:val="22"/>
        </w:rPr>
        <w:t>What is the relationship between mortality</w:t>
      </w:r>
      <w:r>
        <w:rPr>
          <w:rFonts w:cs="Arial"/>
          <w:i/>
          <w:sz w:val="22"/>
          <w:szCs w:val="22"/>
        </w:rPr>
        <w:t xml:space="preserve"> (</w:t>
      </w:r>
      <w:r w:rsidRPr="009E1BCC">
        <w:rPr>
          <w:rFonts w:cs="Arial"/>
          <w:i/>
          <w:sz w:val="22"/>
          <w:szCs w:val="22"/>
        </w:rPr>
        <w:t>outcomes</w:t>
      </w:r>
      <w:r>
        <w:rPr>
          <w:rFonts w:cs="Arial"/>
          <w:i/>
          <w:sz w:val="22"/>
          <w:szCs w:val="22"/>
        </w:rPr>
        <w:t>)</w:t>
      </w:r>
      <w:r w:rsidRPr="009E1BCC">
        <w:rPr>
          <w:rFonts w:cs="Arial"/>
          <w:i/>
          <w:sz w:val="22"/>
          <w:szCs w:val="22"/>
        </w:rPr>
        <w:t xml:space="preserve"> and quality of care scores for the study hospitals?</w:t>
      </w:r>
      <w:r>
        <w:rPr>
          <w:rFonts w:cs="Arial"/>
          <w:sz w:val="22"/>
          <w:szCs w:val="22"/>
        </w:rPr>
        <w:t xml:space="preserve">  </w:t>
      </w:r>
    </w:p>
    <w:p w14:paraId="68BDC90D" w14:textId="77777777" w:rsidR="000923BB" w:rsidRDefault="000923BB" w:rsidP="000923BB">
      <w:pPr>
        <w:jc w:val="both"/>
        <w:rPr>
          <w:rFonts w:cs="Arial"/>
          <w:sz w:val="22"/>
          <w:szCs w:val="22"/>
        </w:rPr>
      </w:pPr>
    </w:p>
    <w:p w14:paraId="53D6F0E1" w14:textId="77777777" w:rsidR="000923BB" w:rsidRDefault="000923BB" w:rsidP="000923BB">
      <w:pPr>
        <w:jc w:val="both"/>
        <w:rPr>
          <w:rFonts w:cs="Arial"/>
          <w:sz w:val="22"/>
          <w:szCs w:val="22"/>
        </w:rPr>
      </w:pPr>
      <w:r>
        <w:rPr>
          <w:rFonts w:cs="Arial"/>
          <w:sz w:val="22"/>
          <w:szCs w:val="22"/>
        </w:rPr>
        <w:t>In a systematic review of the relationship between quality and outcomes of care (risk-adjusted mortality) in hospitals or hospital units, Pitches and colleagues[38] found an uncertain relationship emerging from a heterogeneous group of 36 studies, including 51 quality and outcome relationships.  About half of the studies demonstrated a link between better quality of care and the lower risk hospitals, about a quarter of studies showed a negative association and the remainder were equivocal.</w:t>
      </w:r>
    </w:p>
    <w:p w14:paraId="77E3DCEC" w14:textId="77777777" w:rsidR="000923BB" w:rsidRDefault="000923BB" w:rsidP="000923BB">
      <w:pPr>
        <w:jc w:val="both"/>
        <w:rPr>
          <w:rFonts w:cs="Arial"/>
          <w:sz w:val="22"/>
          <w:szCs w:val="22"/>
        </w:rPr>
      </w:pPr>
    </w:p>
    <w:p w14:paraId="7B9F4D3B" w14:textId="77777777" w:rsidR="000923BB" w:rsidRDefault="000923BB" w:rsidP="000923BB">
      <w:pPr>
        <w:jc w:val="both"/>
        <w:rPr>
          <w:rFonts w:cs="Arial"/>
          <w:sz w:val="22"/>
          <w:szCs w:val="22"/>
        </w:rPr>
      </w:pPr>
      <w:r w:rsidRPr="003C516C">
        <w:rPr>
          <w:rFonts w:cs="Arial"/>
          <w:sz w:val="22"/>
          <w:szCs w:val="22"/>
        </w:rPr>
        <w:t xml:space="preserve">Our study also found </w:t>
      </w:r>
      <w:r>
        <w:rPr>
          <w:rFonts w:cs="Arial"/>
          <w:sz w:val="22"/>
          <w:szCs w:val="22"/>
        </w:rPr>
        <w:t xml:space="preserve">some </w:t>
      </w:r>
      <w:r w:rsidRPr="003C516C">
        <w:rPr>
          <w:rFonts w:cs="Arial"/>
          <w:sz w:val="22"/>
          <w:szCs w:val="22"/>
        </w:rPr>
        <w:t xml:space="preserve">mixed results (Table 15 and 16 and Figures 8 - 11).  Across all staff types, for holistic review of cases of COPD, there was a </w:t>
      </w:r>
      <w:r>
        <w:rPr>
          <w:rFonts w:cs="Arial"/>
          <w:sz w:val="22"/>
          <w:szCs w:val="22"/>
        </w:rPr>
        <w:t>trend for a</w:t>
      </w:r>
      <w:r w:rsidRPr="003C516C">
        <w:rPr>
          <w:rFonts w:cs="Arial"/>
          <w:sz w:val="22"/>
          <w:szCs w:val="22"/>
        </w:rPr>
        <w:t xml:space="preserve"> positive relationship between higher overall quality of care scores and a lower mortality ranking</w:t>
      </w:r>
      <w:r>
        <w:rPr>
          <w:rFonts w:cs="Arial"/>
          <w:sz w:val="22"/>
          <w:szCs w:val="22"/>
        </w:rPr>
        <w:t>, with one significant difference scored by the physician reviewers</w:t>
      </w:r>
      <w:r w:rsidRPr="003C516C">
        <w:rPr>
          <w:rFonts w:cs="Arial"/>
          <w:sz w:val="22"/>
          <w:szCs w:val="22"/>
        </w:rPr>
        <w:t xml:space="preserve">. For heart failure </w:t>
      </w:r>
      <w:r>
        <w:rPr>
          <w:rFonts w:cs="Arial"/>
          <w:sz w:val="22"/>
          <w:szCs w:val="22"/>
        </w:rPr>
        <w:t>quality of care there was a trend towards higher scores in higher mortality hospitals, although the mean score differences were small</w:t>
      </w:r>
      <w:r w:rsidRPr="003C516C">
        <w:rPr>
          <w:rFonts w:cs="Arial"/>
          <w:sz w:val="22"/>
          <w:szCs w:val="22"/>
        </w:rPr>
        <w:t xml:space="preserve">.  For the criterion based review </w:t>
      </w:r>
      <w:r>
        <w:rPr>
          <w:rFonts w:cs="Arial"/>
          <w:sz w:val="22"/>
          <w:szCs w:val="22"/>
        </w:rPr>
        <w:t xml:space="preserve">there was a general trend towards higher quality scores for lower mortality hospitals, for both conditions </w:t>
      </w:r>
      <w:r w:rsidRPr="003C516C">
        <w:rPr>
          <w:rFonts w:cs="Arial"/>
          <w:sz w:val="22"/>
          <w:szCs w:val="22"/>
        </w:rPr>
        <w:t>it was only the results from the nurse/clinical reviewers for COPD, and only the physician reviewers for heart failure</w:t>
      </w:r>
      <w:r>
        <w:rPr>
          <w:rFonts w:cs="Arial"/>
          <w:sz w:val="22"/>
          <w:szCs w:val="22"/>
        </w:rPr>
        <w:t xml:space="preserve"> </w:t>
      </w:r>
      <w:r w:rsidRPr="003C516C">
        <w:rPr>
          <w:rFonts w:cs="Arial"/>
          <w:sz w:val="22"/>
          <w:szCs w:val="22"/>
        </w:rPr>
        <w:t>that showed a positive association with lower mortality.</w:t>
      </w:r>
    </w:p>
    <w:p w14:paraId="2962C83F" w14:textId="77777777" w:rsidR="000923BB" w:rsidRDefault="000923BB" w:rsidP="000923BB">
      <w:pPr>
        <w:jc w:val="both"/>
        <w:rPr>
          <w:rFonts w:cs="Arial"/>
          <w:sz w:val="22"/>
          <w:szCs w:val="22"/>
        </w:rPr>
      </w:pPr>
    </w:p>
    <w:p w14:paraId="4DA8DD72" w14:textId="77777777" w:rsidR="000923BB" w:rsidRDefault="000923BB" w:rsidP="000923BB">
      <w:pPr>
        <w:jc w:val="both"/>
        <w:rPr>
          <w:rFonts w:cs="Arial"/>
          <w:sz w:val="22"/>
          <w:szCs w:val="22"/>
        </w:rPr>
      </w:pPr>
      <w:r>
        <w:rPr>
          <w:rFonts w:cs="Arial"/>
          <w:sz w:val="22"/>
          <w:szCs w:val="22"/>
        </w:rPr>
        <w:t xml:space="preserve">It is likely that these associations are influenced by review method and staff type as well as by the method of risk adjustment and the actual quality of care provided and recorded.  It could be argued that the differences between hospitals that might be found using criterion based review would be (and were) relatively limited because of the very structured nature of the criteria.  So review criteria might be less useful in assessing differences between hospital units than the more broadly based holistic method.  In contrast, triangulation of the holistic review intra-rater consistency, inter-rater reliability and qualitative analysis results suggests that the doctor reviewers on </w:t>
      </w:r>
      <w:r>
        <w:rPr>
          <w:rFonts w:cs="Arial"/>
          <w:sz w:val="22"/>
          <w:szCs w:val="22"/>
        </w:rPr>
        <w:lastRenderedPageBreak/>
        <w:t xml:space="preserve">the whole produce information that does allow judgements about quality of care and that for both COPD and for heart failure there is a significant positive relationship between their overall holistic scale scores and mortality ranking of the hospitals– suggesting that for these two conditions better quality is found in hospitals with lower mortality.     </w:t>
      </w:r>
    </w:p>
    <w:p w14:paraId="62443FF8" w14:textId="77777777" w:rsidR="000923BB" w:rsidRDefault="000923BB" w:rsidP="000923BB">
      <w:pPr>
        <w:jc w:val="both"/>
        <w:rPr>
          <w:rFonts w:cs="Arial"/>
          <w:sz w:val="22"/>
          <w:szCs w:val="22"/>
        </w:rPr>
      </w:pPr>
    </w:p>
    <w:p w14:paraId="6F56F9F6" w14:textId="77777777" w:rsidR="000923BB" w:rsidRDefault="000923BB" w:rsidP="000923BB">
      <w:pPr>
        <w:jc w:val="both"/>
        <w:rPr>
          <w:rFonts w:cs="Arial"/>
          <w:sz w:val="22"/>
          <w:szCs w:val="22"/>
        </w:rPr>
      </w:pPr>
      <w:r>
        <w:rPr>
          <w:rFonts w:cs="Arial"/>
          <w:sz w:val="22"/>
          <w:szCs w:val="22"/>
        </w:rPr>
        <w:t xml:space="preserve">Hofer and colleagues[10] suggested that inter-rater reliability results for chronic diseases such as heart failure and COPD were to some extent influenced by the evidence base, proposing that in their study the heart failure reviews had higher inter-rater reliabilities than COPD reviews because the evidence base for heart failure management was stronger than that for COPD.  There is room for debate on this hypothesis but in any event we found that quality/mortality relationship was found more consistently across reviewers for COPD than for heart failure. </w:t>
      </w:r>
    </w:p>
    <w:p w14:paraId="76C04FA5" w14:textId="77777777" w:rsidR="000923BB" w:rsidRDefault="000923BB" w:rsidP="000923BB">
      <w:pPr>
        <w:jc w:val="both"/>
        <w:rPr>
          <w:rFonts w:cs="Arial"/>
          <w:sz w:val="22"/>
          <w:szCs w:val="22"/>
        </w:rPr>
      </w:pPr>
    </w:p>
    <w:p w14:paraId="4ABC61C1" w14:textId="77777777" w:rsidR="000923BB" w:rsidRDefault="000923BB" w:rsidP="000923BB">
      <w:pPr>
        <w:jc w:val="both"/>
        <w:rPr>
          <w:rFonts w:cs="Arial"/>
          <w:i/>
          <w:sz w:val="22"/>
          <w:szCs w:val="22"/>
        </w:rPr>
      </w:pPr>
      <w:r w:rsidRPr="009F741B">
        <w:rPr>
          <w:rFonts w:cs="Arial"/>
          <w:i/>
          <w:sz w:val="22"/>
          <w:szCs w:val="22"/>
        </w:rPr>
        <w:t>Study limitations</w:t>
      </w:r>
    </w:p>
    <w:p w14:paraId="37FF09D9" w14:textId="77777777" w:rsidR="000923BB" w:rsidRPr="00E41AD8" w:rsidRDefault="000923BB" w:rsidP="000923BB">
      <w:pPr>
        <w:jc w:val="both"/>
        <w:rPr>
          <w:rFonts w:cs="Arial"/>
          <w:i/>
          <w:sz w:val="22"/>
          <w:szCs w:val="22"/>
        </w:rPr>
      </w:pPr>
    </w:p>
    <w:p w14:paraId="4E29906A" w14:textId="77777777" w:rsidR="000923BB" w:rsidRDefault="000923BB" w:rsidP="000923BB">
      <w:pPr>
        <w:jc w:val="both"/>
        <w:rPr>
          <w:rFonts w:cs="Arial"/>
          <w:sz w:val="22"/>
          <w:szCs w:val="22"/>
        </w:rPr>
      </w:pPr>
      <w:r>
        <w:rPr>
          <w:rFonts w:cs="Arial"/>
          <w:sz w:val="22"/>
          <w:szCs w:val="22"/>
        </w:rPr>
        <w:t xml:space="preserve">In a complex study such as this there are bound to be methodological limitations.  There were only two tracer conditions used in the study whereas comparable studies in the </w:t>
      </w:r>
      <w:smartTag w:uri="urn:schemas-microsoft-com:office:smarttags" w:element="place">
        <w:smartTag w:uri="urn:schemas-microsoft-com:office:smarttags" w:element="country-region">
          <w:r>
            <w:rPr>
              <w:rFonts w:cs="Arial"/>
              <w:sz w:val="22"/>
              <w:szCs w:val="22"/>
            </w:rPr>
            <w:t>United States</w:t>
          </w:r>
        </w:smartTag>
      </w:smartTag>
      <w:r>
        <w:rPr>
          <w:rFonts w:cs="Arial"/>
          <w:sz w:val="22"/>
          <w:szCs w:val="22"/>
        </w:rPr>
        <w:t xml:space="preserve"> have used five or more conditions.[10</w:t>
      </w:r>
      <w:r w:rsidRPr="009F741B">
        <w:rPr>
          <w:rFonts w:cs="Arial"/>
          <w:sz w:val="22"/>
          <w:szCs w:val="22"/>
        </w:rPr>
        <w:t>]</w:t>
      </w:r>
      <w:r>
        <w:rPr>
          <w:rFonts w:cs="Arial"/>
          <w:sz w:val="22"/>
          <w:szCs w:val="22"/>
        </w:rPr>
        <w:t xml:space="preserve">  Additionally, because of the nature of the research questions, only 38 reviewers in nine hospitals were involved and they came from a range of backgrounds, though with some similarity to the study by Weingart and colleagues.[6] Results from this study nevertheless show enough similarities with the results from Hofer et al[10] and Weingart et al[6] to suggest that the results are  meaningful.</w:t>
      </w:r>
    </w:p>
    <w:p w14:paraId="2B961065" w14:textId="77777777" w:rsidR="000923BB" w:rsidRDefault="000923BB" w:rsidP="000923BB">
      <w:pPr>
        <w:jc w:val="both"/>
        <w:rPr>
          <w:rFonts w:cs="Arial"/>
          <w:sz w:val="22"/>
          <w:szCs w:val="22"/>
        </w:rPr>
      </w:pPr>
    </w:p>
    <w:p w14:paraId="36FFBD05" w14:textId="77777777" w:rsidR="000923BB" w:rsidRDefault="000923BB" w:rsidP="000923BB">
      <w:pPr>
        <w:jc w:val="both"/>
        <w:rPr>
          <w:rFonts w:cs="Arial"/>
          <w:sz w:val="22"/>
          <w:szCs w:val="22"/>
        </w:rPr>
      </w:pPr>
      <w:r>
        <w:rPr>
          <w:rFonts w:cs="Arial"/>
          <w:sz w:val="22"/>
          <w:szCs w:val="22"/>
        </w:rPr>
        <w:t>Assessment of the quality and safety of care using, among other methods, a six or ten point scale, remains unusual in the literature.  Evaluation of the sensitivity of the scales was not possible prior to the main data collection and although the intra-rater reliability results suggested that there was a fair degree of internal consistency when these scales were used, further research on the use of similar scales would be of value.</w:t>
      </w:r>
    </w:p>
    <w:p w14:paraId="0C0349DA" w14:textId="77777777" w:rsidR="000923BB" w:rsidRDefault="000923BB" w:rsidP="000923BB">
      <w:pPr>
        <w:jc w:val="both"/>
        <w:rPr>
          <w:rFonts w:cs="Arial"/>
          <w:sz w:val="22"/>
          <w:szCs w:val="22"/>
        </w:rPr>
      </w:pPr>
    </w:p>
    <w:p w14:paraId="7534EC49" w14:textId="77777777" w:rsidR="000923BB" w:rsidRDefault="000923BB" w:rsidP="000923BB">
      <w:pPr>
        <w:jc w:val="both"/>
        <w:rPr>
          <w:rFonts w:cs="Arial"/>
          <w:sz w:val="22"/>
          <w:szCs w:val="22"/>
        </w:rPr>
      </w:pPr>
      <w:r>
        <w:rPr>
          <w:rFonts w:cs="Arial"/>
          <w:sz w:val="22"/>
          <w:szCs w:val="22"/>
        </w:rPr>
        <w:t xml:space="preserve">There is a potential for bias in the study method in that the design, and especially the constraints of the ethics and research governance requirements, meant that reviewers evaluated the case notes in their own hospitals (rather than, for example, reviewing the case notes in another hospital where they would not have the possibility of reviewing cases in which they may have provided care).  This is an acknowledged potential bias, although the range of holistic scores and the types of commentary that were recorded suggest that many of the reviewers were quite robust when determining the score for a case.  </w:t>
      </w:r>
    </w:p>
    <w:p w14:paraId="0A59A04A" w14:textId="77777777" w:rsidR="000923BB" w:rsidRDefault="000923BB" w:rsidP="000923BB">
      <w:pPr>
        <w:jc w:val="both"/>
        <w:rPr>
          <w:rFonts w:cs="Arial"/>
          <w:sz w:val="22"/>
          <w:szCs w:val="22"/>
        </w:rPr>
      </w:pPr>
    </w:p>
    <w:p w14:paraId="2B66DC6C" w14:textId="77777777" w:rsidR="000923BB" w:rsidRDefault="000923BB" w:rsidP="000923BB">
      <w:pPr>
        <w:autoSpaceDE w:val="0"/>
        <w:autoSpaceDN w:val="0"/>
        <w:adjustRightInd w:val="0"/>
        <w:jc w:val="both"/>
        <w:rPr>
          <w:rFonts w:cs="Arial"/>
          <w:sz w:val="22"/>
          <w:szCs w:val="22"/>
        </w:rPr>
      </w:pPr>
      <w:r w:rsidRPr="00997415">
        <w:rPr>
          <w:rFonts w:cs="Arial"/>
          <w:sz w:val="22"/>
          <w:szCs w:val="22"/>
        </w:rPr>
        <w:t>The reliability estimates reported in this study a</w:t>
      </w:r>
      <w:r w:rsidR="003004D6">
        <w:rPr>
          <w:rFonts w:cs="Arial"/>
          <w:sz w:val="22"/>
          <w:szCs w:val="22"/>
        </w:rPr>
        <w:t>re</w:t>
      </w:r>
      <w:r w:rsidRPr="00997415">
        <w:rPr>
          <w:rFonts w:cs="Arial"/>
          <w:sz w:val="22"/>
          <w:szCs w:val="22"/>
        </w:rPr>
        <w:t xml:space="preserve"> likely to be larger than the true population reliability values because of the sampling method employed in the design.  The variability of the results of the holistic reviews, including up to 15% of reviews scored 1 or 2, means that the ICC will tend to be higher than if the review results had been more homogeneous.  Furthermore, the ICC ‘combines three features of the data (patient variability, reviewer variability and measurement variability) from which it is calculated….it does make comparisons of ICCs between different studies difficult to interpret’.[4</w:t>
      </w:r>
      <w:r>
        <w:rPr>
          <w:rFonts w:cs="Arial"/>
          <w:sz w:val="22"/>
          <w:szCs w:val="22"/>
        </w:rPr>
        <w:t>4</w:t>
      </w:r>
      <w:r w:rsidRPr="00997415">
        <w:rPr>
          <w:rFonts w:cs="Arial"/>
          <w:sz w:val="22"/>
          <w:szCs w:val="22"/>
        </w:rPr>
        <w:t>]  Nevertheless, a recent systematic review of the inter-rater reliability reported in case note review studies[11] was able to make kappa comparisons and this study had higher ICC results than the review kappa for both</w:t>
      </w:r>
      <w:r>
        <w:rPr>
          <w:rFonts w:cs="Arial"/>
          <w:color w:val="3366FF"/>
          <w:sz w:val="22"/>
          <w:szCs w:val="22"/>
        </w:rPr>
        <w:t xml:space="preserve"> </w:t>
      </w:r>
      <w:r>
        <w:rPr>
          <w:rFonts w:cs="Arial"/>
          <w:sz w:val="22"/>
          <w:szCs w:val="22"/>
        </w:rPr>
        <w:t>causality and process of care (causality; kappa 0.39 (SD 0.19), process; kappa 0.35 (SD 0.19)).</w:t>
      </w:r>
    </w:p>
    <w:p w14:paraId="2422F526" w14:textId="77777777" w:rsidR="000923BB" w:rsidRDefault="000923BB" w:rsidP="000923BB">
      <w:pPr>
        <w:autoSpaceDE w:val="0"/>
        <w:autoSpaceDN w:val="0"/>
        <w:adjustRightInd w:val="0"/>
        <w:jc w:val="both"/>
        <w:rPr>
          <w:rFonts w:cs="Arial"/>
          <w:color w:val="3366FF"/>
          <w:sz w:val="22"/>
          <w:szCs w:val="22"/>
        </w:rPr>
      </w:pPr>
    </w:p>
    <w:p w14:paraId="6C238B71" w14:textId="77777777" w:rsidR="000923BB" w:rsidRPr="00E71EF5" w:rsidRDefault="000923BB" w:rsidP="000923BB">
      <w:pPr>
        <w:autoSpaceDE w:val="0"/>
        <w:autoSpaceDN w:val="0"/>
        <w:adjustRightInd w:val="0"/>
        <w:jc w:val="both"/>
        <w:rPr>
          <w:rFonts w:cs="Arial"/>
          <w:sz w:val="22"/>
          <w:szCs w:val="22"/>
        </w:rPr>
      </w:pPr>
      <w:r w:rsidRPr="00E71EF5">
        <w:rPr>
          <w:rFonts w:cs="Arial"/>
          <w:sz w:val="22"/>
          <w:szCs w:val="22"/>
        </w:rPr>
        <w:t xml:space="preserve">We have undertaken a relative simple statistical analysis to compare the reliability of the holistic and criterion based reviews by using </w:t>
      </w:r>
      <w:r>
        <w:rPr>
          <w:rFonts w:cs="Arial"/>
          <w:sz w:val="22"/>
          <w:szCs w:val="22"/>
        </w:rPr>
        <w:t>k</w:t>
      </w:r>
      <w:r w:rsidRPr="00E71EF5">
        <w:rPr>
          <w:rFonts w:cs="Arial"/>
          <w:sz w:val="22"/>
          <w:szCs w:val="22"/>
        </w:rPr>
        <w:t>appa and ICC statistics. The</w:t>
      </w:r>
      <w:r>
        <w:rPr>
          <w:rFonts w:cs="Arial"/>
          <w:sz w:val="22"/>
          <w:szCs w:val="22"/>
        </w:rPr>
        <w:t>se</w:t>
      </w:r>
      <w:r w:rsidRPr="00E71EF5">
        <w:rPr>
          <w:rFonts w:cs="Arial"/>
          <w:sz w:val="22"/>
          <w:szCs w:val="22"/>
        </w:rPr>
        <w:t xml:space="preserve"> statistical methods do not allow for other facets of measurement such as the disease or reviewer characteristics. The lack of balance in the design precludes a classic ANOVA based generalisability analysis to assess reliability. However, a multilevel modelling approach could be employed. </w:t>
      </w:r>
      <w:r>
        <w:rPr>
          <w:rFonts w:cs="Arial"/>
          <w:sz w:val="22"/>
          <w:szCs w:val="22"/>
        </w:rPr>
        <w:t>We have not been able to undertake this but</w:t>
      </w:r>
      <w:r w:rsidRPr="00E71EF5">
        <w:rPr>
          <w:rFonts w:cs="Arial"/>
          <w:sz w:val="22"/>
          <w:szCs w:val="22"/>
        </w:rPr>
        <w:t xml:space="preserve"> we acknowledge that such a model might produce smaller standard errors and give narrower confidence interval estimates for the reliability coefficients.  However, we believe that this model is unlikely to change way the conclusions of the study</w:t>
      </w:r>
      <w:r w:rsidRPr="006E3CE7">
        <w:rPr>
          <w:rFonts w:cs="Arial"/>
          <w:sz w:val="22"/>
          <w:szCs w:val="22"/>
        </w:rPr>
        <w:t xml:space="preserve"> </w:t>
      </w:r>
      <w:r w:rsidRPr="00E71EF5">
        <w:rPr>
          <w:rFonts w:cs="Arial"/>
          <w:sz w:val="22"/>
          <w:szCs w:val="22"/>
        </w:rPr>
        <w:t xml:space="preserve">in a substantive. </w:t>
      </w:r>
    </w:p>
    <w:p w14:paraId="2AA969AF" w14:textId="77777777" w:rsidR="000923BB" w:rsidRDefault="000923BB" w:rsidP="000923BB">
      <w:pPr>
        <w:autoSpaceDE w:val="0"/>
        <w:autoSpaceDN w:val="0"/>
        <w:adjustRightInd w:val="0"/>
        <w:jc w:val="both"/>
        <w:rPr>
          <w:rFonts w:cs="Arial"/>
          <w:sz w:val="22"/>
          <w:szCs w:val="22"/>
        </w:rPr>
      </w:pPr>
    </w:p>
    <w:p w14:paraId="40482D53" w14:textId="77777777" w:rsidR="000923BB" w:rsidRPr="00B966F1" w:rsidRDefault="000923BB" w:rsidP="000923BB">
      <w:pPr>
        <w:jc w:val="both"/>
        <w:rPr>
          <w:rFonts w:cs="Arial"/>
          <w:b/>
          <w:sz w:val="22"/>
          <w:szCs w:val="22"/>
        </w:rPr>
      </w:pPr>
      <w:r w:rsidRPr="00B966F1">
        <w:rPr>
          <w:rFonts w:cs="Arial"/>
          <w:b/>
          <w:sz w:val="22"/>
          <w:szCs w:val="22"/>
        </w:rPr>
        <w:t xml:space="preserve">Implications for reviewing quality of care </w:t>
      </w:r>
    </w:p>
    <w:p w14:paraId="2BFF9F52" w14:textId="77777777" w:rsidR="000923BB" w:rsidRPr="00E41AD8" w:rsidRDefault="000923BB" w:rsidP="000923BB">
      <w:pPr>
        <w:jc w:val="both"/>
        <w:rPr>
          <w:rFonts w:cs="Arial"/>
          <w:i/>
          <w:sz w:val="22"/>
          <w:szCs w:val="22"/>
        </w:rPr>
      </w:pPr>
    </w:p>
    <w:p w14:paraId="088FE249" w14:textId="77777777" w:rsidR="000923BB" w:rsidRDefault="000923BB" w:rsidP="000923BB">
      <w:pPr>
        <w:jc w:val="both"/>
        <w:rPr>
          <w:rFonts w:cs="Arial"/>
          <w:sz w:val="22"/>
          <w:szCs w:val="22"/>
        </w:rPr>
      </w:pPr>
      <w:r>
        <w:rPr>
          <w:rFonts w:cs="Arial"/>
          <w:sz w:val="22"/>
          <w:szCs w:val="22"/>
        </w:rPr>
        <w:t xml:space="preserve">To return to our practical question, what do our results tell us about which method of review would be best used for which purposes and by which professional groups?  We have found that all three professional groups perform well when using criterion based review.  If this type of review is chosen, perhaps for large scale clinical audit to inform service development, the decision on which professional groups should undertake reviews using this method might depend mainly on cost and availability of staff.   The data on resource use show that the doctors are considerably more expensive at cost per review, because they have the highest salary levels, although their review times are similar to the nursing/clinical group.  However, clinically trained reviewers may have a place when using structured review methods to identify variations in care such as adverse events, for clinical training might be of advantage by enhancing watchfulness.  Furthermore, review of small numbers of cases has relatively little cost impact and for criterion based review of limited numbers of cases, for example in an investigation of quality of care, staff with nursing or medical training may add value to an evaluation. </w:t>
      </w:r>
    </w:p>
    <w:p w14:paraId="12E8C7AA" w14:textId="77777777" w:rsidR="000923BB" w:rsidRDefault="000923BB" w:rsidP="000923BB">
      <w:pPr>
        <w:jc w:val="both"/>
        <w:rPr>
          <w:rFonts w:cs="Arial"/>
          <w:sz w:val="22"/>
          <w:szCs w:val="22"/>
        </w:rPr>
      </w:pPr>
    </w:p>
    <w:p w14:paraId="074080A1" w14:textId="77777777" w:rsidR="000923BB" w:rsidRDefault="000923BB" w:rsidP="000923BB">
      <w:pPr>
        <w:jc w:val="both"/>
        <w:rPr>
          <w:rFonts w:cs="Arial"/>
          <w:sz w:val="22"/>
          <w:szCs w:val="22"/>
        </w:rPr>
      </w:pPr>
      <w:r>
        <w:rPr>
          <w:rFonts w:cs="Arial"/>
          <w:sz w:val="22"/>
          <w:szCs w:val="22"/>
        </w:rPr>
        <w:lastRenderedPageBreak/>
        <w:t xml:space="preserve">The decision on who should undertake structured holistic review is more complex.  It is a method that might best be used when more is required than just the sum of the results of collecting a set of review criteria.  While all groups can use the method of holistic scale scoring, the overall results conceal wide ranges of agreement, sometimes close to random for phase-of-care results </w:t>
      </w:r>
      <w:r w:rsidRPr="00DB478C">
        <w:rPr>
          <w:rFonts w:cs="Arial"/>
          <w:sz w:val="22"/>
          <w:szCs w:val="22"/>
        </w:rPr>
        <w:t xml:space="preserve">(Table </w:t>
      </w:r>
      <w:r>
        <w:rPr>
          <w:rFonts w:cs="Arial"/>
          <w:sz w:val="22"/>
          <w:szCs w:val="22"/>
        </w:rPr>
        <w:t>7).  Particularly for the more technical phases of care such as investigations and admissions, and initial management, these results suggest that the three groups of staff are interpreting the recorded care differently when they each review the same record.  This probably reflects their background knowledge of the clinical situation and of how the care is delivered.  Even when considerable training in the review method has been provided, it is unrealistic to expect the non-clinical audit staff to fully appreciate the details of the medical care, let alone when that care has or has not deviated from best practice.   Results suggest that nurse trained reviewers sometimes identify different problems from those found by physician reviewers.  It is possible that extended training and selection of staff might reduce this difference, for instance by selection of specialist consultant nurses or of very experienced doctors.   Selection of person skills according to task might provide the best outcome for the more difficult reviews.</w:t>
      </w:r>
    </w:p>
    <w:p w14:paraId="509358FC" w14:textId="77777777" w:rsidR="000923BB" w:rsidRDefault="000923BB" w:rsidP="000923BB">
      <w:pPr>
        <w:jc w:val="both"/>
        <w:rPr>
          <w:rFonts w:cs="Arial"/>
          <w:sz w:val="22"/>
          <w:szCs w:val="22"/>
        </w:rPr>
      </w:pPr>
    </w:p>
    <w:p w14:paraId="3FC993BD" w14:textId="77777777" w:rsidR="000923BB" w:rsidRDefault="000923BB" w:rsidP="000923BB">
      <w:pPr>
        <w:jc w:val="both"/>
        <w:rPr>
          <w:rFonts w:cs="Arial"/>
          <w:sz w:val="22"/>
          <w:szCs w:val="22"/>
        </w:rPr>
      </w:pPr>
      <w:r>
        <w:rPr>
          <w:rFonts w:cs="Arial"/>
          <w:sz w:val="22"/>
          <w:szCs w:val="22"/>
        </w:rPr>
        <w:t>Moreover, reviews of cases of serious unintended incidents or of poor outcome cases might benefit from structured reviews by pairs of reviewers, one with a nursing background and one with a medical background.  Our results have shown that these two groups of reviewers offer different types of results, with nurses tending towards care process issues and doctors offering judgements on more technical interventions.  If reviews were supported by effective training, including the enabling of staff to make explicit judgements on care, joint mixed professional reviewing, perhaps using more senior doctors and consultant level specialist nurses, might offer a wider range of insights than if case records were reviewed by two professionals from the same background.   Whereas Weingart et al[6</w:t>
      </w:r>
      <w:r w:rsidRPr="009F741B">
        <w:rPr>
          <w:rFonts w:cs="Arial"/>
          <w:sz w:val="22"/>
          <w:szCs w:val="22"/>
        </w:rPr>
        <w:t>]</w:t>
      </w:r>
      <w:r>
        <w:rPr>
          <w:rFonts w:cs="Arial"/>
          <w:sz w:val="22"/>
          <w:szCs w:val="22"/>
        </w:rPr>
        <w:t xml:space="preserve"> wondered whether the differences in holistic review results from physicians and nurses reviewers could be problematic, the differences we found in our study could be put to a positive advantage.</w:t>
      </w:r>
    </w:p>
    <w:p w14:paraId="33358B7C" w14:textId="77777777" w:rsidR="000923BB" w:rsidRDefault="000923BB" w:rsidP="000923BB">
      <w:pPr>
        <w:jc w:val="both"/>
        <w:rPr>
          <w:rFonts w:cs="Arial"/>
          <w:sz w:val="22"/>
          <w:szCs w:val="22"/>
        </w:rPr>
      </w:pPr>
    </w:p>
    <w:p w14:paraId="2834D503" w14:textId="77777777" w:rsidR="000923BB" w:rsidRDefault="000923BB" w:rsidP="000923BB">
      <w:pPr>
        <w:jc w:val="both"/>
        <w:rPr>
          <w:rFonts w:cs="Arial"/>
          <w:sz w:val="22"/>
          <w:szCs w:val="22"/>
        </w:rPr>
      </w:pPr>
      <w:r>
        <w:rPr>
          <w:rFonts w:cs="Arial"/>
          <w:sz w:val="22"/>
          <w:szCs w:val="22"/>
        </w:rPr>
        <w:t>Textual data provides much finer grained information than do scores or criterion based review, even when it is provided in short phrases and sentences.  Full analysis of the textual data in a clinical setting, rather than in a research project, is likely to be costly and difficult to do when undertaking large scale audits or quality and safety reviews.  However the increasing practice of undertaking smaller scale reviews, for example where there are a small series of cases with poor outcomes that require detailed review, are identifying a need for structured reviews that would benefit from a combination of data such as is provided by criterion based scores, holistic scoring and structured textual commentary.</w:t>
      </w:r>
    </w:p>
    <w:p w14:paraId="0DDC9A14" w14:textId="77777777" w:rsidR="000923BB" w:rsidRDefault="000923BB" w:rsidP="000923BB">
      <w:pPr>
        <w:jc w:val="both"/>
        <w:rPr>
          <w:rFonts w:cs="Arial"/>
          <w:sz w:val="22"/>
          <w:szCs w:val="22"/>
        </w:rPr>
      </w:pPr>
    </w:p>
    <w:p w14:paraId="630F9767" w14:textId="77777777" w:rsidR="000923BB" w:rsidRDefault="000923BB" w:rsidP="000923BB">
      <w:pPr>
        <w:jc w:val="both"/>
        <w:rPr>
          <w:rFonts w:cs="Arial"/>
          <w:sz w:val="22"/>
          <w:szCs w:val="22"/>
        </w:rPr>
      </w:pPr>
      <w:r>
        <w:rPr>
          <w:rFonts w:cs="Arial"/>
          <w:sz w:val="22"/>
          <w:szCs w:val="22"/>
        </w:rPr>
        <w:lastRenderedPageBreak/>
        <w:t>Overall, the results of this study suggest that there may be significant gains to be made in clinical audit and evaluation through better understanding of the products of the different methods of review and of the value in training and selection of reviewers.</w:t>
      </w:r>
    </w:p>
    <w:p w14:paraId="683035B7" w14:textId="77777777" w:rsidR="000923BB" w:rsidRDefault="000923BB" w:rsidP="000923BB">
      <w:pPr>
        <w:jc w:val="both"/>
        <w:rPr>
          <w:rFonts w:cs="Arial"/>
          <w:b/>
          <w:sz w:val="28"/>
          <w:szCs w:val="28"/>
        </w:rPr>
      </w:pPr>
      <w:r>
        <w:rPr>
          <w:rFonts w:cs="Arial"/>
          <w:b/>
          <w:sz w:val="22"/>
          <w:szCs w:val="22"/>
        </w:rPr>
        <w:br w:type="page"/>
      </w:r>
      <w:r w:rsidRPr="006D328B">
        <w:rPr>
          <w:rFonts w:cs="Arial"/>
          <w:b/>
          <w:sz w:val="28"/>
          <w:szCs w:val="28"/>
        </w:rPr>
        <w:lastRenderedPageBreak/>
        <w:t>What is the relationship between information on quality of care from case notes and hospital level outcomes of care?</w:t>
      </w:r>
    </w:p>
    <w:p w14:paraId="1C898B85" w14:textId="77777777" w:rsidR="000923BB" w:rsidRDefault="000923BB" w:rsidP="000923BB">
      <w:pPr>
        <w:jc w:val="center"/>
        <w:rPr>
          <w:rFonts w:cs="Arial"/>
          <w:b/>
        </w:rPr>
      </w:pPr>
    </w:p>
    <w:p w14:paraId="63BA1F38" w14:textId="77777777" w:rsidR="000923BB" w:rsidRPr="00886AA0" w:rsidRDefault="000923BB" w:rsidP="000923BB">
      <w:pPr>
        <w:pStyle w:val="BodyText2"/>
        <w:rPr>
          <w:rFonts w:ascii="Arial" w:hAnsi="Arial" w:cs="Arial"/>
          <w:b/>
        </w:rPr>
      </w:pPr>
      <w:r w:rsidRPr="00886AA0">
        <w:rPr>
          <w:rFonts w:ascii="Arial" w:hAnsi="Arial" w:cs="Arial"/>
          <w:b/>
        </w:rPr>
        <w:t xml:space="preserve">Background </w:t>
      </w:r>
    </w:p>
    <w:p w14:paraId="764C8021" w14:textId="77777777" w:rsidR="000923BB" w:rsidRDefault="000923BB" w:rsidP="000923BB">
      <w:pPr>
        <w:jc w:val="both"/>
        <w:rPr>
          <w:rFonts w:cs="Arial"/>
          <w:sz w:val="22"/>
          <w:szCs w:val="22"/>
        </w:rPr>
      </w:pPr>
    </w:p>
    <w:p w14:paraId="6FDC7B8E" w14:textId="77777777" w:rsidR="000923BB" w:rsidRDefault="000923BB" w:rsidP="000923BB">
      <w:pPr>
        <w:jc w:val="both"/>
        <w:rPr>
          <w:rFonts w:cs="Arial"/>
          <w:sz w:val="22"/>
          <w:szCs w:val="22"/>
        </w:rPr>
      </w:pPr>
      <w:r>
        <w:rPr>
          <w:rFonts w:cs="Arial"/>
          <w:sz w:val="22"/>
          <w:szCs w:val="22"/>
        </w:rPr>
        <w:t xml:space="preserve">The purpose of this second part of the study was to investigate how much of the variance in risk-adjusted outcome for two important clinical conditions could be attributed to differences in quality of clinical care in acute hospitals, as assessed through review of case notes.  </w:t>
      </w:r>
    </w:p>
    <w:p w14:paraId="787CE34E" w14:textId="77777777" w:rsidR="000923BB" w:rsidRDefault="000923BB" w:rsidP="000923BB">
      <w:pPr>
        <w:jc w:val="both"/>
        <w:rPr>
          <w:rFonts w:cs="Arial"/>
          <w:sz w:val="22"/>
        </w:rPr>
      </w:pPr>
    </w:p>
    <w:p w14:paraId="6A2916C1" w14:textId="77777777" w:rsidR="000923BB" w:rsidRDefault="000923BB" w:rsidP="000923BB">
      <w:pPr>
        <w:jc w:val="both"/>
        <w:rPr>
          <w:rFonts w:cs="Arial"/>
          <w:sz w:val="22"/>
        </w:rPr>
      </w:pPr>
      <w:r>
        <w:rPr>
          <w:rFonts w:cs="Arial"/>
          <w:sz w:val="22"/>
        </w:rPr>
        <w:t>Using case notes as the basis for assessing health care quality is known to be problematic for a number of reasons such as reliability,[10][12][45][6] bias[15] and consistency,[8] even though case notes are still almost universally used as a primary data source for this purpose.  This continuing usage is partly due to the fact that the alternatives to using case note review as the basis for quality assessment – such as direct observation, use of video or actor-patients - may be even more time consuming and expensive and have their own methodological challenges. Approaches to reducing uncertainty in the measurement of quality of care have been concerned with improving reliability in implicit review, such as using structured review methods,[28] and providing evidence based review criteria for explicit review.[19</w:t>
      </w:r>
      <w:r w:rsidRPr="00A94B27">
        <w:rPr>
          <w:rFonts w:cs="Arial"/>
          <w:sz w:val="22"/>
        </w:rPr>
        <w:t>][</w:t>
      </w:r>
      <w:r>
        <w:rPr>
          <w:rFonts w:cs="Arial"/>
          <w:sz w:val="22"/>
        </w:rPr>
        <w:t>21]</w:t>
      </w:r>
      <w:r w:rsidRPr="00A94B27">
        <w:rPr>
          <w:rFonts w:cs="Arial"/>
          <w:sz w:val="22"/>
        </w:rPr>
        <w:t xml:space="preserve"> </w:t>
      </w:r>
    </w:p>
    <w:p w14:paraId="455AC7D9" w14:textId="77777777" w:rsidR="000923BB" w:rsidRDefault="000923BB" w:rsidP="000923BB">
      <w:pPr>
        <w:jc w:val="both"/>
        <w:rPr>
          <w:rFonts w:cs="Arial"/>
          <w:sz w:val="22"/>
        </w:rPr>
      </w:pPr>
    </w:p>
    <w:p w14:paraId="46B1B296" w14:textId="77777777" w:rsidR="000923BB" w:rsidRDefault="000923BB" w:rsidP="000923BB">
      <w:pPr>
        <w:jc w:val="both"/>
        <w:rPr>
          <w:rFonts w:cs="Arial"/>
          <w:sz w:val="22"/>
        </w:rPr>
      </w:pPr>
      <w:r>
        <w:rPr>
          <w:rFonts w:cs="Arial"/>
          <w:sz w:val="22"/>
        </w:rPr>
        <w:t>In addition to measuring the process of care, the putative relationship between process and outcome is also an important consideration for healthcare systems and is the subject of scrutiny by public bodies.[46]  Case note review has been used in a considerable number of studies to provide process of care data in order to explore the relationship with outcome of care, a relationship that appears complex.  This was recently demonstrated by Pitches et al, [38</w:t>
      </w:r>
      <w:r w:rsidRPr="00176A9D">
        <w:rPr>
          <w:rFonts w:cs="Arial"/>
          <w:sz w:val="22"/>
        </w:rPr>
        <w:t>]</w:t>
      </w:r>
      <w:r>
        <w:rPr>
          <w:rFonts w:cs="Arial"/>
          <w:sz w:val="22"/>
        </w:rPr>
        <w:t xml:space="preserve"> who undertook a systematic review of 36 studies, which included 51 ‘process-versus-risk-adjusted outcome relationships’, exploring the extent to which variations in risk adjusted mortality rates were associated with differences in quality of care.  The authors found a positive correlation in only 51% of the relationships with no correlation in 31% and an unexpected correlation in a further 18%, in what was a very heterogeneous set of studies.   </w:t>
      </w:r>
    </w:p>
    <w:p w14:paraId="2A1D0DC5" w14:textId="77777777" w:rsidR="000923BB" w:rsidRDefault="000923BB" w:rsidP="000923BB">
      <w:pPr>
        <w:jc w:val="both"/>
        <w:rPr>
          <w:rFonts w:cs="Arial"/>
          <w:sz w:val="22"/>
        </w:rPr>
      </w:pPr>
    </w:p>
    <w:p w14:paraId="37A5F9E9" w14:textId="77777777" w:rsidR="000923BB" w:rsidRDefault="000923BB" w:rsidP="000923BB">
      <w:pPr>
        <w:jc w:val="both"/>
        <w:rPr>
          <w:rFonts w:cs="Arial"/>
          <w:sz w:val="22"/>
        </w:rPr>
      </w:pPr>
      <w:r>
        <w:rPr>
          <w:rFonts w:cs="Arial"/>
          <w:sz w:val="22"/>
        </w:rPr>
        <w:t xml:space="preserve">In a study of 87000 surgical operations in eight subspecialties in 44 hospitals with a range of risk adjusted mortality, Gibbs et al[7] used structured implicit review of case notes to populate the primary outcome measure of a five point scale that assessed overall quality of care.  Overall, the authors found that quality of care ratings were not significantly different between hospitals with higher than, and lower than, expected mortality.  </w:t>
      </w:r>
    </w:p>
    <w:p w14:paraId="75713416" w14:textId="77777777" w:rsidR="000923BB" w:rsidRDefault="000923BB" w:rsidP="000923BB">
      <w:pPr>
        <w:jc w:val="both"/>
        <w:rPr>
          <w:rFonts w:cs="Arial"/>
          <w:sz w:val="22"/>
        </w:rPr>
      </w:pPr>
    </w:p>
    <w:p w14:paraId="12E82509" w14:textId="77777777" w:rsidR="000923BB" w:rsidRDefault="000923BB" w:rsidP="000923BB">
      <w:pPr>
        <w:jc w:val="both"/>
        <w:rPr>
          <w:rFonts w:cs="Arial"/>
          <w:sz w:val="22"/>
        </w:rPr>
      </w:pPr>
      <w:r>
        <w:rPr>
          <w:rFonts w:cs="Arial"/>
          <w:sz w:val="22"/>
        </w:rPr>
        <w:t xml:space="preserve">National quality of care audits in the </w:t>
      </w:r>
      <w:smartTag w:uri="urn:schemas-microsoft-com:office:smarttags" w:element="country-region">
        <w:smartTag w:uri="urn:schemas-microsoft-com:office:smarttags" w:element="place">
          <w:r>
            <w:rPr>
              <w:rFonts w:cs="Arial"/>
              <w:sz w:val="22"/>
            </w:rPr>
            <w:t>UK</w:t>
          </w:r>
        </w:smartTag>
      </w:smartTag>
      <w:r>
        <w:rPr>
          <w:rFonts w:cs="Arial"/>
          <w:sz w:val="22"/>
        </w:rPr>
        <w:t xml:space="preserve">, such as the National Stroke Audit,[47] have used explicit review criteria to assess quality of care. Using a 60 item set of criteria derived from the UK stroke audit in a longitudinal case note review study of stroke care in New Zealand, McNaughton[48] and colleagues found only weak relationships between process and outcome variables across four hospitals and the hospital with the best process scores had the worst case mix-adjusted outcomes.  A study of 20 </w:t>
      </w:r>
      <w:smartTag w:uri="urn:schemas-microsoft-com:office:smarttags" w:element="country-region">
        <w:smartTag w:uri="urn:schemas-microsoft-com:office:smarttags" w:element="place">
          <w:r>
            <w:rPr>
              <w:rFonts w:cs="Arial"/>
              <w:sz w:val="22"/>
            </w:rPr>
            <w:t>UK</w:t>
          </w:r>
        </w:smartTag>
      </w:smartTag>
      <w:r>
        <w:rPr>
          <w:rFonts w:cs="Arial"/>
          <w:sz w:val="22"/>
        </w:rPr>
        <w:t xml:space="preserve"> maternity units found substantial change in practise over eight years but few associations between proxy outcomes and other explanatory variables.[49]</w:t>
      </w:r>
    </w:p>
    <w:p w14:paraId="6EE17341" w14:textId="77777777" w:rsidR="000923BB" w:rsidRDefault="000923BB" w:rsidP="000923BB">
      <w:pPr>
        <w:jc w:val="both"/>
        <w:rPr>
          <w:rFonts w:cs="Arial"/>
          <w:sz w:val="22"/>
        </w:rPr>
      </w:pPr>
      <w:r>
        <w:rPr>
          <w:rFonts w:cs="Arial"/>
          <w:sz w:val="22"/>
        </w:rPr>
        <w:t xml:space="preserve"> </w:t>
      </w:r>
    </w:p>
    <w:p w14:paraId="5A0F6C2A" w14:textId="77777777" w:rsidR="000923BB" w:rsidRDefault="000923BB" w:rsidP="000923BB">
      <w:pPr>
        <w:jc w:val="both"/>
        <w:rPr>
          <w:rFonts w:cs="Arial"/>
          <w:sz w:val="22"/>
        </w:rPr>
      </w:pPr>
      <w:r>
        <w:rPr>
          <w:rFonts w:cs="Arial"/>
          <w:sz w:val="22"/>
        </w:rPr>
        <w:t xml:space="preserve">Earlier in the study we considered the benefits and limitations of using case notes as the basis for reviewing quality of care and examined the reliability and value of two review methods – holistic (implicit) review and criterion based (explicit) review - in the hands of different types of health professional.  We showed that the two methods provide different types of quality assessment with reasonable to good levels of reliability.  </w:t>
      </w:r>
    </w:p>
    <w:p w14:paraId="1CB5624C" w14:textId="77777777" w:rsidR="000923BB" w:rsidRDefault="000923BB" w:rsidP="000923BB">
      <w:pPr>
        <w:jc w:val="both"/>
        <w:rPr>
          <w:rFonts w:cs="Arial"/>
          <w:sz w:val="22"/>
        </w:rPr>
      </w:pPr>
    </w:p>
    <w:p w14:paraId="7588CBAF" w14:textId="77777777" w:rsidR="000923BB" w:rsidRDefault="000923BB" w:rsidP="000923BB">
      <w:pPr>
        <w:jc w:val="both"/>
        <w:rPr>
          <w:rFonts w:cs="Arial"/>
          <w:sz w:val="22"/>
        </w:rPr>
      </w:pPr>
      <w:r>
        <w:rPr>
          <w:rFonts w:cs="Arial"/>
          <w:sz w:val="22"/>
        </w:rPr>
        <w:t>In this next stage of the study, hospital based process of care is assessed using mixed case note review methods, with implicit review structured by phases of care, including both scale scores and structured textual data, together with explicit, criterion based, scores - and outcome is judged using a set of direct and indirect measures derived from national data sets.</w:t>
      </w:r>
    </w:p>
    <w:p w14:paraId="1BFADCC2" w14:textId="77777777" w:rsidR="000923BB" w:rsidRDefault="000923BB" w:rsidP="000923BB">
      <w:pPr>
        <w:jc w:val="both"/>
        <w:rPr>
          <w:rFonts w:cs="Arial"/>
          <w:sz w:val="22"/>
        </w:rPr>
      </w:pPr>
      <w:r>
        <w:rPr>
          <w:rFonts w:cs="Arial"/>
          <w:sz w:val="22"/>
        </w:rPr>
        <w:t xml:space="preserve"> </w:t>
      </w:r>
    </w:p>
    <w:p w14:paraId="01F3AC69" w14:textId="77777777" w:rsidR="000923BB" w:rsidRPr="005D0C0C" w:rsidRDefault="000923BB" w:rsidP="000923BB">
      <w:pPr>
        <w:jc w:val="both"/>
        <w:rPr>
          <w:rFonts w:cs="Arial"/>
          <w:sz w:val="22"/>
          <w:szCs w:val="22"/>
        </w:rPr>
      </w:pPr>
      <w:r w:rsidRPr="00D215AE">
        <w:rPr>
          <w:rFonts w:cs="Arial"/>
          <w:b/>
          <w:i/>
          <w:sz w:val="22"/>
          <w:szCs w:val="22"/>
        </w:rPr>
        <w:t>Study aim and research questions</w:t>
      </w:r>
    </w:p>
    <w:p w14:paraId="7C29F8E1" w14:textId="77777777" w:rsidR="000923BB" w:rsidRPr="005D0C0C" w:rsidRDefault="000923BB" w:rsidP="000923BB">
      <w:pPr>
        <w:jc w:val="both"/>
        <w:rPr>
          <w:rFonts w:cs="Arial"/>
          <w:sz w:val="22"/>
          <w:szCs w:val="22"/>
        </w:rPr>
      </w:pPr>
      <w:r w:rsidRPr="005B51D3">
        <w:rPr>
          <w:rFonts w:cs="Arial"/>
          <w:b/>
          <w:i/>
          <w:sz w:val="22"/>
          <w:szCs w:val="22"/>
        </w:rPr>
        <w:t>Aim:</w:t>
      </w:r>
      <w:r w:rsidRPr="005D0C0C">
        <w:rPr>
          <w:rFonts w:cs="Arial"/>
          <w:sz w:val="22"/>
          <w:szCs w:val="22"/>
        </w:rPr>
        <w:t xml:space="preserve"> To investigate how much of the variance in outcome for two important clinical conditions (adjusted for measurable differences in risk) can be attributed to known differences in quality of clinical care in acute hospitals.</w:t>
      </w:r>
    </w:p>
    <w:p w14:paraId="713DCD8B" w14:textId="77777777" w:rsidR="000923BB" w:rsidRPr="005D0C0C" w:rsidRDefault="000923BB" w:rsidP="000923BB">
      <w:pPr>
        <w:jc w:val="both"/>
        <w:rPr>
          <w:rFonts w:cs="Arial"/>
          <w:sz w:val="22"/>
          <w:szCs w:val="22"/>
        </w:rPr>
      </w:pPr>
    </w:p>
    <w:p w14:paraId="6B033D5D" w14:textId="77777777" w:rsidR="000923BB" w:rsidRPr="005D0C0C" w:rsidRDefault="000923BB" w:rsidP="000923BB">
      <w:pPr>
        <w:jc w:val="both"/>
        <w:rPr>
          <w:rFonts w:cs="Arial"/>
          <w:sz w:val="22"/>
          <w:szCs w:val="22"/>
        </w:rPr>
      </w:pPr>
      <w:r w:rsidRPr="00FD1F41">
        <w:rPr>
          <w:rFonts w:cs="Arial"/>
          <w:b/>
          <w:i/>
          <w:sz w:val="22"/>
          <w:szCs w:val="22"/>
        </w:rPr>
        <w:t>Research questions</w:t>
      </w:r>
    </w:p>
    <w:p w14:paraId="7655F9F7" w14:textId="77777777" w:rsidR="000923BB" w:rsidRPr="003004D6" w:rsidRDefault="000923BB" w:rsidP="003004D6">
      <w:pPr>
        <w:pStyle w:val="BodyTextIndent"/>
        <w:ind w:left="0"/>
        <w:rPr>
          <w:sz w:val="22"/>
          <w:szCs w:val="22"/>
        </w:rPr>
      </w:pPr>
      <w:r w:rsidRPr="003004D6">
        <w:rPr>
          <w:sz w:val="22"/>
          <w:szCs w:val="22"/>
        </w:rPr>
        <w:t>What is the relationship between the quality of care for individual conditions in hospitals and overall quality of care and quality markers across hospital institutions?</w:t>
      </w:r>
    </w:p>
    <w:p w14:paraId="5B636932" w14:textId="77777777" w:rsidR="000923BB" w:rsidRPr="005D0C0C" w:rsidRDefault="000923BB" w:rsidP="000923BB">
      <w:pPr>
        <w:jc w:val="both"/>
        <w:rPr>
          <w:rFonts w:cs="Arial"/>
          <w:sz w:val="22"/>
          <w:szCs w:val="22"/>
        </w:rPr>
      </w:pPr>
      <w:r w:rsidRPr="005D0C0C">
        <w:rPr>
          <w:rFonts w:cs="Arial"/>
          <w:sz w:val="22"/>
          <w:szCs w:val="22"/>
        </w:rPr>
        <w:t>What is the relationship between casemix or risk adjusted outcome and quality of care as</w:t>
      </w:r>
      <w:r>
        <w:rPr>
          <w:rFonts w:cs="Arial"/>
          <w:sz w:val="22"/>
          <w:szCs w:val="22"/>
        </w:rPr>
        <w:t xml:space="preserve"> measured by case record review?</w:t>
      </w:r>
    </w:p>
    <w:p w14:paraId="0FC795BC" w14:textId="77777777" w:rsidR="000923BB" w:rsidRDefault="000923BB" w:rsidP="000923BB">
      <w:pPr>
        <w:jc w:val="both"/>
        <w:rPr>
          <w:rFonts w:cs="Arial"/>
          <w:sz w:val="22"/>
          <w:szCs w:val="22"/>
        </w:rPr>
      </w:pPr>
      <w:r>
        <w:rPr>
          <w:rFonts w:cs="Arial"/>
          <w:sz w:val="22"/>
          <w:szCs w:val="22"/>
        </w:rPr>
        <w:t xml:space="preserve">Is </w:t>
      </w:r>
      <w:r w:rsidRPr="005D0C0C">
        <w:rPr>
          <w:rFonts w:cs="Arial"/>
          <w:sz w:val="22"/>
          <w:szCs w:val="22"/>
        </w:rPr>
        <w:t xml:space="preserve">high quality care </w:t>
      </w:r>
      <w:r>
        <w:rPr>
          <w:rFonts w:cs="Arial"/>
          <w:sz w:val="22"/>
          <w:szCs w:val="22"/>
        </w:rPr>
        <w:t>associated with</w:t>
      </w:r>
      <w:r w:rsidRPr="005D0C0C">
        <w:rPr>
          <w:rFonts w:cs="Arial"/>
          <w:sz w:val="22"/>
          <w:szCs w:val="22"/>
        </w:rPr>
        <w:t xml:space="preserve"> in high quality outcomes in risk adjusted cases? </w:t>
      </w:r>
    </w:p>
    <w:p w14:paraId="76C7F65B" w14:textId="77777777" w:rsidR="000923BB" w:rsidRDefault="000923BB" w:rsidP="000923BB">
      <w:pPr>
        <w:jc w:val="both"/>
        <w:rPr>
          <w:rFonts w:cs="Arial"/>
          <w:sz w:val="22"/>
          <w:szCs w:val="22"/>
        </w:rPr>
      </w:pPr>
      <w:r w:rsidRPr="005D0C0C">
        <w:rPr>
          <w:rFonts w:cs="Arial"/>
          <w:sz w:val="22"/>
          <w:szCs w:val="22"/>
        </w:rPr>
        <w:t xml:space="preserve">Is there a correlation in clinical quality between the </w:t>
      </w:r>
      <w:r>
        <w:rPr>
          <w:rFonts w:cs="Arial"/>
          <w:sz w:val="22"/>
          <w:szCs w:val="22"/>
        </w:rPr>
        <w:t>manage</w:t>
      </w:r>
      <w:r w:rsidRPr="005D0C0C">
        <w:rPr>
          <w:rFonts w:cs="Arial"/>
          <w:sz w:val="22"/>
          <w:szCs w:val="22"/>
        </w:rPr>
        <w:t>ment of different conditions in the same hospital, as measured by case note review?</w:t>
      </w:r>
    </w:p>
    <w:p w14:paraId="7042EF93" w14:textId="77777777" w:rsidR="003004D6" w:rsidRDefault="003004D6" w:rsidP="000923BB">
      <w:pPr>
        <w:jc w:val="both"/>
        <w:rPr>
          <w:rFonts w:cs="Arial"/>
          <w:b/>
        </w:rPr>
      </w:pPr>
    </w:p>
    <w:p w14:paraId="52EDD79B" w14:textId="77777777" w:rsidR="000923BB" w:rsidRPr="009A3C62" w:rsidRDefault="000923BB" w:rsidP="000923BB">
      <w:pPr>
        <w:jc w:val="both"/>
        <w:rPr>
          <w:rFonts w:cs="Arial"/>
          <w:b/>
        </w:rPr>
      </w:pPr>
      <w:r w:rsidRPr="009A3C62">
        <w:rPr>
          <w:rFonts w:cs="Arial"/>
          <w:b/>
        </w:rPr>
        <w:lastRenderedPageBreak/>
        <w:t xml:space="preserve">Methods </w:t>
      </w:r>
    </w:p>
    <w:p w14:paraId="0975433B" w14:textId="77777777" w:rsidR="000923BB" w:rsidRPr="00B31C75" w:rsidRDefault="000923BB" w:rsidP="000923BB">
      <w:pPr>
        <w:ind w:left="1800"/>
        <w:jc w:val="both"/>
        <w:rPr>
          <w:rFonts w:cs="Arial"/>
          <w:sz w:val="22"/>
          <w:szCs w:val="22"/>
        </w:rPr>
      </w:pPr>
    </w:p>
    <w:p w14:paraId="72A0F3D0" w14:textId="77777777" w:rsidR="000923BB" w:rsidRDefault="000923BB" w:rsidP="000923BB">
      <w:pPr>
        <w:tabs>
          <w:tab w:val="left" w:pos="3828"/>
        </w:tabs>
        <w:jc w:val="both"/>
        <w:rPr>
          <w:rFonts w:cs="Arial"/>
          <w:b/>
          <w:sz w:val="22"/>
          <w:szCs w:val="22"/>
        </w:rPr>
      </w:pPr>
      <w:r>
        <w:rPr>
          <w:rFonts w:cs="Arial"/>
          <w:b/>
          <w:sz w:val="22"/>
          <w:szCs w:val="22"/>
        </w:rPr>
        <w:t>Choice of settings, review methods and staff</w:t>
      </w:r>
    </w:p>
    <w:p w14:paraId="23B67A69" w14:textId="77777777" w:rsidR="000923BB" w:rsidRPr="00B31C75" w:rsidRDefault="000923BB" w:rsidP="000923BB">
      <w:pPr>
        <w:tabs>
          <w:tab w:val="left" w:pos="3828"/>
        </w:tabs>
        <w:jc w:val="both"/>
        <w:rPr>
          <w:rFonts w:cs="Arial"/>
          <w:b/>
          <w:i/>
          <w:sz w:val="22"/>
          <w:szCs w:val="22"/>
        </w:rPr>
      </w:pPr>
      <w:r w:rsidRPr="00B31C75">
        <w:rPr>
          <w:rFonts w:cs="Arial"/>
          <w:b/>
          <w:i/>
          <w:sz w:val="22"/>
          <w:szCs w:val="22"/>
        </w:rPr>
        <w:t>Selection of study hospitals</w:t>
      </w:r>
    </w:p>
    <w:p w14:paraId="2A82CDC3" w14:textId="77777777" w:rsidR="000923BB" w:rsidRPr="005D0C0C" w:rsidRDefault="000923BB" w:rsidP="000923BB">
      <w:pPr>
        <w:tabs>
          <w:tab w:val="left" w:pos="3828"/>
        </w:tabs>
        <w:jc w:val="both"/>
        <w:rPr>
          <w:rFonts w:cs="Arial"/>
          <w:sz w:val="22"/>
          <w:szCs w:val="22"/>
        </w:rPr>
      </w:pPr>
      <w:r>
        <w:rPr>
          <w:rFonts w:cs="Arial"/>
          <w:sz w:val="22"/>
          <w:szCs w:val="22"/>
        </w:rPr>
        <w:t xml:space="preserve">In our original proposal we indicated that a total of 24 acute hospitals in England would contribute data to this process/outcome study, including the data from with the case note reviews in the initial eight (nine) hospitals in the reliability study. During the analysis of the first part of the study, it became clear that the method of data collection being selected for the outcomes study - using a single physician reviewer per condition per hospital and a compound method of reviewing - meant that the data from the reliability study could not contribute fully to the objectives of this outcome study.  Thus a total of 24 hospitals were separately recruited for this quality and outcomes study. </w:t>
      </w:r>
    </w:p>
    <w:p w14:paraId="771C6D7B" w14:textId="77777777" w:rsidR="000923BB" w:rsidRDefault="000923BB" w:rsidP="000923BB">
      <w:pPr>
        <w:jc w:val="both"/>
        <w:rPr>
          <w:rFonts w:cs="Arial"/>
          <w:sz w:val="22"/>
          <w:szCs w:val="22"/>
        </w:rPr>
      </w:pPr>
      <w:r>
        <w:rPr>
          <w:rFonts w:cs="Arial"/>
          <w:sz w:val="22"/>
          <w:szCs w:val="22"/>
        </w:rPr>
        <w:t>Selection of the hospitals used the same processes in the phase one reliability study.  First, Hospital Episode Statistics[33] on 28 day mortality data for COPD and Heart Failure were accessed through the East Midlands Public Health Observatory.  Hospitals were excluded from the selection process if they reported less than 200 in-patient cases per year for either condition, effectively excluding smaller or specialist acute hospitals.  There were 136 hospitals in the final data set.</w:t>
      </w:r>
    </w:p>
    <w:p w14:paraId="18A0F801" w14:textId="77777777" w:rsidR="000923BB" w:rsidRDefault="000923BB" w:rsidP="000923BB">
      <w:pPr>
        <w:jc w:val="both"/>
        <w:rPr>
          <w:rFonts w:cs="Arial"/>
          <w:sz w:val="22"/>
          <w:szCs w:val="22"/>
        </w:rPr>
      </w:pPr>
      <w:r>
        <w:rPr>
          <w:rFonts w:cs="Arial"/>
          <w:sz w:val="22"/>
          <w:szCs w:val="22"/>
        </w:rPr>
        <w:t xml:space="preserve">Second, twenty eight day mortality data for the two study conditions for each hospital was combined using simple averaging, to create an average 28 day mortality ratio for each hospital. Third, these were then ranked from the lowest mortality to the highest and the data was split into four quartiles.  And finally, from this ranking, hospitals were randomly selected in each of the lowest and the highest mortality quartiles. </w:t>
      </w:r>
    </w:p>
    <w:p w14:paraId="7256FCA0" w14:textId="77777777" w:rsidR="000923BB" w:rsidRDefault="000923BB" w:rsidP="000923BB">
      <w:pPr>
        <w:jc w:val="both"/>
        <w:rPr>
          <w:rFonts w:cs="Arial"/>
          <w:sz w:val="22"/>
        </w:rPr>
      </w:pPr>
      <w:r>
        <w:rPr>
          <w:rFonts w:cs="Arial"/>
          <w:sz w:val="22"/>
          <w:szCs w:val="22"/>
        </w:rPr>
        <w:t>The 20 hospitals selected for the reliability study were excluded from the selection process. T</w:t>
      </w:r>
      <w:r>
        <w:rPr>
          <w:rFonts w:cs="Arial"/>
          <w:sz w:val="22"/>
        </w:rPr>
        <w:t xml:space="preserve">hirty hospitals were then randomly selected from the remaining 116 in the data set, 15 from the lower mortality quartile and 15 from the higher mortality quartile.  Six additional hospitals over the proposed 24 were selected to take account of the likely drop-out rate during the recruitment and fieldwork phases of the study.  </w:t>
      </w:r>
    </w:p>
    <w:p w14:paraId="0E268428" w14:textId="77777777" w:rsidR="000923BB" w:rsidRDefault="000923BB" w:rsidP="000923BB">
      <w:pPr>
        <w:jc w:val="both"/>
        <w:rPr>
          <w:rFonts w:cs="Arial"/>
          <w:sz w:val="22"/>
        </w:rPr>
      </w:pPr>
      <w:r>
        <w:rPr>
          <w:rFonts w:cs="Arial"/>
          <w:sz w:val="22"/>
        </w:rPr>
        <w:t>At the commencement of data collection there were 25 hospitals included in the study.  However, only 20 hospitals in total, 10 each in the upper and lower mortality groups, were able to collect data on both COPD and heart failure.  Thus only 20 hospitals were included in the overall analysis.</w:t>
      </w:r>
    </w:p>
    <w:p w14:paraId="76A8BA16" w14:textId="77777777" w:rsidR="000923BB" w:rsidRDefault="000923BB" w:rsidP="000923BB">
      <w:pPr>
        <w:jc w:val="both"/>
        <w:rPr>
          <w:rFonts w:cs="Arial"/>
          <w:sz w:val="22"/>
        </w:rPr>
      </w:pPr>
    </w:p>
    <w:p w14:paraId="41F7C9BD" w14:textId="77777777" w:rsidR="000923BB" w:rsidRDefault="000923BB" w:rsidP="000923BB">
      <w:pPr>
        <w:jc w:val="both"/>
        <w:rPr>
          <w:rFonts w:cs="Arial"/>
          <w:sz w:val="22"/>
        </w:rPr>
      </w:pPr>
      <w:r>
        <w:rPr>
          <w:rFonts w:cs="Arial"/>
          <w:sz w:val="22"/>
        </w:rPr>
        <w:t>Figures I &amp; 2 demonstrate the mortality differences between the two groups of hospital included in the final analysis, each mortality group (upper and lower) containing 10 hospitals.</w:t>
      </w:r>
    </w:p>
    <w:p w14:paraId="5A03394A" w14:textId="77777777" w:rsidR="000923BB" w:rsidRDefault="000923BB" w:rsidP="000923BB">
      <w:pPr>
        <w:jc w:val="both"/>
        <w:rPr>
          <w:rFonts w:cs="Arial"/>
          <w:sz w:val="22"/>
        </w:rPr>
      </w:pPr>
    </w:p>
    <w:p w14:paraId="48B9BFB9" w14:textId="77777777" w:rsidR="000923BB" w:rsidRDefault="000923BB" w:rsidP="000923BB">
      <w:pPr>
        <w:jc w:val="both"/>
        <w:rPr>
          <w:rFonts w:cs="Arial"/>
          <w:sz w:val="22"/>
        </w:rPr>
      </w:pPr>
    </w:p>
    <w:p w14:paraId="18FCEF01" w14:textId="77777777" w:rsidR="000923BB" w:rsidRDefault="000923BB" w:rsidP="000923BB">
      <w:pPr>
        <w:jc w:val="both"/>
        <w:rPr>
          <w:rFonts w:cs="Arial"/>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1"/>
        <w:gridCol w:w="4221"/>
      </w:tblGrid>
      <w:tr w:rsidR="000923BB" w14:paraId="4648EDCF" w14:textId="77777777" w:rsidTr="009E2501">
        <w:tc>
          <w:tcPr>
            <w:tcW w:w="4089" w:type="dxa"/>
          </w:tcPr>
          <w:p w14:paraId="3A69C830" w14:textId="77777777" w:rsidR="000923BB" w:rsidRDefault="000923BB" w:rsidP="003A385F">
            <w:pPr>
              <w:rPr>
                <w:rFonts w:cs="Arial"/>
                <w:b/>
                <w:sz w:val="20"/>
                <w:szCs w:val="20"/>
              </w:rPr>
            </w:pPr>
            <w:r>
              <w:rPr>
                <w:rFonts w:cs="Arial"/>
                <w:b/>
                <w:sz w:val="20"/>
                <w:szCs w:val="20"/>
              </w:rPr>
              <w:t>Figure 1: Box plot of COPD/Heart Failure mortality showing differences between higher and lower mortality groups</w:t>
            </w:r>
          </w:p>
          <w:p w14:paraId="0731B694" w14:textId="77777777" w:rsidR="000923BB" w:rsidRDefault="000923BB" w:rsidP="003A385F">
            <w:pPr>
              <w:rPr>
                <w:rFonts w:cs="Arial"/>
                <w:sz w:val="20"/>
                <w:szCs w:val="20"/>
              </w:rPr>
            </w:pPr>
          </w:p>
        </w:tc>
        <w:tc>
          <w:tcPr>
            <w:tcW w:w="4325" w:type="dxa"/>
          </w:tcPr>
          <w:p w14:paraId="1935F6C7" w14:textId="77777777" w:rsidR="000923BB" w:rsidRDefault="000923BB" w:rsidP="003A385F">
            <w:pPr>
              <w:rPr>
                <w:rFonts w:cs="Arial"/>
                <w:b/>
                <w:sz w:val="20"/>
                <w:szCs w:val="20"/>
              </w:rPr>
            </w:pPr>
            <w:r>
              <w:rPr>
                <w:rFonts w:cs="Arial"/>
                <w:b/>
                <w:sz w:val="20"/>
                <w:szCs w:val="20"/>
              </w:rPr>
              <w:t>Figure 2: Bar chart showing individual hospital level mortality rate differences</w:t>
            </w:r>
          </w:p>
        </w:tc>
      </w:tr>
      <w:tr w:rsidR="000923BB" w14:paraId="1ECEEDBD" w14:textId="77777777" w:rsidTr="009E2501">
        <w:tc>
          <w:tcPr>
            <w:tcW w:w="4089" w:type="dxa"/>
          </w:tcPr>
          <w:p w14:paraId="76D7FCE8" w14:textId="77777777" w:rsidR="000923BB" w:rsidRDefault="000923BB" w:rsidP="003A385F">
            <w:pPr>
              <w:autoSpaceDE w:val="0"/>
              <w:autoSpaceDN w:val="0"/>
              <w:adjustRightInd w:val="0"/>
            </w:pPr>
            <w:r>
              <w:rPr>
                <w:rFonts w:cs="Arial"/>
                <w:noProof/>
                <w:sz w:val="14"/>
                <w:szCs w:val="14"/>
                <w:lang w:eastAsia="en-GB" w:bidi="ar-SA"/>
              </w:rPr>
              <w:drawing>
                <wp:inline distT="0" distB="0" distL="0" distR="0" wp14:anchorId="2FBA1940" wp14:editId="11678352">
                  <wp:extent cx="2425065" cy="193992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srcRect/>
                          <a:stretch>
                            <a:fillRect/>
                          </a:stretch>
                        </pic:blipFill>
                        <pic:spPr bwMode="auto">
                          <a:xfrm>
                            <a:off x="0" y="0"/>
                            <a:ext cx="2425065" cy="1939925"/>
                          </a:xfrm>
                          <a:prstGeom prst="rect">
                            <a:avLst/>
                          </a:prstGeom>
                          <a:noFill/>
                          <a:ln w="9525">
                            <a:noFill/>
                            <a:miter lim="800000"/>
                            <a:headEnd/>
                            <a:tailEnd/>
                          </a:ln>
                        </pic:spPr>
                      </pic:pic>
                    </a:graphicData>
                  </a:graphic>
                </wp:inline>
              </w:drawing>
            </w:r>
          </w:p>
        </w:tc>
        <w:tc>
          <w:tcPr>
            <w:tcW w:w="4325" w:type="dxa"/>
          </w:tcPr>
          <w:p w14:paraId="570E40E6" w14:textId="4173EC7E" w:rsidR="000923BB" w:rsidRDefault="00003011" w:rsidP="003A385F">
            <w:pPr>
              <w:autoSpaceDE w:val="0"/>
              <w:autoSpaceDN w:val="0"/>
              <w:adjustRightInd w:val="0"/>
            </w:pPr>
            <w:r>
              <w:rPr>
                <w:rFonts w:cs="Arial"/>
                <w:noProof/>
              </w:rPr>
              <mc:AlternateContent>
                <mc:Choice Requires="wps">
                  <w:drawing>
                    <wp:anchor distT="0" distB="0" distL="114300" distR="114300" simplePos="0" relativeHeight="252659712" behindDoc="0" locked="0" layoutInCell="1" allowOverlap="1" wp14:anchorId="4B2596D0" wp14:editId="16C93E9E">
                      <wp:simplePos x="0" y="0"/>
                      <wp:positionH relativeFrom="column">
                        <wp:posOffset>790575</wp:posOffset>
                      </wp:positionH>
                      <wp:positionV relativeFrom="paragraph">
                        <wp:posOffset>1868170</wp:posOffset>
                      </wp:positionV>
                      <wp:extent cx="835025" cy="699770"/>
                      <wp:effectExtent l="7620" t="13335" r="5080" b="10795"/>
                      <wp:wrapNone/>
                      <wp:docPr id="85"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699770"/>
                              </a:xfrm>
                              <a:prstGeom prst="rect">
                                <a:avLst/>
                              </a:prstGeom>
                              <a:solidFill>
                                <a:srgbClr val="FFFFFF"/>
                              </a:solidFill>
                              <a:ln w="9525">
                                <a:solidFill>
                                  <a:srgbClr val="000000"/>
                                </a:solidFill>
                                <a:miter lim="800000"/>
                                <a:headEnd/>
                                <a:tailEnd/>
                              </a:ln>
                            </wps:spPr>
                            <wps:txbx>
                              <w:txbxContent>
                                <w:p w14:paraId="3CEF229F" w14:textId="77777777" w:rsidR="001C117D" w:rsidRPr="0075401A" w:rsidRDefault="001C117D" w:rsidP="000923BB">
                                  <w:pPr>
                                    <w:rPr>
                                      <w:b/>
                                      <w:sz w:val="16"/>
                                      <w:szCs w:val="16"/>
                                    </w:rPr>
                                  </w:pPr>
                                  <w:r w:rsidRPr="0075401A">
                                    <w:rPr>
                                      <w:b/>
                                      <w:sz w:val="16"/>
                                      <w:szCs w:val="16"/>
                                    </w:rPr>
                                    <w:t>Hospitals with lower mortality</w:t>
                                  </w:r>
                                  <w:r>
                                    <w:rPr>
                                      <w:b/>
                                      <w:sz w:val="16"/>
                                      <w:szCs w:val="16"/>
                                    </w:rPr>
                                    <w:t>, n=10</w:t>
                                  </w:r>
                                  <w:r w:rsidRPr="0075401A">
                                    <w:rPr>
                                      <w:b/>
                                      <w:sz w:val="16"/>
                                      <w:szCs w:val="16"/>
                                    </w:rPr>
                                    <w:t xml:space="preserve"> </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596D0" id="Text Box 1033" o:spid="_x0000_s1086" type="#_x0000_t202" style="position:absolute;margin-left:62.25pt;margin-top:147.1pt;width:65.75pt;height:55.1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">
                      <v:textbox inset="1.5mm,,1.5mm">
                        <w:txbxContent>
                          <w:p w14:paraId="3CEF229F" w14:textId="77777777" w:rsidR="001C117D" w:rsidRPr="0075401A" w:rsidRDefault="001C117D" w:rsidP="000923BB">
                            <w:pPr>
                              <w:rPr>
                                <w:b/>
                                <w:sz w:val="16"/>
                                <w:szCs w:val="16"/>
                              </w:rPr>
                            </w:pPr>
                            <w:r w:rsidRPr="0075401A">
                              <w:rPr>
                                <w:b/>
                                <w:sz w:val="16"/>
                                <w:szCs w:val="16"/>
                              </w:rPr>
                              <w:t>Hospitals with lower mortality</w:t>
                            </w:r>
                            <w:r>
                              <w:rPr>
                                <w:b/>
                                <w:sz w:val="16"/>
                                <w:szCs w:val="16"/>
                              </w:rPr>
                              <w:t>, n=10</w:t>
                            </w:r>
                            <w:r w:rsidRPr="0075401A">
                              <w:rPr>
                                <w:b/>
                                <w:sz w:val="16"/>
                                <w:szCs w:val="16"/>
                              </w:rPr>
                              <w:t xml:space="preserve"> </w:t>
                            </w:r>
                          </w:p>
                        </w:txbxContent>
                      </v:textbox>
                    </v:shape>
                  </w:pict>
                </mc:Fallback>
              </mc:AlternateContent>
            </w:r>
            <w:r>
              <w:rPr>
                <w:rFonts w:cs="Arial"/>
                <w:noProof/>
              </w:rPr>
              <mc:AlternateContent>
                <mc:Choice Requires="wps">
                  <w:drawing>
                    <wp:anchor distT="0" distB="0" distL="114300" distR="114300" simplePos="0" relativeHeight="252660736" behindDoc="0" locked="0" layoutInCell="1" allowOverlap="1" wp14:anchorId="7C1781F9" wp14:editId="71C0329D">
                      <wp:simplePos x="0" y="0"/>
                      <wp:positionH relativeFrom="column">
                        <wp:posOffset>1685925</wp:posOffset>
                      </wp:positionH>
                      <wp:positionV relativeFrom="paragraph">
                        <wp:posOffset>1868170</wp:posOffset>
                      </wp:positionV>
                      <wp:extent cx="863600" cy="586740"/>
                      <wp:effectExtent l="7620" t="13335" r="5080" b="9525"/>
                      <wp:wrapNone/>
                      <wp:docPr id="84"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586740"/>
                              </a:xfrm>
                              <a:prstGeom prst="rect">
                                <a:avLst/>
                              </a:prstGeom>
                              <a:solidFill>
                                <a:srgbClr val="FFFFFF"/>
                              </a:solidFill>
                              <a:ln w="9525">
                                <a:solidFill>
                                  <a:srgbClr val="000000"/>
                                </a:solidFill>
                                <a:miter lim="800000"/>
                                <a:headEnd/>
                                <a:tailEnd/>
                              </a:ln>
                            </wps:spPr>
                            <wps:txbx>
                              <w:txbxContent>
                                <w:p w14:paraId="2B2E6E8D" w14:textId="77777777" w:rsidR="001C117D" w:rsidRPr="0075401A" w:rsidRDefault="001C117D" w:rsidP="000923BB">
                                  <w:pPr>
                                    <w:rPr>
                                      <w:b/>
                                      <w:sz w:val="16"/>
                                      <w:szCs w:val="16"/>
                                    </w:rPr>
                                  </w:pPr>
                                  <w:r>
                                    <w:rPr>
                                      <w:b/>
                                      <w:sz w:val="16"/>
                                      <w:szCs w:val="16"/>
                                    </w:rPr>
                                    <w:t>Hospitals with higher mortality, n=10</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781F9" id="Text Box 1034" o:spid="_x0000_s1087" type="#_x0000_t202" style="position:absolute;margin-left:132.75pt;margin-top:147.1pt;width:68pt;height:46.2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">
                      <v:textbox inset="1.5mm,,1.5mm">
                        <w:txbxContent>
                          <w:p w14:paraId="2B2E6E8D" w14:textId="77777777" w:rsidR="001C117D" w:rsidRPr="0075401A" w:rsidRDefault="001C117D" w:rsidP="000923BB">
                            <w:pPr>
                              <w:rPr>
                                <w:b/>
                                <w:sz w:val="16"/>
                                <w:szCs w:val="16"/>
                              </w:rPr>
                            </w:pPr>
                            <w:r>
                              <w:rPr>
                                <w:b/>
                                <w:sz w:val="16"/>
                                <w:szCs w:val="16"/>
                              </w:rPr>
                              <w:t>Hospitals with higher mortality, n=10</w:t>
                            </w:r>
                          </w:p>
                        </w:txbxContent>
                      </v:textbox>
                    </v:shape>
                  </w:pict>
                </mc:Fallback>
              </mc:AlternateContent>
            </w:r>
            <w:r w:rsidR="000923BB">
              <w:rPr>
                <w:rFonts w:cs="Arial"/>
                <w:noProof/>
                <w:sz w:val="14"/>
                <w:szCs w:val="14"/>
                <w:lang w:eastAsia="en-GB" w:bidi="ar-SA"/>
              </w:rPr>
              <w:drawing>
                <wp:inline distT="0" distB="0" distL="0" distR="0" wp14:anchorId="2CE23A8C" wp14:editId="7DECE7E5">
                  <wp:extent cx="2528570" cy="2019935"/>
                  <wp:effectExtent l="1905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srcRect/>
                          <a:stretch>
                            <a:fillRect/>
                          </a:stretch>
                        </pic:blipFill>
                        <pic:spPr bwMode="auto">
                          <a:xfrm>
                            <a:off x="0" y="0"/>
                            <a:ext cx="2528570" cy="2019935"/>
                          </a:xfrm>
                          <a:prstGeom prst="rect">
                            <a:avLst/>
                          </a:prstGeom>
                          <a:noFill/>
                          <a:ln w="9525">
                            <a:noFill/>
                            <a:miter lim="800000"/>
                            <a:headEnd/>
                            <a:tailEnd/>
                          </a:ln>
                        </pic:spPr>
                      </pic:pic>
                    </a:graphicData>
                  </a:graphic>
                </wp:inline>
              </w:drawing>
            </w:r>
          </w:p>
          <w:p w14:paraId="58DC91B1" w14:textId="77777777" w:rsidR="000923BB" w:rsidRDefault="000923BB" w:rsidP="003A385F">
            <w:pPr>
              <w:autoSpaceDE w:val="0"/>
              <w:autoSpaceDN w:val="0"/>
              <w:adjustRightInd w:val="0"/>
            </w:pPr>
          </w:p>
          <w:p w14:paraId="20CE20D9" w14:textId="77777777" w:rsidR="000923BB" w:rsidRDefault="000923BB" w:rsidP="003A385F">
            <w:pPr>
              <w:rPr>
                <w:rFonts w:cs="Arial"/>
              </w:rPr>
            </w:pPr>
          </w:p>
        </w:tc>
      </w:tr>
    </w:tbl>
    <w:p w14:paraId="03833B63" w14:textId="77777777" w:rsidR="000923BB" w:rsidRDefault="000923BB" w:rsidP="000923BB">
      <w:pPr>
        <w:pStyle w:val="Heading2"/>
        <w:rPr>
          <w:i/>
          <w:iCs/>
          <w:sz w:val="22"/>
          <w:szCs w:val="22"/>
        </w:rPr>
      </w:pPr>
    </w:p>
    <w:p w14:paraId="5C8A02A1" w14:textId="77777777" w:rsidR="000923BB" w:rsidRPr="003B5BBB" w:rsidRDefault="000923BB" w:rsidP="000923BB">
      <w:pPr>
        <w:jc w:val="both"/>
        <w:rPr>
          <w:rFonts w:cs="Arial"/>
          <w:b/>
          <w:i/>
          <w:sz w:val="22"/>
        </w:rPr>
      </w:pPr>
      <w:r w:rsidRPr="003B5BBB">
        <w:rPr>
          <w:rFonts w:cs="Arial"/>
          <w:b/>
          <w:i/>
          <w:sz w:val="22"/>
        </w:rPr>
        <w:t xml:space="preserve">Selection of review conditions </w:t>
      </w:r>
    </w:p>
    <w:p w14:paraId="3593C723" w14:textId="77777777" w:rsidR="000923BB" w:rsidRDefault="000923BB" w:rsidP="000923BB">
      <w:pPr>
        <w:jc w:val="both"/>
        <w:rPr>
          <w:rFonts w:cs="Arial"/>
          <w:sz w:val="22"/>
          <w:szCs w:val="22"/>
        </w:rPr>
      </w:pPr>
      <w:r>
        <w:rPr>
          <w:rFonts w:cs="Arial"/>
          <w:sz w:val="22"/>
        </w:rPr>
        <w:t>This quality and outcomes study used the same two conditions as in the phase one study – namely, admissions for acute exacerbation of COPD and of heart failure – in each study hospital.</w:t>
      </w:r>
      <w:r w:rsidR="00886AA0">
        <w:rPr>
          <w:rFonts w:cs="Arial"/>
          <w:sz w:val="22"/>
        </w:rPr>
        <w:t xml:space="preserve"> </w:t>
      </w:r>
      <w:r>
        <w:rPr>
          <w:rFonts w:cs="Arial"/>
          <w:sz w:val="22"/>
          <w:szCs w:val="22"/>
        </w:rPr>
        <w:t>These working definitions for data collection were (Box 1):</w:t>
      </w:r>
    </w:p>
    <w:p w14:paraId="014B4BBB" w14:textId="77777777" w:rsidR="000923BB" w:rsidRDefault="000923BB" w:rsidP="000923BB">
      <w:pPr>
        <w:jc w:val="both"/>
        <w:rPr>
          <w:rFonts w:cs="Arial"/>
          <w:sz w:val="22"/>
          <w:szCs w:val="22"/>
        </w:rPr>
      </w:pPr>
    </w:p>
    <w:p w14:paraId="40A4F962" w14:textId="77777777" w:rsidR="000923BB" w:rsidRPr="00DA3E19" w:rsidRDefault="000923BB" w:rsidP="000923BB">
      <w:pPr>
        <w:jc w:val="both"/>
        <w:rPr>
          <w:rFonts w:cs="Arial"/>
          <w:b/>
          <w:sz w:val="22"/>
          <w:szCs w:val="22"/>
        </w:rPr>
      </w:pPr>
      <w:smartTag w:uri="urn:schemas-microsoft-com:office:smarttags" w:element="address">
        <w:smartTag w:uri="urn:schemas-microsoft-com:office:smarttags" w:element="Street">
          <w:r w:rsidRPr="00DA3E19">
            <w:rPr>
              <w:rFonts w:cs="Arial"/>
              <w:b/>
              <w:sz w:val="22"/>
              <w:szCs w:val="22"/>
            </w:rPr>
            <w:t>Box</w:t>
          </w:r>
        </w:smartTag>
        <w:r w:rsidRPr="00DA3E19">
          <w:rPr>
            <w:rFonts w:cs="Arial"/>
            <w:b/>
            <w:sz w:val="22"/>
            <w:szCs w:val="22"/>
          </w:rPr>
          <w:t xml:space="preserve"> 1</w:t>
        </w:r>
      </w:smartTag>
    </w:p>
    <w:p w14:paraId="14000424" w14:textId="77777777" w:rsidR="000923BB" w:rsidRDefault="009E2501" w:rsidP="000923BB">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color w:val="000000"/>
          <w:sz w:val="22"/>
          <w:szCs w:val="22"/>
          <w:u w:val="single"/>
        </w:rPr>
      </w:pPr>
      <w:r>
        <w:rPr>
          <w:rFonts w:cs="Arial"/>
          <w:color w:val="000000"/>
          <w:sz w:val="22"/>
          <w:szCs w:val="22"/>
          <w:u w:val="single"/>
        </w:rPr>
        <w:t xml:space="preserve"> </w:t>
      </w:r>
      <w:r w:rsidR="000923BB">
        <w:rPr>
          <w:rFonts w:cs="Arial"/>
          <w:color w:val="000000"/>
          <w:sz w:val="22"/>
          <w:szCs w:val="22"/>
          <w:u w:val="single"/>
        </w:rPr>
        <w:t>D</w:t>
      </w:r>
      <w:r w:rsidR="000923BB" w:rsidRPr="00707CCD">
        <w:rPr>
          <w:rFonts w:cs="Arial"/>
          <w:color w:val="000000"/>
          <w:sz w:val="22"/>
          <w:szCs w:val="22"/>
          <w:u w:val="single"/>
        </w:rPr>
        <w:t xml:space="preserve">efinition of an exacerbation of COPD: </w:t>
      </w:r>
    </w:p>
    <w:p w14:paraId="5FAB885B" w14:textId="77777777" w:rsidR="000923BB" w:rsidRPr="00707CCD" w:rsidRDefault="009E2501" w:rsidP="000923BB">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sz w:val="22"/>
          <w:szCs w:val="22"/>
        </w:rPr>
      </w:pPr>
      <w:r>
        <w:rPr>
          <w:rFonts w:cs="Arial"/>
          <w:color w:val="000000"/>
          <w:sz w:val="22"/>
          <w:szCs w:val="22"/>
        </w:rPr>
        <w:t xml:space="preserve"> </w:t>
      </w:r>
      <w:r w:rsidR="000923BB" w:rsidRPr="00707CCD">
        <w:rPr>
          <w:rFonts w:cs="Arial"/>
          <w:color w:val="000000"/>
          <w:sz w:val="22"/>
          <w:szCs w:val="22"/>
        </w:rPr>
        <w:t xml:space="preserve">“An exacerbation is a sustained worsening of the patient’s symptoms from their usual </w:t>
      </w:r>
      <w:r>
        <w:rPr>
          <w:rFonts w:cs="Arial"/>
          <w:color w:val="000000"/>
          <w:sz w:val="22"/>
          <w:szCs w:val="22"/>
        </w:rPr>
        <w:t xml:space="preserve">  </w:t>
      </w:r>
      <w:r w:rsidR="000923BB" w:rsidRPr="00707CCD">
        <w:rPr>
          <w:rFonts w:cs="Arial"/>
          <w:color w:val="000000"/>
          <w:sz w:val="22"/>
          <w:szCs w:val="22"/>
        </w:rPr>
        <w:t xml:space="preserve">stable state which is beyond normal day-to-day variations, and is acute in onset. </w:t>
      </w:r>
      <w:r w:rsidR="00F244BB">
        <w:rPr>
          <w:rFonts w:cs="Arial"/>
          <w:color w:val="000000"/>
          <w:sz w:val="22"/>
          <w:szCs w:val="22"/>
        </w:rPr>
        <w:t xml:space="preserve"> </w:t>
      </w:r>
      <w:r w:rsidR="000923BB" w:rsidRPr="00707CCD">
        <w:rPr>
          <w:rFonts w:cs="Arial"/>
          <w:color w:val="000000"/>
          <w:sz w:val="22"/>
          <w:szCs w:val="22"/>
        </w:rPr>
        <w:t>Commonly reported symptoms are worsening breathlessness, cough, increased sputum production and change in sputum colour.”</w:t>
      </w:r>
      <w:r w:rsidR="000923BB">
        <w:rPr>
          <w:rFonts w:cs="Arial"/>
          <w:color w:val="000000"/>
          <w:sz w:val="22"/>
          <w:szCs w:val="22"/>
        </w:rPr>
        <w:t xml:space="preserve"> </w:t>
      </w:r>
      <w:r w:rsidR="000923BB" w:rsidRPr="00D0176E">
        <w:rPr>
          <w:rFonts w:cs="Arial"/>
          <w:color w:val="000000"/>
          <w:sz w:val="22"/>
          <w:szCs w:val="22"/>
        </w:rPr>
        <w:t>[</w:t>
      </w:r>
      <w:r w:rsidR="000923BB">
        <w:rPr>
          <w:rFonts w:cs="Arial"/>
          <w:color w:val="000000"/>
          <w:sz w:val="22"/>
          <w:szCs w:val="22"/>
        </w:rPr>
        <w:t xml:space="preserve">31]  </w:t>
      </w:r>
    </w:p>
    <w:p w14:paraId="529AFC80" w14:textId="77777777" w:rsidR="00C335C2" w:rsidRDefault="00F244BB" w:rsidP="00C335C2">
      <w:pPr>
        <w:pBdr>
          <w:top w:val="single" w:sz="4" w:space="1" w:color="auto"/>
          <w:left w:val="single" w:sz="4" w:space="4" w:color="auto"/>
          <w:bottom w:val="single" w:sz="4" w:space="1" w:color="auto"/>
          <w:right w:val="single" w:sz="4" w:space="1" w:color="auto"/>
        </w:pBdr>
        <w:jc w:val="both"/>
        <w:rPr>
          <w:rFonts w:cs="Arial"/>
          <w:sz w:val="22"/>
          <w:szCs w:val="22"/>
        </w:rPr>
      </w:pPr>
      <w:r>
        <w:rPr>
          <w:rFonts w:cs="Arial"/>
          <w:color w:val="000000"/>
          <w:sz w:val="22"/>
          <w:szCs w:val="22"/>
          <w:u w:val="single"/>
        </w:rPr>
        <w:t xml:space="preserve"> </w:t>
      </w:r>
      <w:r w:rsidR="000923BB">
        <w:rPr>
          <w:rFonts w:cs="Arial"/>
          <w:color w:val="000000"/>
          <w:sz w:val="22"/>
          <w:szCs w:val="22"/>
          <w:u w:val="single"/>
        </w:rPr>
        <w:t>D</w:t>
      </w:r>
      <w:r w:rsidR="000923BB" w:rsidRPr="00707CCD">
        <w:rPr>
          <w:rFonts w:cs="Arial"/>
          <w:color w:val="000000"/>
          <w:sz w:val="22"/>
          <w:szCs w:val="22"/>
          <w:u w:val="single"/>
        </w:rPr>
        <w:t xml:space="preserve">efinition of an exacerbation </w:t>
      </w:r>
      <w:r w:rsidR="000923BB">
        <w:rPr>
          <w:rFonts w:cs="Arial"/>
          <w:color w:val="000000"/>
          <w:sz w:val="22"/>
          <w:szCs w:val="22"/>
          <w:u w:val="single"/>
        </w:rPr>
        <w:t xml:space="preserve">of </w:t>
      </w:r>
      <w:r w:rsidR="000923BB" w:rsidRPr="00707CCD">
        <w:rPr>
          <w:rFonts w:cs="Arial"/>
          <w:color w:val="000000"/>
          <w:sz w:val="22"/>
          <w:szCs w:val="22"/>
          <w:u w:val="single"/>
        </w:rPr>
        <w:t>Heart Failure</w:t>
      </w:r>
      <w:r w:rsidR="000923BB">
        <w:rPr>
          <w:rFonts w:cs="Arial"/>
          <w:color w:val="000000"/>
          <w:sz w:val="22"/>
          <w:szCs w:val="22"/>
          <w:u w:val="single"/>
        </w:rPr>
        <w:t>:</w:t>
      </w:r>
      <w:r w:rsidR="00C335C2" w:rsidRPr="00C335C2">
        <w:rPr>
          <w:rFonts w:cs="Arial"/>
          <w:color w:val="000000"/>
          <w:sz w:val="22"/>
          <w:szCs w:val="22"/>
        </w:rPr>
        <w:t xml:space="preserve"> </w:t>
      </w:r>
      <w:r w:rsidR="00C335C2" w:rsidRPr="00707CCD">
        <w:rPr>
          <w:rFonts w:cs="Arial"/>
          <w:color w:val="000000"/>
          <w:sz w:val="22"/>
          <w:szCs w:val="22"/>
        </w:rPr>
        <w:t>An exacerbation of heart failure is a sustained worsening of the patient's symptoms from their usual stable state which is beyond normal day-to-day variations, and is acute in onset. Commonly reported symptoms are worsening breathlessness, tiredness and swelling of the feet and/or ankles."</w:t>
      </w:r>
      <w:r w:rsidR="00C335C2">
        <w:rPr>
          <w:rFonts w:cs="Arial"/>
          <w:color w:val="000000"/>
          <w:sz w:val="22"/>
          <w:szCs w:val="22"/>
        </w:rPr>
        <w:t xml:space="preserve"> [22]  </w:t>
      </w:r>
    </w:p>
    <w:p w14:paraId="1ED5947E" w14:textId="77777777" w:rsidR="00C335C2" w:rsidRDefault="00C335C2" w:rsidP="000923BB">
      <w:pPr>
        <w:jc w:val="both"/>
        <w:rPr>
          <w:rFonts w:cs="Arial"/>
          <w:i/>
          <w:sz w:val="22"/>
        </w:rPr>
      </w:pPr>
    </w:p>
    <w:p w14:paraId="02AE5F06" w14:textId="77777777" w:rsidR="00C335C2" w:rsidRDefault="00C335C2" w:rsidP="000923BB">
      <w:pPr>
        <w:jc w:val="both"/>
        <w:rPr>
          <w:rFonts w:cs="Arial"/>
          <w:i/>
          <w:sz w:val="22"/>
        </w:rPr>
      </w:pPr>
    </w:p>
    <w:p w14:paraId="768013F6" w14:textId="77777777" w:rsidR="000923BB" w:rsidRPr="00F01CB7" w:rsidRDefault="00886AA0" w:rsidP="000923BB">
      <w:pPr>
        <w:jc w:val="both"/>
        <w:rPr>
          <w:rFonts w:cs="Arial"/>
          <w:b/>
          <w:i/>
          <w:sz w:val="22"/>
        </w:rPr>
      </w:pPr>
      <w:r w:rsidRPr="00886AA0">
        <w:rPr>
          <w:rFonts w:cs="Arial"/>
          <w:i/>
          <w:sz w:val="22"/>
        </w:rPr>
        <w:lastRenderedPageBreak/>
        <w:t>N</w:t>
      </w:r>
      <w:r w:rsidR="000923BB" w:rsidRPr="00F01CB7">
        <w:rPr>
          <w:rFonts w:cs="Arial"/>
          <w:b/>
          <w:i/>
          <w:sz w:val="22"/>
        </w:rPr>
        <w:t>umber of case notes for review</w:t>
      </w:r>
      <w:r w:rsidR="000923BB">
        <w:rPr>
          <w:rFonts w:cs="Arial"/>
          <w:b/>
          <w:i/>
          <w:sz w:val="22"/>
        </w:rPr>
        <w:t xml:space="preserve"> and of reviews</w:t>
      </w:r>
    </w:p>
    <w:p w14:paraId="2A8AB9B5" w14:textId="77777777" w:rsidR="000923BB" w:rsidRDefault="000923BB" w:rsidP="000923BB">
      <w:pPr>
        <w:jc w:val="both"/>
        <w:rPr>
          <w:rFonts w:cs="Arial"/>
          <w:sz w:val="22"/>
        </w:rPr>
      </w:pPr>
    </w:p>
    <w:p w14:paraId="2703308B" w14:textId="77777777" w:rsidR="000923BB" w:rsidRDefault="000923BB" w:rsidP="000923BB">
      <w:pPr>
        <w:jc w:val="both"/>
        <w:rPr>
          <w:rFonts w:cs="Arial"/>
          <w:sz w:val="22"/>
        </w:rPr>
      </w:pPr>
      <w:r>
        <w:rPr>
          <w:rFonts w:cs="Arial"/>
          <w:sz w:val="22"/>
        </w:rPr>
        <w:t xml:space="preserve">Analysis of the data from the first part of the study suggested that 40 case notes would be an appropriate number to review at each hospital, for each condition, in a study that was to seek associations between recorded quality of care and hospital level outcomes.  Furthermore, review of 40 case notes has been shown in the UK </w:t>
      </w:r>
      <w:r w:rsidRPr="00F01076">
        <w:rPr>
          <w:rFonts w:cs="Arial"/>
          <w:sz w:val="22"/>
        </w:rPr>
        <w:t>Stroke and COPD national audits</w:t>
      </w:r>
      <w:r>
        <w:rPr>
          <w:rFonts w:cs="Arial"/>
          <w:sz w:val="22"/>
        </w:rPr>
        <w:t>[47][34] to be practical and to yield useful data.  In contrast to the earlier analysis, it was not intended to undertake intra-rater and inter-rater reliability analyses, so it was not necessary for each set of records to be reviewed more than once.</w:t>
      </w:r>
    </w:p>
    <w:p w14:paraId="406A0B87" w14:textId="77777777" w:rsidR="000923BB" w:rsidRPr="005D0C0C" w:rsidRDefault="000923BB" w:rsidP="000923BB">
      <w:pPr>
        <w:jc w:val="both"/>
        <w:rPr>
          <w:rFonts w:cs="Arial"/>
          <w:sz w:val="22"/>
          <w:szCs w:val="22"/>
        </w:rPr>
      </w:pPr>
    </w:p>
    <w:p w14:paraId="3F491B60" w14:textId="77777777" w:rsidR="000923BB" w:rsidRPr="005D0C0C" w:rsidRDefault="000923BB" w:rsidP="000923BB">
      <w:pPr>
        <w:jc w:val="both"/>
        <w:rPr>
          <w:rFonts w:cs="Arial"/>
          <w:sz w:val="22"/>
          <w:szCs w:val="22"/>
        </w:rPr>
      </w:pPr>
      <w:r w:rsidRPr="005D0C0C">
        <w:rPr>
          <w:rFonts w:cs="Arial"/>
          <w:sz w:val="22"/>
          <w:szCs w:val="22"/>
        </w:rPr>
        <w:t xml:space="preserve">In </w:t>
      </w:r>
      <w:r>
        <w:rPr>
          <w:rFonts w:cs="Arial"/>
          <w:sz w:val="22"/>
          <w:szCs w:val="22"/>
        </w:rPr>
        <w:t>our proposal for phase two of the study we said that i</w:t>
      </w:r>
      <w:r w:rsidRPr="005D0C0C">
        <w:rPr>
          <w:rFonts w:cs="Arial"/>
          <w:sz w:val="22"/>
          <w:szCs w:val="22"/>
        </w:rPr>
        <w:t xml:space="preserve">n order to </w:t>
      </w:r>
      <w:r>
        <w:rPr>
          <w:rFonts w:cs="Arial"/>
          <w:sz w:val="22"/>
          <w:szCs w:val="22"/>
        </w:rPr>
        <w:t>test the reliability of the review process</w:t>
      </w:r>
      <w:r w:rsidRPr="005D0C0C">
        <w:rPr>
          <w:rFonts w:cs="Arial"/>
          <w:sz w:val="22"/>
          <w:szCs w:val="22"/>
        </w:rPr>
        <w:t xml:space="preserve">, 10 </w:t>
      </w:r>
      <w:r>
        <w:rPr>
          <w:rFonts w:cs="Arial"/>
          <w:sz w:val="22"/>
          <w:szCs w:val="22"/>
        </w:rPr>
        <w:t>sets of case notes per condition per hospital would</w:t>
      </w:r>
      <w:r w:rsidRPr="005D0C0C">
        <w:rPr>
          <w:rFonts w:cs="Arial"/>
          <w:sz w:val="22"/>
          <w:szCs w:val="22"/>
        </w:rPr>
        <w:t xml:space="preserve"> be double reviewed</w:t>
      </w:r>
      <w:r>
        <w:rPr>
          <w:rFonts w:cs="Arial"/>
          <w:sz w:val="22"/>
          <w:szCs w:val="22"/>
        </w:rPr>
        <w:t xml:space="preserve"> (rather than double reviewing all case notes)</w:t>
      </w:r>
      <w:r w:rsidRPr="005D0C0C">
        <w:rPr>
          <w:rFonts w:cs="Arial"/>
          <w:sz w:val="22"/>
          <w:szCs w:val="22"/>
        </w:rPr>
        <w:t xml:space="preserve">. </w:t>
      </w:r>
      <w:r>
        <w:rPr>
          <w:rFonts w:cs="Arial"/>
          <w:sz w:val="22"/>
          <w:szCs w:val="22"/>
        </w:rPr>
        <w:t xml:space="preserve">However this target of 10 double reviews proved not possible, partly because of the costs involved in undertaking the double reviews and partly because of inability to recruit second reviewers of the same staff type, beyond the 50 reviewers already required. </w:t>
      </w:r>
    </w:p>
    <w:p w14:paraId="72AC09D7" w14:textId="77777777" w:rsidR="000923BB" w:rsidRDefault="000923BB" w:rsidP="000923BB">
      <w:pPr>
        <w:jc w:val="both"/>
        <w:rPr>
          <w:rFonts w:cs="Arial"/>
          <w:sz w:val="22"/>
        </w:rPr>
      </w:pPr>
    </w:p>
    <w:p w14:paraId="4D026063" w14:textId="77777777" w:rsidR="000923BB" w:rsidRPr="005202E7" w:rsidRDefault="000923BB" w:rsidP="000923BB">
      <w:pPr>
        <w:jc w:val="both"/>
        <w:rPr>
          <w:rFonts w:cs="Arial"/>
          <w:b/>
          <w:i/>
          <w:sz w:val="22"/>
        </w:rPr>
      </w:pPr>
      <w:r w:rsidRPr="005202E7">
        <w:rPr>
          <w:rFonts w:cs="Arial"/>
          <w:b/>
          <w:i/>
          <w:sz w:val="22"/>
        </w:rPr>
        <w:t xml:space="preserve">Choice </w:t>
      </w:r>
      <w:r>
        <w:rPr>
          <w:rFonts w:cs="Arial"/>
          <w:b/>
          <w:i/>
          <w:sz w:val="22"/>
        </w:rPr>
        <w:t xml:space="preserve">and recruitment </w:t>
      </w:r>
      <w:r w:rsidRPr="005202E7">
        <w:rPr>
          <w:rFonts w:cs="Arial"/>
          <w:b/>
          <w:i/>
          <w:sz w:val="22"/>
        </w:rPr>
        <w:t>of reviewers</w:t>
      </w:r>
    </w:p>
    <w:p w14:paraId="6F38835D" w14:textId="77777777" w:rsidR="000923BB" w:rsidRDefault="000923BB" w:rsidP="000923BB">
      <w:pPr>
        <w:jc w:val="both"/>
        <w:rPr>
          <w:rFonts w:cs="Arial"/>
          <w:sz w:val="22"/>
        </w:rPr>
      </w:pPr>
    </w:p>
    <w:p w14:paraId="661478F9" w14:textId="77777777" w:rsidR="000923BB" w:rsidRDefault="000923BB" w:rsidP="000923BB">
      <w:pPr>
        <w:jc w:val="both"/>
        <w:rPr>
          <w:rFonts w:cs="Arial"/>
          <w:sz w:val="22"/>
        </w:rPr>
      </w:pPr>
      <w:r>
        <w:rPr>
          <w:rFonts w:cs="Arial"/>
          <w:sz w:val="22"/>
          <w:szCs w:val="22"/>
        </w:rPr>
        <w:t>In our initial research proposal we said that only one</w:t>
      </w:r>
      <w:r w:rsidRPr="005D0C0C">
        <w:rPr>
          <w:rFonts w:cs="Arial"/>
          <w:sz w:val="22"/>
          <w:szCs w:val="22"/>
        </w:rPr>
        <w:t xml:space="preserve"> review method </w:t>
      </w:r>
      <w:r>
        <w:rPr>
          <w:rFonts w:cs="Arial"/>
          <w:sz w:val="22"/>
          <w:szCs w:val="22"/>
        </w:rPr>
        <w:t xml:space="preserve">would </w:t>
      </w:r>
      <w:r w:rsidRPr="005D0C0C">
        <w:rPr>
          <w:rFonts w:cs="Arial"/>
          <w:sz w:val="22"/>
          <w:szCs w:val="22"/>
        </w:rPr>
        <w:t>be used</w:t>
      </w:r>
      <w:r>
        <w:rPr>
          <w:rFonts w:cs="Arial"/>
          <w:sz w:val="22"/>
          <w:szCs w:val="22"/>
        </w:rPr>
        <w:t xml:space="preserve"> at this stage of the project, the choice being made following the analysis of the data in the reliability study</w:t>
      </w:r>
      <w:r w:rsidRPr="005D0C0C">
        <w:rPr>
          <w:rFonts w:cs="Arial"/>
          <w:sz w:val="22"/>
          <w:szCs w:val="22"/>
        </w:rPr>
        <w:t xml:space="preserve">. </w:t>
      </w:r>
      <w:r>
        <w:rPr>
          <w:rFonts w:cs="Arial"/>
          <w:sz w:val="22"/>
        </w:rPr>
        <w:t xml:space="preserve">Analysis of the reliability study showed that while there were similarities between the criterion based reviewing skills of the doctor and nurse, there were differences in the type of holistic data captured by the two professional groups and which formed the basis of the judgements about quality of care scores.  Medically trained reviewers tended to judge the quality of interventions while nurses tended to review from a care pathway perspective.  Since the study reported here sought associations between process of care and outcomes of care, it was judged that medically trained reviewers in higher specialty training were likely to provide the most appropriate data. </w:t>
      </w:r>
    </w:p>
    <w:p w14:paraId="3A71E1C4" w14:textId="77777777" w:rsidR="000923BB" w:rsidRDefault="000923BB" w:rsidP="000923BB">
      <w:pPr>
        <w:jc w:val="both"/>
        <w:rPr>
          <w:rFonts w:cs="Arial"/>
          <w:sz w:val="22"/>
        </w:rPr>
      </w:pPr>
    </w:p>
    <w:p w14:paraId="3DEEF8F7" w14:textId="77777777" w:rsidR="000923BB" w:rsidRDefault="000923BB" w:rsidP="000923BB">
      <w:pPr>
        <w:jc w:val="both"/>
        <w:rPr>
          <w:rFonts w:cs="Arial"/>
          <w:sz w:val="22"/>
        </w:rPr>
      </w:pPr>
      <w:r>
        <w:rPr>
          <w:rFonts w:cs="Arial"/>
          <w:sz w:val="22"/>
        </w:rPr>
        <w:t xml:space="preserve">Following the random selection of candidate hospitals, in each hospital a senior physician working in cardiology (heart failure care), and a senior physician working in COPD care, was asked to recruit a physician reviewer in mid stage specialty training in their relevant specialty.  </w:t>
      </w:r>
    </w:p>
    <w:p w14:paraId="13D1F0A1" w14:textId="77777777" w:rsidR="00C335C2" w:rsidRDefault="00C335C2" w:rsidP="000923BB">
      <w:pPr>
        <w:jc w:val="both"/>
        <w:rPr>
          <w:rFonts w:cs="Arial"/>
          <w:b/>
          <w:i/>
          <w:sz w:val="22"/>
        </w:rPr>
      </w:pPr>
    </w:p>
    <w:p w14:paraId="7808FC3E" w14:textId="77777777" w:rsidR="00C335C2" w:rsidRDefault="00C335C2" w:rsidP="000923BB">
      <w:pPr>
        <w:jc w:val="both"/>
        <w:rPr>
          <w:rFonts w:cs="Arial"/>
          <w:b/>
          <w:i/>
          <w:sz w:val="22"/>
        </w:rPr>
      </w:pPr>
    </w:p>
    <w:p w14:paraId="0BC1D9BA" w14:textId="77777777" w:rsidR="00C335C2" w:rsidRDefault="00C335C2" w:rsidP="000923BB">
      <w:pPr>
        <w:jc w:val="both"/>
        <w:rPr>
          <w:rFonts w:cs="Arial"/>
          <w:b/>
          <w:i/>
          <w:sz w:val="22"/>
        </w:rPr>
      </w:pPr>
    </w:p>
    <w:p w14:paraId="26CA6A25" w14:textId="77777777" w:rsidR="000923BB" w:rsidRPr="005813E6" w:rsidRDefault="000923BB" w:rsidP="000923BB">
      <w:pPr>
        <w:jc w:val="both"/>
        <w:rPr>
          <w:rFonts w:cs="Arial"/>
          <w:b/>
          <w:i/>
          <w:sz w:val="22"/>
        </w:rPr>
      </w:pPr>
      <w:r w:rsidRPr="005813E6">
        <w:rPr>
          <w:rFonts w:cs="Arial"/>
          <w:b/>
          <w:i/>
          <w:sz w:val="22"/>
        </w:rPr>
        <w:lastRenderedPageBreak/>
        <w:t>Selection and refinement of review methods</w:t>
      </w:r>
    </w:p>
    <w:p w14:paraId="3E56E269" w14:textId="77777777" w:rsidR="000923BB" w:rsidRPr="00B344C8" w:rsidRDefault="000923BB" w:rsidP="000923BB">
      <w:pPr>
        <w:jc w:val="both"/>
        <w:rPr>
          <w:rFonts w:cs="Arial"/>
          <w:sz w:val="22"/>
          <w:szCs w:val="22"/>
        </w:rPr>
      </w:pPr>
      <w:r w:rsidRPr="00B344C8">
        <w:rPr>
          <w:rFonts w:cs="Arial"/>
          <w:sz w:val="22"/>
          <w:szCs w:val="22"/>
        </w:rPr>
        <w:t xml:space="preserve">One of the subsidiary purposes of the </w:t>
      </w:r>
      <w:r>
        <w:rPr>
          <w:rFonts w:cs="Arial"/>
          <w:sz w:val="22"/>
          <w:szCs w:val="22"/>
        </w:rPr>
        <w:t>earlier</w:t>
      </w:r>
      <w:r w:rsidRPr="00B344C8">
        <w:rPr>
          <w:rFonts w:cs="Arial"/>
          <w:sz w:val="22"/>
          <w:szCs w:val="22"/>
        </w:rPr>
        <w:t xml:space="preserve"> </w:t>
      </w:r>
      <w:r>
        <w:rPr>
          <w:rFonts w:cs="Arial"/>
          <w:sz w:val="22"/>
          <w:szCs w:val="22"/>
        </w:rPr>
        <w:t xml:space="preserve">reliability </w:t>
      </w:r>
      <w:r w:rsidRPr="00B344C8">
        <w:rPr>
          <w:rFonts w:cs="Arial"/>
          <w:sz w:val="22"/>
          <w:szCs w:val="22"/>
        </w:rPr>
        <w:t xml:space="preserve">study was to determine which of two review methods were most appropriate for the quality of care/outcomes study - criterion based review or holistic review.  We </w:t>
      </w:r>
      <w:r>
        <w:rPr>
          <w:rFonts w:cs="Arial"/>
          <w:sz w:val="22"/>
          <w:szCs w:val="22"/>
        </w:rPr>
        <w:t xml:space="preserve">had </w:t>
      </w:r>
      <w:r w:rsidRPr="00B344C8">
        <w:rPr>
          <w:rFonts w:cs="Arial"/>
          <w:sz w:val="22"/>
          <w:szCs w:val="22"/>
        </w:rPr>
        <w:t>found that the two methods</w:t>
      </w:r>
      <w:r>
        <w:rPr>
          <w:rFonts w:cs="Arial"/>
          <w:sz w:val="22"/>
          <w:szCs w:val="22"/>
        </w:rPr>
        <w:t xml:space="preserve"> were </w:t>
      </w:r>
      <w:r w:rsidRPr="00B344C8">
        <w:rPr>
          <w:rFonts w:cs="Arial"/>
          <w:sz w:val="22"/>
          <w:szCs w:val="22"/>
        </w:rPr>
        <w:t>complementary</w:t>
      </w:r>
      <w:r>
        <w:rPr>
          <w:rFonts w:cs="Arial"/>
          <w:sz w:val="22"/>
          <w:szCs w:val="22"/>
        </w:rPr>
        <w:t>,</w:t>
      </w:r>
      <w:r w:rsidRPr="00B344C8">
        <w:rPr>
          <w:rFonts w:cs="Arial"/>
          <w:sz w:val="22"/>
          <w:szCs w:val="22"/>
        </w:rPr>
        <w:t xml:space="preserve"> </w:t>
      </w:r>
      <w:r>
        <w:rPr>
          <w:rFonts w:cs="Arial"/>
          <w:sz w:val="22"/>
          <w:szCs w:val="22"/>
        </w:rPr>
        <w:t xml:space="preserve">although </w:t>
      </w:r>
      <w:r w:rsidRPr="00B344C8">
        <w:rPr>
          <w:rFonts w:cs="Arial"/>
          <w:sz w:val="22"/>
          <w:szCs w:val="22"/>
        </w:rPr>
        <w:t>different</w:t>
      </w:r>
      <w:r>
        <w:rPr>
          <w:rFonts w:cs="Arial"/>
          <w:sz w:val="22"/>
          <w:szCs w:val="22"/>
        </w:rPr>
        <w:t xml:space="preserve">, </w:t>
      </w:r>
      <w:r w:rsidRPr="00B344C8">
        <w:rPr>
          <w:rFonts w:cs="Arial"/>
          <w:sz w:val="22"/>
          <w:szCs w:val="22"/>
        </w:rPr>
        <w:t>and that</w:t>
      </w:r>
      <w:r>
        <w:rPr>
          <w:rFonts w:cs="Arial"/>
          <w:sz w:val="22"/>
          <w:szCs w:val="22"/>
        </w:rPr>
        <w:t xml:space="preserve"> therefore</w:t>
      </w:r>
      <w:r w:rsidRPr="00B344C8">
        <w:rPr>
          <w:rFonts w:cs="Arial"/>
          <w:sz w:val="22"/>
          <w:szCs w:val="22"/>
        </w:rPr>
        <w:t xml:space="preserve"> both methods might have a value in </w:t>
      </w:r>
      <w:r>
        <w:rPr>
          <w:rFonts w:cs="Arial"/>
          <w:sz w:val="22"/>
          <w:szCs w:val="22"/>
        </w:rPr>
        <w:t xml:space="preserve">the </w:t>
      </w:r>
      <w:r w:rsidRPr="00B344C8">
        <w:rPr>
          <w:rFonts w:cs="Arial"/>
          <w:sz w:val="22"/>
          <w:szCs w:val="22"/>
        </w:rPr>
        <w:t>review</w:t>
      </w:r>
      <w:r>
        <w:rPr>
          <w:rFonts w:cs="Arial"/>
          <w:sz w:val="22"/>
          <w:szCs w:val="22"/>
        </w:rPr>
        <w:t xml:space="preserve"> of</w:t>
      </w:r>
      <w:r w:rsidRPr="00B344C8">
        <w:rPr>
          <w:rFonts w:cs="Arial"/>
          <w:sz w:val="22"/>
          <w:szCs w:val="22"/>
        </w:rPr>
        <w:t xml:space="preserve"> care for the outcomes study.  Review of care using evidence based criterion methods would provide information on the extent to which care</w:t>
      </w:r>
      <w:r>
        <w:rPr>
          <w:rFonts w:cs="Arial"/>
          <w:sz w:val="22"/>
          <w:szCs w:val="22"/>
        </w:rPr>
        <w:t>,</w:t>
      </w:r>
      <w:r w:rsidRPr="00B344C8">
        <w:rPr>
          <w:rFonts w:cs="Arial"/>
          <w:sz w:val="22"/>
          <w:szCs w:val="22"/>
        </w:rPr>
        <w:t xml:space="preserve"> overall</w:t>
      </w:r>
      <w:r>
        <w:rPr>
          <w:rFonts w:cs="Arial"/>
          <w:sz w:val="22"/>
          <w:szCs w:val="22"/>
        </w:rPr>
        <w:t>,</w:t>
      </w:r>
      <w:r w:rsidRPr="00B344C8">
        <w:rPr>
          <w:rFonts w:cs="Arial"/>
          <w:sz w:val="22"/>
          <w:szCs w:val="22"/>
        </w:rPr>
        <w:t xml:space="preserve"> fitted with external standards.  Structured holistic review with quality of care scores, together with short explanatory comments w</w:t>
      </w:r>
      <w:r>
        <w:rPr>
          <w:rFonts w:cs="Arial"/>
          <w:sz w:val="22"/>
          <w:szCs w:val="22"/>
        </w:rPr>
        <w:t>h</w:t>
      </w:r>
      <w:r w:rsidRPr="00B344C8">
        <w:rPr>
          <w:rFonts w:cs="Arial"/>
          <w:sz w:val="22"/>
          <w:szCs w:val="22"/>
        </w:rPr>
        <w:t>ere reviewers thought it appropriate, would provide information about the nuances of care</w:t>
      </w:r>
      <w:r>
        <w:rPr>
          <w:rFonts w:cs="Arial"/>
          <w:sz w:val="22"/>
          <w:szCs w:val="22"/>
        </w:rPr>
        <w:t xml:space="preserve"> that could not be identified through the use of pre-constructed review criteria</w:t>
      </w:r>
      <w:r w:rsidRPr="00B344C8">
        <w:rPr>
          <w:rFonts w:cs="Arial"/>
          <w:sz w:val="22"/>
          <w:szCs w:val="22"/>
        </w:rPr>
        <w:t xml:space="preserve">.   In this </w:t>
      </w:r>
      <w:r>
        <w:rPr>
          <w:rFonts w:cs="Arial"/>
          <w:sz w:val="22"/>
          <w:szCs w:val="22"/>
        </w:rPr>
        <w:t>second part</w:t>
      </w:r>
      <w:r w:rsidRPr="00B344C8">
        <w:rPr>
          <w:rFonts w:cs="Arial"/>
          <w:sz w:val="22"/>
          <w:szCs w:val="22"/>
        </w:rPr>
        <w:t xml:space="preserve"> of the study it was not necessary to separate out the reviewing stages</w:t>
      </w:r>
      <w:r>
        <w:rPr>
          <w:rFonts w:cs="Arial"/>
          <w:sz w:val="22"/>
          <w:szCs w:val="22"/>
        </w:rPr>
        <w:t xml:space="preserve"> (holistic review followed by criterion based review)</w:t>
      </w:r>
      <w:r w:rsidRPr="00B344C8">
        <w:rPr>
          <w:rFonts w:cs="Arial"/>
          <w:sz w:val="22"/>
          <w:szCs w:val="22"/>
        </w:rPr>
        <w:t xml:space="preserve">, </w:t>
      </w:r>
      <w:r>
        <w:rPr>
          <w:rFonts w:cs="Arial"/>
          <w:sz w:val="22"/>
          <w:szCs w:val="22"/>
        </w:rPr>
        <w:t xml:space="preserve">since the results of the two methods were not being compared one with another, </w:t>
      </w:r>
      <w:r w:rsidRPr="00B344C8">
        <w:rPr>
          <w:rFonts w:cs="Arial"/>
          <w:sz w:val="22"/>
          <w:szCs w:val="22"/>
        </w:rPr>
        <w:t xml:space="preserve">as in the phase one study.  It was therefore possible to merge the holistic and criterion based reviews into one process so that the case notes were only reviewed once and </w:t>
      </w:r>
      <w:r>
        <w:rPr>
          <w:rFonts w:cs="Arial"/>
          <w:sz w:val="22"/>
          <w:szCs w:val="22"/>
        </w:rPr>
        <w:t xml:space="preserve">a single </w:t>
      </w:r>
      <w:r w:rsidRPr="00B344C8">
        <w:rPr>
          <w:rFonts w:cs="Arial"/>
          <w:sz w:val="22"/>
          <w:szCs w:val="22"/>
        </w:rPr>
        <w:t xml:space="preserve">data collection form </w:t>
      </w:r>
      <w:r>
        <w:rPr>
          <w:rFonts w:cs="Arial"/>
          <w:sz w:val="22"/>
          <w:szCs w:val="22"/>
        </w:rPr>
        <w:t>could be</w:t>
      </w:r>
      <w:r w:rsidRPr="00B344C8">
        <w:rPr>
          <w:rFonts w:cs="Arial"/>
          <w:sz w:val="22"/>
          <w:szCs w:val="22"/>
        </w:rPr>
        <w:t xml:space="preserve"> used.</w:t>
      </w:r>
    </w:p>
    <w:p w14:paraId="2638AF3C" w14:textId="77777777" w:rsidR="000923BB" w:rsidRDefault="000923BB" w:rsidP="000923BB">
      <w:pPr>
        <w:pStyle w:val="BodyText"/>
        <w:jc w:val="both"/>
        <w:rPr>
          <w:rFonts w:cs="Arial"/>
          <w:sz w:val="22"/>
        </w:rPr>
      </w:pPr>
    </w:p>
    <w:p w14:paraId="67A76983" w14:textId="77777777" w:rsidR="000923BB" w:rsidRDefault="000923BB" w:rsidP="000923BB">
      <w:pPr>
        <w:jc w:val="both"/>
        <w:rPr>
          <w:rFonts w:cs="Arial"/>
          <w:sz w:val="22"/>
        </w:rPr>
      </w:pPr>
      <w:r w:rsidRPr="00F13E56">
        <w:rPr>
          <w:rFonts w:cs="Arial"/>
          <w:sz w:val="22"/>
          <w:szCs w:val="22"/>
        </w:rPr>
        <w:t>Using a form of</w:t>
      </w:r>
      <w:r>
        <w:rPr>
          <w:rFonts w:cs="Arial"/>
          <w:sz w:val="22"/>
          <w:szCs w:val="22"/>
        </w:rPr>
        <w:t xml:space="preserve"> structured implicit review, </w:t>
      </w:r>
      <w:r w:rsidRPr="00F13E56">
        <w:rPr>
          <w:rFonts w:cs="Arial"/>
          <w:sz w:val="22"/>
          <w:szCs w:val="22"/>
        </w:rPr>
        <w:t xml:space="preserve">the reported quality of care provided to each patient was scored for each of three phases of care (admission/investigations, initial management and pre-discharge care) and for care overall.  </w:t>
      </w:r>
    </w:p>
    <w:p w14:paraId="1C87A2D4" w14:textId="77777777" w:rsidR="000923BB" w:rsidRDefault="000923BB" w:rsidP="000923BB">
      <w:pPr>
        <w:jc w:val="both"/>
        <w:rPr>
          <w:rFonts w:cs="Arial"/>
          <w:sz w:val="22"/>
        </w:rPr>
      </w:pPr>
    </w:p>
    <w:p w14:paraId="1A7E697F" w14:textId="77777777" w:rsidR="000923BB" w:rsidRDefault="000923BB" w:rsidP="000923BB">
      <w:pPr>
        <w:jc w:val="both"/>
        <w:rPr>
          <w:rFonts w:cs="Arial"/>
          <w:sz w:val="22"/>
        </w:rPr>
      </w:pPr>
      <w:r>
        <w:rPr>
          <w:rFonts w:cs="Arial"/>
          <w:sz w:val="22"/>
        </w:rPr>
        <w:t xml:space="preserve">In the earlier part of the study holistic review a six point Likert scale was used by reviewers to rate the quality of care in each of the three phases of care, together with a 10 point Likert scale which was used to rate the overall quality of care.  Although the 10 point scale was more finely grained, comparison in the phase one study between the six point phase scores and the 10 point scale added to the complexity of the analysis without providing obvious benefits to the structured review process.  A six point scale was therefore used for all phases and overall care review in this study, with anchors of 1 = unsatisfactory and 6 = very best care.  The descriptors for the six points are shown in </w:t>
      </w:r>
      <w:smartTag w:uri="urn:schemas-microsoft-com:office:smarttags" w:element="address">
        <w:smartTag w:uri="urn:schemas-microsoft-com:office:smarttags" w:element="Street">
          <w:r>
            <w:rPr>
              <w:rFonts w:cs="Arial"/>
              <w:sz w:val="22"/>
            </w:rPr>
            <w:t>Box</w:t>
          </w:r>
        </w:smartTag>
        <w:r>
          <w:rPr>
            <w:rFonts w:cs="Arial"/>
            <w:sz w:val="22"/>
          </w:rPr>
          <w:t xml:space="preserve"> 2</w:t>
        </w:r>
      </w:smartTag>
      <w:r>
        <w:rPr>
          <w:rFonts w:cs="Arial"/>
          <w:sz w:val="22"/>
        </w:rPr>
        <w:t xml:space="preserve">.  </w:t>
      </w:r>
    </w:p>
    <w:p w14:paraId="7EA1F5BD" w14:textId="77777777" w:rsidR="000923BB" w:rsidRPr="00137453" w:rsidRDefault="000923BB" w:rsidP="000923BB">
      <w:pPr>
        <w:jc w:val="both"/>
        <w:rPr>
          <w:rFonts w:cs="Arial"/>
          <w:b/>
          <w:sz w:val="22"/>
        </w:rPr>
      </w:pPr>
      <w:r w:rsidRPr="00137453">
        <w:rPr>
          <w:rFonts w:cs="Arial"/>
          <w:b/>
          <w:sz w:val="22"/>
        </w:rPr>
        <w:t>Box 2</w:t>
      </w:r>
    </w:p>
    <w:p w14:paraId="265D543D" w14:textId="77777777" w:rsidR="000923BB" w:rsidRDefault="000923BB" w:rsidP="008A6C6D">
      <w:pPr>
        <w:numPr>
          <w:ilvl w:val="0"/>
          <w:numId w:val="22"/>
        </w:numPr>
        <w:pBdr>
          <w:top w:val="single" w:sz="4" w:space="1" w:color="auto"/>
          <w:left w:val="single" w:sz="4" w:space="4" w:color="auto"/>
          <w:bottom w:val="single" w:sz="4" w:space="1" w:color="auto"/>
          <w:right w:val="single" w:sz="4" w:space="4" w:color="auto"/>
        </w:pBdr>
        <w:spacing w:after="0" w:line="240" w:lineRule="auto"/>
        <w:jc w:val="both"/>
        <w:rPr>
          <w:rFonts w:cs="Arial"/>
          <w:sz w:val="22"/>
          <w:szCs w:val="22"/>
        </w:rPr>
      </w:pPr>
      <w:r>
        <w:rPr>
          <w:rFonts w:cs="Arial"/>
          <w:sz w:val="22"/>
          <w:szCs w:val="22"/>
        </w:rPr>
        <w:t>Care fell short of current best practice in one or more significant areas resulting in the potential for, or actual, adverse impact on the patient</w:t>
      </w:r>
    </w:p>
    <w:p w14:paraId="6575764F" w14:textId="77777777" w:rsidR="000923BB" w:rsidRDefault="000923BB" w:rsidP="008A6C6D">
      <w:pPr>
        <w:numPr>
          <w:ilvl w:val="0"/>
          <w:numId w:val="22"/>
        </w:numPr>
        <w:pBdr>
          <w:top w:val="single" w:sz="4" w:space="1" w:color="auto"/>
          <w:left w:val="single" w:sz="4" w:space="4" w:color="auto"/>
          <w:bottom w:val="single" w:sz="4" w:space="1" w:color="auto"/>
          <w:right w:val="single" w:sz="4" w:space="4" w:color="auto"/>
        </w:pBdr>
        <w:spacing w:after="0" w:line="240" w:lineRule="auto"/>
        <w:jc w:val="both"/>
        <w:rPr>
          <w:rFonts w:cs="Arial"/>
          <w:sz w:val="22"/>
          <w:szCs w:val="22"/>
        </w:rPr>
      </w:pPr>
      <w:r>
        <w:rPr>
          <w:rFonts w:cs="Arial"/>
          <w:sz w:val="22"/>
          <w:szCs w:val="22"/>
        </w:rPr>
        <w:t>Care fell short of current best practice in more than one significant area, but is not considered to have the potential for adverse impact on the patient</w:t>
      </w:r>
    </w:p>
    <w:p w14:paraId="66489FD8" w14:textId="77777777" w:rsidR="000923BB" w:rsidRDefault="000923BB" w:rsidP="008A6C6D">
      <w:pPr>
        <w:numPr>
          <w:ilvl w:val="0"/>
          <w:numId w:val="22"/>
        </w:numPr>
        <w:pBdr>
          <w:top w:val="single" w:sz="4" w:space="1" w:color="auto"/>
          <w:left w:val="single" w:sz="4" w:space="4" w:color="auto"/>
          <w:bottom w:val="single" w:sz="4" w:space="1" w:color="auto"/>
          <w:right w:val="single" w:sz="4" w:space="4" w:color="auto"/>
        </w:pBdr>
        <w:spacing w:after="0" w:line="240" w:lineRule="auto"/>
        <w:jc w:val="both"/>
        <w:rPr>
          <w:rFonts w:cs="Arial"/>
          <w:sz w:val="22"/>
          <w:szCs w:val="22"/>
        </w:rPr>
      </w:pPr>
      <w:r>
        <w:rPr>
          <w:rFonts w:cs="Arial"/>
          <w:sz w:val="22"/>
          <w:szCs w:val="22"/>
        </w:rPr>
        <w:t>Care fell short of current best practice in only one significant area but, is not considered to have the potential for adverse impact on the patient</w:t>
      </w:r>
    </w:p>
    <w:p w14:paraId="0B2917EF" w14:textId="77777777" w:rsidR="000923BB" w:rsidRDefault="000923BB" w:rsidP="008A6C6D">
      <w:pPr>
        <w:numPr>
          <w:ilvl w:val="0"/>
          <w:numId w:val="22"/>
        </w:numPr>
        <w:pBdr>
          <w:top w:val="single" w:sz="4" w:space="1" w:color="auto"/>
          <w:left w:val="single" w:sz="4" w:space="4" w:color="auto"/>
          <w:bottom w:val="single" w:sz="4" w:space="1" w:color="auto"/>
          <w:right w:val="single" w:sz="4" w:space="4" w:color="auto"/>
        </w:pBdr>
        <w:spacing w:after="0" w:line="240" w:lineRule="auto"/>
        <w:jc w:val="both"/>
        <w:rPr>
          <w:rFonts w:cs="Arial"/>
          <w:sz w:val="22"/>
          <w:szCs w:val="22"/>
        </w:rPr>
      </w:pPr>
      <w:r>
        <w:rPr>
          <w:rFonts w:cs="Arial"/>
          <w:sz w:val="22"/>
          <w:szCs w:val="22"/>
        </w:rPr>
        <w:t>This was satisfactory care, only falling short of current best practice in more than two minor areas</w:t>
      </w:r>
    </w:p>
    <w:p w14:paraId="4287E5F8" w14:textId="77777777" w:rsidR="000923BB" w:rsidRDefault="000923BB" w:rsidP="008A6C6D">
      <w:pPr>
        <w:numPr>
          <w:ilvl w:val="0"/>
          <w:numId w:val="22"/>
        </w:numPr>
        <w:pBdr>
          <w:top w:val="single" w:sz="4" w:space="1" w:color="auto"/>
          <w:left w:val="single" w:sz="4" w:space="4" w:color="auto"/>
          <w:bottom w:val="single" w:sz="4" w:space="1" w:color="auto"/>
          <w:right w:val="single" w:sz="4" w:space="4" w:color="auto"/>
        </w:pBdr>
        <w:spacing w:after="0" w:line="240" w:lineRule="auto"/>
        <w:jc w:val="both"/>
        <w:rPr>
          <w:rFonts w:cs="Arial"/>
          <w:sz w:val="22"/>
          <w:szCs w:val="22"/>
        </w:rPr>
      </w:pPr>
      <w:r>
        <w:rPr>
          <w:rFonts w:cs="Arial"/>
          <w:sz w:val="22"/>
          <w:szCs w:val="22"/>
        </w:rPr>
        <w:t>This was good care, which only fell short of current best practice in one or two minor areas</w:t>
      </w:r>
    </w:p>
    <w:p w14:paraId="728E3322" w14:textId="77777777" w:rsidR="000923BB" w:rsidRDefault="000923BB" w:rsidP="008A6C6D">
      <w:pPr>
        <w:numPr>
          <w:ilvl w:val="0"/>
          <w:numId w:val="22"/>
        </w:numPr>
        <w:pBdr>
          <w:top w:val="single" w:sz="4" w:space="1" w:color="auto"/>
          <w:left w:val="single" w:sz="4" w:space="4" w:color="auto"/>
          <w:bottom w:val="single" w:sz="4" w:space="1" w:color="auto"/>
          <w:right w:val="single" w:sz="4" w:space="4" w:color="auto"/>
        </w:pBdr>
        <w:spacing w:after="0" w:line="240" w:lineRule="auto"/>
        <w:jc w:val="both"/>
        <w:rPr>
          <w:rFonts w:cs="Arial"/>
          <w:sz w:val="22"/>
        </w:rPr>
      </w:pPr>
      <w:r>
        <w:rPr>
          <w:rFonts w:cs="Arial"/>
          <w:sz w:val="22"/>
          <w:szCs w:val="22"/>
        </w:rPr>
        <w:t>This was excellent care and met current best practice.</w:t>
      </w:r>
    </w:p>
    <w:p w14:paraId="544C8999" w14:textId="77777777" w:rsidR="000923BB" w:rsidRDefault="000923BB" w:rsidP="000923BB">
      <w:pPr>
        <w:jc w:val="both"/>
        <w:rPr>
          <w:rFonts w:cs="Arial"/>
          <w:sz w:val="22"/>
        </w:rPr>
      </w:pPr>
    </w:p>
    <w:p w14:paraId="1747A24E" w14:textId="77777777" w:rsidR="000923BB" w:rsidRDefault="000923BB" w:rsidP="000923BB">
      <w:pPr>
        <w:jc w:val="both"/>
        <w:rPr>
          <w:rFonts w:cs="Arial"/>
          <w:sz w:val="22"/>
        </w:rPr>
      </w:pPr>
    </w:p>
    <w:p w14:paraId="322A3725" w14:textId="77777777" w:rsidR="000923BB" w:rsidRDefault="000923BB" w:rsidP="000923BB">
      <w:pPr>
        <w:jc w:val="both"/>
        <w:rPr>
          <w:rFonts w:cs="Arial"/>
          <w:sz w:val="22"/>
        </w:rPr>
      </w:pPr>
      <w:r>
        <w:rPr>
          <w:rFonts w:cs="Arial"/>
          <w:sz w:val="22"/>
        </w:rPr>
        <w:lastRenderedPageBreak/>
        <w:t xml:space="preserve">Two prompting questions had earlier been used to seek textual comments on the quality of care but reviewers tended only to respond to one or other of the questions.  Thus in this study, only one question was asked of reviewers when they provided textual comment on the quality of care. </w:t>
      </w:r>
      <w:smartTag w:uri="urn:schemas-microsoft-com:office:smarttags" w:element="address">
        <w:smartTag w:uri="urn:schemas-microsoft-com:office:smarttags" w:element="Street">
          <w:r>
            <w:rPr>
              <w:rFonts w:cs="Arial"/>
              <w:sz w:val="22"/>
            </w:rPr>
            <w:t>Box</w:t>
          </w:r>
        </w:smartTag>
        <w:r>
          <w:rPr>
            <w:rFonts w:cs="Arial"/>
            <w:sz w:val="22"/>
          </w:rPr>
          <w:t xml:space="preserve"> 3</w:t>
        </w:r>
      </w:smartTag>
      <w:r>
        <w:rPr>
          <w:rFonts w:cs="Arial"/>
          <w:sz w:val="22"/>
        </w:rPr>
        <w:t xml:space="preserve"> shows the format of the questions used for phases of care and care overall. </w:t>
      </w:r>
    </w:p>
    <w:p w14:paraId="189251BF" w14:textId="77777777" w:rsidR="000923BB" w:rsidRDefault="000923BB" w:rsidP="000923BB">
      <w:pPr>
        <w:jc w:val="both"/>
        <w:rPr>
          <w:rFonts w:cs="Arial"/>
          <w:sz w:val="22"/>
        </w:rPr>
      </w:pPr>
    </w:p>
    <w:p w14:paraId="4056D4EB" w14:textId="77777777" w:rsidR="000923BB" w:rsidRPr="00137453" w:rsidRDefault="000923BB" w:rsidP="000923BB">
      <w:pPr>
        <w:jc w:val="both"/>
        <w:rPr>
          <w:rFonts w:cs="Arial"/>
          <w:b/>
          <w:sz w:val="22"/>
          <w:szCs w:val="22"/>
        </w:rPr>
      </w:pPr>
      <w:r w:rsidRPr="00137453">
        <w:rPr>
          <w:rFonts w:cs="Arial"/>
          <w:b/>
          <w:sz w:val="22"/>
          <w:szCs w:val="22"/>
        </w:rPr>
        <w:t>Box 3</w:t>
      </w:r>
    </w:p>
    <w:p w14:paraId="5E330E9D" w14:textId="77777777" w:rsidR="000923BB" w:rsidRDefault="000923BB" w:rsidP="000923BB">
      <w:pPr>
        <w:pStyle w:val="Header1"/>
        <w:pBdr>
          <w:top w:val="single" w:sz="4" w:space="1" w:color="auto"/>
          <w:left w:val="single" w:sz="4" w:space="4" w:color="auto"/>
          <w:bottom w:val="single" w:sz="4" w:space="1" w:color="auto"/>
          <w:right w:val="single" w:sz="4" w:space="4" w:color="auto"/>
        </w:pBdr>
        <w:rPr>
          <w:rFonts w:cs="Arial"/>
          <w:b/>
          <w:bCs/>
          <w:color w:val="000000"/>
          <w:sz w:val="22"/>
          <w:szCs w:val="22"/>
        </w:rPr>
      </w:pPr>
      <w:r w:rsidRPr="00707CCD">
        <w:rPr>
          <w:rFonts w:cs="Arial"/>
          <w:b/>
          <w:bCs/>
          <w:color w:val="000000"/>
          <w:sz w:val="22"/>
          <w:szCs w:val="22"/>
        </w:rPr>
        <w:t xml:space="preserve">Investigations/examination </w:t>
      </w:r>
      <w:r>
        <w:rPr>
          <w:rFonts w:cs="Arial"/>
          <w:b/>
          <w:bCs/>
          <w:color w:val="000000"/>
          <w:sz w:val="22"/>
          <w:szCs w:val="22"/>
        </w:rPr>
        <w:t>(for example)</w:t>
      </w:r>
    </w:p>
    <w:p w14:paraId="67C495AB" w14:textId="77777777" w:rsidR="000923BB" w:rsidRPr="00707CCD" w:rsidRDefault="000923BB" w:rsidP="000923BB">
      <w:pPr>
        <w:pStyle w:val="Default"/>
        <w:pBdr>
          <w:top w:val="single" w:sz="4" w:space="1" w:color="auto"/>
          <w:left w:val="single" w:sz="4" w:space="4" w:color="auto"/>
          <w:bottom w:val="single" w:sz="4" w:space="1" w:color="auto"/>
          <w:right w:val="single" w:sz="4" w:space="4" w:color="auto"/>
        </w:pBdr>
      </w:pPr>
    </w:p>
    <w:p w14:paraId="7BAEABE4" w14:textId="77777777" w:rsidR="000923BB" w:rsidRDefault="000923BB" w:rsidP="000923BB">
      <w:pPr>
        <w:pStyle w:val="Normal1"/>
        <w:pBdr>
          <w:top w:val="single" w:sz="4" w:space="1" w:color="auto"/>
          <w:left w:val="single" w:sz="4" w:space="4" w:color="auto"/>
          <w:bottom w:val="single" w:sz="4" w:space="1" w:color="auto"/>
          <w:right w:val="single" w:sz="4" w:space="4" w:color="auto"/>
        </w:pBdr>
        <w:jc w:val="both"/>
        <w:rPr>
          <w:rFonts w:cs="Arial"/>
          <w:color w:val="000000"/>
          <w:sz w:val="22"/>
          <w:szCs w:val="22"/>
        </w:rPr>
      </w:pPr>
      <w:r w:rsidRPr="00707CCD">
        <w:rPr>
          <w:rFonts w:cs="Arial"/>
          <w:color w:val="000000"/>
          <w:sz w:val="22"/>
          <w:szCs w:val="22"/>
        </w:rPr>
        <w:t xml:space="preserve">We are interested in comments about the quality of care the patient received and whether it was in accordance with current best practice (for example, your professional standards). You may also wish to comment from your own professional viewpoint. If there is any other information that you think is important or relevant that you wish to comment on then please do so. </w:t>
      </w:r>
    </w:p>
    <w:p w14:paraId="770543CF" w14:textId="77777777" w:rsidR="000923BB" w:rsidRPr="00707CCD" w:rsidRDefault="000923BB" w:rsidP="000923BB">
      <w:pPr>
        <w:pStyle w:val="Default"/>
        <w:pBdr>
          <w:top w:val="single" w:sz="4" w:space="1" w:color="auto"/>
          <w:left w:val="single" w:sz="4" w:space="4" w:color="auto"/>
          <w:bottom w:val="single" w:sz="4" w:space="1" w:color="auto"/>
          <w:right w:val="single" w:sz="4" w:space="4" w:color="auto"/>
        </w:pBdr>
      </w:pPr>
    </w:p>
    <w:p w14:paraId="20075150" w14:textId="77777777" w:rsidR="000923BB" w:rsidRPr="00707CCD" w:rsidRDefault="000923BB" w:rsidP="000923BB">
      <w:pPr>
        <w:pStyle w:val="Normal1"/>
        <w:pBdr>
          <w:top w:val="single" w:sz="4" w:space="1" w:color="auto"/>
          <w:left w:val="single" w:sz="4" w:space="4" w:color="auto"/>
          <w:bottom w:val="single" w:sz="4" w:space="1" w:color="auto"/>
          <w:right w:val="single" w:sz="4" w:space="4" w:color="auto"/>
        </w:pBdr>
        <w:jc w:val="both"/>
        <w:rPr>
          <w:rFonts w:cs="Arial"/>
          <w:color w:val="000000"/>
          <w:sz w:val="22"/>
          <w:szCs w:val="22"/>
        </w:rPr>
      </w:pPr>
      <w:r w:rsidRPr="00707CCD">
        <w:rPr>
          <w:rFonts w:cs="Arial"/>
          <w:color w:val="000000"/>
          <w:sz w:val="22"/>
          <w:szCs w:val="22"/>
        </w:rPr>
        <w:t xml:space="preserve">Please comment on the care received by the patient during this phase. </w:t>
      </w:r>
    </w:p>
    <w:p w14:paraId="53C7404E" w14:textId="77777777" w:rsidR="000923BB" w:rsidRDefault="000923BB" w:rsidP="000923BB">
      <w:pPr>
        <w:pStyle w:val="Normal1"/>
        <w:pBdr>
          <w:top w:val="single" w:sz="4" w:space="1" w:color="auto"/>
          <w:left w:val="single" w:sz="4" w:space="4" w:color="auto"/>
          <w:bottom w:val="single" w:sz="4" w:space="1" w:color="auto"/>
          <w:right w:val="single" w:sz="4" w:space="4" w:color="auto"/>
        </w:pBdr>
        <w:jc w:val="both"/>
        <w:rPr>
          <w:rFonts w:cs="Arial"/>
          <w:color w:val="000000"/>
          <w:sz w:val="22"/>
          <w:szCs w:val="22"/>
        </w:rPr>
      </w:pPr>
    </w:p>
    <w:p w14:paraId="1DFACCCD" w14:textId="77777777" w:rsidR="000923BB" w:rsidRPr="00707CCD" w:rsidRDefault="000923BB" w:rsidP="000923BB">
      <w:pPr>
        <w:pStyle w:val="Normal1"/>
        <w:pBdr>
          <w:top w:val="single" w:sz="4" w:space="1" w:color="auto"/>
          <w:left w:val="single" w:sz="4" w:space="4" w:color="auto"/>
          <w:bottom w:val="single" w:sz="4" w:space="1" w:color="auto"/>
          <w:right w:val="single" w:sz="4" w:space="4" w:color="auto"/>
        </w:pBdr>
        <w:jc w:val="both"/>
        <w:rPr>
          <w:rFonts w:cs="Arial"/>
          <w:color w:val="000000"/>
          <w:sz w:val="22"/>
          <w:szCs w:val="22"/>
        </w:rPr>
      </w:pPr>
      <w:r w:rsidRPr="00707CCD">
        <w:rPr>
          <w:rFonts w:cs="Arial"/>
          <w:color w:val="000000"/>
          <w:sz w:val="22"/>
          <w:szCs w:val="22"/>
        </w:rPr>
        <w:t xml:space="preserve">Please rate the care received by the patient during this phase. </w:t>
      </w:r>
    </w:p>
    <w:p w14:paraId="398F8D7E" w14:textId="77777777" w:rsidR="000923BB" w:rsidRPr="00707CCD" w:rsidRDefault="000923BB" w:rsidP="000923BB">
      <w:pPr>
        <w:pStyle w:val="Normal1"/>
        <w:pBdr>
          <w:top w:val="single" w:sz="4" w:space="1" w:color="auto"/>
          <w:left w:val="single" w:sz="4" w:space="4" w:color="auto"/>
          <w:bottom w:val="single" w:sz="4" w:space="1" w:color="auto"/>
          <w:right w:val="single" w:sz="4" w:space="4" w:color="auto"/>
        </w:pBdr>
        <w:rPr>
          <w:rFonts w:cs="Arial"/>
          <w:color w:val="000000"/>
          <w:sz w:val="22"/>
          <w:szCs w:val="22"/>
        </w:rPr>
      </w:pPr>
      <w:r w:rsidRPr="00707CCD">
        <w:rPr>
          <w:rFonts w:cs="Arial"/>
          <w:color w:val="000000"/>
          <w:sz w:val="22"/>
          <w:szCs w:val="22"/>
        </w:rPr>
        <w:t xml:space="preserve">Please tick only one box </w:t>
      </w:r>
    </w:p>
    <w:p w14:paraId="5333FD61" w14:textId="77777777" w:rsidR="000923BB" w:rsidRDefault="000923BB" w:rsidP="000923BB">
      <w:pPr>
        <w:pStyle w:val="Normal1"/>
        <w:pBdr>
          <w:top w:val="single" w:sz="4" w:space="1" w:color="auto"/>
          <w:left w:val="single" w:sz="4" w:space="4" w:color="auto"/>
          <w:bottom w:val="single" w:sz="4" w:space="1" w:color="auto"/>
          <w:right w:val="single" w:sz="4" w:space="4" w:color="auto"/>
        </w:pBdr>
        <w:rPr>
          <w:rFonts w:cs="Arial"/>
          <w:color w:val="000000"/>
          <w:sz w:val="22"/>
          <w:szCs w:val="22"/>
        </w:rPr>
      </w:pPr>
      <w:r w:rsidRPr="00707CCD">
        <w:rPr>
          <w:rFonts w:cs="Arial"/>
          <w:color w:val="000000"/>
          <w:sz w:val="22"/>
          <w:szCs w:val="22"/>
        </w:rPr>
        <w:t xml:space="preserve">Unsatisfactory </w:t>
      </w:r>
      <w:r w:rsidRPr="0060596E">
        <w:rPr>
          <w:rFonts w:cs="Arial"/>
          <w:color w:val="000000"/>
          <w:sz w:val="30"/>
          <w:szCs w:val="30"/>
        </w:rPr>
        <w:t>□</w:t>
      </w:r>
      <w:r>
        <w:rPr>
          <w:rFonts w:cs="Arial"/>
          <w:color w:val="000000"/>
          <w:sz w:val="30"/>
          <w:szCs w:val="30"/>
        </w:rPr>
        <w:t xml:space="preserve"> </w:t>
      </w:r>
      <w:r w:rsidRPr="0060596E">
        <w:rPr>
          <w:rFonts w:cs="Arial"/>
          <w:color w:val="000000"/>
          <w:sz w:val="32"/>
          <w:szCs w:val="32"/>
        </w:rPr>
        <w:t>□</w:t>
      </w:r>
      <w:r>
        <w:rPr>
          <w:rFonts w:cs="Arial"/>
          <w:color w:val="000000"/>
          <w:sz w:val="32"/>
          <w:szCs w:val="32"/>
        </w:rPr>
        <w:t xml:space="preserve"> </w:t>
      </w:r>
      <w:r w:rsidRPr="0060596E">
        <w:rPr>
          <w:rFonts w:cs="Arial"/>
          <w:color w:val="000000"/>
          <w:sz w:val="32"/>
          <w:szCs w:val="32"/>
        </w:rPr>
        <w:t>□</w:t>
      </w:r>
      <w:r>
        <w:rPr>
          <w:rFonts w:cs="Arial"/>
          <w:color w:val="000000"/>
          <w:sz w:val="32"/>
          <w:szCs w:val="32"/>
        </w:rPr>
        <w:t xml:space="preserve"> </w:t>
      </w:r>
      <w:r w:rsidRPr="0060596E">
        <w:rPr>
          <w:rFonts w:cs="Arial"/>
          <w:color w:val="000000"/>
          <w:sz w:val="32"/>
          <w:szCs w:val="32"/>
        </w:rPr>
        <w:t>□</w:t>
      </w:r>
      <w:r>
        <w:rPr>
          <w:rFonts w:cs="Arial"/>
          <w:color w:val="000000"/>
          <w:sz w:val="32"/>
          <w:szCs w:val="32"/>
        </w:rPr>
        <w:t xml:space="preserve"> </w:t>
      </w:r>
      <w:r w:rsidRPr="0060596E">
        <w:rPr>
          <w:rFonts w:cs="Arial"/>
          <w:color w:val="000000"/>
          <w:sz w:val="32"/>
          <w:szCs w:val="32"/>
        </w:rPr>
        <w:t>□</w:t>
      </w:r>
      <w:r>
        <w:rPr>
          <w:rFonts w:cs="Arial"/>
          <w:color w:val="000000"/>
          <w:sz w:val="32"/>
          <w:szCs w:val="32"/>
        </w:rPr>
        <w:t xml:space="preserve"> </w:t>
      </w:r>
      <w:r w:rsidRPr="0060596E">
        <w:rPr>
          <w:rFonts w:cs="Arial"/>
          <w:color w:val="000000"/>
          <w:sz w:val="32"/>
          <w:szCs w:val="32"/>
        </w:rPr>
        <w:t>□</w:t>
      </w:r>
      <w:r>
        <w:rPr>
          <w:rFonts w:cs="Arial"/>
          <w:color w:val="000000"/>
          <w:sz w:val="32"/>
          <w:szCs w:val="32"/>
        </w:rPr>
        <w:t xml:space="preserve"> </w:t>
      </w:r>
      <w:r>
        <w:rPr>
          <w:rFonts w:cs="Arial"/>
          <w:color w:val="000000"/>
          <w:sz w:val="22"/>
          <w:szCs w:val="22"/>
        </w:rPr>
        <w:t xml:space="preserve"> </w:t>
      </w:r>
      <w:r w:rsidRPr="00707CCD">
        <w:rPr>
          <w:rFonts w:cs="Arial"/>
          <w:color w:val="000000"/>
          <w:sz w:val="22"/>
          <w:szCs w:val="22"/>
        </w:rPr>
        <w:t xml:space="preserve">Very best care </w:t>
      </w:r>
    </w:p>
    <w:p w14:paraId="0C8C4D94" w14:textId="77777777" w:rsidR="000923BB" w:rsidRDefault="000923BB" w:rsidP="000923BB">
      <w:pPr>
        <w:pStyle w:val="Default"/>
      </w:pPr>
    </w:p>
    <w:p w14:paraId="7D88EA59" w14:textId="77777777" w:rsidR="000923BB" w:rsidRDefault="000923BB" w:rsidP="000923BB">
      <w:pPr>
        <w:jc w:val="both"/>
        <w:rPr>
          <w:rFonts w:cs="Arial"/>
          <w:sz w:val="22"/>
        </w:rPr>
      </w:pPr>
    </w:p>
    <w:p w14:paraId="08935265" w14:textId="77777777" w:rsidR="000923BB" w:rsidRPr="006F5CBC" w:rsidRDefault="000923BB" w:rsidP="000923BB">
      <w:pPr>
        <w:pStyle w:val="BodyText"/>
        <w:jc w:val="both"/>
        <w:rPr>
          <w:rFonts w:cs="Arial"/>
          <w:sz w:val="22"/>
          <w:szCs w:val="22"/>
        </w:rPr>
      </w:pPr>
      <w:r w:rsidRPr="00497623">
        <w:rPr>
          <w:rFonts w:cs="Arial"/>
          <w:sz w:val="22"/>
          <w:szCs w:val="22"/>
        </w:rPr>
        <w:t xml:space="preserve">The quality of care provided was also measured through the presence of a condition specific set of review criteria for each of the two study conditions. A number of changes to the </w:t>
      </w:r>
      <w:r>
        <w:rPr>
          <w:rFonts w:cs="Arial"/>
          <w:sz w:val="22"/>
          <w:szCs w:val="22"/>
        </w:rPr>
        <w:t>earlier</w:t>
      </w:r>
      <w:r w:rsidRPr="00497623">
        <w:rPr>
          <w:rFonts w:cs="Arial"/>
          <w:sz w:val="22"/>
          <w:szCs w:val="22"/>
        </w:rPr>
        <w:t xml:space="preserve"> data collection methods were required to make the criteria and data capture tools fit for purpose for </w:t>
      </w:r>
      <w:r>
        <w:rPr>
          <w:rFonts w:cs="Arial"/>
          <w:sz w:val="22"/>
          <w:szCs w:val="22"/>
        </w:rPr>
        <w:t>the outcomes study</w:t>
      </w:r>
      <w:r w:rsidRPr="00497623">
        <w:rPr>
          <w:rFonts w:cs="Arial"/>
          <w:sz w:val="22"/>
          <w:szCs w:val="22"/>
        </w:rPr>
        <w:t xml:space="preserve">.  During </w:t>
      </w:r>
      <w:r>
        <w:rPr>
          <w:rFonts w:cs="Arial"/>
          <w:sz w:val="22"/>
          <w:szCs w:val="22"/>
        </w:rPr>
        <w:t xml:space="preserve">the first </w:t>
      </w:r>
      <w:r w:rsidRPr="00497623">
        <w:rPr>
          <w:rFonts w:cs="Arial"/>
          <w:sz w:val="22"/>
          <w:szCs w:val="22"/>
        </w:rPr>
        <w:t xml:space="preserve">phase </w:t>
      </w:r>
      <w:r>
        <w:rPr>
          <w:rFonts w:cs="Arial"/>
          <w:sz w:val="22"/>
          <w:szCs w:val="22"/>
        </w:rPr>
        <w:t>study</w:t>
      </w:r>
      <w:r w:rsidRPr="00497623">
        <w:rPr>
          <w:rFonts w:cs="Arial"/>
          <w:sz w:val="22"/>
          <w:szCs w:val="22"/>
        </w:rPr>
        <w:t xml:space="preserve"> it became apparent that a limited number of the review criteria had far higher levels of missing data than other criteria.  We presumed that this was because the data was routinely unavailable, or more difficult to find, or that the criteria were more difficult to understand.  Whatever the reason, these criteria added nothing to the review process and were removed.   </w:t>
      </w:r>
      <w:r w:rsidRPr="006F5CBC">
        <w:rPr>
          <w:rFonts w:cs="Arial"/>
          <w:sz w:val="22"/>
          <w:szCs w:val="22"/>
        </w:rPr>
        <w:t xml:space="preserve">Additionally, because of the potential impact of poor quality recording on the ability to assess quality of care, reviewers were asked to rank the quality of the information held in the clinical records on a Likert scale from 1 (poor) to 6 (excellent). </w:t>
      </w:r>
    </w:p>
    <w:p w14:paraId="16CC9C20" w14:textId="77777777" w:rsidR="000923BB" w:rsidRDefault="000923BB" w:rsidP="000923BB">
      <w:pPr>
        <w:jc w:val="both"/>
        <w:rPr>
          <w:rFonts w:cs="Arial"/>
          <w:sz w:val="22"/>
          <w:szCs w:val="22"/>
        </w:rPr>
      </w:pPr>
      <w:r>
        <w:rPr>
          <w:rFonts w:cs="Arial"/>
          <w:sz w:val="22"/>
        </w:rPr>
        <w:t>Reviewers were unaware of their hospital mortality ranking – whether they were in the higher or lower mortality quartile – and they</w:t>
      </w:r>
      <w:r>
        <w:rPr>
          <w:rFonts w:cs="Arial"/>
          <w:sz w:val="22"/>
          <w:szCs w:val="22"/>
        </w:rPr>
        <w:t xml:space="preserve"> evaluated the records within their own hospital, as would happen with local clinical audit. No patient-identifiable data was returned to the study team or used in the analysis.</w:t>
      </w:r>
    </w:p>
    <w:p w14:paraId="428E2A47" w14:textId="77777777" w:rsidR="000923BB" w:rsidRDefault="000923BB" w:rsidP="000923BB">
      <w:pPr>
        <w:jc w:val="both"/>
        <w:rPr>
          <w:rFonts w:cs="Arial"/>
          <w:b/>
          <w:i/>
          <w:sz w:val="22"/>
        </w:rPr>
      </w:pPr>
    </w:p>
    <w:p w14:paraId="62F8B78A" w14:textId="77777777" w:rsidR="00886AA0" w:rsidRDefault="00886AA0" w:rsidP="000923BB">
      <w:pPr>
        <w:jc w:val="both"/>
        <w:rPr>
          <w:rFonts w:cs="Arial"/>
          <w:b/>
          <w:i/>
          <w:sz w:val="22"/>
        </w:rPr>
      </w:pPr>
    </w:p>
    <w:p w14:paraId="7AA6097D" w14:textId="77777777" w:rsidR="00886AA0" w:rsidRDefault="00886AA0" w:rsidP="000923BB">
      <w:pPr>
        <w:jc w:val="both"/>
        <w:rPr>
          <w:rFonts w:cs="Arial"/>
          <w:b/>
          <w:i/>
          <w:sz w:val="22"/>
        </w:rPr>
      </w:pPr>
    </w:p>
    <w:p w14:paraId="4EC6F0E0" w14:textId="77777777" w:rsidR="00886AA0" w:rsidRDefault="00886AA0" w:rsidP="000923BB">
      <w:pPr>
        <w:jc w:val="both"/>
        <w:rPr>
          <w:rFonts w:cs="Arial"/>
          <w:b/>
          <w:i/>
          <w:sz w:val="22"/>
        </w:rPr>
      </w:pPr>
    </w:p>
    <w:p w14:paraId="4113B3F1" w14:textId="77777777" w:rsidR="000923BB" w:rsidRPr="0024704C" w:rsidRDefault="000923BB" w:rsidP="000923BB">
      <w:pPr>
        <w:jc w:val="both"/>
        <w:rPr>
          <w:rFonts w:cs="Arial"/>
          <w:b/>
          <w:i/>
          <w:sz w:val="22"/>
        </w:rPr>
      </w:pPr>
      <w:r w:rsidRPr="0024704C">
        <w:rPr>
          <w:rFonts w:cs="Arial"/>
          <w:b/>
          <w:i/>
          <w:sz w:val="22"/>
        </w:rPr>
        <w:lastRenderedPageBreak/>
        <w:t>Reviewer training</w:t>
      </w:r>
    </w:p>
    <w:p w14:paraId="2BEAF3FA" w14:textId="77777777" w:rsidR="000923BB" w:rsidRDefault="000923BB" w:rsidP="000923BB">
      <w:pPr>
        <w:jc w:val="both"/>
        <w:rPr>
          <w:rFonts w:cs="Arial"/>
          <w:sz w:val="22"/>
        </w:rPr>
      </w:pPr>
    </w:p>
    <w:p w14:paraId="6F9E85F9" w14:textId="77777777" w:rsidR="000923BB" w:rsidRDefault="000923BB" w:rsidP="000923BB">
      <w:pPr>
        <w:jc w:val="both"/>
        <w:rPr>
          <w:rFonts w:cs="Arial"/>
          <w:sz w:val="22"/>
        </w:rPr>
      </w:pPr>
      <w:r>
        <w:rPr>
          <w:rFonts w:cs="Arial"/>
          <w:sz w:val="22"/>
        </w:rPr>
        <w:t xml:space="preserve">Reviewers were trained to use a combination of two forms of case note review – criterion based (explicit) review and holistic (implicit) review - and also to provide written critical commentary on quality of care received by the patient, including on adverse events.  The majority of reviewers were trained at a seminar in which the review methods were presented, using a set of anonymised case notes as the basis for small group and larger directed discussions.  Topics discussed included techniques to find relevant information and group discussion to identify good and less satisfactory performance from the case notes.  </w:t>
      </w:r>
    </w:p>
    <w:p w14:paraId="2F869E97" w14:textId="77777777" w:rsidR="000923BB" w:rsidRDefault="000923BB" w:rsidP="000923BB">
      <w:pPr>
        <w:jc w:val="both"/>
        <w:rPr>
          <w:rFonts w:cs="Arial"/>
          <w:sz w:val="22"/>
        </w:rPr>
      </w:pPr>
    </w:p>
    <w:p w14:paraId="5A7EC784" w14:textId="77777777" w:rsidR="000923BB" w:rsidRDefault="000923BB" w:rsidP="000923BB">
      <w:pPr>
        <w:jc w:val="both"/>
        <w:rPr>
          <w:rFonts w:cs="Arial"/>
          <w:sz w:val="22"/>
        </w:rPr>
      </w:pPr>
      <w:r>
        <w:rPr>
          <w:rFonts w:cs="Arial"/>
          <w:sz w:val="22"/>
        </w:rPr>
        <w:t>Some reviewers were unable to attend the main training sessions and they received one-to-one or small group training from study research staff.</w:t>
      </w:r>
    </w:p>
    <w:p w14:paraId="4CB909CA" w14:textId="77777777" w:rsidR="000923BB" w:rsidRDefault="000923BB" w:rsidP="000923BB">
      <w:pPr>
        <w:pStyle w:val="BodyText"/>
        <w:rPr>
          <w:rFonts w:cs="Arial"/>
          <w:b/>
          <w:sz w:val="22"/>
          <w:szCs w:val="22"/>
        </w:rPr>
      </w:pPr>
    </w:p>
    <w:p w14:paraId="71B9675E" w14:textId="77777777" w:rsidR="000923BB" w:rsidRPr="00254020" w:rsidRDefault="000923BB" w:rsidP="000923BB">
      <w:pPr>
        <w:pStyle w:val="BodyText"/>
        <w:rPr>
          <w:rFonts w:cs="Arial"/>
          <w:b/>
          <w:sz w:val="22"/>
          <w:szCs w:val="22"/>
        </w:rPr>
      </w:pPr>
      <w:r w:rsidRPr="00254020">
        <w:rPr>
          <w:rFonts w:cs="Arial"/>
          <w:b/>
          <w:sz w:val="22"/>
          <w:szCs w:val="22"/>
        </w:rPr>
        <w:t>Selection of outcome data</w:t>
      </w:r>
    </w:p>
    <w:p w14:paraId="70BF6AF2" w14:textId="77777777" w:rsidR="000923BB" w:rsidRDefault="000923BB" w:rsidP="000923BB">
      <w:pPr>
        <w:jc w:val="both"/>
        <w:rPr>
          <w:rFonts w:cs="Arial"/>
          <w:sz w:val="22"/>
        </w:rPr>
      </w:pPr>
    </w:p>
    <w:p w14:paraId="7A76B208" w14:textId="77777777" w:rsidR="000923BB" w:rsidRDefault="000923BB" w:rsidP="000923BB">
      <w:pPr>
        <w:jc w:val="both"/>
        <w:rPr>
          <w:rFonts w:cs="Arial"/>
          <w:sz w:val="22"/>
        </w:rPr>
      </w:pPr>
      <w:r>
        <w:rPr>
          <w:rFonts w:cs="Arial"/>
          <w:sz w:val="22"/>
        </w:rPr>
        <w:t xml:space="preserve">An </w:t>
      </w:r>
      <w:r w:rsidRPr="00042C3F">
        <w:rPr>
          <w:rFonts w:cs="Arial"/>
          <w:i/>
          <w:sz w:val="22"/>
        </w:rPr>
        <w:t>a priori</w:t>
      </w:r>
      <w:r>
        <w:rPr>
          <w:rFonts w:cs="Arial"/>
          <w:sz w:val="22"/>
        </w:rPr>
        <w:t xml:space="preserve"> choice of outcome measures relevant to the study was made by the multi-professional study team.  Measures were selected from a range of sources, relating to:</w:t>
      </w:r>
    </w:p>
    <w:p w14:paraId="3698E14E" w14:textId="77777777" w:rsidR="000923BB" w:rsidRPr="00107C33" w:rsidRDefault="000923BB" w:rsidP="000923BB">
      <w:pPr>
        <w:ind w:left="360"/>
        <w:jc w:val="both"/>
        <w:rPr>
          <w:rFonts w:cs="Arial"/>
          <w:sz w:val="22"/>
          <w:highlight w:val="green"/>
        </w:rPr>
      </w:pPr>
    </w:p>
    <w:p w14:paraId="220845AE" w14:textId="77777777" w:rsidR="000923BB" w:rsidRDefault="000923BB" w:rsidP="008A6C6D">
      <w:pPr>
        <w:numPr>
          <w:ilvl w:val="0"/>
          <w:numId w:val="21"/>
        </w:numPr>
        <w:spacing w:after="0" w:line="240" w:lineRule="auto"/>
        <w:jc w:val="both"/>
        <w:rPr>
          <w:rFonts w:cs="Arial"/>
          <w:sz w:val="22"/>
        </w:rPr>
      </w:pPr>
      <w:r>
        <w:rPr>
          <w:rFonts w:cs="Arial"/>
          <w:sz w:val="22"/>
        </w:rPr>
        <w:t>Clinical practice measures, such as 28 day mortality rates for COPD and heart failure (from Hospital Episode Statistics[33]) and patients with myocardial infarction receiving thrombolysis within an hour.[46</w:t>
      </w:r>
      <w:r w:rsidRPr="00B417B4">
        <w:rPr>
          <w:rFonts w:cs="Arial"/>
          <w:sz w:val="22"/>
        </w:rPr>
        <w:t>]</w:t>
      </w:r>
      <w:r>
        <w:rPr>
          <w:rFonts w:cs="Arial"/>
          <w:sz w:val="22"/>
        </w:rPr>
        <w:t xml:space="preserve"> </w:t>
      </w:r>
    </w:p>
    <w:p w14:paraId="3265DD9B" w14:textId="77777777" w:rsidR="000923BB" w:rsidRDefault="000923BB" w:rsidP="008A6C6D">
      <w:pPr>
        <w:numPr>
          <w:ilvl w:val="0"/>
          <w:numId w:val="21"/>
        </w:numPr>
        <w:spacing w:after="0" w:line="240" w:lineRule="auto"/>
        <w:jc w:val="both"/>
        <w:rPr>
          <w:rFonts w:cs="Arial"/>
          <w:sz w:val="22"/>
        </w:rPr>
      </w:pPr>
      <w:r>
        <w:rPr>
          <w:rFonts w:cs="Arial"/>
          <w:sz w:val="22"/>
        </w:rPr>
        <w:t xml:space="preserve">Hospital level proxy clinical outcome data such as Hospital Standardised Mortality Ratio (HSMR).[50] </w:t>
      </w:r>
    </w:p>
    <w:p w14:paraId="08F36265" w14:textId="77777777" w:rsidR="000923BB" w:rsidRDefault="000923BB" w:rsidP="008A6C6D">
      <w:pPr>
        <w:numPr>
          <w:ilvl w:val="0"/>
          <w:numId w:val="21"/>
        </w:numPr>
        <w:spacing w:after="0" w:line="240" w:lineRule="auto"/>
        <w:jc w:val="both"/>
        <w:rPr>
          <w:rFonts w:cs="Arial"/>
          <w:sz w:val="22"/>
        </w:rPr>
      </w:pPr>
      <w:r>
        <w:rPr>
          <w:rFonts w:cs="Arial"/>
          <w:sz w:val="22"/>
        </w:rPr>
        <w:t>Proxy measures of patient safety and safety climate (for example from the NHS Staff Survey 2006[51] and the National Patient Safety Agency (NPSA),[52] used in an evaluation of incident reporting levels to the Agency. These data items were selected from a larger set as a result of previous empirical research.[53]</w:t>
      </w:r>
    </w:p>
    <w:p w14:paraId="7C12836C" w14:textId="77777777" w:rsidR="000923BB" w:rsidRDefault="000923BB" w:rsidP="008A6C6D">
      <w:pPr>
        <w:numPr>
          <w:ilvl w:val="0"/>
          <w:numId w:val="21"/>
        </w:numPr>
        <w:spacing w:after="0" w:line="240" w:lineRule="auto"/>
        <w:jc w:val="both"/>
        <w:rPr>
          <w:rFonts w:cs="Arial"/>
          <w:sz w:val="22"/>
        </w:rPr>
      </w:pPr>
      <w:r>
        <w:rPr>
          <w:rFonts w:cs="Arial"/>
          <w:sz w:val="22"/>
        </w:rPr>
        <w:t xml:space="preserve">External review data such the ability of the hospital to meet national targets for quality, collected by the Healthcare Commission for </w:t>
      </w:r>
      <w:smartTag w:uri="urn:schemas-microsoft-com:office:smarttags" w:element="place">
        <w:smartTag w:uri="urn:schemas-microsoft-com:office:smarttags" w:element="country-region">
          <w:r>
            <w:rPr>
              <w:rFonts w:cs="Arial"/>
              <w:sz w:val="22"/>
            </w:rPr>
            <w:t>England</w:t>
          </w:r>
        </w:smartTag>
      </w:smartTag>
      <w:r>
        <w:rPr>
          <w:rFonts w:cs="Arial"/>
          <w:sz w:val="22"/>
        </w:rPr>
        <w:t xml:space="preserve">.[46]  </w:t>
      </w:r>
    </w:p>
    <w:p w14:paraId="6D48B20E" w14:textId="77777777" w:rsidR="000923BB" w:rsidRDefault="000923BB" w:rsidP="000923BB">
      <w:pPr>
        <w:jc w:val="both"/>
        <w:rPr>
          <w:rFonts w:cs="Arial"/>
          <w:sz w:val="22"/>
        </w:rPr>
      </w:pPr>
    </w:p>
    <w:p w14:paraId="18E3AB9D" w14:textId="77777777" w:rsidR="00886AA0" w:rsidRDefault="000923BB" w:rsidP="000923BB">
      <w:pPr>
        <w:jc w:val="both"/>
        <w:rPr>
          <w:rFonts w:cs="Arial"/>
          <w:sz w:val="22"/>
        </w:rPr>
      </w:pPr>
      <w:r>
        <w:rPr>
          <w:rFonts w:cs="Arial"/>
          <w:sz w:val="22"/>
        </w:rPr>
        <w:t>The final set of outcome variables is shown in Box 4.</w:t>
      </w:r>
    </w:p>
    <w:p w14:paraId="713B687E" w14:textId="77777777" w:rsidR="00886AA0" w:rsidRDefault="00886AA0" w:rsidP="000923BB">
      <w:pPr>
        <w:jc w:val="both"/>
        <w:rPr>
          <w:rFonts w:cs="Arial"/>
          <w:sz w:val="22"/>
        </w:rPr>
      </w:pPr>
    </w:p>
    <w:p w14:paraId="0F24AE66" w14:textId="77777777" w:rsidR="00886AA0" w:rsidRDefault="00886AA0" w:rsidP="000923BB">
      <w:pPr>
        <w:jc w:val="both"/>
        <w:rPr>
          <w:rFonts w:cs="Arial"/>
          <w:sz w:val="22"/>
        </w:rPr>
      </w:pPr>
    </w:p>
    <w:p w14:paraId="0D434604" w14:textId="77777777" w:rsidR="000923BB" w:rsidRDefault="00886AA0" w:rsidP="00886AA0">
      <w:pPr>
        <w:rPr>
          <w:rFonts w:cs="Arial"/>
          <w:b/>
          <w:sz w:val="22"/>
        </w:rPr>
      </w:pPr>
      <w:r>
        <w:rPr>
          <w:rFonts w:cs="Arial"/>
          <w:b/>
          <w:sz w:val="22"/>
        </w:rPr>
        <w:br w:type="page"/>
      </w:r>
      <w:r>
        <w:rPr>
          <w:rFonts w:cs="Arial"/>
          <w:b/>
          <w:sz w:val="22"/>
        </w:rPr>
        <w:lastRenderedPageBreak/>
        <w:t>B</w:t>
      </w:r>
      <w:r w:rsidR="000923BB" w:rsidRPr="004C2F4D">
        <w:rPr>
          <w:rFonts w:cs="Arial"/>
          <w:b/>
          <w:sz w:val="22"/>
        </w:rPr>
        <w:t xml:space="preserve">ox </w:t>
      </w:r>
      <w:r w:rsidR="000923BB">
        <w:rPr>
          <w:rFonts w:cs="Arial"/>
          <w:b/>
          <w:sz w:val="22"/>
        </w:rPr>
        <w:t>4: Direct and proxy outcome hospital level variables included in the analysis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5"/>
      </w:tblGrid>
      <w:tr w:rsidR="000923BB" w:rsidRPr="00F955C6" w14:paraId="36E12D3A" w14:textId="77777777" w:rsidTr="00886AA0">
        <w:tc>
          <w:tcPr>
            <w:tcW w:w="7655" w:type="dxa"/>
          </w:tcPr>
          <w:p w14:paraId="68E1BB74" w14:textId="77777777" w:rsidR="000923BB" w:rsidRPr="00F955C6" w:rsidRDefault="000923BB" w:rsidP="003A385F">
            <w:pPr>
              <w:rPr>
                <w:rFonts w:cs="Arial"/>
                <w:b/>
                <w:sz w:val="20"/>
                <w:szCs w:val="20"/>
              </w:rPr>
            </w:pPr>
            <w:r w:rsidRPr="00F955C6">
              <w:rPr>
                <w:rFonts w:cs="Arial"/>
                <w:b/>
                <w:sz w:val="20"/>
                <w:szCs w:val="20"/>
              </w:rPr>
              <w:t>Variable</w:t>
            </w:r>
          </w:p>
        </w:tc>
      </w:tr>
      <w:tr w:rsidR="000923BB" w:rsidRPr="00F955C6" w14:paraId="0DE003AC" w14:textId="77777777" w:rsidTr="00886AA0">
        <w:tc>
          <w:tcPr>
            <w:tcW w:w="7655" w:type="dxa"/>
          </w:tcPr>
          <w:p w14:paraId="7790ECF9" w14:textId="77777777" w:rsidR="000923BB" w:rsidRPr="00F955C6" w:rsidRDefault="000923BB" w:rsidP="003A385F">
            <w:pPr>
              <w:rPr>
                <w:rFonts w:cs="Arial"/>
                <w:sz w:val="20"/>
                <w:szCs w:val="20"/>
              </w:rPr>
            </w:pPr>
            <w:r w:rsidRPr="00F955C6">
              <w:rPr>
                <w:rFonts w:cs="Arial"/>
                <w:sz w:val="20"/>
                <w:szCs w:val="20"/>
              </w:rPr>
              <w:t>Percentage of COPD or HF patients who die in hospital within 28 days</w:t>
            </w:r>
          </w:p>
        </w:tc>
      </w:tr>
      <w:tr w:rsidR="000923BB" w:rsidRPr="00F955C6" w14:paraId="322F7F8F" w14:textId="77777777" w:rsidTr="00886AA0">
        <w:tc>
          <w:tcPr>
            <w:tcW w:w="7655" w:type="dxa"/>
            <w:tcBorders>
              <w:bottom w:val="single" w:sz="4" w:space="0" w:color="auto"/>
            </w:tcBorders>
          </w:tcPr>
          <w:p w14:paraId="65F990A9" w14:textId="77777777" w:rsidR="000923BB" w:rsidRPr="00F955C6" w:rsidRDefault="000923BB" w:rsidP="003A385F">
            <w:pPr>
              <w:rPr>
                <w:rFonts w:cs="Arial"/>
                <w:sz w:val="20"/>
                <w:szCs w:val="20"/>
              </w:rPr>
            </w:pPr>
            <w:r w:rsidRPr="00F955C6">
              <w:rPr>
                <w:rFonts w:cs="Arial"/>
                <w:sz w:val="20"/>
                <w:szCs w:val="20"/>
              </w:rPr>
              <w:t>Hospital SMR (3 year mortality) (Dr. Foster)</w:t>
            </w:r>
          </w:p>
        </w:tc>
      </w:tr>
      <w:tr w:rsidR="000923BB" w:rsidRPr="00F955C6" w14:paraId="42DDFF98" w14:textId="77777777" w:rsidTr="00886AA0">
        <w:tc>
          <w:tcPr>
            <w:tcW w:w="7655" w:type="dxa"/>
            <w:tcBorders>
              <w:bottom w:val="single" w:sz="4" w:space="0" w:color="auto"/>
            </w:tcBorders>
          </w:tcPr>
          <w:p w14:paraId="633D5475" w14:textId="77777777" w:rsidR="000923BB" w:rsidRPr="00F955C6" w:rsidRDefault="000923BB" w:rsidP="003A385F">
            <w:pPr>
              <w:rPr>
                <w:rFonts w:cs="Arial"/>
                <w:sz w:val="20"/>
                <w:szCs w:val="20"/>
              </w:rPr>
            </w:pPr>
            <w:r w:rsidRPr="00F955C6">
              <w:rPr>
                <w:rFonts w:cs="Arial"/>
                <w:sz w:val="20"/>
                <w:szCs w:val="20"/>
              </w:rPr>
              <w:t>Hospital SMR (1 year mortality) (Dr. Foster)</w:t>
            </w:r>
          </w:p>
        </w:tc>
      </w:tr>
      <w:tr w:rsidR="000923BB" w:rsidRPr="00F955C6" w14:paraId="6776C51E" w14:textId="77777777" w:rsidTr="00886AA0">
        <w:tc>
          <w:tcPr>
            <w:tcW w:w="7655" w:type="dxa"/>
            <w:shd w:val="clear" w:color="auto" w:fill="auto"/>
          </w:tcPr>
          <w:p w14:paraId="59A3440E" w14:textId="77777777" w:rsidR="000923BB" w:rsidRPr="00F955C6" w:rsidRDefault="000923BB" w:rsidP="003A385F">
            <w:pPr>
              <w:rPr>
                <w:rFonts w:cs="Arial"/>
                <w:sz w:val="20"/>
                <w:szCs w:val="20"/>
              </w:rPr>
            </w:pPr>
            <w:r w:rsidRPr="00F955C6">
              <w:rPr>
                <w:rFonts w:cs="Arial"/>
                <w:sz w:val="20"/>
                <w:szCs w:val="20"/>
              </w:rPr>
              <w:t>Numbers of incidents reported by  the hospital to the National Patient Safety Agency per 100 bed days</w:t>
            </w:r>
          </w:p>
        </w:tc>
      </w:tr>
      <w:tr w:rsidR="000923BB" w:rsidRPr="00F955C6" w14:paraId="6FE647E4" w14:textId="77777777" w:rsidTr="00886AA0">
        <w:tc>
          <w:tcPr>
            <w:tcW w:w="7655" w:type="dxa"/>
          </w:tcPr>
          <w:p w14:paraId="52750FA6" w14:textId="77777777" w:rsidR="000923BB" w:rsidRPr="00F955C6" w:rsidRDefault="000923BB" w:rsidP="003A385F">
            <w:pPr>
              <w:rPr>
                <w:rFonts w:cs="Arial"/>
                <w:sz w:val="20"/>
                <w:szCs w:val="20"/>
              </w:rPr>
            </w:pPr>
            <w:r w:rsidRPr="00F955C6">
              <w:rPr>
                <w:rFonts w:cs="Arial"/>
                <w:sz w:val="20"/>
                <w:szCs w:val="20"/>
              </w:rPr>
              <w:t>SMR for deaths in low mortality Healthcare Related Group’s (HRGs)</w:t>
            </w:r>
          </w:p>
        </w:tc>
      </w:tr>
      <w:tr w:rsidR="000923BB" w:rsidRPr="00F955C6" w14:paraId="50AEFAF7" w14:textId="77777777" w:rsidTr="00886AA0">
        <w:tc>
          <w:tcPr>
            <w:tcW w:w="7655" w:type="dxa"/>
          </w:tcPr>
          <w:p w14:paraId="7060E7F1" w14:textId="77777777" w:rsidR="000923BB" w:rsidRPr="00F955C6" w:rsidRDefault="000923BB" w:rsidP="003A385F">
            <w:pPr>
              <w:rPr>
                <w:rFonts w:cs="Arial"/>
                <w:sz w:val="20"/>
                <w:szCs w:val="20"/>
              </w:rPr>
            </w:pPr>
            <w:r w:rsidRPr="00F955C6">
              <w:rPr>
                <w:rFonts w:cs="Arial"/>
                <w:sz w:val="20"/>
                <w:szCs w:val="20"/>
              </w:rPr>
              <w:t>COPD or HF finished consultant NHS episodes (Hospital Episode Statistics (HES))</w:t>
            </w:r>
          </w:p>
        </w:tc>
      </w:tr>
      <w:tr w:rsidR="000923BB" w:rsidRPr="00F955C6" w14:paraId="731EAD65" w14:textId="77777777" w:rsidTr="00886AA0">
        <w:tc>
          <w:tcPr>
            <w:tcW w:w="7655" w:type="dxa"/>
          </w:tcPr>
          <w:p w14:paraId="63DEBDA7" w14:textId="77777777" w:rsidR="000923BB" w:rsidRPr="00F955C6" w:rsidRDefault="000923BB" w:rsidP="003A385F">
            <w:pPr>
              <w:rPr>
                <w:rFonts w:cs="Arial"/>
                <w:sz w:val="20"/>
                <w:szCs w:val="20"/>
              </w:rPr>
            </w:pPr>
            <w:r w:rsidRPr="00F955C6">
              <w:rPr>
                <w:rFonts w:cs="Arial"/>
                <w:sz w:val="20"/>
                <w:szCs w:val="20"/>
              </w:rPr>
              <w:t>COPD or HF bed days (HES)</w:t>
            </w:r>
          </w:p>
        </w:tc>
      </w:tr>
      <w:tr w:rsidR="000923BB" w:rsidRPr="00F955C6" w14:paraId="3C119FA6" w14:textId="77777777" w:rsidTr="00886AA0">
        <w:tc>
          <w:tcPr>
            <w:tcW w:w="7655" w:type="dxa"/>
          </w:tcPr>
          <w:p w14:paraId="7AEEF3F3" w14:textId="77777777" w:rsidR="000923BB" w:rsidRPr="00F955C6" w:rsidRDefault="000923BB" w:rsidP="003A385F">
            <w:pPr>
              <w:rPr>
                <w:rFonts w:cs="Arial"/>
                <w:sz w:val="20"/>
                <w:szCs w:val="20"/>
              </w:rPr>
            </w:pPr>
            <w:r w:rsidRPr="00F955C6">
              <w:rPr>
                <w:rFonts w:cs="Arial"/>
                <w:sz w:val="20"/>
                <w:szCs w:val="20"/>
              </w:rPr>
              <w:t>COPD or HF mean length of stay (HES)</w:t>
            </w:r>
          </w:p>
        </w:tc>
      </w:tr>
      <w:tr w:rsidR="000923BB" w:rsidRPr="00F955C6" w14:paraId="5C122357" w14:textId="77777777" w:rsidTr="00886AA0">
        <w:tc>
          <w:tcPr>
            <w:tcW w:w="7655" w:type="dxa"/>
          </w:tcPr>
          <w:p w14:paraId="0B266C37" w14:textId="77777777" w:rsidR="000923BB" w:rsidRPr="00F955C6" w:rsidRDefault="000923BB" w:rsidP="003A385F">
            <w:pPr>
              <w:rPr>
                <w:rFonts w:cs="Arial"/>
                <w:sz w:val="20"/>
                <w:szCs w:val="20"/>
              </w:rPr>
            </w:pPr>
            <w:r w:rsidRPr="00F955C6">
              <w:rPr>
                <w:rFonts w:cs="Arial"/>
                <w:sz w:val="20"/>
                <w:szCs w:val="20"/>
              </w:rPr>
              <w:t>COPD or HF mean age (HES)</w:t>
            </w:r>
          </w:p>
        </w:tc>
      </w:tr>
      <w:tr w:rsidR="000923BB" w:rsidRPr="00F955C6" w14:paraId="17D2C780" w14:textId="77777777" w:rsidTr="00886AA0">
        <w:tc>
          <w:tcPr>
            <w:tcW w:w="7655" w:type="dxa"/>
          </w:tcPr>
          <w:p w14:paraId="3EE2A4A3" w14:textId="77777777" w:rsidR="000923BB" w:rsidRPr="00F955C6" w:rsidRDefault="000923BB" w:rsidP="003A385F">
            <w:pPr>
              <w:rPr>
                <w:rFonts w:cs="Arial"/>
                <w:sz w:val="20"/>
                <w:szCs w:val="20"/>
              </w:rPr>
            </w:pPr>
            <w:r w:rsidRPr="00F955C6">
              <w:rPr>
                <w:rFonts w:cs="Arial"/>
                <w:sz w:val="20"/>
                <w:szCs w:val="20"/>
              </w:rPr>
              <w:t>Healthcare Commission for England Star rating (0 worst to 3 best)</w:t>
            </w:r>
          </w:p>
        </w:tc>
      </w:tr>
      <w:tr w:rsidR="000923BB" w:rsidRPr="00F955C6" w14:paraId="7DC3EB66" w14:textId="77777777" w:rsidTr="00886AA0">
        <w:tc>
          <w:tcPr>
            <w:tcW w:w="7655" w:type="dxa"/>
          </w:tcPr>
          <w:p w14:paraId="0C3C3B84" w14:textId="77777777" w:rsidR="000923BB" w:rsidRPr="00F955C6" w:rsidRDefault="000923BB" w:rsidP="003A385F">
            <w:pPr>
              <w:rPr>
                <w:rFonts w:cs="Arial"/>
                <w:sz w:val="20"/>
                <w:szCs w:val="20"/>
              </w:rPr>
            </w:pPr>
            <w:r w:rsidRPr="00F955C6">
              <w:rPr>
                <w:rFonts w:cs="Arial"/>
                <w:sz w:val="20"/>
                <w:szCs w:val="20"/>
              </w:rPr>
              <w:t>Use of resources (Healthcare Commission)</w:t>
            </w:r>
          </w:p>
        </w:tc>
      </w:tr>
      <w:tr w:rsidR="000923BB" w:rsidRPr="00F955C6" w14:paraId="606033E5" w14:textId="77777777" w:rsidTr="00886AA0">
        <w:tc>
          <w:tcPr>
            <w:tcW w:w="7655" w:type="dxa"/>
          </w:tcPr>
          <w:p w14:paraId="602AADF3" w14:textId="77777777" w:rsidR="000923BB" w:rsidRPr="00F955C6" w:rsidRDefault="000923BB" w:rsidP="003A385F">
            <w:pPr>
              <w:rPr>
                <w:rFonts w:cs="Arial"/>
                <w:sz w:val="20"/>
                <w:szCs w:val="20"/>
              </w:rPr>
            </w:pPr>
            <w:r w:rsidRPr="00F955C6">
              <w:rPr>
                <w:rFonts w:cs="Arial"/>
                <w:sz w:val="20"/>
                <w:szCs w:val="20"/>
              </w:rPr>
              <w:t>Patient’s experience (Healthcare Commission)</w:t>
            </w:r>
          </w:p>
        </w:tc>
      </w:tr>
      <w:tr w:rsidR="000923BB" w:rsidRPr="00F955C6" w14:paraId="39CA4E31" w14:textId="77777777" w:rsidTr="00886AA0">
        <w:tc>
          <w:tcPr>
            <w:tcW w:w="7655" w:type="dxa"/>
          </w:tcPr>
          <w:p w14:paraId="65B3B241" w14:textId="77777777" w:rsidR="000923BB" w:rsidRPr="00F955C6" w:rsidRDefault="000923BB" w:rsidP="003A385F">
            <w:pPr>
              <w:rPr>
                <w:rFonts w:cs="Arial"/>
                <w:sz w:val="20"/>
                <w:szCs w:val="20"/>
              </w:rPr>
            </w:pPr>
            <w:r w:rsidRPr="00F955C6">
              <w:rPr>
                <w:rFonts w:cs="Arial"/>
                <w:sz w:val="20"/>
                <w:szCs w:val="20"/>
              </w:rPr>
              <w:t>Quality of services (Healthcare Commission)</w:t>
            </w:r>
          </w:p>
        </w:tc>
      </w:tr>
      <w:tr w:rsidR="000923BB" w:rsidRPr="00F955C6" w14:paraId="5C42E65D" w14:textId="77777777" w:rsidTr="00886AA0">
        <w:tc>
          <w:tcPr>
            <w:tcW w:w="7655" w:type="dxa"/>
          </w:tcPr>
          <w:p w14:paraId="21267AD4" w14:textId="77777777" w:rsidR="000923BB" w:rsidRPr="00F955C6" w:rsidRDefault="000923BB" w:rsidP="003A385F">
            <w:pPr>
              <w:rPr>
                <w:rFonts w:cs="Arial"/>
                <w:sz w:val="20"/>
                <w:szCs w:val="20"/>
              </w:rPr>
            </w:pPr>
            <w:r w:rsidRPr="00F955C6">
              <w:rPr>
                <w:rFonts w:cs="Arial"/>
                <w:sz w:val="20"/>
                <w:szCs w:val="20"/>
              </w:rPr>
              <w:t>Percentage of patient’s with acute myocardial infarction receiving thrombolysis (Healthcare Commission)</w:t>
            </w:r>
          </w:p>
        </w:tc>
      </w:tr>
      <w:tr w:rsidR="000923BB" w:rsidRPr="00F955C6" w14:paraId="5E186F21" w14:textId="77777777" w:rsidTr="00886AA0">
        <w:tc>
          <w:tcPr>
            <w:tcW w:w="7655" w:type="dxa"/>
          </w:tcPr>
          <w:p w14:paraId="0D8C6557" w14:textId="77777777" w:rsidR="000923BB" w:rsidRPr="00F955C6" w:rsidRDefault="000923BB" w:rsidP="003A385F">
            <w:pPr>
              <w:rPr>
                <w:rFonts w:cs="Arial"/>
                <w:sz w:val="20"/>
                <w:szCs w:val="20"/>
              </w:rPr>
            </w:pPr>
            <w:r w:rsidRPr="00F955C6">
              <w:rPr>
                <w:rFonts w:cs="Arial"/>
                <w:sz w:val="20"/>
                <w:szCs w:val="20"/>
              </w:rPr>
              <w:t>Extent to which hospital meets existing national targets (Healthcare Commission)</w:t>
            </w:r>
          </w:p>
        </w:tc>
      </w:tr>
      <w:tr w:rsidR="000923BB" w:rsidRPr="00F955C6" w14:paraId="52CD46D5" w14:textId="77777777" w:rsidTr="00886AA0">
        <w:tc>
          <w:tcPr>
            <w:tcW w:w="7655" w:type="dxa"/>
          </w:tcPr>
          <w:p w14:paraId="6A6C2B7D" w14:textId="77777777" w:rsidR="000923BB" w:rsidRPr="00F955C6" w:rsidRDefault="000923BB" w:rsidP="003A385F">
            <w:pPr>
              <w:rPr>
                <w:rFonts w:cs="Arial"/>
                <w:sz w:val="20"/>
                <w:szCs w:val="20"/>
              </w:rPr>
            </w:pPr>
            <w:r w:rsidRPr="00F955C6">
              <w:rPr>
                <w:rFonts w:cs="Arial"/>
                <w:sz w:val="20"/>
                <w:szCs w:val="20"/>
              </w:rPr>
              <w:t>Extent to which hospital meets new national targets (Healthcare Commission)</w:t>
            </w:r>
          </w:p>
        </w:tc>
      </w:tr>
      <w:tr w:rsidR="000923BB" w:rsidRPr="00F955C6" w14:paraId="687C6802" w14:textId="77777777" w:rsidTr="00886AA0">
        <w:tc>
          <w:tcPr>
            <w:tcW w:w="7655" w:type="dxa"/>
            <w:tcBorders>
              <w:bottom w:val="single" w:sz="4" w:space="0" w:color="auto"/>
            </w:tcBorders>
          </w:tcPr>
          <w:p w14:paraId="28232CDA" w14:textId="77777777" w:rsidR="000923BB" w:rsidRPr="00F955C6" w:rsidRDefault="000923BB" w:rsidP="003A385F">
            <w:pPr>
              <w:rPr>
                <w:rFonts w:cs="Arial"/>
                <w:sz w:val="20"/>
                <w:szCs w:val="20"/>
              </w:rPr>
            </w:pPr>
            <w:r w:rsidRPr="00F955C6">
              <w:rPr>
                <w:rFonts w:cs="Arial"/>
                <w:sz w:val="20"/>
                <w:szCs w:val="20"/>
              </w:rPr>
              <w:t>NHS staff survey Q25a: Have seen errors in the past month (% yes)</w:t>
            </w:r>
          </w:p>
        </w:tc>
      </w:tr>
      <w:tr w:rsidR="000923BB" w:rsidRPr="00F955C6" w14:paraId="5DB25A75" w14:textId="77777777" w:rsidTr="00886AA0">
        <w:tc>
          <w:tcPr>
            <w:tcW w:w="7655" w:type="dxa"/>
            <w:shd w:val="clear" w:color="auto" w:fill="auto"/>
          </w:tcPr>
          <w:p w14:paraId="07AEF324" w14:textId="77777777" w:rsidR="000923BB" w:rsidRPr="00F955C6" w:rsidRDefault="000923BB" w:rsidP="003A385F">
            <w:pPr>
              <w:rPr>
                <w:rFonts w:cs="Arial"/>
                <w:sz w:val="20"/>
                <w:szCs w:val="20"/>
              </w:rPr>
            </w:pPr>
            <w:r w:rsidRPr="00F955C6">
              <w:rPr>
                <w:rFonts w:cs="Arial"/>
                <w:sz w:val="20"/>
                <w:szCs w:val="20"/>
              </w:rPr>
              <w:t>NHS staff survey Q27b: Encouraged to report errors (mean)</w:t>
            </w:r>
          </w:p>
        </w:tc>
      </w:tr>
      <w:tr w:rsidR="000923BB" w:rsidRPr="00F955C6" w14:paraId="5DAB48CD" w14:textId="77777777" w:rsidTr="00886AA0">
        <w:tc>
          <w:tcPr>
            <w:tcW w:w="7655" w:type="dxa"/>
          </w:tcPr>
          <w:p w14:paraId="1E45250E" w14:textId="77777777" w:rsidR="000923BB" w:rsidRPr="00F955C6" w:rsidRDefault="000923BB" w:rsidP="003A385F">
            <w:pPr>
              <w:rPr>
                <w:rFonts w:cs="Arial"/>
                <w:sz w:val="20"/>
                <w:szCs w:val="20"/>
              </w:rPr>
            </w:pPr>
            <w:r w:rsidRPr="00F955C6">
              <w:rPr>
                <w:rFonts w:cs="Arial"/>
                <w:sz w:val="20"/>
                <w:szCs w:val="20"/>
              </w:rPr>
              <w:t>NHS staff survey Q27e: The hospital takes action to ensure incident does not happen again (mean)</w:t>
            </w:r>
          </w:p>
        </w:tc>
      </w:tr>
      <w:tr w:rsidR="000923BB" w:rsidRPr="00F955C6" w14:paraId="296D3E8A" w14:textId="77777777" w:rsidTr="00886AA0">
        <w:tc>
          <w:tcPr>
            <w:tcW w:w="7655" w:type="dxa"/>
          </w:tcPr>
          <w:p w14:paraId="0F14BB97" w14:textId="77777777" w:rsidR="000923BB" w:rsidRPr="00F955C6" w:rsidRDefault="000923BB" w:rsidP="003A385F">
            <w:pPr>
              <w:rPr>
                <w:rFonts w:cs="Arial"/>
                <w:sz w:val="20"/>
                <w:szCs w:val="20"/>
              </w:rPr>
            </w:pPr>
            <w:r w:rsidRPr="00F955C6">
              <w:rPr>
                <w:rFonts w:cs="Arial"/>
                <w:sz w:val="20"/>
                <w:szCs w:val="20"/>
              </w:rPr>
              <w:t>NHS staff survey Q24a: I know how to report (% yes)</w:t>
            </w:r>
          </w:p>
        </w:tc>
      </w:tr>
      <w:tr w:rsidR="000923BB" w:rsidRPr="00F955C6" w14:paraId="5B24B29C" w14:textId="77777777" w:rsidTr="00886AA0">
        <w:tc>
          <w:tcPr>
            <w:tcW w:w="7655" w:type="dxa"/>
          </w:tcPr>
          <w:p w14:paraId="5F04EDD3" w14:textId="77777777" w:rsidR="000923BB" w:rsidRPr="00F955C6" w:rsidRDefault="000923BB" w:rsidP="003A385F">
            <w:pPr>
              <w:rPr>
                <w:rFonts w:cs="Arial"/>
                <w:sz w:val="20"/>
                <w:szCs w:val="20"/>
              </w:rPr>
            </w:pPr>
            <w:r w:rsidRPr="00F955C6">
              <w:rPr>
                <w:rFonts w:cs="Arial"/>
                <w:sz w:val="20"/>
                <w:szCs w:val="20"/>
              </w:rPr>
              <w:t xml:space="preserve">NHS staff survey Q24b: I know the system for reporting (% yes) </w:t>
            </w:r>
          </w:p>
        </w:tc>
      </w:tr>
      <w:tr w:rsidR="000923BB" w:rsidRPr="00F955C6" w14:paraId="4D89A27A" w14:textId="77777777" w:rsidTr="00886AA0">
        <w:tc>
          <w:tcPr>
            <w:tcW w:w="7655" w:type="dxa"/>
          </w:tcPr>
          <w:p w14:paraId="29E4E749" w14:textId="77777777" w:rsidR="000923BB" w:rsidRPr="00F955C6" w:rsidRDefault="000923BB" w:rsidP="003A385F">
            <w:pPr>
              <w:rPr>
                <w:rFonts w:cs="Arial"/>
                <w:sz w:val="20"/>
                <w:szCs w:val="20"/>
              </w:rPr>
            </w:pPr>
            <w:r w:rsidRPr="00F955C6">
              <w:rPr>
                <w:rFonts w:cs="Arial"/>
                <w:sz w:val="20"/>
                <w:szCs w:val="20"/>
              </w:rPr>
              <w:t>NHS staff survey Q24b: I know the system for reporting (% no)</w:t>
            </w:r>
          </w:p>
        </w:tc>
      </w:tr>
      <w:tr w:rsidR="000923BB" w:rsidRPr="00F955C6" w14:paraId="702CA1A9" w14:textId="77777777" w:rsidTr="00886AA0">
        <w:tc>
          <w:tcPr>
            <w:tcW w:w="7655" w:type="dxa"/>
            <w:tcBorders>
              <w:bottom w:val="single" w:sz="4" w:space="0" w:color="auto"/>
            </w:tcBorders>
          </w:tcPr>
          <w:p w14:paraId="342AFCAF" w14:textId="77777777" w:rsidR="000923BB" w:rsidRPr="00F955C6" w:rsidRDefault="000923BB" w:rsidP="003A385F">
            <w:pPr>
              <w:rPr>
                <w:rFonts w:cs="Arial"/>
                <w:sz w:val="20"/>
                <w:szCs w:val="20"/>
              </w:rPr>
            </w:pPr>
            <w:r w:rsidRPr="00F955C6">
              <w:rPr>
                <w:rFonts w:cs="Arial"/>
                <w:sz w:val="20"/>
                <w:szCs w:val="20"/>
              </w:rPr>
              <w:t>NHS staff survey Q24b: I know the system for reporting (% don’t know)</w:t>
            </w:r>
          </w:p>
        </w:tc>
      </w:tr>
      <w:tr w:rsidR="000923BB" w:rsidRPr="00F955C6" w14:paraId="48E561D2" w14:textId="77777777" w:rsidTr="00886AA0">
        <w:tc>
          <w:tcPr>
            <w:tcW w:w="7655" w:type="dxa"/>
            <w:tcBorders>
              <w:bottom w:val="single" w:sz="4" w:space="0" w:color="auto"/>
            </w:tcBorders>
          </w:tcPr>
          <w:p w14:paraId="7B42B34C" w14:textId="77777777" w:rsidR="000923BB" w:rsidRPr="00F955C6" w:rsidRDefault="000923BB" w:rsidP="003A385F">
            <w:pPr>
              <w:rPr>
                <w:rFonts w:cs="Arial"/>
                <w:sz w:val="20"/>
                <w:szCs w:val="20"/>
              </w:rPr>
            </w:pPr>
            <w:r w:rsidRPr="00F955C6">
              <w:rPr>
                <w:rFonts w:cs="Arial"/>
                <w:sz w:val="20"/>
                <w:szCs w:val="20"/>
              </w:rPr>
              <w:t>NHS staff survey Q22e: Care of patient/service user is top priority (mean)</w:t>
            </w:r>
          </w:p>
        </w:tc>
      </w:tr>
      <w:tr w:rsidR="000923BB" w:rsidRPr="00F955C6" w14:paraId="0202372E" w14:textId="77777777" w:rsidTr="00886AA0">
        <w:tc>
          <w:tcPr>
            <w:tcW w:w="7655" w:type="dxa"/>
            <w:shd w:val="clear" w:color="auto" w:fill="auto"/>
          </w:tcPr>
          <w:p w14:paraId="22E68ED5" w14:textId="77777777" w:rsidR="000923BB" w:rsidRPr="00F955C6" w:rsidRDefault="000923BB" w:rsidP="003A385F">
            <w:pPr>
              <w:rPr>
                <w:rFonts w:cs="Arial"/>
                <w:sz w:val="20"/>
                <w:szCs w:val="20"/>
              </w:rPr>
            </w:pPr>
            <w:r w:rsidRPr="00F955C6">
              <w:rPr>
                <w:rFonts w:cs="Arial"/>
                <w:sz w:val="20"/>
                <w:szCs w:val="20"/>
              </w:rPr>
              <w:t>NHS staff survey Q22f: Happy with standard of care provided (mean)</w:t>
            </w:r>
          </w:p>
        </w:tc>
      </w:tr>
    </w:tbl>
    <w:p w14:paraId="2A0BA339" w14:textId="77777777" w:rsidR="000923BB" w:rsidRDefault="000923BB" w:rsidP="000923BB">
      <w:pPr>
        <w:rPr>
          <w:rFonts w:cs="Arial"/>
          <w:sz w:val="22"/>
          <w:szCs w:val="22"/>
        </w:rPr>
      </w:pPr>
    </w:p>
    <w:p w14:paraId="1B818E70" w14:textId="77777777" w:rsidR="000923BB" w:rsidRPr="00886AA0" w:rsidRDefault="000923BB" w:rsidP="00886AA0">
      <w:pPr>
        <w:pStyle w:val="BodyText"/>
        <w:rPr>
          <w:b/>
          <w:i/>
          <w:sz w:val="22"/>
          <w:szCs w:val="22"/>
        </w:rPr>
      </w:pPr>
      <w:r w:rsidRPr="00886AA0">
        <w:rPr>
          <w:b/>
          <w:i/>
          <w:sz w:val="22"/>
          <w:szCs w:val="22"/>
        </w:rPr>
        <w:t xml:space="preserve">Analytic approach </w:t>
      </w:r>
    </w:p>
    <w:p w14:paraId="5442292A" w14:textId="77777777" w:rsidR="000923BB" w:rsidRDefault="000923BB" w:rsidP="000923BB">
      <w:pPr>
        <w:jc w:val="both"/>
        <w:rPr>
          <w:rFonts w:cs="Arial"/>
          <w:sz w:val="22"/>
        </w:rPr>
      </w:pPr>
    </w:p>
    <w:p w14:paraId="09321F3B" w14:textId="77777777" w:rsidR="000923BB" w:rsidRDefault="000923BB" w:rsidP="000923BB">
      <w:pPr>
        <w:jc w:val="both"/>
        <w:rPr>
          <w:rFonts w:cs="Arial"/>
          <w:sz w:val="22"/>
        </w:rPr>
      </w:pPr>
      <w:r>
        <w:rPr>
          <w:rFonts w:cs="Arial"/>
          <w:sz w:val="22"/>
        </w:rPr>
        <w:t xml:space="preserve">Quantitative quality of care data from holistic scale scores and criterion scores were examined using summary statistics.  </w:t>
      </w:r>
    </w:p>
    <w:p w14:paraId="62E4CE48" w14:textId="77777777" w:rsidR="000923BB" w:rsidRDefault="000923BB" w:rsidP="000923BB">
      <w:pPr>
        <w:jc w:val="both"/>
        <w:rPr>
          <w:rFonts w:cs="Arial"/>
          <w:sz w:val="22"/>
        </w:rPr>
      </w:pPr>
    </w:p>
    <w:p w14:paraId="7ECA94AB" w14:textId="77777777" w:rsidR="000923BB" w:rsidRDefault="000923BB" w:rsidP="000923BB">
      <w:pPr>
        <w:jc w:val="both"/>
        <w:rPr>
          <w:rFonts w:cs="Arial"/>
          <w:sz w:val="22"/>
        </w:rPr>
      </w:pPr>
      <w:r>
        <w:rPr>
          <w:rFonts w:cs="Arial"/>
          <w:sz w:val="22"/>
        </w:rPr>
        <w:t xml:space="preserve">The outcomes data set for each hospital was constructed from the data available for each hospital on the data sets identified in </w:t>
      </w:r>
      <w:smartTag w:uri="urn:schemas-microsoft-com:office:smarttags" w:element="address">
        <w:smartTag w:uri="urn:schemas-microsoft-com:office:smarttags" w:element="Street">
          <w:r>
            <w:rPr>
              <w:rFonts w:cs="Arial"/>
              <w:sz w:val="22"/>
            </w:rPr>
            <w:t>Box</w:t>
          </w:r>
        </w:smartTag>
        <w:r>
          <w:rPr>
            <w:rFonts w:cs="Arial"/>
            <w:sz w:val="22"/>
          </w:rPr>
          <w:t xml:space="preserve"> 4</w:t>
        </w:r>
      </w:smartTag>
      <w:r>
        <w:rPr>
          <w:rFonts w:cs="Arial"/>
          <w:sz w:val="22"/>
        </w:rPr>
        <w:t xml:space="preserve"> (above).   For the ranked mortality analyses, data were combined for the 10 hospitals in each of the higher or lower mortality groups. </w:t>
      </w:r>
    </w:p>
    <w:p w14:paraId="3CB64F45" w14:textId="77777777" w:rsidR="000923BB" w:rsidRDefault="000923BB" w:rsidP="000923BB">
      <w:pPr>
        <w:jc w:val="both"/>
        <w:rPr>
          <w:rFonts w:cs="Arial"/>
          <w:sz w:val="22"/>
        </w:rPr>
      </w:pPr>
    </w:p>
    <w:p w14:paraId="390BDA51" w14:textId="77777777" w:rsidR="000923BB" w:rsidRDefault="000923BB" w:rsidP="000923BB">
      <w:pPr>
        <w:jc w:val="both"/>
        <w:rPr>
          <w:rFonts w:cs="Arial"/>
          <w:sz w:val="22"/>
        </w:rPr>
      </w:pPr>
      <w:r>
        <w:rPr>
          <w:rFonts w:cs="Arial"/>
          <w:sz w:val="22"/>
        </w:rPr>
        <w:t xml:space="preserve">Correlation of the relationship between the quality of care (process) data and outcome data was undertaken using Pearson’s correlation coefficient for continuous data together with linear regression analysis. Multiple regression analysis was used where appropriate.  Spearman’s correlation coefficient was used for ordered categorical data (such as quality of service ratings). Levels of strength of correlation are shown in </w:t>
      </w:r>
      <w:smartTag w:uri="urn:schemas-microsoft-com:office:smarttags" w:element="address">
        <w:smartTag w:uri="urn:schemas-microsoft-com:office:smarttags" w:element="Street">
          <w:r>
            <w:rPr>
              <w:rFonts w:cs="Arial"/>
              <w:sz w:val="22"/>
            </w:rPr>
            <w:t>Box</w:t>
          </w:r>
        </w:smartTag>
        <w:r>
          <w:rPr>
            <w:rFonts w:cs="Arial"/>
            <w:sz w:val="22"/>
          </w:rPr>
          <w:t xml:space="preserve"> 5</w:t>
        </w:r>
      </w:smartTag>
      <w:r>
        <w:rPr>
          <w:rFonts w:cs="Arial"/>
          <w:sz w:val="22"/>
        </w:rPr>
        <w:t>.</w:t>
      </w:r>
    </w:p>
    <w:p w14:paraId="16C31D82" w14:textId="77777777" w:rsidR="000923BB" w:rsidRDefault="000923BB" w:rsidP="000923BB">
      <w:pPr>
        <w:jc w:val="both"/>
        <w:rPr>
          <w:rFonts w:cs="Arial"/>
          <w:b/>
          <w:sz w:val="22"/>
        </w:rPr>
      </w:pPr>
    </w:p>
    <w:p w14:paraId="564FD406" w14:textId="77777777" w:rsidR="000923BB" w:rsidRPr="0065687C" w:rsidRDefault="000923BB" w:rsidP="000923BB">
      <w:pPr>
        <w:jc w:val="both"/>
        <w:rPr>
          <w:rFonts w:cs="Arial"/>
          <w:b/>
          <w:sz w:val="22"/>
        </w:rPr>
      </w:pPr>
      <w:smartTag w:uri="urn:schemas-microsoft-com:office:smarttags" w:element="address">
        <w:smartTag w:uri="urn:schemas-microsoft-com:office:smarttags" w:element="Street">
          <w:r w:rsidRPr="0065687C">
            <w:rPr>
              <w:rFonts w:cs="Arial"/>
              <w:b/>
              <w:sz w:val="22"/>
            </w:rPr>
            <w:t>Box</w:t>
          </w:r>
        </w:smartTag>
        <w:r w:rsidRPr="0065687C">
          <w:rPr>
            <w:rFonts w:cs="Arial"/>
            <w:b/>
            <w:sz w:val="22"/>
          </w:rPr>
          <w:t xml:space="preserve"> </w:t>
        </w:r>
        <w:r>
          <w:rPr>
            <w:rFonts w:cs="Arial"/>
            <w:b/>
            <w:sz w:val="22"/>
          </w:rPr>
          <w:t>5</w:t>
        </w:r>
      </w:smartTag>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4"/>
        <w:gridCol w:w="4198"/>
      </w:tblGrid>
      <w:tr w:rsidR="000923BB" w:rsidRPr="00F955C6" w14:paraId="054ADEC4" w14:textId="77777777" w:rsidTr="00F244BB">
        <w:tc>
          <w:tcPr>
            <w:tcW w:w="4153" w:type="dxa"/>
          </w:tcPr>
          <w:p w14:paraId="4F85D52D" w14:textId="77777777" w:rsidR="000923BB" w:rsidRPr="00F955C6" w:rsidRDefault="000923BB" w:rsidP="003A385F">
            <w:pPr>
              <w:rPr>
                <w:rFonts w:cs="Arial"/>
                <w:sz w:val="22"/>
                <w:szCs w:val="22"/>
              </w:rPr>
            </w:pPr>
            <w:r w:rsidRPr="00F955C6">
              <w:rPr>
                <w:rFonts w:cs="Arial"/>
                <w:sz w:val="22"/>
                <w:szCs w:val="22"/>
              </w:rPr>
              <w:t>|r| ≥ 0.8</w:t>
            </w:r>
          </w:p>
        </w:tc>
        <w:tc>
          <w:tcPr>
            <w:tcW w:w="4261" w:type="dxa"/>
          </w:tcPr>
          <w:p w14:paraId="5C5007DF" w14:textId="77777777" w:rsidR="000923BB" w:rsidRPr="00F955C6" w:rsidRDefault="000923BB" w:rsidP="003A385F">
            <w:pPr>
              <w:rPr>
                <w:rFonts w:cs="Arial"/>
                <w:sz w:val="22"/>
                <w:szCs w:val="22"/>
              </w:rPr>
            </w:pPr>
            <w:r w:rsidRPr="00F955C6">
              <w:rPr>
                <w:rFonts w:cs="Arial"/>
                <w:sz w:val="22"/>
                <w:szCs w:val="22"/>
              </w:rPr>
              <w:t>Very strong relationship</w:t>
            </w:r>
          </w:p>
        </w:tc>
      </w:tr>
      <w:tr w:rsidR="000923BB" w:rsidRPr="00F955C6" w14:paraId="7C05F335" w14:textId="77777777" w:rsidTr="00F244BB">
        <w:tc>
          <w:tcPr>
            <w:tcW w:w="4153" w:type="dxa"/>
          </w:tcPr>
          <w:p w14:paraId="2450B622" w14:textId="77777777" w:rsidR="000923BB" w:rsidRPr="00F955C6" w:rsidRDefault="000923BB" w:rsidP="003A385F">
            <w:pPr>
              <w:rPr>
                <w:rFonts w:cs="Arial"/>
                <w:sz w:val="22"/>
                <w:szCs w:val="22"/>
              </w:rPr>
            </w:pPr>
            <w:r w:rsidRPr="00F955C6">
              <w:rPr>
                <w:rFonts w:cs="Arial"/>
                <w:sz w:val="22"/>
                <w:szCs w:val="22"/>
              </w:rPr>
              <w:t xml:space="preserve">0.6 </w:t>
            </w:r>
            <w:r w:rsidRPr="00F955C6">
              <w:rPr>
                <w:sz w:val="22"/>
                <w:szCs w:val="22"/>
              </w:rPr>
              <w:t>≤</w:t>
            </w:r>
            <w:r w:rsidRPr="00F955C6">
              <w:rPr>
                <w:rFonts w:cs="Arial"/>
                <w:sz w:val="22"/>
                <w:szCs w:val="22"/>
              </w:rPr>
              <w:t xml:space="preserve"> |r| &lt; 0.8</w:t>
            </w:r>
          </w:p>
        </w:tc>
        <w:tc>
          <w:tcPr>
            <w:tcW w:w="4261" w:type="dxa"/>
          </w:tcPr>
          <w:p w14:paraId="47680148" w14:textId="77777777" w:rsidR="000923BB" w:rsidRPr="00F955C6" w:rsidRDefault="000923BB" w:rsidP="003A385F">
            <w:pPr>
              <w:rPr>
                <w:rFonts w:cs="Arial"/>
                <w:sz w:val="22"/>
                <w:szCs w:val="22"/>
              </w:rPr>
            </w:pPr>
            <w:r w:rsidRPr="00F955C6">
              <w:rPr>
                <w:rFonts w:cs="Arial"/>
                <w:sz w:val="22"/>
                <w:szCs w:val="22"/>
              </w:rPr>
              <w:t>Strong relationship</w:t>
            </w:r>
          </w:p>
        </w:tc>
      </w:tr>
      <w:tr w:rsidR="000923BB" w:rsidRPr="00F955C6" w14:paraId="5A6B9303" w14:textId="77777777" w:rsidTr="00F244BB">
        <w:tc>
          <w:tcPr>
            <w:tcW w:w="4153" w:type="dxa"/>
          </w:tcPr>
          <w:p w14:paraId="0B50201C" w14:textId="77777777" w:rsidR="000923BB" w:rsidRPr="00F955C6" w:rsidRDefault="000923BB" w:rsidP="003A385F">
            <w:pPr>
              <w:rPr>
                <w:rFonts w:cs="Arial"/>
                <w:sz w:val="22"/>
                <w:szCs w:val="22"/>
              </w:rPr>
            </w:pPr>
            <w:r w:rsidRPr="00F955C6">
              <w:rPr>
                <w:rFonts w:cs="Arial"/>
                <w:sz w:val="22"/>
                <w:szCs w:val="22"/>
              </w:rPr>
              <w:t xml:space="preserve">0.4 </w:t>
            </w:r>
            <w:r w:rsidRPr="00F955C6">
              <w:rPr>
                <w:sz w:val="22"/>
                <w:szCs w:val="22"/>
              </w:rPr>
              <w:t xml:space="preserve">≤ </w:t>
            </w:r>
            <w:r w:rsidRPr="00F955C6">
              <w:rPr>
                <w:rFonts w:cs="Arial"/>
                <w:sz w:val="22"/>
                <w:szCs w:val="22"/>
              </w:rPr>
              <w:t xml:space="preserve">|r| &lt; 0.6 </w:t>
            </w:r>
          </w:p>
        </w:tc>
        <w:tc>
          <w:tcPr>
            <w:tcW w:w="4261" w:type="dxa"/>
          </w:tcPr>
          <w:p w14:paraId="1BEC7C5C" w14:textId="77777777" w:rsidR="000923BB" w:rsidRPr="00F955C6" w:rsidRDefault="000923BB" w:rsidP="003A385F">
            <w:pPr>
              <w:rPr>
                <w:rFonts w:cs="Arial"/>
                <w:sz w:val="22"/>
                <w:szCs w:val="22"/>
              </w:rPr>
            </w:pPr>
            <w:r w:rsidRPr="00F955C6">
              <w:rPr>
                <w:rFonts w:cs="Arial"/>
                <w:sz w:val="22"/>
                <w:szCs w:val="22"/>
              </w:rPr>
              <w:t>Moderate relationship</w:t>
            </w:r>
          </w:p>
        </w:tc>
      </w:tr>
      <w:tr w:rsidR="000923BB" w:rsidRPr="00F955C6" w14:paraId="780AE376" w14:textId="77777777" w:rsidTr="00F244BB">
        <w:tc>
          <w:tcPr>
            <w:tcW w:w="4153" w:type="dxa"/>
          </w:tcPr>
          <w:p w14:paraId="6BF3BFC4" w14:textId="77777777" w:rsidR="000923BB" w:rsidRPr="00F955C6" w:rsidRDefault="000923BB" w:rsidP="003A385F">
            <w:pPr>
              <w:rPr>
                <w:rFonts w:cs="Arial"/>
                <w:sz w:val="22"/>
                <w:szCs w:val="22"/>
              </w:rPr>
            </w:pPr>
            <w:r w:rsidRPr="00F955C6">
              <w:rPr>
                <w:rFonts w:cs="Arial"/>
                <w:sz w:val="22"/>
                <w:szCs w:val="22"/>
              </w:rPr>
              <w:t xml:space="preserve">0.2 </w:t>
            </w:r>
            <w:r w:rsidRPr="00F955C6">
              <w:rPr>
                <w:sz w:val="22"/>
                <w:szCs w:val="22"/>
              </w:rPr>
              <w:t>≤</w:t>
            </w:r>
            <w:r w:rsidRPr="00F955C6">
              <w:rPr>
                <w:rFonts w:cs="Arial"/>
                <w:sz w:val="22"/>
                <w:szCs w:val="22"/>
              </w:rPr>
              <w:t xml:space="preserve"> |r| &lt; 0.4</w:t>
            </w:r>
          </w:p>
        </w:tc>
        <w:tc>
          <w:tcPr>
            <w:tcW w:w="4261" w:type="dxa"/>
          </w:tcPr>
          <w:p w14:paraId="0110AEB4" w14:textId="77777777" w:rsidR="000923BB" w:rsidRPr="00F955C6" w:rsidRDefault="000923BB" w:rsidP="003A385F">
            <w:pPr>
              <w:rPr>
                <w:rFonts w:cs="Arial"/>
                <w:sz w:val="22"/>
                <w:szCs w:val="22"/>
              </w:rPr>
            </w:pPr>
            <w:r w:rsidRPr="00F955C6">
              <w:rPr>
                <w:rFonts w:cs="Arial"/>
                <w:sz w:val="22"/>
                <w:szCs w:val="22"/>
              </w:rPr>
              <w:t>Weak relationship</w:t>
            </w:r>
          </w:p>
        </w:tc>
      </w:tr>
      <w:tr w:rsidR="000923BB" w:rsidRPr="00F955C6" w14:paraId="30B847A5" w14:textId="77777777" w:rsidTr="00F244BB">
        <w:tc>
          <w:tcPr>
            <w:tcW w:w="4153" w:type="dxa"/>
          </w:tcPr>
          <w:p w14:paraId="54C52F49" w14:textId="77777777" w:rsidR="000923BB" w:rsidRPr="00F955C6" w:rsidRDefault="000923BB" w:rsidP="003A385F">
            <w:pPr>
              <w:rPr>
                <w:rFonts w:cs="Arial"/>
                <w:sz w:val="22"/>
                <w:szCs w:val="22"/>
              </w:rPr>
            </w:pPr>
            <w:r w:rsidRPr="00F955C6">
              <w:rPr>
                <w:rFonts w:cs="Arial"/>
                <w:sz w:val="22"/>
                <w:szCs w:val="22"/>
              </w:rPr>
              <w:t>|r| &lt; 0.2</w:t>
            </w:r>
          </w:p>
        </w:tc>
        <w:tc>
          <w:tcPr>
            <w:tcW w:w="4261" w:type="dxa"/>
          </w:tcPr>
          <w:p w14:paraId="2BB3EDD8" w14:textId="77777777" w:rsidR="000923BB" w:rsidRPr="00F955C6" w:rsidRDefault="000923BB" w:rsidP="003A385F">
            <w:pPr>
              <w:rPr>
                <w:rFonts w:cs="Arial"/>
                <w:sz w:val="22"/>
                <w:szCs w:val="22"/>
              </w:rPr>
            </w:pPr>
            <w:r w:rsidRPr="00F955C6">
              <w:rPr>
                <w:rFonts w:cs="Arial"/>
                <w:sz w:val="22"/>
                <w:szCs w:val="22"/>
              </w:rPr>
              <w:t>Very weak relationship</w:t>
            </w:r>
          </w:p>
        </w:tc>
      </w:tr>
    </w:tbl>
    <w:p w14:paraId="28A1460E" w14:textId="77777777" w:rsidR="000923BB" w:rsidRDefault="000923BB" w:rsidP="000923BB">
      <w:pPr>
        <w:jc w:val="both"/>
        <w:rPr>
          <w:rFonts w:cs="Arial"/>
          <w:bCs/>
          <w:sz w:val="18"/>
          <w:szCs w:val="18"/>
        </w:rPr>
      </w:pPr>
    </w:p>
    <w:p w14:paraId="4E095B01" w14:textId="77777777" w:rsidR="000923BB" w:rsidRDefault="000923BB" w:rsidP="000923BB">
      <w:pPr>
        <w:jc w:val="both"/>
        <w:rPr>
          <w:rFonts w:cs="Arial"/>
          <w:bCs/>
          <w:sz w:val="22"/>
          <w:szCs w:val="22"/>
        </w:rPr>
      </w:pPr>
    </w:p>
    <w:p w14:paraId="57F51FFC" w14:textId="77777777" w:rsidR="000923BB" w:rsidRPr="00652839" w:rsidRDefault="000923BB" w:rsidP="000923BB">
      <w:pPr>
        <w:jc w:val="both"/>
        <w:rPr>
          <w:rFonts w:cs="Arial"/>
          <w:bCs/>
          <w:sz w:val="22"/>
          <w:szCs w:val="22"/>
        </w:rPr>
      </w:pPr>
      <w:r w:rsidRPr="00652839">
        <w:rPr>
          <w:rFonts w:cs="Arial"/>
          <w:bCs/>
          <w:sz w:val="22"/>
          <w:szCs w:val="22"/>
        </w:rPr>
        <w:t>All statistical tests were two-sided and a significance level of p ≤ 0.05 was used for all analysis except multiple regression</w:t>
      </w:r>
      <w:r>
        <w:rPr>
          <w:rFonts w:cs="Arial"/>
          <w:bCs/>
          <w:sz w:val="22"/>
          <w:szCs w:val="22"/>
        </w:rPr>
        <w:t xml:space="preserve"> analysis</w:t>
      </w:r>
      <w:r w:rsidRPr="00652839">
        <w:rPr>
          <w:rFonts w:cs="Arial"/>
          <w:bCs/>
          <w:sz w:val="22"/>
          <w:szCs w:val="22"/>
        </w:rPr>
        <w:t>, where a level of p ≤ 0.1 was used.</w:t>
      </w:r>
    </w:p>
    <w:p w14:paraId="71D8F297" w14:textId="77777777" w:rsidR="000923BB" w:rsidRPr="00B34CDB" w:rsidRDefault="000923BB" w:rsidP="000923BB">
      <w:pPr>
        <w:jc w:val="both"/>
        <w:rPr>
          <w:rFonts w:cs="Arial"/>
          <w:sz w:val="18"/>
          <w:szCs w:val="18"/>
        </w:rPr>
      </w:pPr>
    </w:p>
    <w:p w14:paraId="2ADF8836" w14:textId="77777777" w:rsidR="000923BB" w:rsidRDefault="000923BB" w:rsidP="000923BB">
      <w:pPr>
        <w:jc w:val="both"/>
        <w:rPr>
          <w:rFonts w:cs="Arial"/>
          <w:sz w:val="22"/>
        </w:rPr>
      </w:pPr>
      <w:r>
        <w:rPr>
          <w:rFonts w:cs="Arial"/>
          <w:sz w:val="22"/>
        </w:rPr>
        <w:t>Qualitative data from the textual commentary was examined by four reviewers, three of whom analysed data from 17 reviews each (of 40) to ensure some overlap, while a fourth reviewer reviewed a further sample of five from the total.  Consistency among reviewers was checked after all had assessed output from two reviews, followed by discussion of the results.  Further consistency check was undertaken between all four reviewers prior to completion of the analysis.</w:t>
      </w:r>
    </w:p>
    <w:p w14:paraId="5C79551C" w14:textId="77777777" w:rsidR="000923BB" w:rsidRDefault="000923BB" w:rsidP="000923BB">
      <w:pPr>
        <w:jc w:val="both"/>
        <w:rPr>
          <w:rFonts w:cs="Arial"/>
          <w:sz w:val="22"/>
        </w:rPr>
      </w:pPr>
    </w:p>
    <w:p w14:paraId="35C2F6AD" w14:textId="77777777" w:rsidR="000923BB" w:rsidRDefault="000923BB" w:rsidP="000923BB">
      <w:pPr>
        <w:jc w:val="both"/>
        <w:rPr>
          <w:rFonts w:cs="Arial"/>
          <w:sz w:val="22"/>
        </w:rPr>
      </w:pPr>
      <w:r>
        <w:rPr>
          <w:rFonts w:cs="Arial"/>
          <w:sz w:val="22"/>
        </w:rPr>
        <w:t>The results of each qualitative assessment of a reviewer’s output, in which analysts identified cases being described as excellent, good, satisfactory, unsatisfactory or very unsatisfactory, were then checked against the overall scale scores to judge whether a reviewer’s quantitative scores were reflected in their qualitative description of the quality of care provided for a case.</w:t>
      </w:r>
    </w:p>
    <w:p w14:paraId="137E2D15" w14:textId="77777777" w:rsidR="000923BB" w:rsidRDefault="000923BB" w:rsidP="000923BB">
      <w:pPr>
        <w:jc w:val="both"/>
        <w:rPr>
          <w:rFonts w:cs="Arial"/>
          <w:b/>
        </w:rPr>
      </w:pPr>
      <w:r>
        <w:rPr>
          <w:rFonts w:cs="Arial"/>
          <w:b/>
        </w:rPr>
        <w:br w:type="page"/>
      </w:r>
      <w:r w:rsidRPr="0065687C">
        <w:rPr>
          <w:rFonts w:cs="Arial"/>
          <w:b/>
        </w:rPr>
        <w:lastRenderedPageBreak/>
        <w:t xml:space="preserve">Results </w:t>
      </w:r>
    </w:p>
    <w:p w14:paraId="6A94371F" w14:textId="77777777" w:rsidR="00886AA0" w:rsidRDefault="00886AA0" w:rsidP="000923BB">
      <w:pPr>
        <w:jc w:val="both"/>
        <w:rPr>
          <w:rFonts w:cs="Arial"/>
          <w:sz w:val="22"/>
        </w:rPr>
      </w:pPr>
    </w:p>
    <w:p w14:paraId="53139ED1" w14:textId="77777777" w:rsidR="000923BB" w:rsidRDefault="000923BB" w:rsidP="000923BB">
      <w:pPr>
        <w:jc w:val="both"/>
        <w:rPr>
          <w:rFonts w:cs="Arial"/>
          <w:sz w:val="22"/>
        </w:rPr>
      </w:pPr>
      <w:r>
        <w:rPr>
          <w:rFonts w:cs="Arial"/>
          <w:sz w:val="22"/>
        </w:rPr>
        <w:t xml:space="preserve">Within the 20 study hospitals, reviews of case notes were undertaken of </w:t>
      </w:r>
      <w:r w:rsidRPr="004D42BF">
        <w:rPr>
          <w:rFonts w:cs="Arial"/>
          <w:sz w:val="22"/>
        </w:rPr>
        <w:t>873</w:t>
      </w:r>
      <w:r>
        <w:rPr>
          <w:rFonts w:cs="Arial"/>
          <w:sz w:val="22"/>
        </w:rPr>
        <w:t xml:space="preserve"> people with COPD and </w:t>
      </w:r>
      <w:r w:rsidRPr="00D841CB">
        <w:rPr>
          <w:rFonts w:cs="Arial"/>
          <w:sz w:val="22"/>
        </w:rPr>
        <w:t>692</w:t>
      </w:r>
      <w:r>
        <w:rPr>
          <w:rFonts w:cs="Arial"/>
          <w:sz w:val="22"/>
        </w:rPr>
        <w:t xml:space="preserve"> people with heart failure (1565 in total).   The numbers of reviews undertaken by each reviewer for COPD ranged from 8 - 40 (</w:t>
      </w:r>
      <w:r w:rsidRPr="008264D9">
        <w:rPr>
          <w:rFonts w:cs="Arial"/>
          <w:sz w:val="22"/>
        </w:rPr>
        <w:t xml:space="preserve">median </w:t>
      </w:r>
      <w:r>
        <w:rPr>
          <w:rFonts w:cs="Arial"/>
          <w:sz w:val="22"/>
        </w:rPr>
        <w:t>40, mean 35</w:t>
      </w:r>
      <w:r w:rsidRPr="008264D9">
        <w:rPr>
          <w:rFonts w:cs="Arial"/>
          <w:sz w:val="22"/>
        </w:rPr>
        <w:t>)</w:t>
      </w:r>
      <w:r>
        <w:rPr>
          <w:rFonts w:cs="Arial"/>
          <w:sz w:val="22"/>
        </w:rPr>
        <w:t xml:space="preserve"> and for heart failure from 10 - 49 (</w:t>
      </w:r>
      <w:r w:rsidRPr="008264D9">
        <w:rPr>
          <w:rFonts w:cs="Arial"/>
          <w:sz w:val="22"/>
        </w:rPr>
        <w:t xml:space="preserve">median </w:t>
      </w:r>
      <w:r>
        <w:rPr>
          <w:rFonts w:cs="Arial"/>
          <w:sz w:val="22"/>
        </w:rPr>
        <w:t xml:space="preserve">40, mean 35).  </w:t>
      </w:r>
    </w:p>
    <w:p w14:paraId="32C089C0" w14:textId="77777777" w:rsidR="000923BB" w:rsidRDefault="000923BB" w:rsidP="000923BB">
      <w:pPr>
        <w:jc w:val="both"/>
        <w:rPr>
          <w:rFonts w:cs="Arial"/>
          <w:sz w:val="22"/>
        </w:rPr>
      </w:pPr>
    </w:p>
    <w:p w14:paraId="1F714BB7" w14:textId="77777777" w:rsidR="000923BB" w:rsidRDefault="000923BB" w:rsidP="000923BB">
      <w:pPr>
        <w:autoSpaceDE w:val="0"/>
        <w:autoSpaceDN w:val="0"/>
        <w:adjustRightInd w:val="0"/>
        <w:jc w:val="both"/>
        <w:rPr>
          <w:rFonts w:cs="Arial"/>
          <w:sz w:val="22"/>
        </w:rPr>
      </w:pPr>
      <w:r>
        <w:rPr>
          <w:rFonts w:cs="Arial"/>
          <w:sz w:val="22"/>
        </w:rPr>
        <w:t xml:space="preserve">Reviewers were asked to assess the quality of recording in the case notes because of the potential impact of poor quality recording on the ability to assess quality of care.  On a scale of 1-6 the quality of case notes was scored satisfactory or better in 85% of the reviews  </w:t>
      </w:r>
    </w:p>
    <w:p w14:paraId="58727176" w14:textId="77777777" w:rsidR="000923BB" w:rsidRDefault="000923BB" w:rsidP="000923BB">
      <w:pPr>
        <w:autoSpaceDE w:val="0"/>
        <w:autoSpaceDN w:val="0"/>
        <w:adjustRightInd w:val="0"/>
        <w:jc w:val="both"/>
        <w:rPr>
          <w:rFonts w:cs="Arial"/>
          <w:b/>
          <w:i/>
          <w:sz w:val="22"/>
          <w:szCs w:val="22"/>
        </w:rPr>
      </w:pPr>
    </w:p>
    <w:p w14:paraId="3977AEBC" w14:textId="77777777" w:rsidR="000923BB" w:rsidRPr="00B73792" w:rsidRDefault="000923BB" w:rsidP="000923BB">
      <w:pPr>
        <w:autoSpaceDE w:val="0"/>
        <w:autoSpaceDN w:val="0"/>
        <w:adjustRightInd w:val="0"/>
        <w:jc w:val="both"/>
        <w:rPr>
          <w:rFonts w:cs="Arial"/>
          <w:b/>
          <w:sz w:val="22"/>
          <w:szCs w:val="22"/>
        </w:rPr>
      </w:pPr>
      <w:r w:rsidRPr="00B73792">
        <w:rPr>
          <w:rFonts w:cs="Arial"/>
          <w:b/>
          <w:sz w:val="22"/>
          <w:szCs w:val="22"/>
        </w:rPr>
        <w:t>Relationship between outcome variables and higher mortality and lower mortality groups of hospitals</w:t>
      </w:r>
    </w:p>
    <w:p w14:paraId="3F77273B" w14:textId="77777777" w:rsidR="000923BB" w:rsidRPr="00975858" w:rsidRDefault="000923BB" w:rsidP="000923BB">
      <w:pPr>
        <w:autoSpaceDE w:val="0"/>
        <w:autoSpaceDN w:val="0"/>
        <w:adjustRightInd w:val="0"/>
        <w:jc w:val="both"/>
        <w:rPr>
          <w:rFonts w:cs="Arial"/>
          <w:b/>
          <w:sz w:val="22"/>
          <w:szCs w:val="22"/>
        </w:rPr>
      </w:pPr>
    </w:p>
    <w:p w14:paraId="5928E078" w14:textId="77777777" w:rsidR="000923BB" w:rsidRDefault="000923BB" w:rsidP="000923BB">
      <w:pPr>
        <w:jc w:val="both"/>
        <w:rPr>
          <w:rFonts w:cs="Arial"/>
          <w:sz w:val="22"/>
          <w:szCs w:val="22"/>
        </w:rPr>
      </w:pPr>
      <w:r>
        <w:rPr>
          <w:rFonts w:cs="Arial"/>
          <w:sz w:val="22"/>
          <w:szCs w:val="22"/>
        </w:rPr>
        <w:t>There were 10 hospitals in each mortality group.  T</w:t>
      </w:r>
      <w:r w:rsidRPr="00975858">
        <w:rPr>
          <w:rFonts w:cs="Arial"/>
          <w:sz w:val="22"/>
          <w:szCs w:val="22"/>
        </w:rPr>
        <w:t xml:space="preserve">able </w:t>
      </w:r>
      <w:r>
        <w:rPr>
          <w:rFonts w:cs="Arial"/>
          <w:sz w:val="22"/>
          <w:szCs w:val="22"/>
        </w:rPr>
        <w:t>1</w:t>
      </w:r>
      <w:r w:rsidRPr="00975858">
        <w:rPr>
          <w:rFonts w:cs="Arial"/>
          <w:sz w:val="22"/>
          <w:szCs w:val="22"/>
        </w:rPr>
        <w:t xml:space="preserve"> presents the mean scores for continuous outcome variables </w:t>
      </w:r>
      <w:r>
        <w:rPr>
          <w:rFonts w:cs="Arial"/>
          <w:sz w:val="22"/>
          <w:szCs w:val="22"/>
        </w:rPr>
        <w:t xml:space="preserve">available from national data sets </w:t>
      </w:r>
      <w:r w:rsidRPr="00975858">
        <w:rPr>
          <w:rFonts w:cs="Arial"/>
          <w:sz w:val="22"/>
          <w:szCs w:val="22"/>
        </w:rPr>
        <w:t xml:space="preserve">(excluding NHS staff survey outcomes) for </w:t>
      </w:r>
      <w:r>
        <w:rPr>
          <w:rFonts w:cs="Arial"/>
          <w:sz w:val="22"/>
          <w:szCs w:val="22"/>
        </w:rPr>
        <w:t>the high</w:t>
      </w:r>
      <w:r w:rsidRPr="00975858">
        <w:rPr>
          <w:rFonts w:cs="Arial"/>
          <w:sz w:val="22"/>
          <w:szCs w:val="22"/>
        </w:rPr>
        <w:t xml:space="preserve">er </w:t>
      </w:r>
      <w:r>
        <w:rPr>
          <w:rFonts w:cs="Arial"/>
          <w:sz w:val="22"/>
          <w:szCs w:val="22"/>
        </w:rPr>
        <w:t>and lower mortality groups of hospitals</w:t>
      </w:r>
      <w:r w:rsidRPr="00975858">
        <w:rPr>
          <w:rFonts w:cs="Arial"/>
          <w:sz w:val="22"/>
          <w:szCs w:val="22"/>
        </w:rPr>
        <w:t xml:space="preserve">. There was a significantly higher percentage of both COPD and </w:t>
      </w:r>
      <w:r>
        <w:rPr>
          <w:rFonts w:cs="Arial"/>
          <w:sz w:val="22"/>
          <w:szCs w:val="22"/>
        </w:rPr>
        <w:t xml:space="preserve">heart failure </w:t>
      </w:r>
      <w:r w:rsidRPr="00975858">
        <w:rPr>
          <w:rFonts w:cs="Arial"/>
          <w:sz w:val="22"/>
          <w:szCs w:val="22"/>
        </w:rPr>
        <w:t xml:space="preserve">patients who died within 28 days in the </w:t>
      </w:r>
      <w:r>
        <w:rPr>
          <w:rFonts w:cs="Arial"/>
          <w:sz w:val="22"/>
          <w:szCs w:val="22"/>
        </w:rPr>
        <w:t>high</w:t>
      </w:r>
      <w:r w:rsidRPr="00975858">
        <w:rPr>
          <w:rFonts w:cs="Arial"/>
          <w:sz w:val="22"/>
          <w:szCs w:val="22"/>
        </w:rPr>
        <w:t xml:space="preserve">er </w:t>
      </w:r>
      <w:r>
        <w:rPr>
          <w:rFonts w:cs="Arial"/>
          <w:sz w:val="22"/>
          <w:szCs w:val="22"/>
        </w:rPr>
        <w:t>mortality group of hospitals</w:t>
      </w:r>
      <w:r w:rsidRPr="00975858">
        <w:rPr>
          <w:rFonts w:cs="Arial"/>
          <w:sz w:val="22"/>
          <w:szCs w:val="22"/>
        </w:rPr>
        <w:t xml:space="preserve"> compared with the </w:t>
      </w:r>
      <w:r>
        <w:rPr>
          <w:rFonts w:cs="Arial"/>
          <w:sz w:val="22"/>
          <w:szCs w:val="22"/>
        </w:rPr>
        <w:t>lower mortality group of hospitals</w:t>
      </w:r>
      <w:r w:rsidRPr="00975858">
        <w:rPr>
          <w:rFonts w:cs="Arial"/>
          <w:sz w:val="22"/>
          <w:szCs w:val="22"/>
        </w:rPr>
        <w:t xml:space="preserve"> </w:t>
      </w:r>
      <w:r>
        <w:rPr>
          <w:rFonts w:cs="Arial"/>
          <w:sz w:val="22"/>
          <w:szCs w:val="22"/>
        </w:rPr>
        <w:t xml:space="preserve">(as would be expected from the hospital selection criteria) </w:t>
      </w:r>
      <w:r w:rsidRPr="00975858">
        <w:rPr>
          <w:rFonts w:cs="Arial"/>
          <w:sz w:val="22"/>
          <w:szCs w:val="22"/>
        </w:rPr>
        <w:t>and the 1 year mortality</w:t>
      </w:r>
      <w:r>
        <w:rPr>
          <w:rFonts w:cs="Arial"/>
          <w:sz w:val="22"/>
          <w:szCs w:val="22"/>
        </w:rPr>
        <w:t xml:space="preserve"> data available from the ‘</w:t>
      </w:r>
      <w:r w:rsidRPr="00975858">
        <w:rPr>
          <w:rFonts w:cs="Arial"/>
          <w:sz w:val="22"/>
          <w:szCs w:val="22"/>
        </w:rPr>
        <w:t>Dr. Foster</w:t>
      </w:r>
      <w:r>
        <w:rPr>
          <w:rFonts w:cs="Arial"/>
          <w:sz w:val="22"/>
          <w:szCs w:val="22"/>
        </w:rPr>
        <w:t>’ analysis[50]</w:t>
      </w:r>
      <w:r w:rsidRPr="00975858">
        <w:rPr>
          <w:rFonts w:cs="Arial"/>
          <w:sz w:val="22"/>
          <w:szCs w:val="22"/>
        </w:rPr>
        <w:t xml:space="preserve"> was significantly higher for </w:t>
      </w:r>
      <w:r>
        <w:rPr>
          <w:rFonts w:cs="Arial"/>
          <w:sz w:val="22"/>
          <w:szCs w:val="22"/>
        </w:rPr>
        <w:t>high</w:t>
      </w:r>
      <w:r w:rsidRPr="00975858">
        <w:rPr>
          <w:rFonts w:cs="Arial"/>
          <w:sz w:val="22"/>
          <w:szCs w:val="22"/>
        </w:rPr>
        <w:t xml:space="preserve">er </w:t>
      </w:r>
      <w:r>
        <w:rPr>
          <w:rFonts w:cs="Arial"/>
          <w:sz w:val="22"/>
          <w:szCs w:val="22"/>
        </w:rPr>
        <w:t>mortality group of hospitals</w:t>
      </w:r>
      <w:r w:rsidRPr="00975858">
        <w:rPr>
          <w:rFonts w:cs="Arial"/>
          <w:sz w:val="22"/>
          <w:szCs w:val="22"/>
        </w:rPr>
        <w:t xml:space="preserve">. </w:t>
      </w:r>
    </w:p>
    <w:p w14:paraId="103833DD" w14:textId="77777777" w:rsidR="000923BB" w:rsidRDefault="000923BB" w:rsidP="000923BB">
      <w:pPr>
        <w:jc w:val="both"/>
        <w:rPr>
          <w:rFonts w:cs="Arial"/>
          <w:sz w:val="22"/>
          <w:szCs w:val="22"/>
        </w:rPr>
      </w:pPr>
    </w:p>
    <w:p w14:paraId="572A57B6" w14:textId="77777777" w:rsidR="000923BB" w:rsidRDefault="000923BB" w:rsidP="000923BB">
      <w:pPr>
        <w:jc w:val="both"/>
        <w:rPr>
          <w:rFonts w:cs="Arial"/>
          <w:sz w:val="22"/>
        </w:rPr>
      </w:pPr>
      <w:r w:rsidRPr="00975858">
        <w:rPr>
          <w:rFonts w:cs="Arial"/>
          <w:sz w:val="22"/>
          <w:szCs w:val="22"/>
        </w:rPr>
        <w:t xml:space="preserve">Additionally, the mean age for </w:t>
      </w:r>
      <w:r>
        <w:rPr>
          <w:rFonts w:cs="Arial"/>
          <w:sz w:val="22"/>
          <w:szCs w:val="22"/>
        </w:rPr>
        <w:t>heart failure</w:t>
      </w:r>
      <w:r w:rsidRPr="00975858">
        <w:rPr>
          <w:rFonts w:cs="Arial"/>
          <w:sz w:val="22"/>
          <w:szCs w:val="22"/>
        </w:rPr>
        <w:t xml:space="preserve"> patients was significantly higher for </w:t>
      </w:r>
      <w:r>
        <w:rPr>
          <w:rFonts w:cs="Arial"/>
          <w:sz w:val="22"/>
          <w:szCs w:val="22"/>
        </w:rPr>
        <w:t>high</w:t>
      </w:r>
      <w:r w:rsidRPr="00975858">
        <w:rPr>
          <w:rFonts w:cs="Arial"/>
          <w:sz w:val="22"/>
          <w:szCs w:val="22"/>
        </w:rPr>
        <w:t xml:space="preserve">er </w:t>
      </w:r>
      <w:r>
        <w:rPr>
          <w:rFonts w:cs="Arial"/>
          <w:sz w:val="22"/>
          <w:szCs w:val="22"/>
        </w:rPr>
        <w:t>mortality group of hospitals</w:t>
      </w:r>
      <w:r w:rsidRPr="00975858">
        <w:rPr>
          <w:rFonts w:cs="Arial"/>
          <w:sz w:val="22"/>
          <w:szCs w:val="22"/>
        </w:rPr>
        <w:t xml:space="preserve"> compared to the </w:t>
      </w:r>
      <w:r>
        <w:rPr>
          <w:rFonts w:cs="Arial"/>
          <w:sz w:val="22"/>
          <w:szCs w:val="22"/>
        </w:rPr>
        <w:t>lower mortality group of hospitals</w:t>
      </w:r>
      <w:r w:rsidRPr="00975858">
        <w:rPr>
          <w:rFonts w:cs="Arial"/>
          <w:sz w:val="22"/>
          <w:szCs w:val="22"/>
        </w:rPr>
        <w:t>.</w:t>
      </w:r>
      <w:r>
        <w:rPr>
          <w:rFonts w:cs="Arial"/>
          <w:sz w:val="22"/>
        </w:rPr>
        <w:t xml:space="preserve"> The differences in mortality rates between the two groups of hospitals were as expected from the selection criteria for those hospitals, so that the results serve to confirm the expected differences (see also Figures 1 &amp; 2).  The one year mortality data from the Dr Foster source also support the expected differences in mortality and the higher mean age of people with heart failure in the higher mortality group of hospitals may be a partial explanation for those higher mortality rates.  No other significant associations were found.    </w:t>
      </w:r>
    </w:p>
    <w:p w14:paraId="0E73C453" w14:textId="77777777" w:rsidR="000923BB" w:rsidRDefault="000923BB" w:rsidP="000923BB">
      <w:pPr>
        <w:autoSpaceDE w:val="0"/>
        <w:autoSpaceDN w:val="0"/>
        <w:adjustRightInd w:val="0"/>
        <w:jc w:val="both"/>
        <w:rPr>
          <w:rFonts w:ascii="TUOS Blake" w:hAnsi="TUOS Blake"/>
        </w:rPr>
      </w:pPr>
    </w:p>
    <w:p w14:paraId="0A3F6A83" w14:textId="77777777" w:rsidR="000923BB" w:rsidRDefault="000923BB" w:rsidP="000923BB">
      <w:pPr>
        <w:autoSpaceDE w:val="0"/>
        <w:autoSpaceDN w:val="0"/>
        <w:adjustRightInd w:val="0"/>
        <w:jc w:val="both"/>
        <w:rPr>
          <w:rFonts w:cs="Arial"/>
          <w:b/>
          <w:sz w:val="20"/>
          <w:szCs w:val="20"/>
        </w:rPr>
      </w:pPr>
    </w:p>
    <w:p w14:paraId="3DE5EC92" w14:textId="77777777" w:rsidR="000923BB" w:rsidRDefault="000923BB" w:rsidP="000923BB">
      <w:pPr>
        <w:autoSpaceDE w:val="0"/>
        <w:autoSpaceDN w:val="0"/>
        <w:adjustRightInd w:val="0"/>
        <w:jc w:val="both"/>
        <w:rPr>
          <w:rFonts w:cs="Arial"/>
          <w:b/>
          <w:sz w:val="20"/>
          <w:szCs w:val="20"/>
        </w:rPr>
      </w:pPr>
    </w:p>
    <w:p w14:paraId="38B173BB" w14:textId="77777777" w:rsidR="000923BB" w:rsidRDefault="000923BB" w:rsidP="000923BB">
      <w:pPr>
        <w:autoSpaceDE w:val="0"/>
        <w:autoSpaceDN w:val="0"/>
        <w:adjustRightInd w:val="0"/>
        <w:jc w:val="both"/>
        <w:rPr>
          <w:rFonts w:cs="Arial"/>
          <w:b/>
          <w:sz w:val="20"/>
          <w:szCs w:val="20"/>
        </w:rPr>
      </w:pPr>
    </w:p>
    <w:p w14:paraId="0AB1ACD8" w14:textId="77777777" w:rsidR="000923BB" w:rsidRPr="00EC37AD" w:rsidRDefault="000923BB" w:rsidP="000923BB">
      <w:pPr>
        <w:autoSpaceDE w:val="0"/>
        <w:autoSpaceDN w:val="0"/>
        <w:adjustRightInd w:val="0"/>
        <w:jc w:val="both"/>
        <w:rPr>
          <w:rFonts w:cs="Arial"/>
          <w:b/>
          <w:sz w:val="20"/>
          <w:szCs w:val="20"/>
        </w:rPr>
      </w:pPr>
      <w:r w:rsidRPr="00EC37AD">
        <w:rPr>
          <w:rFonts w:cs="Arial"/>
          <w:b/>
          <w:sz w:val="20"/>
          <w:szCs w:val="20"/>
        </w:rPr>
        <w:lastRenderedPageBreak/>
        <w:t>Table 1: Mean scores for continuous outcome variable by hospital mortality group</w:t>
      </w:r>
    </w:p>
    <w:p w14:paraId="5D40A120" w14:textId="77777777" w:rsidR="000923BB" w:rsidRPr="00261560" w:rsidRDefault="000923BB" w:rsidP="000923BB">
      <w:pPr>
        <w:autoSpaceDE w:val="0"/>
        <w:autoSpaceDN w:val="0"/>
        <w:adjustRightInd w:val="0"/>
        <w:jc w:val="both"/>
        <w:rPr>
          <w:rFonts w:ascii="TUOS Blake" w:hAnsi="TUOS Bla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9"/>
        <w:gridCol w:w="1425"/>
        <w:gridCol w:w="1425"/>
        <w:gridCol w:w="1551"/>
      </w:tblGrid>
      <w:tr w:rsidR="000923BB" w:rsidRPr="00F955C6" w14:paraId="0F72E5BD" w14:textId="77777777" w:rsidTr="003A385F">
        <w:tc>
          <w:tcPr>
            <w:tcW w:w="4068" w:type="dxa"/>
            <w:tcBorders>
              <w:bottom w:val="single" w:sz="4" w:space="0" w:color="auto"/>
            </w:tcBorders>
          </w:tcPr>
          <w:p w14:paraId="13722D7B" w14:textId="77777777" w:rsidR="000923BB" w:rsidRPr="00F955C6" w:rsidRDefault="000923BB" w:rsidP="003A385F">
            <w:pPr>
              <w:rPr>
                <w:rFonts w:cs="Arial"/>
                <w:sz w:val="20"/>
                <w:szCs w:val="20"/>
              </w:rPr>
            </w:pPr>
            <w:r w:rsidRPr="00F955C6">
              <w:rPr>
                <w:rFonts w:cs="Arial"/>
                <w:sz w:val="20"/>
                <w:szCs w:val="20"/>
              </w:rPr>
              <w:t>Variable</w:t>
            </w:r>
          </w:p>
        </w:tc>
        <w:tc>
          <w:tcPr>
            <w:tcW w:w="1440" w:type="dxa"/>
            <w:tcBorders>
              <w:bottom w:val="single" w:sz="4" w:space="0" w:color="auto"/>
            </w:tcBorders>
          </w:tcPr>
          <w:p w14:paraId="1E478DE5" w14:textId="77777777" w:rsidR="000923BB" w:rsidRPr="00F955C6" w:rsidRDefault="000923BB" w:rsidP="003A385F">
            <w:pPr>
              <w:jc w:val="center"/>
              <w:rPr>
                <w:rFonts w:cs="Arial"/>
                <w:sz w:val="20"/>
                <w:szCs w:val="20"/>
              </w:rPr>
            </w:pPr>
            <w:r w:rsidRPr="00F955C6">
              <w:rPr>
                <w:rFonts w:cs="Arial"/>
                <w:sz w:val="20"/>
                <w:szCs w:val="20"/>
              </w:rPr>
              <w:t>Higher mortality</w:t>
            </w:r>
          </w:p>
          <w:p w14:paraId="3A1B453C" w14:textId="77777777" w:rsidR="000923BB" w:rsidRPr="00F955C6" w:rsidRDefault="000923BB" w:rsidP="003A385F">
            <w:pPr>
              <w:jc w:val="center"/>
              <w:rPr>
                <w:rFonts w:cs="Arial"/>
                <w:sz w:val="20"/>
                <w:szCs w:val="20"/>
              </w:rPr>
            </w:pPr>
            <w:r w:rsidRPr="00F955C6">
              <w:rPr>
                <w:rFonts w:cs="Arial"/>
                <w:sz w:val="20"/>
                <w:szCs w:val="20"/>
              </w:rPr>
              <w:t>(SD)</w:t>
            </w:r>
          </w:p>
        </w:tc>
        <w:tc>
          <w:tcPr>
            <w:tcW w:w="1440" w:type="dxa"/>
            <w:tcBorders>
              <w:bottom w:val="single" w:sz="4" w:space="0" w:color="auto"/>
            </w:tcBorders>
          </w:tcPr>
          <w:p w14:paraId="433BEDBB" w14:textId="77777777" w:rsidR="000923BB" w:rsidRPr="00F955C6" w:rsidRDefault="000923BB" w:rsidP="003A385F">
            <w:pPr>
              <w:jc w:val="center"/>
              <w:rPr>
                <w:rFonts w:cs="Arial"/>
                <w:sz w:val="20"/>
                <w:szCs w:val="20"/>
              </w:rPr>
            </w:pPr>
            <w:r w:rsidRPr="00F955C6">
              <w:rPr>
                <w:rFonts w:cs="Arial"/>
                <w:sz w:val="20"/>
                <w:szCs w:val="20"/>
              </w:rPr>
              <w:t>Lower mortality</w:t>
            </w:r>
          </w:p>
          <w:p w14:paraId="6D1BFE17" w14:textId="77777777" w:rsidR="000923BB" w:rsidRPr="00F955C6" w:rsidRDefault="000923BB" w:rsidP="003A385F">
            <w:pPr>
              <w:jc w:val="center"/>
              <w:rPr>
                <w:rFonts w:cs="Arial"/>
                <w:sz w:val="20"/>
                <w:szCs w:val="20"/>
              </w:rPr>
            </w:pPr>
            <w:r w:rsidRPr="00F955C6">
              <w:rPr>
                <w:rFonts w:cs="Arial"/>
                <w:sz w:val="20"/>
                <w:szCs w:val="20"/>
              </w:rPr>
              <w:t>(SD)</w:t>
            </w:r>
          </w:p>
        </w:tc>
        <w:tc>
          <w:tcPr>
            <w:tcW w:w="1574" w:type="dxa"/>
            <w:tcBorders>
              <w:bottom w:val="single" w:sz="4" w:space="0" w:color="auto"/>
            </w:tcBorders>
          </w:tcPr>
          <w:p w14:paraId="65EFAC6B" w14:textId="77777777" w:rsidR="000923BB" w:rsidRPr="00F955C6" w:rsidRDefault="000923BB" w:rsidP="003A385F">
            <w:pPr>
              <w:jc w:val="center"/>
              <w:rPr>
                <w:rFonts w:cs="Arial"/>
                <w:sz w:val="20"/>
                <w:szCs w:val="20"/>
              </w:rPr>
            </w:pPr>
            <w:r w:rsidRPr="00F955C6">
              <w:rPr>
                <w:rFonts w:cs="Arial"/>
                <w:sz w:val="20"/>
                <w:szCs w:val="20"/>
              </w:rPr>
              <w:t xml:space="preserve">t-test </w:t>
            </w:r>
          </w:p>
          <w:p w14:paraId="36B66CA6" w14:textId="77777777" w:rsidR="000923BB" w:rsidRPr="00F955C6" w:rsidRDefault="000923BB" w:rsidP="003A385F">
            <w:pPr>
              <w:jc w:val="center"/>
              <w:rPr>
                <w:rFonts w:cs="Arial"/>
                <w:sz w:val="20"/>
                <w:szCs w:val="20"/>
              </w:rPr>
            </w:pPr>
            <w:r w:rsidRPr="00F955C6">
              <w:rPr>
                <w:rFonts w:cs="Arial"/>
                <w:sz w:val="20"/>
                <w:szCs w:val="20"/>
              </w:rPr>
              <w:t>(p-value)</w:t>
            </w:r>
          </w:p>
        </w:tc>
      </w:tr>
      <w:tr w:rsidR="000923BB" w:rsidRPr="00F955C6" w14:paraId="5A37C4BF" w14:textId="77777777" w:rsidTr="003A385F">
        <w:tc>
          <w:tcPr>
            <w:tcW w:w="4068" w:type="dxa"/>
            <w:tcBorders>
              <w:bottom w:val="single" w:sz="4" w:space="0" w:color="auto"/>
            </w:tcBorders>
          </w:tcPr>
          <w:p w14:paraId="45E43770" w14:textId="77777777" w:rsidR="000923BB" w:rsidRPr="00F955C6" w:rsidRDefault="000923BB" w:rsidP="003A385F">
            <w:pPr>
              <w:rPr>
                <w:rFonts w:cs="Arial"/>
                <w:sz w:val="20"/>
                <w:szCs w:val="20"/>
              </w:rPr>
            </w:pPr>
            <w:r w:rsidRPr="00F955C6">
              <w:rPr>
                <w:rFonts w:cs="Arial"/>
                <w:sz w:val="20"/>
                <w:szCs w:val="20"/>
              </w:rPr>
              <w:t>HSMR from Dr. Foster (3 year mortality)</w:t>
            </w:r>
          </w:p>
        </w:tc>
        <w:tc>
          <w:tcPr>
            <w:tcW w:w="1440" w:type="dxa"/>
            <w:tcBorders>
              <w:bottom w:val="single" w:sz="4" w:space="0" w:color="auto"/>
            </w:tcBorders>
          </w:tcPr>
          <w:p w14:paraId="5F2F8ADE" w14:textId="77777777" w:rsidR="000923BB" w:rsidRPr="00F955C6" w:rsidRDefault="000923BB" w:rsidP="003A385F">
            <w:pPr>
              <w:jc w:val="center"/>
              <w:rPr>
                <w:rFonts w:cs="Arial"/>
                <w:sz w:val="20"/>
                <w:szCs w:val="20"/>
              </w:rPr>
            </w:pPr>
            <w:r w:rsidRPr="00F955C6">
              <w:rPr>
                <w:rFonts w:cs="Arial"/>
                <w:sz w:val="20"/>
                <w:szCs w:val="20"/>
              </w:rPr>
              <w:t>107.1 (12.2)</w:t>
            </w:r>
          </w:p>
        </w:tc>
        <w:tc>
          <w:tcPr>
            <w:tcW w:w="1440" w:type="dxa"/>
            <w:tcBorders>
              <w:bottom w:val="single" w:sz="4" w:space="0" w:color="auto"/>
            </w:tcBorders>
          </w:tcPr>
          <w:p w14:paraId="3DEF55EB" w14:textId="77777777" w:rsidR="000923BB" w:rsidRPr="00F955C6" w:rsidRDefault="000923BB" w:rsidP="003A385F">
            <w:pPr>
              <w:jc w:val="center"/>
              <w:rPr>
                <w:rFonts w:cs="Arial"/>
                <w:sz w:val="20"/>
                <w:szCs w:val="20"/>
              </w:rPr>
            </w:pPr>
            <w:r w:rsidRPr="00F955C6">
              <w:rPr>
                <w:rFonts w:cs="Arial"/>
                <w:sz w:val="20"/>
                <w:szCs w:val="20"/>
              </w:rPr>
              <w:t>99.2 (8.6)</w:t>
            </w:r>
          </w:p>
        </w:tc>
        <w:tc>
          <w:tcPr>
            <w:tcW w:w="1574" w:type="dxa"/>
            <w:tcBorders>
              <w:bottom w:val="single" w:sz="4" w:space="0" w:color="auto"/>
            </w:tcBorders>
          </w:tcPr>
          <w:p w14:paraId="21BFE819" w14:textId="77777777" w:rsidR="000923BB" w:rsidRPr="00F955C6" w:rsidRDefault="000923BB" w:rsidP="003A385F">
            <w:pPr>
              <w:jc w:val="center"/>
              <w:rPr>
                <w:rFonts w:cs="Arial"/>
                <w:sz w:val="20"/>
                <w:szCs w:val="20"/>
              </w:rPr>
            </w:pPr>
            <w:r w:rsidRPr="00F955C6">
              <w:rPr>
                <w:rFonts w:cs="Arial"/>
                <w:sz w:val="20"/>
                <w:szCs w:val="20"/>
              </w:rPr>
              <w:t>1.67 (0.112)</w:t>
            </w:r>
          </w:p>
        </w:tc>
      </w:tr>
      <w:tr w:rsidR="000923BB" w:rsidRPr="00F955C6" w14:paraId="627A3AAA" w14:textId="77777777" w:rsidTr="003A385F">
        <w:tc>
          <w:tcPr>
            <w:tcW w:w="4068" w:type="dxa"/>
            <w:tcBorders>
              <w:bottom w:val="single" w:sz="4" w:space="0" w:color="auto"/>
            </w:tcBorders>
            <w:shd w:val="clear" w:color="auto" w:fill="CCFFCC"/>
          </w:tcPr>
          <w:p w14:paraId="2883C009" w14:textId="77777777" w:rsidR="000923BB" w:rsidRPr="00F955C6" w:rsidRDefault="000923BB" w:rsidP="003A385F">
            <w:pPr>
              <w:rPr>
                <w:rFonts w:cs="Arial"/>
                <w:sz w:val="20"/>
                <w:szCs w:val="20"/>
              </w:rPr>
            </w:pPr>
            <w:r w:rsidRPr="00F955C6">
              <w:rPr>
                <w:rFonts w:cs="Arial"/>
                <w:sz w:val="20"/>
                <w:szCs w:val="20"/>
              </w:rPr>
              <w:t>HSMR from Dr. Foster (1 year mortality)</w:t>
            </w:r>
          </w:p>
        </w:tc>
        <w:tc>
          <w:tcPr>
            <w:tcW w:w="1440" w:type="dxa"/>
            <w:tcBorders>
              <w:bottom w:val="single" w:sz="4" w:space="0" w:color="auto"/>
            </w:tcBorders>
            <w:shd w:val="clear" w:color="auto" w:fill="CCFFCC"/>
          </w:tcPr>
          <w:p w14:paraId="616ADB48" w14:textId="77777777" w:rsidR="000923BB" w:rsidRPr="00F955C6" w:rsidRDefault="000923BB" w:rsidP="003A385F">
            <w:pPr>
              <w:jc w:val="center"/>
              <w:rPr>
                <w:rFonts w:cs="Arial"/>
                <w:sz w:val="20"/>
                <w:szCs w:val="20"/>
              </w:rPr>
            </w:pPr>
            <w:r w:rsidRPr="00F955C6">
              <w:rPr>
                <w:rFonts w:cs="Arial"/>
                <w:sz w:val="20"/>
                <w:szCs w:val="20"/>
              </w:rPr>
              <w:t>106.3 (12.6)</w:t>
            </w:r>
          </w:p>
        </w:tc>
        <w:tc>
          <w:tcPr>
            <w:tcW w:w="1440" w:type="dxa"/>
            <w:tcBorders>
              <w:bottom w:val="single" w:sz="4" w:space="0" w:color="auto"/>
            </w:tcBorders>
            <w:shd w:val="clear" w:color="auto" w:fill="CCFFCC"/>
          </w:tcPr>
          <w:p w14:paraId="5B6B33F8" w14:textId="77777777" w:rsidR="000923BB" w:rsidRPr="00F955C6" w:rsidRDefault="000923BB" w:rsidP="003A385F">
            <w:pPr>
              <w:jc w:val="center"/>
              <w:rPr>
                <w:rFonts w:cs="Arial"/>
                <w:sz w:val="20"/>
                <w:szCs w:val="20"/>
              </w:rPr>
            </w:pPr>
            <w:r w:rsidRPr="00F955C6">
              <w:rPr>
                <w:rFonts w:cs="Arial"/>
                <w:sz w:val="20"/>
                <w:szCs w:val="20"/>
              </w:rPr>
              <w:t>95.6 (8.9)</w:t>
            </w:r>
          </w:p>
        </w:tc>
        <w:tc>
          <w:tcPr>
            <w:tcW w:w="1574" w:type="dxa"/>
            <w:tcBorders>
              <w:bottom w:val="single" w:sz="4" w:space="0" w:color="auto"/>
            </w:tcBorders>
            <w:shd w:val="clear" w:color="auto" w:fill="CCFFCC"/>
          </w:tcPr>
          <w:p w14:paraId="3AB590A1" w14:textId="77777777" w:rsidR="000923BB" w:rsidRPr="00F955C6" w:rsidRDefault="000923BB" w:rsidP="003A385F">
            <w:pPr>
              <w:jc w:val="center"/>
              <w:rPr>
                <w:rFonts w:cs="Arial"/>
                <w:sz w:val="20"/>
                <w:szCs w:val="20"/>
              </w:rPr>
            </w:pPr>
            <w:r w:rsidRPr="00F955C6">
              <w:rPr>
                <w:rFonts w:cs="Arial"/>
                <w:sz w:val="20"/>
                <w:szCs w:val="20"/>
              </w:rPr>
              <w:t>2.20 (0.041)</w:t>
            </w:r>
          </w:p>
        </w:tc>
      </w:tr>
      <w:tr w:rsidR="000923BB" w:rsidRPr="00F955C6" w14:paraId="14C3EC55" w14:textId="77777777" w:rsidTr="003A385F">
        <w:tc>
          <w:tcPr>
            <w:tcW w:w="4068" w:type="dxa"/>
            <w:shd w:val="clear" w:color="auto" w:fill="auto"/>
          </w:tcPr>
          <w:p w14:paraId="06298538" w14:textId="77777777" w:rsidR="000923BB" w:rsidRPr="00F955C6" w:rsidRDefault="000923BB" w:rsidP="003A385F">
            <w:pPr>
              <w:rPr>
                <w:rFonts w:cs="Arial"/>
                <w:sz w:val="20"/>
                <w:szCs w:val="20"/>
              </w:rPr>
            </w:pPr>
            <w:r w:rsidRPr="00F955C6">
              <w:rPr>
                <w:rFonts w:cs="Arial"/>
                <w:sz w:val="20"/>
                <w:szCs w:val="20"/>
              </w:rPr>
              <w:t>Incidents to NPSA per 100 bed days</w:t>
            </w:r>
          </w:p>
        </w:tc>
        <w:tc>
          <w:tcPr>
            <w:tcW w:w="1440" w:type="dxa"/>
            <w:shd w:val="clear" w:color="auto" w:fill="auto"/>
          </w:tcPr>
          <w:p w14:paraId="01E879AF" w14:textId="77777777" w:rsidR="000923BB" w:rsidRPr="00F955C6" w:rsidRDefault="000923BB" w:rsidP="003A385F">
            <w:pPr>
              <w:jc w:val="center"/>
              <w:rPr>
                <w:rFonts w:cs="Arial"/>
                <w:sz w:val="20"/>
                <w:szCs w:val="20"/>
              </w:rPr>
            </w:pPr>
            <w:r w:rsidRPr="00F955C6">
              <w:rPr>
                <w:rFonts w:cs="Arial"/>
                <w:sz w:val="20"/>
                <w:szCs w:val="20"/>
              </w:rPr>
              <w:t>0.74 (0.79)</w:t>
            </w:r>
          </w:p>
        </w:tc>
        <w:tc>
          <w:tcPr>
            <w:tcW w:w="1440" w:type="dxa"/>
            <w:shd w:val="clear" w:color="auto" w:fill="auto"/>
          </w:tcPr>
          <w:p w14:paraId="4E90D4DD" w14:textId="77777777" w:rsidR="000923BB" w:rsidRPr="00F955C6" w:rsidRDefault="000923BB" w:rsidP="003A385F">
            <w:pPr>
              <w:jc w:val="center"/>
              <w:rPr>
                <w:rFonts w:cs="Arial"/>
                <w:sz w:val="20"/>
                <w:szCs w:val="20"/>
              </w:rPr>
            </w:pPr>
            <w:r w:rsidRPr="00F955C6">
              <w:rPr>
                <w:rFonts w:cs="Arial"/>
                <w:sz w:val="20"/>
                <w:szCs w:val="20"/>
              </w:rPr>
              <w:t>0.70 (0.72)</w:t>
            </w:r>
          </w:p>
        </w:tc>
        <w:tc>
          <w:tcPr>
            <w:tcW w:w="1574" w:type="dxa"/>
            <w:shd w:val="clear" w:color="auto" w:fill="auto"/>
          </w:tcPr>
          <w:p w14:paraId="2542F529" w14:textId="77777777" w:rsidR="000923BB" w:rsidRPr="00F955C6" w:rsidRDefault="000923BB" w:rsidP="003A385F">
            <w:pPr>
              <w:jc w:val="center"/>
              <w:rPr>
                <w:rFonts w:cs="Arial"/>
                <w:sz w:val="20"/>
                <w:szCs w:val="20"/>
              </w:rPr>
            </w:pPr>
            <w:r w:rsidRPr="00F955C6">
              <w:rPr>
                <w:rFonts w:cs="Arial"/>
                <w:sz w:val="20"/>
                <w:szCs w:val="20"/>
              </w:rPr>
              <w:t>0.13 (0.896)</w:t>
            </w:r>
          </w:p>
        </w:tc>
      </w:tr>
      <w:tr w:rsidR="000923BB" w:rsidRPr="00F955C6" w14:paraId="54F01548" w14:textId="77777777" w:rsidTr="003A385F">
        <w:tc>
          <w:tcPr>
            <w:tcW w:w="4068" w:type="dxa"/>
          </w:tcPr>
          <w:p w14:paraId="3B4E2277" w14:textId="77777777" w:rsidR="000923BB" w:rsidRPr="00F955C6" w:rsidRDefault="000923BB" w:rsidP="003A385F">
            <w:pPr>
              <w:rPr>
                <w:rFonts w:cs="Arial"/>
                <w:sz w:val="20"/>
                <w:szCs w:val="20"/>
              </w:rPr>
            </w:pPr>
            <w:r w:rsidRPr="00F955C6">
              <w:rPr>
                <w:rFonts w:cs="Arial"/>
                <w:sz w:val="20"/>
                <w:szCs w:val="20"/>
              </w:rPr>
              <w:t>SMR for deaths in low mortality HRG’s</w:t>
            </w:r>
          </w:p>
        </w:tc>
        <w:tc>
          <w:tcPr>
            <w:tcW w:w="1440" w:type="dxa"/>
          </w:tcPr>
          <w:p w14:paraId="3F8D01CD" w14:textId="77777777" w:rsidR="000923BB" w:rsidRPr="00F955C6" w:rsidRDefault="000923BB" w:rsidP="003A385F">
            <w:pPr>
              <w:jc w:val="center"/>
              <w:rPr>
                <w:rFonts w:cs="Arial"/>
                <w:sz w:val="20"/>
                <w:szCs w:val="20"/>
              </w:rPr>
            </w:pPr>
            <w:r w:rsidRPr="00F955C6">
              <w:rPr>
                <w:rFonts w:cs="Arial"/>
                <w:sz w:val="20"/>
                <w:szCs w:val="20"/>
              </w:rPr>
              <w:t>92.7 (41.2)</w:t>
            </w:r>
          </w:p>
        </w:tc>
        <w:tc>
          <w:tcPr>
            <w:tcW w:w="1440" w:type="dxa"/>
          </w:tcPr>
          <w:p w14:paraId="1F8AF5C2" w14:textId="77777777" w:rsidR="000923BB" w:rsidRPr="00F955C6" w:rsidRDefault="000923BB" w:rsidP="003A385F">
            <w:pPr>
              <w:jc w:val="center"/>
              <w:rPr>
                <w:rFonts w:cs="Arial"/>
                <w:sz w:val="20"/>
                <w:szCs w:val="20"/>
              </w:rPr>
            </w:pPr>
            <w:r w:rsidRPr="00F955C6">
              <w:rPr>
                <w:rFonts w:cs="Arial"/>
                <w:sz w:val="20"/>
                <w:szCs w:val="20"/>
              </w:rPr>
              <w:t>113.9 (38.0)</w:t>
            </w:r>
          </w:p>
        </w:tc>
        <w:tc>
          <w:tcPr>
            <w:tcW w:w="1574" w:type="dxa"/>
          </w:tcPr>
          <w:p w14:paraId="3102D69D" w14:textId="77777777" w:rsidR="000923BB" w:rsidRPr="00F955C6" w:rsidRDefault="000923BB" w:rsidP="003A385F">
            <w:pPr>
              <w:jc w:val="center"/>
              <w:rPr>
                <w:rFonts w:cs="Arial"/>
                <w:sz w:val="20"/>
                <w:szCs w:val="20"/>
              </w:rPr>
            </w:pPr>
            <w:r w:rsidRPr="00F955C6">
              <w:rPr>
                <w:rFonts w:cs="Arial"/>
                <w:sz w:val="20"/>
                <w:szCs w:val="20"/>
              </w:rPr>
              <w:t>-1.20 (0.247)</w:t>
            </w:r>
          </w:p>
        </w:tc>
      </w:tr>
      <w:tr w:rsidR="000923BB" w:rsidRPr="00F955C6" w14:paraId="7F73965A" w14:textId="77777777" w:rsidTr="003A385F">
        <w:tc>
          <w:tcPr>
            <w:tcW w:w="4068" w:type="dxa"/>
          </w:tcPr>
          <w:p w14:paraId="196D599A" w14:textId="77777777" w:rsidR="000923BB" w:rsidRPr="00F955C6" w:rsidRDefault="000923BB" w:rsidP="003A385F">
            <w:pPr>
              <w:rPr>
                <w:rFonts w:cs="Arial"/>
                <w:sz w:val="20"/>
                <w:szCs w:val="20"/>
              </w:rPr>
            </w:pPr>
            <w:r w:rsidRPr="00F955C6">
              <w:rPr>
                <w:rFonts w:cs="Arial"/>
                <w:sz w:val="20"/>
                <w:szCs w:val="20"/>
              </w:rPr>
              <w:t>COPD finished consultant episodes</w:t>
            </w:r>
          </w:p>
        </w:tc>
        <w:tc>
          <w:tcPr>
            <w:tcW w:w="1440" w:type="dxa"/>
          </w:tcPr>
          <w:p w14:paraId="131338BF" w14:textId="77777777" w:rsidR="000923BB" w:rsidRPr="00F955C6" w:rsidRDefault="000923BB" w:rsidP="003A385F">
            <w:pPr>
              <w:jc w:val="center"/>
              <w:rPr>
                <w:rFonts w:cs="Arial"/>
                <w:sz w:val="20"/>
                <w:szCs w:val="20"/>
              </w:rPr>
            </w:pPr>
            <w:r w:rsidRPr="00F955C6">
              <w:rPr>
                <w:rFonts w:cs="Arial"/>
                <w:sz w:val="20"/>
                <w:szCs w:val="20"/>
              </w:rPr>
              <w:t>1164 (1012)</w:t>
            </w:r>
          </w:p>
        </w:tc>
        <w:tc>
          <w:tcPr>
            <w:tcW w:w="1440" w:type="dxa"/>
          </w:tcPr>
          <w:p w14:paraId="6374BC05" w14:textId="77777777" w:rsidR="000923BB" w:rsidRPr="00F955C6" w:rsidRDefault="000923BB" w:rsidP="003A385F">
            <w:pPr>
              <w:jc w:val="center"/>
              <w:rPr>
                <w:rFonts w:cs="Arial"/>
                <w:sz w:val="20"/>
                <w:szCs w:val="20"/>
              </w:rPr>
            </w:pPr>
            <w:r w:rsidRPr="00F955C6">
              <w:rPr>
                <w:rFonts w:cs="Arial"/>
                <w:sz w:val="20"/>
                <w:szCs w:val="20"/>
              </w:rPr>
              <w:t>1427 (815)</w:t>
            </w:r>
          </w:p>
        </w:tc>
        <w:tc>
          <w:tcPr>
            <w:tcW w:w="1574" w:type="dxa"/>
          </w:tcPr>
          <w:p w14:paraId="105DF458" w14:textId="77777777" w:rsidR="000923BB" w:rsidRPr="00F955C6" w:rsidRDefault="000923BB" w:rsidP="003A385F">
            <w:pPr>
              <w:jc w:val="center"/>
              <w:rPr>
                <w:rFonts w:cs="Arial"/>
                <w:sz w:val="20"/>
                <w:szCs w:val="20"/>
              </w:rPr>
            </w:pPr>
            <w:r w:rsidRPr="00F955C6">
              <w:rPr>
                <w:rFonts w:cs="Arial"/>
                <w:sz w:val="20"/>
                <w:szCs w:val="20"/>
              </w:rPr>
              <w:t>-0.63 (0.540)</w:t>
            </w:r>
          </w:p>
        </w:tc>
      </w:tr>
      <w:tr w:rsidR="000923BB" w:rsidRPr="00F955C6" w14:paraId="7F0E6420" w14:textId="77777777" w:rsidTr="003A385F">
        <w:tc>
          <w:tcPr>
            <w:tcW w:w="4068" w:type="dxa"/>
          </w:tcPr>
          <w:p w14:paraId="105BF85A" w14:textId="77777777" w:rsidR="000923BB" w:rsidRPr="00F955C6" w:rsidRDefault="000923BB" w:rsidP="003A385F">
            <w:pPr>
              <w:rPr>
                <w:rFonts w:cs="Arial"/>
                <w:sz w:val="20"/>
                <w:szCs w:val="20"/>
              </w:rPr>
            </w:pPr>
            <w:r w:rsidRPr="00F955C6">
              <w:rPr>
                <w:rFonts w:cs="Arial"/>
                <w:sz w:val="20"/>
                <w:szCs w:val="20"/>
              </w:rPr>
              <w:t>COPD bed days</w:t>
            </w:r>
          </w:p>
        </w:tc>
        <w:tc>
          <w:tcPr>
            <w:tcW w:w="1440" w:type="dxa"/>
          </w:tcPr>
          <w:p w14:paraId="33535FB3" w14:textId="77777777" w:rsidR="000923BB" w:rsidRPr="00F955C6" w:rsidRDefault="000923BB" w:rsidP="003A385F">
            <w:pPr>
              <w:jc w:val="center"/>
              <w:rPr>
                <w:rFonts w:cs="Arial"/>
                <w:sz w:val="20"/>
                <w:szCs w:val="20"/>
              </w:rPr>
            </w:pPr>
            <w:r w:rsidRPr="00F955C6">
              <w:rPr>
                <w:rFonts w:cs="Arial"/>
                <w:sz w:val="20"/>
                <w:szCs w:val="20"/>
              </w:rPr>
              <w:t>7170 (5117)</w:t>
            </w:r>
          </w:p>
        </w:tc>
        <w:tc>
          <w:tcPr>
            <w:tcW w:w="1440" w:type="dxa"/>
          </w:tcPr>
          <w:p w14:paraId="208B290D" w14:textId="77777777" w:rsidR="000923BB" w:rsidRPr="00F955C6" w:rsidRDefault="000923BB" w:rsidP="003A385F">
            <w:pPr>
              <w:jc w:val="center"/>
              <w:rPr>
                <w:rFonts w:cs="Arial"/>
                <w:sz w:val="20"/>
                <w:szCs w:val="20"/>
              </w:rPr>
            </w:pPr>
            <w:r w:rsidRPr="00F955C6">
              <w:rPr>
                <w:rFonts w:cs="Arial"/>
                <w:sz w:val="20"/>
                <w:szCs w:val="20"/>
              </w:rPr>
              <w:t>7268 (3744)</w:t>
            </w:r>
          </w:p>
        </w:tc>
        <w:tc>
          <w:tcPr>
            <w:tcW w:w="1574" w:type="dxa"/>
          </w:tcPr>
          <w:p w14:paraId="15B29518" w14:textId="77777777" w:rsidR="000923BB" w:rsidRPr="00F955C6" w:rsidRDefault="000923BB" w:rsidP="003A385F">
            <w:pPr>
              <w:jc w:val="center"/>
              <w:rPr>
                <w:rFonts w:cs="Arial"/>
                <w:sz w:val="20"/>
                <w:szCs w:val="20"/>
              </w:rPr>
            </w:pPr>
            <w:r w:rsidRPr="00F955C6">
              <w:rPr>
                <w:rFonts w:cs="Arial"/>
                <w:sz w:val="20"/>
                <w:szCs w:val="20"/>
              </w:rPr>
              <w:t>-0.05 (0.962)</w:t>
            </w:r>
          </w:p>
        </w:tc>
      </w:tr>
      <w:tr w:rsidR="000923BB" w:rsidRPr="00F955C6" w14:paraId="4ADA74D1" w14:textId="77777777" w:rsidTr="003A385F">
        <w:tc>
          <w:tcPr>
            <w:tcW w:w="4068" w:type="dxa"/>
          </w:tcPr>
          <w:p w14:paraId="6624187B" w14:textId="77777777" w:rsidR="000923BB" w:rsidRPr="00F955C6" w:rsidRDefault="000923BB" w:rsidP="003A385F">
            <w:pPr>
              <w:rPr>
                <w:rFonts w:cs="Arial"/>
                <w:sz w:val="20"/>
                <w:szCs w:val="20"/>
              </w:rPr>
            </w:pPr>
            <w:r w:rsidRPr="00F955C6">
              <w:rPr>
                <w:rFonts w:cs="Arial"/>
                <w:sz w:val="20"/>
                <w:szCs w:val="20"/>
              </w:rPr>
              <w:t>COPD mean length of stay</w:t>
            </w:r>
          </w:p>
        </w:tc>
        <w:tc>
          <w:tcPr>
            <w:tcW w:w="1440" w:type="dxa"/>
          </w:tcPr>
          <w:p w14:paraId="11CC2671" w14:textId="77777777" w:rsidR="000923BB" w:rsidRPr="00F955C6" w:rsidRDefault="000923BB" w:rsidP="003A385F">
            <w:pPr>
              <w:jc w:val="center"/>
              <w:rPr>
                <w:rFonts w:cs="Arial"/>
                <w:sz w:val="20"/>
                <w:szCs w:val="20"/>
              </w:rPr>
            </w:pPr>
            <w:r w:rsidRPr="00F955C6">
              <w:rPr>
                <w:rFonts w:cs="Arial"/>
                <w:sz w:val="20"/>
                <w:szCs w:val="20"/>
              </w:rPr>
              <w:t>9.4 (1.8)</w:t>
            </w:r>
          </w:p>
        </w:tc>
        <w:tc>
          <w:tcPr>
            <w:tcW w:w="1440" w:type="dxa"/>
          </w:tcPr>
          <w:p w14:paraId="5FEB64E9" w14:textId="77777777" w:rsidR="000923BB" w:rsidRPr="00F955C6" w:rsidRDefault="000923BB" w:rsidP="003A385F">
            <w:pPr>
              <w:jc w:val="center"/>
              <w:rPr>
                <w:rFonts w:cs="Arial"/>
                <w:sz w:val="20"/>
                <w:szCs w:val="20"/>
              </w:rPr>
            </w:pPr>
            <w:r w:rsidRPr="00F955C6">
              <w:rPr>
                <w:rFonts w:cs="Arial"/>
                <w:sz w:val="20"/>
                <w:szCs w:val="20"/>
              </w:rPr>
              <w:t>8.7 (2.5)</w:t>
            </w:r>
          </w:p>
        </w:tc>
        <w:tc>
          <w:tcPr>
            <w:tcW w:w="1574" w:type="dxa"/>
          </w:tcPr>
          <w:p w14:paraId="648B30C2" w14:textId="77777777" w:rsidR="000923BB" w:rsidRPr="00F955C6" w:rsidRDefault="000923BB" w:rsidP="003A385F">
            <w:pPr>
              <w:jc w:val="center"/>
              <w:rPr>
                <w:rFonts w:cs="Arial"/>
                <w:sz w:val="20"/>
                <w:szCs w:val="20"/>
              </w:rPr>
            </w:pPr>
            <w:r w:rsidRPr="00F955C6">
              <w:rPr>
                <w:rFonts w:cs="Arial"/>
                <w:sz w:val="20"/>
                <w:szCs w:val="20"/>
              </w:rPr>
              <w:t>0.68 (0.507)</w:t>
            </w:r>
          </w:p>
        </w:tc>
      </w:tr>
      <w:tr w:rsidR="000923BB" w:rsidRPr="00F955C6" w14:paraId="4FFC5E8C" w14:textId="77777777" w:rsidTr="003A385F">
        <w:tc>
          <w:tcPr>
            <w:tcW w:w="4068" w:type="dxa"/>
          </w:tcPr>
          <w:p w14:paraId="39C056CF" w14:textId="77777777" w:rsidR="000923BB" w:rsidRPr="00F955C6" w:rsidRDefault="000923BB" w:rsidP="003A385F">
            <w:pPr>
              <w:rPr>
                <w:rFonts w:cs="Arial"/>
                <w:sz w:val="20"/>
                <w:szCs w:val="20"/>
              </w:rPr>
            </w:pPr>
            <w:r w:rsidRPr="00F955C6">
              <w:rPr>
                <w:rFonts w:cs="Arial"/>
                <w:sz w:val="20"/>
                <w:szCs w:val="20"/>
              </w:rPr>
              <w:t>COPD mean age</w:t>
            </w:r>
          </w:p>
        </w:tc>
        <w:tc>
          <w:tcPr>
            <w:tcW w:w="1440" w:type="dxa"/>
          </w:tcPr>
          <w:p w14:paraId="22CF17B8" w14:textId="77777777" w:rsidR="000923BB" w:rsidRPr="00F955C6" w:rsidRDefault="000923BB" w:rsidP="003A385F">
            <w:pPr>
              <w:jc w:val="center"/>
              <w:rPr>
                <w:rFonts w:cs="Arial"/>
                <w:sz w:val="20"/>
                <w:szCs w:val="20"/>
              </w:rPr>
            </w:pPr>
            <w:r w:rsidRPr="00F955C6">
              <w:rPr>
                <w:rFonts w:cs="Arial"/>
                <w:sz w:val="20"/>
                <w:szCs w:val="20"/>
              </w:rPr>
              <w:t>69.2 (1.3)</w:t>
            </w:r>
          </w:p>
        </w:tc>
        <w:tc>
          <w:tcPr>
            <w:tcW w:w="1440" w:type="dxa"/>
          </w:tcPr>
          <w:p w14:paraId="7DCDC37C" w14:textId="77777777" w:rsidR="000923BB" w:rsidRPr="00F955C6" w:rsidRDefault="000923BB" w:rsidP="003A385F">
            <w:pPr>
              <w:jc w:val="center"/>
              <w:rPr>
                <w:rFonts w:cs="Arial"/>
                <w:sz w:val="20"/>
                <w:szCs w:val="20"/>
              </w:rPr>
            </w:pPr>
            <w:r w:rsidRPr="00F955C6">
              <w:rPr>
                <w:rFonts w:cs="Arial"/>
                <w:sz w:val="20"/>
                <w:szCs w:val="20"/>
              </w:rPr>
              <w:t>69.1 (2.6)</w:t>
            </w:r>
          </w:p>
        </w:tc>
        <w:tc>
          <w:tcPr>
            <w:tcW w:w="1574" w:type="dxa"/>
          </w:tcPr>
          <w:p w14:paraId="59D15D7D" w14:textId="77777777" w:rsidR="000923BB" w:rsidRPr="00F955C6" w:rsidRDefault="000923BB" w:rsidP="003A385F">
            <w:pPr>
              <w:jc w:val="center"/>
              <w:rPr>
                <w:rFonts w:cs="Arial"/>
                <w:sz w:val="20"/>
                <w:szCs w:val="20"/>
              </w:rPr>
            </w:pPr>
            <w:r w:rsidRPr="00F955C6">
              <w:rPr>
                <w:rFonts w:cs="Arial"/>
                <w:sz w:val="20"/>
                <w:szCs w:val="20"/>
              </w:rPr>
              <w:t>0.12 (0.905)</w:t>
            </w:r>
          </w:p>
        </w:tc>
      </w:tr>
      <w:tr w:rsidR="000923BB" w:rsidRPr="00F955C6" w14:paraId="304F41E2" w14:textId="77777777" w:rsidTr="003A385F">
        <w:tc>
          <w:tcPr>
            <w:tcW w:w="4068" w:type="dxa"/>
          </w:tcPr>
          <w:p w14:paraId="1FC40E68" w14:textId="77777777" w:rsidR="000923BB" w:rsidRPr="00F955C6" w:rsidRDefault="000923BB" w:rsidP="003A385F">
            <w:pPr>
              <w:rPr>
                <w:rFonts w:cs="Arial"/>
                <w:sz w:val="20"/>
                <w:szCs w:val="20"/>
              </w:rPr>
            </w:pPr>
            <w:r w:rsidRPr="00F955C6">
              <w:rPr>
                <w:rFonts w:cs="Arial"/>
                <w:sz w:val="20"/>
                <w:szCs w:val="20"/>
              </w:rPr>
              <w:t>HF finished consultant episodes</w:t>
            </w:r>
          </w:p>
        </w:tc>
        <w:tc>
          <w:tcPr>
            <w:tcW w:w="1440" w:type="dxa"/>
          </w:tcPr>
          <w:p w14:paraId="3F6974B0" w14:textId="77777777" w:rsidR="000923BB" w:rsidRPr="00F955C6" w:rsidRDefault="000923BB" w:rsidP="003A385F">
            <w:pPr>
              <w:jc w:val="center"/>
              <w:rPr>
                <w:rFonts w:cs="Arial"/>
                <w:sz w:val="20"/>
                <w:szCs w:val="20"/>
              </w:rPr>
            </w:pPr>
            <w:r w:rsidRPr="00F955C6">
              <w:rPr>
                <w:rFonts w:cs="Arial"/>
                <w:sz w:val="20"/>
                <w:szCs w:val="20"/>
              </w:rPr>
              <w:t>636 (525)</w:t>
            </w:r>
          </w:p>
        </w:tc>
        <w:tc>
          <w:tcPr>
            <w:tcW w:w="1440" w:type="dxa"/>
          </w:tcPr>
          <w:p w14:paraId="4BAE53A9" w14:textId="77777777" w:rsidR="000923BB" w:rsidRPr="00F955C6" w:rsidRDefault="000923BB" w:rsidP="003A385F">
            <w:pPr>
              <w:jc w:val="center"/>
              <w:rPr>
                <w:rFonts w:cs="Arial"/>
                <w:sz w:val="20"/>
                <w:szCs w:val="20"/>
              </w:rPr>
            </w:pPr>
            <w:r w:rsidRPr="00F955C6">
              <w:rPr>
                <w:rFonts w:cs="Arial"/>
                <w:sz w:val="20"/>
                <w:szCs w:val="20"/>
              </w:rPr>
              <w:t>765 (525)</w:t>
            </w:r>
          </w:p>
        </w:tc>
        <w:tc>
          <w:tcPr>
            <w:tcW w:w="1574" w:type="dxa"/>
          </w:tcPr>
          <w:p w14:paraId="79CC5E6C" w14:textId="77777777" w:rsidR="000923BB" w:rsidRPr="00F955C6" w:rsidRDefault="000923BB" w:rsidP="003A385F">
            <w:pPr>
              <w:jc w:val="center"/>
              <w:rPr>
                <w:rFonts w:cs="Arial"/>
                <w:sz w:val="20"/>
                <w:szCs w:val="20"/>
              </w:rPr>
            </w:pPr>
            <w:r w:rsidRPr="00F955C6">
              <w:rPr>
                <w:rFonts w:cs="Arial"/>
                <w:sz w:val="20"/>
                <w:szCs w:val="20"/>
              </w:rPr>
              <w:t>-0.53 (0.601)</w:t>
            </w:r>
          </w:p>
        </w:tc>
      </w:tr>
      <w:tr w:rsidR="000923BB" w:rsidRPr="00F955C6" w14:paraId="753899C7" w14:textId="77777777" w:rsidTr="003A385F">
        <w:tc>
          <w:tcPr>
            <w:tcW w:w="4068" w:type="dxa"/>
          </w:tcPr>
          <w:p w14:paraId="6B9F3D43" w14:textId="77777777" w:rsidR="000923BB" w:rsidRPr="00F955C6" w:rsidRDefault="000923BB" w:rsidP="003A385F">
            <w:pPr>
              <w:rPr>
                <w:rFonts w:cs="Arial"/>
                <w:sz w:val="20"/>
                <w:szCs w:val="20"/>
              </w:rPr>
            </w:pPr>
            <w:r w:rsidRPr="00F955C6">
              <w:rPr>
                <w:rFonts w:cs="Arial"/>
                <w:sz w:val="20"/>
                <w:szCs w:val="20"/>
              </w:rPr>
              <w:t>HF bed days</w:t>
            </w:r>
          </w:p>
        </w:tc>
        <w:tc>
          <w:tcPr>
            <w:tcW w:w="1440" w:type="dxa"/>
          </w:tcPr>
          <w:p w14:paraId="56FE1C17" w14:textId="77777777" w:rsidR="000923BB" w:rsidRPr="00F955C6" w:rsidRDefault="000923BB" w:rsidP="003A385F">
            <w:pPr>
              <w:jc w:val="center"/>
              <w:rPr>
                <w:rFonts w:cs="Arial"/>
                <w:sz w:val="20"/>
                <w:szCs w:val="20"/>
              </w:rPr>
            </w:pPr>
            <w:r w:rsidRPr="00F955C6">
              <w:rPr>
                <w:rFonts w:cs="Arial"/>
                <w:sz w:val="20"/>
                <w:szCs w:val="20"/>
              </w:rPr>
              <w:t>5298 (3425)</w:t>
            </w:r>
          </w:p>
        </w:tc>
        <w:tc>
          <w:tcPr>
            <w:tcW w:w="1440" w:type="dxa"/>
          </w:tcPr>
          <w:p w14:paraId="6D8875CB" w14:textId="77777777" w:rsidR="000923BB" w:rsidRPr="00F955C6" w:rsidRDefault="000923BB" w:rsidP="003A385F">
            <w:pPr>
              <w:jc w:val="center"/>
              <w:rPr>
                <w:rFonts w:cs="Arial"/>
                <w:sz w:val="20"/>
                <w:szCs w:val="20"/>
              </w:rPr>
            </w:pPr>
            <w:r w:rsidRPr="00F955C6">
              <w:rPr>
                <w:rFonts w:cs="Arial"/>
                <w:sz w:val="20"/>
                <w:szCs w:val="20"/>
              </w:rPr>
              <w:t>5680 (4025)</w:t>
            </w:r>
          </w:p>
        </w:tc>
        <w:tc>
          <w:tcPr>
            <w:tcW w:w="1574" w:type="dxa"/>
          </w:tcPr>
          <w:p w14:paraId="271BEBFA" w14:textId="77777777" w:rsidR="000923BB" w:rsidRPr="00F955C6" w:rsidRDefault="000923BB" w:rsidP="003A385F">
            <w:pPr>
              <w:jc w:val="center"/>
              <w:rPr>
                <w:rFonts w:cs="Arial"/>
                <w:sz w:val="20"/>
                <w:szCs w:val="20"/>
              </w:rPr>
            </w:pPr>
            <w:r w:rsidRPr="00F955C6">
              <w:rPr>
                <w:rFonts w:cs="Arial"/>
                <w:sz w:val="20"/>
                <w:szCs w:val="20"/>
              </w:rPr>
              <w:t>-0.22 (0.828)</w:t>
            </w:r>
          </w:p>
        </w:tc>
      </w:tr>
      <w:tr w:rsidR="000923BB" w:rsidRPr="00F955C6" w14:paraId="43A90030" w14:textId="77777777" w:rsidTr="003A385F">
        <w:tc>
          <w:tcPr>
            <w:tcW w:w="4068" w:type="dxa"/>
            <w:tcBorders>
              <w:bottom w:val="single" w:sz="4" w:space="0" w:color="auto"/>
            </w:tcBorders>
          </w:tcPr>
          <w:p w14:paraId="17705DD5" w14:textId="77777777" w:rsidR="000923BB" w:rsidRPr="00F955C6" w:rsidRDefault="000923BB" w:rsidP="003A385F">
            <w:pPr>
              <w:rPr>
                <w:rFonts w:cs="Arial"/>
                <w:sz w:val="20"/>
                <w:szCs w:val="20"/>
              </w:rPr>
            </w:pPr>
            <w:r w:rsidRPr="00F955C6">
              <w:rPr>
                <w:rFonts w:cs="Arial"/>
                <w:sz w:val="20"/>
                <w:szCs w:val="20"/>
              </w:rPr>
              <w:t>HF mean length of stay</w:t>
            </w:r>
          </w:p>
        </w:tc>
        <w:tc>
          <w:tcPr>
            <w:tcW w:w="1440" w:type="dxa"/>
            <w:tcBorders>
              <w:bottom w:val="single" w:sz="4" w:space="0" w:color="auto"/>
            </w:tcBorders>
          </w:tcPr>
          <w:p w14:paraId="4CCC75A4" w14:textId="77777777" w:rsidR="000923BB" w:rsidRPr="00F955C6" w:rsidRDefault="000923BB" w:rsidP="003A385F">
            <w:pPr>
              <w:jc w:val="center"/>
              <w:rPr>
                <w:rFonts w:cs="Arial"/>
                <w:sz w:val="20"/>
                <w:szCs w:val="20"/>
              </w:rPr>
            </w:pPr>
            <w:r w:rsidRPr="00F955C6">
              <w:rPr>
                <w:rFonts w:cs="Arial"/>
                <w:sz w:val="20"/>
                <w:szCs w:val="20"/>
              </w:rPr>
              <w:t>12.8 (1.0)</w:t>
            </w:r>
          </w:p>
        </w:tc>
        <w:tc>
          <w:tcPr>
            <w:tcW w:w="1440" w:type="dxa"/>
            <w:tcBorders>
              <w:bottom w:val="single" w:sz="4" w:space="0" w:color="auto"/>
            </w:tcBorders>
          </w:tcPr>
          <w:p w14:paraId="5AC9F66F" w14:textId="77777777" w:rsidR="000923BB" w:rsidRPr="00F955C6" w:rsidRDefault="000923BB" w:rsidP="003A385F">
            <w:pPr>
              <w:jc w:val="center"/>
              <w:rPr>
                <w:rFonts w:cs="Arial"/>
                <w:sz w:val="20"/>
                <w:szCs w:val="20"/>
              </w:rPr>
            </w:pPr>
            <w:r w:rsidRPr="00F955C6">
              <w:rPr>
                <w:rFonts w:cs="Arial"/>
                <w:sz w:val="20"/>
                <w:szCs w:val="20"/>
              </w:rPr>
              <w:t>12.5 (1.1)</w:t>
            </w:r>
          </w:p>
        </w:tc>
        <w:tc>
          <w:tcPr>
            <w:tcW w:w="1574" w:type="dxa"/>
            <w:tcBorders>
              <w:bottom w:val="single" w:sz="4" w:space="0" w:color="auto"/>
            </w:tcBorders>
          </w:tcPr>
          <w:p w14:paraId="10FFE2B5" w14:textId="77777777" w:rsidR="000923BB" w:rsidRPr="00F955C6" w:rsidRDefault="000923BB" w:rsidP="003A385F">
            <w:pPr>
              <w:jc w:val="center"/>
              <w:rPr>
                <w:rFonts w:cs="Arial"/>
                <w:sz w:val="20"/>
                <w:szCs w:val="20"/>
              </w:rPr>
            </w:pPr>
            <w:r w:rsidRPr="00F955C6">
              <w:rPr>
                <w:rFonts w:cs="Arial"/>
                <w:sz w:val="20"/>
                <w:szCs w:val="20"/>
              </w:rPr>
              <w:t>0.59 (0.561)</w:t>
            </w:r>
          </w:p>
        </w:tc>
      </w:tr>
      <w:tr w:rsidR="000923BB" w:rsidRPr="00F955C6" w14:paraId="552107F4" w14:textId="77777777" w:rsidTr="003A385F">
        <w:tc>
          <w:tcPr>
            <w:tcW w:w="4068" w:type="dxa"/>
            <w:shd w:val="clear" w:color="auto" w:fill="CCFFCC"/>
          </w:tcPr>
          <w:p w14:paraId="45790163" w14:textId="77777777" w:rsidR="000923BB" w:rsidRPr="00F955C6" w:rsidRDefault="000923BB" w:rsidP="003A385F">
            <w:pPr>
              <w:rPr>
                <w:rFonts w:cs="Arial"/>
                <w:sz w:val="20"/>
                <w:szCs w:val="20"/>
              </w:rPr>
            </w:pPr>
            <w:r w:rsidRPr="00F955C6">
              <w:rPr>
                <w:rFonts w:cs="Arial"/>
                <w:sz w:val="20"/>
                <w:szCs w:val="20"/>
              </w:rPr>
              <w:t>HF mean age</w:t>
            </w:r>
          </w:p>
        </w:tc>
        <w:tc>
          <w:tcPr>
            <w:tcW w:w="1440" w:type="dxa"/>
            <w:shd w:val="clear" w:color="auto" w:fill="CCFFCC"/>
          </w:tcPr>
          <w:p w14:paraId="4E370589" w14:textId="77777777" w:rsidR="000923BB" w:rsidRPr="00F955C6" w:rsidRDefault="000923BB" w:rsidP="003A385F">
            <w:pPr>
              <w:jc w:val="center"/>
              <w:rPr>
                <w:rFonts w:cs="Arial"/>
                <w:sz w:val="20"/>
                <w:szCs w:val="20"/>
              </w:rPr>
            </w:pPr>
            <w:r w:rsidRPr="00F955C6">
              <w:rPr>
                <w:rFonts w:cs="Arial"/>
                <w:sz w:val="20"/>
                <w:szCs w:val="20"/>
              </w:rPr>
              <w:t>78.1 (1.5)</w:t>
            </w:r>
          </w:p>
        </w:tc>
        <w:tc>
          <w:tcPr>
            <w:tcW w:w="1440" w:type="dxa"/>
            <w:shd w:val="clear" w:color="auto" w:fill="CCFFCC"/>
          </w:tcPr>
          <w:p w14:paraId="2FDC390E" w14:textId="77777777" w:rsidR="000923BB" w:rsidRPr="00F955C6" w:rsidRDefault="000923BB" w:rsidP="003A385F">
            <w:pPr>
              <w:jc w:val="center"/>
              <w:rPr>
                <w:rFonts w:cs="Arial"/>
                <w:sz w:val="20"/>
                <w:szCs w:val="20"/>
              </w:rPr>
            </w:pPr>
            <w:r w:rsidRPr="00F955C6">
              <w:rPr>
                <w:rFonts w:cs="Arial"/>
                <w:sz w:val="20"/>
                <w:szCs w:val="20"/>
              </w:rPr>
              <w:t>75.9 (2.3)</w:t>
            </w:r>
          </w:p>
        </w:tc>
        <w:tc>
          <w:tcPr>
            <w:tcW w:w="1574" w:type="dxa"/>
            <w:shd w:val="clear" w:color="auto" w:fill="CCFFCC"/>
          </w:tcPr>
          <w:p w14:paraId="2E859139" w14:textId="77777777" w:rsidR="000923BB" w:rsidRPr="00F955C6" w:rsidRDefault="000923BB" w:rsidP="003A385F">
            <w:pPr>
              <w:jc w:val="center"/>
              <w:rPr>
                <w:rFonts w:cs="Arial"/>
                <w:sz w:val="20"/>
                <w:szCs w:val="20"/>
              </w:rPr>
            </w:pPr>
            <w:r w:rsidRPr="00F955C6">
              <w:rPr>
                <w:rFonts w:cs="Arial"/>
                <w:sz w:val="20"/>
                <w:szCs w:val="20"/>
              </w:rPr>
              <w:t>2.48 (0.024)</w:t>
            </w:r>
          </w:p>
        </w:tc>
      </w:tr>
      <w:tr w:rsidR="000923BB" w:rsidRPr="00F955C6" w14:paraId="2A28F97B" w14:textId="77777777" w:rsidTr="003A385F">
        <w:tc>
          <w:tcPr>
            <w:tcW w:w="4068" w:type="dxa"/>
          </w:tcPr>
          <w:p w14:paraId="6F3B0A15" w14:textId="77777777" w:rsidR="000923BB" w:rsidRPr="00F955C6" w:rsidRDefault="000923BB" w:rsidP="003A385F">
            <w:pPr>
              <w:rPr>
                <w:rFonts w:cs="Arial"/>
                <w:sz w:val="20"/>
                <w:szCs w:val="20"/>
              </w:rPr>
            </w:pPr>
            <w:r w:rsidRPr="00F955C6">
              <w:rPr>
                <w:rFonts w:cs="Arial"/>
                <w:sz w:val="20"/>
                <w:szCs w:val="20"/>
              </w:rPr>
              <w:t>Patient’s experience</w:t>
            </w:r>
          </w:p>
        </w:tc>
        <w:tc>
          <w:tcPr>
            <w:tcW w:w="1440" w:type="dxa"/>
          </w:tcPr>
          <w:p w14:paraId="46FEBDCA" w14:textId="77777777" w:rsidR="000923BB" w:rsidRPr="00F955C6" w:rsidRDefault="000923BB" w:rsidP="003A385F">
            <w:pPr>
              <w:jc w:val="center"/>
              <w:rPr>
                <w:rFonts w:cs="Arial"/>
                <w:sz w:val="20"/>
                <w:szCs w:val="20"/>
              </w:rPr>
            </w:pPr>
            <w:r w:rsidRPr="00F955C6">
              <w:rPr>
                <w:rFonts w:cs="Arial"/>
                <w:sz w:val="20"/>
                <w:szCs w:val="20"/>
              </w:rPr>
              <w:t>68.2 (3.7)</w:t>
            </w:r>
          </w:p>
        </w:tc>
        <w:tc>
          <w:tcPr>
            <w:tcW w:w="1440" w:type="dxa"/>
          </w:tcPr>
          <w:p w14:paraId="35C3D975" w14:textId="77777777" w:rsidR="000923BB" w:rsidRPr="00F955C6" w:rsidRDefault="000923BB" w:rsidP="003A385F">
            <w:pPr>
              <w:jc w:val="center"/>
              <w:rPr>
                <w:rFonts w:cs="Arial"/>
                <w:sz w:val="20"/>
                <w:szCs w:val="20"/>
              </w:rPr>
            </w:pPr>
            <w:r w:rsidRPr="00F955C6">
              <w:rPr>
                <w:rFonts w:cs="Arial"/>
                <w:sz w:val="20"/>
                <w:szCs w:val="20"/>
              </w:rPr>
              <w:t>67.2 (4.5)</w:t>
            </w:r>
          </w:p>
        </w:tc>
        <w:tc>
          <w:tcPr>
            <w:tcW w:w="1574" w:type="dxa"/>
          </w:tcPr>
          <w:p w14:paraId="357A26A3" w14:textId="77777777" w:rsidR="000923BB" w:rsidRPr="00F955C6" w:rsidRDefault="000923BB" w:rsidP="003A385F">
            <w:pPr>
              <w:jc w:val="center"/>
              <w:rPr>
                <w:rFonts w:cs="Arial"/>
                <w:sz w:val="20"/>
                <w:szCs w:val="20"/>
              </w:rPr>
            </w:pPr>
            <w:r w:rsidRPr="00F955C6">
              <w:rPr>
                <w:rFonts w:cs="Arial"/>
                <w:sz w:val="20"/>
                <w:szCs w:val="20"/>
              </w:rPr>
              <w:t>0.58 (0.567)</w:t>
            </w:r>
          </w:p>
        </w:tc>
      </w:tr>
      <w:tr w:rsidR="000923BB" w:rsidRPr="00F955C6" w14:paraId="5D16599B" w14:textId="77777777" w:rsidTr="003A385F">
        <w:tc>
          <w:tcPr>
            <w:tcW w:w="4068" w:type="dxa"/>
          </w:tcPr>
          <w:p w14:paraId="00F7BB5B" w14:textId="77777777" w:rsidR="000923BB" w:rsidRPr="00F955C6" w:rsidRDefault="000923BB" w:rsidP="003A385F">
            <w:pPr>
              <w:rPr>
                <w:rFonts w:cs="Arial"/>
                <w:sz w:val="20"/>
                <w:szCs w:val="20"/>
              </w:rPr>
            </w:pPr>
            <w:r w:rsidRPr="00F955C6">
              <w:rPr>
                <w:rFonts w:cs="Arial"/>
                <w:sz w:val="20"/>
                <w:szCs w:val="20"/>
              </w:rPr>
              <w:t>Percentage of patient’s with acute MI receiving thrombolysis</w:t>
            </w:r>
          </w:p>
        </w:tc>
        <w:tc>
          <w:tcPr>
            <w:tcW w:w="1440" w:type="dxa"/>
          </w:tcPr>
          <w:p w14:paraId="3ADB331A" w14:textId="77777777" w:rsidR="000923BB" w:rsidRPr="00F955C6" w:rsidRDefault="000923BB" w:rsidP="003A385F">
            <w:pPr>
              <w:jc w:val="center"/>
              <w:rPr>
                <w:rFonts w:cs="Arial"/>
                <w:sz w:val="20"/>
                <w:szCs w:val="20"/>
              </w:rPr>
            </w:pPr>
            <w:r w:rsidRPr="00F955C6">
              <w:rPr>
                <w:rFonts w:cs="Arial"/>
                <w:sz w:val="20"/>
                <w:szCs w:val="20"/>
              </w:rPr>
              <w:t>56.3 (18.9)</w:t>
            </w:r>
          </w:p>
        </w:tc>
        <w:tc>
          <w:tcPr>
            <w:tcW w:w="1440" w:type="dxa"/>
          </w:tcPr>
          <w:p w14:paraId="06444A43" w14:textId="77777777" w:rsidR="000923BB" w:rsidRPr="00F955C6" w:rsidRDefault="000923BB" w:rsidP="003A385F">
            <w:pPr>
              <w:jc w:val="center"/>
              <w:rPr>
                <w:rFonts w:cs="Arial"/>
                <w:sz w:val="20"/>
                <w:szCs w:val="20"/>
              </w:rPr>
            </w:pPr>
            <w:r w:rsidRPr="00F955C6">
              <w:rPr>
                <w:rFonts w:cs="Arial"/>
                <w:sz w:val="20"/>
                <w:szCs w:val="20"/>
              </w:rPr>
              <w:t>56.6 (21.3)</w:t>
            </w:r>
          </w:p>
        </w:tc>
        <w:tc>
          <w:tcPr>
            <w:tcW w:w="1574" w:type="dxa"/>
          </w:tcPr>
          <w:p w14:paraId="04E194CE" w14:textId="77777777" w:rsidR="000923BB" w:rsidRPr="00F955C6" w:rsidRDefault="000923BB" w:rsidP="003A385F">
            <w:pPr>
              <w:jc w:val="center"/>
              <w:rPr>
                <w:rFonts w:cs="Arial"/>
                <w:sz w:val="20"/>
                <w:szCs w:val="20"/>
              </w:rPr>
            </w:pPr>
            <w:r w:rsidRPr="00F955C6">
              <w:rPr>
                <w:rFonts w:cs="Arial"/>
                <w:sz w:val="20"/>
                <w:szCs w:val="20"/>
              </w:rPr>
              <w:t>-0.04 (0.967)</w:t>
            </w:r>
          </w:p>
        </w:tc>
      </w:tr>
    </w:tbl>
    <w:p w14:paraId="3D78870B" w14:textId="77777777" w:rsidR="000923BB" w:rsidRPr="00D77319" w:rsidRDefault="000923BB" w:rsidP="000923BB">
      <w:pPr>
        <w:rPr>
          <w:rFonts w:cs="Arial"/>
          <w:sz w:val="18"/>
          <w:szCs w:val="18"/>
        </w:rPr>
      </w:pPr>
      <w:r>
        <w:rPr>
          <w:rFonts w:cs="Arial"/>
          <w:sz w:val="18"/>
          <w:szCs w:val="18"/>
        </w:rPr>
        <w:t xml:space="preserve">Correlations at the &lt; 0.05 significance level highlighted </w:t>
      </w:r>
    </w:p>
    <w:p w14:paraId="53E194E0" w14:textId="77777777" w:rsidR="000923BB" w:rsidRDefault="000923BB" w:rsidP="000923BB">
      <w:pPr>
        <w:autoSpaceDE w:val="0"/>
        <w:autoSpaceDN w:val="0"/>
        <w:adjustRightInd w:val="0"/>
        <w:jc w:val="both"/>
      </w:pPr>
    </w:p>
    <w:p w14:paraId="10193416" w14:textId="77777777" w:rsidR="000923BB" w:rsidRPr="0024704C" w:rsidRDefault="000923BB" w:rsidP="000923BB">
      <w:pPr>
        <w:jc w:val="both"/>
        <w:rPr>
          <w:rFonts w:cs="Arial"/>
          <w:b/>
          <w:i/>
          <w:sz w:val="22"/>
        </w:rPr>
      </w:pPr>
      <w:r>
        <w:rPr>
          <w:rFonts w:cs="Arial"/>
          <w:b/>
          <w:i/>
          <w:sz w:val="22"/>
        </w:rPr>
        <w:t>Relationship between m</w:t>
      </w:r>
      <w:r w:rsidRPr="0024704C">
        <w:rPr>
          <w:rFonts w:cs="Arial"/>
          <w:b/>
          <w:i/>
          <w:sz w:val="22"/>
        </w:rPr>
        <w:t xml:space="preserve">ortality </w:t>
      </w:r>
      <w:r>
        <w:rPr>
          <w:rFonts w:cs="Arial"/>
          <w:b/>
          <w:i/>
          <w:sz w:val="22"/>
        </w:rPr>
        <w:t xml:space="preserve">groups </w:t>
      </w:r>
      <w:r w:rsidRPr="0024704C">
        <w:rPr>
          <w:rFonts w:cs="Arial"/>
          <w:b/>
          <w:i/>
          <w:sz w:val="22"/>
        </w:rPr>
        <w:t xml:space="preserve">and quality </w:t>
      </w:r>
      <w:r>
        <w:rPr>
          <w:rFonts w:cs="Arial"/>
          <w:b/>
          <w:i/>
          <w:sz w:val="22"/>
        </w:rPr>
        <w:t>of care</w:t>
      </w:r>
    </w:p>
    <w:p w14:paraId="31EFFA3F" w14:textId="77777777" w:rsidR="000923BB" w:rsidRDefault="000923BB" w:rsidP="000923BB">
      <w:pPr>
        <w:jc w:val="both"/>
        <w:rPr>
          <w:rFonts w:cs="Arial"/>
          <w:sz w:val="22"/>
        </w:rPr>
      </w:pPr>
    </w:p>
    <w:p w14:paraId="5E601CF3" w14:textId="77777777" w:rsidR="000923BB" w:rsidRDefault="000923BB" w:rsidP="000923BB">
      <w:pPr>
        <w:jc w:val="both"/>
        <w:rPr>
          <w:rFonts w:cs="Arial"/>
          <w:sz w:val="22"/>
        </w:rPr>
      </w:pPr>
      <w:r>
        <w:rPr>
          <w:rFonts w:cs="Arial"/>
          <w:sz w:val="22"/>
        </w:rPr>
        <w:t xml:space="preserve">Table 2 shows that most reviewers classify care in the good range (about 41% for COPD, and 46% for Heart Failure, (score 5)) with around 19% - 21% in the ‘fell short of best practice’ range (score 1 to 3) and the lowest scores (1, unsatisfactory) under less than 5% for both conditions across the 20 hospitals.  </w:t>
      </w:r>
    </w:p>
    <w:p w14:paraId="28437CDB" w14:textId="77777777" w:rsidR="00886AA0" w:rsidRDefault="00886AA0" w:rsidP="00886AA0">
      <w:pPr>
        <w:tabs>
          <w:tab w:val="center" w:pos="7272"/>
        </w:tabs>
        <w:autoSpaceDE w:val="0"/>
        <w:autoSpaceDN w:val="0"/>
        <w:adjustRightInd w:val="0"/>
        <w:jc w:val="both"/>
        <w:rPr>
          <w:rFonts w:cs="Arial"/>
          <w:sz w:val="22"/>
          <w:szCs w:val="22"/>
        </w:rPr>
      </w:pPr>
      <w:r w:rsidRPr="006A2577">
        <w:rPr>
          <w:rFonts w:cs="Arial"/>
          <w:bCs/>
          <w:color w:val="000000"/>
          <w:sz w:val="22"/>
          <w:szCs w:val="22"/>
        </w:rPr>
        <w:t xml:space="preserve">The relationship between the </w:t>
      </w:r>
      <w:r>
        <w:rPr>
          <w:rFonts w:cs="Arial"/>
          <w:bCs/>
          <w:color w:val="000000"/>
          <w:sz w:val="22"/>
          <w:szCs w:val="22"/>
        </w:rPr>
        <w:t xml:space="preserve">holistic data (including mean scale scores for overall care, all of the phase of care scores) and the mean total criterion score, correlated with the hospital groups ranked by mortality, was analysed using the two independent samples t-test (Tables 3 &amp; 4).  </w:t>
      </w:r>
      <w:r w:rsidRPr="004055B7">
        <w:rPr>
          <w:rFonts w:cs="Arial"/>
          <w:bCs/>
          <w:color w:val="000000"/>
          <w:sz w:val="22"/>
          <w:szCs w:val="22"/>
        </w:rPr>
        <w:t xml:space="preserve">Mean difference is the mean score for </w:t>
      </w:r>
      <w:r>
        <w:rPr>
          <w:rFonts w:cs="Arial"/>
          <w:bCs/>
          <w:color w:val="000000"/>
          <w:sz w:val="22"/>
          <w:szCs w:val="22"/>
        </w:rPr>
        <w:t xml:space="preserve"> each case note review in the </w:t>
      </w:r>
      <w:r w:rsidRPr="004055B7">
        <w:rPr>
          <w:rFonts w:cs="Arial"/>
          <w:bCs/>
          <w:color w:val="000000"/>
          <w:sz w:val="22"/>
          <w:szCs w:val="22"/>
        </w:rPr>
        <w:t xml:space="preserve">higher mortality </w:t>
      </w:r>
      <w:r>
        <w:rPr>
          <w:rFonts w:cs="Arial"/>
          <w:bCs/>
          <w:color w:val="000000"/>
          <w:sz w:val="22"/>
          <w:szCs w:val="22"/>
        </w:rPr>
        <w:t xml:space="preserve">group of </w:t>
      </w:r>
      <w:r w:rsidRPr="004055B7">
        <w:rPr>
          <w:rFonts w:cs="Arial"/>
          <w:bCs/>
          <w:color w:val="000000"/>
          <w:sz w:val="22"/>
          <w:szCs w:val="22"/>
        </w:rPr>
        <w:t xml:space="preserve">hospitals minus the mean score for </w:t>
      </w:r>
      <w:r>
        <w:rPr>
          <w:rFonts w:cs="Arial"/>
          <w:bCs/>
          <w:color w:val="000000"/>
          <w:sz w:val="22"/>
          <w:szCs w:val="22"/>
        </w:rPr>
        <w:t xml:space="preserve">the </w:t>
      </w:r>
      <w:r w:rsidRPr="004055B7">
        <w:rPr>
          <w:rFonts w:cs="Arial"/>
          <w:bCs/>
          <w:color w:val="000000"/>
          <w:sz w:val="22"/>
          <w:szCs w:val="22"/>
        </w:rPr>
        <w:t xml:space="preserve">lower </w:t>
      </w:r>
      <w:r w:rsidRPr="004055B7">
        <w:rPr>
          <w:rFonts w:cs="Arial"/>
          <w:bCs/>
          <w:color w:val="000000"/>
          <w:sz w:val="22"/>
          <w:szCs w:val="22"/>
        </w:rPr>
        <w:lastRenderedPageBreak/>
        <w:t>mortality</w:t>
      </w:r>
      <w:r>
        <w:rPr>
          <w:rFonts w:cs="Arial"/>
          <w:bCs/>
          <w:color w:val="000000"/>
          <w:sz w:val="22"/>
          <w:szCs w:val="22"/>
        </w:rPr>
        <w:t xml:space="preserve"> group of</w:t>
      </w:r>
      <w:r w:rsidRPr="004055B7">
        <w:rPr>
          <w:rFonts w:cs="Arial"/>
          <w:bCs/>
          <w:color w:val="000000"/>
          <w:sz w:val="22"/>
          <w:szCs w:val="22"/>
        </w:rPr>
        <w:t xml:space="preserve"> hospitals</w:t>
      </w:r>
      <w:r>
        <w:rPr>
          <w:rFonts w:cs="Arial"/>
          <w:bCs/>
          <w:color w:val="000000"/>
          <w:sz w:val="22"/>
          <w:szCs w:val="22"/>
        </w:rPr>
        <w:t xml:space="preserve">.  A </w:t>
      </w:r>
      <w:r w:rsidRPr="002845B2">
        <w:rPr>
          <w:rFonts w:cs="Arial"/>
          <w:sz w:val="22"/>
          <w:szCs w:val="22"/>
        </w:rPr>
        <w:t xml:space="preserve">negative </w:t>
      </w:r>
      <w:r>
        <w:rPr>
          <w:rFonts w:cs="Arial"/>
          <w:sz w:val="22"/>
          <w:szCs w:val="22"/>
        </w:rPr>
        <w:t>mean difference</w:t>
      </w:r>
      <w:r w:rsidRPr="002845B2">
        <w:rPr>
          <w:rFonts w:cs="Arial"/>
          <w:sz w:val="22"/>
          <w:szCs w:val="22"/>
        </w:rPr>
        <w:t xml:space="preserve"> </w:t>
      </w:r>
      <w:r>
        <w:rPr>
          <w:rFonts w:cs="Arial"/>
          <w:sz w:val="22"/>
          <w:szCs w:val="22"/>
        </w:rPr>
        <w:t xml:space="preserve">in the table </w:t>
      </w:r>
      <w:r w:rsidRPr="002845B2">
        <w:rPr>
          <w:rFonts w:cs="Arial"/>
          <w:sz w:val="22"/>
          <w:szCs w:val="22"/>
        </w:rPr>
        <w:t>indicates</w:t>
      </w:r>
      <w:r>
        <w:rPr>
          <w:rFonts w:cs="Arial"/>
          <w:sz w:val="22"/>
          <w:szCs w:val="22"/>
        </w:rPr>
        <w:t xml:space="preserve"> that the lower mortality group mean score is higher than the mean score for the higher mortality group.  </w:t>
      </w:r>
    </w:p>
    <w:p w14:paraId="4019AA96" w14:textId="77777777" w:rsidR="00886AA0" w:rsidRPr="006A7701" w:rsidRDefault="00886AA0" w:rsidP="00886AA0">
      <w:pPr>
        <w:jc w:val="both"/>
        <w:rPr>
          <w:rFonts w:cs="Arial"/>
          <w:sz w:val="22"/>
          <w:szCs w:val="22"/>
        </w:rPr>
      </w:pPr>
      <w:r>
        <w:rPr>
          <w:rFonts w:cs="Arial"/>
          <w:sz w:val="22"/>
          <w:szCs w:val="22"/>
        </w:rPr>
        <w:t xml:space="preserve">For both conditions the findings are therefore consistent.  Across all phases of care and overall care using holistic review, and total criterion score, there was a trend towards higher mean scores for the lower mortality hospital groups.  However, when account was taken of clustering, there were no statistically significant differences in scores between the two groups of hospitals.   </w:t>
      </w:r>
    </w:p>
    <w:p w14:paraId="33B20BD8" w14:textId="77777777" w:rsidR="000923BB" w:rsidRDefault="000923BB" w:rsidP="000923BB">
      <w:pPr>
        <w:jc w:val="both"/>
        <w:rPr>
          <w:rFonts w:cs="Arial"/>
          <w:sz w:val="22"/>
        </w:rPr>
      </w:pPr>
    </w:p>
    <w:p w14:paraId="507D1EA8" w14:textId="77777777" w:rsidR="000923BB" w:rsidRPr="00EC37AD" w:rsidRDefault="000923BB" w:rsidP="00886AA0">
      <w:pPr>
        <w:rPr>
          <w:rFonts w:cs="Arial"/>
          <w:b/>
          <w:sz w:val="20"/>
          <w:szCs w:val="20"/>
        </w:rPr>
      </w:pPr>
      <w:r w:rsidRPr="00EC37AD">
        <w:rPr>
          <w:rFonts w:cs="Arial"/>
          <w:b/>
          <w:sz w:val="20"/>
          <w:szCs w:val="20"/>
        </w:rPr>
        <w:t>Table 2: Distribution of overall holistic quality of care scores: total number (and percentage) of reviews in each category</w:t>
      </w:r>
    </w:p>
    <w:p w14:paraId="6B0DEDEB" w14:textId="77777777" w:rsidR="000923BB" w:rsidRPr="009C5637" w:rsidRDefault="000923BB" w:rsidP="000923BB">
      <w:pPr>
        <w:jc w:val="both"/>
        <w:rPr>
          <w:rFonts w:cs="Arial"/>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
        <w:gridCol w:w="1584"/>
        <w:gridCol w:w="724"/>
        <w:gridCol w:w="790"/>
        <w:gridCol w:w="1261"/>
        <w:gridCol w:w="823"/>
        <w:gridCol w:w="943"/>
        <w:gridCol w:w="1082"/>
      </w:tblGrid>
      <w:tr w:rsidR="000923BB" w:rsidRPr="009C5637" w14:paraId="6FA1DC2F" w14:textId="77777777" w:rsidTr="00F244BB">
        <w:trPr>
          <w:cantSplit/>
          <w:trHeight w:val="431"/>
        </w:trPr>
        <w:tc>
          <w:tcPr>
            <w:tcW w:w="1074" w:type="dxa"/>
          </w:tcPr>
          <w:p w14:paraId="106D36E0" w14:textId="77777777" w:rsidR="000923BB" w:rsidRPr="009C5637" w:rsidRDefault="000923BB" w:rsidP="003A385F">
            <w:pPr>
              <w:jc w:val="both"/>
              <w:rPr>
                <w:rFonts w:cs="Arial"/>
                <w:sz w:val="20"/>
                <w:szCs w:val="20"/>
              </w:rPr>
            </w:pPr>
          </w:p>
        </w:tc>
        <w:tc>
          <w:tcPr>
            <w:tcW w:w="3113" w:type="dxa"/>
            <w:gridSpan w:val="3"/>
          </w:tcPr>
          <w:p w14:paraId="48DEF56F" w14:textId="77777777" w:rsidR="000923BB" w:rsidRPr="009C5637" w:rsidRDefault="000923BB" w:rsidP="003A385F">
            <w:pPr>
              <w:jc w:val="both"/>
              <w:rPr>
                <w:rFonts w:cs="Arial"/>
                <w:sz w:val="20"/>
                <w:szCs w:val="20"/>
              </w:rPr>
            </w:pPr>
            <w:r w:rsidRPr="009C5637">
              <w:rPr>
                <w:rFonts w:cs="Arial"/>
                <w:sz w:val="20"/>
                <w:szCs w:val="20"/>
              </w:rPr>
              <w:t>Fell short of good practise</w:t>
            </w:r>
          </w:p>
        </w:tc>
        <w:tc>
          <w:tcPr>
            <w:tcW w:w="1241" w:type="dxa"/>
          </w:tcPr>
          <w:p w14:paraId="2C7A76CC" w14:textId="77777777" w:rsidR="000923BB" w:rsidRPr="009C5637" w:rsidRDefault="000923BB" w:rsidP="003A385F">
            <w:pPr>
              <w:jc w:val="both"/>
              <w:rPr>
                <w:rFonts w:cs="Arial"/>
                <w:sz w:val="20"/>
                <w:szCs w:val="20"/>
              </w:rPr>
            </w:pPr>
            <w:r w:rsidRPr="009C5637">
              <w:rPr>
                <w:rFonts w:cs="Arial"/>
                <w:sz w:val="20"/>
                <w:szCs w:val="20"/>
              </w:rPr>
              <w:t xml:space="preserve">Satisfactory </w:t>
            </w:r>
          </w:p>
        </w:tc>
        <w:tc>
          <w:tcPr>
            <w:tcW w:w="1830" w:type="dxa"/>
            <w:gridSpan w:val="2"/>
          </w:tcPr>
          <w:p w14:paraId="712C30EB" w14:textId="77777777" w:rsidR="000923BB" w:rsidRPr="009C5637" w:rsidRDefault="000923BB" w:rsidP="003A385F">
            <w:pPr>
              <w:jc w:val="both"/>
              <w:rPr>
                <w:rFonts w:cs="Arial"/>
                <w:sz w:val="20"/>
                <w:szCs w:val="20"/>
              </w:rPr>
            </w:pPr>
            <w:r w:rsidRPr="009C5637">
              <w:rPr>
                <w:rFonts w:cs="Arial"/>
                <w:sz w:val="20"/>
                <w:szCs w:val="20"/>
              </w:rPr>
              <w:t>Good or better</w:t>
            </w:r>
          </w:p>
        </w:tc>
        <w:tc>
          <w:tcPr>
            <w:tcW w:w="1106" w:type="dxa"/>
          </w:tcPr>
          <w:p w14:paraId="475DAC25" w14:textId="77777777" w:rsidR="000923BB" w:rsidRPr="009C5637" w:rsidRDefault="000923BB" w:rsidP="003A385F">
            <w:pPr>
              <w:jc w:val="both"/>
              <w:rPr>
                <w:rFonts w:cs="Arial"/>
                <w:sz w:val="20"/>
                <w:szCs w:val="20"/>
              </w:rPr>
            </w:pPr>
          </w:p>
        </w:tc>
      </w:tr>
      <w:tr w:rsidR="000923BB" w:rsidRPr="009C5637" w14:paraId="09C11E5B" w14:textId="77777777" w:rsidTr="00F244BB">
        <w:trPr>
          <w:trHeight w:val="942"/>
        </w:trPr>
        <w:tc>
          <w:tcPr>
            <w:tcW w:w="1074" w:type="dxa"/>
          </w:tcPr>
          <w:p w14:paraId="2F88E1A0" w14:textId="77777777" w:rsidR="000923BB" w:rsidRPr="009C5637" w:rsidRDefault="000923BB" w:rsidP="003A385F">
            <w:pPr>
              <w:jc w:val="both"/>
              <w:rPr>
                <w:rFonts w:cs="Arial"/>
                <w:sz w:val="20"/>
                <w:szCs w:val="20"/>
              </w:rPr>
            </w:pPr>
            <w:r w:rsidRPr="009C5637">
              <w:rPr>
                <w:rFonts w:cs="Arial"/>
                <w:sz w:val="20"/>
                <w:szCs w:val="20"/>
              </w:rPr>
              <w:t>Scale scores</w:t>
            </w:r>
          </w:p>
        </w:tc>
        <w:tc>
          <w:tcPr>
            <w:tcW w:w="1559" w:type="dxa"/>
          </w:tcPr>
          <w:p w14:paraId="314475FE" w14:textId="77777777" w:rsidR="000923BB" w:rsidRPr="009C5637" w:rsidRDefault="000923BB" w:rsidP="003A385F">
            <w:pPr>
              <w:jc w:val="both"/>
              <w:rPr>
                <w:rFonts w:cs="Arial"/>
                <w:sz w:val="20"/>
                <w:szCs w:val="20"/>
              </w:rPr>
            </w:pPr>
            <w:r w:rsidRPr="009C5637">
              <w:rPr>
                <w:rFonts w:cs="Arial"/>
                <w:sz w:val="20"/>
                <w:szCs w:val="20"/>
              </w:rPr>
              <w:t>1 (unsatisfactory)</w:t>
            </w:r>
          </w:p>
        </w:tc>
        <w:tc>
          <w:tcPr>
            <w:tcW w:w="750" w:type="dxa"/>
          </w:tcPr>
          <w:p w14:paraId="2A6F53F6" w14:textId="77777777" w:rsidR="000923BB" w:rsidRPr="009C5637" w:rsidRDefault="000923BB" w:rsidP="003A385F">
            <w:pPr>
              <w:jc w:val="both"/>
              <w:rPr>
                <w:rFonts w:cs="Arial"/>
                <w:sz w:val="20"/>
                <w:szCs w:val="20"/>
              </w:rPr>
            </w:pPr>
            <w:r w:rsidRPr="009C5637">
              <w:rPr>
                <w:rFonts w:cs="Arial"/>
                <w:sz w:val="20"/>
                <w:szCs w:val="20"/>
              </w:rPr>
              <w:t>2</w:t>
            </w:r>
          </w:p>
        </w:tc>
        <w:tc>
          <w:tcPr>
            <w:tcW w:w="804" w:type="dxa"/>
          </w:tcPr>
          <w:p w14:paraId="0BF4D12C" w14:textId="77777777" w:rsidR="000923BB" w:rsidRPr="009C5637" w:rsidRDefault="000923BB" w:rsidP="003A385F">
            <w:pPr>
              <w:jc w:val="both"/>
              <w:rPr>
                <w:rFonts w:cs="Arial"/>
                <w:sz w:val="20"/>
                <w:szCs w:val="20"/>
              </w:rPr>
            </w:pPr>
            <w:r w:rsidRPr="009C5637">
              <w:rPr>
                <w:rFonts w:cs="Arial"/>
                <w:sz w:val="20"/>
                <w:szCs w:val="20"/>
              </w:rPr>
              <w:t>3</w:t>
            </w:r>
          </w:p>
        </w:tc>
        <w:tc>
          <w:tcPr>
            <w:tcW w:w="1241" w:type="dxa"/>
          </w:tcPr>
          <w:p w14:paraId="4A093F6E" w14:textId="77777777" w:rsidR="000923BB" w:rsidRPr="009C5637" w:rsidRDefault="000923BB" w:rsidP="003A385F">
            <w:pPr>
              <w:jc w:val="both"/>
              <w:rPr>
                <w:rFonts w:cs="Arial"/>
                <w:sz w:val="20"/>
                <w:szCs w:val="20"/>
              </w:rPr>
            </w:pPr>
            <w:r w:rsidRPr="009C5637">
              <w:rPr>
                <w:rFonts w:cs="Arial"/>
                <w:sz w:val="20"/>
                <w:szCs w:val="20"/>
              </w:rPr>
              <w:t>4</w:t>
            </w:r>
          </w:p>
        </w:tc>
        <w:tc>
          <w:tcPr>
            <w:tcW w:w="831" w:type="dxa"/>
          </w:tcPr>
          <w:p w14:paraId="5FD32C83" w14:textId="77777777" w:rsidR="000923BB" w:rsidRPr="009C5637" w:rsidRDefault="000923BB" w:rsidP="003A385F">
            <w:pPr>
              <w:jc w:val="both"/>
              <w:rPr>
                <w:rFonts w:cs="Arial"/>
                <w:sz w:val="20"/>
                <w:szCs w:val="20"/>
              </w:rPr>
            </w:pPr>
            <w:r w:rsidRPr="009C5637">
              <w:rPr>
                <w:rFonts w:cs="Arial"/>
                <w:sz w:val="20"/>
                <w:szCs w:val="20"/>
              </w:rPr>
              <w:t>5 (good)</w:t>
            </w:r>
          </w:p>
        </w:tc>
        <w:tc>
          <w:tcPr>
            <w:tcW w:w="999" w:type="dxa"/>
          </w:tcPr>
          <w:p w14:paraId="435F775B" w14:textId="77777777" w:rsidR="000923BB" w:rsidRPr="009C5637" w:rsidRDefault="000923BB" w:rsidP="003A385F">
            <w:pPr>
              <w:jc w:val="both"/>
              <w:rPr>
                <w:rFonts w:cs="Arial"/>
                <w:sz w:val="20"/>
                <w:szCs w:val="20"/>
              </w:rPr>
            </w:pPr>
            <w:r w:rsidRPr="009C5637">
              <w:rPr>
                <w:rFonts w:cs="Arial"/>
                <w:sz w:val="20"/>
                <w:szCs w:val="20"/>
              </w:rPr>
              <w:t>6 (very best care)</w:t>
            </w:r>
          </w:p>
        </w:tc>
        <w:tc>
          <w:tcPr>
            <w:tcW w:w="1106" w:type="dxa"/>
          </w:tcPr>
          <w:p w14:paraId="4072A8C3" w14:textId="77777777" w:rsidR="000923BB" w:rsidRPr="009C5637" w:rsidRDefault="000923BB" w:rsidP="003A385F">
            <w:pPr>
              <w:jc w:val="both"/>
              <w:rPr>
                <w:rFonts w:cs="Arial"/>
                <w:sz w:val="20"/>
                <w:szCs w:val="20"/>
              </w:rPr>
            </w:pPr>
          </w:p>
        </w:tc>
      </w:tr>
      <w:tr w:rsidR="000923BB" w:rsidRPr="009C5637" w14:paraId="24B211D7" w14:textId="77777777" w:rsidTr="00F244BB">
        <w:trPr>
          <w:trHeight w:val="942"/>
        </w:trPr>
        <w:tc>
          <w:tcPr>
            <w:tcW w:w="1074" w:type="dxa"/>
          </w:tcPr>
          <w:p w14:paraId="50B6308C" w14:textId="77777777" w:rsidR="000923BB" w:rsidRPr="009C5637" w:rsidRDefault="000923BB" w:rsidP="003A385F">
            <w:pPr>
              <w:jc w:val="both"/>
              <w:rPr>
                <w:rFonts w:cs="Arial"/>
                <w:sz w:val="20"/>
                <w:szCs w:val="20"/>
              </w:rPr>
            </w:pPr>
            <w:r w:rsidRPr="009C5637">
              <w:rPr>
                <w:rFonts w:cs="Arial"/>
                <w:sz w:val="20"/>
                <w:szCs w:val="20"/>
              </w:rPr>
              <w:t>Numbers of reviews</w:t>
            </w:r>
          </w:p>
        </w:tc>
        <w:tc>
          <w:tcPr>
            <w:tcW w:w="1559" w:type="dxa"/>
          </w:tcPr>
          <w:p w14:paraId="78713A21" w14:textId="77777777" w:rsidR="000923BB" w:rsidRPr="009C5637" w:rsidRDefault="000923BB" w:rsidP="003A385F">
            <w:pPr>
              <w:jc w:val="both"/>
              <w:rPr>
                <w:rFonts w:cs="Arial"/>
                <w:sz w:val="20"/>
                <w:szCs w:val="20"/>
              </w:rPr>
            </w:pPr>
          </w:p>
        </w:tc>
        <w:tc>
          <w:tcPr>
            <w:tcW w:w="750" w:type="dxa"/>
          </w:tcPr>
          <w:p w14:paraId="2AD00AF0" w14:textId="77777777" w:rsidR="000923BB" w:rsidRPr="009C5637" w:rsidRDefault="000923BB" w:rsidP="003A385F">
            <w:pPr>
              <w:jc w:val="both"/>
              <w:rPr>
                <w:rFonts w:cs="Arial"/>
                <w:sz w:val="20"/>
                <w:szCs w:val="20"/>
              </w:rPr>
            </w:pPr>
          </w:p>
        </w:tc>
        <w:tc>
          <w:tcPr>
            <w:tcW w:w="804" w:type="dxa"/>
          </w:tcPr>
          <w:p w14:paraId="0A4051E9" w14:textId="77777777" w:rsidR="000923BB" w:rsidRPr="009C5637" w:rsidRDefault="000923BB" w:rsidP="003A385F">
            <w:pPr>
              <w:jc w:val="both"/>
              <w:rPr>
                <w:rFonts w:cs="Arial"/>
                <w:sz w:val="20"/>
                <w:szCs w:val="20"/>
              </w:rPr>
            </w:pPr>
          </w:p>
        </w:tc>
        <w:tc>
          <w:tcPr>
            <w:tcW w:w="1241" w:type="dxa"/>
          </w:tcPr>
          <w:p w14:paraId="60931E60" w14:textId="77777777" w:rsidR="000923BB" w:rsidRPr="009C5637" w:rsidRDefault="000923BB" w:rsidP="003A385F">
            <w:pPr>
              <w:jc w:val="both"/>
              <w:rPr>
                <w:rFonts w:cs="Arial"/>
                <w:sz w:val="20"/>
                <w:szCs w:val="20"/>
              </w:rPr>
            </w:pPr>
          </w:p>
        </w:tc>
        <w:tc>
          <w:tcPr>
            <w:tcW w:w="831" w:type="dxa"/>
          </w:tcPr>
          <w:p w14:paraId="070134B3" w14:textId="77777777" w:rsidR="000923BB" w:rsidRPr="009C5637" w:rsidRDefault="000923BB" w:rsidP="003A385F">
            <w:pPr>
              <w:jc w:val="both"/>
              <w:rPr>
                <w:rFonts w:cs="Arial"/>
                <w:sz w:val="20"/>
                <w:szCs w:val="20"/>
              </w:rPr>
            </w:pPr>
          </w:p>
        </w:tc>
        <w:tc>
          <w:tcPr>
            <w:tcW w:w="999" w:type="dxa"/>
          </w:tcPr>
          <w:p w14:paraId="544F791D" w14:textId="77777777" w:rsidR="000923BB" w:rsidRPr="009C5637" w:rsidRDefault="000923BB" w:rsidP="003A385F">
            <w:pPr>
              <w:jc w:val="both"/>
              <w:rPr>
                <w:rFonts w:cs="Arial"/>
                <w:sz w:val="20"/>
                <w:szCs w:val="20"/>
              </w:rPr>
            </w:pPr>
          </w:p>
        </w:tc>
        <w:tc>
          <w:tcPr>
            <w:tcW w:w="1106" w:type="dxa"/>
          </w:tcPr>
          <w:p w14:paraId="07E62F52" w14:textId="77777777" w:rsidR="000923BB" w:rsidRPr="009C5637" w:rsidRDefault="000923BB" w:rsidP="003A385F">
            <w:pPr>
              <w:jc w:val="both"/>
              <w:rPr>
                <w:rFonts w:cs="Arial"/>
                <w:sz w:val="20"/>
                <w:szCs w:val="20"/>
              </w:rPr>
            </w:pPr>
            <w:r w:rsidRPr="009C5637">
              <w:rPr>
                <w:rFonts w:cs="Arial"/>
                <w:sz w:val="20"/>
                <w:szCs w:val="20"/>
              </w:rPr>
              <w:t>Total numbers of reviews</w:t>
            </w:r>
          </w:p>
        </w:tc>
      </w:tr>
      <w:tr w:rsidR="000923BB" w:rsidRPr="009C5637" w14:paraId="0D5A7DB2" w14:textId="77777777" w:rsidTr="00F244BB">
        <w:trPr>
          <w:trHeight w:val="878"/>
        </w:trPr>
        <w:tc>
          <w:tcPr>
            <w:tcW w:w="1074" w:type="dxa"/>
          </w:tcPr>
          <w:p w14:paraId="5E632FA8" w14:textId="77777777" w:rsidR="000923BB" w:rsidRPr="009C5637" w:rsidRDefault="000923BB" w:rsidP="003A385F">
            <w:pPr>
              <w:jc w:val="both"/>
              <w:rPr>
                <w:rFonts w:cs="Arial"/>
                <w:sz w:val="20"/>
                <w:szCs w:val="20"/>
              </w:rPr>
            </w:pPr>
            <w:r w:rsidRPr="009C5637">
              <w:rPr>
                <w:rFonts w:cs="Arial"/>
                <w:sz w:val="20"/>
                <w:szCs w:val="20"/>
              </w:rPr>
              <w:t>COPD</w:t>
            </w:r>
          </w:p>
          <w:p w14:paraId="1E2835F9" w14:textId="77777777" w:rsidR="000923BB" w:rsidRPr="009C5637" w:rsidRDefault="000923BB" w:rsidP="003A385F">
            <w:pPr>
              <w:jc w:val="both"/>
              <w:rPr>
                <w:rFonts w:cs="Arial"/>
                <w:sz w:val="20"/>
                <w:szCs w:val="20"/>
              </w:rPr>
            </w:pPr>
            <w:r w:rsidRPr="009C5637">
              <w:rPr>
                <w:rFonts w:cs="Arial"/>
                <w:sz w:val="20"/>
                <w:szCs w:val="20"/>
              </w:rPr>
              <w:t>(%)</w:t>
            </w:r>
          </w:p>
        </w:tc>
        <w:tc>
          <w:tcPr>
            <w:tcW w:w="1559" w:type="dxa"/>
          </w:tcPr>
          <w:p w14:paraId="07AB4131" w14:textId="77777777" w:rsidR="000923BB" w:rsidRPr="009C5637" w:rsidRDefault="000923BB" w:rsidP="003A385F">
            <w:pPr>
              <w:jc w:val="both"/>
              <w:rPr>
                <w:rFonts w:cs="Arial"/>
                <w:sz w:val="20"/>
                <w:szCs w:val="20"/>
              </w:rPr>
            </w:pPr>
            <w:r w:rsidRPr="009C5637">
              <w:rPr>
                <w:rFonts w:cs="Arial"/>
                <w:sz w:val="20"/>
                <w:szCs w:val="20"/>
              </w:rPr>
              <w:t xml:space="preserve">38 </w:t>
            </w:r>
          </w:p>
          <w:p w14:paraId="4FF09CF6" w14:textId="77777777" w:rsidR="000923BB" w:rsidRPr="009C5637" w:rsidRDefault="000923BB" w:rsidP="003A385F">
            <w:pPr>
              <w:jc w:val="both"/>
              <w:rPr>
                <w:rFonts w:cs="Arial"/>
                <w:sz w:val="20"/>
                <w:szCs w:val="20"/>
              </w:rPr>
            </w:pPr>
            <w:r w:rsidRPr="009C5637">
              <w:rPr>
                <w:rFonts w:cs="Arial"/>
                <w:sz w:val="20"/>
                <w:szCs w:val="20"/>
              </w:rPr>
              <w:t>(4.4)</w:t>
            </w:r>
          </w:p>
        </w:tc>
        <w:tc>
          <w:tcPr>
            <w:tcW w:w="750" w:type="dxa"/>
          </w:tcPr>
          <w:p w14:paraId="5CC270FE" w14:textId="77777777" w:rsidR="000923BB" w:rsidRPr="009C5637" w:rsidRDefault="000923BB" w:rsidP="003A385F">
            <w:pPr>
              <w:jc w:val="both"/>
              <w:rPr>
                <w:rFonts w:cs="Arial"/>
                <w:sz w:val="20"/>
                <w:szCs w:val="20"/>
              </w:rPr>
            </w:pPr>
            <w:r w:rsidRPr="009C5637">
              <w:rPr>
                <w:rFonts w:cs="Arial"/>
                <w:sz w:val="20"/>
                <w:szCs w:val="20"/>
              </w:rPr>
              <w:t xml:space="preserve">56 </w:t>
            </w:r>
          </w:p>
          <w:p w14:paraId="2A75A222" w14:textId="77777777" w:rsidR="000923BB" w:rsidRPr="009C5637" w:rsidRDefault="000923BB" w:rsidP="003A385F">
            <w:pPr>
              <w:jc w:val="both"/>
              <w:rPr>
                <w:rFonts w:cs="Arial"/>
                <w:sz w:val="20"/>
                <w:szCs w:val="20"/>
              </w:rPr>
            </w:pPr>
            <w:r w:rsidRPr="009C5637">
              <w:rPr>
                <w:rFonts w:cs="Arial"/>
                <w:sz w:val="20"/>
                <w:szCs w:val="20"/>
              </w:rPr>
              <w:t>(6.4)</w:t>
            </w:r>
          </w:p>
        </w:tc>
        <w:tc>
          <w:tcPr>
            <w:tcW w:w="804" w:type="dxa"/>
          </w:tcPr>
          <w:p w14:paraId="7DD9AE5E" w14:textId="77777777" w:rsidR="000923BB" w:rsidRPr="009C5637" w:rsidRDefault="000923BB" w:rsidP="003A385F">
            <w:pPr>
              <w:jc w:val="both"/>
              <w:rPr>
                <w:rFonts w:cs="Arial"/>
                <w:sz w:val="20"/>
                <w:szCs w:val="20"/>
              </w:rPr>
            </w:pPr>
            <w:r w:rsidRPr="009C5637">
              <w:rPr>
                <w:rFonts w:cs="Arial"/>
                <w:sz w:val="20"/>
                <w:szCs w:val="20"/>
              </w:rPr>
              <w:t xml:space="preserve">87 </w:t>
            </w:r>
          </w:p>
          <w:p w14:paraId="230338F2" w14:textId="77777777" w:rsidR="000923BB" w:rsidRPr="009C5637" w:rsidRDefault="000923BB" w:rsidP="003A385F">
            <w:pPr>
              <w:jc w:val="both"/>
              <w:rPr>
                <w:rFonts w:cs="Arial"/>
                <w:sz w:val="20"/>
                <w:szCs w:val="20"/>
              </w:rPr>
            </w:pPr>
            <w:r w:rsidRPr="009C5637">
              <w:rPr>
                <w:rFonts w:cs="Arial"/>
                <w:sz w:val="20"/>
                <w:szCs w:val="20"/>
              </w:rPr>
              <w:t>(10.0)</w:t>
            </w:r>
          </w:p>
        </w:tc>
        <w:tc>
          <w:tcPr>
            <w:tcW w:w="1241" w:type="dxa"/>
          </w:tcPr>
          <w:p w14:paraId="4DAC6BDD" w14:textId="77777777" w:rsidR="000923BB" w:rsidRPr="009C5637" w:rsidRDefault="000923BB" w:rsidP="003A385F">
            <w:pPr>
              <w:jc w:val="both"/>
              <w:rPr>
                <w:rFonts w:cs="Arial"/>
                <w:sz w:val="20"/>
                <w:szCs w:val="20"/>
              </w:rPr>
            </w:pPr>
            <w:r w:rsidRPr="009C5637">
              <w:rPr>
                <w:rFonts w:cs="Arial"/>
                <w:sz w:val="20"/>
                <w:szCs w:val="20"/>
              </w:rPr>
              <w:t xml:space="preserve">166 </w:t>
            </w:r>
          </w:p>
          <w:p w14:paraId="6AB2CFDB" w14:textId="77777777" w:rsidR="000923BB" w:rsidRPr="009C5637" w:rsidRDefault="000923BB" w:rsidP="003A385F">
            <w:pPr>
              <w:jc w:val="both"/>
              <w:rPr>
                <w:rFonts w:cs="Arial"/>
                <w:sz w:val="20"/>
                <w:szCs w:val="20"/>
              </w:rPr>
            </w:pPr>
            <w:r w:rsidRPr="009C5637">
              <w:rPr>
                <w:rFonts w:cs="Arial"/>
                <w:sz w:val="20"/>
                <w:szCs w:val="20"/>
              </w:rPr>
              <w:t>(19.1)</w:t>
            </w:r>
          </w:p>
        </w:tc>
        <w:tc>
          <w:tcPr>
            <w:tcW w:w="831" w:type="dxa"/>
          </w:tcPr>
          <w:p w14:paraId="68DCE4D7" w14:textId="77777777" w:rsidR="000923BB" w:rsidRPr="009C5637" w:rsidRDefault="000923BB" w:rsidP="003A385F">
            <w:pPr>
              <w:jc w:val="both"/>
              <w:rPr>
                <w:rFonts w:cs="Arial"/>
                <w:sz w:val="20"/>
                <w:szCs w:val="20"/>
              </w:rPr>
            </w:pPr>
            <w:r w:rsidRPr="009C5637">
              <w:rPr>
                <w:rFonts w:cs="Arial"/>
                <w:sz w:val="20"/>
                <w:szCs w:val="20"/>
              </w:rPr>
              <w:t>362</w:t>
            </w:r>
          </w:p>
          <w:p w14:paraId="7D43F59A" w14:textId="77777777" w:rsidR="000923BB" w:rsidRPr="009C5637" w:rsidRDefault="000923BB" w:rsidP="003A385F">
            <w:pPr>
              <w:jc w:val="both"/>
              <w:rPr>
                <w:rFonts w:cs="Arial"/>
                <w:sz w:val="20"/>
                <w:szCs w:val="20"/>
              </w:rPr>
            </w:pPr>
            <w:r w:rsidRPr="009C5637">
              <w:rPr>
                <w:rFonts w:cs="Arial"/>
                <w:sz w:val="20"/>
                <w:szCs w:val="20"/>
              </w:rPr>
              <w:t>(41.3)</w:t>
            </w:r>
          </w:p>
        </w:tc>
        <w:tc>
          <w:tcPr>
            <w:tcW w:w="999" w:type="dxa"/>
          </w:tcPr>
          <w:p w14:paraId="33320B8F" w14:textId="77777777" w:rsidR="000923BB" w:rsidRPr="009C5637" w:rsidRDefault="000923BB" w:rsidP="003A385F">
            <w:pPr>
              <w:jc w:val="both"/>
              <w:rPr>
                <w:rFonts w:cs="Arial"/>
                <w:sz w:val="20"/>
                <w:szCs w:val="20"/>
              </w:rPr>
            </w:pPr>
            <w:r w:rsidRPr="009C5637">
              <w:rPr>
                <w:rFonts w:cs="Arial"/>
                <w:sz w:val="20"/>
                <w:szCs w:val="20"/>
              </w:rPr>
              <w:t>164</w:t>
            </w:r>
          </w:p>
          <w:p w14:paraId="21F2351B" w14:textId="77777777" w:rsidR="000923BB" w:rsidRPr="009C5637" w:rsidRDefault="000923BB" w:rsidP="003A385F">
            <w:pPr>
              <w:jc w:val="both"/>
              <w:rPr>
                <w:rFonts w:cs="Arial"/>
                <w:sz w:val="20"/>
                <w:szCs w:val="20"/>
              </w:rPr>
            </w:pPr>
            <w:r w:rsidRPr="009C5637">
              <w:rPr>
                <w:rFonts w:cs="Arial"/>
                <w:sz w:val="20"/>
                <w:szCs w:val="20"/>
              </w:rPr>
              <w:t>(18.8)</w:t>
            </w:r>
          </w:p>
        </w:tc>
        <w:tc>
          <w:tcPr>
            <w:tcW w:w="1106" w:type="dxa"/>
          </w:tcPr>
          <w:p w14:paraId="63EC2393" w14:textId="77777777" w:rsidR="000923BB" w:rsidRPr="009C5637" w:rsidRDefault="000923BB" w:rsidP="003A385F">
            <w:pPr>
              <w:jc w:val="both"/>
              <w:rPr>
                <w:rFonts w:cs="Arial"/>
                <w:sz w:val="20"/>
                <w:szCs w:val="20"/>
              </w:rPr>
            </w:pPr>
            <w:r w:rsidRPr="009C5637">
              <w:rPr>
                <w:rFonts w:cs="Arial"/>
                <w:sz w:val="20"/>
                <w:szCs w:val="20"/>
              </w:rPr>
              <w:t xml:space="preserve">873 </w:t>
            </w:r>
          </w:p>
          <w:p w14:paraId="751DA547" w14:textId="77777777" w:rsidR="000923BB" w:rsidRPr="009C5637" w:rsidRDefault="000923BB" w:rsidP="003A385F">
            <w:pPr>
              <w:jc w:val="both"/>
              <w:rPr>
                <w:rFonts w:cs="Arial"/>
                <w:sz w:val="20"/>
                <w:szCs w:val="20"/>
              </w:rPr>
            </w:pPr>
            <w:r w:rsidRPr="009C5637">
              <w:rPr>
                <w:rFonts w:cs="Arial"/>
                <w:sz w:val="20"/>
                <w:szCs w:val="20"/>
              </w:rPr>
              <w:t xml:space="preserve">(100%) </w:t>
            </w:r>
          </w:p>
        </w:tc>
      </w:tr>
      <w:tr w:rsidR="000923BB" w:rsidRPr="009C5637" w14:paraId="5C4C6589" w14:textId="77777777" w:rsidTr="00F244BB">
        <w:trPr>
          <w:trHeight w:val="447"/>
        </w:trPr>
        <w:tc>
          <w:tcPr>
            <w:tcW w:w="1074" w:type="dxa"/>
          </w:tcPr>
          <w:p w14:paraId="6394D487" w14:textId="77777777" w:rsidR="000923BB" w:rsidRPr="009C5637" w:rsidRDefault="000923BB" w:rsidP="003A385F">
            <w:pPr>
              <w:jc w:val="both"/>
              <w:rPr>
                <w:rFonts w:cs="Arial"/>
                <w:sz w:val="20"/>
                <w:szCs w:val="20"/>
              </w:rPr>
            </w:pPr>
          </w:p>
        </w:tc>
        <w:tc>
          <w:tcPr>
            <w:tcW w:w="1559" w:type="dxa"/>
          </w:tcPr>
          <w:p w14:paraId="5FAA2817" w14:textId="77777777" w:rsidR="000923BB" w:rsidRPr="009C5637" w:rsidRDefault="000923BB" w:rsidP="003A385F">
            <w:pPr>
              <w:jc w:val="both"/>
              <w:rPr>
                <w:rFonts w:cs="Arial"/>
                <w:sz w:val="20"/>
                <w:szCs w:val="20"/>
              </w:rPr>
            </w:pPr>
          </w:p>
        </w:tc>
        <w:tc>
          <w:tcPr>
            <w:tcW w:w="750" w:type="dxa"/>
          </w:tcPr>
          <w:p w14:paraId="1DD0ED86" w14:textId="77777777" w:rsidR="000923BB" w:rsidRPr="009C5637" w:rsidRDefault="000923BB" w:rsidP="003A385F">
            <w:pPr>
              <w:jc w:val="both"/>
              <w:rPr>
                <w:rFonts w:cs="Arial"/>
                <w:sz w:val="20"/>
                <w:szCs w:val="20"/>
              </w:rPr>
            </w:pPr>
          </w:p>
        </w:tc>
        <w:tc>
          <w:tcPr>
            <w:tcW w:w="804" w:type="dxa"/>
          </w:tcPr>
          <w:p w14:paraId="7334E81F" w14:textId="77777777" w:rsidR="000923BB" w:rsidRPr="009C5637" w:rsidRDefault="000923BB" w:rsidP="003A385F">
            <w:pPr>
              <w:jc w:val="both"/>
              <w:rPr>
                <w:rFonts w:cs="Arial"/>
                <w:sz w:val="20"/>
                <w:szCs w:val="20"/>
              </w:rPr>
            </w:pPr>
          </w:p>
        </w:tc>
        <w:tc>
          <w:tcPr>
            <w:tcW w:w="1241" w:type="dxa"/>
          </w:tcPr>
          <w:p w14:paraId="4FB9E12D" w14:textId="77777777" w:rsidR="000923BB" w:rsidRPr="009C5637" w:rsidRDefault="000923BB" w:rsidP="003A385F">
            <w:pPr>
              <w:jc w:val="both"/>
              <w:rPr>
                <w:rFonts w:cs="Arial"/>
                <w:sz w:val="20"/>
                <w:szCs w:val="20"/>
              </w:rPr>
            </w:pPr>
          </w:p>
        </w:tc>
        <w:tc>
          <w:tcPr>
            <w:tcW w:w="831" w:type="dxa"/>
          </w:tcPr>
          <w:p w14:paraId="29005530" w14:textId="77777777" w:rsidR="000923BB" w:rsidRPr="009C5637" w:rsidRDefault="000923BB" w:rsidP="003A385F">
            <w:pPr>
              <w:jc w:val="both"/>
              <w:rPr>
                <w:rFonts w:cs="Arial"/>
                <w:sz w:val="20"/>
                <w:szCs w:val="20"/>
              </w:rPr>
            </w:pPr>
          </w:p>
        </w:tc>
        <w:tc>
          <w:tcPr>
            <w:tcW w:w="999" w:type="dxa"/>
          </w:tcPr>
          <w:p w14:paraId="0CD0E41D" w14:textId="77777777" w:rsidR="000923BB" w:rsidRPr="009C5637" w:rsidRDefault="000923BB" w:rsidP="003A385F">
            <w:pPr>
              <w:jc w:val="both"/>
              <w:rPr>
                <w:rFonts w:cs="Arial"/>
                <w:sz w:val="20"/>
                <w:szCs w:val="20"/>
              </w:rPr>
            </w:pPr>
          </w:p>
        </w:tc>
        <w:tc>
          <w:tcPr>
            <w:tcW w:w="1106" w:type="dxa"/>
          </w:tcPr>
          <w:p w14:paraId="44CBDF90" w14:textId="77777777" w:rsidR="000923BB" w:rsidRPr="009C5637" w:rsidRDefault="000923BB" w:rsidP="003A385F">
            <w:pPr>
              <w:jc w:val="both"/>
              <w:rPr>
                <w:rFonts w:cs="Arial"/>
                <w:sz w:val="20"/>
                <w:szCs w:val="20"/>
                <w:highlight w:val="magenta"/>
              </w:rPr>
            </w:pPr>
          </w:p>
        </w:tc>
      </w:tr>
      <w:tr w:rsidR="000923BB" w:rsidRPr="009C5637" w14:paraId="4DE0F176" w14:textId="77777777" w:rsidTr="00F244BB">
        <w:trPr>
          <w:trHeight w:val="1134"/>
        </w:trPr>
        <w:tc>
          <w:tcPr>
            <w:tcW w:w="1074" w:type="dxa"/>
          </w:tcPr>
          <w:p w14:paraId="79E02AE2" w14:textId="77777777" w:rsidR="000923BB" w:rsidRPr="009C5637" w:rsidRDefault="000923BB" w:rsidP="003A385F">
            <w:pPr>
              <w:jc w:val="both"/>
              <w:rPr>
                <w:rFonts w:cs="Arial"/>
                <w:sz w:val="20"/>
                <w:szCs w:val="20"/>
              </w:rPr>
            </w:pPr>
            <w:r w:rsidRPr="009C5637">
              <w:rPr>
                <w:rFonts w:cs="Arial"/>
                <w:sz w:val="20"/>
                <w:szCs w:val="20"/>
              </w:rPr>
              <w:t>Heart failure</w:t>
            </w:r>
          </w:p>
          <w:p w14:paraId="27DA1272" w14:textId="77777777" w:rsidR="000923BB" w:rsidRPr="009C5637" w:rsidRDefault="000923BB" w:rsidP="003A385F">
            <w:pPr>
              <w:jc w:val="both"/>
              <w:rPr>
                <w:rFonts w:cs="Arial"/>
                <w:sz w:val="20"/>
                <w:szCs w:val="20"/>
              </w:rPr>
            </w:pPr>
            <w:r w:rsidRPr="009C5637">
              <w:rPr>
                <w:rFonts w:cs="Arial"/>
                <w:sz w:val="20"/>
                <w:szCs w:val="20"/>
              </w:rPr>
              <w:t>(%)</w:t>
            </w:r>
          </w:p>
        </w:tc>
        <w:tc>
          <w:tcPr>
            <w:tcW w:w="1559" w:type="dxa"/>
          </w:tcPr>
          <w:p w14:paraId="74025A14" w14:textId="77777777" w:rsidR="000923BB" w:rsidRPr="009C5637" w:rsidRDefault="000923BB" w:rsidP="003A385F">
            <w:pPr>
              <w:jc w:val="both"/>
              <w:rPr>
                <w:rFonts w:cs="Arial"/>
                <w:sz w:val="20"/>
                <w:szCs w:val="20"/>
              </w:rPr>
            </w:pPr>
            <w:r w:rsidRPr="009C5637">
              <w:rPr>
                <w:rFonts w:cs="Arial"/>
                <w:sz w:val="20"/>
                <w:szCs w:val="20"/>
              </w:rPr>
              <w:t>26</w:t>
            </w:r>
          </w:p>
          <w:p w14:paraId="1946BA16" w14:textId="77777777" w:rsidR="000923BB" w:rsidRPr="009C5637" w:rsidRDefault="000923BB" w:rsidP="003A385F">
            <w:pPr>
              <w:jc w:val="both"/>
              <w:rPr>
                <w:rFonts w:cs="Arial"/>
                <w:sz w:val="20"/>
                <w:szCs w:val="20"/>
              </w:rPr>
            </w:pPr>
            <w:r w:rsidRPr="009C5637">
              <w:rPr>
                <w:rFonts w:cs="Arial"/>
                <w:sz w:val="20"/>
                <w:szCs w:val="20"/>
              </w:rPr>
              <w:t>(3.8)</w:t>
            </w:r>
          </w:p>
        </w:tc>
        <w:tc>
          <w:tcPr>
            <w:tcW w:w="750" w:type="dxa"/>
          </w:tcPr>
          <w:p w14:paraId="495DAB8B" w14:textId="77777777" w:rsidR="000923BB" w:rsidRPr="009C5637" w:rsidRDefault="000923BB" w:rsidP="003A385F">
            <w:pPr>
              <w:jc w:val="both"/>
              <w:rPr>
                <w:rFonts w:cs="Arial"/>
                <w:sz w:val="20"/>
                <w:szCs w:val="20"/>
              </w:rPr>
            </w:pPr>
            <w:r w:rsidRPr="009C5637">
              <w:rPr>
                <w:rFonts w:cs="Arial"/>
                <w:sz w:val="20"/>
                <w:szCs w:val="20"/>
              </w:rPr>
              <w:t>44</w:t>
            </w:r>
          </w:p>
          <w:p w14:paraId="298ACD43" w14:textId="77777777" w:rsidR="000923BB" w:rsidRPr="009C5637" w:rsidRDefault="000923BB" w:rsidP="003A385F">
            <w:pPr>
              <w:jc w:val="both"/>
              <w:rPr>
                <w:rFonts w:cs="Arial"/>
                <w:sz w:val="20"/>
                <w:szCs w:val="20"/>
              </w:rPr>
            </w:pPr>
            <w:r w:rsidRPr="009C5637">
              <w:rPr>
                <w:rFonts w:cs="Arial"/>
                <w:sz w:val="20"/>
                <w:szCs w:val="20"/>
              </w:rPr>
              <w:t>(6.3)</w:t>
            </w:r>
          </w:p>
        </w:tc>
        <w:tc>
          <w:tcPr>
            <w:tcW w:w="804" w:type="dxa"/>
          </w:tcPr>
          <w:p w14:paraId="4CF14E0B" w14:textId="77777777" w:rsidR="000923BB" w:rsidRPr="009C5637" w:rsidRDefault="000923BB" w:rsidP="003A385F">
            <w:pPr>
              <w:jc w:val="both"/>
              <w:rPr>
                <w:rFonts w:cs="Arial"/>
                <w:sz w:val="20"/>
                <w:szCs w:val="20"/>
              </w:rPr>
            </w:pPr>
            <w:r w:rsidRPr="009C5637">
              <w:rPr>
                <w:rFonts w:cs="Arial"/>
                <w:sz w:val="20"/>
                <w:szCs w:val="20"/>
              </w:rPr>
              <w:t>60</w:t>
            </w:r>
          </w:p>
          <w:p w14:paraId="604BD981" w14:textId="77777777" w:rsidR="000923BB" w:rsidRPr="009C5637" w:rsidRDefault="000923BB" w:rsidP="003A385F">
            <w:pPr>
              <w:jc w:val="both"/>
              <w:rPr>
                <w:rFonts w:cs="Arial"/>
                <w:sz w:val="20"/>
                <w:szCs w:val="20"/>
              </w:rPr>
            </w:pPr>
            <w:r w:rsidRPr="009C5637">
              <w:rPr>
                <w:rFonts w:cs="Arial"/>
                <w:sz w:val="20"/>
                <w:szCs w:val="20"/>
              </w:rPr>
              <w:t>(8.7)</w:t>
            </w:r>
          </w:p>
        </w:tc>
        <w:tc>
          <w:tcPr>
            <w:tcW w:w="1241" w:type="dxa"/>
          </w:tcPr>
          <w:p w14:paraId="58E41E13" w14:textId="77777777" w:rsidR="000923BB" w:rsidRPr="009C5637" w:rsidRDefault="000923BB" w:rsidP="003A385F">
            <w:pPr>
              <w:jc w:val="both"/>
              <w:rPr>
                <w:rFonts w:cs="Arial"/>
                <w:sz w:val="20"/>
                <w:szCs w:val="20"/>
              </w:rPr>
            </w:pPr>
            <w:r w:rsidRPr="009C5637">
              <w:rPr>
                <w:rFonts w:cs="Arial"/>
                <w:sz w:val="20"/>
                <w:szCs w:val="20"/>
              </w:rPr>
              <w:t>154</w:t>
            </w:r>
          </w:p>
          <w:p w14:paraId="4262B48A" w14:textId="77777777" w:rsidR="000923BB" w:rsidRPr="009C5637" w:rsidRDefault="000923BB" w:rsidP="003A385F">
            <w:pPr>
              <w:jc w:val="both"/>
              <w:rPr>
                <w:rFonts w:cs="Arial"/>
                <w:sz w:val="20"/>
                <w:szCs w:val="20"/>
              </w:rPr>
            </w:pPr>
            <w:r w:rsidRPr="009C5637">
              <w:rPr>
                <w:rFonts w:cs="Arial"/>
                <w:sz w:val="20"/>
                <w:szCs w:val="20"/>
              </w:rPr>
              <w:t>(22.2)</w:t>
            </w:r>
          </w:p>
        </w:tc>
        <w:tc>
          <w:tcPr>
            <w:tcW w:w="831" w:type="dxa"/>
          </w:tcPr>
          <w:p w14:paraId="5FB4F2B7" w14:textId="77777777" w:rsidR="000923BB" w:rsidRPr="009C5637" w:rsidRDefault="000923BB" w:rsidP="003A385F">
            <w:pPr>
              <w:jc w:val="both"/>
              <w:rPr>
                <w:rFonts w:cs="Arial"/>
                <w:sz w:val="20"/>
                <w:szCs w:val="20"/>
              </w:rPr>
            </w:pPr>
            <w:r w:rsidRPr="009C5637">
              <w:rPr>
                <w:rFonts w:cs="Arial"/>
                <w:sz w:val="20"/>
                <w:szCs w:val="20"/>
              </w:rPr>
              <w:t>318</w:t>
            </w:r>
          </w:p>
          <w:p w14:paraId="3BD0357D" w14:textId="77777777" w:rsidR="000923BB" w:rsidRPr="009C5637" w:rsidRDefault="000923BB" w:rsidP="003A385F">
            <w:pPr>
              <w:jc w:val="both"/>
              <w:rPr>
                <w:rFonts w:cs="Arial"/>
                <w:sz w:val="20"/>
                <w:szCs w:val="20"/>
              </w:rPr>
            </w:pPr>
            <w:r w:rsidRPr="009C5637">
              <w:rPr>
                <w:rFonts w:cs="Arial"/>
                <w:sz w:val="20"/>
                <w:szCs w:val="20"/>
              </w:rPr>
              <w:t>(45.9)</w:t>
            </w:r>
          </w:p>
        </w:tc>
        <w:tc>
          <w:tcPr>
            <w:tcW w:w="999" w:type="dxa"/>
          </w:tcPr>
          <w:p w14:paraId="3DA0E28A" w14:textId="77777777" w:rsidR="000923BB" w:rsidRPr="009C5637" w:rsidRDefault="000923BB" w:rsidP="003A385F">
            <w:pPr>
              <w:jc w:val="both"/>
              <w:rPr>
                <w:rFonts w:cs="Arial"/>
                <w:sz w:val="20"/>
                <w:szCs w:val="20"/>
              </w:rPr>
            </w:pPr>
            <w:r w:rsidRPr="009C5637">
              <w:rPr>
                <w:rFonts w:cs="Arial"/>
                <w:sz w:val="20"/>
                <w:szCs w:val="20"/>
              </w:rPr>
              <w:t>91</w:t>
            </w:r>
          </w:p>
          <w:p w14:paraId="601F91B6" w14:textId="77777777" w:rsidR="000923BB" w:rsidRPr="009C5637" w:rsidRDefault="000923BB" w:rsidP="003A385F">
            <w:pPr>
              <w:jc w:val="both"/>
              <w:rPr>
                <w:rFonts w:cs="Arial"/>
                <w:sz w:val="20"/>
                <w:szCs w:val="20"/>
              </w:rPr>
            </w:pPr>
            <w:r w:rsidRPr="009C5637">
              <w:rPr>
                <w:rFonts w:cs="Arial"/>
                <w:sz w:val="20"/>
                <w:szCs w:val="20"/>
              </w:rPr>
              <w:t>(13.1)</w:t>
            </w:r>
          </w:p>
        </w:tc>
        <w:tc>
          <w:tcPr>
            <w:tcW w:w="1106" w:type="dxa"/>
          </w:tcPr>
          <w:p w14:paraId="3625DB32" w14:textId="77777777" w:rsidR="000923BB" w:rsidRPr="009C5637" w:rsidRDefault="000923BB" w:rsidP="003A385F">
            <w:pPr>
              <w:jc w:val="both"/>
              <w:rPr>
                <w:rFonts w:cs="Arial"/>
                <w:sz w:val="20"/>
                <w:szCs w:val="20"/>
              </w:rPr>
            </w:pPr>
            <w:r w:rsidRPr="009C5637">
              <w:rPr>
                <w:rFonts w:cs="Arial"/>
                <w:sz w:val="20"/>
                <w:szCs w:val="20"/>
              </w:rPr>
              <w:t xml:space="preserve">692 </w:t>
            </w:r>
          </w:p>
          <w:p w14:paraId="6556CC1A" w14:textId="77777777" w:rsidR="000923BB" w:rsidRPr="009C5637" w:rsidRDefault="000923BB" w:rsidP="003A385F">
            <w:pPr>
              <w:jc w:val="both"/>
              <w:rPr>
                <w:rFonts w:cs="Arial"/>
                <w:sz w:val="20"/>
                <w:szCs w:val="20"/>
              </w:rPr>
            </w:pPr>
            <w:r w:rsidRPr="009C5637">
              <w:rPr>
                <w:rFonts w:cs="Arial"/>
                <w:sz w:val="20"/>
                <w:szCs w:val="20"/>
              </w:rPr>
              <w:t>(100%)</w:t>
            </w:r>
          </w:p>
        </w:tc>
      </w:tr>
    </w:tbl>
    <w:p w14:paraId="499C2AE9" w14:textId="77777777" w:rsidR="000923BB" w:rsidRPr="009C5637" w:rsidRDefault="000923BB" w:rsidP="000923BB">
      <w:pPr>
        <w:jc w:val="both"/>
        <w:rPr>
          <w:rFonts w:cs="Arial"/>
          <w:sz w:val="20"/>
          <w:szCs w:val="20"/>
        </w:rPr>
      </w:pPr>
    </w:p>
    <w:p w14:paraId="07270DD5" w14:textId="77777777" w:rsidR="00DD0924" w:rsidRDefault="00DD0924" w:rsidP="000923BB">
      <w:pPr>
        <w:rPr>
          <w:rFonts w:cs="Arial"/>
          <w:b/>
          <w:sz w:val="20"/>
          <w:szCs w:val="20"/>
        </w:rPr>
      </w:pPr>
    </w:p>
    <w:p w14:paraId="004A480D" w14:textId="77777777" w:rsidR="00DD0924" w:rsidRDefault="00DD0924" w:rsidP="000923BB">
      <w:pPr>
        <w:rPr>
          <w:rFonts w:cs="Arial"/>
          <w:b/>
          <w:sz w:val="20"/>
          <w:szCs w:val="20"/>
        </w:rPr>
      </w:pPr>
    </w:p>
    <w:p w14:paraId="3CBAB985" w14:textId="77777777" w:rsidR="00DD0924" w:rsidRDefault="00DD0924" w:rsidP="000923BB">
      <w:pPr>
        <w:rPr>
          <w:rFonts w:cs="Arial"/>
          <w:b/>
          <w:sz w:val="20"/>
          <w:szCs w:val="20"/>
        </w:rPr>
      </w:pPr>
    </w:p>
    <w:p w14:paraId="626BEFE5" w14:textId="77777777" w:rsidR="00DD0924" w:rsidRDefault="00DD0924" w:rsidP="000923BB">
      <w:pPr>
        <w:rPr>
          <w:rFonts w:cs="Arial"/>
          <w:b/>
          <w:sz w:val="20"/>
          <w:szCs w:val="20"/>
        </w:rPr>
      </w:pPr>
    </w:p>
    <w:p w14:paraId="61DEFE7A" w14:textId="77777777" w:rsidR="00DD0924" w:rsidRDefault="00DD0924" w:rsidP="000923BB">
      <w:pPr>
        <w:rPr>
          <w:rFonts w:cs="Arial"/>
          <w:b/>
          <w:sz w:val="20"/>
          <w:szCs w:val="20"/>
        </w:rPr>
      </w:pPr>
    </w:p>
    <w:p w14:paraId="42D589CD" w14:textId="77777777" w:rsidR="00DD0924" w:rsidRDefault="00DD0924" w:rsidP="000923BB">
      <w:pPr>
        <w:rPr>
          <w:rFonts w:cs="Arial"/>
          <w:b/>
          <w:sz w:val="20"/>
          <w:szCs w:val="20"/>
        </w:rPr>
      </w:pPr>
    </w:p>
    <w:p w14:paraId="15146481" w14:textId="77777777" w:rsidR="00DD0924" w:rsidRDefault="00DD0924" w:rsidP="000923BB">
      <w:pPr>
        <w:rPr>
          <w:rFonts w:cs="Arial"/>
          <w:b/>
          <w:sz w:val="20"/>
          <w:szCs w:val="20"/>
        </w:rPr>
      </w:pPr>
    </w:p>
    <w:p w14:paraId="4A6052F9" w14:textId="77777777" w:rsidR="00DD0924" w:rsidRDefault="00DD0924" w:rsidP="000923BB">
      <w:pPr>
        <w:rPr>
          <w:rFonts w:cs="Arial"/>
          <w:b/>
          <w:sz w:val="20"/>
          <w:szCs w:val="20"/>
        </w:rPr>
      </w:pPr>
    </w:p>
    <w:p w14:paraId="6C5BF771" w14:textId="77777777" w:rsidR="00DD0924" w:rsidRDefault="00DD0924" w:rsidP="000923BB">
      <w:pPr>
        <w:rPr>
          <w:rFonts w:cs="Arial"/>
          <w:b/>
          <w:sz w:val="20"/>
          <w:szCs w:val="20"/>
        </w:rPr>
      </w:pPr>
    </w:p>
    <w:p w14:paraId="1F3093DA" w14:textId="77777777" w:rsidR="000923BB" w:rsidRDefault="000923BB" w:rsidP="000923BB">
      <w:r>
        <w:rPr>
          <w:rFonts w:cs="Arial"/>
          <w:b/>
          <w:sz w:val="20"/>
          <w:szCs w:val="20"/>
        </w:rPr>
        <w:t>Table 3: R</w:t>
      </w:r>
      <w:r w:rsidRPr="00777313">
        <w:rPr>
          <w:rFonts w:cs="Arial"/>
          <w:b/>
          <w:sz w:val="20"/>
          <w:szCs w:val="20"/>
        </w:rPr>
        <w:t>elationship between the COPD mean holistic scale scores (1-6) scale, total criterion scores and hospital mortality group</w:t>
      </w:r>
    </w:p>
    <w:p w14:paraId="25A4D7F5" w14:textId="77777777" w:rsidR="000923BB" w:rsidRDefault="000923BB" w:rsidP="000923BB"/>
    <w:tbl>
      <w:tblPr>
        <w:tblW w:w="8055" w:type="dxa"/>
        <w:tblInd w:w="93" w:type="dxa"/>
        <w:tblLook w:val="0000" w:firstRow="0" w:lastRow="0" w:firstColumn="0" w:lastColumn="0" w:noHBand="0" w:noVBand="0"/>
      </w:tblPr>
      <w:tblGrid>
        <w:gridCol w:w="1455"/>
        <w:gridCol w:w="600"/>
        <w:gridCol w:w="720"/>
        <w:gridCol w:w="495"/>
        <w:gridCol w:w="550"/>
        <w:gridCol w:w="755"/>
        <w:gridCol w:w="495"/>
        <w:gridCol w:w="717"/>
        <w:gridCol w:w="761"/>
        <w:gridCol w:w="761"/>
        <w:gridCol w:w="746"/>
      </w:tblGrid>
      <w:tr w:rsidR="000923BB" w14:paraId="6A178C78" w14:textId="77777777" w:rsidTr="003A385F">
        <w:trPr>
          <w:trHeight w:val="255"/>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FD899A" w14:textId="77777777" w:rsidR="000923BB" w:rsidRPr="007A4493" w:rsidRDefault="000923BB" w:rsidP="003A385F">
            <w:pPr>
              <w:rPr>
                <w:rFonts w:cs="Arial"/>
                <w:sz w:val="18"/>
                <w:szCs w:val="18"/>
              </w:rPr>
            </w:pPr>
          </w:p>
        </w:tc>
        <w:tc>
          <w:tcPr>
            <w:tcW w:w="181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C94AA3D" w14:textId="77777777" w:rsidR="000923BB" w:rsidRPr="007A4493" w:rsidRDefault="000923BB" w:rsidP="003A385F">
            <w:pPr>
              <w:rPr>
                <w:rFonts w:cs="Arial"/>
                <w:sz w:val="18"/>
                <w:szCs w:val="18"/>
              </w:rPr>
            </w:pPr>
            <w:r w:rsidRPr="007A4493">
              <w:rPr>
                <w:rFonts w:cs="Arial"/>
                <w:sz w:val="18"/>
                <w:szCs w:val="18"/>
              </w:rPr>
              <w:t>Lower mortality group scores</w:t>
            </w:r>
          </w:p>
        </w:tc>
        <w:tc>
          <w:tcPr>
            <w:tcW w:w="18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E53E96F" w14:textId="77777777" w:rsidR="000923BB" w:rsidRPr="007A4493" w:rsidRDefault="000923BB" w:rsidP="003A385F">
            <w:pPr>
              <w:rPr>
                <w:rFonts w:cs="Arial"/>
                <w:sz w:val="18"/>
                <w:szCs w:val="18"/>
              </w:rPr>
            </w:pPr>
            <w:r w:rsidRPr="007A4493">
              <w:rPr>
                <w:rFonts w:cs="Arial"/>
                <w:sz w:val="18"/>
                <w:szCs w:val="18"/>
              </w:rPr>
              <w:t>Higher mortality group scores</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2F2A28" w14:textId="77777777" w:rsidR="000923BB" w:rsidRPr="007A4493" w:rsidRDefault="000923BB" w:rsidP="003A385F">
            <w:pPr>
              <w:rPr>
                <w:rFonts w:cs="Arial"/>
                <w:sz w:val="18"/>
                <w:szCs w:val="18"/>
              </w:rPr>
            </w:pPr>
            <w:r w:rsidRPr="007A4493">
              <w:rPr>
                <w:rFonts w:cs="Arial"/>
                <w:sz w:val="18"/>
                <w:szCs w:val="18"/>
              </w:rPr>
              <w:t xml:space="preserve">Mean </w:t>
            </w:r>
          </w:p>
          <w:p w14:paraId="40710A7C" w14:textId="77777777" w:rsidR="000923BB" w:rsidRPr="007A4493" w:rsidRDefault="000923BB" w:rsidP="003A385F">
            <w:pPr>
              <w:rPr>
                <w:rFonts w:cs="Arial"/>
                <w:sz w:val="18"/>
                <w:szCs w:val="18"/>
              </w:rPr>
            </w:pPr>
            <w:r w:rsidRPr="007A4493">
              <w:rPr>
                <w:rFonts w:cs="Arial"/>
                <w:sz w:val="18"/>
                <w:szCs w:val="18"/>
              </w:rPr>
              <w:t>Diff</w:t>
            </w:r>
          </w:p>
        </w:tc>
        <w:tc>
          <w:tcPr>
            <w:tcW w:w="15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BAC1B9A" w14:textId="77777777" w:rsidR="000923BB" w:rsidRPr="007A4493" w:rsidRDefault="000923BB" w:rsidP="003A385F">
            <w:pPr>
              <w:rPr>
                <w:rFonts w:cs="Arial"/>
                <w:sz w:val="18"/>
                <w:szCs w:val="18"/>
              </w:rPr>
            </w:pPr>
            <w:r w:rsidRPr="007A4493">
              <w:rPr>
                <w:rFonts w:cs="Arial"/>
                <w:sz w:val="18"/>
                <w:szCs w:val="18"/>
              </w:rPr>
              <w:t>95% CI</w:t>
            </w:r>
          </w:p>
        </w:tc>
        <w:tc>
          <w:tcPr>
            <w:tcW w:w="746" w:type="dxa"/>
            <w:vMerge w:val="restart"/>
            <w:tcBorders>
              <w:top w:val="single" w:sz="4" w:space="0" w:color="auto"/>
              <w:left w:val="single" w:sz="4" w:space="0" w:color="auto"/>
              <w:right w:val="single" w:sz="4" w:space="0" w:color="auto"/>
            </w:tcBorders>
            <w:shd w:val="clear" w:color="auto" w:fill="auto"/>
            <w:noWrap/>
            <w:vAlign w:val="bottom"/>
          </w:tcPr>
          <w:p w14:paraId="24ABB3A5" w14:textId="77777777" w:rsidR="000923BB" w:rsidRPr="007A4493" w:rsidRDefault="000923BB" w:rsidP="003A385F">
            <w:pPr>
              <w:rPr>
                <w:rFonts w:cs="Arial"/>
                <w:sz w:val="18"/>
                <w:szCs w:val="18"/>
              </w:rPr>
            </w:pPr>
            <w:r w:rsidRPr="007A4493">
              <w:rPr>
                <w:rFonts w:cs="Arial"/>
                <w:sz w:val="18"/>
                <w:szCs w:val="18"/>
              </w:rPr>
              <w:t>P-value</w:t>
            </w:r>
          </w:p>
        </w:tc>
      </w:tr>
      <w:tr w:rsidR="000923BB" w14:paraId="136C8585" w14:textId="77777777" w:rsidTr="003A385F">
        <w:trPr>
          <w:trHeight w:val="255"/>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74B508" w14:textId="77777777" w:rsidR="000923BB" w:rsidRPr="007A4493" w:rsidRDefault="000923BB" w:rsidP="003A385F">
            <w:pPr>
              <w:rPr>
                <w:rFonts w:cs="Arial"/>
                <w:sz w:val="18"/>
                <w:szCs w:val="18"/>
              </w:rPr>
            </w:pPr>
            <w:r w:rsidRPr="007A4493">
              <w:rPr>
                <w:rFonts w:cs="Arial"/>
                <w:sz w:val="18"/>
                <w:szCs w:val="18"/>
              </w:rPr>
              <w:t xml:space="preserve"> </w:t>
            </w:r>
          </w:p>
        </w:tc>
        <w:tc>
          <w:tcPr>
            <w:tcW w:w="600" w:type="dxa"/>
            <w:tcBorders>
              <w:top w:val="single" w:sz="4" w:space="0" w:color="auto"/>
              <w:left w:val="single" w:sz="4" w:space="0" w:color="auto"/>
              <w:bottom w:val="single" w:sz="4" w:space="0" w:color="auto"/>
              <w:right w:val="nil"/>
            </w:tcBorders>
            <w:shd w:val="clear" w:color="auto" w:fill="auto"/>
            <w:noWrap/>
            <w:vAlign w:val="bottom"/>
          </w:tcPr>
          <w:p w14:paraId="2C51BACA" w14:textId="77777777" w:rsidR="000923BB" w:rsidRPr="007A4493" w:rsidRDefault="000923BB" w:rsidP="003A385F">
            <w:pPr>
              <w:rPr>
                <w:rFonts w:cs="Arial"/>
                <w:sz w:val="18"/>
                <w:szCs w:val="18"/>
              </w:rPr>
            </w:pPr>
            <w:r w:rsidRPr="007A4493">
              <w:rPr>
                <w:rFonts w:cs="Arial"/>
                <w:sz w:val="18"/>
                <w:szCs w:val="18"/>
              </w:rPr>
              <w:t>N</w:t>
            </w:r>
          </w:p>
        </w:tc>
        <w:tc>
          <w:tcPr>
            <w:tcW w:w="720" w:type="dxa"/>
            <w:tcBorders>
              <w:top w:val="single" w:sz="4" w:space="0" w:color="auto"/>
              <w:left w:val="nil"/>
              <w:bottom w:val="single" w:sz="4" w:space="0" w:color="auto"/>
              <w:right w:val="nil"/>
            </w:tcBorders>
            <w:shd w:val="clear" w:color="auto" w:fill="auto"/>
            <w:noWrap/>
            <w:vAlign w:val="bottom"/>
          </w:tcPr>
          <w:p w14:paraId="5677AAC7" w14:textId="77777777" w:rsidR="000923BB" w:rsidRPr="007A4493" w:rsidRDefault="000923BB" w:rsidP="003A385F">
            <w:pPr>
              <w:rPr>
                <w:rFonts w:cs="Arial"/>
                <w:sz w:val="18"/>
                <w:szCs w:val="18"/>
              </w:rPr>
            </w:pPr>
            <w:r w:rsidRPr="007A4493">
              <w:rPr>
                <w:rFonts w:cs="Arial"/>
                <w:sz w:val="18"/>
                <w:szCs w:val="18"/>
              </w:rPr>
              <w:t>Mean</w:t>
            </w:r>
          </w:p>
        </w:tc>
        <w:tc>
          <w:tcPr>
            <w:tcW w:w="495" w:type="dxa"/>
            <w:tcBorders>
              <w:top w:val="single" w:sz="4" w:space="0" w:color="auto"/>
              <w:left w:val="nil"/>
              <w:bottom w:val="single" w:sz="4" w:space="0" w:color="auto"/>
              <w:right w:val="single" w:sz="4" w:space="0" w:color="auto"/>
            </w:tcBorders>
            <w:shd w:val="clear" w:color="auto" w:fill="auto"/>
            <w:noWrap/>
            <w:vAlign w:val="bottom"/>
          </w:tcPr>
          <w:p w14:paraId="47DF7480" w14:textId="77777777" w:rsidR="000923BB" w:rsidRPr="007A4493" w:rsidRDefault="000923BB" w:rsidP="003A385F">
            <w:pPr>
              <w:rPr>
                <w:rFonts w:cs="Arial"/>
                <w:sz w:val="18"/>
                <w:szCs w:val="18"/>
              </w:rPr>
            </w:pPr>
            <w:r w:rsidRPr="007A4493">
              <w:rPr>
                <w:rFonts w:cs="Arial"/>
                <w:sz w:val="18"/>
                <w:szCs w:val="18"/>
              </w:rPr>
              <w:t>SD</w:t>
            </w:r>
          </w:p>
        </w:tc>
        <w:tc>
          <w:tcPr>
            <w:tcW w:w="550" w:type="dxa"/>
            <w:tcBorders>
              <w:top w:val="single" w:sz="4" w:space="0" w:color="auto"/>
              <w:left w:val="single" w:sz="4" w:space="0" w:color="auto"/>
              <w:bottom w:val="single" w:sz="4" w:space="0" w:color="auto"/>
              <w:right w:val="nil"/>
            </w:tcBorders>
            <w:shd w:val="clear" w:color="auto" w:fill="auto"/>
            <w:noWrap/>
            <w:vAlign w:val="bottom"/>
          </w:tcPr>
          <w:p w14:paraId="62853507" w14:textId="77777777" w:rsidR="000923BB" w:rsidRPr="007A4493" w:rsidRDefault="000923BB" w:rsidP="003A385F">
            <w:pPr>
              <w:rPr>
                <w:rFonts w:cs="Arial"/>
                <w:sz w:val="18"/>
                <w:szCs w:val="18"/>
              </w:rPr>
            </w:pPr>
            <w:r w:rsidRPr="007A4493">
              <w:rPr>
                <w:rFonts w:cs="Arial"/>
                <w:sz w:val="18"/>
                <w:szCs w:val="18"/>
              </w:rPr>
              <w:t>N</w:t>
            </w:r>
          </w:p>
        </w:tc>
        <w:tc>
          <w:tcPr>
            <w:tcW w:w="755" w:type="dxa"/>
            <w:tcBorders>
              <w:top w:val="single" w:sz="4" w:space="0" w:color="auto"/>
              <w:left w:val="nil"/>
              <w:bottom w:val="single" w:sz="4" w:space="0" w:color="auto"/>
              <w:right w:val="nil"/>
            </w:tcBorders>
            <w:shd w:val="clear" w:color="auto" w:fill="auto"/>
            <w:noWrap/>
            <w:vAlign w:val="bottom"/>
          </w:tcPr>
          <w:p w14:paraId="2B504847" w14:textId="77777777" w:rsidR="000923BB" w:rsidRPr="007A4493" w:rsidRDefault="000923BB" w:rsidP="003A385F">
            <w:pPr>
              <w:rPr>
                <w:rFonts w:cs="Arial"/>
                <w:sz w:val="18"/>
                <w:szCs w:val="18"/>
              </w:rPr>
            </w:pPr>
            <w:r w:rsidRPr="007A4493">
              <w:rPr>
                <w:rFonts w:cs="Arial"/>
                <w:sz w:val="18"/>
                <w:szCs w:val="18"/>
              </w:rPr>
              <w:t>Mean</w:t>
            </w:r>
          </w:p>
        </w:tc>
        <w:tc>
          <w:tcPr>
            <w:tcW w:w="495" w:type="dxa"/>
            <w:tcBorders>
              <w:top w:val="single" w:sz="4" w:space="0" w:color="auto"/>
              <w:left w:val="nil"/>
              <w:bottom w:val="single" w:sz="4" w:space="0" w:color="auto"/>
              <w:right w:val="single" w:sz="4" w:space="0" w:color="auto"/>
            </w:tcBorders>
            <w:shd w:val="clear" w:color="auto" w:fill="auto"/>
            <w:noWrap/>
            <w:vAlign w:val="bottom"/>
          </w:tcPr>
          <w:p w14:paraId="41F19380" w14:textId="77777777" w:rsidR="000923BB" w:rsidRPr="007A4493" w:rsidRDefault="000923BB" w:rsidP="003A385F">
            <w:pPr>
              <w:rPr>
                <w:rFonts w:cs="Arial"/>
                <w:sz w:val="18"/>
                <w:szCs w:val="18"/>
              </w:rPr>
            </w:pPr>
            <w:r w:rsidRPr="007A4493">
              <w:rPr>
                <w:rFonts w:cs="Arial"/>
                <w:sz w:val="18"/>
                <w:szCs w:val="18"/>
              </w:rPr>
              <w:t>SD</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B468D1" w14:textId="77777777" w:rsidR="000923BB" w:rsidRPr="007A4493" w:rsidRDefault="000923BB" w:rsidP="003A385F">
            <w:pPr>
              <w:rPr>
                <w:rFonts w:cs="Arial"/>
                <w:sz w:val="18"/>
                <w:szCs w:val="18"/>
              </w:rPr>
            </w:pP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261988" w14:textId="77777777" w:rsidR="000923BB" w:rsidRPr="007A4493" w:rsidRDefault="000923BB" w:rsidP="003A385F">
            <w:pPr>
              <w:rPr>
                <w:rFonts w:cs="Arial"/>
                <w:sz w:val="18"/>
                <w:szCs w:val="18"/>
              </w:rPr>
            </w:pPr>
            <w:r w:rsidRPr="007A4493">
              <w:rPr>
                <w:rFonts w:cs="Arial"/>
                <w:sz w:val="18"/>
                <w:szCs w:val="18"/>
              </w:rPr>
              <w:t>Lower</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AE36C4" w14:textId="77777777" w:rsidR="000923BB" w:rsidRPr="007A4493" w:rsidRDefault="000923BB" w:rsidP="003A385F">
            <w:pPr>
              <w:rPr>
                <w:rFonts w:cs="Arial"/>
                <w:sz w:val="18"/>
                <w:szCs w:val="18"/>
              </w:rPr>
            </w:pPr>
            <w:r w:rsidRPr="007A4493">
              <w:rPr>
                <w:rFonts w:cs="Arial"/>
                <w:sz w:val="18"/>
                <w:szCs w:val="18"/>
              </w:rPr>
              <w:t>Upper</w:t>
            </w:r>
          </w:p>
        </w:tc>
        <w:tc>
          <w:tcPr>
            <w:tcW w:w="746" w:type="dxa"/>
            <w:vMerge/>
            <w:tcBorders>
              <w:left w:val="single" w:sz="4" w:space="0" w:color="auto"/>
              <w:bottom w:val="single" w:sz="4" w:space="0" w:color="auto"/>
              <w:right w:val="single" w:sz="4" w:space="0" w:color="auto"/>
            </w:tcBorders>
            <w:shd w:val="clear" w:color="auto" w:fill="auto"/>
            <w:noWrap/>
            <w:vAlign w:val="bottom"/>
          </w:tcPr>
          <w:p w14:paraId="2177FE89" w14:textId="77777777" w:rsidR="000923BB" w:rsidRPr="007A4493" w:rsidRDefault="000923BB" w:rsidP="003A385F">
            <w:pPr>
              <w:rPr>
                <w:rFonts w:cs="Arial"/>
                <w:sz w:val="18"/>
                <w:szCs w:val="18"/>
              </w:rPr>
            </w:pPr>
          </w:p>
        </w:tc>
      </w:tr>
      <w:tr w:rsidR="000923BB" w14:paraId="4D0F6796" w14:textId="77777777" w:rsidTr="003A385F">
        <w:trPr>
          <w:trHeight w:val="255"/>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4AF830" w14:textId="77777777" w:rsidR="000923BB" w:rsidRPr="007A4493" w:rsidRDefault="000923BB" w:rsidP="003A385F">
            <w:pPr>
              <w:rPr>
                <w:rFonts w:cs="Arial"/>
                <w:sz w:val="18"/>
                <w:szCs w:val="18"/>
              </w:rPr>
            </w:pPr>
            <w:r w:rsidRPr="007A4493">
              <w:rPr>
                <w:rFonts w:cs="Arial"/>
                <w:sz w:val="18"/>
                <w:szCs w:val="18"/>
              </w:rPr>
              <w:t>Total Criterion score</w:t>
            </w:r>
          </w:p>
        </w:tc>
        <w:tc>
          <w:tcPr>
            <w:tcW w:w="600" w:type="dxa"/>
            <w:tcBorders>
              <w:top w:val="single" w:sz="4" w:space="0" w:color="auto"/>
              <w:left w:val="single" w:sz="4" w:space="0" w:color="auto"/>
              <w:bottom w:val="single" w:sz="4" w:space="0" w:color="auto"/>
              <w:right w:val="nil"/>
            </w:tcBorders>
            <w:shd w:val="clear" w:color="auto" w:fill="auto"/>
            <w:noWrap/>
            <w:vAlign w:val="bottom"/>
          </w:tcPr>
          <w:p w14:paraId="68201E1B" w14:textId="77777777" w:rsidR="000923BB" w:rsidRPr="007A4493" w:rsidRDefault="000923BB" w:rsidP="003A385F">
            <w:pPr>
              <w:jc w:val="right"/>
              <w:rPr>
                <w:rFonts w:cs="Arial"/>
                <w:sz w:val="18"/>
                <w:szCs w:val="18"/>
              </w:rPr>
            </w:pPr>
            <w:r w:rsidRPr="007A4493">
              <w:rPr>
                <w:rFonts w:cs="Arial"/>
                <w:sz w:val="18"/>
                <w:szCs w:val="18"/>
              </w:rPr>
              <w:t>438</w:t>
            </w:r>
          </w:p>
        </w:tc>
        <w:tc>
          <w:tcPr>
            <w:tcW w:w="720" w:type="dxa"/>
            <w:tcBorders>
              <w:top w:val="single" w:sz="4" w:space="0" w:color="auto"/>
              <w:left w:val="nil"/>
              <w:bottom w:val="single" w:sz="4" w:space="0" w:color="auto"/>
              <w:right w:val="nil"/>
            </w:tcBorders>
            <w:shd w:val="clear" w:color="auto" w:fill="auto"/>
            <w:noWrap/>
            <w:vAlign w:val="bottom"/>
          </w:tcPr>
          <w:p w14:paraId="332FD564" w14:textId="77777777" w:rsidR="000923BB" w:rsidRPr="007A4493" w:rsidRDefault="000923BB" w:rsidP="003A385F">
            <w:pPr>
              <w:jc w:val="right"/>
              <w:rPr>
                <w:rFonts w:cs="Arial"/>
                <w:sz w:val="18"/>
                <w:szCs w:val="18"/>
              </w:rPr>
            </w:pPr>
            <w:r w:rsidRPr="007A4493">
              <w:rPr>
                <w:rFonts w:cs="Arial"/>
                <w:sz w:val="18"/>
                <w:szCs w:val="18"/>
              </w:rPr>
              <w:t>10.3</w:t>
            </w:r>
          </w:p>
        </w:tc>
        <w:tc>
          <w:tcPr>
            <w:tcW w:w="495" w:type="dxa"/>
            <w:tcBorders>
              <w:top w:val="single" w:sz="4" w:space="0" w:color="auto"/>
              <w:left w:val="nil"/>
              <w:bottom w:val="single" w:sz="4" w:space="0" w:color="auto"/>
              <w:right w:val="single" w:sz="4" w:space="0" w:color="auto"/>
            </w:tcBorders>
            <w:shd w:val="clear" w:color="auto" w:fill="auto"/>
            <w:noWrap/>
            <w:vAlign w:val="bottom"/>
          </w:tcPr>
          <w:p w14:paraId="4D1A202A" w14:textId="77777777" w:rsidR="000923BB" w:rsidRPr="007A4493" w:rsidRDefault="000923BB" w:rsidP="003A385F">
            <w:pPr>
              <w:jc w:val="right"/>
              <w:rPr>
                <w:rFonts w:cs="Arial"/>
                <w:sz w:val="18"/>
                <w:szCs w:val="18"/>
              </w:rPr>
            </w:pPr>
            <w:r w:rsidRPr="007A4493">
              <w:rPr>
                <w:rFonts w:cs="Arial"/>
                <w:sz w:val="18"/>
                <w:szCs w:val="18"/>
              </w:rPr>
              <w:t>1.7</w:t>
            </w:r>
          </w:p>
        </w:tc>
        <w:tc>
          <w:tcPr>
            <w:tcW w:w="550" w:type="dxa"/>
            <w:tcBorders>
              <w:top w:val="single" w:sz="4" w:space="0" w:color="auto"/>
              <w:left w:val="single" w:sz="4" w:space="0" w:color="auto"/>
              <w:bottom w:val="single" w:sz="4" w:space="0" w:color="auto"/>
              <w:right w:val="nil"/>
            </w:tcBorders>
            <w:shd w:val="clear" w:color="auto" w:fill="auto"/>
            <w:noWrap/>
            <w:vAlign w:val="bottom"/>
          </w:tcPr>
          <w:p w14:paraId="7E50C5FE" w14:textId="77777777" w:rsidR="000923BB" w:rsidRPr="007A4493" w:rsidRDefault="000923BB" w:rsidP="003A385F">
            <w:pPr>
              <w:jc w:val="right"/>
              <w:rPr>
                <w:rFonts w:cs="Arial"/>
                <w:sz w:val="18"/>
                <w:szCs w:val="18"/>
              </w:rPr>
            </w:pPr>
            <w:r w:rsidRPr="007A4493">
              <w:rPr>
                <w:rFonts w:cs="Arial"/>
                <w:sz w:val="18"/>
                <w:szCs w:val="18"/>
              </w:rPr>
              <w:t>447</w:t>
            </w:r>
          </w:p>
        </w:tc>
        <w:tc>
          <w:tcPr>
            <w:tcW w:w="755" w:type="dxa"/>
            <w:tcBorders>
              <w:top w:val="single" w:sz="4" w:space="0" w:color="auto"/>
              <w:left w:val="nil"/>
              <w:bottom w:val="single" w:sz="4" w:space="0" w:color="auto"/>
              <w:right w:val="nil"/>
            </w:tcBorders>
            <w:shd w:val="clear" w:color="auto" w:fill="auto"/>
            <w:noWrap/>
            <w:vAlign w:val="bottom"/>
          </w:tcPr>
          <w:p w14:paraId="7BC8A033" w14:textId="77777777" w:rsidR="000923BB" w:rsidRPr="007A4493" w:rsidRDefault="000923BB" w:rsidP="003A385F">
            <w:pPr>
              <w:jc w:val="right"/>
              <w:rPr>
                <w:rFonts w:cs="Arial"/>
                <w:sz w:val="18"/>
                <w:szCs w:val="18"/>
              </w:rPr>
            </w:pPr>
            <w:r w:rsidRPr="007A4493">
              <w:rPr>
                <w:rFonts w:cs="Arial"/>
                <w:sz w:val="18"/>
                <w:szCs w:val="18"/>
              </w:rPr>
              <w:t>10.1</w:t>
            </w:r>
          </w:p>
        </w:tc>
        <w:tc>
          <w:tcPr>
            <w:tcW w:w="495" w:type="dxa"/>
            <w:tcBorders>
              <w:top w:val="single" w:sz="4" w:space="0" w:color="auto"/>
              <w:left w:val="nil"/>
              <w:bottom w:val="single" w:sz="4" w:space="0" w:color="auto"/>
              <w:right w:val="single" w:sz="4" w:space="0" w:color="auto"/>
            </w:tcBorders>
            <w:shd w:val="clear" w:color="auto" w:fill="auto"/>
            <w:noWrap/>
            <w:vAlign w:val="bottom"/>
          </w:tcPr>
          <w:p w14:paraId="5AB6B957" w14:textId="77777777" w:rsidR="000923BB" w:rsidRPr="007A4493" w:rsidRDefault="000923BB" w:rsidP="003A385F">
            <w:pPr>
              <w:jc w:val="right"/>
              <w:rPr>
                <w:rFonts w:cs="Arial"/>
                <w:sz w:val="18"/>
                <w:szCs w:val="18"/>
              </w:rPr>
            </w:pPr>
            <w:r w:rsidRPr="007A4493">
              <w:rPr>
                <w:rFonts w:cs="Arial"/>
                <w:sz w:val="18"/>
                <w:szCs w:val="18"/>
              </w:rPr>
              <w:t>1.8</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F11F57" w14:textId="77777777" w:rsidR="000923BB" w:rsidRPr="007A4493" w:rsidRDefault="000923BB" w:rsidP="003A385F">
            <w:pPr>
              <w:jc w:val="right"/>
              <w:rPr>
                <w:rFonts w:cs="Arial"/>
                <w:sz w:val="18"/>
                <w:szCs w:val="18"/>
              </w:rPr>
            </w:pPr>
            <w:r w:rsidRPr="007A4493">
              <w:rPr>
                <w:rFonts w:cs="Arial"/>
                <w:sz w:val="18"/>
                <w:szCs w:val="18"/>
              </w:rPr>
              <w:t>-0.2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4C132F" w14:textId="77777777" w:rsidR="000923BB" w:rsidRPr="007A4493" w:rsidRDefault="000923BB" w:rsidP="003A385F">
            <w:pPr>
              <w:jc w:val="right"/>
              <w:rPr>
                <w:rFonts w:cs="Arial"/>
                <w:sz w:val="18"/>
                <w:szCs w:val="18"/>
              </w:rPr>
            </w:pPr>
            <w:r w:rsidRPr="007A4493">
              <w:rPr>
                <w:rFonts w:cs="Arial"/>
                <w:sz w:val="18"/>
                <w:szCs w:val="18"/>
              </w:rPr>
              <w:t>-0.9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88F653" w14:textId="77777777" w:rsidR="000923BB" w:rsidRPr="007A4493" w:rsidRDefault="000923BB" w:rsidP="003A385F">
            <w:pPr>
              <w:jc w:val="right"/>
              <w:rPr>
                <w:rFonts w:cs="Arial"/>
                <w:sz w:val="18"/>
                <w:szCs w:val="18"/>
              </w:rPr>
            </w:pPr>
            <w:r w:rsidRPr="007A4493">
              <w:rPr>
                <w:rFonts w:cs="Arial"/>
                <w:sz w:val="18"/>
                <w:szCs w:val="18"/>
              </w:rPr>
              <w:t>0.6</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5E988E" w14:textId="77777777" w:rsidR="000923BB" w:rsidRPr="007A4493" w:rsidRDefault="000923BB" w:rsidP="003A385F">
            <w:pPr>
              <w:jc w:val="right"/>
              <w:rPr>
                <w:rFonts w:cs="Arial"/>
                <w:sz w:val="18"/>
                <w:szCs w:val="18"/>
              </w:rPr>
            </w:pPr>
            <w:r w:rsidRPr="007A4493">
              <w:rPr>
                <w:rFonts w:cs="Arial"/>
                <w:sz w:val="18"/>
                <w:szCs w:val="18"/>
              </w:rPr>
              <w:t>0.637</w:t>
            </w:r>
          </w:p>
        </w:tc>
      </w:tr>
      <w:tr w:rsidR="000923BB" w14:paraId="62636AFA" w14:textId="77777777" w:rsidTr="003A385F">
        <w:trPr>
          <w:trHeight w:val="255"/>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5C3D3" w14:textId="77777777" w:rsidR="000923BB" w:rsidRPr="007A4493" w:rsidRDefault="000923BB" w:rsidP="003A385F">
            <w:pPr>
              <w:rPr>
                <w:rFonts w:cs="Arial"/>
                <w:sz w:val="18"/>
                <w:szCs w:val="18"/>
              </w:rPr>
            </w:pPr>
            <w:r w:rsidRPr="007A4493">
              <w:rPr>
                <w:rFonts w:cs="Arial"/>
                <w:sz w:val="18"/>
                <w:szCs w:val="18"/>
              </w:rPr>
              <w:t>Holistic Admission phase</w:t>
            </w:r>
          </w:p>
        </w:tc>
        <w:tc>
          <w:tcPr>
            <w:tcW w:w="600" w:type="dxa"/>
            <w:tcBorders>
              <w:top w:val="single" w:sz="4" w:space="0" w:color="auto"/>
              <w:left w:val="single" w:sz="4" w:space="0" w:color="auto"/>
              <w:bottom w:val="single" w:sz="4" w:space="0" w:color="auto"/>
              <w:right w:val="nil"/>
            </w:tcBorders>
            <w:shd w:val="clear" w:color="auto" w:fill="auto"/>
            <w:noWrap/>
            <w:vAlign w:val="bottom"/>
          </w:tcPr>
          <w:p w14:paraId="6F3669CA" w14:textId="77777777" w:rsidR="000923BB" w:rsidRPr="007A4493" w:rsidRDefault="000923BB" w:rsidP="003A385F">
            <w:pPr>
              <w:jc w:val="right"/>
              <w:rPr>
                <w:rFonts w:cs="Arial"/>
                <w:sz w:val="18"/>
                <w:szCs w:val="18"/>
              </w:rPr>
            </w:pPr>
            <w:r w:rsidRPr="007A4493">
              <w:rPr>
                <w:rFonts w:cs="Arial"/>
                <w:sz w:val="18"/>
                <w:szCs w:val="18"/>
              </w:rPr>
              <w:t>434</w:t>
            </w:r>
          </w:p>
        </w:tc>
        <w:tc>
          <w:tcPr>
            <w:tcW w:w="720" w:type="dxa"/>
            <w:tcBorders>
              <w:top w:val="single" w:sz="4" w:space="0" w:color="auto"/>
              <w:left w:val="nil"/>
              <w:bottom w:val="single" w:sz="4" w:space="0" w:color="auto"/>
              <w:right w:val="nil"/>
            </w:tcBorders>
            <w:shd w:val="clear" w:color="auto" w:fill="auto"/>
            <w:noWrap/>
            <w:vAlign w:val="bottom"/>
          </w:tcPr>
          <w:p w14:paraId="1585590E" w14:textId="77777777" w:rsidR="000923BB" w:rsidRPr="007A4493" w:rsidRDefault="000923BB" w:rsidP="003A385F">
            <w:pPr>
              <w:jc w:val="right"/>
              <w:rPr>
                <w:rFonts w:cs="Arial"/>
                <w:sz w:val="18"/>
                <w:szCs w:val="18"/>
              </w:rPr>
            </w:pPr>
            <w:r w:rsidRPr="007A4493">
              <w:rPr>
                <w:rFonts w:cs="Arial"/>
                <w:sz w:val="18"/>
                <w:szCs w:val="18"/>
              </w:rPr>
              <w:t>4.7</w:t>
            </w:r>
          </w:p>
        </w:tc>
        <w:tc>
          <w:tcPr>
            <w:tcW w:w="495" w:type="dxa"/>
            <w:tcBorders>
              <w:top w:val="single" w:sz="4" w:space="0" w:color="auto"/>
              <w:left w:val="nil"/>
              <w:bottom w:val="single" w:sz="4" w:space="0" w:color="auto"/>
              <w:right w:val="single" w:sz="4" w:space="0" w:color="auto"/>
            </w:tcBorders>
            <w:shd w:val="clear" w:color="auto" w:fill="auto"/>
            <w:noWrap/>
            <w:vAlign w:val="bottom"/>
          </w:tcPr>
          <w:p w14:paraId="37B62C81" w14:textId="77777777" w:rsidR="000923BB" w:rsidRPr="007A4493" w:rsidRDefault="000923BB" w:rsidP="003A385F">
            <w:pPr>
              <w:jc w:val="right"/>
              <w:rPr>
                <w:rFonts w:cs="Arial"/>
                <w:sz w:val="18"/>
                <w:szCs w:val="18"/>
              </w:rPr>
            </w:pPr>
            <w:r w:rsidRPr="007A4493">
              <w:rPr>
                <w:rFonts w:cs="Arial"/>
                <w:sz w:val="18"/>
                <w:szCs w:val="18"/>
              </w:rPr>
              <w:t>1.2</w:t>
            </w:r>
          </w:p>
        </w:tc>
        <w:tc>
          <w:tcPr>
            <w:tcW w:w="550" w:type="dxa"/>
            <w:tcBorders>
              <w:top w:val="single" w:sz="4" w:space="0" w:color="auto"/>
              <w:left w:val="single" w:sz="4" w:space="0" w:color="auto"/>
              <w:bottom w:val="single" w:sz="4" w:space="0" w:color="auto"/>
              <w:right w:val="nil"/>
            </w:tcBorders>
            <w:shd w:val="clear" w:color="auto" w:fill="auto"/>
            <w:noWrap/>
            <w:vAlign w:val="bottom"/>
          </w:tcPr>
          <w:p w14:paraId="62D6101A" w14:textId="77777777" w:rsidR="000923BB" w:rsidRPr="007A4493" w:rsidRDefault="000923BB" w:rsidP="003A385F">
            <w:pPr>
              <w:jc w:val="right"/>
              <w:rPr>
                <w:rFonts w:cs="Arial"/>
                <w:sz w:val="18"/>
                <w:szCs w:val="18"/>
              </w:rPr>
            </w:pPr>
            <w:r w:rsidRPr="007A4493">
              <w:rPr>
                <w:rFonts w:cs="Arial"/>
                <w:sz w:val="18"/>
                <w:szCs w:val="18"/>
              </w:rPr>
              <w:t>441</w:t>
            </w:r>
          </w:p>
        </w:tc>
        <w:tc>
          <w:tcPr>
            <w:tcW w:w="755" w:type="dxa"/>
            <w:tcBorders>
              <w:top w:val="single" w:sz="4" w:space="0" w:color="auto"/>
              <w:left w:val="nil"/>
              <w:bottom w:val="single" w:sz="4" w:space="0" w:color="auto"/>
              <w:right w:val="nil"/>
            </w:tcBorders>
            <w:shd w:val="clear" w:color="auto" w:fill="auto"/>
            <w:noWrap/>
            <w:vAlign w:val="bottom"/>
          </w:tcPr>
          <w:p w14:paraId="49349AF9" w14:textId="77777777" w:rsidR="000923BB" w:rsidRPr="007A4493" w:rsidRDefault="000923BB" w:rsidP="003A385F">
            <w:pPr>
              <w:jc w:val="right"/>
              <w:rPr>
                <w:rFonts w:cs="Arial"/>
                <w:sz w:val="18"/>
                <w:szCs w:val="18"/>
              </w:rPr>
            </w:pPr>
            <w:r w:rsidRPr="007A4493">
              <w:rPr>
                <w:rFonts w:cs="Arial"/>
                <w:sz w:val="18"/>
                <w:szCs w:val="18"/>
              </w:rPr>
              <w:t>4.5</w:t>
            </w:r>
          </w:p>
        </w:tc>
        <w:tc>
          <w:tcPr>
            <w:tcW w:w="495" w:type="dxa"/>
            <w:tcBorders>
              <w:top w:val="single" w:sz="4" w:space="0" w:color="auto"/>
              <w:left w:val="nil"/>
              <w:bottom w:val="single" w:sz="4" w:space="0" w:color="auto"/>
              <w:right w:val="single" w:sz="4" w:space="0" w:color="auto"/>
            </w:tcBorders>
            <w:shd w:val="clear" w:color="auto" w:fill="auto"/>
            <w:noWrap/>
            <w:vAlign w:val="bottom"/>
          </w:tcPr>
          <w:p w14:paraId="022A2105" w14:textId="77777777" w:rsidR="000923BB" w:rsidRPr="007A4493" w:rsidRDefault="000923BB" w:rsidP="003A385F">
            <w:pPr>
              <w:jc w:val="right"/>
              <w:rPr>
                <w:rFonts w:cs="Arial"/>
                <w:sz w:val="18"/>
                <w:szCs w:val="18"/>
              </w:rPr>
            </w:pPr>
            <w:r w:rsidRPr="007A4493">
              <w:rPr>
                <w:rFonts w:cs="Arial"/>
                <w:sz w:val="18"/>
                <w:szCs w:val="18"/>
              </w:rPr>
              <w:t>1.4</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417923" w14:textId="77777777" w:rsidR="000923BB" w:rsidRPr="007A4493" w:rsidRDefault="000923BB" w:rsidP="003A385F">
            <w:pPr>
              <w:jc w:val="right"/>
              <w:rPr>
                <w:rFonts w:cs="Arial"/>
                <w:sz w:val="18"/>
                <w:szCs w:val="18"/>
              </w:rPr>
            </w:pPr>
            <w:r w:rsidRPr="007A4493">
              <w:rPr>
                <w:rFonts w:cs="Arial"/>
                <w:sz w:val="18"/>
                <w:szCs w:val="18"/>
              </w:rPr>
              <w:t>-0.2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D0EFA9" w14:textId="77777777" w:rsidR="000923BB" w:rsidRPr="007A4493" w:rsidRDefault="000923BB" w:rsidP="003A385F">
            <w:pPr>
              <w:jc w:val="right"/>
              <w:rPr>
                <w:rFonts w:cs="Arial"/>
                <w:sz w:val="18"/>
                <w:szCs w:val="18"/>
              </w:rPr>
            </w:pPr>
            <w:r w:rsidRPr="007A4493">
              <w:rPr>
                <w:rFonts w:cs="Arial"/>
                <w:sz w:val="18"/>
                <w:szCs w:val="18"/>
              </w:rPr>
              <w:t>-0.6</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86FCDC" w14:textId="77777777" w:rsidR="000923BB" w:rsidRPr="007A4493" w:rsidRDefault="000923BB" w:rsidP="003A385F">
            <w:pPr>
              <w:jc w:val="right"/>
              <w:rPr>
                <w:rFonts w:cs="Arial"/>
                <w:sz w:val="18"/>
                <w:szCs w:val="18"/>
              </w:rPr>
            </w:pPr>
            <w:r w:rsidRPr="007A4493">
              <w:rPr>
                <w:rFonts w:cs="Arial"/>
                <w:sz w:val="18"/>
                <w:szCs w:val="18"/>
              </w:rPr>
              <w:t>0.2</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9F754A" w14:textId="77777777" w:rsidR="000923BB" w:rsidRPr="007A4493" w:rsidRDefault="000923BB" w:rsidP="003A385F">
            <w:pPr>
              <w:jc w:val="right"/>
              <w:rPr>
                <w:rFonts w:cs="Arial"/>
                <w:sz w:val="18"/>
                <w:szCs w:val="18"/>
              </w:rPr>
            </w:pPr>
            <w:r w:rsidRPr="007A4493">
              <w:rPr>
                <w:rFonts w:cs="Arial"/>
                <w:sz w:val="18"/>
                <w:szCs w:val="18"/>
              </w:rPr>
              <w:t>0.321</w:t>
            </w:r>
          </w:p>
        </w:tc>
      </w:tr>
      <w:tr w:rsidR="000923BB" w14:paraId="79E6F929" w14:textId="77777777" w:rsidTr="003A385F">
        <w:trPr>
          <w:trHeight w:val="255"/>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0BE385" w14:textId="77777777" w:rsidR="000923BB" w:rsidRPr="007A4493" w:rsidRDefault="000923BB" w:rsidP="003A385F">
            <w:pPr>
              <w:rPr>
                <w:rFonts w:cs="Arial"/>
                <w:sz w:val="18"/>
                <w:szCs w:val="18"/>
              </w:rPr>
            </w:pPr>
            <w:r w:rsidRPr="007A4493">
              <w:rPr>
                <w:rFonts w:cs="Arial"/>
                <w:sz w:val="18"/>
                <w:szCs w:val="18"/>
              </w:rPr>
              <w:t>Holistic Initial Management Phase</w:t>
            </w:r>
          </w:p>
        </w:tc>
        <w:tc>
          <w:tcPr>
            <w:tcW w:w="600" w:type="dxa"/>
            <w:tcBorders>
              <w:top w:val="single" w:sz="4" w:space="0" w:color="auto"/>
              <w:left w:val="single" w:sz="4" w:space="0" w:color="auto"/>
              <w:bottom w:val="single" w:sz="4" w:space="0" w:color="auto"/>
              <w:right w:val="nil"/>
            </w:tcBorders>
            <w:shd w:val="clear" w:color="auto" w:fill="auto"/>
            <w:noWrap/>
            <w:vAlign w:val="bottom"/>
          </w:tcPr>
          <w:p w14:paraId="322431F8" w14:textId="77777777" w:rsidR="000923BB" w:rsidRPr="007A4493" w:rsidRDefault="000923BB" w:rsidP="003A385F">
            <w:pPr>
              <w:jc w:val="right"/>
              <w:rPr>
                <w:rFonts w:cs="Arial"/>
                <w:sz w:val="18"/>
                <w:szCs w:val="18"/>
              </w:rPr>
            </w:pPr>
            <w:r w:rsidRPr="007A4493">
              <w:rPr>
                <w:rFonts w:cs="Arial"/>
                <w:sz w:val="18"/>
                <w:szCs w:val="18"/>
              </w:rPr>
              <w:t>435</w:t>
            </w:r>
          </w:p>
        </w:tc>
        <w:tc>
          <w:tcPr>
            <w:tcW w:w="720" w:type="dxa"/>
            <w:tcBorders>
              <w:top w:val="single" w:sz="4" w:space="0" w:color="auto"/>
              <w:left w:val="nil"/>
              <w:bottom w:val="single" w:sz="4" w:space="0" w:color="auto"/>
              <w:right w:val="nil"/>
            </w:tcBorders>
            <w:shd w:val="clear" w:color="auto" w:fill="auto"/>
            <w:noWrap/>
            <w:vAlign w:val="bottom"/>
          </w:tcPr>
          <w:p w14:paraId="319DC9F7" w14:textId="77777777" w:rsidR="000923BB" w:rsidRPr="007A4493" w:rsidRDefault="000923BB" w:rsidP="003A385F">
            <w:pPr>
              <w:jc w:val="right"/>
              <w:rPr>
                <w:rFonts w:cs="Arial"/>
                <w:sz w:val="18"/>
                <w:szCs w:val="18"/>
              </w:rPr>
            </w:pPr>
            <w:r w:rsidRPr="007A4493">
              <w:rPr>
                <w:rFonts w:cs="Arial"/>
                <w:sz w:val="18"/>
                <w:szCs w:val="18"/>
              </w:rPr>
              <w:t>4.8</w:t>
            </w:r>
          </w:p>
        </w:tc>
        <w:tc>
          <w:tcPr>
            <w:tcW w:w="495" w:type="dxa"/>
            <w:tcBorders>
              <w:top w:val="single" w:sz="4" w:space="0" w:color="auto"/>
              <w:left w:val="nil"/>
              <w:bottom w:val="single" w:sz="4" w:space="0" w:color="auto"/>
              <w:right w:val="single" w:sz="4" w:space="0" w:color="auto"/>
            </w:tcBorders>
            <w:shd w:val="clear" w:color="auto" w:fill="auto"/>
            <w:noWrap/>
            <w:vAlign w:val="bottom"/>
          </w:tcPr>
          <w:p w14:paraId="0D59DE87" w14:textId="77777777" w:rsidR="000923BB" w:rsidRPr="007A4493" w:rsidRDefault="000923BB" w:rsidP="003A385F">
            <w:pPr>
              <w:jc w:val="right"/>
              <w:rPr>
                <w:rFonts w:cs="Arial"/>
                <w:sz w:val="18"/>
                <w:szCs w:val="18"/>
              </w:rPr>
            </w:pPr>
            <w:r w:rsidRPr="007A4493">
              <w:rPr>
                <w:rFonts w:cs="Arial"/>
                <w:sz w:val="18"/>
                <w:szCs w:val="18"/>
              </w:rPr>
              <w:t>1.2</w:t>
            </w:r>
          </w:p>
        </w:tc>
        <w:tc>
          <w:tcPr>
            <w:tcW w:w="550" w:type="dxa"/>
            <w:tcBorders>
              <w:top w:val="single" w:sz="4" w:space="0" w:color="auto"/>
              <w:left w:val="single" w:sz="4" w:space="0" w:color="auto"/>
              <w:bottom w:val="single" w:sz="4" w:space="0" w:color="auto"/>
              <w:right w:val="nil"/>
            </w:tcBorders>
            <w:shd w:val="clear" w:color="auto" w:fill="auto"/>
            <w:noWrap/>
            <w:vAlign w:val="bottom"/>
          </w:tcPr>
          <w:p w14:paraId="4BBA93B2" w14:textId="77777777" w:rsidR="000923BB" w:rsidRPr="007A4493" w:rsidRDefault="000923BB" w:rsidP="003A385F">
            <w:pPr>
              <w:jc w:val="right"/>
              <w:rPr>
                <w:rFonts w:cs="Arial"/>
                <w:sz w:val="18"/>
                <w:szCs w:val="18"/>
              </w:rPr>
            </w:pPr>
            <w:r w:rsidRPr="007A4493">
              <w:rPr>
                <w:rFonts w:cs="Arial"/>
                <w:sz w:val="18"/>
                <w:szCs w:val="18"/>
              </w:rPr>
              <w:t>438</w:t>
            </w:r>
          </w:p>
        </w:tc>
        <w:tc>
          <w:tcPr>
            <w:tcW w:w="755" w:type="dxa"/>
            <w:tcBorders>
              <w:top w:val="single" w:sz="4" w:space="0" w:color="auto"/>
              <w:left w:val="nil"/>
              <w:bottom w:val="single" w:sz="4" w:space="0" w:color="auto"/>
              <w:right w:val="nil"/>
            </w:tcBorders>
            <w:shd w:val="clear" w:color="auto" w:fill="auto"/>
            <w:noWrap/>
            <w:vAlign w:val="bottom"/>
          </w:tcPr>
          <w:p w14:paraId="4FC0E569" w14:textId="77777777" w:rsidR="000923BB" w:rsidRPr="007A4493" w:rsidRDefault="000923BB" w:rsidP="003A385F">
            <w:pPr>
              <w:jc w:val="right"/>
              <w:rPr>
                <w:rFonts w:cs="Arial"/>
                <w:sz w:val="18"/>
                <w:szCs w:val="18"/>
              </w:rPr>
            </w:pPr>
            <w:r w:rsidRPr="007A4493">
              <w:rPr>
                <w:rFonts w:cs="Arial"/>
                <w:sz w:val="18"/>
                <w:szCs w:val="18"/>
              </w:rPr>
              <w:t>4.7</w:t>
            </w:r>
          </w:p>
        </w:tc>
        <w:tc>
          <w:tcPr>
            <w:tcW w:w="495" w:type="dxa"/>
            <w:tcBorders>
              <w:top w:val="single" w:sz="4" w:space="0" w:color="auto"/>
              <w:left w:val="nil"/>
              <w:bottom w:val="single" w:sz="4" w:space="0" w:color="auto"/>
              <w:right w:val="single" w:sz="4" w:space="0" w:color="auto"/>
            </w:tcBorders>
            <w:shd w:val="clear" w:color="auto" w:fill="auto"/>
            <w:noWrap/>
            <w:vAlign w:val="bottom"/>
          </w:tcPr>
          <w:p w14:paraId="362DCD81" w14:textId="77777777" w:rsidR="000923BB" w:rsidRPr="007A4493" w:rsidRDefault="000923BB" w:rsidP="003A385F">
            <w:pPr>
              <w:jc w:val="right"/>
              <w:rPr>
                <w:rFonts w:cs="Arial"/>
                <w:sz w:val="18"/>
                <w:szCs w:val="18"/>
              </w:rPr>
            </w:pPr>
            <w:r w:rsidRPr="007A4493">
              <w:rPr>
                <w:rFonts w:cs="Arial"/>
                <w:sz w:val="18"/>
                <w:szCs w:val="18"/>
              </w:rPr>
              <w:t>1.2</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3197F8" w14:textId="77777777" w:rsidR="000923BB" w:rsidRPr="007A4493" w:rsidRDefault="000923BB" w:rsidP="003A385F">
            <w:pPr>
              <w:jc w:val="right"/>
              <w:rPr>
                <w:rFonts w:cs="Arial"/>
                <w:sz w:val="18"/>
                <w:szCs w:val="18"/>
              </w:rPr>
            </w:pPr>
            <w:r w:rsidRPr="007A4493">
              <w:rPr>
                <w:rFonts w:cs="Arial"/>
                <w:sz w:val="18"/>
                <w:szCs w:val="18"/>
              </w:rPr>
              <w:t>-0.1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9FD13A" w14:textId="77777777" w:rsidR="000923BB" w:rsidRPr="007A4493" w:rsidRDefault="000923BB" w:rsidP="003A385F">
            <w:pPr>
              <w:jc w:val="right"/>
              <w:rPr>
                <w:rFonts w:cs="Arial"/>
                <w:sz w:val="18"/>
                <w:szCs w:val="18"/>
              </w:rPr>
            </w:pPr>
            <w:r w:rsidRPr="007A4493">
              <w:rPr>
                <w:rFonts w:cs="Arial"/>
                <w:sz w:val="18"/>
                <w:szCs w:val="18"/>
              </w:rPr>
              <w:t>-0.4</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2A402A" w14:textId="77777777" w:rsidR="000923BB" w:rsidRPr="007A4493" w:rsidRDefault="000923BB" w:rsidP="003A385F">
            <w:pPr>
              <w:jc w:val="right"/>
              <w:rPr>
                <w:rFonts w:cs="Arial"/>
                <w:sz w:val="18"/>
                <w:szCs w:val="18"/>
              </w:rPr>
            </w:pPr>
            <w:r w:rsidRPr="007A4493">
              <w:rPr>
                <w:rFonts w:cs="Arial"/>
                <w:sz w:val="18"/>
                <w:szCs w:val="18"/>
              </w:rPr>
              <w:t>0.2</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EC578A" w14:textId="77777777" w:rsidR="000923BB" w:rsidRPr="007A4493" w:rsidRDefault="000923BB" w:rsidP="003A385F">
            <w:pPr>
              <w:jc w:val="right"/>
              <w:rPr>
                <w:rFonts w:cs="Arial"/>
                <w:sz w:val="18"/>
                <w:szCs w:val="18"/>
              </w:rPr>
            </w:pPr>
            <w:r w:rsidRPr="007A4493">
              <w:rPr>
                <w:rFonts w:cs="Arial"/>
                <w:sz w:val="18"/>
                <w:szCs w:val="18"/>
              </w:rPr>
              <w:t>0.649</w:t>
            </w:r>
          </w:p>
        </w:tc>
      </w:tr>
      <w:tr w:rsidR="000923BB" w14:paraId="620684D7" w14:textId="77777777" w:rsidTr="003A385F">
        <w:trPr>
          <w:trHeight w:val="255"/>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F1844B" w14:textId="77777777" w:rsidR="000923BB" w:rsidRPr="007A4493" w:rsidRDefault="000923BB" w:rsidP="003A385F">
            <w:pPr>
              <w:rPr>
                <w:rFonts w:cs="Arial"/>
                <w:sz w:val="18"/>
                <w:szCs w:val="18"/>
              </w:rPr>
            </w:pPr>
            <w:r w:rsidRPr="007A4493">
              <w:rPr>
                <w:rFonts w:cs="Arial"/>
                <w:sz w:val="18"/>
                <w:szCs w:val="18"/>
              </w:rPr>
              <w:t>Holistic Pre-discharge phase</w:t>
            </w:r>
          </w:p>
        </w:tc>
        <w:tc>
          <w:tcPr>
            <w:tcW w:w="600" w:type="dxa"/>
            <w:tcBorders>
              <w:top w:val="single" w:sz="4" w:space="0" w:color="auto"/>
              <w:left w:val="single" w:sz="4" w:space="0" w:color="auto"/>
              <w:bottom w:val="single" w:sz="4" w:space="0" w:color="auto"/>
              <w:right w:val="nil"/>
            </w:tcBorders>
            <w:shd w:val="clear" w:color="auto" w:fill="auto"/>
            <w:noWrap/>
            <w:vAlign w:val="bottom"/>
          </w:tcPr>
          <w:p w14:paraId="486D0863" w14:textId="77777777" w:rsidR="000923BB" w:rsidRPr="007A4493" w:rsidRDefault="000923BB" w:rsidP="003A385F">
            <w:pPr>
              <w:jc w:val="right"/>
              <w:rPr>
                <w:rFonts w:cs="Arial"/>
                <w:sz w:val="18"/>
                <w:szCs w:val="18"/>
              </w:rPr>
            </w:pPr>
            <w:r w:rsidRPr="007A4493">
              <w:rPr>
                <w:rFonts w:cs="Arial"/>
                <w:sz w:val="18"/>
                <w:szCs w:val="18"/>
              </w:rPr>
              <w:t>423</w:t>
            </w:r>
          </w:p>
        </w:tc>
        <w:tc>
          <w:tcPr>
            <w:tcW w:w="720" w:type="dxa"/>
            <w:tcBorders>
              <w:top w:val="single" w:sz="4" w:space="0" w:color="auto"/>
              <w:left w:val="nil"/>
              <w:bottom w:val="single" w:sz="4" w:space="0" w:color="auto"/>
              <w:right w:val="nil"/>
            </w:tcBorders>
            <w:shd w:val="clear" w:color="auto" w:fill="auto"/>
            <w:noWrap/>
            <w:vAlign w:val="bottom"/>
          </w:tcPr>
          <w:p w14:paraId="19E7A153" w14:textId="77777777" w:rsidR="000923BB" w:rsidRPr="007A4493" w:rsidRDefault="000923BB" w:rsidP="003A385F">
            <w:pPr>
              <w:jc w:val="right"/>
              <w:rPr>
                <w:rFonts w:cs="Arial"/>
                <w:sz w:val="18"/>
                <w:szCs w:val="18"/>
              </w:rPr>
            </w:pPr>
            <w:r w:rsidRPr="007A4493">
              <w:rPr>
                <w:rFonts w:cs="Arial"/>
                <w:sz w:val="18"/>
                <w:szCs w:val="18"/>
              </w:rPr>
              <w:t>4.8</w:t>
            </w:r>
          </w:p>
        </w:tc>
        <w:tc>
          <w:tcPr>
            <w:tcW w:w="495" w:type="dxa"/>
            <w:tcBorders>
              <w:top w:val="single" w:sz="4" w:space="0" w:color="auto"/>
              <w:left w:val="nil"/>
              <w:bottom w:val="single" w:sz="4" w:space="0" w:color="auto"/>
              <w:right w:val="single" w:sz="4" w:space="0" w:color="auto"/>
            </w:tcBorders>
            <w:shd w:val="clear" w:color="auto" w:fill="auto"/>
            <w:noWrap/>
            <w:vAlign w:val="bottom"/>
          </w:tcPr>
          <w:p w14:paraId="66249B15" w14:textId="77777777" w:rsidR="000923BB" w:rsidRPr="007A4493" w:rsidRDefault="000923BB" w:rsidP="003A385F">
            <w:pPr>
              <w:jc w:val="right"/>
              <w:rPr>
                <w:rFonts w:cs="Arial"/>
                <w:sz w:val="18"/>
                <w:szCs w:val="18"/>
              </w:rPr>
            </w:pPr>
            <w:r w:rsidRPr="007A4493">
              <w:rPr>
                <w:rFonts w:cs="Arial"/>
                <w:sz w:val="18"/>
                <w:szCs w:val="18"/>
              </w:rPr>
              <w:t>1.1</w:t>
            </w:r>
          </w:p>
        </w:tc>
        <w:tc>
          <w:tcPr>
            <w:tcW w:w="550" w:type="dxa"/>
            <w:tcBorders>
              <w:top w:val="single" w:sz="4" w:space="0" w:color="auto"/>
              <w:left w:val="single" w:sz="4" w:space="0" w:color="auto"/>
              <w:bottom w:val="single" w:sz="4" w:space="0" w:color="auto"/>
              <w:right w:val="nil"/>
            </w:tcBorders>
            <w:shd w:val="clear" w:color="auto" w:fill="auto"/>
            <w:noWrap/>
            <w:vAlign w:val="bottom"/>
          </w:tcPr>
          <w:p w14:paraId="255E5BBB" w14:textId="77777777" w:rsidR="000923BB" w:rsidRPr="007A4493" w:rsidRDefault="000923BB" w:rsidP="003A385F">
            <w:pPr>
              <w:jc w:val="right"/>
              <w:rPr>
                <w:rFonts w:cs="Arial"/>
                <w:sz w:val="18"/>
                <w:szCs w:val="18"/>
              </w:rPr>
            </w:pPr>
            <w:r w:rsidRPr="007A4493">
              <w:rPr>
                <w:rFonts w:cs="Arial"/>
                <w:sz w:val="18"/>
                <w:szCs w:val="18"/>
              </w:rPr>
              <w:t>423</w:t>
            </w:r>
          </w:p>
        </w:tc>
        <w:tc>
          <w:tcPr>
            <w:tcW w:w="755" w:type="dxa"/>
            <w:tcBorders>
              <w:top w:val="single" w:sz="4" w:space="0" w:color="auto"/>
              <w:left w:val="nil"/>
              <w:bottom w:val="single" w:sz="4" w:space="0" w:color="auto"/>
              <w:right w:val="nil"/>
            </w:tcBorders>
            <w:shd w:val="clear" w:color="auto" w:fill="auto"/>
            <w:noWrap/>
            <w:vAlign w:val="bottom"/>
          </w:tcPr>
          <w:p w14:paraId="2FF1EC60" w14:textId="77777777" w:rsidR="000923BB" w:rsidRPr="007A4493" w:rsidRDefault="000923BB" w:rsidP="003A385F">
            <w:pPr>
              <w:jc w:val="right"/>
              <w:rPr>
                <w:rFonts w:cs="Arial"/>
                <w:sz w:val="18"/>
                <w:szCs w:val="18"/>
              </w:rPr>
            </w:pPr>
            <w:r w:rsidRPr="007A4493">
              <w:rPr>
                <w:rFonts w:cs="Arial"/>
                <w:sz w:val="18"/>
                <w:szCs w:val="18"/>
              </w:rPr>
              <w:t>4.7</w:t>
            </w:r>
          </w:p>
        </w:tc>
        <w:tc>
          <w:tcPr>
            <w:tcW w:w="495" w:type="dxa"/>
            <w:tcBorders>
              <w:top w:val="single" w:sz="4" w:space="0" w:color="auto"/>
              <w:left w:val="nil"/>
              <w:bottom w:val="single" w:sz="4" w:space="0" w:color="auto"/>
              <w:right w:val="single" w:sz="4" w:space="0" w:color="auto"/>
            </w:tcBorders>
            <w:shd w:val="clear" w:color="auto" w:fill="auto"/>
            <w:noWrap/>
            <w:vAlign w:val="bottom"/>
          </w:tcPr>
          <w:p w14:paraId="6F05F7BD" w14:textId="77777777" w:rsidR="000923BB" w:rsidRPr="007A4493" w:rsidRDefault="000923BB" w:rsidP="003A385F">
            <w:pPr>
              <w:jc w:val="right"/>
              <w:rPr>
                <w:rFonts w:cs="Arial"/>
                <w:sz w:val="18"/>
                <w:szCs w:val="18"/>
              </w:rPr>
            </w:pPr>
            <w:r w:rsidRPr="007A4493">
              <w:rPr>
                <w:rFonts w:cs="Arial"/>
                <w:sz w:val="18"/>
                <w:szCs w:val="18"/>
              </w:rPr>
              <w:t>1.2</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DF7D5" w14:textId="77777777" w:rsidR="000923BB" w:rsidRPr="007A4493" w:rsidRDefault="000923BB" w:rsidP="003A385F">
            <w:pPr>
              <w:jc w:val="right"/>
              <w:rPr>
                <w:rFonts w:cs="Arial"/>
                <w:sz w:val="18"/>
                <w:szCs w:val="18"/>
              </w:rPr>
            </w:pPr>
            <w:r w:rsidRPr="007A4493">
              <w:rPr>
                <w:rFonts w:cs="Arial"/>
                <w:sz w:val="18"/>
                <w:szCs w:val="18"/>
              </w:rPr>
              <w:t>-0.1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198F0D" w14:textId="77777777" w:rsidR="000923BB" w:rsidRPr="007A4493" w:rsidRDefault="000923BB" w:rsidP="003A385F">
            <w:pPr>
              <w:jc w:val="right"/>
              <w:rPr>
                <w:rFonts w:cs="Arial"/>
                <w:sz w:val="18"/>
                <w:szCs w:val="18"/>
              </w:rPr>
            </w:pPr>
            <w:r w:rsidRPr="007A4493">
              <w:rPr>
                <w:rFonts w:cs="Arial"/>
                <w:sz w:val="18"/>
                <w:szCs w:val="18"/>
              </w:rPr>
              <w:t>-0.4</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91DC69" w14:textId="77777777" w:rsidR="000923BB" w:rsidRPr="007A4493" w:rsidRDefault="000923BB" w:rsidP="003A385F">
            <w:pPr>
              <w:jc w:val="right"/>
              <w:rPr>
                <w:rFonts w:cs="Arial"/>
                <w:sz w:val="18"/>
                <w:szCs w:val="18"/>
              </w:rPr>
            </w:pPr>
            <w:r w:rsidRPr="007A4493">
              <w:rPr>
                <w:rFonts w:cs="Arial"/>
                <w:sz w:val="18"/>
                <w:szCs w:val="18"/>
              </w:rPr>
              <w:t>0.2</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C17731" w14:textId="77777777" w:rsidR="000923BB" w:rsidRPr="007A4493" w:rsidRDefault="000923BB" w:rsidP="003A385F">
            <w:pPr>
              <w:jc w:val="right"/>
              <w:rPr>
                <w:rFonts w:cs="Arial"/>
                <w:sz w:val="18"/>
                <w:szCs w:val="18"/>
              </w:rPr>
            </w:pPr>
            <w:r w:rsidRPr="007A4493">
              <w:rPr>
                <w:rFonts w:cs="Arial"/>
                <w:sz w:val="18"/>
                <w:szCs w:val="18"/>
              </w:rPr>
              <w:t>0.542</w:t>
            </w:r>
          </w:p>
        </w:tc>
      </w:tr>
      <w:tr w:rsidR="000923BB" w14:paraId="41C43F5E" w14:textId="77777777" w:rsidTr="003A385F">
        <w:trPr>
          <w:trHeight w:val="255"/>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23177B" w14:textId="77777777" w:rsidR="000923BB" w:rsidRPr="007A4493" w:rsidRDefault="000923BB" w:rsidP="003A385F">
            <w:pPr>
              <w:rPr>
                <w:rFonts w:cs="Arial"/>
                <w:sz w:val="18"/>
                <w:szCs w:val="18"/>
              </w:rPr>
            </w:pPr>
            <w:r w:rsidRPr="007A4493">
              <w:rPr>
                <w:rFonts w:cs="Arial"/>
                <w:sz w:val="18"/>
                <w:szCs w:val="18"/>
              </w:rPr>
              <w:t>Holistic Overall quality of care rating</w:t>
            </w:r>
          </w:p>
        </w:tc>
        <w:tc>
          <w:tcPr>
            <w:tcW w:w="600" w:type="dxa"/>
            <w:tcBorders>
              <w:top w:val="single" w:sz="4" w:space="0" w:color="auto"/>
              <w:left w:val="single" w:sz="4" w:space="0" w:color="auto"/>
              <w:bottom w:val="single" w:sz="4" w:space="0" w:color="auto"/>
              <w:right w:val="nil"/>
            </w:tcBorders>
            <w:shd w:val="clear" w:color="auto" w:fill="auto"/>
            <w:noWrap/>
            <w:vAlign w:val="bottom"/>
          </w:tcPr>
          <w:p w14:paraId="70488852" w14:textId="77777777" w:rsidR="000923BB" w:rsidRPr="007A4493" w:rsidRDefault="000923BB" w:rsidP="003A385F">
            <w:pPr>
              <w:jc w:val="right"/>
              <w:rPr>
                <w:rFonts w:cs="Arial"/>
                <w:sz w:val="18"/>
                <w:szCs w:val="18"/>
              </w:rPr>
            </w:pPr>
            <w:r w:rsidRPr="007A4493">
              <w:rPr>
                <w:rFonts w:cs="Arial"/>
                <w:sz w:val="18"/>
                <w:szCs w:val="18"/>
              </w:rPr>
              <w:t>428</w:t>
            </w:r>
          </w:p>
        </w:tc>
        <w:tc>
          <w:tcPr>
            <w:tcW w:w="720" w:type="dxa"/>
            <w:tcBorders>
              <w:top w:val="single" w:sz="4" w:space="0" w:color="auto"/>
              <w:left w:val="nil"/>
              <w:bottom w:val="single" w:sz="4" w:space="0" w:color="auto"/>
              <w:right w:val="nil"/>
            </w:tcBorders>
            <w:shd w:val="clear" w:color="auto" w:fill="auto"/>
            <w:noWrap/>
            <w:vAlign w:val="bottom"/>
          </w:tcPr>
          <w:p w14:paraId="29A2AC4C" w14:textId="77777777" w:rsidR="000923BB" w:rsidRPr="007A4493" w:rsidRDefault="000923BB" w:rsidP="003A385F">
            <w:pPr>
              <w:jc w:val="right"/>
              <w:rPr>
                <w:rFonts w:cs="Arial"/>
                <w:sz w:val="18"/>
                <w:szCs w:val="18"/>
              </w:rPr>
            </w:pPr>
            <w:r w:rsidRPr="007A4493">
              <w:rPr>
                <w:rFonts w:cs="Arial"/>
                <w:sz w:val="18"/>
                <w:szCs w:val="18"/>
              </w:rPr>
              <w:t>4.5</w:t>
            </w:r>
          </w:p>
        </w:tc>
        <w:tc>
          <w:tcPr>
            <w:tcW w:w="495" w:type="dxa"/>
            <w:tcBorders>
              <w:top w:val="single" w:sz="4" w:space="0" w:color="auto"/>
              <w:left w:val="nil"/>
              <w:bottom w:val="single" w:sz="4" w:space="0" w:color="auto"/>
              <w:right w:val="single" w:sz="4" w:space="0" w:color="auto"/>
            </w:tcBorders>
            <w:shd w:val="clear" w:color="auto" w:fill="auto"/>
            <w:noWrap/>
            <w:vAlign w:val="bottom"/>
          </w:tcPr>
          <w:p w14:paraId="60B8B8D9" w14:textId="77777777" w:rsidR="000923BB" w:rsidRPr="007A4493" w:rsidRDefault="000923BB" w:rsidP="003A385F">
            <w:pPr>
              <w:jc w:val="right"/>
              <w:rPr>
                <w:rFonts w:cs="Arial"/>
                <w:sz w:val="18"/>
                <w:szCs w:val="18"/>
              </w:rPr>
            </w:pPr>
            <w:r w:rsidRPr="007A4493">
              <w:rPr>
                <w:rFonts w:cs="Arial"/>
                <w:sz w:val="18"/>
                <w:szCs w:val="18"/>
              </w:rPr>
              <w:t>1.3</w:t>
            </w:r>
          </w:p>
        </w:tc>
        <w:tc>
          <w:tcPr>
            <w:tcW w:w="550" w:type="dxa"/>
            <w:tcBorders>
              <w:top w:val="single" w:sz="4" w:space="0" w:color="auto"/>
              <w:left w:val="single" w:sz="4" w:space="0" w:color="auto"/>
              <w:bottom w:val="single" w:sz="4" w:space="0" w:color="auto"/>
              <w:right w:val="nil"/>
            </w:tcBorders>
            <w:shd w:val="clear" w:color="auto" w:fill="auto"/>
            <w:noWrap/>
            <w:vAlign w:val="bottom"/>
          </w:tcPr>
          <w:p w14:paraId="2998437C" w14:textId="77777777" w:rsidR="000923BB" w:rsidRPr="007A4493" w:rsidRDefault="000923BB" w:rsidP="003A385F">
            <w:pPr>
              <w:jc w:val="right"/>
              <w:rPr>
                <w:rFonts w:cs="Arial"/>
                <w:sz w:val="18"/>
                <w:szCs w:val="18"/>
              </w:rPr>
            </w:pPr>
            <w:r w:rsidRPr="007A4493">
              <w:rPr>
                <w:rFonts w:cs="Arial"/>
                <w:sz w:val="18"/>
                <w:szCs w:val="18"/>
              </w:rPr>
              <w:t>444</w:t>
            </w:r>
          </w:p>
        </w:tc>
        <w:tc>
          <w:tcPr>
            <w:tcW w:w="755" w:type="dxa"/>
            <w:tcBorders>
              <w:top w:val="single" w:sz="4" w:space="0" w:color="auto"/>
              <w:left w:val="nil"/>
              <w:bottom w:val="single" w:sz="4" w:space="0" w:color="auto"/>
              <w:right w:val="nil"/>
            </w:tcBorders>
            <w:shd w:val="clear" w:color="auto" w:fill="auto"/>
            <w:noWrap/>
            <w:vAlign w:val="bottom"/>
          </w:tcPr>
          <w:p w14:paraId="5161C00A" w14:textId="77777777" w:rsidR="000923BB" w:rsidRPr="007A4493" w:rsidRDefault="000923BB" w:rsidP="003A385F">
            <w:pPr>
              <w:jc w:val="right"/>
              <w:rPr>
                <w:rFonts w:cs="Arial"/>
                <w:sz w:val="18"/>
                <w:szCs w:val="18"/>
              </w:rPr>
            </w:pPr>
            <w:r w:rsidRPr="007A4493">
              <w:rPr>
                <w:rFonts w:cs="Arial"/>
                <w:sz w:val="18"/>
                <w:szCs w:val="18"/>
              </w:rPr>
              <w:t>4.3</w:t>
            </w:r>
          </w:p>
        </w:tc>
        <w:tc>
          <w:tcPr>
            <w:tcW w:w="495" w:type="dxa"/>
            <w:tcBorders>
              <w:top w:val="single" w:sz="4" w:space="0" w:color="auto"/>
              <w:left w:val="nil"/>
              <w:bottom w:val="single" w:sz="4" w:space="0" w:color="auto"/>
              <w:right w:val="single" w:sz="4" w:space="0" w:color="auto"/>
            </w:tcBorders>
            <w:shd w:val="clear" w:color="auto" w:fill="auto"/>
            <w:noWrap/>
            <w:vAlign w:val="bottom"/>
          </w:tcPr>
          <w:p w14:paraId="2E11313A" w14:textId="77777777" w:rsidR="000923BB" w:rsidRPr="007A4493" w:rsidRDefault="000923BB" w:rsidP="003A385F">
            <w:pPr>
              <w:jc w:val="right"/>
              <w:rPr>
                <w:rFonts w:cs="Arial"/>
                <w:sz w:val="18"/>
                <w:szCs w:val="18"/>
              </w:rPr>
            </w:pPr>
            <w:r w:rsidRPr="007A4493">
              <w:rPr>
                <w:rFonts w:cs="Arial"/>
                <w:sz w:val="18"/>
                <w:szCs w:val="18"/>
              </w:rPr>
              <w:t>1.3</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9A3FA1" w14:textId="77777777" w:rsidR="000923BB" w:rsidRPr="007A4493" w:rsidRDefault="000923BB" w:rsidP="003A385F">
            <w:pPr>
              <w:jc w:val="right"/>
              <w:rPr>
                <w:rFonts w:cs="Arial"/>
                <w:sz w:val="18"/>
                <w:szCs w:val="18"/>
              </w:rPr>
            </w:pPr>
            <w:r w:rsidRPr="007A4493">
              <w:rPr>
                <w:rFonts w:cs="Arial"/>
                <w:sz w:val="18"/>
                <w:szCs w:val="18"/>
              </w:rPr>
              <w:t>-0.2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880139" w14:textId="77777777" w:rsidR="000923BB" w:rsidRPr="007A4493" w:rsidRDefault="000923BB" w:rsidP="003A385F">
            <w:pPr>
              <w:jc w:val="right"/>
              <w:rPr>
                <w:rFonts w:cs="Arial"/>
                <w:sz w:val="18"/>
                <w:szCs w:val="18"/>
              </w:rPr>
            </w:pPr>
            <w:r w:rsidRPr="007A4493">
              <w:rPr>
                <w:rFonts w:cs="Arial"/>
                <w:sz w:val="18"/>
                <w:szCs w:val="18"/>
              </w:rPr>
              <w:t>-0.6</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A3933D" w14:textId="77777777" w:rsidR="000923BB" w:rsidRPr="007A4493" w:rsidRDefault="000923BB" w:rsidP="003A385F">
            <w:pPr>
              <w:jc w:val="right"/>
              <w:rPr>
                <w:rFonts w:cs="Arial"/>
                <w:sz w:val="18"/>
                <w:szCs w:val="18"/>
              </w:rPr>
            </w:pPr>
            <w:r w:rsidRPr="007A4493">
              <w:rPr>
                <w:rFonts w:cs="Arial"/>
                <w:sz w:val="18"/>
                <w:szCs w:val="18"/>
              </w:rPr>
              <w:t>0.3</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547975" w14:textId="77777777" w:rsidR="000923BB" w:rsidRPr="007A4493" w:rsidRDefault="000923BB" w:rsidP="003A385F">
            <w:pPr>
              <w:jc w:val="right"/>
              <w:rPr>
                <w:rFonts w:cs="Arial"/>
                <w:sz w:val="18"/>
                <w:szCs w:val="18"/>
              </w:rPr>
            </w:pPr>
            <w:r w:rsidRPr="007A4493">
              <w:rPr>
                <w:rFonts w:cs="Arial"/>
                <w:sz w:val="18"/>
                <w:szCs w:val="18"/>
              </w:rPr>
              <w:t>0.419</w:t>
            </w:r>
          </w:p>
        </w:tc>
      </w:tr>
    </w:tbl>
    <w:p w14:paraId="20BFC607" w14:textId="77777777" w:rsidR="000923BB" w:rsidRDefault="000923BB" w:rsidP="000923BB">
      <w:pPr>
        <w:rPr>
          <w:rFonts w:cs="Arial"/>
          <w:sz w:val="16"/>
          <w:szCs w:val="16"/>
        </w:rPr>
      </w:pPr>
      <w:r w:rsidRPr="00846B77">
        <w:rPr>
          <w:rFonts w:cs="Arial"/>
          <w:sz w:val="16"/>
          <w:szCs w:val="16"/>
        </w:rPr>
        <w:t xml:space="preserve">Mean difference is the mean score for case notes of patients in lower mortality group hospitals minus mean score </w:t>
      </w:r>
    </w:p>
    <w:p w14:paraId="781CBBF4" w14:textId="77777777" w:rsidR="000923BB" w:rsidRPr="00846B77" w:rsidRDefault="000923BB" w:rsidP="000923BB">
      <w:pPr>
        <w:rPr>
          <w:rFonts w:cs="Arial"/>
          <w:sz w:val="16"/>
          <w:szCs w:val="16"/>
        </w:rPr>
      </w:pPr>
      <w:r w:rsidRPr="00846B77">
        <w:rPr>
          <w:rFonts w:cs="Arial"/>
          <w:sz w:val="16"/>
          <w:szCs w:val="16"/>
        </w:rPr>
        <w:t>for the higher mortality group.</w:t>
      </w:r>
    </w:p>
    <w:p w14:paraId="01636F70" w14:textId="77777777" w:rsidR="000923BB" w:rsidRPr="00846B77" w:rsidRDefault="000923BB" w:rsidP="000923BB">
      <w:pPr>
        <w:rPr>
          <w:rFonts w:cs="Arial"/>
          <w:sz w:val="16"/>
          <w:szCs w:val="16"/>
        </w:rPr>
      </w:pPr>
      <w:r w:rsidRPr="00846B77">
        <w:rPr>
          <w:rFonts w:cs="Arial"/>
          <w:sz w:val="16"/>
          <w:szCs w:val="16"/>
        </w:rPr>
        <w:t>The P-values and confidence intervals were adjusted for clustering by reviewer.</w:t>
      </w:r>
    </w:p>
    <w:p w14:paraId="5EB6CF76" w14:textId="77777777" w:rsidR="000923BB" w:rsidRDefault="000923BB" w:rsidP="000923BB"/>
    <w:p w14:paraId="2641CF6A" w14:textId="77777777" w:rsidR="000923BB" w:rsidRDefault="000923BB" w:rsidP="000923BB"/>
    <w:p w14:paraId="45BEE9E1" w14:textId="77777777" w:rsidR="00DD0924" w:rsidRDefault="00DD0924" w:rsidP="000923BB">
      <w:pPr>
        <w:rPr>
          <w:rFonts w:cs="Arial"/>
          <w:b/>
          <w:sz w:val="20"/>
          <w:szCs w:val="20"/>
        </w:rPr>
      </w:pPr>
    </w:p>
    <w:p w14:paraId="481F2472" w14:textId="77777777" w:rsidR="00DD0924" w:rsidRDefault="00DD0924" w:rsidP="000923BB">
      <w:pPr>
        <w:rPr>
          <w:rFonts w:cs="Arial"/>
          <w:b/>
          <w:sz w:val="20"/>
          <w:szCs w:val="20"/>
        </w:rPr>
      </w:pPr>
    </w:p>
    <w:p w14:paraId="6DC5FCBB" w14:textId="77777777" w:rsidR="00DD0924" w:rsidRDefault="00DD0924" w:rsidP="000923BB">
      <w:pPr>
        <w:rPr>
          <w:rFonts w:cs="Arial"/>
          <w:b/>
          <w:sz w:val="20"/>
          <w:szCs w:val="20"/>
        </w:rPr>
      </w:pPr>
    </w:p>
    <w:p w14:paraId="5F7D9189" w14:textId="77777777" w:rsidR="00DD0924" w:rsidRDefault="00DD0924" w:rsidP="000923BB">
      <w:pPr>
        <w:rPr>
          <w:rFonts w:cs="Arial"/>
          <w:b/>
          <w:sz w:val="20"/>
          <w:szCs w:val="20"/>
        </w:rPr>
      </w:pPr>
    </w:p>
    <w:p w14:paraId="6F451B7E" w14:textId="77777777" w:rsidR="00DD0924" w:rsidRDefault="00DD0924" w:rsidP="000923BB">
      <w:pPr>
        <w:rPr>
          <w:rFonts w:cs="Arial"/>
          <w:b/>
          <w:sz w:val="20"/>
          <w:szCs w:val="20"/>
        </w:rPr>
      </w:pPr>
    </w:p>
    <w:p w14:paraId="493CB219" w14:textId="77777777" w:rsidR="00DD0924" w:rsidRDefault="00DD0924" w:rsidP="000923BB">
      <w:pPr>
        <w:rPr>
          <w:rFonts w:cs="Arial"/>
          <w:b/>
          <w:sz w:val="20"/>
          <w:szCs w:val="20"/>
        </w:rPr>
      </w:pPr>
    </w:p>
    <w:p w14:paraId="388956B4" w14:textId="77777777" w:rsidR="00DD0924" w:rsidRDefault="00DD0924" w:rsidP="000923BB">
      <w:pPr>
        <w:rPr>
          <w:rFonts w:cs="Arial"/>
          <w:b/>
          <w:sz w:val="20"/>
          <w:szCs w:val="20"/>
        </w:rPr>
      </w:pPr>
    </w:p>
    <w:p w14:paraId="07D00745" w14:textId="77777777" w:rsidR="00DD0924" w:rsidRDefault="00DD0924" w:rsidP="000923BB">
      <w:pPr>
        <w:rPr>
          <w:rFonts w:cs="Arial"/>
          <w:b/>
          <w:sz w:val="20"/>
          <w:szCs w:val="20"/>
        </w:rPr>
      </w:pPr>
    </w:p>
    <w:p w14:paraId="52B3874E" w14:textId="77777777" w:rsidR="00DD0924" w:rsidRDefault="00DD0924" w:rsidP="000923BB">
      <w:pPr>
        <w:rPr>
          <w:rFonts w:cs="Arial"/>
          <w:b/>
          <w:sz w:val="20"/>
          <w:szCs w:val="20"/>
        </w:rPr>
      </w:pPr>
    </w:p>
    <w:p w14:paraId="4C5A9FBD" w14:textId="77777777" w:rsidR="00DD0924" w:rsidRDefault="00DD0924" w:rsidP="000923BB">
      <w:pPr>
        <w:rPr>
          <w:rFonts w:cs="Arial"/>
          <w:b/>
          <w:sz w:val="20"/>
          <w:szCs w:val="20"/>
        </w:rPr>
      </w:pPr>
    </w:p>
    <w:p w14:paraId="4BAEFEC9" w14:textId="77777777" w:rsidR="000923BB" w:rsidRDefault="000923BB" w:rsidP="000923BB">
      <w:r>
        <w:rPr>
          <w:rFonts w:cs="Arial"/>
          <w:b/>
          <w:sz w:val="20"/>
          <w:szCs w:val="20"/>
        </w:rPr>
        <w:t>Table 4: R</w:t>
      </w:r>
      <w:r w:rsidRPr="006A7701">
        <w:rPr>
          <w:rFonts w:cs="Arial"/>
          <w:b/>
          <w:sz w:val="20"/>
          <w:szCs w:val="20"/>
        </w:rPr>
        <w:t>elationship between the HF mean holistic scale scores (1-6) scale, total criterion scor</w:t>
      </w:r>
      <w:r>
        <w:rPr>
          <w:rFonts w:cs="Arial"/>
          <w:b/>
          <w:sz w:val="20"/>
          <w:szCs w:val="20"/>
        </w:rPr>
        <w:t>es and hospital mortality group</w:t>
      </w:r>
    </w:p>
    <w:p w14:paraId="137138CB" w14:textId="77777777" w:rsidR="000923BB" w:rsidRDefault="000923BB" w:rsidP="000923BB"/>
    <w:tbl>
      <w:tblPr>
        <w:tblW w:w="8018" w:type="dxa"/>
        <w:tblInd w:w="250" w:type="dxa"/>
        <w:tblLook w:val="0000" w:firstRow="0" w:lastRow="0" w:firstColumn="0" w:lastColumn="0" w:noHBand="0" w:noVBand="0"/>
      </w:tblPr>
      <w:tblGrid>
        <w:gridCol w:w="1478"/>
        <w:gridCol w:w="550"/>
        <w:gridCol w:w="717"/>
        <w:gridCol w:w="533"/>
        <w:gridCol w:w="550"/>
        <w:gridCol w:w="717"/>
        <w:gridCol w:w="495"/>
        <w:gridCol w:w="717"/>
        <w:gridCol w:w="761"/>
        <w:gridCol w:w="761"/>
        <w:gridCol w:w="739"/>
      </w:tblGrid>
      <w:tr w:rsidR="000923BB" w14:paraId="72E86568" w14:textId="77777777" w:rsidTr="00F244BB">
        <w:trPr>
          <w:trHeight w:val="255"/>
        </w:trPr>
        <w:tc>
          <w:tcPr>
            <w:tcW w:w="14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9C7A11" w14:textId="77777777" w:rsidR="000923BB" w:rsidRPr="007A4493" w:rsidRDefault="000923BB" w:rsidP="003A385F">
            <w:pPr>
              <w:rPr>
                <w:rFonts w:cs="Arial"/>
                <w:sz w:val="18"/>
                <w:szCs w:val="18"/>
              </w:rPr>
            </w:pPr>
          </w:p>
        </w:tc>
        <w:tc>
          <w:tcPr>
            <w:tcW w:w="18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303D278" w14:textId="77777777" w:rsidR="000923BB" w:rsidRPr="007A4493" w:rsidRDefault="000923BB" w:rsidP="003A385F">
            <w:pPr>
              <w:rPr>
                <w:rFonts w:cs="Arial"/>
                <w:sz w:val="18"/>
                <w:szCs w:val="18"/>
              </w:rPr>
            </w:pPr>
            <w:r w:rsidRPr="007A4493">
              <w:rPr>
                <w:rFonts w:cs="Arial"/>
                <w:sz w:val="18"/>
                <w:szCs w:val="18"/>
              </w:rPr>
              <w:t xml:space="preserve">Lower mortality group scores </w:t>
            </w:r>
          </w:p>
        </w:tc>
        <w:tc>
          <w:tcPr>
            <w:tcW w:w="176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4ADF579" w14:textId="77777777" w:rsidR="000923BB" w:rsidRPr="007A4493" w:rsidRDefault="000923BB" w:rsidP="003A385F">
            <w:pPr>
              <w:rPr>
                <w:rFonts w:cs="Arial"/>
                <w:sz w:val="18"/>
                <w:szCs w:val="18"/>
              </w:rPr>
            </w:pPr>
            <w:r w:rsidRPr="007A4493">
              <w:rPr>
                <w:rFonts w:cs="Arial"/>
                <w:sz w:val="18"/>
                <w:szCs w:val="18"/>
              </w:rPr>
              <w:t xml:space="preserve">Higher mortality group scores </w:t>
            </w:r>
          </w:p>
        </w:tc>
        <w:tc>
          <w:tcPr>
            <w:tcW w:w="717" w:type="dxa"/>
            <w:vMerge w:val="restart"/>
            <w:tcBorders>
              <w:top w:val="single" w:sz="4" w:space="0" w:color="auto"/>
              <w:left w:val="single" w:sz="4" w:space="0" w:color="auto"/>
              <w:right w:val="single" w:sz="4" w:space="0" w:color="auto"/>
            </w:tcBorders>
            <w:shd w:val="clear" w:color="auto" w:fill="auto"/>
            <w:noWrap/>
            <w:vAlign w:val="bottom"/>
          </w:tcPr>
          <w:p w14:paraId="60AEFF6B" w14:textId="77777777" w:rsidR="000923BB" w:rsidRPr="007A4493" w:rsidRDefault="000923BB" w:rsidP="003A385F">
            <w:pPr>
              <w:rPr>
                <w:rFonts w:cs="Arial"/>
                <w:sz w:val="18"/>
                <w:szCs w:val="18"/>
              </w:rPr>
            </w:pPr>
            <w:r w:rsidRPr="007A4493">
              <w:rPr>
                <w:rFonts w:cs="Arial"/>
                <w:sz w:val="18"/>
                <w:szCs w:val="18"/>
              </w:rPr>
              <w:t xml:space="preserve">Mean </w:t>
            </w:r>
          </w:p>
          <w:p w14:paraId="3489A242" w14:textId="77777777" w:rsidR="000923BB" w:rsidRPr="007A4493" w:rsidRDefault="000923BB" w:rsidP="003A385F">
            <w:pPr>
              <w:rPr>
                <w:rFonts w:cs="Arial"/>
                <w:sz w:val="18"/>
                <w:szCs w:val="18"/>
              </w:rPr>
            </w:pPr>
            <w:r w:rsidRPr="007A4493">
              <w:rPr>
                <w:rFonts w:cs="Arial"/>
                <w:sz w:val="18"/>
                <w:szCs w:val="18"/>
              </w:rPr>
              <w:t>Diff</w:t>
            </w:r>
          </w:p>
        </w:tc>
        <w:tc>
          <w:tcPr>
            <w:tcW w:w="15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F229785" w14:textId="77777777" w:rsidR="000923BB" w:rsidRPr="007A4493" w:rsidRDefault="000923BB" w:rsidP="003A385F">
            <w:pPr>
              <w:rPr>
                <w:rFonts w:cs="Arial"/>
                <w:sz w:val="18"/>
                <w:szCs w:val="18"/>
              </w:rPr>
            </w:pPr>
            <w:r w:rsidRPr="007A4493">
              <w:rPr>
                <w:rFonts w:cs="Arial"/>
                <w:sz w:val="18"/>
                <w:szCs w:val="18"/>
              </w:rPr>
              <w:t>95% CI</w:t>
            </w:r>
          </w:p>
        </w:tc>
        <w:tc>
          <w:tcPr>
            <w:tcW w:w="739" w:type="dxa"/>
            <w:vMerge w:val="restart"/>
            <w:tcBorders>
              <w:top w:val="single" w:sz="4" w:space="0" w:color="auto"/>
              <w:left w:val="single" w:sz="4" w:space="0" w:color="auto"/>
              <w:right w:val="single" w:sz="4" w:space="0" w:color="auto"/>
            </w:tcBorders>
            <w:shd w:val="clear" w:color="auto" w:fill="auto"/>
            <w:noWrap/>
            <w:vAlign w:val="bottom"/>
          </w:tcPr>
          <w:p w14:paraId="0D1B7F1E" w14:textId="77777777" w:rsidR="000923BB" w:rsidRPr="007A4493" w:rsidRDefault="000923BB" w:rsidP="003A385F">
            <w:pPr>
              <w:rPr>
                <w:rFonts w:cs="Arial"/>
                <w:sz w:val="18"/>
                <w:szCs w:val="18"/>
              </w:rPr>
            </w:pPr>
            <w:r w:rsidRPr="007A4493">
              <w:rPr>
                <w:rFonts w:cs="Arial"/>
                <w:sz w:val="18"/>
                <w:szCs w:val="18"/>
              </w:rPr>
              <w:t>P-value</w:t>
            </w:r>
          </w:p>
        </w:tc>
      </w:tr>
      <w:tr w:rsidR="000923BB" w14:paraId="289EB341" w14:textId="77777777" w:rsidTr="00F244BB">
        <w:trPr>
          <w:trHeight w:val="255"/>
        </w:trPr>
        <w:tc>
          <w:tcPr>
            <w:tcW w:w="14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8739DF" w14:textId="77777777" w:rsidR="000923BB" w:rsidRPr="007A4493" w:rsidRDefault="000923BB" w:rsidP="003A385F">
            <w:pPr>
              <w:rPr>
                <w:rFonts w:cs="Arial"/>
                <w:sz w:val="18"/>
                <w:szCs w:val="18"/>
              </w:rPr>
            </w:pPr>
          </w:p>
        </w:tc>
        <w:tc>
          <w:tcPr>
            <w:tcW w:w="550" w:type="dxa"/>
            <w:tcBorders>
              <w:top w:val="single" w:sz="4" w:space="0" w:color="auto"/>
              <w:left w:val="single" w:sz="4" w:space="0" w:color="auto"/>
              <w:bottom w:val="single" w:sz="4" w:space="0" w:color="auto"/>
              <w:right w:val="nil"/>
            </w:tcBorders>
            <w:shd w:val="clear" w:color="auto" w:fill="auto"/>
            <w:noWrap/>
            <w:vAlign w:val="bottom"/>
          </w:tcPr>
          <w:p w14:paraId="56C3F9DA" w14:textId="77777777" w:rsidR="000923BB" w:rsidRPr="007A4493" w:rsidRDefault="000923BB" w:rsidP="003A385F">
            <w:pPr>
              <w:rPr>
                <w:rFonts w:cs="Arial"/>
                <w:sz w:val="18"/>
                <w:szCs w:val="18"/>
              </w:rPr>
            </w:pPr>
            <w:r w:rsidRPr="007A4493">
              <w:rPr>
                <w:rFonts w:cs="Arial"/>
                <w:sz w:val="18"/>
                <w:szCs w:val="18"/>
              </w:rPr>
              <w:t>N</w:t>
            </w:r>
          </w:p>
        </w:tc>
        <w:tc>
          <w:tcPr>
            <w:tcW w:w="717" w:type="dxa"/>
            <w:tcBorders>
              <w:top w:val="single" w:sz="4" w:space="0" w:color="auto"/>
              <w:left w:val="nil"/>
              <w:bottom w:val="single" w:sz="4" w:space="0" w:color="auto"/>
              <w:right w:val="nil"/>
            </w:tcBorders>
            <w:shd w:val="clear" w:color="auto" w:fill="auto"/>
            <w:noWrap/>
            <w:vAlign w:val="bottom"/>
          </w:tcPr>
          <w:p w14:paraId="3754F1DE" w14:textId="77777777" w:rsidR="000923BB" w:rsidRPr="007A4493" w:rsidRDefault="000923BB" w:rsidP="003A385F">
            <w:pPr>
              <w:rPr>
                <w:rFonts w:cs="Arial"/>
                <w:sz w:val="18"/>
                <w:szCs w:val="18"/>
              </w:rPr>
            </w:pPr>
            <w:r w:rsidRPr="007A4493">
              <w:rPr>
                <w:rFonts w:cs="Arial"/>
                <w:sz w:val="18"/>
                <w:szCs w:val="18"/>
              </w:rPr>
              <w:t>Mean</w:t>
            </w:r>
          </w:p>
        </w:tc>
        <w:tc>
          <w:tcPr>
            <w:tcW w:w="533" w:type="dxa"/>
            <w:tcBorders>
              <w:top w:val="single" w:sz="4" w:space="0" w:color="auto"/>
              <w:left w:val="nil"/>
              <w:bottom w:val="single" w:sz="4" w:space="0" w:color="auto"/>
              <w:right w:val="single" w:sz="4" w:space="0" w:color="auto"/>
            </w:tcBorders>
            <w:shd w:val="clear" w:color="auto" w:fill="auto"/>
            <w:noWrap/>
            <w:vAlign w:val="bottom"/>
          </w:tcPr>
          <w:p w14:paraId="50CFAB0A" w14:textId="77777777" w:rsidR="000923BB" w:rsidRPr="007A4493" w:rsidRDefault="000923BB" w:rsidP="003A385F">
            <w:pPr>
              <w:rPr>
                <w:rFonts w:cs="Arial"/>
                <w:sz w:val="18"/>
                <w:szCs w:val="18"/>
              </w:rPr>
            </w:pPr>
            <w:r w:rsidRPr="007A4493">
              <w:rPr>
                <w:rFonts w:cs="Arial"/>
                <w:sz w:val="18"/>
                <w:szCs w:val="18"/>
              </w:rPr>
              <w:t>SD</w:t>
            </w:r>
          </w:p>
        </w:tc>
        <w:tc>
          <w:tcPr>
            <w:tcW w:w="550" w:type="dxa"/>
            <w:tcBorders>
              <w:top w:val="single" w:sz="4" w:space="0" w:color="auto"/>
              <w:left w:val="single" w:sz="4" w:space="0" w:color="auto"/>
              <w:bottom w:val="single" w:sz="4" w:space="0" w:color="auto"/>
              <w:right w:val="nil"/>
            </w:tcBorders>
            <w:shd w:val="clear" w:color="auto" w:fill="auto"/>
            <w:noWrap/>
            <w:vAlign w:val="bottom"/>
          </w:tcPr>
          <w:p w14:paraId="49E16CDC" w14:textId="77777777" w:rsidR="000923BB" w:rsidRPr="007A4493" w:rsidRDefault="000923BB" w:rsidP="003A385F">
            <w:pPr>
              <w:rPr>
                <w:rFonts w:cs="Arial"/>
                <w:sz w:val="18"/>
                <w:szCs w:val="18"/>
              </w:rPr>
            </w:pPr>
            <w:r w:rsidRPr="007A4493">
              <w:rPr>
                <w:rFonts w:cs="Arial"/>
                <w:sz w:val="18"/>
                <w:szCs w:val="18"/>
              </w:rPr>
              <w:t>N</w:t>
            </w:r>
          </w:p>
        </w:tc>
        <w:tc>
          <w:tcPr>
            <w:tcW w:w="717" w:type="dxa"/>
            <w:tcBorders>
              <w:top w:val="single" w:sz="4" w:space="0" w:color="auto"/>
              <w:left w:val="nil"/>
              <w:bottom w:val="single" w:sz="4" w:space="0" w:color="auto"/>
              <w:right w:val="nil"/>
            </w:tcBorders>
            <w:shd w:val="clear" w:color="auto" w:fill="auto"/>
            <w:noWrap/>
            <w:vAlign w:val="bottom"/>
          </w:tcPr>
          <w:p w14:paraId="6819FFAC" w14:textId="77777777" w:rsidR="000923BB" w:rsidRPr="007A4493" w:rsidRDefault="000923BB" w:rsidP="003A385F">
            <w:pPr>
              <w:rPr>
                <w:rFonts w:cs="Arial"/>
                <w:sz w:val="18"/>
                <w:szCs w:val="18"/>
              </w:rPr>
            </w:pPr>
            <w:r w:rsidRPr="007A4493">
              <w:rPr>
                <w:rFonts w:cs="Arial"/>
                <w:sz w:val="18"/>
                <w:szCs w:val="18"/>
              </w:rPr>
              <w:t>Mean</w:t>
            </w:r>
          </w:p>
        </w:tc>
        <w:tc>
          <w:tcPr>
            <w:tcW w:w="495" w:type="dxa"/>
            <w:tcBorders>
              <w:top w:val="single" w:sz="4" w:space="0" w:color="auto"/>
              <w:left w:val="nil"/>
              <w:bottom w:val="single" w:sz="4" w:space="0" w:color="auto"/>
              <w:right w:val="single" w:sz="4" w:space="0" w:color="auto"/>
            </w:tcBorders>
            <w:shd w:val="clear" w:color="auto" w:fill="auto"/>
            <w:noWrap/>
            <w:vAlign w:val="bottom"/>
          </w:tcPr>
          <w:p w14:paraId="48725BD3" w14:textId="77777777" w:rsidR="000923BB" w:rsidRPr="007A4493" w:rsidRDefault="000923BB" w:rsidP="003A385F">
            <w:pPr>
              <w:rPr>
                <w:rFonts w:cs="Arial"/>
                <w:sz w:val="18"/>
                <w:szCs w:val="18"/>
              </w:rPr>
            </w:pPr>
            <w:r w:rsidRPr="007A4493">
              <w:rPr>
                <w:rFonts w:cs="Arial"/>
                <w:sz w:val="18"/>
                <w:szCs w:val="18"/>
              </w:rPr>
              <w:t>SD</w:t>
            </w:r>
          </w:p>
        </w:tc>
        <w:tc>
          <w:tcPr>
            <w:tcW w:w="717" w:type="dxa"/>
            <w:vMerge/>
            <w:tcBorders>
              <w:left w:val="single" w:sz="4" w:space="0" w:color="auto"/>
              <w:bottom w:val="single" w:sz="4" w:space="0" w:color="auto"/>
              <w:right w:val="single" w:sz="4" w:space="0" w:color="auto"/>
            </w:tcBorders>
            <w:shd w:val="clear" w:color="auto" w:fill="auto"/>
            <w:noWrap/>
            <w:vAlign w:val="bottom"/>
          </w:tcPr>
          <w:p w14:paraId="66398E88" w14:textId="77777777" w:rsidR="000923BB" w:rsidRPr="007A4493" w:rsidRDefault="000923BB" w:rsidP="003A385F">
            <w:pPr>
              <w:rPr>
                <w:rFonts w:cs="Arial"/>
                <w:sz w:val="18"/>
                <w:szCs w:val="18"/>
              </w:rPr>
            </w:pP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1DF24A" w14:textId="77777777" w:rsidR="000923BB" w:rsidRPr="007A4493" w:rsidRDefault="000923BB" w:rsidP="003A385F">
            <w:pPr>
              <w:rPr>
                <w:rFonts w:cs="Arial"/>
                <w:sz w:val="18"/>
                <w:szCs w:val="18"/>
              </w:rPr>
            </w:pPr>
            <w:r w:rsidRPr="007A4493">
              <w:rPr>
                <w:rFonts w:cs="Arial"/>
                <w:sz w:val="18"/>
                <w:szCs w:val="18"/>
              </w:rPr>
              <w:t>Lower</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E4D687" w14:textId="77777777" w:rsidR="000923BB" w:rsidRPr="007A4493" w:rsidRDefault="000923BB" w:rsidP="003A385F">
            <w:pPr>
              <w:rPr>
                <w:rFonts w:cs="Arial"/>
                <w:sz w:val="18"/>
                <w:szCs w:val="18"/>
              </w:rPr>
            </w:pPr>
            <w:r w:rsidRPr="007A4493">
              <w:rPr>
                <w:rFonts w:cs="Arial"/>
                <w:sz w:val="18"/>
                <w:szCs w:val="18"/>
              </w:rPr>
              <w:t>Upper</w:t>
            </w:r>
          </w:p>
        </w:tc>
        <w:tc>
          <w:tcPr>
            <w:tcW w:w="739" w:type="dxa"/>
            <w:vMerge/>
            <w:tcBorders>
              <w:left w:val="single" w:sz="4" w:space="0" w:color="auto"/>
              <w:bottom w:val="single" w:sz="4" w:space="0" w:color="auto"/>
              <w:right w:val="single" w:sz="4" w:space="0" w:color="auto"/>
            </w:tcBorders>
            <w:shd w:val="clear" w:color="auto" w:fill="auto"/>
            <w:noWrap/>
            <w:vAlign w:val="bottom"/>
          </w:tcPr>
          <w:p w14:paraId="1206C420" w14:textId="77777777" w:rsidR="000923BB" w:rsidRPr="007A4493" w:rsidRDefault="000923BB" w:rsidP="003A385F">
            <w:pPr>
              <w:rPr>
                <w:rFonts w:cs="Arial"/>
                <w:sz w:val="18"/>
                <w:szCs w:val="18"/>
              </w:rPr>
            </w:pPr>
          </w:p>
        </w:tc>
      </w:tr>
      <w:tr w:rsidR="000923BB" w14:paraId="42FD4F6D" w14:textId="77777777" w:rsidTr="00F244BB">
        <w:trPr>
          <w:trHeight w:val="255"/>
        </w:trPr>
        <w:tc>
          <w:tcPr>
            <w:tcW w:w="1478" w:type="dxa"/>
            <w:tcBorders>
              <w:top w:val="single" w:sz="4" w:space="0" w:color="auto"/>
              <w:left w:val="single" w:sz="4" w:space="0" w:color="auto"/>
              <w:bottom w:val="nil"/>
              <w:right w:val="single" w:sz="4" w:space="0" w:color="auto"/>
            </w:tcBorders>
            <w:shd w:val="clear" w:color="auto" w:fill="auto"/>
            <w:noWrap/>
            <w:vAlign w:val="bottom"/>
          </w:tcPr>
          <w:p w14:paraId="6B4F7DDB" w14:textId="77777777" w:rsidR="000923BB" w:rsidRPr="007A4493" w:rsidRDefault="000923BB" w:rsidP="003A385F">
            <w:pPr>
              <w:rPr>
                <w:rFonts w:cs="Arial"/>
                <w:sz w:val="18"/>
                <w:szCs w:val="18"/>
              </w:rPr>
            </w:pPr>
            <w:r w:rsidRPr="007A4493">
              <w:rPr>
                <w:rFonts w:cs="Arial"/>
                <w:sz w:val="18"/>
                <w:szCs w:val="18"/>
              </w:rPr>
              <w:t>Total Criterion score</w:t>
            </w:r>
          </w:p>
        </w:tc>
        <w:tc>
          <w:tcPr>
            <w:tcW w:w="550" w:type="dxa"/>
            <w:tcBorders>
              <w:top w:val="single" w:sz="4" w:space="0" w:color="auto"/>
              <w:left w:val="single" w:sz="4" w:space="0" w:color="auto"/>
              <w:bottom w:val="nil"/>
              <w:right w:val="nil"/>
            </w:tcBorders>
            <w:shd w:val="clear" w:color="auto" w:fill="auto"/>
            <w:noWrap/>
            <w:vAlign w:val="bottom"/>
          </w:tcPr>
          <w:p w14:paraId="639C3211" w14:textId="77777777" w:rsidR="000923BB" w:rsidRPr="007A4493" w:rsidRDefault="000923BB" w:rsidP="003A385F">
            <w:pPr>
              <w:jc w:val="right"/>
              <w:rPr>
                <w:rFonts w:cs="Arial"/>
                <w:sz w:val="18"/>
                <w:szCs w:val="18"/>
              </w:rPr>
            </w:pPr>
            <w:r w:rsidRPr="007A4493">
              <w:rPr>
                <w:rFonts w:cs="Arial"/>
                <w:sz w:val="18"/>
                <w:szCs w:val="18"/>
              </w:rPr>
              <w:t>393</w:t>
            </w:r>
          </w:p>
        </w:tc>
        <w:tc>
          <w:tcPr>
            <w:tcW w:w="717" w:type="dxa"/>
            <w:tcBorders>
              <w:top w:val="single" w:sz="4" w:space="0" w:color="auto"/>
              <w:left w:val="nil"/>
              <w:bottom w:val="nil"/>
              <w:right w:val="nil"/>
            </w:tcBorders>
            <w:shd w:val="clear" w:color="auto" w:fill="auto"/>
            <w:noWrap/>
            <w:vAlign w:val="bottom"/>
          </w:tcPr>
          <w:p w14:paraId="7A39AB96" w14:textId="77777777" w:rsidR="000923BB" w:rsidRPr="007A4493" w:rsidRDefault="000923BB" w:rsidP="003A385F">
            <w:pPr>
              <w:jc w:val="right"/>
              <w:rPr>
                <w:rFonts w:cs="Arial"/>
                <w:sz w:val="18"/>
                <w:szCs w:val="18"/>
              </w:rPr>
            </w:pPr>
            <w:r w:rsidRPr="007A4493">
              <w:rPr>
                <w:rFonts w:cs="Arial"/>
                <w:sz w:val="18"/>
                <w:szCs w:val="18"/>
              </w:rPr>
              <w:t>8.0</w:t>
            </w:r>
          </w:p>
        </w:tc>
        <w:tc>
          <w:tcPr>
            <w:tcW w:w="533" w:type="dxa"/>
            <w:tcBorders>
              <w:top w:val="single" w:sz="4" w:space="0" w:color="auto"/>
              <w:left w:val="nil"/>
              <w:bottom w:val="nil"/>
              <w:right w:val="single" w:sz="4" w:space="0" w:color="auto"/>
            </w:tcBorders>
            <w:shd w:val="clear" w:color="auto" w:fill="auto"/>
            <w:noWrap/>
            <w:vAlign w:val="bottom"/>
          </w:tcPr>
          <w:p w14:paraId="11788B89" w14:textId="77777777" w:rsidR="000923BB" w:rsidRPr="007A4493" w:rsidRDefault="000923BB" w:rsidP="003A385F">
            <w:pPr>
              <w:jc w:val="right"/>
              <w:rPr>
                <w:rFonts w:cs="Arial"/>
                <w:sz w:val="18"/>
                <w:szCs w:val="18"/>
              </w:rPr>
            </w:pPr>
            <w:r w:rsidRPr="007A4493">
              <w:rPr>
                <w:rFonts w:cs="Arial"/>
                <w:sz w:val="18"/>
                <w:szCs w:val="18"/>
              </w:rPr>
              <w:t>1.4</w:t>
            </w:r>
          </w:p>
        </w:tc>
        <w:tc>
          <w:tcPr>
            <w:tcW w:w="550" w:type="dxa"/>
            <w:tcBorders>
              <w:top w:val="single" w:sz="4" w:space="0" w:color="auto"/>
              <w:left w:val="single" w:sz="4" w:space="0" w:color="auto"/>
              <w:bottom w:val="nil"/>
              <w:right w:val="nil"/>
            </w:tcBorders>
            <w:shd w:val="clear" w:color="auto" w:fill="auto"/>
            <w:noWrap/>
            <w:vAlign w:val="bottom"/>
          </w:tcPr>
          <w:p w14:paraId="588DCBED" w14:textId="77777777" w:rsidR="000923BB" w:rsidRPr="007A4493" w:rsidRDefault="000923BB" w:rsidP="003A385F">
            <w:pPr>
              <w:jc w:val="right"/>
              <w:rPr>
                <w:rFonts w:cs="Arial"/>
                <w:sz w:val="18"/>
                <w:szCs w:val="18"/>
              </w:rPr>
            </w:pPr>
            <w:r w:rsidRPr="007A4493">
              <w:rPr>
                <w:rFonts w:cs="Arial"/>
                <w:sz w:val="18"/>
                <w:szCs w:val="18"/>
              </w:rPr>
              <w:t>309</w:t>
            </w:r>
          </w:p>
        </w:tc>
        <w:tc>
          <w:tcPr>
            <w:tcW w:w="717" w:type="dxa"/>
            <w:tcBorders>
              <w:top w:val="single" w:sz="4" w:space="0" w:color="auto"/>
              <w:left w:val="nil"/>
              <w:bottom w:val="nil"/>
              <w:right w:val="nil"/>
            </w:tcBorders>
            <w:shd w:val="clear" w:color="auto" w:fill="auto"/>
            <w:noWrap/>
            <w:vAlign w:val="bottom"/>
          </w:tcPr>
          <w:p w14:paraId="52D53609" w14:textId="77777777" w:rsidR="000923BB" w:rsidRPr="007A4493" w:rsidRDefault="000923BB" w:rsidP="003A385F">
            <w:pPr>
              <w:jc w:val="right"/>
              <w:rPr>
                <w:rFonts w:cs="Arial"/>
                <w:sz w:val="18"/>
                <w:szCs w:val="18"/>
              </w:rPr>
            </w:pPr>
            <w:r w:rsidRPr="007A4493">
              <w:rPr>
                <w:rFonts w:cs="Arial"/>
                <w:sz w:val="18"/>
                <w:szCs w:val="18"/>
              </w:rPr>
              <w:t>7.8</w:t>
            </w:r>
          </w:p>
        </w:tc>
        <w:tc>
          <w:tcPr>
            <w:tcW w:w="495" w:type="dxa"/>
            <w:tcBorders>
              <w:top w:val="single" w:sz="4" w:space="0" w:color="auto"/>
              <w:left w:val="nil"/>
              <w:bottom w:val="nil"/>
              <w:right w:val="single" w:sz="4" w:space="0" w:color="auto"/>
            </w:tcBorders>
            <w:shd w:val="clear" w:color="auto" w:fill="auto"/>
            <w:noWrap/>
            <w:vAlign w:val="bottom"/>
          </w:tcPr>
          <w:p w14:paraId="5886E989" w14:textId="77777777" w:rsidR="000923BB" w:rsidRPr="007A4493" w:rsidRDefault="000923BB" w:rsidP="003A385F">
            <w:pPr>
              <w:jc w:val="right"/>
              <w:rPr>
                <w:rFonts w:cs="Arial"/>
                <w:sz w:val="18"/>
                <w:szCs w:val="18"/>
              </w:rPr>
            </w:pPr>
            <w:r w:rsidRPr="007A4493">
              <w:rPr>
                <w:rFonts w:cs="Arial"/>
                <w:sz w:val="18"/>
                <w:szCs w:val="18"/>
              </w:rPr>
              <w:t>1.5</w:t>
            </w:r>
          </w:p>
        </w:tc>
        <w:tc>
          <w:tcPr>
            <w:tcW w:w="717" w:type="dxa"/>
            <w:tcBorders>
              <w:top w:val="single" w:sz="4" w:space="0" w:color="auto"/>
              <w:left w:val="single" w:sz="4" w:space="0" w:color="auto"/>
              <w:bottom w:val="nil"/>
              <w:right w:val="single" w:sz="4" w:space="0" w:color="auto"/>
            </w:tcBorders>
            <w:shd w:val="clear" w:color="auto" w:fill="auto"/>
            <w:noWrap/>
            <w:vAlign w:val="bottom"/>
          </w:tcPr>
          <w:p w14:paraId="4ABA06AF" w14:textId="77777777" w:rsidR="000923BB" w:rsidRPr="007A4493" w:rsidRDefault="000923BB" w:rsidP="003A385F">
            <w:pPr>
              <w:jc w:val="right"/>
              <w:rPr>
                <w:rFonts w:cs="Arial"/>
                <w:sz w:val="18"/>
                <w:szCs w:val="18"/>
              </w:rPr>
            </w:pPr>
            <w:r w:rsidRPr="007A4493">
              <w:rPr>
                <w:rFonts w:cs="Arial"/>
                <w:sz w:val="18"/>
                <w:szCs w:val="18"/>
              </w:rPr>
              <w:t>-0.2</w:t>
            </w:r>
          </w:p>
        </w:tc>
        <w:tc>
          <w:tcPr>
            <w:tcW w:w="761" w:type="dxa"/>
            <w:tcBorders>
              <w:top w:val="single" w:sz="4" w:space="0" w:color="auto"/>
              <w:left w:val="single" w:sz="4" w:space="0" w:color="auto"/>
              <w:bottom w:val="nil"/>
              <w:right w:val="single" w:sz="4" w:space="0" w:color="auto"/>
            </w:tcBorders>
            <w:shd w:val="clear" w:color="auto" w:fill="auto"/>
            <w:noWrap/>
            <w:vAlign w:val="bottom"/>
          </w:tcPr>
          <w:p w14:paraId="5D9F4037" w14:textId="77777777" w:rsidR="000923BB" w:rsidRPr="007A4493" w:rsidRDefault="000923BB" w:rsidP="003A385F">
            <w:pPr>
              <w:jc w:val="right"/>
              <w:rPr>
                <w:rFonts w:cs="Arial"/>
                <w:sz w:val="18"/>
                <w:szCs w:val="18"/>
              </w:rPr>
            </w:pPr>
            <w:r w:rsidRPr="007A4493">
              <w:rPr>
                <w:rFonts w:cs="Arial"/>
                <w:sz w:val="18"/>
                <w:szCs w:val="18"/>
              </w:rPr>
              <w:t>-0.7</w:t>
            </w:r>
          </w:p>
        </w:tc>
        <w:tc>
          <w:tcPr>
            <w:tcW w:w="761" w:type="dxa"/>
            <w:tcBorders>
              <w:top w:val="single" w:sz="4" w:space="0" w:color="auto"/>
              <w:left w:val="single" w:sz="4" w:space="0" w:color="auto"/>
              <w:bottom w:val="nil"/>
              <w:right w:val="single" w:sz="4" w:space="0" w:color="auto"/>
            </w:tcBorders>
            <w:shd w:val="clear" w:color="auto" w:fill="auto"/>
            <w:noWrap/>
            <w:vAlign w:val="bottom"/>
          </w:tcPr>
          <w:p w14:paraId="416F5340" w14:textId="77777777" w:rsidR="000923BB" w:rsidRPr="007A4493" w:rsidRDefault="000923BB" w:rsidP="003A385F">
            <w:pPr>
              <w:jc w:val="right"/>
              <w:rPr>
                <w:rFonts w:cs="Arial"/>
                <w:sz w:val="18"/>
                <w:szCs w:val="18"/>
              </w:rPr>
            </w:pPr>
            <w:r w:rsidRPr="007A4493">
              <w:rPr>
                <w:rFonts w:cs="Arial"/>
                <w:sz w:val="18"/>
                <w:szCs w:val="18"/>
              </w:rPr>
              <w:t>0.2</w:t>
            </w:r>
          </w:p>
        </w:tc>
        <w:tc>
          <w:tcPr>
            <w:tcW w:w="739" w:type="dxa"/>
            <w:tcBorders>
              <w:top w:val="single" w:sz="4" w:space="0" w:color="auto"/>
              <w:left w:val="single" w:sz="4" w:space="0" w:color="auto"/>
              <w:bottom w:val="nil"/>
              <w:right w:val="single" w:sz="4" w:space="0" w:color="auto"/>
            </w:tcBorders>
            <w:shd w:val="clear" w:color="auto" w:fill="auto"/>
            <w:noWrap/>
            <w:vAlign w:val="bottom"/>
          </w:tcPr>
          <w:p w14:paraId="66D98CD9" w14:textId="77777777" w:rsidR="000923BB" w:rsidRPr="007A4493" w:rsidRDefault="000923BB" w:rsidP="003A385F">
            <w:pPr>
              <w:jc w:val="right"/>
              <w:rPr>
                <w:rFonts w:cs="Arial"/>
                <w:sz w:val="18"/>
                <w:szCs w:val="18"/>
              </w:rPr>
            </w:pPr>
            <w:r w:rsidRPr="007A4493">
              <w:rPr>
                <w:rFonts w:cs="Arial"/>
                <w:sz w:val="18"/>
                <w:szCs w:val="18"/>
              </w:rPr>
              <w:t>0.312</w:t>
            </w:r>
          </w:p>
        </w:tc>
      </w:tr>
      <w:tr w:rsidR="000923BB" w14:paraId="16F0620A" w14:textId="77777777" w:rsidTr="00F244BB">
        <w:trPr>
          <w:trHeight w:val="255"/>
        </w:trPr>
        <w:tc>
          <w:tcPr>
            <w:tcW w:w="1478" w:type="dxa"/>
            <w:tcBorders>
              <w:top w:val="nil"/>
              <w:left w:val="single" w:sz="4" w:space="0" w:color="auto"/>
              <w:bottom w:val="nil"/>
              <w:right w:val="single" w:sz="4" w:space="0" w:color="auto"/>
            </w:tcBorders>
            <w:shd w:val="clear" w:color="auto" w:fill="auto"/>
            <w:noWrap/>
            <w:vAlign w:val="bottom"/>
          </w:tcPr>
          <w:p w14:paraId="0ADCE656" w14:textId="77777777" w:rsidR="000923BB" w:rsidRPr="007A4493" w:rsidRDefault="000923BB" w:rsidP="003A385F">
            <w:pPr>
              <w:rPr>
                <w:rFonts w:cs="Arial"/>
                <w:sz w:val="18"/>
                <w:szCs w:val="18"/>
              </w:rPr>
            </w:pPr>
            <w:r w:rsidRPr="007A4493">
              <w:rPr>
                <w:rFonts w:cs="Arial"/>
                <w:sz w:val="18"/>
                <w:szCs w:val="18"/>
              </w:rPr>
              <w:t>Holistic Admission phase</w:t>
            </w:r>
          </w:p>
        </w:tc>
        <w:tc>
          <w:tcPr>
            <w:tcW w:w="550" w:type="dxa"/>
            <w:tcBorders>
              <w:top w:val="nil"/>
              <w:left w:val="single" w:sz="4" w:space="0" w:color="auto"/>
              <w:bottom w:val="nil"/>
              <w:right w:val="nil"/>
            </w:tcBorders>
            <w:shd w:val="clear" w:color="auto" w:fill="auto"/>
            <w:noWrap/>
            <w:vAlign w:val="bottom"/>
          </w:tcPr>
          <w:p w14:paraId="577D2DA2" w14:textId="77777777" w:rsidR="000923BB" w:rsidRPr="007A4493" w:rsidRDefault="000923BB" w:rsidP="003A385F">
            <w:pPr>
              <w:jc w:val="right"/>
              <w:rPr>
                <w:rFonts w:cs="Arial"/>
                <w:sz w:val="18"/>
                <w:szCs w:val="18"/>
              </w:rPr>
            </w:pPr>
            <w:r w:rsidRPr="007A4493">
              <w:rPr>
                <w:rFonts w:cs="Arial"/>
                <w:sz w:val="18"/>
                <w:szCs w:val="18"/>
              </w:rPr>
              <w:t>393</w:t>
            </w:r>
          </w:p>
        </w:tc>
        <w:tc>
          <w:tcPr>
            <w:tcW w:w="717" w:type="dxa"/>
            <w:tcBorders>
              <w:top w:val="nil"/>
              <w:left w:val="nil"/>
              <w:bottom w:val="nil"/>
              <w:right w:val="nil"/>
            </w:tcBorders>
            <w:shd w:val="clear" w:color="auto" w:fill="auto"/>
            <w:noWrap/>
            <w:vAlign w:val="bottom"/>
          </w:tcPr>
          <w:p w14:paraId="784C891F" w14:textId="77777777" w:rsidR="000923BB" w:rsidRPr="007A4493" w:rsidRDefault="000923BB" w:rsidP="003A385F">
            <w:pPr>
              <w:jc w:val="right"/>
              <w:rPr>
                <w:rFonts w:cs="Arial"/>
                <w:sz w:val="18"/>
                <w:szCs w:val="18"/>
              </w:rPr>
            </w:pPr>
            <w:r w:rsidRPr="007A4493">
              <w:rPr>
                <w:rFonts w:cs="Arial"/>
                <w:sz w:val="18"/>
                <w:szCs w:val="18"/>
              </w:rPr>
              <w:t>4.7</w:t>
            </w:r>
          </w:p>
        </w:tc>
        <w:tc>
          <w:tcPr>
            <w:tcW w:w="533" w:type="dxa"/>
            <w:tcBorders>
              <w:top w:val="nil"/>
              <w:left w:val="nil"/>
              <w:bottom w:val="nil"/>
              <w:right w:val="single" w:sz="4" w:space="0" w:color="auto"/>
            </w:tcBorders>
            <w:shd w:val="clear" w:color="auto" w:fill="auto"/>
            <w:noWrap/>
            <w:vAlign w:val="bottom"/>
          </w:tcPr>
          <w:p w14:paraId="2B357255" w14:textId="77777777" w:rsidR="000923BB" w:rsidRPr="007A4493" w:rsidRDefault="000923BB" w:rsidP="003A385F">
            <w:pPr>
              <w:jc w:val="right"/>
              <w:rPr>
                <w:rFonts w:cs="Arial"/>
                <w:sz w:val="18"/>
                <w:szCs w:val="18"/>
              </w:rPr>
            </w:pPr>
            <w:r w:rsidRPr="007A4493">
              <w:rPr>
                <w:rFonts w:cs="Arial"/>
                <w:sz w:val="18"/>
                <w:szCs w:val="18"/>
              </w:rPr>
              <w:t>0.9</w:t>
            </w:r>
          </w:p>
        </w:tc>
        <w:tc>
          <w:tcPr>
            <w:tcW w:w="550" w:type="dxa"/>
            <w:tcBorders>
              <w:top w:val="nil"/>
              <w:left w:val="single" w:sz="4" w:space="0" w:color="auto"/>
              <w:bottom w:val="nil"/>
              <w:right w:val="nil"/>
            </w:tcBorders>
            <w:shd w:val="clear" w:color="auto" w:fill="auto"/>
            <w:noWrap/>
            <w:vAlign w:val="bottom"/>
          </w:tcPr>
          <w:p w14:paraId="3C6FFB53" w14:textId="77777777" w:rsidR="000923BB" w:rsidRPr="007A4493" w:rsidRDefault="000923BB" w:rsidP="003A385F">
            <w:pPr>
              <w:jc w:val="right"/>
              <w:rPr>
                <w:rFonts w:cs="Arial"/>
                <w:sz w:val="18"/>
                <w:szCs w:val="18"/>
              </w:rPr>
            </w:pPr>
            <w:r w:rsidRPr="007A4493">
              <w:rPr>
                <w:rFonts w:cs="Arial"/>
                <w:sz w:val="18"/>
                <w:szCs w:val="18"/>
              </w:rPr>
              <w:t>309</w:t>
            </w:r>
          </w:p>
        </w:tc>
        <w:tc>
          <w:tcPr>
            <w:tcW w:w="717" w:type="dxa"/>
            <w:tcBorders>
              <w:top w:val="nil"/>
              <w:left w:val="nil"/>
              <w:bottom w:val="nil"/>
              <w:right w:val="nil"/>
            </w:tcBorders>
            <w:shd w:val="clear" w:color="auto" w:fill="auto"/>
            <w:noWrap/>
            <w:vAlign w:val="bottom"/>
          </w:tcPr>
          <w:p w14:paraId="2F096DD4" w14:textId="77777777" w:rsidR="000923BB" w:rsidRPr="007A4493" w:rsidRDefault="000923BB" w:rsidP="003A385F">
            <w:pPr>
              <w:jc w:val="right"/>
              <w:rPr>
                <w:rFonts w:cs="Arial"/>
                <w:sz w:val="18"/>
                <w:szCs w:val="18"/>
              </w:rPr>
            </w:pPr>
            <w:r w:rsidRPr="007A4493">
              <w:rPr>
                <w:rFonts w:cs="Arial"/>
                <w:sz w:val="18"/>
                <w:szCs w:val="18"/>
              </w:rPr>
              <w:t>4.6</w:t>
            </w:r>
          </w:p>
        </w:tc>
        <w:tc>
          <w:tcPr>
            <w:tcW w:w="495" w:type="dxa"/>
            <w:tcBorders>
              <w:top w:val="nil"/>
              <w:left w:val="nil"/>
              <w:bottom w:val="nil"/>
              <w:right w:val="single" w:sz="4" w:space="0" w:color="auto"/>
            </w:tcBorders>
            <w:shd w:val="clear" w:color="auto" w:fill="auto"/>
            <w:noWrap/>
            <w:vAlign w:val="bottom"/>
          </w:tcPr>
          <w:p w14:paraId="17C72D38" w14:textId="77777777" w:rsidR="000923BB" w:rsidRPr="007A4493" w:rsidRDefault="000923BB" w:rsidP="003A385F">
            <w:pPr>
              <w:jc w:val="right"/>
              <w:rPr>
                <w:rFonts w:cs="Arial"/>
                <w:sz w:val="18"/>
                <w:szCs w:val="18"/>
              </w:rPr>
            </w:pPr>
            <w:r w:rsidRPr="007A4493">
              <w:rPr>
                <w:rFonts w:cs="Arial"/>
                <w:sz w:val="18"/>
                <w:szCs w:val="18"/>
              </w:rPr>
              <w:t>1.2</w:t>
            </w:r>
          </w:p>
        </w:tc>
        <w:tc>
          <w:tcPr>
            <w:tcW w:w="717" w:type="dxa"/>
            <w:tcBorders>
              <w:top w:val="nil"/>
              <w:left w:val="single" w:sz="4" w:space="0" w:color="auto"/>
              <w:bottom w:val="nil"/>
              <w:right w:val="single" w:sz="4" w:space="0" w:color="auto"/>
            </w:tcBorders>
            <w:shd w:val="clear" w:color="auto" w:fill="auto"/>
            <w:noWrap/>
            <w:vAlign w:val="bottom"/>
          </w:tcPr>
          <w:p w14:paraId="4F1E7098" w14:textId="77777777" w:rsidR="000923BB" w:rsidRPr="007A4493" w:rsidRDefault="000923BB" w:rsidP="003A385F">
            <w:pPr>
              <w:jc w:val="right"/>
              <w:rPr>
                <w:rFonts w:cs="Arial"/>
                <w:sz w:val="18"/>
                <w:szCs w:val="18"/>
              </w:rPr>
            </w:pPr>
            <w:r w:rsidRPr="007A4493">
              <w:rPr>
                <w:rFonts w:cs="Arial"/>
                <w:sz w:val="18"/>
                <w:szCs w:val="18"/>
              </w:rPr>
              <w:t>-0.1</w:t>
            </w:r>
          </w:p>
        </w:tc>
        <w:tc>
          <w:tcPr>
            <w:tcW w:w="761" w:type="dxa"/>
            <w:tcBorders>
              <w:top w:val="nil"/>
              <w:left w:val="single" w:sz="4" w:space="0" w:color="auto"/>
              <w:bottom w:val="nil"/>
              <w:right w:val="single" w:sz="4" w:space="0" w:color="auto"/>
            </w:tcBorders>
            <w:shd w:val="clear" w:color="auto" w:fill="auto"/>
            <w:noWrap/>
            <w:vAlign w:val="bottom"/>
          </w:tcPr>
          <w:p w14:paraId="5DD25A59" w14:textId="77777777" w:rsidR="000923BB" w:rsidRPr="007A4493" w:rsidRDefault="000923BB" w:rsidP="003A385F">
            <w:pPr>
              <w:jc w:val="right"/>
              <w:rPr>
                <w:rFonts w:cs="Arial"/>
                <w:sz w:val="18"/>
                <w:szCs w:val="18"/>
              </w:rPr>
            </w:pPr>
            <w:r w:rsidRPr="007A4493">
              <w:rPr>
                <w:rFonts w:cs="Arial"/>
                <w:sz w:val="18"/>
                <w:szCs w:val="18"/>
              </w:rPr>
              <w:t>-0.6</w:t>
            </w:r>
          </w:p>
        </w:tc>
        <w:tc>
          <w:tcPr>
            <w:tcW w:w="761" w:type="dxa"/>
            <w:tcBorders>
              <w:top w:val="nil"/>
              <w:left w:val="single" w:sz="4" w:space="0" w:color="auto"/>
              <w:bottom w:val="nil"/>
              <w:right w:val="single" w:sz="4" w:space="0" w:color="auto"/>
            </w:tcBorders>
            <w:shd w:val="clear" w:color="auto" w:fill="auto"/>
            <w:noWrap/>
            <w:vAlign w:val="bottom"/>
          </w:tcPr>
          <w:p w14:paraId="69E0EE15" w14:textId="77777777" w:rsidR="000923BB" w:rsidRPr="007A4493" w:rsidRDefault="000923BB" w:rsidP="003A385F">
            <w:pPr>
              <w:jc w:val="right"/>
              <w:rPr>
                <w:rFonts w:cs="Arial"/>
                <w:sz w:val="18"/>
                <w:szCs w:val="18"/>
              </w:rPr>
            </w:pPr>
            <w:r w:rsidRPr="007A4493">
              <w:rPr>
                <w:rFonts w:cs="Arial"/>
                <w:sz w:val="18"/>
                <w:szCs w:val="18"/>
              </w:rPr>
              <w:t>0.3</w:t>
            </w:r>
          </w:p>
        </w:tc>
        <w:tc>
          <w:tcPr>
            <w:tcW w:w="739" w:type="dxa"/>
            <w:tcBorders>
              <w:top w:val="nil"/>
              <w:left w:val="single" w:sz="4" w:space="0" w:color="auto"/>
              <w:bottom w:val="nil"/>
              <w:right w:val="single" w:sz="4" w:space="0" w:color="auto"/>
            </w:tcBorders>
            <w:shd w:val="clear" w:color="auto" w:fill="auto"/>
            <w:noWrap/>
            <w:vAlign w:val="bottom"/>
          </w:tcPr>
          <w:p w14:paraId="751A8F17" w14:textId="77777777" w:rsidR="000923BB" w:rsidRPr="007A4493" w:rsidRDefault="000923BB" w:rsidP="003A385F">
            <w:pPr>
              <w:jc w:val="right"/>
              <w:rPr>
                <w:rFonts w:cs="Arial"/>
                <w:sz w:val="18"/>
                <w:szCs w:val="18"/>
              </w:rPr>
            </w:pPr>
            <w:r w:rsidRPr="007A4493">
              <w:rPr>
                <w:rFonts w:cs="Arial"/>
                <w:sz w:val="18"/>
                <w:szCs w:val="18"/>
              </w:rPr>
              <w:t>0.501</w:t>
            </w:r>
          </w:p>
        </w:tc>
      </w:tr>
      <w:tr w:rsidR="000923BB" w14:paraId="75817501" w14:textId="77777777" w:rsidTr="00F244BB">
        <w:trPr>
          <w:trHeight w:val="255"/>
        </w:trPr>
        <w:tc>
          <w:tcPr>
            <w:tcW w:w="1478" w:type="dxa"/>
            <w:tcBorders>
              <w:top w:val="nil"/>
              <w:left w:val="single" w:sz="4" w:space="0" w:color="auto"/>
              <w:bottom w:val="nil"/>
              <w:right w:val="single" w:sz="4" w:space="0" w:color="auto"/>
            </w:tcBorders>
            <w:shd w:val="clear" w:color="auto" w:fill="auto"/>
            <w:noWrap/>
            <w:vAlign w:val="bottom"/>
          </w:tcPr>
          <w:p w14:paraId="1EEDD6B4" w14:textId="77777777" w:rsidR="000923BB" w:rsidRPr="007A4493" w:rsidRDefault="000923BB" w:rsidP="003A385F">
            <w:pPr>
              <w:rPr>
                <w:rFonts w:cs="Arial"/>
                <w:sz w:val="18"/>
                <w:szCs w:val="18"/>
              </w:rPr>
            </w:pPr>
            <w:r w:rsidRPr="007A4493">
              <w:rPr>
                <w:rFonts w:cs="Arial"/>
                <w:sz w:val="18"/>
                <w:szCs w:val="18"/>
              </w:rPr>
              <w:t>Holistic Initial Management Phase</w:t>
            </w:r>
          </w:p>
        </w:tc>
        <w:tc>
          <w:tcPr>
            <w:tcW w:w="550" w:type="dxa"/>
            <w:tcBorders>
              <w:top w:val="nil"/>
              <w:left w:val="single" w:sz="4" w:space="0" w:color="auto"/>
              <w:bottom w:val="nil"/>
              <w:right w:val="nil"/>
            </w:tcBorders>
            <w:shd w:val="clear" w:color="auto" w:fill="auto"/>
            <w:noWrap/>
            <w:vAlign w:val="bottom"/>
          </w:tcPr>
          <w:p w14:paraId="25526C4B" w14:textId="77777777" w:rsidR="000923BB" w:rsidRPr="007A4493" w:rsidRDefault="000923BB" w:rsidP="003A385F">
            <w:pPr>
              <w:jc w:val="right"/>
              <w:rPr>
                <w:rFonts w:cs="Arial"/>
                <w:sz w:val="18"/>
                <w:szCs w:val="18"/>
              </w:rPr>
            </w:pPr>
            <w:r w:rsidRPr="007A4493">
              <w:rPr>
                <w:rFonts w:cs="Arial"/>
                <w:sz w:val="18"/>
                <w:szCs w:val="18"/>
              </w:rPr>
              <w:t>382</w:t>
            </w:r>
          </w:p>
        </w:tc>
        <w:tc>
          <w:tcPr>
            <w:tcW w:w="717" w:type="dxa"/>
            <w:tcBorders>
              <w:top w:val="nil"/>
              <w:left w:val="nil"/>
              <w:bottom w:val="nil"/>
              <w:right w:val="nil"/>
            </w:tcBorders>
            <w:shd w:val="clear" w:color="auto" w:fill="auto"/>
            <w:noWrap/>
            <w:vAlign w:val="bottom"/>
          </w:tcPr>
          <w:p w14:paraId="661135DC" w14:textId="77777777" w:rsidR="000923BB" w:rsidRPr="007A4493" w:rsidRDefault="000923BB" w:rsidP="003A385F">
            <w:pPr>
              <w:jc w:val="right"/>
              <w:rPr>
                <w:rFonts w:cs="Arial"/>
                <w:sz w:val="18"/>
                <w:szCs w:val="18"/>
              </w:rPr>
            </w:pPr>
            <w:r w:rsidRPr="007A4493">
              <w:rPr>
                <w:rFonts w:cs="Arial"/>
                <w:sz w:val="18"/>
                <w:szCs w:val="18"/>
              </w:rPr>
              <w:t>4.6</w:t>
            </w:r>
          </w:p>
        </w:tc>
        <w:tc>
          <w:tcPr>
            <w:tcW w:w="533" w:type="dxa"/>
            <w:tcBorders>
              <w:top w:val="nil"/>
              <w:left w:val="nil"/>
              <w:bottom w:val="nil"/>
              <w:right w:val="single" w:sz="4" w:space="0" w:color="auto"/>
            </w:tcBorders>
            <w:shd w:val="clear" w:color="auto" w:fill="auto"/>
            <w:noWrap/>
            <w:vAlign w:val="bottom"/>
          </w:tcPr>
          <w:p w14:paraId="3D4C371A" w14:textId="77777777" w:rsidR="000923BB" w:rsidRPr="007A4493" w:rsidRDefault="000923BB" w:rsidP="003A385F">
            <w:pPr>
              <w:jc w:val="right"/>
              <w:rPr>
                <w:rFonts w:cs="Arial"/>
                <w:sz w:val="18"/>
                <w:szCs w:val="18"/>
              </w:rPr>
            </w:pPr>
            <w:r w:rsidRPr="007A4493">
              <w:rPr>
                <w:rFonts w:cs="Arial"/>
                <w:sz w:val="18"/>
                <w:szCs w:val="18"/>
              </w:rPr>
              <w:t>1.1</w:t>
            </w:r>
          </w:p>
        </w:tc>
        <w:tc>
          <w:tcPr>
            <w:tcW w:w="550" w:type="dxa"/>
            <w:tcBorders>
              <w:top w:val="nil"/>
              <w:left w:val="single" w:sz="4" w:space="0" w:color="auto"/>
              <w:bottom w:val="nil"/>
              <w:right w:val="nil"/>
            </w:tcBorders>
            <w:shd w:val="clear" w:color="auto" w:fill="auto"/>
            <w:noWrap/>
            <w:vAlign w:val="bottom"/>
          </w:tcPr>
          <w:p w14:paraId="2FEAB5CA" w14:textId="77777777" w:rsidR="000923BB" w:rsidRPr="007A4493" w:rsidRDefault="000923BB" w:rsidP="003A385F">
            <w:pPr>
              <w:jc w:val="right"/>
              <w:rPr>
                <w:rFonts w:cs="Arial"/>
                <w:sz w:val="18"/>
                <w:szCs w:val="18"/>
              </w:rPr>
            </w:pPr>
            <w:r w:rsidRPr="007A4493">
              <w:rPr>
                <w:rFonts w:cs="Arial"/>
                <w:sz w:val="18"/>
                <w:szCs w:val="18"/>
              </w:rPr>
              <w:t>304</w:t>
            </w:r>
          </w:p>
        </w:tc>
        <w:tc>
          <w:tcPr>
            <w:tcW w:w="717" w:type="dxa"/>
            <w:tcBorders>
              <w:top w:val="nil"/>
              <w:left w:val="nil"/>
              <w:bottom w:val="nil"/>
              <w:right w:val="nil"/>
            </w:tcBorders>
            <w:shd w:val="clear" w:color="auto" w:fill="auto"/>
            <w:noWrap/>
            <w:vAlign w:val="bottom"/>
          </w:tcPr>
          <w:p w14:paraId="5A4CDBF3" w14:textId="77777777" w:rsidR="000923BB" w:rsidRPr="007A4493" w:rsidRDefault="000923BB" w:rsidP="003A385F">
            <w:pPr>
              <w:jc w:val="right"/>
              <w:rPr>
                <w:rFonts w:cs="Arial"/>
                <w:sz w:val="18"/>
                <w:szCs w:val="18"/>
              </w:rPr>
            </w:pPr>
            <w:r w:rsidRPr="007A4493">
              <w:rPr>
                <w:rFonts w:cs="Arial"/>
                <w:sz w:val="18"/>
                <w:szCs w:val="18"/>
              </w:rPr>
              <w:t>4.5</w:t>
            </w:r>
          </w:p>
        </w:tc>
        <w:tc>
          <w:tcPr>
            <w:tcW w:w="495" w:type="dxa"/>
            <w:tcBorders>
              <w:top w:val="nil"/>
              <w:left w:val="nil"/>
              <w:bottom w:val="nil"/>
              <w:right w:val="single" w:sz="4" w:space="0" w:color="auto"/>
            </w:tcBorders>
            <w:shd w:val="clear" w:color="auto" w:fill="auto"/>
            <w:noWrap/>
            <w:vAlign w:val="bottom"/>
          </w:tcPr>
          <w:p w14:paraId="519EE3C0" w14:textId="77777777" w:rsidR="000923BB" w:rsidRPr="007A4493" w:rsidRDefault="000923BB" w:rsidP="003A385F">
            <w:pPr>
              <w:jc w:val="right"/>
              <w:rPr>
                <w:rFonts w:cs="Arial"/>
                <w:sz w:val="18"/>
                <w:szCs w:val="18"/>
              </w:rPr>
            </w:pPr>
            <w:r w:rsidRPr="007A4493">
              <w:rPr>
                <w:rFonts w:cs="Arial"/>
                <w:sz w:val="18"/>
                <w:szCs w:val="18"/>
              </w:rPr>
              <w:t>1.3</w:t>
            </w:r>
          </w:p>
        </w:tc>
        <w:tc>
          <w:tcPr>
            <w:tcW w:w="717" w:type="dxa"/>
            <w:tcBorders>
              <w:top w:val="nil"/>
              <w:left w:val="single" w:sz="4" w:space="0" w:color="auto"/>
              <w:bottom w:val="nil"/>
              <w:right w:val="single" w:sz="4" w:space="0" w:color="auto"/>
            </w:tcBorders>
            <w:shd w:val="clear" w:color="auto" w:fill="auto"/>
            <w:noWrap/>
            <w:vAlign w:val="bottom"/>
          </w:tcPr>
          <w:p w14:paraId="57941ADC" w14:textId="77777777" w:rsidR="000923BB" w:rsidRPr="007A4493" w:rsidRDefault="000923BB" w:rsidP="003A385F">
            <w:pPr>
              <w:jc w:val="right"/>
              <w:rPr>
                <w:rFonts w:cs="Arial"/>
                <w:sz w:val="18"/>
                <w:szCs w:val="18"/>
              </w:rPr>
            </w:pPr>
            <w:r w:rsidRPr="007A4493">
              <w:rPr>
                <w:rFonts w:cs="Arial"/>
                <w:sz w:val="18"/>
                <w:szCs w:val="18"/>
              </w:rPr>
              <w:t>-0.1</w:t>
            </w:r>
          </w:p>
        </w:tc>
        <w:tc>
          <w:tcPr>
            <w:tcW w:w="761" w:type="dxa"/>
            <w:tcBorders>
              <w:top w:val="nil"/>
              <w:left w:val="single" w:sz="4" w:space="0" w:color="auto"/>
              <w:bottom w:val="nil"/>
              <w:right w:val="single" w:sz="4" w:space="0" w:color="auto"/>
            </w:tcBorders>
            <w:shd w:val="clear" w:color="auto" w:fill="auto"/>
            <w:noWrap/>
            <w:vAlign w:val="bottom"/>
          </w:tcPr>
          <w:p w14:paraId="67D74927" w14:textId="77777777" w:rsidR="000923BB" w:rsidRPr="007A4493" w:rsidRDefault="000923BB" w:rsidP="003A385F">
            <w:pPr>
              <w:jc w:val="right"/>
              <w:rPr>
                <w:rFonts w:cs="Arial"/>
                <w:sz w:val="18"/>
                <w:szCs w:val="18"/>
              </w:rPr>
            </w:pPr>
            <w:r w:rsidRPr="007A4493">
              <w:rPr>
                <w:rFonts w:cs="Arial"/>
                <w:sz w:val="18"/>
                <w:szCs w:val="18"/>
              </w:rPr>
              <w:t>-0.6</w:t>
            </w:r>
          </w:p>
        </w:tc>
        <w:tc>
          <w:tcPr>
            <w:tcW w:w="761" w:type="dxa"/>
            <w:tcBorders>
              <w:top w:val="nil"/>
              <w:left w:val="single" w:sz="4" w:space="0" w:color="auto"/>
              <w:bottom w:val="nil"/>
              <w:right w:val="single" w:sz="4" w:space="0" w:color="auto"/>
            </w:tcBorders>
            <w:shd w:val="clear" w:color="auto" w:fill="auto"/>
            <w:noWrap/>
            <w:vAlign w:val="bottom"/>
          </w:tcPr>
          <w:p w14:paraId="491E5833" w14:textId="77777777" w:rsidR="000923BB" w:rsidRPr="007A4493" w:rsidRDefault="000923BB" w:rsidP="003A385F">
            <w:pPr>
              <w:jc w:val="right"/>
              <w:rPr>
                <w:rFonts w:cs="Arial"/>
                <w:sz w:val="18"/>
                <w:szCs w:val="18"/>
              </w:rPr>
            </w:pPr>
            <w:r w:rsidRPr="007A4493">
              <w:rPr>
                <w:rFonts w:cs="Arial"/>
                <w:sz w:val="18"/>
                <w:szCs w:val="18"/>
              </w:rPr>
              <w:t>0.3</w:t>
            </w:r>
          </w:p>
        </w:tc>
        <w:tc>
          <w:tcPr>
            <w:tcW w:w="739" w:type="dxa"/>
            <w:tcBorders>
              <w:top w:val="nil"/>
              <w:left w:val="single" w:sz="4" w:space="0" w:color="auto"/>
              <w:bottom w:val="nil"/>
              <w:right w:val="single" w:sz="4" w:space="0" w:color="auto"/>
            </w:tcBorders>
            <w:shd w:val="clear" w:color="auto" w:fill="auto"/>
            <w:noWrap/>
            <w:vAlign w:val="bottom"/>
          </w:tcPr>
          <w:p w14:paraId="2C2A801C" w14:textId="77777777" w:rsidR="000923BB" w:rsidRPr="007A4493" w:rsidRDefault="000923BB" w:rsidP="003A385F">
            <w:pPr>
              <w:jc w:val="right"/>
              <w:rPr>
                <w:rFonts w:cs="Arial"/>
                <w:sz w:val="18"/>
                <w:szCs w:val="18"/>
              </w:rPr>
            </w:pPr>
            <w:r w:rsidRPr="007A4493">
              <w:rPr>
                <w:rFonts w:cs="Arial"/>
                <w:sz w:val="18"/>
                <w:szCs w:val="18"/>
              </w:rPr>
              <w:t>0.541</w:t>
            </w:r>
          </w:p>
        </w:tc>
      </w:tr>
      <w:tr w:rsidR="000923BB" w14:paraId="35D6177C" w14:textId="77777777" w:rsidTr="00F244BB">
        <w:trPr>
          <w:trHeight w:val="255"/>
        </w:trPr>
        <w:tc>
          <w:tcPr>
            <w:tcW w:w="1478" w:type="dxa"/>
            <w:tcBorders>
              <w:top w:val="nil"/>
              <w:left w:val="single" w:sz="4" w:space="0" w:color="auto"/>
              <w:bottom w:val="nil"/>
              <w:right w:val="single" w:sz="4" w:space="0" w:color="auto"/>
            </w:tcBorders>
            <w:shd w:val="clear" w:color="auto" w:fill="auto"/>
            <w:noWrap/>
            <w:vAlign w:val="bottom"/>
          </w:tcPr>
          <w:p w14:paraId="0272A878" w14:textId="77777777" w:rsidR="000923BB" w:rsidRPr="007A4493" w:rsidRDefault="000923BB" w:rsidP="003A385F">
            <w:pPr>
              <w:rPr>
                <w:rFonts w:cs="Arial"/>
                <w:sz w:val="18"/>
                <w:szCs w:val="18"/>
              </w:rPr>
            </w:pPr>
            <w:r w:rsidRPr="007A4493">
              <w:rPr>
                <w:rFonts w:cs="Arial"/>
                <w:sz w:val="18"/>
                <w:szCs w:val="18"/>
              </w:rPr>
              <w:t>Holistic Pre-discharge phase</w:t>
            </w:r>
          </w:p>
        </w:tc>
        <w:tc>
          <w:tcPr>
            <w:tcW w:w="550" w:type="dxa"/>
            <w:tcBorders>
              <w:top w:val="nil"/>
              <w:left w:val="single" w:sz="4" w:space="0" w:color="auto"/>
              <w:bottom w:val="nil"/>
              <w:right w:val="nil"/>
            </w:tcBorders>
            <w:shd w:val="clear" w:color="auto" w:fill="auto"/>
            <w:noWrap/>
            <w:vAlign w:val="bottom"/>
          </w:tcPr>
          <w:p w14:paraId="03B5B5E0" w14:textId="77777777" w:rsidR="000923BB" w:rsidRPr="007A4493" w:rsidRDefault="000923BB" w:rsidP="003A385F">
            <w:pPr>
              <w:jc w:val="right"/>
              <w:rPr>
                <w:rFonts w:cs="Arial"/>
                <w:sz w:val="18"/>
                <w:szCs w:val="18"/>
              </w:rPr>
            </w:pPr>
            <w:r w:rsidRPr="007A4493">
              <w:rPr>
                <w:rFonts w:cs="Arial"/>
                <w:sz w:val="18"/>
                <w:szCs w:val="18"/>
              </w:rPr>
              <w:t>384</w:t>
            </w:r>
          </w:p>
        </w:tc>
        <w:tc>
          <w:tcPr>
            <w:tcW w:w="717" w:type="dxa"/>
            <w:tcBorders>
              <w:top w:val="nil"/>
              <w:left w:val="nil"/>
              <w:bottom w:val="nil"/>
              <w:right w:val="nil"/>
            </w:tcBorders>
            <w:shd w:val="clear" w:color="auto" w:fill="auto"/>
            <w:noWrap/>
            <w:vAlign w:val="bottom"/>
          </w:tcPr>
          <w:p w14:paraId="6D0F0148" w14:textId="77777777" w:rsidR="000923BB" w:rsidRPr="007A4493" w:rsidRDefault="000923BB" w:rsidP="003A385F">
            <w:pPr>
              <w:jc w:val="right"/>
              <w:rPr>
                <w:rFonts w:cs="Arial"/>
                <w:sz w:val="18"/>
                <w:szCs w:val="18"/>
              </w:rPr>
            </w:pPr>
            <w:r w:rsidRPr="007A4493">
              <w:rPr>
                <w:rFonts w:cs="Arial"/>
                <w:sz w:val="18"/>
                <w:szCs w:val="18"/>
              </w:rPr>
              <w:t>4.7</w:t>
            </w:r>
          </w:p>
        </w:tc>
        <w:tc>
          <w:tcPr>
            <w:tcW w:w="533" w:type="dxa"/>
            <w:tcBorders>
              <w:top w:val="nil"/>
              <w:left w:val="nil"/>
              <w:bottom w:val="nil"/>
              <w:right w:val="single" w:sz="4" w:space="0" w:color="auto"/>
            </w:tcBorders>
            <w:shd w:val="clear" w:color="auto" w:fill="auto"/>
            <w:noWrap/>
            <w:vAlign w:val="bottom"/>
          </w:tcPr>
          <w:p w14:paraId="73B10CBF" w14:textId="77777777" w:rsidR="000923BB" w:rsidRPr="007A4493" w:rsidRDefault="000923BB" w:rsidP="003A385F">
            <w:pPr>
              <w:jc w:val="right"/>
              <w:rPr>
                <w:rFonts w:cs="Arial"/>
                <w:sz w:val="18"/>
                <w:szCs w:val="18"/>
              </w:rPr>
            </w:pPr>
            <w:r w:rsidRPr="007A4493">
              <w:rPr>
                <w:rFonts w:cs="Arial"/>
                <w:sz w:val="18"/>
                <w:szCs w:val="18"/>
              </w:rPr>
              <w:t>1.0</w:t>
            </w:r>
          </w:p>
        </w:tc>
        <w:tc>
          <w:tcPr>
            <w:tcW w:w="550" w:type="dxa"/>
            <w:tcBorders>
              <w:top w:val="nil"/>
              <w:left w:val="single" w:sz="4" w:space="0" w:color="auto"/>
              <w:bottom w:val="nil"/>
              <w:right w:val="nil"/>
            </w:tcBorders>
            <w:shd w:val="clear" w:color="auto" w:fill="auto"/>
            <w:noWrap/>
            <w:vAlign w:val="bottom"/>
          </w:tcPr>
          <w:p w14:paraId="6A42F824" w14:textId="77777777" w:rsidR="000923BB" w:rsidRPr="007A4493" w:rsidRDefault="000923BB" w:rsidP="003A385F">
            <w:pPr>
              <w:jc w:val="right"/>
              <w:rPr>
                <w:rFonts w:cs="Arial"/>
                <w:sz w:val="18"/>
                <w:szCs w:val="18"/>
              </w:rPr>
            </w:pPr>
            <w:r w:rsidRPr="007A4493">
              <w:rPr>
                <w:rFonts w:cs="Arial"/>
                <w:sz w:val="18"/>
                <w:szCs w:val="18"/>
              </w:rPr>
              <w:t>300</w:t>
            </w:r>
          </w:p>
        </w:tc>
        <w:tc>
          <w:tcPr>
            <w:tcW w:w="717" w:type="dxa"/>
            <w:tcBorders>
              <w:top w:val="nil"/>
              <w:left w:val="nil"/>
              <w:bottom w:val="nil"/>
              <w:right w:val="nil"/>
            </w:tcBorders>
            <w:shd w:val="clear" w:color="auto" w:fill="auto"/>
            <w:noWrap/>
            <w:vAlign w:val="bottom"/>
          </w:tcPr>
          <w:p w14:paraId="2636678E" w14:textId="77777777" w:rsidR="000923BB" w:rsidRPr="007A4493" w:rsidRDefault="000923BB" w:rsidP="003A385F">
            <w:pPr>
              <w:jc w:val="right"/>
              <w:rPr>
                <w:rFonts w:cs="Arial"/>
                <w:sz w:val="18"/>
                <w:szCs w:val="18"/>
              </w:rPr>
            </w:pPr>
            <w:r w:rsidRPr="007A4493">
              <w:rPr>
                <w:rFonts w:cs="Arial"/>
                <w:sz w:val="18"/>
                <w:szCs w:val="18"/>
              </w:rPr>
              <w:t>4.3</w:t>
            </w:r>
          </w:p>
        </w:tc>
        <w:tc>
          <w:tcPr>
            <w:tcW w:w="495" w:type="dxa"/>
            <w:tcBorders>
              <w:top w:val="nil"/>
              <w:left w:val="nil"/>
              <w:bottom w:val="nil"/>
              <w:right w:val="single" w:sz="4" w:space="0" w:color="auto"/>
            </w:tcBorders>
            <w:shd w:val="clear" w:color="auto" w:fill="auto"/>
            <w:noWrap/>
            <w:vAlign w:val="bottom"/>
          </w:tcPr>
          <w:p w14:paraId="102F6A56" w14:textId="77777777" w:rsidR="000923BB" w:rsidRPr="007A4493" w:rsidRDefault="000923BB" w:rsidP="003A385F">
            <w:pPr>
              <w:jc w:val="right"/>
              <w:rPr>
                <w:rFonts w:cs="Arial"/>
                <w:sz w:val="18"/>
                <w:szCs w:val="18"/>
              </w:rPr>
            </w:pPr>
            <w:r w:rsidRPr="007A4493">
              <w:rPr>
                <w:rFonts w:cs="Arial"/>
                <w:sz w:val="18"/>
                <w:szCs w:val="18"/>
              </w:rPr>
              <w:t>1.4</w:t>
            </w:r>
          </w:p>
        </w:tc>
        <w:tc>
          <w:tcPr>
            <w:tcW w:w="717" w:type="dxa"/>
            <w:tcBorders>
              <w:top w:val="nil"/>
              <w:left w:val="single" w:sz="4" w:space="0" w:color="auto"/>
              <w:bottom w:val="nil"/>
              <w:right w:val="single" w:sz="4" w:space="0" w:color="auto"/>
            </w:tcBorders>
            <w:shd w:val="clear" w:color="auto" w:fill="auto"/>
            <w:noWrap/>
            <w:vAlign w:val="bottom"/>
          </w:tcPr>
          <w:p w14:paraId="060F1E1E" w14:textId="77777777" w:rsidR="000923BB" w:rsidRPr="007A4493" w:rsidRDefault="000923BB" w:rsidP="003A385F">
            <w:pPr>
              <w:jc w:val="right"/>
              <w:rPr>
                <w:rFonts w:cs="Arial"/>
                <w:sz w:val="18"/>
                <w:szCs w:val="18"/>
              </w:rPr>
            </w:pPr>
            <w:r w:rsidRPr="007A4493">
              <w:rPr>
                <w:rFonts w:cs="Arial"/>
                <w:sz w:val="18"/>
                <w:szCs w:val="18"/>
              </w:rPr>
              <w:t>-0.4</w:t>
            </w:r>
          </w:p>
        </w:tc>
        <w:tc>
          <w:tcPr>
            <w:tcW w:w="761" w:type="dxa"/>
            <w:tcBorders>
              <w:top w:val="nil"/>
              <w:left w:val="single" w:sz="4" w:space="0" w:color="auto"/>
              <w:bottom w:val="nil"/>
              <w:right w:val="single" w:sz="4" w:space="0" w:color="auto"/>
            </w:tcBorders>
            <w:shd w:val="clear" w:color="auto" w:fill="auto"/>
            <w:noWrap/>
            <w:vAlign w:val="bottom"/>
          </w:tcPr>
          <w:p w14:paraId="0D031335" w14:textId="77777777" w:rsidR="000923BB" w:rsidRPr="007A4493" w:rsidRDefault="000923BB" w:rsidP="003A385F">
            <w:pPr>
              <w:jc w:val="right"/>
              <w:rPr>
                <w:rFonts w:cs="Arial"/>
                <w:sz w:val="18"/>
                <w:szCs w:val="18"/>
              </w:rPr>
            </w:pPr>
            <w:r w:rsidRPr="007A4493">
              <w:rPr>
                <w:rFonts w:cs="Arial"/>
                <w:sz w:val="18"/>
                <w:szCs w:val="18"/>
              </w:rPr>
              <w:t>-1.0</w:t>
            </w:r>
          </w:p>
        </w:tc>
        <w:tc>
          <w:tcPr>
            <w:tcW w:w="761" w:type="dxa"/>
            <w:tcBorders>
              <w:top w:val="nil"/>
              <w:left w:val="single" w:sz="4" w:space="0" w:color="auto"/>
              <w:bottom w:val="nil"/>
              <w:right w:val="single" w:sz="4" w:space="0" w:color="auto"/>
            </w:tcBorders>
            <w:shd w:val="clear" w:color="auto" w:fill="auto"/>
            <w:noWrap/>
            <w:vAlign w:val="bottom"/>
          </w:tcPr>
          <w:p w14:paraId="4A049578" w14:textId="77777777" w:rsidR="000923BB" w:rsidRPr="007A4493" w:rsidRDefault="000923BB" w:rsidP="003A385F">
            <w:pPr>
              <w:jc w:val="right"/>
              <w:rPr>
                <w:rFonts w:cs="Arial"/>
                <w:sz w:val="18"/>
                <w:szCs w:val="18"/>
              </w:rPr>
            </w:pPr>
            <w:r w:rsidRPr="007A4493">
              <w:rPr>
                <w:rFonts w:cs="Arial"/>
                <w:sz w:val="18"/>
                <w:szCs w:val="18"/>
              </w:rPr>
              <w:t>0.1</w:t>
            </w:r>
          </w:p>
        </w:tc>
        <w:tc>
          <w:tcPr>
            <w:tcW w:w="739" w:type="dxa"/>
            <w:tcBorders>
              <w:top w:val="nil"/>
              <w:left w:val="single" w:sz="4" w:space="0" w:color="auto"/>
              <w:bottom w:val="nil"/>
              <w:right w:val="single" w:sz="4" w:space="0" w:color="auto"/>
            </w:tcBorders>
            <w:shd w:val="clear" w:color="auto" w:fill="auto"/>
            <w:noWrap/>
            <w:vAlign w:val="bottom"/>
          </w:tcPr>
          <w:p w14:paraId="2CE705CB" w14:textId="77777777" w:rsidR="000923BB" w:rsidRPr="007A4493" w:rsidRDefault="000923BB" w:rsidP="003A385F">
            <w:pPr>
              <w:jc w:val="right"/>
              <w:rPr>
                <w:rFonts w:cs="Arial"/>
                <w:sz w:val="18"/>
                <w:szCs w:val="18"/>
              </w:rPr>
            </w:pPr>
            <w:r w:rsidRPr="007A4493">
              <w:rPr>
                <w:rFonts w:cs="Arial"/>
                <w:sz w:val="18"/>
                <w:szCs w:val="18"/>
              </w:rPr>
              <w:t>0.122</w:t>
            </w:r>
          </w:p>
        </w:tc>
      </w:tr>
      <w:tr w:rsidR="000923BB" w14:paraId="20FCA79D" w14:textId="77777777" w:rsidTr="00F244BB">
        <w:trPr>
          <w:trHeight w:val="255"/>
        </w:trPr>
        <w:tc>
          <w:tcPr>
            <w:tcW w:w="1478" w:type="dxa"/>
            <w:tcBorders>
              <w:top w:val="nil"/>
              <w:left w:val="single" w:sz="4" w:space="0" w:color="auto"/>
              <w:bottom w:val="single" w:sz="4" w:space="0" w:color="auto"/>
              <w:right w:val="single" w:sz="4" w:space="0" w:color="auto"/>
            </w:tcBorders>
            <w:shd w:val="clear" w:color="auto" w:fill="auto"/>
            <w:noWrap/>
            <w:vAlign w:val="bottom"/>
          </w:tcPr>
          <w:p w14:paraId="714FC89C" w14:textId="77777777" w:rsidR="000923BB" w:rsidRPr="007A4493" w:rsidRDefault="000923BB" w:rsidP="003A385F">
            <w:pPr>
              <w:rPr>
                <w:rFonts w:cs="Arial"/>
                <w:sz w:val="18"/>
                <w:szCs w:val="18"/>
              </w:rPr>
            </w:pPr>
            <w:r w:rsidRPr="007A4493">
              <w:rPr>
                <w:rFonts w:cs="Arial"/>
                <w:sz w:val="18"/>
                <w:szCs w:val="18"/>
              </w:rPr>
              <w:t>Holistic Overall quality of care rating</w:t>
            </w:r>
          </w:p>
        </w:tc>
        <w:tc>
          <w:tcPr>
            <w:tcW w:w="550" w:type="dxa"/>
            <w:tcBorders>
              <w:top w:val="nil"/>
              <w:left w:val="single" w:sz="4" w:space="0" w:color="auto"/>
              <w:bottom w:val="single" w:sz="4" w:space="0" w:color="auto"/>
              <w:right w:val="nil"/>
            </w:tcBorders>
            <w:shd w:val="clear" w:color="auto" w:fill="auto"/>
            <w:noWrap/>
            <w:vAlign w:val="bottom"/>
          </w:tcPr>
          <w:p w14:paraId="1CCFFD56" w14:textId="77777777" w:rsidR="000923BB" w:rsidRPr="007A4493" w:rsidRDefault="000923BB" w:rsidP="003A385F">
            <w:pPr>
              <w:jc w:val="right"/>
              <w:rPr>
                <w:rFonts w:cs="Arial"/>
                <w:sz w:val="18"/>
                <w:szCs w:val="18"/>
              </w:rPr>
            </w:pPr>
            <w:r w:rsidRPr="007A4493">
              <w:rPr>
                <w:rFonts w:cs="Arial"/>
                <w:sz w:val="18"/>
                <w:szCs w:val="18"/>
              </w:rPr>
              <w:t>385</w:t>
            </w:r>
          </w:p>
        </w:tc>
        <w:tc>
          <w:tcPr>
            <w:tcW w:w="717" w:type="dxa"/>
            <w:tcBorders>
              <w:top w:val="nil"/>
              <w:left w:val="nil"/>
              <w:bottom w:val="single" w:sz="4" w:space="0" w:color="auto"/>
              <w:right w:val="nil"/>
            </w:tcBorders>
            <w:shd w:val="clear" w:color="auto" w:fill="auto"/>
            <w:noWrap/>
            <w:vAlign w:val="bottom"/>
          </w:tcPr>
          <w:p w14:paraId="72369F09" w14:textId="77777777" w:rsidR="000923BB" w:rsidRPr="007A4493" w:rsidRDefault="000923BB" w:rsidP="003A385F">
            <w:pPr>
              <w:jc w:val="right"/>
              <w:rPr>
                <w:rFonts w:cs="Arial"/>
                <w:sz w:val="18"/>
                <w:szCs w:val="18"/>
              </w:rPr>
            </w:pPr>
            <w:r w:rsidRPr="007A4493">
              <w:rPr>
                <w:rFonts w:cs="Arial"/>
                <w:sz w:val="18"/>
                <w:szCs w:val="18"/>
              </w:rPr>
              <w:t>4.6</w:t>
            </w:r>
          </w:p>
        </w:tc>
        <w:tc>
          <w:tcPr>
            <w:tcW w:w="533" w:type="dxa"/>
            <w:tcBorders>
              <w:top w:val="nil"/>
              <w:left w:val="nil"/>
              <w:bottom w:val="single" w:sz="4" w:space="0" w:color="auto"/>
              <w:right w:val="single" w:sz="4" w:space="0" w:color="auto"/>
            </w:tcBorders>
            <w:shd w:val="clear" w:color="auto" w:fill="auto"/>
            <w:noWrap/>
            <w:vAlign w:val="bottom"/>
          </w:tcPr>
          <w:p w14:paraId="34801175" w14:textId="77777777" w:rsidR="000923BB" w:rsidRPr="007A4493" w:rsidRDefault="000923BB" w:rsidP="003A385F">
            <w:pPr>
              <w:jc w:val="right"/>
              <w:rPr>
                <w:rFonts w:cs="Arial"/>
                <w:sz w:val="18"/>
                <w:szCs w:val="18"/>
              </w:rPr>
            </w:pPr>
            <w:r w:rsidRPr="007A4493">
              <w:rPr>
                <w:rFonts w:cs="Arial"/>
                <w:sz w:val="18"/>
                <w:szCs w:val="18"/>
              </w:rPr>
              <w:t>1.1</w:t>
            </w:r>
          </w:p>
        </w:tc>
        <w:tc>
          <w:tcPr>
            <w:tcW w:w="550" w:type="dxa"/>
            <w:tcBorders>
              <w:top w:val="nil"/>
              <w:left w:val="single" w:sz="4" w:space="0" w:color="auto"/>
              <w:bottom w:val="single" w:sz="4" w:space="0" w:color="auto"/>
              <w:right w:val="nil"/>
            </w:tcBorders>
            <w:shd w:val="clear" w:color="auto" w:fill="auto"/>
            <w:noWrap/>
            <w:vAlign w:val="bottom"/>
          </w:tcPr>
          <w:p w14:paraId="302A92A4" w14:textId="77777777" w:rsidR="000923BB" w:rsidRPr="007A4493" w:rsidRDefault="000923BB" w:rsidP="003A385F">
            <w:pPr>
              <w:jc w:val="right"/>
              <w:rPr>
                <w:rFonts w:cs="Arial"/>
                <w:sz w:val="18"/>
                <w:szCs w:val="18"/>
              </w:rPr>
            </w:pPr>
            <w:r w:rsidRPr="007A4493">
              <w:rPr>
                <w:rFonts w:cs="Arial"/>
                <w:sz w:val="18"/>
                <w:szCs w:val="18"/>
              </w:rPr>
              <w:t>308</w:t>
            </w:r>
          </w:p>
        </w:tc>
        <w:tc>
          <w:tcPr>
            <w:tcW w:w="717" w:type="dxa"/>
            <w:tcBorders>
              <w:top w:val="nil"/>
              <w:left w:val="nil"/>
              <w:bottom w:val="single" w:sz="4" w:space="0" w:color="auto"/>
              <w:right w:val="nil"/>
            </w:tcBorders>
            <w:shd w:val="clear" w:color="auto" w:fill="auto"/>
            <w:noWrap/>
            <w:vAlign w:val="bottom"/>
          </w:tcPr>
          <w:p w14:paraId="6C486EF3" w14:textId="77777777" w:rsidR="000923BB" w:rsidRPr="007A4493" w:rsidRDefault="000923BB" w:rsidP="003A385F">
            <w:pPr>
              <w:jc w:val="right"/>
              <w:rPr>
                <w:rFonts w:cs="Arial"/>
                <w:sz w:val="18"/>
                <w:szCs w:val="18"/>
              </w:rPr>
            </w:pPr>
            <w:r w:rsidRPr="007A4493">
              <w:rPr>
                <w:rFonts w:cs="Arial"/>
                <w:sz w:val="18"/>
                <w:szCs w:val="18"/>
              </w:rPr>
              <w:t>4.2</w:t>
            </w:r>
          </w:p>
        </w:tc>
        <w:tc>
          <w:tcPr>
            <w:tcW w:w="495" w:type="dxa"/>
            <w:tcBorders>
              <w:top w:val="nil"/>
              <w:left w:val="nil"/>
              <w:bottom w:val="single" w:sz="4" w:space="0" w:color="auto"/>
              <w:right w:val="single" w:sz="4" w:space="0" w:color="auto"/>
            </w:tcBorders>
            <w:shd w:val="clear" w:color="auto" w:fill="auto"/>
            <w:noWrap/>
            <w:vAlign w:val="bottom"/>
          </w:tcPr>
          <w:p w14:paraId="31D54428" w14:textId="77777777" w:rsidR="000923BB" w:rsidRPr="007A4493" w:rsidRDefault="000923BB" w:rsidP="003A385F">
            <w:pPr>
              <w:jc w:val="right"/>
              <w:rPr>
                <w:rFonts w:cs="Arial"/>
                <w:sz w:val="18"/>
                <w:szCs w:val="18"/>
              </w:rPr>
            </w:pPr>
            <w:r w:rsidRPr="007A4493">
              <w:rPr>
                <w:rFonts w:cs="Arial"/>
                <w:sz w:val="18"/>
                <w:szCs w:val="18"/>
              </w:rPr>
              <w:t>1.4</w:t>
            </w:r>
          </w:p>
        </w:tc>
        <w:tc>
          <w:tcPr>
            <w:tcW w:w="717" w:type="dxa"/>
            <w:tcBorders>
              <w:top w:val="nil"/>
              <w:left w:val="single" w:sz="4" w:space="0" w:color="auto"/>
              <w:bottom w:val="single" w:sz="4" w:space="0" w:color="auto"/>
              <w:right w:val="single" w:sz="4" w:space="0" w:color="auto"/>
            </w:tcBorders>
            <w:shd w:val="clear" w:color="auto" w:fill="auto"/>
            <w:noWrap/>
            <w:vAlign w:val="bottom"/>
          </w:tcPr>
          <w:p w14:paraId="5DA49150" w14:textId="77777777" w:rsidR="000923BB" w:rsidRPr="007A4493" w:rsidRDefault="000923BB" w:rsidP="003A385F">
            <w:pPr>
              <w:jc w:val="right"/>
              <w:rPr>
                <w:rFonts w:cs="Arial"/>
                <w:sz w:val="18"/>
                <w:szCs w:val="18"/>
              </w:rPr>
            </w:pPr>
            <w:r w:rsidRPr="007A4493">
              <w:rPr>
                <w:rFonts w:cs="Arial"/>
                <w:sz w:val="18"/>
                <w:szCs w:val="18"/>
              </w:rPr>
              <w:t>-0.4</w:t>
            </w:r>
          </w:p>
        </w:tc>
        <w:tc>
          <w:tcPr>
            <w:tcW w:w="761" w:type="dxa"/>
            <w:tcBorders>
              <w:top w:val="nil"/>
              <w:left w:val="single" w:sz="4" w:space="0" w:color="auto"/>
              <w:bottom w:val="single" w:sz="4" w:space="0" w:color="auto"/>
              <w:right w:val="single" w:sz="4" w:space="0" w:color="auto"/>
            </w:tcBorders>
            <w:shd w:val="clear" w:color="auto" w:fill="auto"/>
            <w:noWrap/>
            <w:vAlign w:val="bottom"/>
          </w:tcPr>
          <w:p w14:paraId="0D67A1A7" w14:textId="77777777" w:rsidR="000923BB" w:rsidRPr="007A4493" w:rsidRDefault="000923BB" w:rsidP="003A385F">
            <w:pPr>
              <w:jc w:val="right"/>
              <w:rPr>
                <w:rFonts w:cs="Arial"/>
                <w:sz w:val="18"/>
                <w:szCs w:val="18"/>
              </w:rPr>
            </w:pPr>
            <w:r w:rsidRPr="007A4493">
              <w:rPr>
                <w:rFonts w:cs="Arial"/>
                <w:sz w:val="18"/>
                <w:szCs w:val="18"/>
              </w:rPr>
              <w:t>-0.9</w:t>
            </w:r>
          </w:p>
        </w:tc>
        <w:tc>
          <w:tcPr>
            <w:tcW w:w="761" w:type="dxa"/>
            <w:tcBorders>
              <w:top w:val="nil"/>
              <w:left w:val="single" w:sz="4" w:space="0" w:color="auto"/>
              <w:bottom w:val="single" w:sz="4" w:space="0" w:color="auto"/>
              <w:right w:val="single" w:sz="4" w:space="0" w:color="auto"/>
            </w:tcBorders>
            <w:shd w:val="clear" w:color="auto" w:fill="auto"/>
            <w:noWrap/>
            <w:vAlign w:val="bottom"/>
          </w:tcPr>
          <w:p w14:paraId="5BB1333F" w14:textId="77777777" w:rsidR="000923BB" w:rsidRPr="007A4493" w:rsidRDefault="000923BB" w:rsidP="003A385F">
            <w:pPr>
              <w:jc w:val="right"/>
              <w:rPr>
                <w:rFonts w:cs="Arial"/>
                <w:sz w:val="18"/>
                <w:szCs w:val="18"/>
              </w:rPr>
            </w:pPr>
            <w:r w:rsidRPr="007A4493">
              <w:rPr>
                <w:rFonts w:cs="Arial"/>
                <w:sz w:val="18"/>
                <w:szCs w:val="18"/>
              </w:rPr>
              <w:t>0.1</w:t>
            </w:r>
          </w:p>
        </w:tc>
        <w:tc>
          <w:tcPr>
            <w:tcW w:w="739" w:type="dxa"/>
            <w:tcBorders>
              <w:top w:val="nil"/>
              <w:left w:val="single" w:sz="4" w:space="0" w:color="auto"/>
              <w:bottom w:val="single" w:sz="4" w:space="0" w:color="auto"/>
              <w:right w:val="single" w:sz="4" w:space="0" w:color="auto"/>
            </w:tcBorders>
            <w:shd w:val="clear" w:color="auto" w:fill="auto"/>
            <w:noWrap/>
            <w:vAlign w:val="bottom"/>
          </w:tcPr>
          <w:p w14:paraId="3807DED7" w14:textId="77777777" w:rsidR="000923BB" w:rsidRPr="007A4493" w:rsidRDefault="000923BB" w:rsidP="003A385F">
            <w:pPr>
              <w:jc w:val="right"/>
              <w:rPr>
                <w:rFonts w:cs="Arial"/>
                <w:sz w:val="18"/>
                <w:szCs w:val="18"/>
              </w:rPr>
            </w:pPr>
            <w:r w:rsidRPr="007A4493">
              <w:rPr>
                <w:rFonts w:cs="Arial"/>
                <w:sz w:val="18"/>
                <w:szCs w:val="18"/>
              </w:rPr>
              <w:t>0.115</w:t>
            </w:r>
          </w:p>
        </w:tc>
      </w:tr>
    </w:tbl>
    <w:p w14:paraId="17B6ECC8" w14:textId="77777777" w:rsidR="000923BB" w:rsidRDefault="000923BB" w:rsidP="000923BB">
      <w:pPr>
        <w:rPr>
          <w:rFonts w:cs="Arial"/>
          <w:sz w:val="16"/>
          <w:szCs w:val="16"/>
        </w:rPr>
      </w:pPr>
      <w:r w:rsidRPr="00846B77">
        <w:rPr>
          <w:rFonts w:cs="Arial"/>
          <w:sz w:val="16"/>
          <w:szCs w:val="16"/>
        </w:rPr>
        <w:t xml:space="preserve">Mean difference is the mean score for case notes of patients in lower mortality group hospitals minus mean score </w:t>
      </w:r>
    </w:p>
    <w:p w14:paraId="5FA677B7" w14:textId="77777777" w:rsidR="000923BB" w:rsidRPr="00846B77" w:rsidRDefault="000923BB" w:rsidP="000923BB">
      <w:pPr>
        <w:rPr>
          <w:rFonts w:cs="Arial"/>
          <w:sz w:val="16"/>
          <w:szCs w:val="16"/>
        </w:rPr>
      </w:pPr>
      <w:r w:rsidRPr="00846B77">
        <w:rPr>
          <w:rFonts w:cs="Arial"/>
          <w:sz w:val="16"/>
          <w:szCs w:val="16"/>
        </w:rPr>
        <w:t>for the higher mortality group.</w:t>
      </w:r>
    </w:p>
    <w:p w14:paraId="104B9720" w14:textId="77777777" w:rsidR="000923BB" w:rsidRPr="0006184D" w:rsidRDefault="000923BB" w:rsidP="000923BB">
      <w:pPr>
        <w:rPr>
          <w:rFonts w:cs="Arial"/>
          <w:sz w:val="16"/>
          <w:szCs w:val="16"/>
        </w:rPr>
      </w:pPr>
      <w:r w:rsidRPr="0006184D">
        <w:rPr>
          <w:rFonts w:cs="Arial"/>
          <w:sz w:val="16"/>
          <w:szCs w:val="16"/>
        </w:rPr>
        <w:t>The P-values and confidence intervals were adjusted for clustering by reviewer.</w:t>
      </w:r>
    </w:p>
    <w:p w14:paraId="3EF172D4" w14:textId="77777777" w:rsidR="000923BB" w:rsidRPr="005717F0" w:rsidRDefault="000923BB" w:rsidP="000923BB">
      <w:pPr>
        <w:rPr>
          <w:rFonts w:cs="Arial"/>
          <w:sz w:val="20"/>
          <w:szCs w:val="20"/>
        </w:rPr>
      </w:pPr>
    </w:p>
    <w:p w14:paraId="4FCEFE70" w14:textId="77777777" w:rsidR="000923BB" w:rsidRDefault="000923BB" w:rsidP="000923BB">
      <w:pPr>
        <w:jc w:val="both"/>
        <w:rPr>
          <w:rFonts w:cs="Arial"/>
          <w:b/>
        </w:rPr>
      </w:pPr>
    </w:p>
    <w:p w14:paraId="5303FD35" w14:textId="77777777" w:rsidR="00DD0924" w:rsidRDefault="000923BB" w:rsidP="00F244BB">
      <w:pPr>
        <w:jc w:val="both"/>
        <w:rPr>
          <w:rFonts w:cs="Arial"/>
          <w:b/>
          <w:sz w:val="20"/>
          <w:szCs w:val="20"/>
        </w:rPr>
      </w:pPr>
      <w:r>
        <w:rPr>
          <w:rFonts w:cs="Arial"/>
          <w:sz w:val="22"/>
        </w:rPr>
        <w:t>The similarities between the quality of care scores in the upper and lower hospitals are further demonstrated when the r</w:t>
      </w:r>
      <w:r w:rsidRPr="003E2F8D">
        <w:rPr>
          <w:rFonts w:cs="Arial"/>
          <w:sz w:val="22"/>
        </w:rPr>
        <w:t xml:space="preserve">elationship between mean overall and mean phase holistic scale scores and </w:t>
      </w:r>
      <w:r>
        <w:rPr>
          <w:rFonts w:cs="Arial"/>
          <w:sz w:val="22"/>
        </w:rPr>
        <w:t>ranke</w:t>
      </w:r>
      <w:r w:rsidRPr="003E2F8D">
        <w:rPr>
          <w:rFonts w:cs="Arial"/>
          <w:sz w:val="22"/>
        </w:rPr>
        <w:t>d mortality</w:t>
      </w:r>
      <w:r>
        <w:rPr>
          <w:rFonts w:cs="Arial"/>
          <w:sz w:val="22"/>
        </w:rPr>
        <w:t xml:space="preserve"> is explored.  </w:t>
      </w:r>
      <w:r>
        <w:rPr>
          <w:rFonts w:cs="Arial"/>
          <w:sz w:val="22"/>
          <w:szCs w:val="22"/>
        </w:rPr>
        <w:t xml:space="preserve">Tables 5 - 8 show the relationships between holistic scores </w:t>
      </w:r>
      <w:r w:rsidRPr="000549B8">
        <w:rPr>
          <w:rFonts w:cs="Arial"/>
          <w:sz w:val="22"/>
          <w:szCs w:val="22"/>
        </w:rPr>
        <w:t>(</w:t>
      </w:r>
      <w:r>
        <w:rPr>
          <w:rFonts w:cs="Arial"/>
          <w:sz w:val="22"/>
          <w:szCs w:val="22"/>
        </w:rPr>
        <w:t xml:space="preserve">ranging from </w:t>
      </w:r>
      <w:r w:rsidRPr="000549B8">
        <w:rPr>
          <w:rFonts w:cs="Arial"/>
          <w:sz w:val="22"/>
          <w:szCs w:val="22"/>
        </w:rPr>
        <w:t xml:space="preserve">1 = unsatisfactory to 6 = </w:t>
      </w:r>
      <w:r>
        <w:rPr>
          <w:rFonts w:cs="Arial"/>
          <w:sz w:val="22"/>
          <w:szCs w:val="22"/>
        </w:rPr>
        <w:t>very best care</w:t>
      </w:r>
      <w:r w:rsidRPr="000549B8">
        <w:rPr>
          <w:rFonts w:cs="Arial"/>
          <w:sz w:val="22"/>
          <w:szCs w:val="22"/>
        </w:rPr>
        <w:t>)</w:t>
      </w:r>
      <w:r>
        <w:rPr>
          <w:rFonts w:cs="Arial"/>
          <w:sz w:val="22"/>
          <w:szCs w:val="22"/>
        </w:rPr>
        <w:t xml:space="preserve"> and ranked mortality.  No significant differences in scores were found between the upper and lower mortality groups of hospitals.</w:t>
      </w:r>
    </w:p>
    <w:p w14:paraId="5B15B105" w14:textId="77777777" w:rsidR="00DD0924" w:rsidRDefault="00DD0924" w:rsidP="000923BB">
      <w:pPr>
        <w:rPr>
          <w:rFonts w:cs="Arial"/>
          <w:b/>
          <w:sz w:val="20"/>
          <w:szCs w:val="20"/>
        </w:rPr>
      </w:pPr>
    </w:p>
    <w:p w14:paraId="6A34F3B1" w14:textId="77777777" w:rsidR="00DD0924" w:rsidRDefault="00DD0924" w:rsidP="000923BB">
      <w:pPr>
        <w:rPr>
          <w:rFonts w:cs="Arial"/>
          <w:b/>
          <w:sz w:val="20"/>
          <w:szCs w:val="20"/>
        </w:rPr>
      </w:pPr>
    </w:p>
    <w:p w14:paraId="0C75B634" w14:textId="77777777" w:rsidR="00DD0924" w:rsidRDefault="00DD0924" w:rsidP="000923BB">
      <w:pPr>
        <w:rPr>
          <w:rFonts w:cs="Arial"/>
          <w:b/>
          <w:sz w:val="20"/>
          <w:szCs w:val="20"/>
        </w:rPr>
      </w:pPr>
    </w:p>
    <w:p w14:paraId="1ADBA7C2" w14:textId="77777777" w:rsidR="00DD0924" w:rsidRDefault="00DD0924">
      <w:pPr>
        <w:rPr>
          <w:rFonts w:cs="Arial"/>
          <w:b/>
          <w:sz w:val="20"/>
          <w:szCs w:val="20"/>
        </w:rPr>
      </w:pPr>
      <w:r>
        <w:rPr>
          <w:rFonts w:cs="Arial"/>
          <w:b/>
          <w:sz w:val="20"/>
          <w:szCs w:val="20"/>
        </w:rPr>
        <w:br w:type="page"/>
      </w:r>
    </w:p>
    <w:p w14:paraId="77BF8029" w14:textId="77777777" w:rsidR="000923BB" w:rsidRPr="00694519" w:rsidRDefault="000923BB" w:rsidP="000923BB">
      <w:pPr>
        <w:rPr>
          <w:rFonts w:cs="Arial"/>
          <w:b/>
          <w:sz w:val="20"/>
          <w:szCs w:val="20"/>
        </w:rPr>
      </w:pPr>
      <w:r w:rsidRPr="00694519">
        <w:rPr>
          <w:rFonts w:cs="Arial"/>
          <w:b/>
          <w:sz w:val="20"/>
          <w:szCs w:val="20"/>
        </w:rPr>
        <w:lastRenderedPageBreak/>
        <w:t>Table 5: COPD - Mean holistic overall score by mortality group</w:t>
      </w:r>
    </w:p>
    <w:p w14:paraId="08A49810" w14:textId="77777777" w:rsidR="000923BB" w:rsidRPr="00C537CD" w:rsidRDefault="000923BB" w:rsidP="000923BB">
      <w:pPr>
        <w:rPr>
          <w:rFonts w:cs="Arial"/>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2"/>
        <w:gridCol w:w="1948"/>
        <w:gridCol w:w="2084"/>
        <w:gridCol w:w="1952"/>
      </w:tblGrid>
      <w:tr w:rsidR="000923BB" w:rsidRPr="00F955C6" w14:paraId="282486CD" w14:textId="77777777" w:rsidTr="00617D2F">
        <w:trPr>
          <w:trHeight w:val="407"/>
        </w:trPr>
        <w:tc>
          <w:tcPr>
            <w:tcW w:w="2112" w:type="dxa"/>
          </w:tcPr>
          <w:p w14:paraId="2D6A5855" w14:textId="77777777" w:rsidR="000923BB" w:rsidRPr="00F955C6" w:rsidRDefault="000923BB" w:rsidP="003A385F">
            <w:pPr>
              <w:rPr>
                <w:rFonts w:cs="Arial"/>
                <w:sz w:val="18"/>
                <w:szCs w:val="18"/>
              </w:rPr>
            </w:pPr>
          </w:p>
        </w:tc>
        <w:tc>
          <w:tcPr>
            <w:tcW w:w="1948" w:type="dxa"/>
          </w:tcPr>
          <w:p w14:paraId="63CB8965" w14:textId="77777777" w:rsidR="000923BB" w:rsidRPr="00F955C6" w:rsidRDefault="000923BB" w:rsidP="003A385F">
            <w:pPr>
              <w:jc w:val="center"/>
              <w:rPr>
                <w:rFonts w:cs="Arial"/>
                <w:sz w:val="18"/>
                <w:szCs w:val="18"/>
              </w:rPr>
            </w:pPr>
            <w:r w:rsidRPr="00F955C6">
              <w:rPr>
                <w:rFonts w:cs="Arial"/>
                <w:sz w:val="18"/>
                <w:szCs w:val="18"/>
              </w:rPr>
              <w:t>Mean (SD)</w:t>
            </w:r>
          </w:p>
        </w:tc>
        <w:tc>
          <w:tcPr>
            <w:tcW w:w="2084" w:type="dxa"/>
          </w:tcPr>
          <w:p w14:paraId="1262E3B3" w14:textId="77777777" w:rsidR="000923BB" w:rsidRPr="00F955C6" w:rsidRDefault="000923BB" w:rsidP="003A385F">
            <w:pPr>
              <w:jc w:val="center"/>
              <w:rPr>
                <w:rFonts w:cs="Arial"/>
                <w:sz w:val="18"/>
                <w:szCs w:val="18"/>
              </w:rPr>
            </w:pPr>
            <w:r w:rsidRPr="00F955C6">
              <w:rPr>
                <w:rFonts w:cs="Arial"/>
                <w:sz w:val="18"/>
                <w:szCs w:val="18"/>
              </w:rPr>
              <w:t>Median</w:t>
            </w:r>
          </w:p>
        </w:tc>
        <w:tc>
          <w:tcPr>
            <w:tcW w:w="1952" w:type="dxa"/>
          </w:tcPr>
          <w:p w14:paraId="76C6151A" w14:textId="77777777" w:rsidR="000923BB" w:rsidRPr="00F955C6" w:rsidRDefault="000923BB" w:rsidP="003A385F">
            <w:pPr>
              <w:jc w:val="center"/>
              <w:rPr>
                <w:rFonts w:cs="Arial"/>
                <w:sz w:val="18"/>
                <w:szCs w:val="18"/>
              </w:rPr>
            </w:pPr>
            <w:r w:rsidRPr="00F955C6">
              <w:rPr>
                <w:rFonts w:cs="Arial"/>
                <w:sz w:val="18"/>
                <w:szCs w:val="18"/>
              </w:rPr>
              <w:t>Range</w:t>
            </w:r>
          </w:p>
        </w:tc>
      </w:tr>
      <w:tr w:rsidR="000923BB" w:rsidRPr="00F955C6" w14:paraId="1C4FE1DE" w14:textId="77777777" w:rsidTr="00617D2F">
        <w:trPr>
          <w:trHeight w:val="627"/>
        </w:trPr>
        <w:tc>
          <w:tcPr>
            <w:tcW w:w="2112" w:type="dxa"/>
          </w:tcPr>
          <w:p w14:paraId="1C541FCC" w14:textId="77777777" w:rsidR="000923BB" w:rsidRPr="00F955C6" w:rsidRDefault="000923BB" w:rsidP="003A385F">
            <w:pPr>
              <w:rPr>
                <w:rFonts w:cs="Arial"/>
                <w:sz w:val="18"/>
                <w:szCs w:val="18"/>
              </w:rPr>
            </w:pPr>
            <w:r w:rsidRPr="00F955C6">
              <w:rPr>
                <w:rFonts w:cs="Arial"/>
                <w:sz w:val="18"/>
                <w:szCs w:val="18"/>
              </w:rPr>
              <w:t>Higher mortality hospital group (N = 10)</w:t>
            </w:r>
          </w:p>
        </w:tc>
        <w:tc>
          <w:tcPr>
            <w:tcW w:w="1948" w:type="dxa"/>
          </w:tcPr>
          <w:p w14:paraId="625486DC" w14:textId="77777777" w:rsidR="000923BB" w:rsidRPr="00F955C6" w:rsidRDefault="000923BB" w:rsidP="003A385F">
            <w:pPr>
              <w:jc w:val="center"/>
              <w:rPr>
                <w:rFonts w:cs="Arial"/>
                <w:sz w:val="18"/>
                <w:szCs w:val="18"/>
              </w:rPr>
            </w:pPr>
            <w:r w:rsidRPr="00F955C6">
              <w:rPr>
                <w:rFonts w:cs="Arial"/>
                <w:sz w:val="18"/>
                <w:szCs w:val="18"/>
              </w:rPr>
              <w:t>4.3 (0.62)</w:t>
            </w:r>
          </w:p>
        </w:tc>
        <w:tc>
          <w:tcPr>
            <w:tcW w:w="2084" w:type="dxa"/>
          </w:tcPr>
          <w:p w14:paraId="5FC69723" w14:textId="77777777" w:rsidR="000923BB" w:rsidRPr="00F955C6" w:rsidRDefault="000923BB" w:rsidP="003A385F">
            <w:pPr>
              <w:jc w:val="center"/>
              <w:rPr>
                <w:rFonts w:cs="Arial"/>
                <w:sz w:val="18"/>
                <w:szCs w:val="18"/>
              </w:rPr>
            </w:pPr>
            <w:r w:rsidRPr="00F955C6">
              <w:rPr>
                <w:rFonts w:cs="Arial"/>
                <w:sz w:val="18"/>
                <w:szCs w:val="18"/>
              </w:rPr>
              <w:t>4.4</w:t>
            </w:r>
          </w:p>
        </w:tc>
        <w:tc>
          <w:tcPr>
            <w:tcW w:w="1952" w:type="dxa"/>
          </w:tcPr>
          <w:p w14:paraId="60A10529" w14:textId="77777777" w:rsidR="000923BB" w:rsidRPr="00F955C6" w:rsidRDefault="000923BB" w:rsidP="003A385F">
            <w:pPr>
              <w:jc w:val="center"/>
              <w:rPr>
                <w:rFonts w:cs="Arial"/>
                <w:sz w:val="18"/>
                <w:szCs w:val="18"/>
              </w:rPr>
            </w:pPr>
            <w:r w:rsidRPr="00F955C6">
              <w:rPr>
                <w:rFonts w:cs="Arial"/>
                <w:sz w:val="18"/>
                <w:szCs w:val="18"/>
              </w:rPr>
              <w:t>2.9 to 5.0</w:t>
            </w:r>
          </w:p>
        </w:tc>
      </w:tr>
      <w:tr w:rsidR="000923BB" w:rsidRPr="00F955C6" w14:paraId="0E40956A" w14:textId="77777777" w:rsidTr="00617D2F">
        <w:trPr>
          <w:trHeight w:val="627"/>
        </w:trPr>
        <w:tc>
          <w:tcPr>
            <w:tcW w:w="2112" w:type="dxa"/>
          </w:tcPr>
          <w:p w14:paraId="3F98D1AC" w14:textId="77777777" w:rsidR="000923BB" w:rsidRPr="00F955C6" w:rsidRDefault="000923BB" w:rsidP="003A385F">
            <w:pPr>
              <w:rPr>
                <w:rFonts w:cs="Arial"/>
                <w:sz w:val="18"/>
                <w:szCs w:val="18"/>
              </w:rPr>
            </w:pPr>
            <w:r w:rsidRPr="00F955C6">
              <w:rPr>
                <w:rFonts w:cs="Arial"/>
                <w:sz w:val="18"/>
                <w:szCs w:val="18"/>
              </w:rPr>
              <w:t>Lower mortality hospital group (N = 10)</w:t>
            </w:r>
          </w:p>
        </w:tc>
        <w:tc>
          <w:tcPr>
            <w:tcW w:w="1948" w:type="dxa"/>
          </w:tcPr>
          <w:p w14:paraId="64B08D06" w14:textId="77777777" w:rsidR="000923BB" w:rsidRPr="00F955C6" w:rsidRDefault="000923BB" w:rsidP="003A385F">
            <w:pPr>
              <w:jc w:val="center"/>
              <w:rPr>
                <w:rFonts w:cs="Arial"/>
                <w:sz w:val="18"/>
                <w:szCs w:val="18"/>
              </w:rPr>
            </w:pPr>
            <w:r w:rsidRPr="00F955C6">
              <w:rPr>
                <w:rFonts w:cs="Arial"/>
                <w:sz w:val="18"/>
                <w:szCs w:val="18"/>
              </w:rPr>
              <w:t>4.5 (0.56)</w:t>
            </w:r>
          </w:p>
        </w:tc>
        <w:tc>
          <w:tcPr>
            <w:tcW w:w="2084" w:type="dxa"/>
          </w:tcPr>
          <w:p w14:paraId="641EFB57" w14:textId="77777777" w:rsidR="000923BB" w:rsidRPr="00F955C6" w:rsidRDefault="000923BB" w:rsidP="003A385F">
            <w:pPr>
              <w:jc w:val="center"/>
              <w:rPr>
                <w:rFonts w:cs="Arial"/>
                <w:sz w:val="18"/>
                <w:szCs w:val="18"/>
              </w:rPr>
            </w:pPr>
            <w:r w:rsidRPr="00F955C6">
              <w:rPr>
                <w:rFonts w:cs="Arial"/>
                <w:sz w:val="18"/>
                <w:szCs w:val="18"/>
              </w:rPr>
              <w:t>4.5</w:t>
            </w:r>
          </w:p>
        </w:tc>
        <w:tc>
          <w:tcPr>
            <w:tcW w:w="1952" w:type="dxa"/>
          </w:tcPr>
          <w:p w14:paraId="139D227B" w14:textId="77777777" w:rsidR="000923BB" w:rsidRPr="00F955C6" w:rsidRDefault="000923BB" w:rsidP="003A385F">
            <w:pPr>
              <w:jc w:val="center"/>
              <w:rPr>
                <w:rFonts w:cs="Arial"/>
                <w:sz w:val="18"/>
                <w:szCs w:val="18"/>
              </w:rPr>
            </w:pPr>
            <w:r w:rsidRPr="00F955C6">
              <w:rPr>
                <w:rFonts w:cs="Arial"/>
                <w:sz w:val="18"/>
                <w:szCs w:val="18"/>
              </w:rPr>
              <w:t>3.7 to 5.5</w:t>
            </w:r>
          </w:p>
        </w:tc>
      </w:tr>
    </w:tbl>
    <w:p w14:paraId="5EB0B6FB" w14:textId="77777777" w:rsidR="000923BB" w:rsidRDefault="000923BB" w:rsidP="000923BB">
      <w:pPr>
        <w:rPr>
          <w:rFonts w:cs="Arial"/>
          <w:sz w:val="22"/>
          <w:szCs w:val="22"/>
        </w:rPr>
      </w:pPr>
    </w:p>
    <w:p w14:paraId="3C68B338" w14:textId="77777777" w:rsidR="000923BB" w:rsidRDefault="000923BB" w:rsidP="000923BB">
      <w:pPr>
        <w:rPr>
          <w:rFonts w:cs="Arial"/>
          <w:sz w:val="22"/>
          <w:szCs w:val="22"/>
        </w:rPr>
      </w:pPr>
      <w:r>
        <w:rPr>
          <w:rFonts w:cs="Arial"/>
          <w:sz w:val="22"/>
          <w:szCs w:val="22"/>
        </w:rPr>
        <w:t>There were no statistically significant differences in mean scores per mortality group</w:t>
      </w:r>
      <w:r w:rsidR="00617D2F">
        <w:rPr>
          <w:rFonts w:cs="Arial"/>
          <w:sz w:val="22"/>
          <w:szCs w:val="22"/>
        </w:rPr>
        <w:t xml:space="preserve"> </w:t>
      </w:r>
      <w:r>
        <w:rPr>
          <w:rFonts w:cs="Arial"/>
          <w:sz w:val="22"/>
          <w:szCs w:val="22"/>
        </w:rPr>
        <w:t xml:space="preserve"> (t = -0.83, p = 0.418).</w:t>
      </w:r>
    </w:p>
    <w:p w14:paraId="17B044BC" w14:textId="77777777" w:rsidR="000923BB" w:rsidRPr="00694519" w:rsidRDefault="000923BB" w:rsidP="000923BB">
      <w:pPr>
        <w:rPr>
          <w:rFonts w:cs="Arial"/>
          <w:sz w:val="20"/>
          <w:szCs w:val="20"/>
        </w:rPr>
      </w:pPr>
    </w:p>
    <w:p w14:paraId="6049AE85" w14:textId="77777777" w:rsidR="000923BB" w:rsidRPr="00694519" w:rsidRDefault="000923BB" w:rsidP="000923BB">
      <w:pPr>
        <w:rPr>
          <w:rFonts w:cs="Arial"/>
          <w:b/>
          <w:sz w:val="20"/>
          <w:szCs w:val="20"/>
        </w:rPr>
      </w:pPr>
      <w:r w:rsidRPr="00694519">
        <w:rPr>
          <w:rFonts w:cs="Arial"/>
          <w:b/>
          <w:sz w:val="20"/>
          <w:szCs w:val="20"/>
        </w:rPr>
        <w:t>Table 6: Heart Failure -</w:t>
      </w:r>
      <w:r w:rsidRPr="00694519">
        <w:rPr>
          <w:rFonts w:cs="Arial"/>
          <w:sz w:val="20"/>
          <w:szCs w:val="20"/>
        </w:rPr>
        <w:t xml:space="preserve"> </w:t>
      </w:r>
      <w:r w:rsidRPr="00694519">
        <w:rPr>
          <w:rFonts w:cs="Arial"/>
          <w:b/>
          <w:sz w:val="20"/>
          <w:szCs w:val="20"/>
        </w:rPr>
        <w:t>Mean holistic overall score by mortality group</w:t>
      </w:r>
    </w:p>
    <w:p w14:paraId="05B91670" w14:textId="77777777" w:rsidR="000923BB" w:rsidRPr="00C537CD" w:rsidRDefault="000923BB" w:rsidP="000923BB">
      <w:pPr>
        <w:rPr>
          <w:rFonts w:cs="Arial"/>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1"/>
        <w:gridCol w:w="1956"/>
        <w:gridCol w:w="2092"/>
        <w:gridCol w:w="1961"/>
      </w:tblGrid>
      <w:tr w:rsidR="000923BB" w:rsidRPr="00F955C6" w14:paraId="0CE14DBA" w14:textId="77777777" w:rsidTr="00617D2F">
        <w:trPr>
          <w:trHeight w:val="399"/>
        </w:trPr>
        <w:tc>
          <w:tcPr>
            <w:tcW w:w="2121" w:type="dxa"/>
          </w:tcPr>
          <w:p w14:paraId="289E6C4E" w14:textId="77777777" w:rsidR="000923BB" w:rsidRPr="00F955C6" w:rsidRDefault="000923BB" w:rsidP="003A385F">
            <w:pPr>
              <w:rPr>
                <w:rFonts w:cs="Arial"/>
                <w:sz w:val="18"/>
                <w:szCs w:val="18"/>
              </w:rPr>
            </w:pPr>
          </w:p>
        </w:tc>
        <w:tc>
          <w:tcPr>
            <w:tcW w:w="1956" w:type="dxa"/>
          </w:tcPr>
          <w:p w14:paraId="60ADA6DA" w14:textId="77777777" w:rsidR="000923BB" w:rsidRPr="00F955C6" w:rsidRDefault="000923BB" w:rsidP="003A385F">
            <w:pPr>
              <w:jc w:val="center"/>
              <w:rPr>
                <w:rFonts w:cs="Arial"/>
                <w:sz w:val="18"/>
                <w:szCs w:val="18"/>
              </w:rPr>
            </w:pPr>
            <w:r w:rsidRPr="00F955C6">
              <w:rPr>
                <w:rFonts w:cs="Arial"/>
                <w:sz w:val="18"/>
                <w:szCs w:val="18"/>
              </w:rPr>
              <w:t>Mean (SD)</w:t>
            </w:r>
          </w:p>
        </w:tc>
        <w:tc>
          <w:tcPr>
            <w:tcW w:w="2092" w:type="dxa"/>
          </w:tcPr>
          <w:p w14:paraId="00E6F415" w14:textId="77777777" w:rsidR="000923BB" w:rsidRPr="00F955C6" w:rsidRDefault="000923BB" w:rsidP="003A385F">
            <w:pPr>
              <w:jc w:val="center"/>
              <w:rPr>
                <w:rFonts w:cs="Arial"/>
                <w:sz w:val="18"/>
                <w:szCs w:val="18"/>
              </w:rPr>
            </w:pPr>
            <w:r w:rsidRPr="00F955C6">
              <w:rPr>
                <w:rFonts w:cs="Arial"/>
                <w:sz w:val="18"/>
                <w:szCs w:val="18"/>
              </w:rPr>
              <w:t>Median</w:t>
            </w:r>
          </w:p>
        </w:tc>
        <w:tc>
          <w:tcPr>
            <w:tcW w:w="1961" w:type="dxa"/>
          </w:tcPr>
          <w:p w14:paraId="372E78E9" w14:textId="77777777" w:rsidR="000923BB" w:rsidRPr="00F955C6" w:rsidRDefault="000923BB" w:rsidP="003A385F">
            <w:pPr>
              <w:jc w:val="center"/>
              <w:rPr>
                <w:rFonts w:cs="Arial"/>
                <w:sz w:val="18"/>
                <w:szCs w:val="18"/>
              </w:rPr>
            </w:pPr>
            <w:r w:rsidRPr="00F955C6">
              <w:rPr>
                <w:rFonts w:cs="Arial"/>
                <w:sz w:val="18"/>
                <w:szCs w:val="18"/>
              </w:rPr>
              <w:t>Range</w:t>
            </w:r>
          </w:p>
        </w:tc>
      </w:tr>
      <w:tr w:rsidR="000923BB" w:rsidRPr="00F955C6" w14:paraId="61A0DEB0" w14:textId="77777777" w:rsidTr="00617D2F">
        <w:trPr>
          <w:trHeight w:val="614"/>
        </w:trPr>
        <w:tc>
          <w:tcPr>
            <w:tcW w:w="2121" w:type="dxa"/>
          </w:tcPr>
          <w:p w14:paraId="3A6F97A9" w14:textId="77777777" w:rsidR="000923BB" w:rsidRPr="00F955C6" w:rsidRDefault="000923BB" w:rsidP="003A385F">
            <w:pPr>
              <w:rPr>
                <w:rFonts w:cs="Arial"/>
                <w:sz w:val="18"/>
                <w:szCs w:val="18"/>
              </w:rPr>
            </w:pPr>
            <w:r w:rsidRPr="00F955C6">
              <w:rPr>
                <w:rFonts w:cs="Arial"/>
                <w:sz w:val="18"/>
                <w:szCs w:val="18"/>
              </w:rPr>
              <w:t>Higher mortality hospital group (N = 10)</w:t>
            </w:r>
          </w:p>
        </w:tc>
        <w:tc>
          <w:tcPr>
            <w:tcW w:w="1956" w:type="dxa"/>
          </w:tcPr>
          <w:p w14:paraId="661A05FC" w14:textId="77777777" w:rsidR="000923BB" w:rsidRPr="00F955C6" w:rsidRDefault="000923BB" w:rsidP="003A385F">
            <w:pPr>
              <w:jc w:val="center"/>
              <w:rPr>
                <w:rFonts w:cs="Arial"/>
                <w:sz w:val="18"/>
                <w:szCs w:val="18"/>
              </w:rPr>
            </w:pPr>
            <w:r w:rsidRPr="00F955C6">
              <w:rPr>
                <w:rFonts w:cs="Arial"/>
                <w:sz w:val="18"/>
                <w:szCs w:val="18"/>
              </w:rPr>
              <w:t>4.2 (0.58)</w:t>
            </w:r>
          </w:p>
        </w:tc>
        <w:tc>
          <w:tcPr>
            <w:tcW w:w="2092" w:type="dxa"/>
          </w:tcPr>
          <w:p w14:paraId="0F647B5A" w14:textId="77777777" w:rsidR="000923BB" w:rsidRPr="00F955C6" w:rsidRDefault="000923BB" w:rsidP="003A385F">
            <w:pPr>
              <w:jc w:val="center"/>
              <w:rPr>
                <w:rFonts w:cs="Arial"/>
                <w:sz w:val="18"/>
                <w:szCs w:val="18"/>
              </w:rPr>
            </w:pPr>
            <w:r w:rsidRPr="00F955C6">
              <w:rPr>
                <w:rFonts w:cs="Arial"/>
                <w:sz w:val="18"/>
                <w:szCs w:val="18"/>
              </w:rPr>
              <w:t>4.1</w:t>
            </w:r>
          </w:p>
        </w:tc>
        <w:tc>
          <w:tcPr>
            <w:tcW w:w="1961" w:type="dxa"/>
          </w:tcPr>
          <w:p w14:paraId="1CDCE744" w14:textId="77777777" w:rsidR="000923BB" w:rsidRPr="00F955C6" w:rsidRDefault="000923BB" w:rsidP="003A385F">
            <w:pPr>
              <w:jc w:val="center"/>
              <w:rPr>
                <w:rFonts w:cs="Arial"/>
                <w:sz w:val="18"/>
                <w:szCs w:val="18"/>
              </w:rPr>
            </w:pPr>
            <w:r w:rsidRPr="00F955C6">
              <w:rPr>
                <w:rFonts w:cs="Arial"/>
                <w:sz w:val="18"/>
                <w:szCs w:val="18"/>
              </w:rPr>
              <w:t>3.1 to 5.1</w:t>
            </w:r>
          </w:p>
        </w:tc>
      </w:tr>
      <w:tr w:rsidR="000923BB" w:rsidRPr="00F955C6" w14:paraId="6155A45F" w14:textId="77777777" w:rsidTr="00617D2F">
        <w:trPr>
          <w:trHeight w:val="614"/>
        </w:trPr>
        <w:tc>
          <w:tcPr>
            <w:tcW w:w="2121" w:type="dxa"/>
          </w:tcPr>
          <w:p w14:paraId="738BEE9C" w14:textId="77777777" w:rsidR="000923BB" w:rsidRPr="00F955C6" w:rsidRDefault="000923BB" w:rsidP="003A385F">
            <w:pPr>
              <w:rPr>
                <w:rFonts w:cs="Arial"/>
                <w:sz w:val="18"/>
                <w:szCs w:val="18"/>
              </w:rPr>
            </w:pPr>
            <w:r w:rsidRPr="00F955C6">
              <w:rPr>
                <w:rFonts w:cs="Arial"/>
                <w:sz w:val="18"/>
                <w:szCs w:val="18"/>
              </w:rPr>
              <w:t>Lower mortality hospital group (N = 10)</w:t>
            </w:r>
          </w:p>
        </w:tc>
        <w:tc>
          <w:tcPr>
            <w:tcW w:w="1956" w:type="dxa"/>
          </w:tcPr>
          <w:p w14:paraId="5A4DCD5B" w14:textId="77777777" w:rsidR="000923BB" w:rsidRPr="00F955C6" w:rsidRDefault="000923BB" w:rsidP="003A385F">
            <w:pPr>
              <w:jc w:val="center"/>
              <w:rPr>
                <w:rFonts w:cs="Arial"/>
                <w:sz w:val="18"/>
                <w:szCs w:val="18"/>
              </w:rPr>
            </w:pPr>
            <w:r w:rsidRPr="00F955C6">
              <w:rPr>
                <w:rFonts w:cs="Arial"/>
                <w:sz w:val="18"/>
                <w:szCs w:val="18"/>
              </w:rPr>
              <w:t>4.6 (0.38)</w:t>
            </w:r>
          </w:p>
        </w:tc>
        <w:tc>
          <w:tcPr>
            <w:tcW w:w="2092" w:type="dxa"/>
          </w:tcPr>
          <w:p w14:paraId="75CC1178" w14:textId="77777777" w:rsidR="000923BB" w:rsidRPr="00F955C6" w:rsidRDefault="000923BB" w:rsidP="003A385F">
            <w:pPr>
              <w:jc w:val="center"/>
              <w:rPr>
                <w:rFonts w:cs="Arial"/>
                <w:sz w:val="18"/>
                <w:szCs w:val="18"/>
              </w:rPr>
            </w:pPr>
            <w:r w:rsidRPr="00F955C6">
              <w:rPr>
                <w:rFonts w:cs="Arial"/>
                <w:sz w:val="18"/>
                <w:szCs w:val="18"/>
              </w:rPr>
              <w:t>4.6</w:t>
            </w:r>
          </w:p>
        </w:tc>
        <w:tc>
          <w:tcPr>
            <w:tcW w:w="1961" w:type="dxa"/>
          </w:tcPr>
          <w:p w14:paraId="30C71AA3" w14:textId="77777777" w:rsidR="000923BB" w:rsidRPr="00F955C6" w:rsidRDefault="000923BB" w:rsidP="003A385F">
            <w:pPr>
              <w:jc w:val="center"/>
              <w:rPr>
                <w:rFonts w:cs="Arial"/>
                <w:sz w:val="18"/>
                <w:szCs w:val="18"/>
              </w:rPr>
            </w:pPr>
            <w:r w:rsidRPr="00F955C6">
              <w:rPr>
                <w:rFonts w:cs="Arial"/>
                <w:sz w:val="18"/>
                <w:szCs w:val="18"/>
              </w:rPr>
              <w:t>3.9 to 5.1</w:t>
            </w:r>
          </w:p>
        </w:tc>
      </w:tr>
    </w:tbl>
    <w:p w14:paraId="2D8FC374" w14:textId="77777777" w:rsidR="000923BB" w:rsidRDefault="000923BB" w:rsidP="000923BB">
      <w:pPr>
        <w:rPr>
          <w:rFonts w:cs="Arial"/>
          <w:sz w:val="22"/>
          <w:szCs w:val="22"/>
        </w:rPr>
      </w:pPr>
    </w:p>
    <w:p w14:paraId="7F4A050A" w14:textId="77777777" w:rsidR="000923BB" w:rsidRDefault="000923BB" w:rsidP="000923BB">
      <w:pPr>
        <w:rPr>
          <w:rFonts w:cs="Arial"/>
          <w:sz w:val="22"/>
          <w:szCs w:val="22"/>
        </w:rPr>
      </w:pPr>
      <w:r>
        <w:rPr>
          <w:rFonts w:cs="Arial"/>
          <w:sz w:val="22"/>
          <w:szCs w:val="22"/>
        </w:rPr>
        <w:t>There were no statistically significant differences in mean scores per mortality group</w:t>
      </w:r>
      <w:r w:rsidR="00617D2F">
        <w:rPr>
          <w:rFonts w:cs="Arial"/>
          <w:sz w:val="22"/>
          <w:szCs w:val="22"/>
        </w:rPr>
        <w:t xml:space="preserve"> </w:t>
      </w:r>
      <w:r>
        <w:rPr>
          <w:rFonts w:cs="Arial"/>
          <w:sz w:val="22"/>
          <w:szCs w:val="22"/>
        </w:rPr>
        <w:t xml:space="preserve"> (t = -1.75, p = 0.097).</w:t>
      </w:r>
    </w:p>
    <w:p w14:paraId="55B050E9" w14:textId="77777777" w:rsidR="000923BB" w:rsidRDefault="000923BB" w:rsidP="000923BB">
      <w:pPr>
        <w:rPr>
          <w:rFonts w:cs="Arial"/>
          <w:sz w:val="22"/>
        </w:rPr>
      </w:pPr>
    </w:p>
    <w:p w14:paraId="681CD348" w14:textId="77777777" w:rsidR="000923BB" w:rsidRPr="00694519" w:rsidRDefault="000923BB" w:rsidP="000923BB">
      <w:pPr>
        <w:autoSpaceDE w:val="0"/>
        <w:autoSpaceDN w:val="0"/>
        <w:adjustRightInd w:val="0"/>
        <w:jc w:val="both"/>
        <w:rPr>
          <w:rFonts w:cs="Arial"/>
          <w:b/>
          <w:sz w:val="20"/>
          <w:szCs w:val="20"/>
        </w:rPr>
      </w:pPr>
      <w:r w:rsidRPr="00694519">
        <w:rPr>
          <w:rFonts w:cs="Arial"/>
          <w:b/>
          <w:sz w:val="20"/>
          <w:szCs w:val="20"/>
        </w:rPr>
        <w:t>Table 7: COPD - Mean holistic phase score by mortality group</w:t>
      </w:r>
    </w:p>
    <w:p w14:paraId="34E26CCA" w14:textId="77777777" w:rsidR="000923BB" w:rsidRDefault="000923BB" w:rsidP="000923BB">
      <w:pPr>
        <w:rPr>
          <w:rFonts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2"/>
        <w:gridCol w:w="2109"/>
        <w:gridCol w:w="2110"/>
        <w:gridCol w:w="1977"/>
      </w:tblGrid>
      <w:tr w:rsidR="000923BB" w:rsidRPr="00F955C6" w14:paraId="466885E2" w14:textId="77777777" w:rsidTr="00617D2F">
        <w:trPr>
          <w:trHeight w:val="426"/>
        </w:trPr>
        <w:tc>
          <w:tcPr>
            <w:tcW w:w="2002" w:type="dxa"/>
          </w:tcPr>
          <w:p w14:paraId="6D744FFB" w14:textId="77777777" w:rsidR="000923BB" w:rsidRPr="00F955C6" w:rsidRDefault="000923BB" w:rsidP="003A385F">
            <w:pPr>
              <w:rPr>
                <w:rFonts w:cs="Arial"/>
                <w:sz w:val="18"/>
                <w:szCs w:val="18"/>
              </w:rPr>
            </w:pPr>
          </w:p>
        </w:tc>
        <w:tc>
          <w:tcPr>
            <w:tcW w:w="2109" w:type="dxa"/>
          </w:tcPr>
          <w:p w14:paraId="222D3EC8" w14:textId="77777777" w:rsidR="000923BB" w:rsidRPr="00F955C6" w:rsidRDefault="000923BB" w:rsidP="003A385F">
            <w:pPr>
              <w:jc w:val="center"/>
              <w:rPr>
                <w:rFonts w:cs="Arial"/>
                <w:sz w:val="18"/>
                <w:szCs w:val="18"/>
              </w:rPr>
            </w:pPr>
            <w:r w:rsidRPr="00F955C6">
              <w:rPr>
                <w:rFonts w:cs="Arial"/>
                <w:sz w:val="18"/>
                <w:szCs w:val="18"/>
              </w:rPr>
              <w:t>Mean (SD)</w:t>
            </w:r>
          </w:p>
        </w:tc>
        <w:tc>
          <w:tcPr>
            <w:tcW w:w="2110" w:type="dxa"/>
          </w:tcPr>
          <w:p w14:paraId="3CCE3607" w14:textId="77777777" w:rsidR="000923BB" w:rsidRPr="00F955C6" w:rsidRDefault="000923BB" w:rsidP="003A385F">
            <w:pPr>
              <w:jc w:val="center"/>
              <w:rPr>
                <w:rFonts w:cs="Arial"/>
                <w:sz w:val="18"/>
                <w:szCs w:val="18"/>
              </w:rPr>
            </w:pPr>
            <w:r w:rsidRPr="00F955C6">
              <w:rPr>
                <w:rFonts w:cs="Arial"/>
                <w:sz w:val="18"/>
                <w:szCs w:val="18"/>
              </w:rPr>
              <w:t>Median</w:t>
            </w:r>
          </w:p>
        </w:tc>
        <w:tc>
          <w:tcPr>
            <w:tcW w:w="1977" w:type="dxa"/>
          </w:tcPr>
          <w:p w14:paraId="4DFB8D4C" w14:textId="77777777" w:rsidR="000923BB" w:rsidRPr="00F955C6" w:rsidRDefault="000923BB" w:rsidP="003A385F">
            <w:pPr>
              <w:jc w:val="center"/>
              <w:rPr>
                <w:rFonts w:cs="Arial"/>
                <w:sz w:val="18"/>
                <w:szCs w:val="18"/>
              </w:rPr>
            </w:pPr>
            <w:r w:rsidRPr="00F955C6">
              <w:rPr>
                <w:rFonts w:cs="Arial"/>
                <w:sz w:val="18"/>
                <w:szCs w:val="18"/>
              </w:rPr>
              <w:t>Range</w:t>
            </w:r>
          </w:p>
        </w:tc>
      </w:tr>
      <w:tr w:rsidR="000923BB" w:rsidRPr="00F955C6" w14:paraId="3A81E846" w14:textId="77777777" w:rsidTr="00617D2F">
        <w:trPr>
          <w:trHeight w:val="884"/>
        </w:trPr>
        <w:tc>
          <w:tcPr>
            <w:tcW w:w="2002" w:type="dxa"/>
          </w:tcPr>
          <w:p w14:paraId="32E510CF" w14:textId="77777777" w:rsidR="000923BB" w:rsidRPr="00F955C6" w:rsidRDefault="000923BB" w:rsidP="003A385F">
            <w:pPr>
              <w:rPr>
                <w:rFonts w:cs="Arial"/>
                <w:sz w:val="18"/>
                <w:szCs w:val="18"/>
              </w:rPr>
            </w:pPr>
            <w:r w:rsidRPr="00F955C6">
              <w:rPr>
                <w:rFonts w:cs="Arial"/>
                <w:sz w:val="18"/>
                <w:szCs w:val="18"/>
              </w:rPr>
              <w:t>Higher mortality hospital group (N = 10)</w:t>
            </w:r>
          </w:p>
        </w:tc>
        <w:tc>
          <w:tcPr>
            <w:tcW w:w="2109" w:type="dxa"/>
          </w:tcPr>
          <w:p w14:paraId="18C2A9A5" w14:textId="77777777" w:rsidR="000923BB" w:rsidRPr="00F955C6" w:rsidRDefault="000923BB" w:rsidP="003A385F">
            <w:pPr>
              <w:jc w:val="center"/>
              <w:rPr>
                <w:rFonts w:cs="Arial"/>
                <w:sz w:val="18"/>
                <w:szCs w:val="18"/>
              </w:rPr>
            </w:pPr>
            <w:r w:rsidRPr="00F955C6">
              <w:rPr>
                <w:rFonts w:cs="Arial"/>
                <w:sz w:val="18"/>
                <w:szCs w:val="18"/>
              </w:rPr>
              <w:t>13.4 (1.65)</w:t>
            </w:r>
          </w:p>
        </w:tc>
        <w:tc>
          <w:tcPr>
            <w:tcW w:w="2110" w:type="dxa"/>
          </w:tcPr>
          <w:p w14:paraId="7EF2ED9D" w14:textId="77777777" w:rsidR="000923BB" w:rsidRPr="00F955C6" w:rsidRDefault="000923BB" w:rsidP="003A385F">
            <w:pPr>
              <w:jc w:val="center"/>
              <w:rPr>
                <w:rFonts w:cs="Arial"/>
                <w:sz w:val="18"/>
                <w:szCs w:val="18"/>
              </w:rPr>
            </w:pPr>
            <w:r w:rsidRPr="00F955C6">
              <w:rPr>
                <w:rFonts w:cs="Arial"/>
                <w:sz w:val="18"/>
                <w:szCs w:val="18"/>
              </w:rPr>
              <w:t>13.6</w:t>
            </w:r>
          </w:p>
        </w:tc>
        <w:tc>
          <w:tcPr>
            <w:tcW w:w="1977" w:type="dxa"/>
          </w:tcPr>
          <w:p w14:paraId="48929599" w14:textId="77777777" w:rsidR="000923BB" w:rsidRPr="00F955C6" w:rsidRDefault="000923BB" w:rsidP="003A385F">
            <w:pPr>
              <w:jc w:val="center"/>
              <w:rPr>
                <w:rFonts w:cs="Arial"/>
                <w:sz w:val="18"/>
                <w:szCs w:val="18"/>
              </w:rPr>
            </w:pPr>
            <w:r w:rsidRPr="00F955C6">
              <w:rPr>
                <w:rFonts w:cs="Arial"/>
                <w:sz w:val="18"/>
                <w:szCs w:val="18"/>
              </w:rPr>
              <w:t>10.2 to 15.2</w:t>
            </w:r>
          </w:p>
        </w:tc>
      </w:tr>
      <w:tr w:rsidR="000923BB" w:rsidRPr="00F955C6" w14:paraId="42EAEB2D" w14:textId="77777777" w:rsidTr="00617D2F">
        <w:trPr>
          <w:trHeight w:val="901"/>
        </w:trPr>
        <w:tc>
          <w:tcPr>
            <w:tcW w:w="2002" w:type="dxa"/>
          </w:tcPr>
          <w:p w14:paraId="24B8892B" w14:textId="77777777" w:rsidR="000923BB" w:rsidRPr="00F955C6" w:rsidRDefault="000923BB" w:rsidP="003A385F">
            <w:pPr>
              <w:rPr>
                <w:rFonts w:cs="Arial"/>
                <w:sz w:val="18"/>
                <w:szCs w:val="18"/>
              </w:rPr>
            </w:pPr>
            <w:r w:rsidRPr="00F955C6">
              <w:rPr>
                <w:rFonts w:cs="Arial"/>
                <w:sz w:val="18"/>
                <w:szCs w:val="18"/>
              </w:rPr>
              <w:t>Lower mortality hospital group (N = 10)</w:t>
            </w:r>
          </w:p>
        </w:tc>
        <w:tc>
          <w:tcPr>
            <w:tcW w:w="2109" w:type="dxa"/>
          </w:tcPr>
          <w:p w14:paraId="5672F1E3" w14:textId="77777777" w:rsidR="000923BB" w:rsidRPr="00F955C6" w:rsidRDefault="000923BB" w:rsidP="003A385F">
            <w:pPr>
              <w:jc w:val="center"/>
              <w:rPr>
                <w:rFonts w:cs="Arial"/>
                <w:sz w:val="18"/>
                <w:szCs w:val="18"/>
              </w:rPr>
            </w:pPr>
            <w:r w:rsidRPr="00F955C6">
              <w:rPr>
                <w:rFonts w:cs="Arial"/>
                <w:sz w:val="18"/>
                <w:szCs w:val="18"/>
              </w:rPr>
              <w:t>13.9 (1.30)</w:t>
            </w:r>
          </w:p>
        </w:tc>
        <w:tc>
          <w:tcPr>
            <w:tcW w:w="2110" w:type="dxa"/>
          </w:tcPr>
          <w:p w14:paraId="12B6854F" w14:textId="77777777" w:rsidR="000923BB" w:rsidRPr="00F955C6" w:rsidRDefault="000923BB" w:rsidP="003A385F">
            <w:pPr>
              <w:jc w:val="center"/>
              <w:rPr>
                <w:rFonts w:cs="Arial"/>
                <w:sz w:val="18"/>
                <w:szCs w:val="18"/>
              </w:rPr>
            </w:pPr>
            <w:r w:rsidRPr="00F955C6">
              <w:rPr>
                <w:rFonts w:cs="Arial"/>
                <w:sz w:val="18"/>
                <w:szCs w:val="18"/>
              </w:rPr>
              <w:t>14.0</w:t>
            </w:r>
          </w:p>
        </w:tc>
        <w:tc>
          <w:tcPr>
            <w:tcW w:w="1977" w:type="dxa"/>
          </w:tcPr>
          <w:p w14:paraId="7F24D421" w14:textId="77777777" w:rsidR="000923BB" w:rsidRPr="00F955C6" w:rsidRDefault="000923BB" w:rsidP="003A385F">
            <w:pPr>
              <w:jc w:val="center"/>
              <w:rPr>
                <w:rFonts w:cs="Arial"/>
                <w:sz w:val="18"/>
                <w:szCs w:val="18"/>
              </w:rPr>
            </w:pPr>
            <w:r w:rsidRPr="00F955C6">
              <w:rPr>
                <w:rFonts w:cs="Arial"/>
                <w:sz w:val="18"/>
                <w:szCs w:val="18"/>
              </w:rPr>
              <w:t>11.6 to 16.1</w:t>
            </w:r>
          </w:p>
        </w:tc>
      </w:tr>
    </w:tbl>
    <w:p w14:paraId="494CFA7C" w14:textId="77777777" w:rsidR="000923BB" w:rsidRDefault="000923BB" w:rsidP="000923BB">
      <w:pPr>
        <w:rPr>
          <w:rFonts w:cs="Arial"/>
          <w:sz w:val="22"/>
          <w:szCs w:val="22"/>
        </w:rPr>
      </w:pPr>
    </w:p>
    <w:p w14:paraId="2932386C" w14:textId="77777777" w:rsidR="000923BB" w:rsidRDefault="000923BB" w:rsidP="000923BB">
      <w:pPr>
        <w:rPr>
          <w:rFonts w:cs="Arial"/>
          <w:sz w:val="22"/>
          <w:szCs w:val="22"/>
        </w:rPr>
      </w:pPr>
      <w:r>
        <w:rPr>
          <w:rFonts w:cs="Arial"/>
          <w:sz w:val="22"/>
          <w:szCs w:val="22"/>
        </w:rPr>
        <w:t>There were no statistically significant differences in mean scores per mortality group</w:t>
      </w:r>
      <w:r w:rsidR="00617D2F">
        <w:rPr>
          <w:rFonts w:cs="Arial"/>
          <w:sz w:val="22"/>
          <w:szCs w:val="22"/>
        </w:rPr>
        <w:t xml:space="preserve"> </w:t>
      </w:r>
      <w:r>
        <w:rPr>
          <w:rFonts w:cs="Arial"/>
          <w:sz w:val="22"/>
          <w:szCs w:val="22"/>
        </w:rPr>
        <w:t xml:space="preserve"> (t = -0.77, p = 0.453).</w:t>
      </w:r>
    </w:p>
    <w:p w14:paraId="06AB44C1" w14:textId="77777777" w:rsidR="000923BB" w:rsidRDefault="000923BB" w:rsidP="000923BB">
      <w:pPr>
        <w:rPr>
          <w:rFonts w:cs="Arial"/>
          <w:sz w:val="22"/>
        </w:rPr>
      </w:pPr>
    </w:p>
    <w:p w14:paraId="73795875" w14:textId="77777777" w:rsidR="000923BB" w:rsidRPr="00694519" w:rsidRDefault="000923BB" w:rsidP="000923BB">
      <w:pPr>
        <w:rPr>
          <w:rFonts w:cs="Arial"/>
          <w:b/>
          <w:sz w:val="20"/>
          <w:szCs w:val="20"/>
        </w:rPr>
      </w:pPr>
      <w:r w:rsidRPr="00694519">
        <w:rPr>
          <w:rFonts w:cs="Arial"/>
          <w:b/>
          <w:sz w:val="20"/>
          <w:szCs w:val="20"/>
        </w:rPr>
        <w:lastRenderedPageBreak/>
        <w:t>Table 8: Heart Failure - Mean holistic phase score by mortality group</w:t>
      </w:r>
    </w:p>
    <w:p w14:paraId="11437120" w14:textId="77777777" w:rsidR="000923BB" w:rsidRPr="00A71350" w:rsidRDefault="000923BB" w:rsidP="000923BB">
      <w:pPr>
        <w:rPr>
          <w:rFonts w:cs="Arial"/>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0"/>
        <w:gridCol w:w="2128"/>
        <w:gridCol w:w="2129"/>
        <w:gridCol w:w="1995"/>
      </w:tblGrid>
      <w:tr w:rsidR="000923BB" w:rsidRPr="00F955C6" w14:paraId="0EEF8367" w14:textId="77777777" w:rsidTr="003A385F">
        <w:tc>
          <w:tcPr>
            <w:tcW w:w="2022" w:type="dxa"/>
          </w:tcPr>
          <w:p w14:paraId="63578C66" w14:textId="77777777" w:rsidR="000923BB" w:rsidRPr="00F955C6" w:rsidRDefault="000923BB" w:rsidP="003A385F">
            <w:pPr>
              <w:rPr>
                <w:rFonts w:cs="Arial"/>
                <w:sz w:val="18"/>
                <w:szCs w:val="18"/>
              </w:rPr>
            </w:pPr>
          </w:p>
        </w:tc>
        <w:tc>
          <w:tcPr>
            <w:tcW w:w="2130" w:type="dxa"/>
          </w:tcPr>
          <w:p w14:paraId="30B2129A" w14:textId="77777777" w:rsidR="000923BB" w:rsidRPr="00F955C6" w:rsidRDefault="000923BB" w:rsidP="003A385F">
            <w:pPr>
              <w:jc w:val="center"/>
              <w:rPr>
                <w:rFonts w:cs="Arial"/>
                <w:sz w:val="18"/>
                <w:szCs w:val="18"/>
              </w:rPr>
            </w:pPr>
            <w:r w:rsidRPr="00F955C6">
              <w:rPr>
                <w:rFonts w:cs="Arial"/>
                <w:sz w:val="18"/>
                <w:szCs w:val="18"/>
              </w:rPr>
              <w:t>Mean (SD)</w:t>
            </w:r>
          </w:p>
        </w:tc>
        <w:tc>
          <w:tcPr>
            <w:tcW w:w="2131" w:type="dxa"/>
          </w:tcPr>
          <w:p w14:paraId="3A8066DA" w14:textId="77777777" w:rsidR="000923BB" w:rsidRPr="00F955C6" w:rsidRDefault="000923BB" w:rsidP="003A385F">
            <w:pPr>
              <w:jc w:val="center"/>
              <w:rPr>
                <w:rFonts w:cs="Arial"/>
                <w:sz w:val="18"/>
                <w:szCs w:val="18"/>
              </w:rPr>
            </w:pPr>
            <w:r w:rsidRPr="00F955C6">
              <w:rPr>
                <w:rFonts w:cs="Arial"/>
                <w:sz w:val="18"/>
                <w:szCs w:val="18"/>
              </w:rPr>
              <w:t>Median</w:t>
            </w:r>
          </w:p>
        </w:tc>
        <w:tc>
          <w:tcPr>
            <w:tcW w:w="1997" w:type="dxa"/>
          </w:tcPr>
          <w:p w14:paraId="6AF688EB" w14:textId="77777777" w:rsidR="000923BB" w:rsidRPr="00F955C6" w:rsidRDefault="000923BB" w:rsidP="003A385F">
            <w:pPr>
              <w:jc w:val="center"/>
              <w:rPr>
                <w:rFonts w:cs="Arial"/>
                <w:sz w:val="18"/>
                <w:szCs w:val="18"/>
              </w:rPr>
            </w:pPr>
            <w:r w:rsidRPr="00F955C6">
              <w:rPr>
                <w:rFonts w:cs="Arial"/>
                <w:sz w:val="18"/>
                <w:szCs w:val="18"/>
              </w:rPr>
              <w:t>Range</w:t>
            </w:r>
          </w:p>
        </w:tc>
      </w:tr>
      <w:tr w:rsidR="000923BB" w:rsidRPr="00F955C6" w14:paraId="23BE1684" w14:textId="77777777" w:rsidTr="003A385F">
        <w:tc>
          <w:tcPr>
            <w:tcW w:w="2022" w:type="dxa"/>
          </w:tcPr>
          <w:p w14:paraId="1590CCC7" w14:textId="77777777" w:rsidR="000923BB" w:rsidRPr="00F955C6" w:rsidRDefault="000923BB" w:rsidP="003A385F">
            <w:pPr>
              <w:rPr>
                <w:rFonts w:cs="Arial"/>
                <w:sz w:val="18"/>
                <w:szCs w:val="18"/>
              </w:rPr>
            </w:pPr>
            <w:r w:rsidRPr="00F955C6">
              <w:rPr>
                <w:rFonts w:cs="Arial"/>
                <w:sz w:val="18"/>
                <w:szCs w:val="18"/>
              </w:rPr>
              <w:t>Higher mortality hospital group (N = 10)</w:t>
            </w:r>
          </w:p>
        </w:tc>
        <w:tc>
          <w:tcPr>
            <w:tcW w:w="2130" w:type="dxa"/>
          </w:tcPr>
          <w:p w14:paraId="6F0CB745" w14:textId="77777777" w:rsidR="000923BB" w:rsidRPr="00F955C6" w:rsidRDefault="000923BB" w:rsidP="003A385F">
            <w:pPr>
              <w:jc w:val="center"/>
              <w:rPr>
                <w:rFonts w:cs="Arial"/>
                <w:sz w:val="18"/>
                <w:szCs w:val="18"/>
              </w:rPr>
            </w:pPr>
            <w:r w:rsidRPr="00F955C6">
              <w:rPr>
                <w:rFonts w:cs="Arial"/>
                <w:sz w:val="18"/>
                <w:szCs w:val="18"/>
              </w:rPr>
              <w:t>13.0 (1.83)</w:t>
            </w:r>
          </w:p>
        </w:tc>
        <w:tc>
          <w:tcPr>
            <w:tcW w:w="2131" w:type="dxa"/>
          </w:tcPr>
          <w:p w14:paraId="55DFCF1F" w14:textId="77777777" w:rsidR="000923BB" w:rsidRPr="00F955C6" w:rsidRDefault="000923BB" w:rsidP="003A385F">
            <w:pPr>
              <w:jc w:val="center"/>
              <w:rPr>
                <w:rFonts w:cs="Arial"/>
                <w:sz w:val="18"/>
                <w:szCs w:val="18"/>
              </w:rPr>
            </w:pPr>
            <w:r w:rsidRPr="00F955C6">
              <w:rPr>
                <w:rFonts w:cs="Arial"/>
                <w:sz w:val="18"/>
                <w:szCs w:val="18"/>
              </w:rPr>
              <w:t>13.4</w:t>
            </w:r>
          </w:p>
        </w:tc>
        <w:tc>
          <w:tcPr>
            <w:tcW w:w="1997" w:type="dxa"/>
          </w:tcPr>
          <w:p w14:paraId="0619B840" w14:textId="77777777" w:rsidR="000923BB" w:rsidRPr="00F955C6" w:rsidRDefault="000923BB" w:rsidP="003A385F">
            <w:pPr>
              <w:jc w:val="center"/>
              <w:rPr>
                <w:rFonts w:cs="Arial"/>
                <w:sz w:val="18"/>
                <w:szCs w:val="18"/>
              </w:rPr>
            </w:pPr>
            <w:r w:rsidRPr="00F955C6">
              <w:rPr>
                <w:rFonts w:cs="Arial"/>
                <w:sz w:val="18"/>
                <w:szCs w:val="18"/>
              </w:rPr>
              <w:t>10.3 to 15.3</w:t>
            </w:r>
          </w:p>
        </w:tc>
      </w:tr>
      <w:tr w:rsidR="000923BB" w:rsidRPr="00F955C6" w14:paraId="51321973" w14:textId="77777777" w:rsidTr="003A385F">
        <w:tc>
          <w:tcPr>
            <w:tcW w:w="2022" w:type="dxa"/>
          </w:tcPr>
          <w:p w14:paraId="4E728052" w14:textId="77777777" w:rsidR="000923BB" w:rsidRPr="00F955C6" w:rsidRDefault="000923BB" w:rsidP="003A385F">
            <w:pPr>
              <w:rPr>
                <w:rFonts w:cs="Arial"/>
                <w:sz w:val="18"/>
                <w:szCs w:val="18"/>
              </w:rPr>
            </w:pPr>
            <w:r w:rsidRPr="00F955C6">
              <w:rPr>
                <w:rFonts w:cs="Arial"/>
                <w:sz w:val="18"/>
                <w:szCs w:val="18"/>
              </w:rPr>
              <w:t>Lower mortality hospital group (N = 10)</w:t>
            </w:r>
          </w:p>
        </w:tc>
        <w:tc>
          <w:tcPr>
            <w:tcW w:w="2130" w:type="dxa"/>
          </w:tcPr>
          <w:p w14:paraId="19B1B6BD" w14:textId="77777777" w:rsidR="000923BB" w:rsidRPr="00F955C6" w:rsidRDefault="000923BB" w:rsidP="003A385F">
            <w:pPr>
              <w:jc w:val="center"/>
              <w:rPr>
                <w:rFonts w:cs="Arial"/>
                <w:sz w:val="18"/>
                <w:szCs w:val="18"/>
              </w:rPr>
            </w:pPr>
            <w:r w:rsidRPr="00F955C6">
              <w:rPr>
                <w:rFonts w:cs="Arial"/>
                <w:sz w:val="18"/>
                <w:szCs w:val="18"/>
              </w:rPr>
              <w:t>13.8 (1.44)</w:t>
            </w:r>
          </w:p>
        </w:tc>
        <w:tc>
          <w:tcPr>
            <w:tcW w:w="2131" w:type="dxa"/>
          </w:tcPr>
          <w:p w14:paraId="51BC282E" w14:textId="77777777" w:rsidR="000923BB" w:rsidRPr="00F955C6" w:rsidRDefault="000923BB" w:rsidP="003A385F">
            <w:pPr>
              <w:jc w:val="center"/>
              <w:rPr>
                <w:rFonts w:cs="Arial"/>
                <w:sz w:val="18"/>
                <w:szCs w:val="18"/>
              </w:rPr>
            </w:pPr>
            <w:r w:rsidRPr="00F955C6">
              <w:rPr>
                <w:rFonts w:cs="Arial"/>
                <w:sz w:val="18"/>
                <w:szCs w:val="18"/>
              </w:rPr>
              <w:t>13.8</w:t>
            </w:r>
          </w:p>
        </w:tc>
        <w:tc>
          <w:tcPr>
            <w:tcW w:w="1997" w:type="dxa"/>
          </w:tcPr>
          <w:p w14:paraId="3A5E5D67" w14:textId="77777777" w:rsidR="000923BB" w:rsidRPr="00F955C6" w:rsidRDefault="000923BB" w:rsidP="003A385F">
            <w:pPr>
              <w:jc w:val="center"/>
              <w:rPr>
                <w:rFonts w:cs="Arial"/>
                <w:sz w:val="18"/>
                <w:szCs w:val="18"/>
              </w:rPr>
            </w:pPr>
            <w:r w:rsidRPr="00F955C6">
              <w:rPr>
                <w:rFonts w:cs="Arial"/>
                <w:sz w:val="18"/>
                <w:szCs w:val="18"/>
              </w:rPr>
              <w:t>11.5 to 15.8</w:t>
            </w:r>
          </w:p>
        </w:tc>
      </w:tr>
    </w:tbl>
    <w:p w14:paraId="0A07333D" w14:textId="77777777" w:rsidR="000923BB" w:rsidRDefault="000923BB" w:rsidP="000923BB">
      <w:pPr>
        <w:rPr>
          <w:rFonts w:cs="Arial"/>
          <w:sz w:val="22"/>
          <w:szCs w:val="22"/>
        </w:rPr>
      </w:pPr>
    </w:p>
    <w:p w14:paraId="51455232" w14:textId="77777777" w:rsidR="000923BB" w:rsidRDefault="000923BB" w:rsidP="000923BB">
      <w:pPr>
        <w:rPr>
          <w:rFonts w:cs="Arial"/>
          <w:sz w:val="22"/>
          <w:szCs w:val="22"/>
        </w:rPr>
      </w:pPr>
      <w:r>
        <w:rPr>
          <w:rFonts w:cs="Arial"/>
          <w:sz w:val="22"/>
          <w:szCs w:val="22"/>
        </w:rPr>
        <w:t xml:space="preserve">There were no statistically significant differences in mean scores per mortality group </w:t>
      </w:r>
      <w:r w:rsidR="00617D2F">
        <w:rPr>
          <w:rFonts w:cs="Arial"/>
          <w:sz w:val="22"/>
          <w:szCs w:val="22"/>
        </w:rPr>
        <w:t xml:space="preserve"> </w:t>
      </w:r>
      <w:r>
        <w:rPr>
          <w:rFonts w:cs="Arial"/>
          <w:sz w:val="22"/>
          <w:szCs w:val="22"/>
        </w:rPr>
        <w:t>(t = -1.10, p = 0.288).</w:t>
      </w:r>
    </w:p>
    <w:p w14:paraId="6B6F3A5A" w14:textId="77777777" w:rsidR="000923BB" w:rsidRDefault="000923BB" w:rsidP="000923BB">
      <w:pPr>
        <w:jc w:val="both"/>
        <w:rPr>
          <w:rFonts w:cs="Arial"/>
          <w:sz w:val="22"/>
        </w:rPr>
      </w:pPr>
      <w:r w:rsidRPr="00BA36E2">
        <w:rPr>
          <w:rFonts w:cs="Arial"/>
          <w:sz w:val="22"/>
          <w:szCs w:val="22"/>
        </w:rPr>
        <w:t>The relationship be</w:t>
      </w:r>
      <w:r>
        <w:rPr>
          <w:rFonts w:cs="Arial"/>
          <w:sz w:val="22"/>
          <w:szCs w:val="22"/>
        </w:rPr>
        <w:t xml:space="preserve">tween of the mean holistic overall quality of care scores for COPD and heart failure in each hospital was also explored using a Bland-Altman plot (Figure 3) to investigate whether the two scores tended to be in the same direction in each hospital.  That is, if the hospital was in the lower mortality group, which on average had somewhat higher group mean scores for both COPD and heart failure, was this pattern replicated within each hospital.  </w:t>
      </w:r>
      <w:r>
        <w:rPr>
          <w:rFonts w:cs="Arial"/>
          <w:sz w:val="22"/>
        </w:rPr>
        <w:t>No clear pattern emerged between the two mean scores for each hospital, grouped for overall mortality, so that it is not possible to see a trend towards higher scores for both conditions in each of the lower mortality hospitals, nor for the lower scores for each condition in each of the hospitals in the higher mortality group.</w:t>
      </w:r>
    </w:p>
    <w:p w14:paraId="251E8802" w14:textId="77777777" w:rsidR="000923BB" w:rsidRDefault="000923BB" w:rsidP="000923BB">
      <w:pPr>
        <w:rPr>
          <w:rFonts w:cs="Arial"/>
          <w:b/>
          <w:sz w:val="22"/>
          <w:szCs w:val="22"/>
        </w:rPr>
      </w:pPr>
    </w:p>
    <w:p w14:paraId="1F546B34" w14:textId="77777777" w:rsidR="000923BB" w:rsidRPr="000F3D18" w:rsidRDefault="000923BB" w:rsidP="000923BB">
      <w:pPr>
        <w:rPr>
          <w:rFonts w:cs="Arial"/>
          <w:b/>
          <w:sz w:val="22"/>
          <w:szCs w:val="22"/>
        </w:rPr>
      </w:pPr>
      <w:r w:rsidRPr="000F3D18">
        <w:rPr>
          <w:rFonts w:cs="Arial"/>
          <w:b/>
          <w:sz w:val="22"/>
          <w:szCs w:val="22"/>
        </w:rPr>
        <w:t>Figure 3</w:t>
      </w:r>
      <w:r>
        <w:rPr>
          <w:rFonts w:cs="Arial"/>
          <w:b/>
          <w:sz w:val="22"/>
          <w:szCs w:val="22"/>
        </w:rPr>
        <w:t xml:space="preserve">: Relationship between mean quality of care scores for COPD and heart failure within each hospital, grouped by mortality level </w:t>
      </w:r>
    </w:p>
    <w:p w14:paraId="04A15F65" w14:textId="77777777" w:rsidR="000923BB" w:rsidRDefault="000923BB" w:rsidP="000923BB">
      <w:pPr>
        <w:ind w:left="720"/>
      </w:pPr>
      <w:r>
        <w:rPr>
          <w:noProof/>
          <w:lang w:eastAsia="en-GB" w:bidi="ar-SA"/>
        </w:rPr>
        <w:drawing>
          <wp:inline distT="0" distB="0" distL="0" distR="0" wp14:anchorId="048930A2" wp14:editId="1E1B74D2">
            <wp:extent cx="3347720" cy="2687320"/>
            <wp:effectExtent l="19050" t="19050" r="24130" b="177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4" cstate="print"/>
                    <a:srcRect/>
                    <a:stretch>
                      <a:fillRect/>
                    </a:stretch>
                  </pic:blipFill>
                  <pic:spPr bwMode="auto">
                    <a:xfrm>
                      <a:off x="0" y="0"/>
                      <a:ext cx="3347720" cy="2687320"/>
                    </a:xfrm>
                    <a:prstGeom prst="rect">
                      <a:avLst/>
                    </a:prstGeom>
                    <a:noFill/>
                    <a:ln w="6350" cmpd="sng">
                      <a:solidFill>
                        <a:srgbClr val="000000"/>
                      </a:solidFill>
                      <a:miter lim="800000"/>
                      <a:headEnd/>
                      <a:tailEnd/>
                    </a:ln>
                    <a:effectLst/>
                  </pic:spPr>
                </pic:pic>
              </a:graphicData>
            </a:graphic>
          </wp:inline>
        </w:drawing>
      </w:r>
    </w:p>
    <w:p w14:paraId="3DD54D54" w14:textId="77777777" w:rsidR="000923BB" w:rsidRPr="009C5637" w:rsidRDefault="000923BB" w:rsidP="000923BB">
      <w:pPr>
        <w:ind w:left="720"/>
        <w:jc w:val="both"/>
        <w:rPr>
          <w:rFonts w:cs="Arial"/>
          <w:sz w:val="18"/>
          <w:szCs w:val="18"/>
        </w:rPr>
      </w:pPr>
      <w:r w:rsidRPr="009C5637">
        <w:rPr>
          <w:rFonts w:cs="Arial"/>
          <w:sz w:val="18"/>
          <w:szCs w:val="18"/>
        </w:rPr>
        <w:t xml:space="preserve">Note;- one hospital in the higher mortality hospital group was an outlier in all of the analyses and was therefore excluded from the Bland-Altman plot analysis. </w:t>
      </w:r>
    </w:p>
    <w:p w14:paraId="3B046CBA" w14:textId="77777777" w:rsidR="000923BB" w:rsidRPr="007A4493" w:rsidRDefault="000923BB" w:rsidP="000923BB">
      <w:pPr>
        <w:rPr>
          <w:rFonts w:cs="Arial"/>
          <w:b/>
          <w:sz w:val="22"/>
          <w:szCs w:val="22"/>
        </w:rPr>
      </w:pPr>
      <w:r w:rsidRPr="007A4493">
        <w:rPr>
          <w:rFonts w:cs="Arial"/>
          <w:b/>
          <w:sz w:val="22"/>
          <w:szCs w:val="22"/>
        </w:rPr>
        <w:lastRenderedPageBreak/>
        <w:t>Correlations between holistic scale scores and hospital level outcome variables</w:t>
      </w:r>
    </w:p>
    <w:p w14:paraId="33CBF3E9" w14:textId="77777777" w:rsidR="000923BB" w:rsidRPr="007A4493" w:rsidRDefault="000923BB" w:rsidP="000923BB">
      <w:pPr>
        <w:rPr>
          <w:rFonts w:cs="Arial"/>
          <w:sz w:val="22"/>
          <w:szCs w:val="22"/>
        </w:rPr>
      </w:pPr>
    </w:p>
    <w:p w14:paraId="32591167" w14:textId="77777777" w:rsidR="000923BB" w:rsidRDefault="000923BB" w:rsidP="000923BB">
      <w:pPr>
        <w:jc w:val="both"/>
        <w:rPr>
          <w:rFonts w:cs="Arial"/>
          <w:sz w:val="22"/>
          <w:szCs w:val="22"/>
        </w:rPr>
      </w:pPr>
      <w:r>
        <w:rPr>
          <w:rFonts w:cs="Arial"/>
          <w:sz w:val="22"/>
          <w:szCs w:val="22"/>
        </w:rPr>
        <w:t xml:space="preserve">Pearson’s correlation coefficient was used of analysis for continuous data.  Spearman’s correlation coefficient was used for analysis of ordered categorical data (for example, Healthcare Commission star rating).  Levels of strength of correlation are assumed as in Box 5 above (repeated here to assist the reader).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7"/>
        <w:gridCol w:w="4142"/>
      </w:tblGrid>
      <w:tr w:rsidR="000923BB" w:rsidRPr="00F955C6" w14:paraId="2EA4150B" w14:textId="77777777" w:rsidTr="00617D2F">
        <w:trPr>
          <w:trHeight w:val="418"/>
        </w:trPr>
        <w:tc>
          <w:tcPr>
            <w:tcW w:w="4037" w:type="dxa"/>
          </w:tcPr>
          <w:p w14:paraId="1DFD7B81" w14:textId="77777777" w:rsidR="000923BB" w:rsidRPr="00F955C6" w:rsidRDefault="000923BB" w:rsidP="003A385F">
            <w:pPr>
              <w:rPr>
                <w:rFonts w:cs="Arial"/>
                <w:sz w:val="22"/>
                <w:szCs w:val="22"/>
              </w:rPr>
            </w:pPr>
            <w:r w:rsidRPr="00F955C6">
              <w:rPr>
                <w:rFonts w:cs="Arial"/>
                <w:sz w:val="22"/>
                <w:szCs w:val="22"/>
              </w:rPr>
              <w:t>|r| ≥ 0.8</w:t>
            </w:r>
          </w:p>
        </w:tc>
        <w:tc>
          <w:tcPr>
            <w:tcW w:w="4142" w:type="dxa"/>
          </w:tcPr>
          <w:p w14:paraId="2077CA99" w14:textId="77777777" w:rsidR="000923BB" w:rsidRPr="00F955C6" w:rsidRDefault="000923BB" w:rsidP="003A385F">
            <w:pPr>
              <w:rPr>
                <w:rFonts w:cs="Arial"/>
                <w:sz w:val="22"/>
                <w:szCs w:val="22"/>
              </w:rPr>
            </w:pPr>
            <w:r w:rsidRPr="00F955C6">
              <w:rPr>
                <w:rFonts w:cs="Arial"/>
                <w:sz w:val="22"/>
                <w:szCs w:val="22"/>
              </w:rPr>
              <w:t>Very strong relationship</w:t>
            </w:r>
          </w:p>
        </w:tc>
      </w:tr>
      <w:tr w:rsidR="000923BB" w:rsidRPr="00F955C6" w14:paraId="32AD338F" w14:textId="77777777" w:rsidTr="00617D2F">
        <w:trPr>
          <w:trHeight w:val="418"/>
        </w:trPr>
        <w:tc>
          <w:tcPr>
            <w:tcW w:w="4037" w:type="dxa"/>
          </w:tcPr>
          <w:p w14:paraId="67C80915" w14:textId="77777777" w:rsidR="000923BB" w:rsidRPr="00F955C6" w:rsidRDefault="000923BB" w:rsidP="003A385F">
            <w:pPr>
              <w:rPr>
                <w:rFonts w:cs="Arial"/>
                <w:sz w:val="22"/>
                <w:szCs w:val="22"/>
              </w:rPr>
            </w:pPr>
            <w:r w:rsidRPr="00F955C6">
              <w:rPr>
                <w:rFonts w:cs="Arial"/>
                <w:sz w:val="22"/>
                <w:szCs w:val="22"/>
              </w:rPr>
              <w:t xml:space="preserve">0.6 </w:t>
            </w:r>
            <w:r w:rsidRPr="00F955C6">
              <w:rPr>
                <w:sz w:val="22"/>
                <w:szCs w:val="22"/>
              </w:rPr>
              <w:t>≤</w:t>
            </w:r>
            <w:r w:rsidRPr="00F955C6">
              <w:rPr>
                <w:rFonts w:cs="Arial"/>
                <w:sz w:val="22"/>
                <w:szCs w:val="22"/>
              </w:rPr>
              <w:t xml:space="preserve"> |r| &lt; 0.8</w:t>
            </w:r>
          </w:p>
        </w:tc>
        <w:tc>
          <w:tcPr>
            <w:tcW w:w="4142" w:type="dxa"/>
          </w:tcPr>
          <w:p w14:paraId="00114C6A" w14:textId="77777777" w:rsidR="000923BB" w:rsidRPr="00F955C6" w:rsidRDefault="000923BB" w:rsidP="003A385F">
            <w:pPr>
              <w:rPr>
                <w:rFonts w:cs="Arial"/>
                <w:sz w:val="22"/>
                <w:szCs w:val="22"/>
              </w:rPr>
            </w:pPr>
            <w:r w:rsidRPr="00F955C6">
              <w:rPr>
                <w:rFonts w:cs="Arial"/>
                <w:sz w:val="22"/>
                <w:szCs w:val="22"/>
              </w:rPr>
              <w:t>Strong relationship</w:t>
            </w:r>
          </w:p>
        </w:tc>
      </w:tr>
      <w:tr w:rsidR="000923BB" w:rsidRPr="00F955C6" w14:paraId="6C9DD23E" w14:textId="77777777" w:rsidTr="00617D2F">
        <w:trPr>
          <w:trHeight w:val="418"/>
        </w:trPr>
        <w:tc>
          <w:tcPr>
            <w:tcW w:w="4037" w:type="dxa"/>
          </w:tcPr>
          <w:p w14:paraId="399FBF81" w14:textId="77777777" w:rsidR="000923BB" w:rsidRPr="00F955C6" w:rsidRDefault="000923BB" w:rsidP="003A385F">
            <w:pPr>
              <w:rPr>
                <w:rFonts w:cs="Arial"/>
                <w:sz w:val="22"/>
                <w:szCs w:val="22"/>
              </w:rPr>
            </w:pPr>
            <w:r w:rsidRPr="00F955C6">
              <w:rPr>
                <w:rFonts w:cs="Arial"/>
                <w:sz w:val="22"/>
                <w:szCs w:val="22"/>
              </w:rPr>
              <w:t xml:space="preserve">0.4 </w:t>
            </w:r>
            <w:r w:rsidRPr="00F955C6">
              <w:rPr>
                <w:sz w:val="22"/>
                <w:szCs w:val="22"/>
              </w:rPr>
              <w:t xml:space="preserve">≤ </w:t>
            </w:r>
            <w:r w:rsidRPr="00F955C6">
              <w:rPr>
                <w:rFonts w:cs="Arial"/>
                <w:sz w:val="22"/>
                <w:szCs w:val="22"/>
              </w:rPr>
              <w:t xml:space="preserve">|r| &lt; 0.6 </w:t>
            </w:r>
          </w:p>
        </w:tc>
        <w:tc>
          <w:tcPr>
            <w:tcW w:w="4142" w:type="dxa"/>
          </w:tcPr>
          <w:p w14:paraId="40829513" w14:textId="77777777" w:rsidR="000923BB" w:rsidRPr="00F955C6" w:rsidRDefault="000923BB" w:rsidP="003A385F">
            <w:pPr>
              <w:rPr>
                <w:rFonts w:cs="Arial"/>
                <w:sz w:val="22"/>
                <w:szCs w:val="22"/>
              </w:rPr>
            </w:pPr>
            <w:r w:rsidRPr="00F955C6">
              <w:rPr>
                <w:rFonts w:cs="Arial"/>
                <w:sz w:val="22"/>
                <w:szCs w:val="22"/>
              </w:rPr>
              <w:t>Moderate relationship</w:t>
            </w:r>
          </w:p>
        </w:tc>
      </w:tr>
      <w:tr w:rsidR="000923BB" w:rsidRPr="00F955C6" w14:paraId="6E584A12" w14:textId="77777777" w:rsidTr="00617D2F">
        <w:trPr>
          <w:trHeight w:val="418"/>
        </w:trPr>
        <w:tc>
          <w:tcPr>
            <w:tcW w:w="4037" w:type="dxa"/>
          </w:tcPr>
          <w:p w14:paraId="7D977447" w14:textId="77777777" w:rsidR="000923BB" w:rsidRPr="00F955C6" w:rsidRDefault="000923BB" w:rsidP="003A385F">
            <w:pPr>
              <w:rPr>
                <w:rFonts w:cs="Arial"/>
                <w:sz w:val="22"/>
                <w:szCs w:val="22"/>
              </w:rPr>
            </w:pPr>
            <w:r w:rsidRPr="00F955C6">
              <w:rPr>
                <w:rFonts w:cs="Arial"/>
                <w:sz w:val="22"/>
                <w:szCs w:val="22"/>
              </w:rPr>
              <w:t xml:space="preserve">0.2 </w:t>
            </w:r>
            <w:r w:rsidRPr="00F955C6">
              <w:rPr>
                <w:sz w:val="22"/>
                <w:szCs w:val="22"/>
              </w:rPr>
              <w:t>≤</w:t>
            </w:r>
            <w:r w:rsidRPr="00F955C6">
              <w:rPr>
                <w:rFonts w:cs="Arial"/>
                <w:sz w:val="22"/>
                <w:szCs w:val="22"/>
              </w:rPr>
              <w:t xml:space="preserve"> |r| &lt; 0.4</w:t>
            </w:r>
          </w:p>
        </w:tc>
        <w:tc>
          <w:tcPr>
            <w:tcW w:w="4142" w:type="dxa"/>
          </w:tcPr>
          <w:p w14:paraId="3654CD64" w14:textId="77777777" w:rsidR="000923BB" w:rsidRPr="00F955C6" w:rsidRDefault="000923BB" w:rsidP="003A385F">
            <w:pPr>
              <w:rPr>
                <w:rFonts w:cs="Arial"/>
                <w:sz w:val="22"/>
                <w:szCs w:val="22"/>
              </w:rPr>
            </w:pPr>
            <w:r w:rsidRPr="00F955C6">
              <w:rPr>
                <w:rFonts w:cs="Arial"/>
                <w:sz w:val="22"/>
                <w:szCs w:val="22"/>
              </w:rPr>
              <w:t>Weak relationship</w:t>
            </w:r>
          </w:p>
        </w:tc>
      </w:tr>
      <w:tr w:rsidR="000923BB" w:rsidRPr="00F955C6" w14:paraId="5FF1D164" w14:textId="77777777" w:rsidTr="00617D2F">
        <w:trPr>
          <w:trHeight w:val="418"/>
        </w:trPr>
        <w:tc>
          <w:tcPr>
            <w:tcW w:w="4037" w:type="dxa"/>
          </w:tcPr>
          <w:p w14:paraId="4C1E7F16" w14:textId="77777777" w:rsidR="000923BB" w:rsidRPr="00F955C6" w:rsidRDefault="000923BB" w:rsidP="003A385F">
            <w:pPr>
              <w:rPr>
                <w:rFonts w:cs="Arial"/>
                <w:sz w:val="22"/>
                <w:szCs w:val="22"/>
              </w:rPr>
            </w:pPr>
            <w:r w:rsidRPr="00F955C6">
              <w:rPr>
                <w:rFonts w:cs="Arial"/>
                <w:sz w:val="22"/>
                <w:szCs w:val="22"/>
              </w:rPr>
              <w:t>|r| &lt; 0.2</w:t>
            </w:r>
          </w:p>
        </w:tc>
        <w:tc>
          <w:tcPr>
            <w:tcW w:w="4142" w:type="dxa"/>
          </w:tcPr>
          <w:p w14:paraId="48FE5438" w14:textId="77777777" w:rsidR="000923BB" w:rsidRPr="00F955C6" w:rsidRDefault="000923BB" w:rsidP="003A385F">
            <w:pPr>
              <w:rPr>
                <w:rFonts w:cs="Arial"/>
                <w:sz w:val="22"/>
                <w:szCs w:val="22"/>
              </w:rPr>
            </w:pPr>
            <w:r w:rsidRPr="00F955C6">
              <w:rPr>
                <w:rFonts w:cs="Arial"/>
                <w:sz w:val="22"/>
                <w:szCs w:val="22"/>
              </w:rPr>
              <w:t>Very weak relationship</w:t>
            </w:r>
          </w:p>
        </w:tc>
      </w:tr>
    </w:tbl>
    <w:p w14:paraId="5AFADC7E" w14:textId="77777777" w:rsidR="000923BB" w:rsidRDefault="000923BB" w:rsidP="000923BB">
      <w:pPr>
        <w:jc w:val="both"/>
        <w:rPr>
          <w:rFonts w:cs="Arial"/>
          <w:sz w:val="22"/>
        </w:rPr>
      </w:pPr>
    </w:p>
    <w:p w14:paraId="64E9AE94" w14:textId="77777777" w:rsidR="000923BB" w:rsidRDefault="000923BB" w:rsidP="000923BB">
      <w:pPr>
        <w:jc w:val="both"/>
        <w:rPr>
          <w:rFonts w:cs="Arial"/>
          <w:sz w:val="22"/>
        </w:rPr>
      </w:pPr>
      <w:r>
        <w:rPr>
          <w:rFonts w:cs="Arial"/>
          <w:sz w:val="22"/>
          <w:szCs w:val="22"/>
        </w:rPr>
        <w:t xml:space="preserve">Rather than using statistical significance to identify important results, correlations were identified as important if the correlation coefficient was greater than 0.4; that is at least a moderate relationship existed between the two variables under investigation. </w:t>
      </w:r>
      <w:r>
        <w:rPr>
          <w:rFonts w:cs="Arial"/>
          <w:sz w:val="22"/>
        </w:rPr>
        <w:t>Very weak and weak relationships (r</w:t>
      </w:r>
      <w:r>
        <w:rPr>
          <w:rFonts w:cs="Arial"/>
          <w:sz w:val="22"/>
        </w:rPr>
        <w:sym w:font="Symbol" w:char="F0A3"/>
      </w:r>
      <w:r>
        <w:rPr>
          <w:rFonts w:cs="Arial"/>
          <w:sz w:val="22"/>
        </w:rPr>
        <w:t xml:space="preserve"> 0.4) were regarded as having no correlation.</w:t>
      </w:r>
    </w:p>
    <w:p w14:paraId="73DB57AD" w14:textId="77777777" w:rsidR="000923BB" w:rsidRDefault="000923BB" w:rsidP="000923BB">
      <w:pPr>
        <w:jc w:val="both"/>
        <w:rPr>
          <w:rFonts w:cs="Arial"/>
          <w:sz w:val="22"/>
          <w:szCs w:val="22"/>
        </w:rPr>
      </w:pPr>
      <w:r>
        <w:rPr>
          <w:rFonts w:cs="Arial"/>
          <w:sz w:val="22"/>
        </w:rPr>
        <w:t xml:space="preserve">There were only a limited number of moderate to very strong correlations between the quality of care scores for the upper and lower mortality hospital groups and the outcome and risk adjustment variables selected for the study. </w:t>
      </w:r>
      <w:r>
        <w:rPr>
          <w:rFonts w:cs="Arial"/>
          <w:sz w:val="22"/>
          <w:szCs w:val="22"/>
        </w:rPr>
        <w:t xml:space="preserve">A positive correlation indicates that as criterion or overall holistic score increases the variable levels also increase.  Thus, for example, a positive correlation for NHS staff survey question </w:t>
      </w:r>
      <w:r w:rsidRPr="001528AF">
        <w:rPr>
          <w:rFonts w:cs="Arial"/>
          <w:sz w:val="22"/>
          <w:szCs w:val="22"/>
        </w:rPr>
        <w:t>22e</w:t>
      </w:r>
      <w:r>
        <w:rPr>
          <w:rFonts w:cs="Arial"/>
          <w:sz w:val="22"/>
          <w:szCs w:val="22"/>
        </w:rPr>
        <w:t xml:space="preserve"> </w:t>
      </w:r>
      <w:r w:rsidRPr="003E2F8D">
        <w:rPr>
          <w:rFonts w:cs="Arial"/>
          <w:sz w:val="22"/>
          <w:szCs w:val="22"/>
        </w:rPr>
        <w:t>(care of patient/service user is top priority)</w:t>
      </w:r>
      <w:r w:rsidRPr="001528AF">
        <w:rPr>
          <w:rFonts w:cs="Arial"/>
          <w:sz w:val="22"/>
          <w:szCs w:val="22"/>
        </w:rPr>
        <w:t xml:space="preserve"> </w:t>
      </w:r>
      <w:r>
        <w:rPr>
          <w:rFonts w:cs="Arial"/>
          <w:sz w:val="22"/>
          <w:szCs w:val="22"/>
        </w:rPr>
        <w:t xml:space="preserve">demonstrates an increase in COPD or heart failure criterion score as there is an increase in the mean score for staff who agree that </w:t>
      </w:r>
      <w:r w:rsidRPr="003E2F8D">
        <w:rPr>
          <w:rFonts w:cs="Arial"/>
          <w:sz w:val="22"/>
          <w:szCs w:val="22"/>
        </w:rPr>
        <w:t>care of patient/service user is top priority</w:t>
      </w:r>
      <w:r>
        <w:rPr>
          <w:rFonts w:cs="Arial"/>
          <w:sz w:val="22"/>
          <w:szCs w:val="22"/>
        </w:rPr>
        <w:t xml:space="preserve"> in the hospital. </w:t>
      </w:r>
    </w:p>
    <w:p w14:paraId="40BF87FA" w14:textId="77777777" w:rsidR="000923BB" w:rsidRDefault="000923BB" w:rsidP="000923BB">
      <w:pPr>
        <w:jc w:val="both"/>
        <w:rPr>
          <w:rFonts w:cs="Arial"/>
          <w:sz w:val="22"/>
          <w:szCs w:val="22"/>
        </w:rPr>
      </w:pPr>
    </w:p>
    <w:p w14:paraId="0ED04CAD" w14:textId="77777777" w:rsidR="000923BB" w:rsidRDefault="000923BB" w:rsidP="000923BB">
      <w:pPr>
        <w:jc w:val="both"/>
        <w:rPr>
          <w:rFonts w:cs="Arial"/>
          <w:sz w:val="22"/>
          <w:szCs w:val="22"/>
        </w:rPr>
      </w:pPr>
      <w:r>
        <w:rPr>
          <w:rFonts w:cs="Arial"/>
          <w:sz w:val="22"/>
          <w:szCs w:val="22"/>
        </w:rPr>
        <w:t>An example of a negative correlation would be an increase in COPD or heart failure score which correlates with a decrease in the number of incidents reported to the National Patient Safety Agency per 100 bed days (increased reporting is thought to indicate a positive safety culture[53]).</w:t>
      </w:r>
    </w:p>
    <w:p w14:paraId="681A4DEE" w14:textId="77777777" w:rsidR="000923BB" w:rsidRDefault="000923BB" w:rsidP="000923BB">
      <w:pPr>
        <w:rPr>
          <w:rFonts w:cs="Arial"/>
          <w:sz w:val="22"/>
        </w:rPr>
      </w:pPr>
    </w:p>
    <w:p w14:paraId="542C8F6F" w14:textId="77777777" w:rsidR="000923BB" w:rsidRDefault="000923BB" w:rsidP="000923BB">
      <w:pPr>
        <w:jc w:val="both"/>
        <w:rPr>
          <w:rFonts w:cs="Arial"/>
          <w:sz w:val="22"/>
        </w:rPr>
      </w:pPr>
      <w:r>
        <w:rPr>
          <w:rFonts w:cs="Arial"/>
          <w:sz w:val="22"/>
          <w:szCs w:val="22"/>
        </w:rPr>
        <w:t xml:space="preserve">Tables 9 - 12 present the moderate to very strong correlations only. </w:t>
      </w:r>
      <w:r>
        <w:rPr>
          <w:rFonts w:cs="Arial"/>
          <w:sz w:val="22"/>
        </w:rPr>
        <w:t xml:space="preserve">The results of all of the holistic data correlations, including those without statistically significant results, are presented in Appendices 7 to 10.  </w:t>
      </w:r>
      <w:r>
        <w:rPr>
          <w:rFonts w:cs="Arial"/>
          <w:sz w:val="22"/>
          <w:szCs w:val="22"/>
        </w:rPr>
        <w:t xml:space="preserve">Pearson correlation coefficients are used unless otherwise indicated in the table. </w:t>
      </w:r>
      <w:r>
        <w:rPr>
          <w:rFonts w:cs="Arial"/>
          <w:sz w:val="22"/>
        </w:rPr>
        <w:t xml:space="preserve">Each table is accompanied by scatter plots fitted with regression lines to demonstrate the strength of the correlation.  </w:t>
      </w:r>
    </w:p>
    <w:p w14:paraId="4C876559" w14:textId="77777777" w:rsidR="000923BB" w:rsidRDefault="000923BB" w:rsidP="000923BB">
      <w:pPr>
        <w:rPr>
          <w:rFonts w:cs="Arial"/>
          <w:sz w:val="22"/>
        </w:rPr>
      </w:pPr>
    </w:p>
    <w:p w14:paraId="0147E0E0" w14:textId="77777777" w:rsidR="000923BB" w:rsidRPr="001935D2" w:rsidRDefault="000923BB" w:rsidP="000923BB">
      <w:pPr>
        <w:jc w:val="both"/>
        <w:rPr>
          <w:rFonts w:cs="Arial"/>
          <w:i/>
          <w:sz w:val="22"/>
          <w:szCs w:val="22"/>
        </w:rPr>
      </w:pPr>
      <w:r w:rsidRPr="001935D2">
        <w:rPr>
          <w:rFonts w:cs="Arial"/>
          <w:i/>
          <w:sz w:val="22"/>
        </w:rPr>
        <w:lastRenderedPageBreak/>
        <w:t>COPD mean holistic overall score</w:t>
      </w:r>
      <w:r>
        <w:rPr>
          <w:rFonts w:cs="Arial"/>
          <w:i/>
          <w:sz w:val="22"/>
        </w:rPr>
        <w:t xml:space="preserve"> </w:t>
      </w:r>
      <w:r w:rsidRPr="001935D2">
        <w:rPr>
          <w:rFonts w:cs="Arial"/>
          <w:i/>
          <w:sz w:val="22"/>
          <w:szCs w:val="22"/>
        </w:rPr>
        <w:t>(1 unsatisfactory to 6 excellent)</w:t>
      </w:r>
    </w:p>
    <w:p w14:paraId="3D8AA72D" w14:textId="77777777" w:rsidR="000923BB" w:rsidRPr="001935D2" w:rsidRDefault="000923BB" w:rsidP="000923BB">
      <w:pPr>
        <w:rPr>
          <w:rFonts w:cs="Arial"/>
          <w:i/>
          <w:sz w:val="22"/>
        </w:rPr>
      </w:pPr>
    </w:p>
    <w:p w14:paraId="0B3C2CDD" w14:textId="77777777" w:rsidR="000923BB" w:rsidRDefault="000923BB" w:rsidP="000923BB">
      <w:pPr>
        <w:jc w:val="both"/>
        <w:rPr>
          <w:rFonts w:cs="Arial"/>
          <w:sz w:val="22"/>
          <w:szCs w:val="22"/>
        </w:rPr>
      </w:pPr>
      <w:r>
        <w:rPr>
          <w:rFonts w:cs="Arial"/>
          <w:sz w:val="22"/>
        </w:rPr>
        <w:t>Table 9 shows that there were only two moderate negative correlations.  Thus as the COPD scale score increased (an indication of better quality of care), the frequency decreased at which NHS staff said they were encouraged to report errors (Figure 3), and also when staff said that care of the patient/service user was a high priority (Figure 4).   These correlations are in an unexpected direction since better quality of care might have been expected to relate to both a positive safety culture and to high priority for patient care.</w:t>
      </w:r>
    </w:p>
    <w:p w14:paraId="1E91CC1D" w14:textId="77777777" w:rsidR="000923BB" w:rsidRDefault="000923BB" w:rsidP="000923BB">
      <w:pPr>
        <w:rPr>
          <w:rFonts w:cs="Arial"/>
          <w:sz w:val="22"/>
        </w:rPr>
      </w:pPr>
    </w:p>
    <w:p w14:paraId="5A50465B" w14:textId="77777777" w:rsidR="000923BB" w:rsidRDefault="000923BB" w:rsidP="000923BB">
      <w:pPr>
        <w:rPr>
          <w:rFonts w:cs="Arial"/>
          <w:b/>
          <w:sz w:val="20"/>
          <w:szCs w:val="20"/>
        </w:rPr>
      </w:pPr>
      <w:r w:rsidRPr="00694519">
        <w:rPr>
          <w:rFonts w:cs="Arial"/>
          <w:b/>
          <w:sz w:val="20"/>
          <w:szCs w:val="20"/>
        </w:rPr>
        <w:t>Table 9:  Correlation between COPD holistic mean overall score and outcome variables</w:t>
      </w:r>
    </w:p>
    <w:p w14:paraId="54A7F862" w14:textId="77777777" w:rsidR="000923BB" w:rsidRPr="00694519" w:rsidRDefault="000923BB" w:rsidP="000923BB">
      <w:pPr>
        <w:rPr>
          <w:rFonts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1200"/>
        <w:gridCol w:w="1080"/>
        <w:gridCol w:w="1560"/>
      </w:tblGrid>
      <w:tr w:rsidR="000923BB" w:rsidRPr="00F955C6" w14:paraId="038C5F19" w14:textId="77777777" w:rsidTr="003A385F">
        <w:tc>
          <w:tcPr>
            <w:tcW w:w="3840" w:type="dxa"/>
          </w:tcPr>
          <w:p w14:paraId="4AF0B3F3" w14:textId="77777777" w:rsidR="000923BB" w:rsidRPr="00F955C6" w:rsidRDefault="000923BB" w:rsidP="003A385F">
            <w:pPr>
              <w:rPr>
                <w:rFonts w:cs="Arial"/>
                <w:sz w:val="18"/>
                <w:szCs w:val="18"/>
              </w:rPr>
            </w:pPr>
            <w:r w:rsidRPr="00F955C6">
              <w:rPr>
                <w:rFonts w:cs="Arial"/>
                <w:sz w:val="18"/>
                <w:szCs w:val="18"/>
              </w:rPr>
              <w:t>Variable</w:t>
            </w:r>
          </w:p>
        </w:tc>
        <w:tc>
          <w:tcPr>
            <w:tcW w:w="1200" w:type="dxa"/>
          </w:tcPr>
          <w:p w14:paraId="0F343DC8" w14:textId="77777777" w:rsidR="000923BB" w:rsidRPr="00F955C6" w:rsidRDefault="000923BB" w:rsidP="003A385F">
            <w:pPr>
              <w:jc w:val="center"/>
              <w:rPr>
                <w:rFonts w:cs="Arial"/>
                <w:sz w:val="18"/>
                <w:szCs w:val="18"/>
              </w:rPr>
            </w:pPr>
            <w:r w:rsidRPr="00F955C6">
              <w:rPr>
                <w:rFonts w:cs="Arial"/>
                <w:sz w:val="18"/>
                <w:szCs w:val="18"/>
              </w:rPr>
              <w:t>Correlation coefficient</w:t>
            </w:r>
          </w:p>
        </w:tc>
        <w:tc>
          <w:tcPr>
            <w:tcW w:w="1080" w:type="dxa"/>
          </w:tcPr>
          <w:p w14:paraId="6232E697" w14:textId="77777777" w:rsidR="000923BB" w:rsidRPr="00F955C6" w:rsidRDefault="000923BB" w:rsidP="003A385F">
            <w:pPr>
              <w:jc w:val="center"/>
              <w:rPr>
                <w:rFonts w:cs="Arial"/>
                <w:sz w:val="18"/>
                <w:szCs w:val="18"/>
              </w:rPr>
            </w:pPr>
            <w:r w:rsidRPr="00F955C6">
              <w:rPr>
                <w:rFonts w:cs="Arial"/>
                <w:sz w:val="18"/>
                <w:szCs w:val="18"/>
              </w:rPr>
              <w:t>p-value</w:t>
            </w:r>
          </w:p>
        </w:tc>
        <w:tc>
          <w:tcPr>
            <w:tcW w:w="1560" w:type="dxa"/>
          </w:tcPr>
          <w:p w14:paraId="55C50CE4" w14:textId="77777777" w:rsidR="000923BB" w:rsidRPr="00F955C6" w:rsidRDefault="000923BB" w:rsidP="003A385F">
            <w:pPr>
              <w:jc w:val="center"/>
              <w:rPr>
                <w:rFonts w:cs="Arial"/>
                <w:sz w:val="18"/>
                <w:szCs w:val="18"/>
              </w:rPr>
            </w:pPr>
            <w:r w:rsidRPr="00F955C6">
              <w:rPr>
                <w:rFonts w:cs="Arial"/>
                <w:sz w:val="18"/>
                <w:szCs w:val="18"/>
              </w:rPr>
              <w:t>Relationship</w:t>
            </w:r>
          </w:p>
        </w:tc>
      </w:tr>
      <w:tr w:rsidR="000923BB" w:rsidRPr="00F955C6" w14:paraId="6C258A6D" w14:textId="77777777" w:rsidTr="003A385F">
        <w:tc>
          <w:tcPr>
            <w:tcW w:w="3840" w:type="dxa"/>
          </w:tcPr>
          <w:p w14:paraId="3B28F482" w14:textId="77777777" w:rsidR="000923BB" w:rsidRPr="00F955C6" w:rsidRDefault="000923BB" w:rsidP="003A385F">
            <w:pPr>
              <w:rPr>
                <w:rFonts w:cs="Arial"/>
                <w:sz w:val="18"/>
                <w:szCs w:val="18"/>
              </w:rPr>
            </w:pPr>
            <w:r w:rsidRPr="00F955C6">
              <w:rPr>
                <w:rFonts w:cs="Arial"/>
                <w:sz w:val="18"/>
                <w:szCs w:val="18"/>
              </w:rPr>
              <w:t>NHS staff survey Q27b: Encouraged to report errors (mean)</w:t>
            </w:r>
          </w:p>
        </w:tc>
        <w:tc>
          <w:tcPr>
            <w:tcW w:w="1200" w:type="dxa"/>
          </w:tcPr>
          <w:p w14:paraId="2D39026F" w14:textId="77777777" w:rsidR="000923BB" w:rsidRPr="00F955C6" w:rsidRDefault="000923BB" w:rsidP="003A385F">
            <w:pPr>
              <w:jc w:val="center"/>
              <w:rPr>
                <w:rFonts w:cs="Arial"/>
                <w:sz w:val="18"/>
                <w:szCs w:val="18"/>
              </w:rPr>
            </w:pPr>
            <w:r w:rsidRPr="00F955C6">
              <w:rPr>
                <w:rFonts w:cs="Arial"/>
                <w:sz w:val="18"/>
                <w:szCs w:val="18"/>
              </w:rPr>
              <w:t>-0.490</w:t>
            </w:r>
          </w:p>
        </w:tc>
        <w:tc>
          <w:tcPr>
            <w:tcW w:w="1080" w:type="dxa"/>
          </w:tcPr>
          <w:p w14:paraId="7F1F22AE" w14:textId="77777777" w:rsidR="000923BB" w:rsidRPr="00F955C6" w:rsidRDefault="000923BB" w:rsidP="003A385F">
            <w:pPr>
              <w:jc w:val="center"/>
              <w:rPr>
                <w:rFonts w:cs="Arial"/>
                <w:sz w:val="18"/>
                <w:szCs w:val="18"/>
              </w:rPr>
            </w:pPr>
            <w:r w:rsidRPr="00F955C6">
              <w:rPr>
                <w:rFonts w:cs="Arial"/>
                <w:sz w:val="18"/>
                <w:szCs w:val="18"/>
              </w:rPr>
              <w:t>0.028</w:t>
            </w:r>
          </w:p>
        </w:tc>
        <w:tc>
          <w:tcPr>
            <w:tcW w:w="1560" w:type="dxa"/>
          </w:tcPr>
          <w:p w14:paraId="68825C8D" w14:textId="77777777" w:rsidR="000923BB" w:rsidRPr="00F955C6" w:rsidRDefault="000923BB" w:rsidP="003A385F">
            <w:pPr>
              <w:jc w:val="center"/>
              <w:rPr>
                <w:rFonts w:cs="Arial"/>
                <w:sz w:val="18"/>
                <w:szCs w:val="18"/>
              </w:rPr>
            </w:pPr>
            <w:r w:rsidRPr="00F955C6">
              <w:rPr>
                <w:rFonts w:cs="Arial"/>
                <w:sz w:val="18"/>
                <w:szCs w:val="18"/>
              </w:rPr>
              <w:t>Moderate</w:t>
            </w:r>
          </w:p>
        </w:tc>
      </w:tr>
      <w:tr w:rsidR="000923BB" w:rsidRPr="00F955C6" w14:paraId="01F6851B" w14:textId="77777777" w:rsidTr="003A385F">
        <w:tc>
          <w:tcPr>
            <w:tcW w:w="3840" w:type="dxa"/>
          </w:tcPr>
          <w:p w14:paraId="773C6571" w14:textId="77777777" w:rsidR="000923BB" w:rsidRPr="00F955C6" w:rsidRDefault="000923BB" w:rsidP="003A385F">
            <w:pPr>
              <w:rPr>
                <w:rFonts w:cs="Arial"/>
                <w:sz w:val="18"/>
                <w:szCs w:val="18"/>
              </w:rPr>
            </w:pPr>
            <w:r w:rsidRPr="00F955C6">
              <w:rPr>
                <w:rFonts w:cs="Arial"/>
                <w:sz w:val="18"/>
                <w:szCs w:val="18"/>
              </w:rPr>
              <w:t>NHS staff survey Q22e: Care of patient/service user is top priority (mean)</w:t>
            </w:r>
          </w:p>
        </w:tc>
        <w:tc>
          <w:tcPr>
            <w:tcW w:w="1200" w:type="dxa"/>
          </w:tcPr>
          <w:p w14:paraId="630C84FA" w14:textId="77777777" w:rsidR="000923BB" w:rsidRPr="00F955C6" w:rsidRDefault="000923BB" w:rsidP="003A385F">
            <w:pPr>
              <w:jc w:val="center"/>
              <w:rPr>
                <w:rFonts w:cs="Arial"/>
                <w:sz w:val="18"/>
                <w:szCs w:val="18"/>
              </w:rPr>
            </w:pPr>
            <w:r w:rsidRPr="00F955C6">
              <w:rPr>
                <w:rFonts w:cs="Arial"/>
                <w:sz w:val="18"/>
                <w:szCs w:val="18"/>
              </w:rPr>
              <w:t>-0.503</w:t>
            </w:r>
          </w:p>
        </w:tc>
        <w:tc>
          <w:tcPr>
            <w:tcW w:w="1080" w:type="dxa"/>
          </w:tcPr>
          <w:p w14:paraId="72565E6F" w14:textId="77777777" w:rsidR="000923BB" w:rsidRPr="00F955C6" w:rsidRDefault="000923BB" w:rsidP="003A385F">
            <w:pPr>
              <w:jc w:val="center"/>
              <w:rPr>
                <w:rFonts w:cs="Arial"/>
                <w:sz w:val="18"/>
                <w:szCs w:val="18"/>
              </w:rPr>
            </w:pPr>
            <w:r w:rsidRPr="00F955C6">
              <w:rPr>
                <w:rFonts w:cs="Arial"/>
                <w:sz w:val="18"/>
                <w:szCs w:val="18"/>
              </w:rPr>
              <w:t>0.024</w:t>
            </w:r>
          </w:p>
        </w:tc>
        <w:tc>
          <w:tcPr>
            <w:tcW w:w="1560" w:type="dxa"/>
          </w:tcPr>
          <w:p w14:paraId="7671AC93" w14:textId="77777777" w:rsidR="000923BB" w:rsidRPr="00F955C6" w:rsidRDefault="000923BB" w:rsidP="003A385F">
            <w:pPr>
              <w:jc w:val="center"/>
              <w:rPr>
                <w:rFonts w:cs="Arial"/>
                <w:sz w:val="18"/>
                <w:szCs w:val="18"/>
              </w:rPr>
            </w:pPr>
            <w:r w:rsidRPr="00F955C6">
              <w:rPr>
                <w:rFonts w:cs="Arial"/>
                <w:sz w:val="18"/>
                <w:szCs w:val="18"/>
              </w:rPr>
              <w:t>Moderate</w:t>
            </w:r>
          </w:p>
        </w:tc>
      </w:tr>
    </w:tbl>
    <w:p w14:paraId="695D2077" w14:textId="77777777" w:rsidR="000923BB" w:rsidRDefault="000923BB" w:rsidP="000923BB">
      <w:pPr>
        <w:jc w:val="both"/>
        <w:rPr>
          <w:rFonts w:cs="Arial"/>
          <w:sz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4"/>
        <w:gridCol w:w="4086"/>
      </w:tblGrid>
      <w:tr w:rsidR="000923BB" w:rsidRPr="00F955C6" w14:paraId="65E446A0" w14:textId="77777777" w:rsidTr="003C12FD">
        <w:tc>
          <w:tcPr>
            <w:tcW w:w="4014" w:type="dxa"/>
          </w:tcPr>
          <w:p w14:paraId="34B37643" w14:textId="77777777" w:rsidR="000923BB" w:rsidRPr="00F955C6" w:rsidRDefault="000923BB" w:rsidP="003A385F">
            <w:pPr>
              <w:jc w:val="both"/>
              <w:rPr>
                <w:rFonts w:cs="Arial"/>
                <w:b/>
                <w:sz w:val="18"/>
                <w:szCs w:val="18"/>
              </w:rPr>
            </w:pPr>
            <w:r w:rsidRPr="00F955C6">
              <w:rPr>
                <w:rFonts w:cs="Arial"/>
                <w:b/>
                <w:sz w:val="18"/>
                <w:szCs w:val="18"/>
              </w:rPr>
              <w:t>Figure 3.</w:t>
            </w:r>
          </w:p>
          <w:p w14:paraId="63CCAA93" w14:textId="77777777" w:rsidR="000923BB" w:rsidRPr="00F955C6" w:rsidRDefault="000923BB" w:rsidP="003A385F">
            <w:pPr>
              <w:jc w:val="both"/>
              <w:rPr>
                <w:rFonts w:cs="Arial"/>
                <w:i/>
                <w:sz w:val="22"/>
              </w:rPr>
            </w:pPr>
            <w:r w:rsidRPr="00F955C6">
              <w:rPr>
                <w:rFonts w:cs="Arial"/>
                <w:b/>
                <w:sz w:val="18"/>
                <w:szCs w:val="18"/>
              </w:rPr>
              <w:t>Scatter plot (with regression line) for COPD score by NHS staff survey 27b: encouraged to report errors (mean score)</w:t>
            </w:r>
          </w:p>
        </w:tc>
        <w:tc>
          <w:tcPr>
            <w:tcW w:w="4086" w:type="dxa"/>
          </w:tcPr>
          <w:p w14:paraId="3DB8B91F" w14:textId="77777777" w:rsidR="000923BB" w:rsidRPr="00F955C6" w:rsidRDefault="000923BB" w:rsidP="003A385F">
            <w:pPr>
              <w:jc w:val="both"/>
              <w:rPr>
                <w:rFonts w:cs="Arial"/>
                <w:b/>
                <w:sz w:val="18"/>
                <w:szCs w:val="18"/>
              </w:rPr>
            </w:pPr>
            <w:r w:rsidRPr="00F955C6">
              <w:rPr>
                <w:rFonts w:cs="Arial"/>
                <w:b/>
                <w:sz w:val="18"/>
                <w:szCs w:val="18"/>
              </w:rPr>
              <w:t>Figure 4.</w:t>
            </w:r>
          </w:p>
          <w:p w14:paraId="72A2AD6E" w14:textId="77777777" w:rsidR="000923BB" w:rsidRPr="00F955C6" w:rsidRDefault="000923BB" w:rsidP="003A385F">
            <w:pPr>
              <w:jc w:val="both"/>
              <w:rPr>
                <w:rFonts w:cs="Arial"/>
                <w:i/>
                <w:sz w:val="22"/>
              </w:rPr>
            </w:pPr>
            <w:r w:rsidRPr="00F955C6">
              <w:rPr>
                <w:rFonts w:cs="Arial"/>
                <w:b/>
                <w:sz w:val="18"/>
                <w:szCs w:val="18"/>
              </w:rPr>
              <w:t>Scatter plot (with regression line) for COPD score by NHS staff survey 22e: care of patient/service user is top priority (mean score)</w:t>
            </w:r>
          </w:p>
        </w:tc>
      </w:tr>
      <w:tr w:rsidR="000923BB" w:rsidRPr="00F955C6" w14:paraId="4E3B57FA" w14:textId="77777777" w:rsidTr="003C12FD">
        <w:tc>
          <w:tcPr>
            <w:tcW w:w="4014" w:type="dxa"/>
          </w:tcPr>
          <w:p w14:paraId="01765719" w14:textId="77777777" w:rsidR="000923BB" w:rsidRPr="00F955C6" w:rsidRDefault="000923BB" w:rsidP="003A385F">
            <w:pPr>
              <w:jc w:val="both"/>
              <w:rPr>
                <w:rFonts w:cs="Arial"/>
                <w:i/>
                <w:sz w:val="22"/>
              </w:rPr>
            </w:pPr>
            <w:r>
              <w:rPr>
                <w:rFonts w:cs="Arial"/>
                <w:noProof/>
                <w:sz w:val="14"/>
                <w:szCs w:val="14"/>
                <w:lang w:eastAsia="en-GB" w:bidi="ar-SA"/>
              </w:rPr>
              <w:drawing>
                <wp:inline distT="0" distB="0" distL="0" distR="0" wp14:anchorId="1E5D5816" wp14:editId="7E08F584">
                  <wp:extent cx="2361565" cy="2361565"/>
                  <wp:effectExtent l="1905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5" cstate="print"/>
                          <a:srcRect/>
                          <a:stretch>
                            <a:fillRect/>
                          </a:stretch>
                        </pic:blipFill>
                        <pic:spPr bwMode="auto">
                          <a:xfrm>
                            <a:off x="0" y="0"/>
                            <a:ext cx="2361565" cy="2361565"/>
                          </a:xfrm>
                          <a:prstGeom prst="rect">
                            <a:avLst/>
                          </a:prstGeom>
                          <a:noFill/>
                          <a:ln w="9525">
                            <a:noFill/>
                            <a:miter lim="800000"/>
                            <a:headEnd/>
                            <a:tailEnd/>
                          </a:ln>
                        </pic:spPr>
                      </pic:pic>
                    </a:graphicData>
                  </a:graphic>
                </wp:inline>
              </w:drawing>
            </w:r>
          </w:p>
        </w:tc>
        <w:tc>
          <w:tcPr>
            <w:tcW w:w="4086" w:type="dxa"/>
          </w:tcPr>
          <w:p w14:paraId="33F80DEF" w14:textId="77777777" w:rsidR="000923BB" w:rsidRPr="00F955C6" w:rsidRDefault="000923BB" w:rsidP="003A385F">
            <w:pPr>
              <w:jc w:val="both"/>
              <w:rPr>
                <w:rFonts w:cs="Arial"/>
                <w:i/>
                <w:sz w:val="22"/>
              </w:rPr>
            </w:pPr>
            <w:r>
              <w:rPr>
                <w:rFonts w:cs="Arial"/>
                <w:noProof/>
                <w:sz w:val="14"/>
                <w:szCs w:val="14"/>
                <w:lang w:eastAsia="en-GB" w:bidi="ar-SA"/>
              </w:rPr>
              <w:drawing>
                <wp:inline distT="0" distB="0" distL="0" distR="0" wp14:anchorId="38BFCBA1" wp14:editId="30F3B0F0">
                  <wp:extent cx="2433320" cy="2433320"/>
                  <wp:effectExtent l="1905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cstate="print"/>
                          <a:srcRect/>
                          <a:stretch>
                            <a:fillRect/>
                          </a:stretch>
                        </pic:blipFill>
                        <pic:spPr bwMode="auto">
                          <a:xfrm>
                            <a:off x="0" y="0"/>
                            <a:ext cx="2433320" cy="2433320"/>
                          </a:xfrm>
                          <a:prstGeom prst="rect">
                            <a:avLst/>
                          </a:prstGeom>
                          <a:noFill/>
                          <a:ln w="9525">
                            <a:noFill/>
                            <a:miter lim="800000"/>
                            <a:headEnd/>
                            <a:tailEnd/>
                          </a:ln>
                        </pic:spPr>
                      </pic:pic>
                    </a:graphicData>
                  </a:graphic>
                </wp:inline>
              </w:drawing>
            </w:r>
          </w:p>
        </w:tc>
      </w:tr>
    </w:tbl>
    <w:p w14:paraId="55AAE21B" w14:textId="77777777" w:rsidR="000923BB" w:rsidRPr="001528AF" w:rsidRDefault="000923BB" w:rsidP="000923BB">
      <w:pPr>
        <w:jc w:val="both"/>
        <w:rPr>
          <w:rFonts w:cs="Arial"/>
          <w:sz w:val="22"/>
          <w:szCs w:val="22"/>
        </w:rPr>
      </w:pPr>
    </w:p>
    <w:p w14:paraId="17B10485" w14:textId="77777777" w:rsidR="000923BB" w:rsidRDefault="000923BB" w:rsidP="000923BB">
      <w:pPr>
        <w:jc w:val="both"/>
        <w:rPr>
          <w:rFonts w:cs="Arial"/>
          <w:b/>
          <w:i/>
          <w:sz w:val="22"/>
          <w:szCs w:val="22"/>
        </w:rPr>
      </w:pPr>
    </w:p>
    <w:p w14:paraId="7D072C91" w14:textId="77777777" w:rsidR="00DD0924" w:rsidRDefault="00DD0924" w:rsidP="000923BB">
      <w:pPr>
        <w:jc w:val="both"/>
        <w:rPr>
          <w:rFonts w:cs="Arial"/>
          <w:i/>
          <w:sz w:val="22"/>
          <w:szCs w:val="22"/>
        </w:rPr>
      </w:pPr>
    </w:p>
    <w:p w14:paraId="1745B71B" w14:textId="77777777" w:rsidR="000923BB" w:rsidRPr="001935D2" w:rsidRDefault="000923BB" w:rsidP="000923BB">
      <w:pPr>
        <w:jc w:val="both"/>
        <w:rPr>
          <w:rFonts w:cs="Arial"/>
          <w:i/>
          <w:sz w:val="22"/>
          <w:szCs w:val="22"/>
        </w:rPr>
      </w:pPr>
      <w:r w:rsidRPr="001935D2">
        <w:rPr>
          <w:rFonts w:cs="Arial"/>
          <w:i/>
          <w:sz w:val="22"/>
          <w:szCs w:val="22"/>
        </w:rPr>
        <w:t>Heart failure mean holistic overall score (1 unsatisfactory to 6 excellent)</w:t>
      </w:r>
    </w:p>
    <w:p w14:paraId="688E472B" w14:textId="77777777" w:rsidR="000923BB" w:rsidRDefault="000923BB" w:rsidP="000923BB">
      <w:pPr>
        <w:jc w:val="both"/>
        <w:rPr>
          <w:rFonts w:cs="Arial"/>
          <w:sz w:val="22"/>
          <w:szCs w:val="22"/>
        </w:rPr>
      </w:pPr>
    </w:p>
    <w:p w14:paraId="354D3DF3" w14:textId="77777777" w:rsidR="000923BB" w:rsidRDefault="000923BB" w:rsidP="000923BB">
      <w:pPr>
        <w:jc w:val="both"/>
        <w:rPr>
          <w:rFonts w:cs="Arial"/>
          <w:sz w:val="22"/>
          <w:szCs w:val="22"/>
        </w:rPr>
      </w:pPr>
      <w:r w:rsidRPr="001528AF">
        <w:rPr>
          <w:rFonts w:cs="Arial"/>
          <w:sz w:val="22"/>
          <w:szCs w:val="22"/>
        </w:rPr>
        <w:t xml:space="preserve">A total of four variables were significantly correlated with </w:t>
      </w:r>
      <w:r>
        <w:rPr>
          <w:rFonts w:cs="Arial"/>
          <w:sz w:val="22"/>
          <w:szCs w:val="22"/>
        </w:rPr>
        <w:t>heart failure</w:t>
      </w:r>
      <w:r w:rsidRPr="001528AF">
        <w:rPr>
          <w:rFonts w:cs="Arial"/>
          <w:sz w:val="22"/>
          <w:szCs w:val="22"/>
        </w:rPr>
        <w:t xml:space="preserve"> mean score: quality of services</w:t>
      </w:r>
      <w:r>
        <w:rPr>
          <w:rFonts w:cs="Arial"/>
          <w:sz w:val="22"/>
          <w:szCs w:val="22"/>
        </w:rPr>
        <w:t>;</w:t>
      </w:r>
      <w:r w:rsidRPr="001528AF">
        <w:rPr>
          <w:rFonts w:cs="Arial"/>
          <w:sz w:val="22"/>
          <w:szCs w:val="22"/>
        </w:rPr>
        <w:t xml:space="preserve"> existing national targets</w:t>
      </w:r>
      <w:r>
        <w:rPr>
          <w:rFonts w:cs="Arial"/>
          <w:sz w:val="22"/>
          <w:szCs w:val="22"/>
        </w:rPr>
        <w:t>;</w:t>
      </w:r>
      <w:r w:rsidRPr="001528AF">
        <w:rPr>
          <w:rFonts w:cs="Arial"/>
          <w:sz w:val="22"/>
          <w:szCs w:val="22"/>
        </w:rPr>
        <w:t xml:space="preserve"> new national targets and NHS staff survey </w:t>
      </w:r>
      <w:r>
        <w:rPr>
          <w:rFonts w:cs="Arial"/>
          <w:sz w:val="22"/>
          <w:szCs w:val="22"/>
        </w:rPr>
        <w:t xml:space="preserve">question </w:t>
      </w:r>
      <w:r w:rsidRPr="001528AF">
        <w:rPr>
          <w:rFonts w:cs="Arial"/>
          <w:sz w:val="22"/>
          <w:szCs w:val="22"/>
        </w:rPr>
        <w:t xml:space="preserve">24a </w:t>
      </w:r>
      <w:r>
        <w:rPr>
          <w:rFonts w:cs="Arial"/>
          <w:sz w:val="22"/>
          <w:szCs w:val="22"/>
        </w:rPr>
        <w:t>(</w:t>
      </w:r>
      <w:r w:rsidRPr="001528AF">
        <w:rPr>
          <w:rFonts w:cs="Arial"/>
          <w:sz w:val="22"/>
          <w:szCs w:val="22"/>
        </w:rPr>
        <w:t>know how to report concerns</w:t>
      </w:r>
      <w:r>
        <w:rPr>
          <w:rFonts w:cs="Arial"/>
          <w:sz w:val="22"/>
          <w:szCs w:val="22"/>
        </w:rPr>
        <w:t>) (Table 10)</w:t>
      </w:r>
      <w:r w:rsidRPr="001528AF">
        <w:rPr>
          <w:rFonts w:cs="Arial"/>
          <w:sz w:val="22"/>
          <w:szCs w:val="22"/>
        </w:rPr>
        <w:t xml:space="preserve">. </w:t>
      </w:r>
    </w:p>
    <w:p w14:paraId="6F4E5A62" w14:textId="77777777" w:rsidR="000923BB" w:rsidRDefault="000923BB" w:rsidP="000923BB">
      <w:pPr>
        <w:jc w:val="both"/>
        <w:rPr>
          <w:rFonts w:cs="Arial"/>
          <w:sz w:val="22"/>
          <w:szCs w:val="22"/>
        </w:rPr>
      </w:pPr>
    </w:p>
    <w:p w14:paraId="2BEE49E7" w14:textId="77777777" w:rsidR="000923BB" w:rsidRDefault="000923BB" w:rsidP="000923BB">
      <w:pPr>
        <w:jc w:val="both"/>
        <w:rPr>
          <w:rFonts w:cs="Arial"/>
          <w:sz w:val="22"/>
          <w:szCs w:val="22"/>
        </w:rPr>
      </w:pPr>
      <w:r w:rsidRPr="001528AF">
        <w:rPr>
          <w:rFonts w:cs="Arial"/>
          <w:sz w:val="22"/>
          <w:szCs w:val="22"/>
        </w:rPr>
        <w:t xml:space="preserve">There is a strong positive correlation between quality of services (fair, good or excellent) and </w:t>
      </w:r>
      <w:r>
        <w:rPr>
          <w:rFonts w:cs="Arial"/>
          <w:sz w:val="22"/>
          <w:szCs w:val="22"/>
        </w:rPr>
        <w:t xml:space="preserve">heart failure </w:t>
      </w:r>
      <w:r w:rsidRPr="001528AF">
        <w:rPr>
          <w:rFonts w:cs="Arial"/>
          <w:sz w:val="22"/>
          <w:szCs w:val="22"/>
        </w:rPr>
        <w:t>mean score</w:t>
      </w:r>
      <w:r>
        <w:rPr>
          <w:rFonts w:cs="Arial"/>
          <w:sz w:val="22"/>
          <w:szCs w:val="22"/>
        </w:rPr>
        <w:t>:</w:t>
      </w:r>
      <w:r w:rsidRPr="001528AF">
        <w:rPr>
          <w:rFonts w:cs="Arial"/>
          <w:sz w:val="22"/>
          <w:szCs w:val="22"/>
        </w:rPr>
        <w:t xml:space="preserve"> those trusts with a fair score had lower mean </w:t>
      </w:r>
      <w:r>
        <w:rPr>
          <w:rFonts w:cs="Arial"/>
          <w:sz w:val="22"/>
          <w:szCs w:val="22"/>
        </w:rPr>
        <w:t xml:space="preserve">heart failure </w:t>
      </w:r>
      <w:r w:rsidRPr="001528AF">
        <w:rPr>
          <w:rFonts w:cs="Arial"/>
          <w:sz w:val="22"/>
          <w:szCs w:val="22"/>
        </w:rPr>
        <w:t>scores than trusts with a good or excellent score</w:t>
      </w:r>
      <w:r>
        <w:rPr>
          <w:rFonts w:cs="Arial"/>
          <w:sz w:val="22"/>
          <w:szCs w:val="22"/>
        </w:rPr>
        <w:t xml:space="preserve"> (Figure 5)</w:t>
      </w:r>
      <w:r w:rsidRPr="001528AF">
        <w:rPr>
          <w:rFonts w:cs="Arial"/>
          <w:sz w:val="22"/>
          <w:szCs w:val="22"/>
        </w:rPr>
        <w:t xml:space="preserve">. Existing national targets (partially met, almost met, fully met) were also strongly positively correlated with </w:t>
      </w:r>
      <w:r>
        <w:rPr>
          <w:rFonts w:cs="Arial"/>
          <w:sz w:val="22"/>
          <w:szCs w:val="22"/>
        </w:rPr>
        <w:t xml:space="preserve">heart failure </w:t>
      </w:r>
      <w:r w:rsidRPr="001528AF">
        <w:rPr>
          <w:rFonts w:cs="Arial"/>
          <w:sz w:val="22"/>
          <w:szCs w:val="22"/>
        </w:rPr>
        <w:t xml:space="preserve">mean scores where an increase in mean scores indicated an increased likelihood </w:t>
      </w:r>
      <w:r>
        <w:rPr>
          <w:rFonts w:cs="Arial"/>
          <w:sz w:val="22"/>
          <w:szCs w:val="22"/>
        </w:rPr>
        <w:t>of</w:t>
      </w:r>
      <w:r w:rsidRPr="001528AF">
        <w:rPr>
          <w:rFonts w:cs="Arial"/>
          <w:sz w:val="22"/>
          <w:szCs w:val="22"/>
        </w:rPr>
        <w:t xml:space="preserve"> trusts meeting existing national targets</w:t>
      </w:r>
      <w:r>
        <w:rPr>
          <w:rFonts w:cs="Arial"/>
          <w:sz w:val="22"/>
          <w:szCs w:val="22"/>
        </w:rPr>
        <w:t xml:space="preserve"> (Figure 6)</w:t>
      </w:r>
      <w:r w:rsidRPr="001528AF">
        <w:rPr>
          <w:rFonts w:cs="Arial"/>
          <w:sz w:val="22"/>
          <w:szCs w:val="22"/>
        </w:rPr>
        <w:t xml:space="preserve">. There was a moderate positive correlation between new national targets (weak, fair, good, excellent) and </w:t>
      </w:r>
      <w:r>
        <w:rPr>
          <w:rFonts w:cs="Arial"/>
          <w:sz w:val="22"/>
          <w:szCs w:val="22"/>
        </w:rPr>
        <w:t xml:space="preserve">heart failure - </w:t>
      </w:r>
      <w:r w:rsidRPr="001528AF">
        <w:rPr>
          <w:rFonts w:cs="Arial"/>
          <w:sz w:val="22"/>
          <w:szCs w:val="22"/>
        </w:rPr>
        <w:t xml:space="preserve">mean </w:t>
      </w:r>
      <w:r>
        <w:rPr>
          <w:rFonts w:cs="Arial"/>
          <w:sz w:val="22"/>
          <w:szCs w:val="22"/>
        </w:rPr>
        <w:t xml:space="preserve">heart failure </w:t>
      </w:r>
      <w:r w:rsidRPr="001528AF">
        <w:rPr>
          <w:rFonts w:cs="Arial"/>
          <w:sz w:val="22"/>
          <w:szCs w:val="22"/>
        </w:rPr>
        <w:t>scores increased with increased levels of excellence</w:t>
      </w:r>
      <w:r>
        <w:rPr>
          <w:rFonts w:cs="Arial"/>
          <w:sz w:val="22"/>
          <w:szCs w:val="22"/>
        </w:rPr>
        <w:t xml:space="preserve"> (Figure 7)</w:t>
      </w:r>
      <w:r w:rsidRPr="001528AF">
        <w:rPr>
          <w:rFonts w:cs="Arial"/>
          <w:sz w:val="22"/>
          <w:szCs w:val="22"/>
        </w:rPr>
        <w:t>.</w:t>
      </w:r>
    </w:p>
    <w:p w14:paraId="6F95F6C3" w14:textId="77777777" w:rsidR="000923BB" w:rsidRDefault="000923BB" w:rsidP="000923BB">
      <w:pPr>
        <w:jc w:val="both"/>
        <w:rPr>
          <w:rFonts w:cs="Arial"/>
          <w:sz w:val="22"/>
          <w:szCs w:val="22"/>
        </w:rPr>
      </w:pPr>
    </w:p>
    <w:p w14:paraId="67287A7E" w14:textId="77777777" w:rsidR="000923BB" w:rsidRDefault="000923BB" w:rsidP="000923BB">
      <w:pPr>
        <w:jc w:val="both"/>
        <w:rPr>
          <w:rFonts w:cs="Arial"/>
          <w:b/>
          <w:sz w:val="22"/>
          <w:szCs w:val="22"/>
        </w:rPr>
      </w:pPr>
      <w:r w:rsidRPr="001528AF">
        <w:rPr>
          <w:rFonts w:cs="Arial"/>
          <w:sz w:val="22"/>
          <w:szCs w:val="22"/>
        </w:rPr>
        <w:t xml:space="preserve"> Finally, there was a moderate positive correlation between NHS staff survey 24a and </w:t>
      </w:r>
      <w:r>
        <w:rPr>
          <w:rFonts w:cs="Arial"/>
          <w:sz w:val="22"/>
          <w:szCs w:val="22"/>
        </w:rPr>
        <w:t>heart failure mean score:-</w:t>
      </w:r>
      <w:r w:rsidRPr="001528AF">
        <w:rPr>
          <w:rFonts w:cs="Arial"/>
          <w:sz w:val="22"/>
          <w:szCs w:val="22"/>
        </w:rPr>
        <w:t xml:space="preserve"> the higher the percentage of responders who knew how to report incidents the higher </w:t>
      </w:r>
      <w:r>
        <w:rPr>
          <w:rFonts w:cs="Arial"/>
          <w:sz w:val="22"/>
          <w:szCs w:val="22"/>
        </w:rPr>
        <w:t xml:space="preserve">was </w:t>
      </w:r>
      <w:r w:rsidRPr="001528AF">
        <w:rPr>
          <w:rFonts w:cs="Arial"/>
          <w:sz w:val="22"/>
          <w:szCs w:val="22"/>
        </w:rPr>
        <w:t xml:space="preserve">the mean </w:t>
      </w:r>
      <w:r>
        <w:rPr>
          <w:rFonts w:cs="Arial"/>
          <w:sz w:val="22"/>
          <w:szCs w:val="22"/>
        </w:rPr>
        <w:t xml:space="preserve">heart failure </w:t>
      </w:r>
      <w:r w:rsidRPr="001528AF">
        <w:rPr>
          <w:rFonts w:cs="Arial"/>
          <w:sz w:val="22"/>
          <w:szCs w:val="22"/>
        </w:rPr>
        <w:t>score</w:t>
      </w:r>
      <w:r>
        <w:rPr>
          <w:rFonts w:cs="Arial"/>
          <w:sz w:val="22"/>
          <w:szCs w:val="22"/>
        </w:rPr>
        <w:t xml:space="preserve"> (Figure 8)</w:t>
      </w:r>
      <w:r w:rsidRPr="001528AF">
        <w:rPr>
          <w:rFonts w:cs="Arial"/>
          <w:sz w:val="22"/>
          <w:szCs w:val="22"/>
        </w:rPr>
        <w:t>.</w:t>
      </w:r>
    </w:p>
    <w:p w14:paraId="16F02418" w14:textId="77777777" w:rsidR="000923BB" w:rsidRDefault="000923BB" w:rsidP="000923BB">
      <w:pPr>
        <w:rPr>
          <w:rFonts w:cs="Arial"/>
          <w:b/>
          <w:sz w:val="22"/>
          <w:szCs w:val="22"/>
        </w:rPr>
      </w:pPr>
    </w:p>
    <w:p w14:paraId="15A56AEA" w14:textId="77777777" w:rsidR="000923BB" w:rsidRPr="00694519" w:rsidRDefault="000923BB" w:rsidP="000923BB">
      <w:pPr>
        <w:rPr>
          <w:rFonts w:cs="Arial"/>
          <w:b/>
          <w:sz w:val="20"/>
          <w:szCs w:val="20"/>
        </w:rPr>
      </w:pPr>
      <w:r w:rsidRPr="00694519">
        <w:rPr>
          <w:rFonts w:cs="Arial"/>
          <w:b/>
          <w:sz w:val="20"/>
          <w:szCs w:val="20"/>
        </w:rPr>
        <w:t>Table 10: Correlation between heart failure holistic mean overall score and outcome variables</w:t>
      </w:r>
    </w:p>
    <w:p w14:paraId="06033D59" w14:textId="77777777" w:rsidR="000923BB" w:rsidRDefault="000923BB" w:rsidP="000923BB">
      <w:pPr>
        <w:rPr>
          <w:rFonts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1200"/>
        <w:gridCol w:w="1080"/>
        <w:gridCol w:w="1560"/>
      </w:tblGrid>
      <w:tr w:rsidR="000923BB" w:rsidRPr="00F955C6" w14:paraId="39B922F5" w14:textId="77777777" w:rsidTr="003A385F">
        <w:tc>
          <w:tcPr>
            <w:tcW w:w="3840" w:type="dxa"/>
          </w:tcPr>
          <w:p w14:paraId="4555247F" w14:textId="77777777" w:rsidR="000923BB" w:rsidRPr="00F955C6" w:rsidRDefault="000923BB" w:rsidP="003A385F">
            <w:pPr>
              <w:rPr>
                <w:rFonts w:cs="Arial"/>
                <w:sz w:val="20"/>
                <w:szCs w:val="20"/>
              </w:rPr>
            </w:pPr>
            <w:r w:rsidRPr="00F955C6">
              <w:rPr>
                <w:rFonts w:cs="Arial"/>
                <w:sz w:val="20"/>
                <w:szCs w:val="20"/>
              </w:rPr>
              <w:t>Variable</w:t>
            </w:r>
          </w:p>
        </w:tc>
        <w:tc>
          <w:tcPr>
            <w:tcW w:w="1200" w:type="dxa"/>
          </w:tcPr>
          <w:p w14:paraId="6E65F992" w14:textId="77777777" w:rsidR="000923BB" w:rsidRPr="00F955C6" w:rsidRDefault="000923BB" w:rsidP="003A385F">
            <w:pPr>
              <w:jc w:val="center"/>
              <w:rPr>
                <w:rFonts w:cs="Arial"/>
                <w:sz w:val="20"/>
                <w:szCs w:val="20"/>
              </w:rPr>
            </w:pPr>
            <w:r w:rsidRPr="00F955C6">
              <w:rPr>
                <w:rFonts w:cs="Arial"/>
                <w:sz w:val="20"/>
                <w:szCs w:val="20"/>
              </w:rPr>
              <w:t>Correlation coefficient</w:t>
            </w:r>
          </w:p>
        </w:tc>
        <w:tc>
          <w:tcPr>
            <w:tcW w:w="1080" w:type="dxa"/>
          </w:tcPr>
          <w:p w14:paraId="59244349" w14:textId="77777777" w:rsidR="000923BB" w:rsidRPr="00F955C6" w:rsidRDefault="000923BB" w:rsidP="003A385F">
            <w:pPr>
              <w:jc w:val="center"/>
              <w:rPr>
                <w:rFonts w:cs="Arial"/>
                <w:sz w:val="20"/>
                <w:szCs w:val="20"/>
              </w:rPr>
            </w:pPr>
            <w:r w:rsidRPr="00F955C6">
              <w:rPr>
                <w:rFonts w:cs="Arial"/>
                <w:sz w:val="20"/>
                <w:szCs w:val="20"/>
              </w:rPr>
              <w:t>p-value</w:t>
            </w:r>
          </w:p>
        </w:tc>
        <w:tc>
          <w:tcPr>
            <w:tcW w:w="1560" w:type="dxa"/>
          </w:tcPr>
          <w:p w14:paraId="5F361B10" w14:textId="77777777" w:rsidR="000923BB" w:rsidRPr="00F955C6" w:rsidRDefault="000923BB" w:rsidP="003A385F">
            <w:pPr>
              <w:jc w:val="center"/>
              <w:rPr>
                <w:rFonts w:cs="Arial"/>
                <w:sz w:val="20"/>
                <w:szCs w:val="20"/>
              </w:rPr>
            </w:pPr>
            <w:r w:rsidRPr="00F955C6">
              <w:rPr>
                <w:rFonts w:cs="Arial"/>
                <w:sz w:val="20"/>
                <w:szCs w:val="20"/>
              </w:rPr>
              <w:t>Relationship</w:t>
            </w:r>
          </w:p>
        </w:tc>
      </w:tr>
      <w:tr w:rsidR="000923BB" w:rsidRPr="00F955C6" w14:paraId="3533FD68" w14:textId="77777777" w:rsidTr="003A385F">
        <w:tc>
          <w:tcPr>
            <w:tcW w:w="3840" w:type="dxa"/>
          </w:tcPr>
          <w:p w14:paraId="0E7EEB4C" w14:textId="77777777" w:rsidR="000923BB" w:rsidRPr="00F955C6" w:rsidRDefault="000923BB" w:rsidP="003A385F">
            <w:pPr>
              <w:rPr>
                <w:rFonts w:cs="Arial"/>
                <w:sz w:val="20"/>
                <w:szCs w:val="20"/>
              </w:rPr>
            </w:pPr>
            <w:r w:rsidRPr="00F955C6">
              <w:rPr>
                <w:rFonts w:cs="Arial"/>
                <w:sz w:val="20"/>
                <w:szCs w:val="20"/>
              </w:rPr>
              <w:t>Quality of services</w:t>
            </w:r>
          </w:p>
        </w:tc>
        <w:tc>
          <w:tcPr>
            <w:tcW w:w="1200" w:type="dxa"/>
          </w:tcPr>
          <w:p w14:paraId="3615715E" w14:textId="77777777" w:rsidR="000923BB" w:rsidRPr="00F955C6" w:rsidRDefault="000923BB" w:rsidP="003A385F">
            <w:pPr>
              <w:jc w:val="center"/>
              <w:rPr>
                <w:rFonts w:cs="Arial"/>
                <w:sz w:val="20"/>
                <w:szCs w:val="20"/>
              </w:rPr>
            </w:pPr>
            <w:r w:rsidRPr="00F955C6">
              <w:rPr>
                <w:rFonts w:cs="Arial"/>
                <w:sz w:val="20"/>
                <w:szCs w:val="20"/>
              </w:rPr>
              <w:t>0.651*</w:t>
            </w:r>
          </w:p>
        </w:tc>
        <w:tc>
          <w:tcPr>
            <w:tcW w:w="1080" w:type="dxa"/>
          </w:tcPr>
          <w:p w14:paraId="6FAAE3CF" w14:textId="77777777" w:rsidR="000923BB" w:rsidRPr="00F955C6" w:rsidRDefault="000923BB" w:rsidP="003A385F">
            <w:pPr>
              <w:jc w:val="center"/>
              <w:rPr>
                <w:rFonts w:cs="Arial"/>
                <w:sz w:val="20"/>
                <w:szCs w:val="20"/>
              </w:rPr>
            </w:pPr>
            <w:r w:rsidRPr="00F955C6">
              <w:rPr>
                <w:rFonts w:cs="Arial"/>
                <w:sz w:val="20"/>
                <w:szCs w:val="20"/>
              </w:rPr>
              <w:t>0.002</w:t>
            </w:r>
          </w:p>
        </w:tc>
        <w:tc>
          <w:tcPr>
            <w:tcW w:w="1560" w:type="dxa"/>
          </w:tcPr>
          <w:p w14:paraId="09F2730A" w14:textId="77777777" w:rsidR="000923BB" w:rsidRPr="00F955C6" w:rsidRDefault="000923BB" w:rsidP="003A385F">
            <w:pPr>
              <w:jc w:val="center"/>
              <w:rPr>
                <w:rFonts w:cs="Arial"/>
                <w:sz w:val="20"/>
                <w:szCs w:val="20"/>
              </w:rPr>
            </w:pPr>
            <w:r w:rsidRPr="00F955C6">
              <w:rPr>
                <w:rFonts w:cs="Arial"/>
                <w:sz w:val="20"/>
                <w:szCs w:val="20"/>
              </w:rPr>
              <w:t>Strong</w:t>
            </w:r>
          </w:p>
        </w:tc>
      </w:tr>
      <w:tr w:rsidR="000923BB" w:rsidRPr="00F955C6" w14:paraId="56C290D0" w14:textId="77777777" w:rsidTr="003A385F">
        <w:tc>
          <w:tcPr>
            <w:tcW w:w="3840" w:type="dxa"/>
          </w:tcPr>
          <w:p w14:paraId="268D5028" w14:textId="77777777" w:rsidR="000923BB" w:rsidRPr="00F955C6" w:rsidRDefault="000923BB" w:rsidP="003A385F">
            <w:pPr>
              <w:rPr>
                <w:rFonts w:cs="Arial"/>
                <w:sz w:val="20"/>
                <w:szCs w:val="20"/>
              </w:rPr>
            </w:pPr>
            <w:r w:rsidRPr="00F955C6">
              <w:rPr>
                <w:rFonts w:cs="Arial"/>
                <w:sz w:val="20"/>
                <w:szCs w:val="20"/>
              </w:rPr>
              <w:t>Existing national targets</w:t>
            </w:r>
          </w:p>
        </w:tc>
        <w:tc>
          <w:tcPr>
            <w:tcW w:w="1200" w:type="dxa"/>
          </w:tcPr>
          <w:p w14:paraId="1648CC0D" w14:textId="77777777" w:rsidR="000923BB" w:rsidRPr="00F955C6" w:rsidRDefault="000923BB" w:rsidP="003A385F">
            <w:pPr>
              <w:jc w:val="center"/>
              <w:rPr>
                <w:rFonts w:cs="Arial"/>
                <w:sz w:val="20"/>
                <w:szCs w:val="20"/>
              </w:rPr>
            </w:pPr>
            <w:r w:rsidRPr="00F955C6">
              <w:rPr>
                <w:rFonts w:cs="Arial"/>
                <w:sz w:val="20"/>
                <w:szCs w:val="20"/>
              </w:rPr>
              <w:t>0.765*</w:t>
            </w:r>
          </w:p>
        </w:tc>
        <w:tc>
          <w:tcPr>
            <w:tcW w:w="1080" w:type="dxa"/>
          </w:tcPr>
          <w:p w14:paraId="01C8C713" w14:textId="77777777" w:rsidR="000923BB" w:rsidRPr="00F955C6" w:rsidRDefault="000923BB" w:rsidP="003A385F">
            <w:pPr>
              <w:rPr>
                <w:rFonts w:cs="Arial"/>
                <w:sz w:val="20"/>
                <w:szCs w:val="20"/>
              </w:rPr>
            </w:pPr>
            <w:r w:rsidRPr="00F955C6">
              <w:rPr>
                <w:rFonts w:cs="Arial"/>
                <w:sz w:val="20"/>
                <w:szCs w:val="20"/>
              </w:rPr>
              <w:t>&lt; 0.001</w:t>
            </w:r>
          </w:p>
        </w:tc>
        <w:tc>
          <w:tcPr>
            <w:tcW w:w="1560" w:type="dxa"/>
          </w:tcPr>
          <w:p w14:paraId="0E89C7CC" w14:textId="77777777" w:rsidR="000923BB" w:rsidRPr="00F955C6" w:rsidRDefault="000923BB" w:rsidP="003A385F">
            <w:pPr>
              <w:jc w:val="center"/>
              <w:rPr>
                <w:rFonts w:cs="Arial"/>
                <w:sz w:val="20"/>
                <w:szCs w:val="20"/>
              </w:rPr>
            </w:pPr>
            <w:r w:rsidRPr="00F955C6">
              <w:rPr>
                <w:rFonts w:cs="Arial"/>
                <w:sz w:val="20"/>
                <w:szCs w:val="20"/>
              </w:rPr>
              <w:t>Strong</w:t>
            </w:r>
          </w:p>
        </w:tc>
      </w:tr>
      <w:tr w:rsidR="000923BB" w:rsidRPr="00F955C6" w14:paraId="3B6AD316" w14:textId="77777777" w:rsidTr="003A385F">
        <w:tc>
          <w:tcPr>
            <w:tcW w:w="3840" w:type="dxa"/>
          </w:tcPr>
          <w:p w14:paraId="013A52C8" w14:textId="77777777" w:rsidR="000923BB" w:rsidRPr="00F955C6" w:rsidRDefault="000923BB" w:rsidP="003A385F">
            <w:pPr>
              <w:rPr>
                <w:rFonts w:cs="Arial"/>
                <w:sz w:val="20"/>
                <w:szCs w:val="20"/>
              </w:rPr>
            </w:pPr>
            <w:r w:rsidRPr="00F955C6">
              <w:rPr>
                <w:rFonts w:cs="Arial"/>
                <w:sz w:val="20"/>
                <w:szCs w:val="20"/>
              </w:rPr>
              <w:t>New national targets</w:t>
            </w:r>
          </w:p>
        </w:tc>
        <w:tc>
          <w:tcPr>
            <w:tcW w:w="1200" w:type="dxa"/>
          </w:tcPr>
          <w:p w14:paraId="3586869E" w14:textId="77777777" w:rsidR="000923BB" w:rsidRPr="00F955C6" w:rsidRDefault="000923BB" w:rsidP="003A385F">
            <w:pPr>
              <w:jc w:val="center"/>
              <w:rPr>
                <w:rFonts w:cs="Arial"/>
                <w:sz w:val="20"/>
                <w:szCs w:val="20"/>
              </w:rPr>
            </w:pPr>
            <w:r w:rsidRPr="00F955C6">
              <w:rPr>
                <w:rFonts w:cs="Arial"/>
                <w:sz w:val="20"/>
                <w:szCs w:val="20"/>
              </w:rPr>
              <w:t>0.453*</w:t>
            </w:r>
          </w:p>
        </w:tc>
        <w:tc>
          <w:tcPr>
            <w:tcW w:w="1080" w:type="dxa"/>
          </w:tcPr>
          <w:p w14:paraId="04E72B94" w14:textId="77777777" w:rsidR="000923BB" w:rsidRPr="00F955C6" w:rsidRDefault="000923BB" w:rsidP="003A385F">
            <w:pPr>
              <w:jc w:val="center"/>
              <w:rPr>
                <w:rFonts w:cs="Arial"/>
                <w:sz w:val="20"/>
                <w:szCs w:val="20"/>
              </w:rPr>
            </w:pPr>
            <w:r w:rsidRPr="00F955C6">
              <w:rPr>
                <w:rFonts w:cs="Arial"/>
                <w:sz w:val="20"/>
                <w:szCs w:val="20"/>
              </w:rPr>
              <w:t>0.045</w:t>
            </w:r>
          </w:p>
        </w:tc>
        <w:tc>
          <w:tcPr>
            <w:tcW w:w="1560" w:type="dxa"/>
          </w:tcPr>
          <w:p w14:paraId="337F72FB" w14:textId="77777777" w:rsidR="000923BB" w:rsidRPr="00F955C6" w:rsidRDefault="000923BB" w:rsidP="003A385F">
            <w:pPr>
              <w:jc w:val="center"/>
              <w:rPr>
                <w:rFonts w:cs="Arial"/>
                <w:sz w:val="20"/>
                <w:szCs w:val="20"/>
              </w:rPr>
            </w:pPr>
            <w:r w:rsidRPr="00F955C6">
              <w:rPr>
                <w:rFonts w:cs="Arial"/>
                <w:sz w:val="20"/>
                <w:szCs w:val="20"/>
              </w:rPr>
              <w:t>Moderate</w:t>
            </w:r>
          </w:p>
        </w:tc>
      </w:tr>
      <w:tr w:rsidR="000923BB" w:rsidRPr="00F955C6" w14:paraId="3A5612F6" w14:textId="77777777" w:rsidTr="003A385F">
        <w:tc>
          <w:tcPr>
            <w:tcW w:w="3840" w:type="dxa"/>
          </w:tcPr>
          <w:p w14:paraId="0C30CCE9" w14:textId="77777777" w:rsidR="000923BB" w:rsidRPr="00F955C6" w:rsidRDefault="000923BB" w:rsidP="003A385F">
            <w:pPr>
              <w:rPr>
                <w:rFonts w:cs="Arial"/>
                <w:sz w:val="20"/>
                <w:szCs w:val="20"/>
              </w:rPr>
            </w:pPr>
            <w:r w:rsidRPr="00F955C6">
              <w:rPr>
                <w:rFonts w:cs="Arial"/>
                <w:sz w:val="20"/>
                <w:szCs w:val="20"/>
              </w:rPr>
              <w:t>NHS staff survey Q24a: Know how to report concerns (% yes)</w:t>
            </w:r>
          </w:p>
        </w:tc>
        <w:tc>
          <w:tcPr>
            <w:tcW w:w="1200" w:type="dxa"/>
          </w:tcPr>
          <w:p w14:paraId="4731B8EC" w14:textId="77777777" w:rsidR="000923BB" w:rsidRPr="00F955C6" w:rsidRDefault="000923BB" w:rsidP="003A385F">
            <w:pPr>
              <w:jc w:val="center"/>
              <w:rPr>
                <w:rFonts w:cs="Arial"/>
                <w:sz w:val="20"/>
                <w:szCs w:val="20"/>
              </w:rPr>
            </w:pPr>
            <w:r w:rsidRPr="00F955C6">
              <w:rPr>
                <w:rFonts w:cs="Arial"/>
                <w:sz w:val="20"/>
                <w:szCs w:val="20"/>
              </w:rPr>
              <w:t>0.509</w:t>
            </w:r>
          </w:p>
        </w:tc>
        <w:tc>
          <w:tcPr>
            <w:tcW w:w="1080" w:type="dxa"/>
          </w:tcPr>
          <w:p w14:paraId="59900B00" w14:textId="77777777" w:rsidR="000923BB" w:rsidRPr="00F955C6" w:rsidRDefault="000923BB" w:rsidP="003A385F">
            <w:pPr>
              <w:jc w:val="center"/>
              <w:rPr>
                <w:rFonts w:cs="Arial"/>
                <w:sz w:val="20"/>
                <w:szCs w:val="20"/>
              </w:rPr>
            </w:pPr>
            <w:r w:rsidRPr="00F955C6">
              <w:rPr>
                <w:rFonts w:cs="Arial"/>
                <w:sz w:val="20"/>
                <w:szCs w:val="20"/>
              </w:rPr>
              <w:t>0.022</w:t>
            </w:r>
          </w:p>
        </w:tc>
        <w:tc>
          <w:tcPr>
            <w:tcW w:w="1560" w:type="dxa"/>
          </w:tcPr>
          <w:p w14:paraId="0602F3F8" w14:textId="77777777" w:rsidR="000923BB" w:rsidRPr="00F955C6" w:rsidRDefault="000923BB" w:rsidP="003A385F">
            <w:pPr>
              <w:jc w:val="center"/>
              <w:rPr>
                <w:rFonts w:cs="Arial"/>
                <w:sz w:val="20"/>
                <w:szCs w:val="20"/>
              </w:rPr>
            </w:pPr>
            <w:r w:rsidRPr="00F955C6">
              <w:rPr>
                <w:rFonts w:cs="Arial"/>
                <w:sz w:val="20"/>
                <w:szCs w:val="20"/>
              </w:rPr>
              <w:t>Moderate</w:t>
            </w:r>
          </w:p>
        </w:tc>
      </w:tr>
    </w:tbl>
    <w:p w14:paraId="1322451B" w14:textId="77777777" w:rsidR="000923BB" w:rsidRDefault="000923BB" w:rsidP="000923BB">
      <w:pPr>
        <w:rPr>
          <w:rFonts w:cs="Arial"/>
          <w:sz w:val="18"/>
          <w:szCs w:val="18"/>
        </w:rPr>
      </w:pPr>
      <w:r w:rsidRPr="00D77319">
        <w:rPr>
          <w:rFonts w:cs="Arial"/>
          <w:sz w:val="18"/>
          <w:szCs w:val="18"/>
        </w:rPr>
        <w:t>* Spearman’s rank correlation used</w:t>
      </w:r>
    </w:p>
    <w:p w14:paraId="24C1D934" w14:textId="77777777" w:rsidR="00DD0924" w:rsidRDefault="00DD0924" w:rsidP="000923BB">
      <w:pPr>
        <w:rPr>
          <w:rFonts w:cs="Arial"/>
          <w:sz w:val="18"/>
          <w:szCs w:val="18"/>
        </w:rPr>
      </w:pPr>
    </w:p>
    <w:p w14:paraId="3BB662CD" w14:textId="77777777" w:rsidR="00DD0924" w:rsidRDefault="00DD0924" w:rsidP="000923BB">
      <w:pPr>
        <w:rPr>
          <w:rFonts w:cs="Arial"/>
          <w:sz w:val="18"/>
          <w:szCs w:val="18"/>
        </w:rPr>
      </w:pPr>
    </w:p>
    <w:p w14:paraId="5EF9342D" w14:textId="77777777" w:rsidR="00DD0924" w:rsidRDefault="00DD0924">
      <w:pPr>
        <w:rPr>
          <w:rFonts w:cs="Arial"/>
          <w:sz w:val="18"/>
          <w:szCs w:val="18"/>
        </w:rPr>
      </w:pPr>
      <w:r>
        <w:rPr>
          <w:rFonts w:cs="Arial"/>
          <w:sz w:val="18"/>
          <w:szCs w:val="18"/>
        </w:rPr>
        <w:br w:type="page"/>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3969"/>
      </w:tblGrid>
      <w:tr w:rsidR="000923BB" w:rsidRPr="00F955C6" w14:paraId="66E62C3E" w14:textId="77777777" w:rsidTr="003C12FD">
        <w:trPr>
          <w:trHeight w:val="1100"/>
        </w:trPr>
        <w:tc>
          <w:tcPr>
            <w:tcW w:w="4111" w:type="dxa"/>
          </w:tcPr>
          <w:p w14:paraId="19539D28" w14:textId="77777777" w:rsidR="000923BB" w:rsidRPr="00F955C6" w:rsidRDefault="000923BB" w:rsidP="003A385F">
            <w:pPr>
              <w:rPr>
                <w:rFonts w:cs="Arial"/>
                <w:b/>
                <w:sz w:val="20"/>
                <w:szCs w:val="20"/>
              </w:rPr>
            </w:pPr>
            <w:r w:rsidRPr="00F955C6">
              <w:rPr>
                <w:rFonts w:cs="Arial"/>
                <w:b/>
                <w:sz w:val="20"/>
                <w:szCs w:val="20"/>
              </w:rPr>
              <w:lastRenderedPageBreak/>
              <w:t>Figure 5.</w:t>
            </w:r>
          </w:p>
          <w:p w14:paraId="37C0D635" w14:textId="77777777" w:rsidR="000923BB" w:rsidRPr="00F955C6" w:rsidRDefault="000923BB" w:rsidP="003A385F">
            <w:pPr>
              <w:rPr>
                <w:rFonts w:cs="Arial"/>
                <w:b/>
                <w:sz w:val="22"/>
                <w:szCs w:val="22"/>
              </w:rPr>
            </w:pPr>
            <w:r w:rsidRPr="00F955C6">
              <w:rPr>
                <w:rFonts w:cs="Arial"/>
                <w:b/>
                <w:sz w:val="20"/>
                <w:szCs w:val="20"/>
              </w:rPr>
              <w:t>Scatter plot (with regression line) for heart failure score by quality of service</w:t>
            </w:r>
          </w:p>
        </w:tc>
        <w:tc>
          <w:tcPr>
            <w:tcW w:w="3969" w:type="dxa"/>
          </w:tcPr>
          <w:p w14:paraId="7BE67E73" w14:textId="77777777" w:rsidR="000923BB" w:rsidRPr="00F955C6" w:rsidRDefault="000923BB" w:rsidP="003A385F">
            <w:pPr>
              <w:rPr>
                <w:rFonts w:cs="Arial"/>
                <w:b/>
                <w:sz w:val="20"/>
                <w:szCs w:val="20"/>
              </w:rPr>
            </w:pPr>
            <w:r w:rsidRPr="00F955C6">
              <w:rPr>
                <w:rFonts w:cs="Arial"/>
                <w:b/>
                <w:sz w:val="20"/>
                <w:szCs w:val="20"/>
              </w:rPr>
              <w:t>Figure 6.</w:t>
            </w:r>
          </w:p>
          <w:p w14:paraId="548E01C1" w14:textId="77777777" w:rsidR="000923BB" w:rsidRPr="00F955C6" w:rsidRDefault="000923BB" w:rsidP="003A385F">
            <w:pPr>
              <w:rPr>
                <w:rFonts w:cs="Arial"/>
                <w:b/>
                <w:sz w:val="22"/>
                <w:szCs w:val="22"/>
              </w:rPr>
            </w:pPr>
            <w:r w:rsidRPr="00F955C6">
              <w:rPr>
                <w:rFonts w:cs="Arial"/>
                <w:b/>
                <w:sz w:val="20"/>
                <w:szCs w:val="20"/>
              </w:rPr>
              <w:t>Scatter plot (with regression line) for heart failure score by existing national targets</w:t>
            </w:r>
          </w:p>
        </w:tc>
      </w:tr>
      <w:tr w:rsidR="000923BB" w:rsidRPr="00F955C6" w14:paraId="7C0D6381" w14:textId="77777777" w:rsidTr="003C12FD">
        <w:trPr>
          <w:trHeight w:val="3779"/>
        </w:trPr>
        <w:tc>
          <w:tcPr>
            <w:tcW w:w="4111" w:type="dxa"/>
          </w:tcPr>
          <w:p w14:paraId="273C2C47" w14:textId="77777777" w:rsidR="000923BB" w:rsidRPr="00F955C6" w:rsidRDefault="000923BB" w:rsidP="003A385F">
            <w:pPr>
              <w:rPr>
                <w:rFonts w:cs="Arial"/>
                <w:b/>
                <w:sz w:val="22"/>
                <w:szCs w:val="22"/>
              </w:rPr>
            </w:pPr>
            <w:r>
              <w:rPr>
                <w:rFonts w:cs="Arial"/>
                <w:noProof/>
                <w:sz w:val="14"/>
                <w:szCs w:val="14"/>
                <w:lang w:eastAsia="en-GB" w:bidi="ar-SA"/>
              </w:rPr>
              <w:drawing>
                <wp:inline distT="0" distB="0" distL="0" distR="0" wp14:anchorId="0FD7ABAD" wp14:editId="5FE1C012">
                  <wp:extent cx="2449195" cy="2449195"/>
                  <wp:effectExtent l="1905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7" cstate="print"/>
                          <a:srcRect/>
                          <a:stretch>
                            <a:fillRect/>
                          </a:stretch>
                        </pic:blipFill>
                        <pic:spPr bwMode="auto">
                          <a:xfrm>
                            <a:off x="0" y="0"/>
                            <a:ext cx="2449195" cy="2449195"/>
                          </a:xfrm>
                          <a:prstGeom prst="rect">
                            <a:avLst/>
                          </a:prstGeom>
                          <a:noFill/>
                          <a:ln w="9525">
                            <a:noFill/>
                            <a:miter lim="800000"/>
                            <a:headEnd/>
                            <a:tailEnd/>
                          </a:ln>
                        </pic:spPr>
                      </pic:pic>
                    </a:graphicData>
                  </a:graphic>
                </wp:inline>
              </w:drawing>
            </w:r>
          </w:p>
        </w:tc>
        <w:tc>
          <w:tcPr>
            <w:tcW w:w="3969" w:type="dxa"/>
          </w:tcPr>
          <w:p w14:paraId="4A7B6CE5" w14:textId="77777777" w:rsidR="000923BB" w:rsidRPr="00F955C6" w:rsidRDefault="000923BB" w:rsidP="003A385F">
            <w:pPr>
              <w:rPr>
                <w:rFonts w:cs="Arial"/>
                <w:b/>
                <w:sz w:val="22"/>
                <w:szCs w:val="22"/>
              </w:rPr>
            </w:pPr>
            <w:r>
              <w:rPr>
                <w:rFonts w:cs="Arial"/>
                <w:noProof/>
                <w:sz w:val="14"/>
                <w:szCs w:val="14"/>
                <w:lang w:eastAsia="en-GB" w:bidi="ar-SA"/>
              </w:rPr>
              <w:drawing>
                <wp:inline distT="0" distB="0" distL="0" distR="0" wp14:anchorId="72926387" wp14:editId="75012EF2">
                  <wp:extent cx="2449195" cy="2449195"/>
                  <wp:effectExtent l="1905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8" cstate="print"/>
                          <a:srcRect/>
                          <a:stretch>
                            <a:fillRect/>
                          </a:stretch>
                        </pic:blipFill>
                        <pic:spPr bwMode="auto">
                          <a:xfrm>
                            <a:off x="0" y="0"/>
                            <a:ext cx="2449195" cy="2449195"/>
                          </a:xfrm>
                          <a:prstGeom prst="rect">
                            <a:avLst/>
                          </a:prstGeom>
                          <a:noFill/>
                          <a:ln w="9525">
                            <a:noFill/>
                            <a:miter lim="800000"/>
                            <a:headEnd/>
                            <a:tailEnd/>
                          </a:ln>
                        </pic:spPr>
                      </pic:pic>
                    </a:graphicData>
                  </a:graphic>
                </wp:inline>
              </w:drawing>
            </w:r>
          </w:p>
        </w:tc>
      </w:tr>
      <w:tr w:rsidR="000923BB" w:rsidRPr="00F955C6" w14:paraId="01D50803" w14:textId="77777777" w:rsidTr="003C12FD">
        <w:trPr>
          <w:trHeight w:val="1518"/>
        </w:trPr>
        <w:tc>
          <w:tcPr>
            <w:tcW w:w="4111" w:type="dxa"/>
          </w:tcPr>
          <w:p w14:paraId="28AF55A8" w14:textId="77777777" w:rsidR="000923BB" w:rsidRPr="00F955C6" w:rsidRDefault="000923BB" w:rsidP="003A385F">
            <w:pPr>
              <w:rPr>
                <w:rFonts w:cs="Arial"/>
                <w:b/>
                <w:sz w:val="20"/>
                <w:szCs w:val="20"/>
              </w:rPr>
            </w:pPr>
            <w:r w:rsidRPr="00F955C6">
              <w:rPr>
                <w:rFonts w:cs="Arial"/>
                <w:b/>
                <w:sz w:val="20"/>
                <w:szCs w:val="20"/>
              </w:rPr>
              <w:t>Figure 7.</w:t>
            </w:r>
          </w:p>
          <w:p w14:paraId="6975E95E" w14:textId="77777777" w:rsidR="000923BB" w:rsidRPr="00F955C6" w:rsidRDefault="000923BB" w:rsidP="003A385F">
            <w:pPr>
              <w:rPr>
                <w:rFonts w:cs="Arial"/>
                <w:sz w:val="20"/>
                <w:szCs w:val="20"/>
              </w:rPr>
            </w:pPr>
            <w:r w:rsidRPr="00F955C6">
              <w:rPr>
                <w:rFonts w:cs="Arial"/>
                <w:b/>
                <w:sz w:val="20"/>
                <w:szCs w:val="20"/>
              </w:rPr>
              <w:t>Scatter plot (with regression line) for heart failure score by new national targets</w:t>
            </w:r>
          </w:p>
          <w:p w14:paraId="6B86A518" w14:textId="77777777" w:rsidR="000923BB" w:rsidRPr="00F955C6" w:rsidRDefault="000923BB" w:rsidP="003A385F">
            <w:pPr>
              <w:rPr>
                <w:rFonts w:cs="Arial"/>
                <w:sz w:val="20"/>
                <w:szCs w:val="20"/>
              </w:rPr>
            </w:pPr>
          </w:p>
        </w:tc>
        <w:tc>
          <w:tcPr>
            <w:tcW w:w="3969" w:type="dxa"/>
          </w:tcPr>
          <w:p w14:paraId="277883C7" w14:textId="77777777" w:rsidR="000923BB" w:rsidRPr="00F955C6" w:rsidRDefault="000923BB" w:rsidP="003A385F">
            <w:pPr>
              <w:rPr>
                <w:rFonts w:cs="Arial"/>
                <w:b/>
                <w:sz w:val="20"/>
                <w:szCs w:val="20"/>
              </w:rPr>
            </w:pPr>
            <w:r w:rsidRPr="00F955C6">
              <w:rPr>
                <w:rFonts w:cs="Arial"/>
                <w:b/>
                <w:sz w:val="20"/>
                <w:szCs w:val="20"/>
              </w:rPr>
              <w:t>Figure 8.</w:t>
            </w:r>
          </w:p>
          <w:p w14:paraId="55643F16" w14:textId="77777777" w:rsidR="000923BB" w:rsidRPr="00F955C6" w:rsidRDefault="000923BB" w:rsidP="003A385F">
            <w:pPr>
              <w:rPr>
                <w:rFonts w:cs="Arial"/>
                <w:sz w:val="20"/>
                <w:szCs w:val="20"/>
              </w:rPr>
            </w:pPr>
            <w:r w:rsidRPr="00F955C6">
              <w:rPr>
                <w:rFonts w:cs="Arial"/>
                <w:b/>
                <w:sz w:val="20"/>
                <w:szCs w:val="20"/>
              </w:rPr>
              <w:t>Scatter plot (with regression line) for heart failure score by NHS staff survey Q24a: Know how to report (percent yes)</w:t>
            </w:r>
          </w:p>
        </w:tc>
      </w:tr>
      <w:tr w:rsidR="000923BB" w:rsidRPr="00F955C6" w14:paraId="39E3AABC" w14:textId="77777777" w:rsidTr="003C12FD">
        <w:trPr>
          <w:trHeight w:val="4692"/>
        </w:trPr>
        <w:tc>
          <w:tcPr>
            <w:tcW w:w="4111" w:type="dxa"/>
          </w:tcPr>
          <w:p w14:paraId="64A10679" w14:textId="77777777" w:rsidR="000923BB" w:rsidRPr="00F955C6" w:rsidRDefault="000923BB" w:rsidP="003A385F">
            <w:pPr>
              <w:rPr>
                <w:rFonts w:cs="Arial"/>
                <w:sz w:val="18"/>
                <w:szCs w:val="18"/>
              </w:rPr>
            </w:pPr>
          </w:p>
          <w:p w14:paraId="10823052" w14:textId="77777777" w:rsidR="000923BB" w:rsidRPr="00F955C6" w:rsidRDefault="000923BB" w:rsidP="003A385F">
            <w:pPr>
              <w:rPr>
                <w:rFonts w:cs="Arial"/>
                <w:sz w:val="18"/>
                <w:szCs w:val="18"/>
              </w:rPr>
            </w:pPr>
            <w:r>
              <w:rPr>
                <w:rFonts w:cs="Arial"/>
                <w:noProof/>
                <w:sz w:val="14"/>
                <w:szCs w:val="14"/>
                <w:lang w:eastAsia="en-GB" w:bidi="ar-SA"/>
              </w:rPr>
              <w:drawing>
                <wp:inline distT="0" distB="0" distL="0" distR="0" wp14:anchorId="4972F253" wp14:editId="59C73018">
                  <wp:extent cx="2512695" cy="2512695"/>
                  <wp:effectExtent l="1905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9" cstate="print"/>
                          <a:srcRect/>
                          <a:stretch>
                            <a:fillRect/>
                          </a:stretch>
                        </pic:blipFill>
                        <pic:spPr bwMode="auto">
                          <a:xfrm>
                            <a:off x="0" y="0"/>
                            <a:ext cx="2512695" cy="2512695"/>
                          </a:xfrm>
                          <a:prstGeom prst="rect">
                            <a:avLst/>
                          </a:prstGeom>
                          <a:noFill/>
                          <a:ln w="9525">
                            <a:noFill/>
                            <a:miter lim="800000"/>
                            <a:headEnd/>
                            <a:tailEnd/>
                          </a:ln>
                        </pic:spPr>
                      </pic:pic>
                    </a:graphicData>
                  </a:graphic>
                </wp:inline>
              </w:drawing>
            </w:r>
          </w:p>
          <w:p w14:paraId="6D847488" w14:textId="77777777" w:rsidR="000923BB" w:rsidRPr="00F955C6" w:rsidRDefault="000923BB" w:rsidP="003A385F">
            <w:pPr>
              <w:rPr>
                <w:rFonts w:cs="Arial"/>
                <w:sz w:val="18"/>
                <w:szCs w:val="18"/>
              </w:rPr>
            </w:pPr>
          </w:p>
        </w:tc>
        <w:tc>
          <w:tcPr>
            <w:tcW w:w="3969" w:type="dxa"/>
          </w:tcPr>
          <w:p w14:paraId="0D776ED5" w14:textId="77777777" w:rsidR="000923BB" w:rsidRPr="00F955C6" w:rsidRDefault="000923BB" w:rsidP="003A385F">
            <w:pPr>
              <w:rPr>
                <w:rFonts w:cs="Arial"/>
                <w:sz w:val="18"/>
                <w:szCs w:val="18"/>
              </w:rPr>
            </w:pPr>
            <w:r>
              <w:rPr>
                <w:rFonts w:cs="Arial"/>
                <w:noProof/>
                <w:sz w:val="14"/>
                <w:szCs w:val="14"/>
                <w:lang w:eastAsia="en-GB" w:bidi="ar-SA"/>
              </w:rPr>
              <w:drawing>
                <wp:inline distT="0" distB="0" distL="0" distR="0" wp14:anchorId="498CEFAC" wp14:editId="3ED362FD">
                  <wp:extent cx="2544445" cy="2544445"/>
                  <wp:effectExtent l="1905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0" cstate="print"/>
                          <a:srcRect/>
                          <a:stretch>
                            <a:fillRect/>
                          </a:stretch>
                        </pic:blipFill>
                        <pic:spPr bwMode="auto">
                          <a:xfrm>
                            <a:off x="0" y="0"/>
                            <a:ext cx="2544445" cy="2544445"/>
                          </a:xfrm>
                          <a:prstGeom prst="rect">
                            <a:avLst/>
                          </a:prstGeom>
                          <a:noFill/>
                          <a:ln w="9525">
                            <a:noFill/>
                            <a:miter lim="800000"/>
                            <a:headEnd/>
                            <a:tailEnd/>
                          </a:ln>
                        </pic:spPr>
                      </pic:pic>
                    </a:graphicData>
                  </a:graphic>
                </wp:inline>
              </w:drawing>
            </w:r>
          </w:p>
        </w:tc>
      </w:tr>
    </w:tbl>
    <w:p w14:paraId="6E19C177" w14:textId="77777777" w:rsidR="000923BB" w:rsidRDefault="000923BB" w:rsidP="000923BB">
      <w:pPr>
        <w:rPr>
          <w:rFonts w:cs="Arial"/>
          <w:b/>
          <w:sz w:val="22"/>
          <w:szCs w:val="22"/>
        </w:rPr>
      </w:pPr>
    </w:p>
    <w:p w14:paraId="6D1FE3E5" w14:textId="77777777" w:rsidR="000923BB" w:rsidRDefault="000923BB" w:rsidP="000923BB">
      <w:pPr>
        <w:jc w:val="both"/>
        <w:rPr>
          <w:rFonts w:cs="Arial"/>
          <w:b/>
          <w:i/>
          <w:sz w:val="22"/>
          <w:szCs w:val="22"/>
        </w:rPr>
      </w:pPr>
    </w:p>
    <w:p w14:paraId="7B76B728" w14:textId="77777777" w:rsidR="00DD0924" w:rsidRDefault="00DD0924" w:rsidP="000923BB">
      <w:pPr>
        <w:jc w:val="both"/>
        <w:rPr>
          <w:rFonts w:cs="Arial"/>
          <w:i/>
          <w:sz w:val="22"/>
          <w:szCs w:val="22"/>
        </w:rPr>
      </w:pPr>
    </w:p>
    <w:p w14:paraId="145D7A30" w14:textId="77777777" w:rsidR="00DD0924" w:rsidRDefault="00DD0924" w:rsidP="000923BB">
      <w:pPr>
        <w:jc w:val="both"/>
        <w:rPr>
          <w:rFonts w:cs="Arial"/>
          <w:i/>
          <w:sz w:val="22"/>
          <w:szCs w:val="22"/>
        </w:rPr>
      </w:pPr>
    </w:p>
    <w:p w14:paraId="61253244" w14:textId="77777777" w:rsidR="000923BB" w:rsidRPr="00BB3CBE" w:rsidRDefault="000923BB" w:rsidP="000923BB">
      <w:pPr>
        <w:jc w:val="both"/>
        <w:rPr>
          <w:rFonts w:cs="Arial"/>
          <w:i/>
          <w:sz w:val="22"/>
          <w:szCs w:val="22"/>
        </w:rPr>
      </w:pPr>
      <w:r w:rsidRPr="00BB3CBE">
        <w:rPr>
          <w:rFonts w:cs="Arial"/>
          <w:i/>
          <w:sz w:val="22"/>
          <w:szCs w:val="22"/>
        </w:rPr>
        <w:t>COPD mean holistic phase score</w:t>
      </w:r>
    </w:p>
    <w:p w14:paraId="6B0648B2" w14:textId="77777777" w:rsidR="000923BB" w:rsidRPr="001528AF" w:rsidRDefault="000923BB" w:rsidP="000923BB">
      <w:pPr>
        <w:jc w:val="both"/>
        <w:rPr>
          <w:rFonts w:cs="Arial"/>
          <w:b/>
          <w:i/>
          <w:sz w:val="22"/>
          <w:szCs w:val="22"/>
        </w:rPr>
      </w:pPr>
    </w:p>
    <w:p w14:paraId="6B1FC761" w14:textId="77777777" w:rsidR="000923BB" w:rsidRPr="001528AF" w:rsidRDefault="000923BB" w:rsidP="000923BB">
      <w:pPr>
        <w:jc w:val="both"/>
        <w:rPr>
          <w:rFonts w:cs="Arial"/>
          <w:sz w:val="22"/>
          <w:szCs w:val="22"/>
        </w:rPr>
      </w:pPr>
      <w:r w:rsidRPr="001528AF">
        <w:rPr>
          <w:rFonts w:cs="Arial"/>
          <w:sz w:val="22"/>
          <w:szCs w:val="22"/>
        </w:rPr>
        <w:t>Only NHS staff survey question 22e</w:t>
      </w:r>
      <w:r>
        <w:rPr>
          <w:rFonts w:cs="Arial"/>
          <w:sz w:val="22"/>
          <w:szCs w:val="22"/>
        </w:rPr>
        <w:t xml:space="preserve"> </w:t>
      </w:r>
      <w:r w:rsidRPr="003E2F8D">
        <w:rPr>
          <w:rFonts w:cs="Arial"/>
          <w:sz w:val="22"/>
          <w:szCs w:val="22"/>
        </w:rPr>
        <w:t>(care of patient/service user is top priority)</w:t>
      </w:r>
      <w:r w:rsidRPr="001528AF">
        <w:rPr>
          <w:rFonts w:cs="Arial"/>
          <w:sz w:val="22"/>
          <w:szCs w:val="22"/>
        </w:rPr>
        <w:t xml:space="preserve"> was significantly correlated with COPD mea</w:t>
      </w:r>
      <w:r>
        <w:rPr>
          <w:rFonts w:cs="Arial"/>
          <w:sz w:val="22"/>
          <w:szCs w:val="22"/>
        </w:rPr>
        <w:t>n holistic score (Table 11). As with the overall score</w:t>
      </w:r>
      <w:r w:rsidRPr="001528AF">
        <w:rPr>
          <w:rFonts w:cs="Arial"/>
          <w:sz w:val="22"/>
          <w:szCs w:val="22"/>
        </w:rPr>
        <w:t xml:space="preserve"> analysis</w:t>
      </w:r>
      <w:r>
        <w:rPr>
          <w:rFonts w:cs="Arial"/>
          <w:sz w:val="22"/>
          <w:szCs w:val="22"/>
        </w:rPr>
        <w:t xml:space="preserve"> above (Table 9)</w:t>
      </w:r>
      <w:r w:rsidRPr="001528AF">
        <w:rPr>
          <w:rFonts w:cs="Arial"/>
          <w:sz w:val="22"/>
          <w:szCs w:val="22"/>
        </w:rPr>
        <w:t>, the correlation between the two variables was negative, and as COPD mean holistic score increases the mean score for care of patient/service users being a top priority decreased – a lower score indicates more disagreement with the statement</w:t>
      </w:r>
      <w:r>
        <w:rPr>
          <w:rFonts w:cs="Arial"/>
          <w:sz w:val="22"/>
          <w:szCs w:val="22"/>
        </w:rPr>
        <w:t xml:space="preserve"> (Figure 9)</w:t>
      </w:r>
      <w:r w:rsidRPr="001528AF">
        <w:rPr>
          <w:rFonts w:cs="Arial"/>
          <w:sz w:val="22"/>
          <w:szCs w:val="22"/>
        </w:rPr>
        <w:t>.</w:t>
      </w:r>
    </w:p>
    <w:p w14:paraId="3D30B1AD" w14:textId="77777777" w:rsidR="000923BB" w:rsidRDefault="000923BB" w:rsidP="000923BB">
      <w:pPr>
        <w:rPr>
          <w:rFonts w:cs="Arial"/>
          <w:b/>
          <w:sz w:val="22"/>
          <w:szCs w:val="22"/>
        </w:rPr>
      </w:pPr>
    </w:p>
    <w:p w14:paraId="101D00CF" w14:textId="77777777" w:rsidR="000923BB" w:rsidRDefault="000923BB" w:rsidP="000923BB">
      <w:pPr>
        <w:rPr>
          <w:rFonts w:cs="Arial"/>
          <w:b/>
          <w:sz w:val="22"/>
          <w:szCs w:val="22"/>
        </w:rPr>
      </w:pPr>
    </w:p>
    <w:p w14:paraId="43B4B933" w14:textId="77777777" w:rsidR="000923BB" w:rsidRPr="00694519" w:rsidRDefault="000923BB" w:rsidP="000923BB">
      <w:pPr>
        <w:rPr>
          <w:rFonts w:cs="Arial"/>
          <w:b/>
          <w:sz w:val="20"/>
          <w:szCs w:val="20"/>
        </w:rPr>
      </w:pPr>
      <w:r w:rsidRPr="00694519">
        <w:rPr>
          <w:rFonts w:cs="Arial"/>
          <w:b/>
          <w:sz w:val="20"/>
          <w:szCs w:val="20"/>
        </w:rPr>
        <w:t>Table 11: Correlation between COPD holistic mean phase score and outcome variables</w:t>
      </w:r>
    </w:p>
    <w:p w14:paraId="0731B59E" w14:textId="77777777" w:rsidR="000923BB" w:rsidRDefault="000923BB" w:rsidP="000923BB">
      <w:pPr>
        <w:rPr>
          <w:rFonts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1200"/>
        <w:gridCol w:w="1080"/>
        <w:gridCol w:w="1560"/>
      </w:tblGrid>
      <w:tr w:rsidR="000923BB" w:rsidRPr="00F955C6" w14:paraId="49F7E24C" w14:textId="77777777" w:rsidTr="003A385F">
        <w:tc>
          <w:tcPr>
            <w:tcW w:w="3840" w:type="dxa"/>
          </w:tcPr>
          <w:p w14:paraId="19112AF1" w14:textId="77777777" w:rsidR="000923BB" w:rsidRPr="00F955C6" w:rsidRDefault="000923BB" w:rsidP="003A385F">
            <w:pPr>
              <w:rPr>
                <w:rFonts w:cs="Arial"/>
                <w:sz w:val="20"/>
                <w:szCs w:val="20"/>
              </w:rPr>
            </w:pPr>
            <w:r w:rsidRPr="00F955C6">
              <w:rPr>
                <w:rFonts w:cs="Arial"/>
                <w:sz w:val="20"/>
                <w:szCs w:val="20"/>
              </w:rPr>
              <w:t>Variable</w:t>
            </w:r>
          </w:p>
        </w:tc>
        <w:tc>
          <w:tcPr>
            <w:tcW w:w="1200" w:type="dxa"/>
          </w:tcPr>
          <w:p w14:paraId="42A93066" w14:textId="77777777" w:rsidR="000923BB" w:rsidRPr="00F955C6" w:rsidRDefault="000923BB" w:rsidP="003A385F">
            <w:pPr>
              <w:jc w:val="center"/>
              <w:rPr>
                <w:rFonts w:cs="Arial"/>
                <w:sz w:val="20"/>
                <w:szCs w:val="20"/>
              </w:rPr>
            </w:pPr>
            <w:r w:rsidRPr="00F955C6">
              <w:rPr>
                <w:rFonts w:cs="Arial"/>
                <w:sz w:val="20"/>
                <w:szCs w:val="20"/>
              </w:rPr>
              <w:t>Correlation coefficient</w:t>
            </w:r>
          </w:p>
        </w:tc>
        <w:tc>
          <w:tcPr>
            <w:tcW w:w="1080" w:type="dxa"/>
          </w:tcPr>
          <w:p w14:paraId="6FB29284" w14:textId="77777777" w:rsidR="000923BB" w:rsidRPr="00F955C6" w:rsidRDefault="000923BB" w:rsidP="003A385F">
            <w:pPr>
              <w:jc w:val="center"/>
              <w:rPr>
                <w:rFonts w:cs="Arial"/>
                <w:sz w:val="20"/>
                <w:szCs w:val="20"/>
              </w:rPr>
            </w:pPr>
            <w:r w:rsidRPr="00F955C6">
              <w:rPr>
                <w:rFonts w:cs="Arial"/>
                <w:sz w:val="20"/>
                <w:szCs w:val="20"/>
              </w:rPr>
              <w:t>p-value</w:t>
            </w:r>
          </w:p>
        </w:tc>
        <w:tc>
          <w:tcPr>
            <w:tcW w:w="1560" w:type="dxa"/>
          </w:tcPr>
          <w:p w14:paraId="30ABCD83" w14:textId="77777777" w:rsidR="000923BB" w:rsidRPr="00F955C6" w:rsidRDefault="000923BB" w:rsidP="003A385F">
            <w:pPr>
              <w:jc w:val="center"/>
              <w:rPr>
                <w:rFonts w:cs="Arial"/>
                <w:sz w:val="20"/>
                <w:szCs w:val="20"/>
              </w:rPr>
            </w:pPr>
            <w:r w:rsidRPr="00F955C6">
              <w:rPr>
                <w:rFonts w:cs="Arial"/>
                <w:sz w:val="20"/>
                <w:szCs w:val="20"/>
              </w:rPr>
              <w:t>Relationship</w:t>
            </w:r>
          </w:p>
        </w:tc>
      </w:tr>
      <w:tr w:rsidR="000923BB" w:rsidRPr="00F955C6" w14:paraId="0F82C78F" w14:textId="77777777" w:rsidTr="003A385F">
        <w:tc>
          <w:tcPr>
            <w:tcW w:w="3840" w:type="dxa"/>
          </w:tcPr>
          <w:p w14:paraId="45B150EE" w14:textId="77777777" w:rsidR="000923BB" w:rsidRPr="00F955C6" w:rsidRDefault="000923BB" w:rsidP="003A385F">
            <w:pPr>
              <w:rPr>
                <w:rFonts w:cs="Arial"/>
                <w:sz w:val="20"/>
                <w:szCs w:val="20"/>
              </w:rPr>
            </w:pPr>
            <w:r w:rsidRPr="00F955C6">
              <w:rPr>
                <w:rFonts w:cs="Arial"/>
                <w:sz w:val="20"/>
                <w:szCs w:val="20"/>
              </w:rPr>
              <w:t>NHS staff survey Q22e: Care of patient/service user is top priority (mean)</w:t>
            </w:r>
          </w:p>
        </w:tc>
        <w:tc>
          <w:tcPr>
            <w:tcW w:w="1200" w:type="dxa"/>
          </w:tcPr>
          <w:p w14:paraId="3E7A93B3" w14:textId="77777777" w:rsidR="000923BB" w:rsidRPr="00F955C6" w:rsidRDefault="000923BB" w:rsidP="003A385F">
            <w:pPr>
              <w:jc w:val="center"/>
              <w:rPr>
                <w:rFonts w:cs="Arial"/>
                <w:sz w:val="20"/>
                <w:szCs w:val="20"/>
              </w:rPr>
            </w:pPr>
            <w:r w:rsidRPr="00F955C6">
              <w:rPr>
                <w:rFonts w:cs="Arial"/>
                <w:sz w:val="20"/>
                <w:szCs w:val="20"/>
              </w:rPr>
              <w:t>-0.454</w:t>
            </w:r>
          </w:p>
        </w:tc>
        <w:tc>
          <w:tcPr>
            <w:tcW w:w="1080" w:type="dxa"/>
          </w:tcPr>
          <w:p w14:paraId="7F8120AD" w14:textId="77777777" w:rsidR="000923BB" w:rsidRPr="00F955C6" w:rsidRDefault="000923BB" w:rsidP="003A385F">
            <w:pPr>
              <w:jc w:val="center"/>
              <w:rPr>
                <w:rFonts w:cs="Arial"/>
                <w:sz w:val="20"/>
                <w:szCs w:val="20"/>
              </w:rPr>
            </w:pPr>
            <w:r w:rsidRPr="00F955C6">
              <w:rPr>
                <w:rFonts w:cs="Arial"/>
                <w:sz w:val="20"/>
                <w:szCs w:val="20"/>
              </w:rPr>
              <w:t>0.044</w:t>
            </w:r>
          </w:p>
        </w:tc>
        <w:tc>
          <w:tcPr>
            <w:tcW w:w="1560" w:type="dxa"/>
          </w:tcPr>
          <w:p w14:paraId="17CF8735" w14:textId="77777777" w:rsidR="000923BB" w:rsidRPr="00F955C6" w:rsidRDefault="000923BB" w:rsidP="003A385F">
            <w:pPr>
              <w:jc w:val="center"/>
              <w:rPr>
                <w:rFonts w:cs="Arial"/>
                <w:sz w:val="20"/>
                <w:szCs w:val="20"/>
              </w:rPr>
            </w:pPr>
            <w:r w:rsidRPr="00F955C6">
              <w:rPr>
                <w:rFonts w:cs="Arial"/>
                <w:sz w:val="20"/>
                <w:szCs w:val="20"/>
              </w:rPr>
              <w:t>Moderate</w:t>
            </w:r>
          </w:p>
        </w:tc>
      </w:tr>
    </w:tbl>
    <w:p w14:paraId="272E817B" w14:textId="77777777" w:rsidR="000923BB" w:rsidRDefault="000923BB" w:rsidP="000923BB">
      <w:pPr>
        <w:rPr>
          <w:rFonts w:cs="Arial"/>
          <w:sz w:val="22"/>
          <w:szCs w:val="22"/>
        </w:rPr>
      </w:pPr>
    </w:p>
    <w:p w14:paraId="3E2A1EEE" w14:textId="77777777" w:rsidR="000923BB" w:rsidRDefault="000923BB" w:rsidP="000923BB">
      <w:pPr>
        <w:rPr>
          <w:rFonts w:cs="Arial"/>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8"/>
      </w:tblGrid>
      <w:tr w:rsidR="000923BB" w:rsidRPr="00F955C6" w14:paraId="0D871574" w14:textId="77777777" w:rsidTr="003C12FD">
        <w:trPr>
          <w:trHeight w:val="763"/>
        </w:trPr>
        <w:tc>
          <w:tcPr>
            <w:tcW w:w="6218" w:type="dxa"/>
          </w:tcPr>
          <w:p w14:paraId="70F162BB" w14:textId="77777777" w:rsidR="000923BB" w:rsidRPr="00F955C6" w:rsidRDefault="000923BB" w:rsidP="003A385F">
            <w:pPr>
              <w:rPr>
                <w:rFonts w:cs="Arial"/>
                <w:b/>
                <w:sz w:val="18"/>
                <w:szCs w:val="18"/>
              </w:rPr>
            </w:pPr>
            <w:r w:rsidRPr="00F955C6">
              <w:rPr>
                <w:rFonts w:cs="Arial"/>
                <w:b/>
                <w:sz w:val="18"/>
                <w:szCs w:val="18"/>
              </w:rPr>
              <w:t>Figure 9.</w:t>
            </w:r>
          </w:p>
          <w:p w14:paraId="77658AB4" w14:textId="77777777" w:rsidR="000923BB" w:rsidRPr="00F955C6" w:rsidRDefault="000923BB" w:rsidP="003A385F">
            <w:pPr>
              <w:rPr>
                <w:rFonts w:cs="Arial"/>
                <w:sz w:val="22"/>
                <w:szCs w:val="22"/>
              </w:rPr>
            </w:pPr>
            <w:r w:rsidRPr="00F955C6">
              <w:rPr>
                <w:rFonts w:cs="Arial"/>
                <w:b/>
                <w:sz w:val="18"/>
                <w:szCs w:val="18"/>
              </w:rPr>
              <w:t>Scatter plot (with regression line) for COPD holistic score by NHS staff survey Q22e: care of patients/service users is top priority (mean score)</w:t>
            </w:r>
          </w:p>
        </w:tc>
      </w:tr>
      <w:tr w:rsidR="000923BB" w:rsidRPr="00F955C6" w14:paraId="7025640D" w14:textId="77777777" w:rsidTr="003C12FD">
        <w:trPr>
          <w:trHeight w:val="4234"/>
        </w:trPr>
        <w:tc>
          <w:tcPr>
            <w:tcW w:w="6218" w:type="dxa"/>
          </w:tcPr>
          <w:p w14:paraId="124EB293" w14:textId="77777777" w:rsidR="000923BB" w:rsidRPr="00F955C6" w:rsidRDefault="000923BB" w:rsidP="003A385F">
            <w:pPr>
              <w:rPr>
                <w:rFonts w:cs="Arial"/>
                <w:sz w:val="22"/>
                <w:szCs w:val="22"/>
              </w:rPr>
            </w:pPr>
            <w:r>
              <w:rPr>
                <w:rFonts w:cs="Arial"/>
                <w:noProof/>
                <w:sz w:val="14"/>
                <w:szCs w:val="14"/>
                <w:lang w:eastAsia="en-GB" w:bidi="ar-SA"/>
              </w:rPr>
              <w:drawing>
                <wp:inline distT="0" distB="0" distL="0" distR="0" wp14:anchorId="4E896504" wp14:editId="07F533E2">
                  <wp:extent cx="2592070" cy="259207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1" cstate="print"/>
                          <a:srcRect/>
                          <a:stretch>
                            <a:fillRect/>
                          </a:stretch>
                        </pic:blipFill>
                        <pic:spPr bwMode="auto">
                          <a:xfrm>
                            <a:off x="0" y="0"/>
                            <a:ext cx="2592070" cy="2592070"/>
                          </a:xfrm>
                          <a:prstGeom prst="rect">
                            <a:avLst/>
                          </a:prstGeom>
                          <a:noFill/>
                          <a:ln w="9525">
                            <a:noFill/>
                            <a:miter lim="800000"/>
                            <a:headEnd/>
                            <a:tailEnd/>
                          </a:ln>
                        </pic:spPr>
                      </pic:pic>
                    </a:graphicData>
                  </a:graphic>
                </wp:inline>
              </w:drawing>
            </w:r>
          </w:p>
        </w:tc>
      </w:tr>
    </w:tbl>
    <w:p w14:paraId="657C3ED5" w14:textId="77777777" w:rsidR="000923BB" w:rsidRDefault="000923BB" w:rsidP="000923BB">
      <w:pPr>
        <w:rPr>
          <w:rFonts w:cs="Arial"/>
          <w:sz w:val="22"/>
          <w:szCs w:val="22"/>
        </w:rPr>
      </w:pPr>
    </w:p>
    <w:p w14:paraId="6A8351CF" w14:textId="77777777" w:rsidR="000923BB" w:rsidRPr="00344517" w:rsidRDefault="000923BB" w:rsidP="000923BB">
      <w:pPr>
        <w:jc w:val="both"/>
        <w:rPr>
          <w:rFonts w:cs="Arial"/>
          <w:i/>
          <w:sz w:val="22"/>
          <w:szCs w:val="22"/>
        </w:rPr>
      </w:pPr>
      <w:r w:rsidRPr="00344517">
        <w:rPr>
          <w:rFonts w:cs="Arial"/>
          <w:i/>
          <w:sz w:val="22"/>
          <w:szCs w:val="22"/>
        </w:rPr>
        <w:lastRenderedPageBreak/>
        <w:t>Heart failure mean holistic phase score</w:t>
      </w:r>
    </w:p>
    <w:p w14:paraId="4AE669A2" w14:textId="77777777" w:rsidR="000923BB" w:rsidRPr="001528AF" w:rsidRDefault="000923BB" w:rsidP="000923BB">
      <w:pPr>
        <w:jc w:val="both"/>
        <w:rPr>
          <w:rFonts w:cs="Arial"/>
          <w:b/>
          <w:i/>
          <w:sz w:val="22"/>
          <w:szCs w:val="22"/>
        </w:rPr>
      </w:pPr>
    </w:p>
    <w:p w14:paraId="046F5A3A" w14:textId="77777777" w:rsidR="000923BB" w:rsidRDefault="000923BB" w:rsidP="000923BB">
      <w:pPr>
        <w:jc w:val="both"/>
        <w:rPr>
          <w:rFonts w:cs="Arial"/>
          <w:sz w:val="22"/>
          <w:szCs w:val="22"/>
        </w:rPr>
      </w:pPr>
      <w:r>
        <w:rPr>
          <w:rFonts w:cs="Arial"/>
          <w:sz w:val="22"/>
          <w:szCs w:val="22"/>
        </w:rPr>
        <w:t xml:space="preserve">Seven variables were </w:t>
      </w:r>
      <w:r w:rsidRPr="001528AF">
        <w:rPr>
          <w:rFonts w:cs="Arial"/>
          <w:sz w:val="22"/>
          <w:szCs w:val="22"/>
        </w:rPr>
        <w:t xml:space="preserve">significantly correlated with </w:t>
      </w:r>
      <w:r>
        <w:rPr>
          <w:rFonts w:cs="Arial"/>
          <w:sz w:val="22"/>
          <w:szCs w:val="22"/>
        </w:rPr>
        <w:t>heart failure</w:t>
      </w:r>
      <w:r w:rsidRPr="001528AF">
        <w:rPr>
          <w:rFonts w:cs="Arial"/>
          <w:sz w:val="22"/>
          <w:szCs w:val="22"/>
        </w:rPr>
        <w:t xml:space="preserve"> </w:t>
      </w:r>
      <w:r>
        <w:rPr>
          <w:rFonts w:cs="Arial"/>
          <w:sz w:val="22"/>
          <w:szCs w:val="22"/>
        </w:rPr>
        <w:t>mean holistic score:-</w:t>
      </w:r>
      <w:r w:rsidRPr="001528AF">
        <w:rPr>
          <w:rFonts w:cs="Arial"/>
          <w:sz w:val="22"/>
          <w:szCs w:val="22"/>
        </w:rPr>
        <w:t xml:space="preserve"> </w:t>
      </w:r>
    </w:p>
    <w:p w14:paraId="3EE5058A" w14:textId="77777777" w:rsidR="000923BB" w:rsidRDefault="000923BB" w:rsidP="000923BB">
      <w:pPr>
        <w:jc w:val="both"/>
        <w:rPr>
          <w:rFonts w:cs="Arial"/>
          <w:sz w:val="22"/>
          <w:szCs w:val="22"/>
        </w:rPr>
      </w:pPr>
      <w:r>
        <w:rPr>
          <w:rFonts w:cs="Arial"/>
          <w:sz w:val="22"/>
          <w:szCs w:val="22"/>
        </w:rPr>
        <w:t xml:space="preserve">heart failure </w:t>
      </w:r>
      <w:r w:rsidRPr="001528AF">
        <w:rPr>
          <w:rFonts w:cs="Arial"/>
          <w:sz w:val="22"/>
          <w:szCs w:val="22"/>
        </w:rPr>
        <w:t>mean age (HES data), quality of services, percentage of patients with acute MI receiving thrombolysis, existing national targets, staff survey 27e</w:t>
      </w:r>
      <w:r>
        <w:rPr>
          <w:rFonts w:cs="Arial"/>
          <w:sz w:val="22"/>
          <w:szCs w:val="22"/>
        </w:rPr>
        <w:t xml:space="preserve"> (t</w:t>
      </w:r>
      <w:r w:rsidRPr="001528AF">
        <w:rPr>
          <w:rFonts w:cs="Arial"/>
          <w:sz w:val="22"/>
          <w:szCs w:val="22"/>
        </w:rPr>
        <w:t>rust takes action to ensure never happens again</w:t>
      </w:r>
      <w:r>
        <w:rPr>
          <w:rFonts w:cs="Arial"/>
          <w:sz w:val="22"/>
          <w:szCs w:val="22"/>
        </w:rPr>
        <w:t>)</w:t>
      </w:r>
      <w:r w:rsidRPr="001528AF">
        <w:rPr>
          <w:rFonts w:cs="Arial"/>
          <w:sz w:val="22"/>
          <w:szCs w:val="22"/>
        </w:rPr>
        <w:t xml:space="preserve">, staff survey 24a </w:t>
      </w:r>
      <w:r>
        <w:rPr>
          <w:rFonts w:cs="Arial"/>
          <w:sz w:val="22"/>
          <w:szCs w:val="22"/>
        </w:rPr>
        <w:t>(</w:t>
      </w:r>
      <w:r w:rsidRPr="001528AF">
        <w:rPr>
          <w:rFonts w:cs="Arial"/>
          <w:sz w:val="22"/>
          <w:szCs w:val="22"/>
        </w:rPr>
        <w:t>know how to report incidents</w:t>
      </w:r>
      <w:r>
        <w:rPr>
          <w:rFonts w:cs="Arial"/>
          <w:sz w:val="22"/>
          <w:szCs w:val="22"/>
        </w:rPr>
        <w:t>)</w:t>
      </w:r>
      <w:r w:rsidRPr="001528AF">
        <w:rPr>
          <w:rFonts w:cs="Arial"/>
          <w:sz w:val="22"/>
          <w:szCs w:val="22"/>
        </w:rPr>
        <w:t xml:space="preserve"> and staff survey 22e </w:t>
      </w:r>
      <w:r>
        <w:rPr>
          <w:rFonts w:cs="Arial"/>
          <w:sz w:val="22"/>
          <w:szCs w:val="22"/>
        </w:rPr>
        <w:t>(</w:t>
      </w:r>
      <w:r w:rsidRPr="001528AF">
        <w:rPr>
          <w:rFonts w:cs="Arial"/>
          <w:sz w:val="22"/>
          <w:szCs w:val="22"/>
        </w:rPr>
        <w:t>care of patient/service user is top priority</w:t>
      </w:r>
      <w:r>
        <w:rPr>
          <w:rFonts w:cs="Arial"/>
          <w:sz w:val="22"/>
          <w:szCs w:val="22"/>
        </w:rPr>
        <w:t xml:space="preserve">). </w:t>
      </w:r>
    </w:p>
    <w:p w14:paraId="731247E3" w14:textId="77777777" w:rsidR="000923BB" w:rsidRDefault="000923BB" w:rsidP="000923BB">
      <w:pPr>
        <w:jc w:val="both"/>
        <w:rPr>
          <w:rFonts w:cs="Arial"/>
          <w:sz w:val="22"/>
          <w:szCs w:val="22"/>
        </w:rPr>
      </w:pPr>
      <w:r w:rsidRPr="001528AF">
        <w:rPr>
          <w:rFonts w:cs="Arial"/>
          <w:sz w:val="22"/>
          <w:szCs w:val="22"/>
        </w:rPr>
        <w:t>Mean age is negatively correlated with score</w:t>
      </w:r>
      <w:r>
        <w:rPr>
          <w:rFonts w:cs="Arial"/>
          <w:sz w:val="22"/>
          <w:szCs w:val="22"/>
        </w:rPr>
        <w:t xml:space="preserve">:- </w:t>
      </w:r>
      <w:r w:rsidRPr="001528AF">
        <w:rPr>
          <w:rFonts w:cs="Arial"/>
          <w:sz w:val="22"/>
          <w:szCs w:val="22"/>
        </w:rPr>
        <w:t>as mean age increases mean holistic score decreases</w:t>
      </w:r>
      <w:r>
        <w:rPr>
          <w:rFonts w:cs="Arial"/>
          <w:sz w:val="22"/>
          <w:szCs w:val="22"/>
        </w:rPr>
        <w:t xml:space="preserve"> (Figure 10)</w:t>
      </w:r>
      <w:r w:rsidRPr="001528AF">
        <w:rPr>
          <w:rFonts w:cs="Arial"/>
          <w:sz w:val="22"/>
          <w:szCs w:val="22"/>
        </w:rPr>
        <w:t>.</w:t>
      </w:r>
      <w:r>
        <w:rPr>
          <w:rFonts w:cs="Arial"/>
          <w:sz w:val="22"/>
          <w:szCs w:val="22"/>
        </w:rPr>
        <w:t xml:space="preserve">  This may be explained by older people having more complex problems, although reviewers in the phase one study showed that quality of care could be scored highly even when a patient did not survive.</w:t>
      </w:r>
    </w:p>
    <w:p w14:paraId="1F5CB79E" w14:textId="77777777" w:rsidR="000923BB" w:rsidRDefault="000923BB" w:rsidP="000923BB">
      <w:pPr>
        <w:jc w:val="both"/>
        <w:rPr>
          <w:rFonts w:cs="Arial"/>
          <w:sz w:val="22"/>
          <w:szCs w:val="22"/>
        </w:rPr>
      </w:pPr>
    </w:p>
    <w:p w14:paraId="42FCEE75" w14:textId="77777777" w:rsidR="000923BB" w:rsidRDefault="000923BB" w:rsidP="000923BB">
      <w:pPr>
        <w:jc w:val="both"/>
        <w:rPr>
          <w:rFonts w:cs="Arial"/>
          <w:sz w:val="22"/>
          <w:szCs w:val="22"/>
        </w:rPr>
      </w:pPr>
      <w:r w:rsidRPr="001528AF">
        <w:rPr>
          <w:rFonts w:cs="Arial"/>
          <w:sz w:val="22"/>
          <w:szCs w:val="22"/>
        </w:rPr>
        <w:t xml:space="preserve"> Quality of service (fair, good, excellent) is positively correlated with mean score</w:t>
      </w:r>
      <w:r>
        <w:rPr>
          <w:rFonts w:cs="Arial"/>
          <w:sz w:val="22"/>
          <w:szCs w:val="22"/>
        </w:rPr>
        <w:t>, thus</w:t>
      </w:r>
      <w:r w:rsidRPr="001528AF">
        <w:rPr>
          <w:rFonts w:cs="Arial"/>
          <w:sz w:val="22"/>
          <w:szCs w:val="22"/>
        </w:rPr>
        <w:t xml:space="preserve"> as </w:t>
      </w:r>
      <w:r>
        <w:rPr>
          <w:rFonts w:cs="Arial"/>
          <w:sz w:val="22"/>
          <w:szCs w:val="22"/>
        </w:rPr>
        <w:t>heart failure</w:t>
      </w:r>
      <w:r w:rsidRPr="001528AF">
        <w:rPr>
          <w:rFonts w:cs="Arial"/>
          <w:sz w:val="22"/>
          <w:szCs w:val="22"/>
        </w:rPr>
        <w:t xml:space="preserve"> </w:t>
      </w:r>
      <w:r>
        <w:rPr>
          <w:rFonts w:cs="Arial"/>
          <w:sz w:val="22"/>
          <w:szCs w:val="22"/>
        </w:rPr>
        <w:t xml:space="preserve">mean phase </w:t>
      </w:r>
      <w:r w:rsidRPr="001528AF">
        <w:rPr>
          <w:rFonts w:cs="Arial"/>
          <w:sz w:val="22"/>
          <w:szCs w:val="22"/>
        </w:rPr>
        <w:t>score increases the more likely a trust is to be of good or excellent status</w:t>
      </w:r>
      <w:r>
        <w:rPr>
          <w:rFonts w:cs="Arial"/>
          <w:sz w:val="22"/>
          <w:szCs w:val="22"/>
        </w:rPr>
        <w:t xml:space="preserve"> (Figure 11)</w:t>
      </w:r>
      <w:r w:rsidRPr="001528AF">
        <w:rPr>
          <w:rFonts w:cs="Arial"/>
          <w:sz w:val="22"/>
          <w:szCs w:val="22"/>
        </w:rPr>
        <w:t xml:space="preserve">. There is a moderate positive correlation between the percentage of patients with acute MI receiving thrombolysis and </w:t>
      </w:r>
      <w:r>
        <w:rPr>
          <w:rFonts w:cs="Arial"/>
          <w:sz w:val="22"/>
          <w:szCs w:val="22"/>
        </w:rPr>
        <w:t>heart failure</w:t>
      </w:r>
      <w:r w:rsidRPr="001528AF">
        <w:rPr>
          <w:rFonts w:cs="Arial"/>
          <w:sz w:val="22"/>
          <w:szCs w:val="22"/>
        </w:rPr>
        <w:t xml:space="preserve"> mean holistic </w:t>
      </w:r>
      <w:r>
        <w:rPr>
          <w:rFonts w:cs="Arial"/>
          <w:sz w:val="22"/>
          <w:szCs w:val="22"/>
        </w:rPr>
        <w:t xml:space="preserve">phase </w:t>
      </w:r>
      <w:r w:rsidRPr="001528AF">
        <w:rPr>
          <w:rFonts w:cs="Arial"/>
          <w:sz w:val="22"/>
          <w:szCs w:val="22"/>
        </w:rPr>
        <w:t>score</w:t>
      </w:r>
      <w:r>
        <w:rPr>
          <w:rFonts w:cs="Arial"/>
          <w:sz w:val="22"/>
          <w:szCs w:val="22"/>
        </w:rPr>
        <w:t xml:space="preserve"> </w:t>
      </w:r>
      <w:r>
        <w:rPr>
          <w:rFonts w:cs="Arial"/>
          <w:sz w:val="22"/>
        </w:rPr>
        <w:t xml:space="preserve">(an important association in heart failure care) (Figure 12). </w:t>
      </w:r>
      <w:r w:rsidRPr="001528AF">
        <w:rPr>
          <w:rFonts w:cs="Arial"/>
          <w:sz w:val="22"/>
          <w:szCs w:val="22"/>
        </w:rPr>
        <w:t xml:space="preserve">A strong positive correlation exists between existing national targets (partly met, almost met, fully met) and </w:t>
      </w:r>
      <w:r>
        <w:rPr>
          <w:rFonts w:cs="Arial"/>
          <w:sz w:val="22"/>
          <w:szCs w:val="22"/>
        </w:rPr>
        <w:t>heart failure</w:t>
      </w:r>
      <w:r w:rsidRPr="001528AF" w:rsidDel="002B1959">
        <w:rPr>
          <w:rFonts w:cs="Arial"/>
          <w:sz w:val="22"/>
          <w:szCs w:val="22"/>
        </w:rPr>
        <w:t xml:space="preserve"> </w:t>
      </w:r>
      <w:r>
        <w:rPr>
          <w:rFonts w:cs="Arial"/>
          <w:sz w:val="22"/>
          <w:szCs w:val="22"/>
        </w:rPr>
        <w:t xml:space="preserve">mean </w:t>
      </w:r>
      <w:r w:rsidRPr="001528AF">
        <w:rPr>
          <w:rFonts w:cs="Arial"/>
          <w:sz w:val="22"/>
          <w:szCs w:val="22"/>
        </w:rPr>
        <w:t xml:space="preserve">holistic </w:t>
      </w:r>
      <w:r>
        <w:rPr>
          <w:rFonts w:cs="Arial"/>
          <w:sz w:val="22"/>
          <w:szCs w:val="22"/>
        </w:rPr>
        <w:t xml:space="preserve">phase </w:t>
      </w:r>
      <w:r w:rsidRPr="001528AF">
        <w:rPr>
          <w:rFonts w:cs="Arial"/>
          <w:sz w:val="22"/>
          <w:szCs w:val="22"/>
        </w:rPr>
        <w:t>score, mean scores increase as the level of meeting targets increases</w:t>
      </w:r>
      <w:r>
        <w:rPr>
          <w:rFonts w:cs="Arial"/>
          <w:sz w:val="22"/>
          <w:szCs w:val="22"/>
        </w:rPr>
        <w:t xml:space="preserve"> (Figure 13)</w:t>
      </w:r>
      <w:r w:rsidRPr="001528AF">
        <w:rPr>
          <w:rFonts w:cs="Arial"/>
          <w:sz w:val="22"/>
          <w:szCs w:val="22"/>
        </w:rPr>
        <w:t xml:space="preserve">. </w:t>
      </w:r>
    </w:p>
    <w:p w14:paraId="7C54D1F8" w14:textId="77777777" w:rsidR="000923BB" w:rsidRDefault="000923BB" w:rsidP="000923BB">
      <w:pPr>
        <w:jc w:val="both"/>
        <w:rPr>
          <w:rFonts w:cs="Arial"/>
          <w:sz w:val="22"/>
          <w:szCs w:val="22"/>
        </w:rPr>
      </w:pPr>
    </w:p>
    <w:p w14:paraId="5D0824A2" w14:textId="77777777" w:rsidR="000923BB" w:rsidRDefault="000923BB" w:rsidP="000923BB">
      <w:pPr>
        <w:jc w:val="both"/>
        <w:rPr>
          <w:rFonts w:cs="Arial"/>
          <w:sz w:val="22"/>
        </w:rPr>
      </w:pPr>
      <w:r w:rsidRPr="001528AF">
        <w:rPr>
          <w:rFonts w:cs="Arial"/>
          <w:sz w:val="22"/>
          <w:szCs w:val="22"/>
        </w:rPr>
        <w:t xml:space="preserve">Additionally, there were moderate positive correlations between mean score for questions 27e and 22e on the NHS staff survey and </w:t>
      </w:r>
      <w:r>
        <w:rPr>
          <w:rFonts w:cs="Arial"/>
          <w:sz w:val="22"/>
          <w:szCs w:val="22"/>
        </w:rPr>
        <w:t>heart failure</w:t>
      </w:r>
      <w:r w:rsidRPr="001528AF" w:rsidDel="002B1959">
        <w:rPr>
          <w:rFonts w:cs="Arial"/>
          <w:sz w:val="22"/>
          <w:szCs w:val="22"/>
        </w:rPr>
        <w:t xml:space="preserve"> </w:t>
      </w:r>
      <w:r w:rsidRPr="001528AF">
        <w:rPr>
          <w:rFonts w:cs="Arial"/>
          <w:sz w:val="22"/>
          <w:szCs w:val="22"/>
        </w:rPr>
        <w:t xml:space="preserve">mean holistic </w:t>
      </w:r>
      <w:r>
        <w:rPr>
          <w:rFonts w:cs="Arial"/>
          <w:sz w:val="22"/>
          <w:szCs w:val="22"/>
        </w:rPr>
        <w:t xml:space="preserve">phase </w:t>
      </w:r>
      <w:r w:rsidRPr="001528AF">
        <w:rPr>
          <w:rFonts w:cs="Arial"/>
          <w:sz w:val="22"/>
          <w:szCs w:val="22"/>
        </w:rPr>
        <w:t xml:space="preserve">scores the higher the </w:t>
      </w:r>
      <w:r>
        <w:rPr>
          <w:rFonts w:cs="Arial"/>
          <w:sz w:val="22"/>
          <w:szCs w:val="22"/>
        </w:rPr>
        <w:t>heart failure</w:t>
      </w:r>
      <w:r w:rsidRPr="001528AF" w:rsidDel="002B1959">
        <w:rPr>
          <w:rFonts w:cs="Arial"/>
          <w:sz w:val="22"/>
          <w:szCs w:val="22"/>
        </w:rPr>
        <w:t xml:space="preserve"> </w:t>
      </w:r>
      <w:r w:rsidRPr="001528AF">
        <w:rPr>
          <w:rFonts w:cs="Arial"/>
          <w:sz w:val="22"/>
          <w:szCs w:val="22"/>
        </w:rPr>
        <w:t xml:space="preserve">score the stronger the respondent agreed with the statement </w:t>
      </w:r>
      <w:r>
        <w:rPr>
          <w:rFonts w:cs="Arial"/>
          <w:sz w:val="22"/>
          <w:szCs w:val="22"/>
        </w:rPr>
        <w:t xml:space="preserve">that the </w:t>
      </w:r>
      <w:r w:rsidRPr="001528AF">
        <w:rPr>
          <w:rFonts w:cs="Arial"/>
          <w:sz w:val="22"/>
          <w:szCs w:val="22"/>
        </w:rPr>
        <w:t xml:space="preserve">trust takes action to ensure </w:t>
      </w:r>
      <w:r>
        <w:rPr>
          <w:rFonts w:cs="Arial"/>
          <w:sz w:val="22"/>
          <w:szCs w:val="22"/>
        </w:rPr>
        <w:t xml:space="preserve">it </w:t>
      </w:r>
      <w:r w:rsidRPr="001528AF">
        <w:rPr>
          <w:rFonts w:cs="Arial"/>
          <w:sz w:val="22"/>
          <w:szCs w:val="22"/>
        </w:rPr>
        <w:t>does not happen again or care of patient/service user is top priority</w:t>
      </w:r>
      <w:r>
        <w:rPr>
          <w:rFonts w:cs="Arial"/>
          <w:sz w:val="22"/>
          <w:szCs w:val="22"/>
        </w:rPr>
        <w:t xml:space="preserve"> (Figure 14)</w:t>
      </w:r>
      <w:r w:rsidRPr="001528AF">
        <w:rPr>
          <w:rFonts w:cs="Arial"/>
          <w:sz w:val="22"/>
          <w:szCs w:val="22"/>
        </w:rPr>
        <w:t xml:space="preserve">. Finally, there was a moderate positive correlation between staff survey 24a and </w:t>
      </w:r>
      <w:r>
        <w:rPr>
          <w:rFonts w:cs="Arial"/>
          <w:sz w:val="22"/>
          <w:szCs w:val="22"/>
        </w:rPr>
        <w:t>heart failure</w:t>
      </w:r>
      <w:r w:rsidRPr="001528AF" w:rsidDel="002B1959">
        <w:rPr>
          <w:rFonts w:cs="Arial"/>
          <w:sz w:val="22"/>
          <w:szCs w:val="22"/>
        </w:rPr>
        <w:t xml:space="preserve"> </w:t>
      </w:r>
      <w:r w:rsidRPr="001528AF">
        <w:rPr>
          <w:rFonts w:cs="Arial"/>
          <w:sz w:val="22"/>
          <w:szCs w:val="22"/>
        </w:rPr>
        <w:t xml:space="preserve">mean holistic </w:t>
      </w:r>
      <w:r>
        <w:rPr>
          <w:rFonts w:cs="Arial"/>
          <w:sz w:val="22"/>
          <w:szCs w:val="22"/>
        </w:rPr>
        <w:t xml:space="preserve">phase </w:t>
      </w:r>
      <w:r w:rsidRPr="001528AF">
        <w:rPr>
          <w:rFonts w:cs="Arial"/>
          <w:sz w:val="22"/>
          <w:szCs w:val="22"/>
        </w:rPr>
        <w:t xml:space="preserve">score, where the higher the percentage of responders agreeing (% yes) they know how to report incidents results the higher the </w:t>
      </w:r>
      <w:r>
        <w:rPr>
          <w:rFonts w:cs="Arial"/>
          <w:sz w:val="22"/>
          <w:szCs w:val="22"/>
        </w:rPr>
        <w:t>heart failure</w:t>
      </w:r>
      <w:r w:rsidRPr="001528AF" w:rsidDel="002B1959">
        <w:rPr>
          <w:rFonts w:cs="Arial"/>
          <w:sz w:val="22"/>
          <w:szCs w:val="22"/>
        </w:rPr>
        <w:t xml:space="preserve"> </w:t>
      </w:r>
      <w:r w:rsidRPr="001528AF">
        <w:rPr>
          <w:rFonts w:cs="Arial"/>
          <w:sz w:val="22"/>
          <w:szCs w:val="22"/>
        </w:rPr>
        <w:t>mean holistic score</w:t>
      </w:r>
      <w:r>
        <w:rPr>
          <w:rFonts w:cs="Arial"/>
          <w:sz w:val="22"/>
          <w:szCs w:val="22"/>
        </w:rPr>
        <w:t xml:space="preserve"> (Figure 15)</w:t>
      </w:r>
      <w:r w:rsidRPr="001528AF">
        <w:rPr>
          <w:rFonts w:cs="Arial"/>
          <w:sz w:val="22"/>
          <w:szCs w:val="22"/>
        </w:rPr>
        <w:t>.</w:t>
      </w:r>
    </w:p>
    <w:p w14:paraId="1C723957" w14:textId="77777777" w:rsidR="000923BB" w:rsidRDefault="000923BB" w:rsidP="000923BB">
      <w:pPr>
        <w:rPr>
          <w:rFonts w:cs="Arial"/>
          <w:b/>
          <w:sz w:val="22"/>
          <w:szCs w:val="22"/>
        </w:rPr>
      </w:pPr>
    </w:p>
    <w:p w14:paraId="650E73F4" w14:textId="77777777" w:rsidR="00DD0924" w:rsidRDefault="00DD0924">
      <w:pPr>
        <w:rPr>
          <w:rFonts w:cs="Arial"/>
          <w:b/>
          <w:sz w:val="20"/>
          <w:szCs w:val="20"/>
        </w:rPr>
      </w:pPr>
      <w:r>
        <w:rPr>
          <w:rFonts w:cs="Arial"/>
          <w:b/>
          <w:sz w:val="20"/>
          <w:szCs w:val="20"/>
        </w:rPr>
        <w:br w:type="page"/>
      </w:r>
    </w:p>
    <w:p w14:paraId="76833E11" w14:textId="77777777" w:rsidR="000923BB" w:rsidRPr="00694519" w:rsidRDefault="000923BB" w:rsidP="000923BB">
      <w:pPr>
        <w:rPr>
          <w:rFonts w:cs="Arial"/>
          <w:b/>
          <w:sz w:val="20"/>
          <w:szCs w:val="20"/>
        </w:rPr>
      </w:pPr>
      <w:r w:rsidRPr="00694519">
        <w:rPr>
          <w:rFonts w:cs="Arial"/>
          <w:b/>
          <w:sz w:val="20"/>
          <w:szCs w:val="20"/>
        </w:rPr>
        <w:lastRenderedPageBreak/>
        <w:t>Table 12: Correlation between heart failure holistic mean phase score and outcome variables</w:t>
      </w:r>
    </w:p>
    <w:p w14:paraId="23F0F7A1" w14:textId="77777777" w:rsidR="000923BB" w:rsidRDefault="000923BB" w:rsidP="000923BB">
      <w:pPr>
        <w:rPr>
          <w:rFonts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1200"/>
        <w:gridCol w:w="1080"/>
        <w:gridCol w:w="1560"/>
      </w:tblGrid>
      <w:tr w:rsidR="000923BB" w:rsidRPr="00F955C6" w14:paraId="3F2A69BA" w14:textId="77777777" w:rsidTr="003A385F">
        <w:tc>
          <w:tcPr>
            <w:tcW w:w="3840" w:type="dxa"/>
          </w:tcPr>
          <w:p w14:paraId="6E58B33A" w14:textId="77777777" w:rsidR="000923BB" w:rsidRPr="00F955C6" w:rsidRDefault="000923BB" w:rsidP="003A385F">
            <w:pPr>
              <w:rPr>
                <w:rFonts w:cs="Arial"/>
                <w:sz w:val="18"/>
                <w:szCs w:val="18"/>
              </w:rPr>
            </w:pPr>
            <w:r w:rsidRPr="00F955C6">
              <w:rPr>
                <w:rFonts w:cs="Arial"/>
                <w:sz w:val="18"/>
                <w:szCs w:val="18"/>
              </w:rPr>
              <w:t>Variable</w:t>
            </w:r>
          </w:p>
        </w:tc>
        <w:tc>
          <w:tcPr>
            <w:tcW w:w="1200" w:type="dxa"/>
          </w:tcPr>
          <w:p w14:paraId="5BE0ACCF" w14:textId="77777777" w:rsidR="000923BB" w:rsidRPr="00F955C6" w:rsidRDefault="000923BB" w:rsidP="003A385F">
            <w:pPr>
              <w:jc w:val="center"/>
              <w:rPr>
                <w:rFonts w:cs="Arial"/>
                <w:sz w:val="18"/>
                <w:szCs w:val="18"/>
              </w:rPr>
            </w:pPr>
            <w:r w:rsidRPr="00F955C6">
              <w:rPr>
                <w:rFonts w:cs="Arial"/>
                <w:sz w:val="18"/>
                <w:szCs w:val="18"/>
              </w:rPr>
              <w:t>Correlation coefficient</w:t>
            </w:r>
          </w:p>
        </w:tc>
        <w:tc>
          <w:tcPr>
            <w:tcW w:w="1080" w:type="dxa"/>
          </w:tcPr>
          <w:p w14:paraId="55525B0A" w14:textId="77777777" w:rsidR="000923BB" w:rsidRPr="00F955C6" w:rsidRDefault="000923BB" w:rsidP="003A385F">
            <w:pPr>
              <w:jc w:val="center"/>
              <w:rPr>
                <w:rFonts w:cs="Arial"/>
                <w:sz w:val="18"/>
                <w:szCs w:val="18"/>
              </w:rPr>
            </w:pPr>
            <w:r w:rsidRPr="00F955C6">
              <w:rPr>
                <w:rFonts w:cs="Arial"/>
                <w:sz w:val="18"/>
                <w:szCs w:val="18"/>
              </w:rPr>
              <w:t>p-value</w:t>
            </w:r>
          </w:p>
        </w:tc>
        <w:tc>
          <w:tcPr>
            <w:tcW w:w="1560" w:type="dxa"/>
          </w:tcPr>
          <w:p w14:paraId="537B604E" w14:textId="77777777" w:rsidR="000923BB" w:rsidRPr="00F955C6" w:rsidRDefault="000923BB" w:rsidP="003A385F">
            <w:pPr>
              <w:jc w:val="center"/>
              <w:rPr>
                <w:rFonts w:cs="Arial"/>
                <w:sz w:val="18"/>
                <w:szCs w:val="18"/>
              </w:rPr>
            </w:pPr>
            <w:r w:rsidRPr="00F955C6">
              <w:rPr>
                <w:rFonts w:cs="Arial"/>
                <w:sz w:val="18"/>
                <w:szCs w:val="18"/>
              </w:rPr>
              <w:t>Relationship</w:t>
            </w:r>
          </w:p>
        </w:tc>
      </w:tr>
      <w:tr w:rsidR="000923BB" w:rsidRPr="00F955C6" w14:paraId="62C9BB39" w14:textId="77777777" w:rsidTr="003A385F">
        <w:tc>
          <w:tcPr>
            <w:tcW w:w="3840" w:type="dxa"/>
          </w:tcPr>
          <w:p w14:paraId="5926D2CB" w14:textId="77777777" w:rsidR="000923BB" w:rsidRPr="00F955C6" w:rsidRDefault="000923BB" w:rsidP="003A385F">
            <w:pPr>
              <w:rPr>
                <w:rFonts w:cs="Arial"/>
                <w:sz w:val="18"/>
                <w:szCs w:val="18"/>
              </w:rPr>
            </w:pPr>
            <w:r w:rsidRPr="00F955C6">
              <w:rPr>
                <w:rFonts w:cs="Arial"/>
                <w:sz w:val="18"/>
                <w:szCs w:val="18"/>
              </w:rPr>
              <w:t>heart failure mean age</w:t>
            </w:r>
          </w:p>
        </w:tc>
        <w:tc>
          <w:tcPr>
            <w:tcW w:w="1200" w:type="dxa"/>
          </w:tcPr>
          <w:p w14:paraId="4171A7DD" w14:textId="77777777" w:rsidR="000923BB" w:rsidRPr="00F955C6" w:rsidRDefault="000923BB" w:rsidP="003A385F">
            <w:pPr>
              <w:jc w:val="center"/>
              <w:rPr>
                <w:rFonts w:cs="Arial"/>
                <w:sz w:val="18"/>
                <w:szCs w:val="18"/>
              </w:rPr>
            </w:pPr>
            <w:r w:rsidRPr="00F955C6">
              <w:rPr>
                <w:rFonts w:cs="Arial"/>
                <w:sz w:val="18"/>
                <w:szCs w:val="18"/>
              </w:rPr>
              <w:t>-0.552</w:t>
            </w:r>
          </w:p>
        </w:tc>
        <w:tc>
          <w:tcPr>
            <w:tcW w:w="1080" w:type="dxa"/>
          </w:tcPr>
          <w:p w14:paraId="40419543" w14:textId="77777777" w:rsidR="000923BB" w:rsidRPr="00F955C6" w:rsidRDefault="000923BB" w:rsidP="003A385F">
            <w:pPr>
              <w:jc w:val="center"/>
              <w:rPr>
                <w:rFonts w:cs="Arial"/>
                <w:sz w:val="18"/>
                <w:szCs w:val="18"/>
              </w:rPr>
            </w:pPr>
            <w:r w:rsidRPr="00F955C6">
              <w:rPr>
                <w:rFonts w:cs="Arial"/>
                <w:sz w:val="18"/>
                <w:szCs w:val="18"/>
              </w:rPr>
              <w:t>0.014</w:t>
            </w:r>
          </w:p>
        </w:tc>
        <w:tc>
          <w:tcPr>
            <w:tcW w:w="1560" w:type="dxa"/>
          </w:tcPr>
          <w:p w14:paraId="2F080C39" w14:textId="77777777" w:rsidR="000923BB" w:rsidRPr="00F955C6" w:rsidRDefault="000923BB" w:rsidP="003A385F">
            <w:pPr>
              <w:jc w:val="center"/>
              <w:rPr>
                <w:rFonts w:cs="Arial"/>
                <w:sz w:val="18"/>
                <w:szCs w:val="18"/>
              </w:rPr>
            </w:pPr>
            <w:r w:rsidRPr="00F955C6">
              <w:rPr>
                <w:rFonts w:cs="Arial"/>
                <w:sz w:val="18"/>
                <w:szCs w:val="18"/>
              </w:rPr>
              <w:t>Moderate</w:t>
            </w:r>
          </w:p>
        </w:tc>
      </w:tr>
      <w:tr w:rsidR="000923BB" w:rsidRPr="00F955C6" w14:paraId="2EE24C0A" w14:textId="77777777" w:rsidTr="003A385F">
        <w:tc>
          <w:tcPr>
            <w:tcW w:w="3840" w:type="dxa"/>
          </w:tcPr>
          <w:p w14:paraId="702075B6" w14:textId="77777777" w:rsidR="000923BB" w:rsidRPr="00F955C6" w:rsidRDefault="000923BB" w:rsidP="003A385F">
            <w:pPr>
              <w:rPr>
                <w:rFonts w:cs="Arial"/>
                <w:sz w:val="18"/>
                <w:szCs w:val="18"/>
              </w:rPr>
            </w:pPr>
            <w:r w:rsidRPr="00F955C6">
              <w:rPr>
                <w:rFonts w:cs="Arial"/>
                <w:sz w:val="18"/>
                <w:szCs w:val="18"/>
              </w:rPr>
              <w:t>Quality of services</w:t>
            </w:r>
          </w:p>
        </w:tc>
        <w:tc>
          <w:tcPr>
            <w:tcW w:w="1200" w:type="dxa"/>
          </w:tcPr>
          <w:p w14:paraId="2850B88F" w14:textId="77777777" w:rsidR="000923BB" w:rsidRPr="00F955C6" w:rsidRDefault="000923BB" w:rsidP="003A385F">
            <w:pPr>
              <w:jc w:val="center"/>
              <w:rPr>
                <w:rFonts w:cs="Arial"/>
                <w:sz w:val="18"/>
                <w:szCs w:val="18"/>
              </w:rPr>
            </w:pPr>
            <w:r w:rsidRPr="00F955C6">
              <w:rPr>
                <w:rFonts w:cs="Arial"/>
                <w:sz w:val="18"/>
                <w:szCs w:val="18"/>
              </w:rPr>
              <w:t>0.486*</w:t>
            </w:r>
          </w:p>
        </w:tc>
        <w:tc>
          <w:tcPr>
            <w:tcW w:w="1080" w:type="dxa"/>
          </w:tcPr>
          <w:p w14:paraId="3BC52017" w14:textId="77777777" w:rsidR="000923BB" w:rsidRPr="00F955C6" w:rsidRDefault="000923BB" w:rsidP="003A385F">
            <w:pPr>
              <w:jc w:val="center"/>
              <w:rPr>
                <w:rFonts w:cs="Arial"/>
                <w:sz w:val="18"/>
                <w:szCs w:val="18"/>
              </w:rPr>
            </w:pPr>
            <w:r w:rsidRPr="00F955C6">
              <w:rPr>
                <w:rFonts w:cs="Arial"/>
                <w:sz w:val="18"/>
                <w:szCs w:val="18"/>
              </w:rPr>
              <w:t>0.030</w:t>
            </w:r>
          </w:p>
        </w:tc>
        <w:tc>
          <w:tcPr>
            <w:tcW w:w="1560" w:type="dxa"/>
          </w:tcPr>
          <w:p w14:paraId="146CD98A" w14:textId="77777777" w:rsidR="000923BB" w:rsidRPr="00F955C6" w:rsidRDefault="000923BB" w:rsidP="003A385F">
            <w:pPr>
              <w:jc w:val="center"/>
              <w:rPr>
                <w:rFonts w:cs="Arial"/>
                <w:sz w:val="18"/>
                <w:szCs w:val="18"/>
              </w:rPr>
            </w:pPr>
            <w:r w:rsidRPr="00F955C6">
              <w:rPr>
                <w:rFonts w:cs="Arial"/>
                <w:sz w:val="18"/>
                <w:szCs w:val="18"/>
              </w:rPr>
              <w:t>Moderate</w:t>
            </w:r>
          </w:p>
        </w:tc>
      </w:tr>
      <w:tr w:rsidR="000923BB" w:rsidRPr="00F955C6" w14:paraId="0129D2BF" w14:textId="77777777" w:rsidTr="003A385F">
        <w:tc>
          <w:tcPr>
            <w:tcW w:w="3840" w:type="dxa"/>
          </w:tcPr>
          <w:p w14:paraId="3A8BEB5B" w14:textId="77777777" w:rsidR="000923BB" w:rsidRPr="00F955C6" w:rsidRDefault="000923BB" w:rsidP="003A385F">
            <w:pPr>
              <w:rPr>
                <w:rFonts w:cs="Arial"/>
                <w:sz w:val="18"/>
                <w:szCs w:val="18"/>
              </w:rPr>
            </w:pPr>
            <w:r w:rsidRPr="00F955C6">
              <w:rPr>
                <w:rFonts w:cs="Arial"/>
                <w:sz w:val="18"/>
                <w:szCs w:val="18"/>
              </w:rPr>
              <w:t>Percentage of patient’s with acute MI receiving thrombolysis</w:t>
            </w:r>
          </w:p>
        </w:tc>
        <w:tc>
          <w:tcPr>
            <w:tcW w:w="1200" w:type="dxa"/>
          </w:tcPr>
          <w:p w14:paraId="24D0E617" w14:textId="77777777" w:rsidR="000923BB" w:rsidRPr="00F955C6" w:rsidRDefault="000923BB" w:rsidP="003A385F">
            <w:pPr>
              <w:jc w:val="center"/>
              <w:rPr>
                <w:rFonts w:cs="Arial"/>
                <w:sz w:val="18"/>
                <w:szCs w:val="18"/>
              </w:rPr>
            </w:pPr>
            <w:r w:rsidRPr="00F955C6">
              <w:rPr>
                <w:rFonts w:cs="Arial"/>
                <w:sz w:val="18"/>
                <w:szCs w:val="18"/>
              </w:rPr>
              <w:t>0.463</w:t>
            </w:r>
          </w:p>
        </w:tc>
        <w:tc>
          <w:tcPr>
            <w:tcW w:w="1080" w:type="dxa"/>
          </w:tcPr>
          <w:p w14:paraId="7D17C6A3" w14:textId="77777777" w:rsidR="000923BB" w:rsidRPr="00F955C6" w:rsidRDefault="000923BB" w:rsidP="003A385F">
            <w:pPr>
              <w:jc w:val="center"/>
              <w:rPr>
                <w:rFonts w:cs="Arial"/>
                <w:sz w:val="18"/>
                <w:szCs w:val="18"/>
              </w:rPr>
            </w:pPr>
            <w:r w:rsidRPr="00F955C6">
              <w:rPr>
                <w:rFonts w:cs="Arial"/>
                <w:sz w:val="18"/>
                <w:szCs w:val="18"/>
              </w:rPr>
              <w:t>0.046</w:t>
            </w:r>
          </w:p>
        </w:tc>
        <w:tc>
          <w:tcPr>
            <w:tcW w:w="1560" w:type="dxa"/>
          </w:tcPr>
          <w:p w14:paraId="142C4398" w14:textId="77777777" w:rsidR="000923BB" w:rsidRPr="00F955C6" w:rsidRDefault="000923BB" w:rsidP="003A385F">
            <w:pPr>
              <w:jc w:val="center"/>
              <w:rPr>
                <w:rFonts w:cs="Arial"/>
                <w:sz w:val="18"/>
                <w:szCs w:val="18"/>
              </w:rPr>
            </w:pPr>
            <w:r w:rsidRPr="00F955C6">
              <w:rPr>
                <w:rFonts w:cs="Arial"/>
                <w:sz w:val="18"/>
                <w:szCs w:val="18"/>
              </w:rPr>
              <w:t>Moderate</w:t>
            </w:r>
          </w:p>
        </w:tc>
      </w:tr>
      <w:tr w:rsidR="000923BB" w:rsidRPr="00F955C6" w14:paraId="3DBAC0C1" w14:textId="77777777" w:rsidTr="003A385F">
        <w:tc>
          <w:tcPr>
            <w:tcW w:w="3840" w:type="dxa"/>
          </w:tcPr>
          <w:p w14:paraId="3C86A987" w14:textId="77777777" w:rsidR="000923BB" w:rsidRPr="00F955C6" w:rsidRDefault="000923BB" w:rsidP="003A385F">
            <w:pPr>
              <w:rPr>
                <w:rFonts w:cs="Arial"/>
                <w:sz w:val="18"/>
                <w:szCs w:val="18"/>
              </w:rPr>
            </w:pPr>
            <w:r w:rsidRPr="00F955C6">
              <w:rPr>
                <w:rFonts w:cs="Arial"/>
                <w:sz w:val="18"/>
                <w:szCs w:val="18"/>
              </w:rPr>
              <w:t>Meets existing national targets</w:t>
            </w:r>
          </w:p>
        </w:tc>
        <w:tc>
          <w:tcPr>
            <w:tcW w:w="1200" w:type="dxa"/>
          </w:tcPr>
          <w:p w14:paraId="1522661B" w14:textId="77777777" w:rsidR="000923BB" w:rsidRPr="00F955C6" w:rsidRDefault="000923BB" w:rsidP="003A385F">
            <w:pPr>
              <w:jc w:val="center"/>
              <w:rPr>
                <w:rFonts w:cs="Arial"/>
                <w:sz w:val="18"/>
                <w:szCs w:val="18"/>
              </w:rPr>
            </w:pPr>
            <w:r w:rsidRPr="00F955C6">
              <w:rPr>
                <w:rFonts w:cs="Arial"/>
                <w:sz w:val="18"/>
                <w:szCs w:val="18"/>
              </w:rPr>
              <w:t>0.691*</w:t>
            </w:r>
          </w:p>
        </w:tc>
        <w:tc>
          <w:tcPr>
            <w:tcW w:w="1080" w:type="dxa"/>
          </w:tcPr>
          <w:p w14:paraId="63B3D261" w14:textId="77777777" w:rsidR="000923BB" w:rsidRPr="00F955C6" w:rsidRDefault="000923BB" w:rsidP="003A385F">
            <w:pPr>
              <w:jc w:val="center"/>
              <w:rPr>
                <w:rFonts w:cs="Arial"/>
                <w:sz w:val="18"/>
                <w:szCs w:val="18"/>
              </w:rPr>
            </w:pPr>
            <w:r w:rsidRPr="00F955C6">
              <w:rPr>
                <w:rFonts w:cs="Arial"/>
                <w:sz w:val="18"/>
                <w:szCs w:val="18"/>
              </w:rPr>
              <w:t>0.001</w:t>
            </w:r>
          </w:p>
        </w:tc>
        <w:tc>
          <w:tcPr>
            <w:tcW w:w="1560" w:type="dxa"/>
          </w:tcPr>
          <w:p w14:paraId="049AB267" w14:textId="77777777" w:rsidR="000923BB" w:rsidRPr="00F955C6" w:rsidRDefault="000923BB" w:rsidP="003A385F">
            <w:pPr>
              <w:jc w:val="center"/>
              <w:rPr>
                <w:rFonts w:cs="Arial"/>
                <w:sz w:val="18"/>
                <w:szCs w:val="18"/>
              </w:rPr>
            </w:pPr>
            <w:r w:rsidRPr="00F955C6">
              <w:rPr>
                <w:rFonts w:cs="Arial"/>
                <w:sz w:val="18"/>
                <w:szCs w:val="18"/>
              </w:rPr>
              <w:t>Strong</w:t>
            </w:r>
          </w:p>
        </w:tc>
      </w:tr>
      <w:tr w:rsidR="000923BB" w:rsidRPr="00F955C6" w14:paraId="49B37A2B" w14:textId="77777777" w:rsidTr="003A385F">
        <w:tc>
          <w:tcPr>
            <w:tcW w:w="3840" w:type="dxa"/>
          </w:tcPr>
          <w:p w14:paraId="408193D0" w14:textId="77777777" w:rsidR="000923BB" w:rsidRPr="00F955C6" w:rsidRDefault="000923BB" w:rsidP="003A385F">
            <w:pPr>
              <w:rPr>
                <w:rFonts w:cs="Arial"/>
                <w:sz w:val="18"/>
                <w:szCs w:val="18"/>
              </w:rPr>
            </w:pPr>
            <w:r w:rsidRPr="00F955C6">
              <w:rPr>
                <w:rFonts w:cs="Arial"/>
                <w:sz w:val="18"/>
                <w:szCs w:val="18"/>
              </w:rPr>
              <w:t>NHS staff survey Q27e: hospital takes action to ensure does not happen again (mean)</w:t>
            </w:r>
          </w:p>
        </w:tc>
        <w:tc>
          <w:tcPr>
            <w:tcW w:w="1200" w:type="dxa"/>
          </w:tcPr>
          <w:p w14:paraId="46107B63" w14:textId="77777777" w:rsidR="000923BB" w:rsidRPr="00F955C6" w:rsidRDefault="000923BB" w:rsidP="003A385F">
            <w:pPr>
              <w:jc w:val="center"/>
              <w:rPr>
                <w:rFonts w:cs="Arial"/>
                <w:sz w:val="18"/>
                <w:szCs w:val="18"/>
              </w:rPr>
            </w:pPr>
            <w:r w:rsidRPr="00F955C6">
              <w:rPr>
                <w:rFonts w:cs="Arial"/>
                <w:sz w:val="18"/>
                <w:szCs w:val="18"/>
              </w:rPr>
              <w:t>0.470</w:t>
            </w:r>
          </w:p>
        </w:tc>
        <w:tc>
          <w:tcPr>
            <w:tcW w:w="1080" w:type="dxa"/>
          </w:tcPr>
          <w:p w14:paraId="015A633B" w14:textId="77777777" w:rsidR="000923BB" w:rsidRPr="00F955C6" w:rsidRDefault="000923BB" w:rsidP="003A385F">
            <w:pPr>
              <w:jc w:val="center"/>
              <w:rPr>
                <w:rFonts w:cs="Arial"/>
                <w:sz w:val="18"/>
                <w:szCs w:val="18"/>
              </w:rPr>
            </w:pPr>
            <w:r w:rsidRPr="00F955C6">
              <w:rPr>
                <w:rFonts w:cs="Arial"/>
                <w:sz w:val="18"/>
                <w:szCs w:val="18"/>
              </w:rPr>
              <w:t>0.037</w:t>
            </w:r>
          </w:p>
        </w:tc>
        <w:tc>
          <w:tcPr>
            <w:tcW w:w="1560" w:type="dxa"/>
          </w:tcPr>
          <w:p w14:paraId="039D6EE2" w14:textId="77777777" w:rsidR="000923BB" w:rsidRPr="00F955C6" w:rsidRDefault="000923BB" w:rsidP="003A385F">
            <w:pPr>
              <w:jc w:val="center"/>
              <w:rPr>
                <w:rFonts w:cs="Arial"/>
                <w:sz w:val="18"/>
                <w:szCs w:val="18"/>
              </w:rPr>
            </w:pPr>
            <w:r w:rsidRPr="00F955C6">
              <w:rPr>
                <w:rFonts w:cs="Arial"/>
                <w:sz w:val="18"/>
                <w:szCs w:val="18"/>
              </w:rPr>
              <w:t>Moderate</w:t>
            </w:r>
          </w:p>
        </w:tc>
      </w:tr>
      <w:tr w:rsidR="000923BB" w:rsidRPr="00F955C6" w14:paraId="5D474F83" w14:textId="77777777" w:rsidTr="003A385F">
        <w:tc>
          <w:tcPr>
            <w:tcW w:w="3840" w:type="dxa"/>
          </w:tcPr>
          <w:p w14:paraId="05628D16" w14:textId="77777777" w:rsidR="000923BB" w:rsidRPr="00F955C6" w:rsidRDefault="000923BB" w:rsidP="003A385F">
            <w:pPr>
              <w:rPr>
                <w:rFonts w:cs="Arial"/>
                <w:sz w:val="18"/>
                <w:szCs w:val="18"/>
              </w:rPr>
            </w:pPr>
            <w:r w:rsidRPr="00F955C6">
              <w:rPr>
                <w:rFonts w:cs="Arial"/>
                <w:sz w:val="18"/>
                <w:szCs w:val="18"/>
              </w:rPr>
              <w:t>NHS staff survey Q24a: Know how to report (% yes)</w:t>
            </w:r>
          </w:p>
        </w:tc>
        <w:tc>
          <w:tcPr>
            <w:tcW w:w="1200" w:type="dxa"/>
          </w:tcPr>
          <w:p w14:paraId="30CB47D4" w14:textId="77777777" w:rsidR="000923BB" w:rsidRPr="00F955C6" w:rsidRDefault="000923BB" w:rsidP="003A385F">
            <w:pPr>
              <w:jc w:val="center"/>
              <w:rPr>
                <w:rFonts w:cs="Arial"/>
                <w:sz w:val="18"/>
                <w:szCs w:val="18"/>
              </w:rPr>
            </w:pPr>
            <w:r w:rsidRPr="00F955C6">
              <w:rPr>
                <w:rFonts w:cs="Arial"/>
                <w:sz w:val="18"/>
                <w:szCs w:val="18"/>
              </w:rPr>
              <w:t>0.546</w:t>
            </w:r>
          </w:p>
        </w:tc>
        <w:tc>
          <w:tcPr>
            <w:tcW w:w="1080" w:type="dxa"/>
          </w:tcPr>
          <w:p w14:paraId="018F6AC2" w14:textId="77777777" w:rsidR="000923BB" w:rsidRPr="00F955C6" w:rsidRDefault="000923BB" w:rsidP="003A385F">
            <w:pPr>
              <w:jc w:val="center"/>
              <w:rPr>
                <w:rFonts w:cs="Arial"/>
                <w:sz w:val="18"/>
                <w:szCs w:val="18"/>
              </w:rPr>
            </w:pPr>
            <w:r w:rsidRPr="00F955C6">
              <w:rPr>
                <w:rFonts w:cs="Arial"/>
                <w:sz w:val="18"/>
                <w:szCs w:val="18"/>
              </w:rPr>
              <w:t>0.013</w:t>
            </w:r>
          </w:p>
        </w:tc>
        <w:tc>
          <w:tcPr>
            <w:tcW w:w="1560" w:type="dxa"/>
          </w:tcPr>
          <w:p w14:paraId="75FF46AD" w14:textId="77777777" w:rsidR="000923BB" w:rsidRPr="00F955C6" w:rsidRDefault="000923BB" w:rsidP="003A385F">
            <w:pPr>
              <w:jc w:val="center"/>
              <w:rPr>
                <w:rFonts w:cs="Arial"/>
                <w:sz w:val="18"/>
                <w:szCs w:val="18"/>
              </w:rPr>
            </w:pPr>
            <w:r w:rsidRPr="00F955C6">
              <w:rPr>
                <w:rFonts w:cs="Arial"/>
                <w:sz w:val="18"/>
                <w:szCs w:val="18"/>
              </w:rPr>
              <w:t>Moderate</w:t>
            </w:r>
          </w:p>
        </w:tc>
      </w:tr>
      <w:tr w:rsidR="000923BB" w:rsidRPr="00F955C6" w14:paraId="44FCF2A4" w14:textId="77777777" w:rsidTr="003A385F">
        <w:tc>
          <w:tcPr>
            <w:tcW w:w="3840" w:type="dxa"/>
          </w:tcPr>
          <w:p w14:paraId="13C232ED" w14:textId="77777777" w:rsidR="000923BB" w:rsidRPr="00F955C6" w:rsidRDefault="000923BB" w:rsidP="003A385F">
            <w:pPr>
              <w:rPr>
                <w:rFonts w:cs="Arial"/>
                <w:sz w:val="18"/>
                <w:szCs w:val="18"/>
              </w:rPr>
            </w:pPr>
            <w:r w:rsidRPr="00F955C6">
              <w:rPr>
                <w:rFonts w:cs="Arial"/>
                <w:sz w:val="18"/>
                <w:szCs w:val="18"/>
              </w:rPr>
              <w:t>NHS staff survey Q22e: Care of patient/service user is top priority (mean)</w:t>
            </w:r>
          </w:p>
        </w:tc>
        <w:tc>
          <w:tcPr>
            <w:tcW w:w="1200" w:type="dxa"/>
          </w:tcPr>
          <w:p w14:paraId="1C287BE0" w14:textId="77777777" w:rsidR="000923BB" w:rsidRPr="00F955C6" w:rsidRDefault="000923BB" w:rsidP="003A385F">
            <w:pPr>
              <w:jc w:val="center"/>
              <w:rPr>
                <w:rFonts w:cs="Arial"/>
                <w:sz w:val="18"/>
                <w:szCs w:val="18"/>
              </w:rPr>
            </w:pPr>
            <w:r w:rsidRPr="00F955C6">
              <w:rPr>
                <w:rFonts w:cs="Arial"/>
                <w:sz w:val="18"/>
                <w:szCs w:val="18"/>
              </w:rPr>
              <w:t>0.470</w:t>
            </w:r>
          </w:p>
        </w:tc>
        <w:tc>
          <w:tcPr>
            <w:tcW w:w="1080" w:type="dxa"/>
          </w:tcPr>
          <w:p w14:paraId="582508AE" w14:textId="77777777" w:rsidR="000923BB" w:rsidRPr="00F955C6" w:rsidRDefault="000923BB" w:rsidP="003A385F">
            <w:pPr>
              <w:jc w:val="center"/>
              <w:rPr>
                <w:rFonts w:cs="Arial"/>
                <w:sz w:val="18"/>
                <w:szCs w:val="18"/>
              </w:rPr>
            </w:pPr>
            <w:r w:rsidRPr="00F955C6">
              <w:rPr>
                <w:rFonts w:cs="Arial"/>
                <w:sz w:val="18"/>
                <w:szCs w:val="18"/>
              </w:rPr>
              <w:t>0.037</w:t>
            </w:r>
          </w:p>
        </w:tc>
        <w:tc>
          <w:tcPr>
            <w:tcW w:w="1560" w:type="dxa"/>
          </w:tcPr>
          <w:p w14:paraId="1FCADFEB" w14:textId="77777777" w:rsidR="000923BB" w:rsidRPr="00F955C6" w:rsidRDefault="000923BB" w:rsidP="003A385F">
            <w:pPr>
              <w:jc w:val="center"/>
              <w:rPr>
                <w:rFonts w:cs="Arial"/>
                <w:sz w:val="18"/>
                <w:szCs w:val="18"/>
              </w:rPr>
            </w:pPr>
            <w:r w:rsidRPr="00F955C6">
              <w:rPr>
                <w:rFonts w:cs="Arial"/>
                <w:sz w:val="18"/>
                <w:szCs w:val="18"/>
              </w:rPr>
              <w:t>Moderate</w:t>
            </w:r>
          </w:p>
        </w:tc>
      </w:tr>
    </w:tbl>
    <w:p w14:paraId="36F5673A" w14:textId="77777777" w:rsidR="000923BB" w:rsidRDefault="000923BB" w:rsidP="000923BB">
      <w:pPr>
        <w:ind w:left="360"/>
        <w:rPr>
          <w:rFonts w:cs="Arial"/>
          <w:sz w:val="18"/>
          <w:szCs w:val="18"/>
        </w:rPr>
      </w:pPr>
      <w:r w:rsidRPr="00D77319">
        <w:rPr>
          <w:rFonts w:cs="Arial"/>
          <w:sz w:val="18"/>
          <w:szCs w:val="18"/>
        </w:rPr>
        <w:t>Spearman’s rank correlation used</w:t>
      </w:r>
    </w:p>
    <w:p w14:paraId="7F85FA40" w14:textId="77777777" w:rsidR="000923BB" w:rsidRPr="00D77319" w:rsidRDefault="000923BB" w:rsidP="000923BB">
      <w:pPr>
        <w:rPr>
          <w:rFonts w:cs="Arial"/>
          <w:sz w:val="18"/>
          <w:szCs w:val="18"/>
        </w:rPr>
      </w:pPr>
      <w:r>
        <w:rPr>
          <w:rFonts w:cs="Arial"/>
          <w:sz w:val="18"/>
          <w:szCs w:val="18"/>
        </w:rPr>
        <w:br w:type="page"/>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3969"/>
      </w:tblGrid>
      <w:tr w:rsidR="000923BB" w:rsidRPr="00F955C6" w14:paraId="563E3CE9" w14:textId="77777777" w:rsidTr="003C12FD">
        <w:trPr>
          <w:trHeight w:val="841"/>
        </w:trPr>
        <w:tc>
          <w:tcPr>
            <w:tcW w:w="4111" w:type="dxa"/>
          </w:tcPr>
          <w:p w14:paraId="51DE75D1" w14:textId="77777777" w:rsidR="000923BB" w:rsidRPr="00F955C6" w:rsidRDefault="000923BB" w:rsidP="00DD0924">
            <w:pPr>
              <w:rPr>
                <w:rFonts w:cs="Arial"/>
                <w:sz w:val="22"/>
                <w:szCs w:val="22"/>
              </w:rPr>
            </w:pPr>
            <w:r w:rsidRPr="00F955C6">
              <w:rPr>
                <w:rFonts w:cs="Arial"/>
                <w:sz w:val="22"/>
                <w:szCs w:val="22"/>
              </w:rPr>
              <w:lastRenderedPageBreak/>
              <w:br w:type="page"/>
            </w:r>
            <w:r w:rsidRPr="00F955C6">
              <w:rPr>
                <w:rFonts w:cs="Arial"/>
                <w:b/>
                <w:sz w:val="18"/>
                <w:szCs w:val="18"/>
              </w:rPr>
              <w:t>Figure 10.Scatter plot (with regression line) for heart failure holistic score by mean patient age</w:t>
            </w:r>
          </w:p>
        </w:tc>
        <w:tc>
          <w:tcPr>
            <w:tcW w:w="3969" w:type="dxa"/>
          </w:tcPr>
          <w:p w14:paraId="5E5AA379" w14:textId="77777777" w:rsidR="000923BB" w:rsidRPr="00F955C6" w:rsidRDefault="000923BB" w:rsidP="003A385F">
            <w:pPr>
              <w:rPr>
                <w:rFonts w:cs="Arial"/>
                <w:sz w:val="22"/>
                <w:szCs w:val="22"/>
              </w:rPr>
            </w:pPr>
            <w:r w:rsidRPr="00F955C6">
              <w:rPr>
                <w:rFonts w:cs="Arial"/>
                <w:b/>
                <w:sz w:val="18"/>
                <w:szCs w:val="18"/>
              </w:rPr>
              <w:t>Figure 11. Scatter plot (with regression line) for heart failure holistic score by quality of services</w:t>
            </w:r>
          </w:p>
        </w:tc>
      </w:tr>
      <w:tr w:rsidR="000923BB" w:rsidRPr="00F955C6" w14:paraId="4875E4F5" w14:textId="77777777" w:rsidTr="003C12FD">
        <w:tc>
          <w:tcPr>
            <w:tcW w:w="4111" w:type="dxa"/>
          </w:tcPr>
          <w:p w14:paraId="2CB39C53" w14:textId="77777777" w:rsidR="000923BB" w:rsidRPr="00F955C6" w:rsidRDefault="000923BB" w:rsidP="003A385F">
            <w:pPr>
              <w:rPr>
                <w:rFonts w:cs="Arial"/>
                <w:sz w:val="22"/>
                <w:szCs w:val="22"/>
              </w:rPr>
            </w:pPr>
            <w:r>
              <w:rPr>
                <w:rFonts w:cs="Arial"/>
                <w:noProof/>
                <w:sz w:val="14"/>
                <w:szCs w:val="14"/>
                <w:lang w:eastAsia="en-GB" w:bidi="ar-SA"/>
              </w:rPr>
              <w:drawing>
                <wp:inline distT="0" distB="0" distL="0" distR="0" wp14:anchorId="64D40804" wp14:editId="35447405">
                  <wp:extent cx="1717675" cy="171767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2" cstate="print"/>
                          <a:srcRect/>
                          <a:stretch>
                            <a:fillRect/>
                          </a:stretch>
                        </pic:blipFill>
                        <pic:spPr bwMode="auto">
                          <a:xfrm>
                            <a:off x="0" y="0"/>
                            <a:ext cx="1717675" cy="1717675"/>
                          </a:xfrm>
                          <a:prstGeom prst="rect">
                            <a:avLst/>
                          </a:prstGeom>
                          <a:noFill/>
                          <a:ln w="9525">
                            <a:noFill/>
                            <a:miter lim="800000"/>
                            <a:headEnd/>
                            <a:tailEnd/>
                          </a:ln>
                        </pic:spPr>
                      </pic:pic>
                    </a:graphicData>
                  </a:graphic>
                </wp:inline>
              </w:drawing>
            </w:r>
          </w:p>
        </w:tc>
        <w:tc>
          <w:tcPr>
            <w:tcW w:w="3969" w:type="dxa"/>
          </w:tcPr>
          <w:p w14:paraId="0180E24A" w14:textId="77777777" w:rsidR="000923BB" w:rsidRPr="00F955C6" w:rsidRDefault="000923BB" w:rsidP="003A385F">
            <w:pPr>
              <w:rPr>
                <w:rFonts w:cs="Arial"/>
                <w:sz w:val="22"/>
                <w:szCs w:val="22"/>
              </w:rPr>
            </w:pPr>
            <w:r>
              <w:rPr>
                <w:rFonts w:cs="Arial"/>
                <w:noProof/>
                <w:sz w:val="14"/>
                <w:szCs w:val="14"/>
                <w:lang w:eastAsia="en-GB" w:bidi="ar-SA"/>
              </w:rPr>
              <w:drawing>
                <wp:inline distT="0" distB="0" distL="0" distR="0" wp14:anchorId="1E23B33E" wp14:editId="5AA019AE">
                  <wp:extent cx="1630045" cy="1630045"/>
                  <wp:effectExtent l="1905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srcRect/>
                          <a:stretch>
                            <a:fillRect/>
                          </a:stretch>
                        </pic:blipFill>
                        <pic:spPr bwMode="auto">
                          <a:xfrm>
                            <a:off x="0" y="0"/>
                            <a:ext cx="1630045" cy="1630045"/>
                          </a:xfrm>
                          <a:prstGeom prst="rect">
                            <a:avLst/>
                          </a:prstGeom>
                          <a:noFill/>
                          <a:ln w="9525">
                            <a:noFill/>
                            <a:miter lim="800000"/>
                            <a:headEnd/>
                            <a:tailEnd/>
                          </a:ln>
                        </pic:spPr>
                      </pic:pic>
                    </a:graphicData>
                  </a:graphic>
                </wp:inline>
              </w:drawing>
            </w:r>
          </w:p>
        </w:tc>
      </w:tr>
      <w:tr w:rsidR="000923BB" w:rsidRPr="00F955C6" w14:paraId="3116C862" w14:textId="77777777" w:rsidTr="003C12FD">
        <w:tc>
          <w:tcPr>
            <w:tcW w:w="4111" w:type="dxa"/>
          </w:tcPr>
          <w:p w14:paraId="6DDD6E0F" w14:textId="77777777" w:rsidR="000923BB" w:rsidRPr="00F955C6" w:rsidRDefault="000923BB" w:rsidP="003A385F">
            <w:pPr>
              <w:rPr>
                <w:rFonts w:cs="Arial"/>
                <w:b/>
                <w:sz w:val="18"/>
                <w:szCs w:val="18"/>
              </w:rPr>
            </w:pPr>
            <w:r w:rsidRPr="00F955C6">
              <w:rPr>
                <w:rFonts w:cs="Arial"/>
                <w:b/>
                <w:sz w:val="18"/>
                <w:szCs w:val="18"/>
              </w:rPr>
              <w:t xml:space="preserve">Figure 12. </w:t>
            </w:r>
          </w:p>
          <w:p w14:paraId="62D41FB2" w14:textId="77777777" w:rsidR="000923BB" w:rsidRPr="00F955C6" w:rsidRDefault="000923BB" w:rsidP="003A385F">
            <w:pPr>
              <w:rPr>
                <w:rFonts w:cs="Arial"/>
                <w:sz w:val="22"/>
                <w:szCs w:val="22"/>
              </w:rPr>
            </w:pPr>
            <w:r w:rsidRPr="00F955C6">
              <w:rPr>
                <w:rFonts w:cs="Arial"/>
                <w:b/>
                <w:sz w:val="18"/>
                <w:szCs w:val="18"/>
              </w:rPr>
              <w:t>Scatter plot (with regression line) for heart failure holistic score by percentage of patients with acute MI receiving thrombolysis</w:t>
            </w:r>
          </w:p>
        </w:tc>
        <w:tc>
          <w:tcPr>
            <w:tcW w:w="3969" w:type="dxa"/>
          </w:tcPr>
          <w:p w14:paraId="7ED0DF61" w14:textId="77777777" w:rsidR="000923BB" w:rsidRPr="00F955C6" w:rsidRDefault="000923BB" w:rsidP="003A385F">
            <w:pPr>
              <w:rPr>
                <w:rFonts w:cs="Arial"/>
                <w:b/>
                <w:sz w:val="18"/>
                <w:szCs w:val="18"/>
              </w:rPr>
            </w:pPr>
            <w:r w:rsidRPr="00F955C6">
              <w:rPr>
                <w:rFonts w:cs="Arial"/>
                <w:b/>
                <w:sz w:val="18"/>
                <w:szCs w:val="18"/>
              </w:rPr>
              <w:t>Figure 13.</w:t>
            </w:r>
          </w:p>
          <w:p w14:paraId="2E1685C6" w14:textId="77777777" w:rsidR="000923BB" w:rsidRPr="00F955C6" w:rsidRDefault="000923BB" w:rsidP="003A385F">
            <w:pPr>
              <w:rPr>
                <w:rFonts w:cs="Arial"/>
                <w:sz w:val="22"/>
                <w:szCs w:val="22"/>
              </w:rPr>
            </w:pPr>
            <w:r w:rsidRPr="00F955C6">
              <w:rPr>
                <w:rFonts w:cs="Arial"/>
                <w:b/>
                <w:sz w:val="18"/>
                <w:szCs w:val="18"/>
              </w:rPr>
              <w:t>Scatter plot (with regression line) for heart failure holistic score by existing National targets</w:t>
            </w:r>
          </w:p>
        </w:tc>
      </w:tr>
      <w:tr w:rsidR="000923BB" w:rsidRPr="00F955C6" w14:paraId="6A8C2E84" w14:textId="77777777" w:rsidTr="003C12FD">
        <w:tc>
          <w:tcPr>
            <w:tcW w:w="4111" w:type="dxa"/>
          </w:tcPr>
          <w:p w14:paraId="52122E11" w14:textId="77777777" w:rsidR="000923BB" w:rsidRPr="00F955C6" w:rsidRDefault="000923BB" w:rsidP="003A385F">
            <w:pPr>
              <w:rPr>
                <w:rFonts w:cs="Arial"/>
                <w:sz w:val="22"/>
                <w:szCs w:val="22"/>
              </w:rPr>
            </w:pPr>
            <w:r>
              <w:rPr>
                <w:rFonts w:cs="Arial"/>
                <w:noProof/>
                <w:sz w:val="14"/>
                <w:szCs w:val="14"/>
                <w:lang w:eastAsia="en-GB" w:bidi="ar-SA"/>
              </w:rPr>
              <w:drawing>
                <wp:inline distT="0" distB="0" distL="0" distR="0" wp14:anchorId="4B05FEFA" wp14:editId="4013A3B2">
                  <wp:extent cx="1946228" cy="1946228"/>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4" cstate="print"/>
                          <a:srcRect/>
                          <a:stretch>
                            <a:fillRect/>
                          </a:stretch>
                        </pic:blipFill>
                        <pic:spPr bwMode="auto">
                          <a:xfrm>
                            <a:off x="0" y="0"/>
                            <a:ext cx="1949089" cy="1949089"/>
                          </a:xfrm>
                          <a:prstGeom prst="rect">
                            <a:avLst/>
                          </a:prstGeom>
                          <a:noFill/>
                          <a:ln w="9525">
                            <a:noFill/>
                            <a:miter lim="800000"/>
                            <a:headEnd/>
                            <a:tailEnd/>
                          </a:ln>
                        </pic:spPr>
                      </pic:pic>
                    </a:graphicData>
                  </a:graphic>
                </wp:inline>
              </w:drawing>
            </w:r>
          </w:p>
        </w:tc>
        <w:tc>
          <w:tcPr>
            <w:tcW w:w="3969" w:type="dxa"/>
          </w:tcPr>
          <w:p w14:paraId="1E7E338B" w14:textId="77777777" w:rsidR="000923BB" w:rsidRPr="00F955C6" w:rsidRDefault="000923BB" w:rsidP="003A385F">
            <w:pPr>
              <w:rPr>
                <w:rFonts w:cs="Arial"/>
                <w:sz w:val="22"/>
                <w:szCs w:val="22"/>
              </w:rPr>
            </w:pPr>
            <w:r>
              <w:rPr>
                <w:rFonts w:cs="Arial"/>
                <w:noProof/>
                <w:sz w:val="14"/>
                <w:szCs w:val="14"/>
                <w:lang w:eastAsia="en-GB" w:bidi="ar-SA"/>
              </w:rPr>
              <w:drawing>
                <wp:inline distT="0" distB="0" distL="0" distR="0" wp14:anchorId="4C7BCC90" wp14:editId="4463958A">
                  <wp:extent cx="1932579" cy="1932579"/>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5" cstate="print"/>
                          <a:srcRect/>
                          <a:stretch>
                            <a:fillRect/>
                          </a:stretch>
                        </pic:blipFill>
                        <pic:spPr bwMode="auto">
                          <a:xfrm>
                            <a:off x="0" y="0"/>
                            <a:ext cx="1935420" cy="1935420"/>
                          </a:xfrm>
                          <a:prstGeom prst="rect">
                            <a:avLst/>
                          </a:prstGeom>
                          <a:noFill/>
                          <a:ln w="9525">
                            <a:noFill/>
                            <a:miter lim="800000"/>
                            <a:headEnd/>
                            <a:tailEnd/>
                          </a:ln>
                        </pic:spPr>
                      </pic:pic>
                    </a:graphicData>
                  </a:graphic>
                </wp:inline>
              </w:drawing>
            </w:r>
          </w:p>
        </w:tc>
      </w:tr>
      <w:tr w:rsidR="000923BB" w:rsidRPr="00F955C6" w14:paraId="1E539F76" w14:textId="77777777" w:rsidTr="003C12FD">
        <w:trPr>
          <w:trHeight w:val="4903"/>
        </w:trPr>
        <w:tc>
          <w:tcPr>
            <w:tcW w:w="4111" w:type="dxa"/>
          </w:tcPr>
          <w:p w14:paraId="1EE161AF" w14:textId="77777777" w:rsidR="000923BB" w:rsidRPr="00F955C6" w:rsidRDefault="000923BB" w:rsidP="003A385F">
            <w:pPr>
              <w:rPr>
                <w:rFonts w:cs="Arial"/>
                <w:b/>
                <w:sz w:val="18"/>
                <w:szCs w:val="18"/>
              </w:rPr>
            </w:pPr>
            <w:r w:rsidRPr="00F955C6">
              <w:rPr>
                <w:rFonts w:cs="Arial"/>
                <w:b/>
                <w:sz w:val="18"/>
                <w:szCs w:val="18"/>
              </w:rPr>
              <w:t>Figure 14.</w:t>
            </w:r>
          </w:p>
          <w:p w14:paraId="476D4759" w14:textId="77777777" w:rsidR="000923BB" w:rsidRDefault="000923BB" w:rsidP="003A385F">
            <w:pPr>
              <w:rPr>
                <w:rFonts w:cs="Arial"/>
                <w:b/>
                <w:sz w:val="18"/>
                <w:szCs w:val="18"/>
              </w:rPr>
            </w:pPr>
            <w:r w:rsidRPr="00F955C6">
              <w:rPr>
                <w:rFonts w:cs="Arial"/>
                <w:b/>
                <w:sz w:val="18"/>
                <w:szCs w:val="18"/>
              </w:rPr>
              <w:t>Scatter plot (with regression line) for heart failure holistic score by NHS staff survey 24a: Know how to report (percent yes)</w:t>
            </w:r>
          </w:p>
          <w:p w14:paraId="4656F3D4" w14:textId="77777777" w:rsidR="00DD0924" w:rsidRDefault="00DD0924" w:rsidP="003A385F">
            <w:pPr>
              <w:rPr>
                <w:rFonts w:cs="Arial"/>
                <w:b/>
                <w:sz w:val="18"/>
                <w:szCs w:val="18"/>
              </w:rPr>
            </w:pPr>
            <w:r>
              <w:rPr>
                <w:rFonts w:cs="Arial"/>
                <w:noProof/>
                <w:sz w:val="14"/>
                <w:szCs w:val="14"/>
                <w:lang w:eastAsia="en-GB" w:bidi="ar-SA"/>
              </w:rPr>
              <w:drawing>
                <wp:inline distT="0" distB="0" distL="0" distR="0" wp14:anchorId="3B6CB82F" wp14:editId="54E2AFE0">
                  <wp:extent cx="2059305" cy="2059305"/>
                  <wp:effectExtent l="19050" t="0" r="0" b="0"/>
                  <wp:docPr id="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6" cstate="print"/>
                          <a:srcRect/>
                          <a:stretch>
                            <a:fillRect/>
                          </a:stretch>
                        </pic:blipFill>
                        <pic:spPr bwMode="auto">
                          <a:xfrm>
                            <a:off x="0" y="0"/>
                            <a:ext cx="2059305" cy="2059305"/>
                          </a:xfrm>
                          <a:prstGeom prst="rect">
                            <a:avLst/>
                          </a:prstGeom>
                          <a:noFill/>
                          <a:ln w="9525">
                            <a:noFill/>
                            <a:miter lim="800000"/>
                            <a:headEnd/>
                            <a:tailEnd/>
                          </a:ln>
                        </pic:spPr>
                      </pic:pic>
                    </a:graphicData>
                  </a:graphic>
                </wp:inline>
              </w:drawing>
            </w:r>
          </w:p>
          <w:p w14:paraId="10D4E555" w14:textId="77777777" w:rsidR="00DD0924" w:rsidRPr="00F955C6" w:rsidRDefault="00DD0924" w:rsidP="003A385F">
            <w:pPr>
              <w:rPr>
                <w:rFonts w:cs="Arial"/>
                <w:sz w:val="22"/>
                <w:szCs w:val="22"/>
              </w:rPr>
            </w:pPr>
          </w:p>
        </w:tc>
        <w:tc>
          <w:tcPr>
            <w:tcW w:w="3969" w:type="dxa"/>
            <w:tcBorders>
              <w:right w:val="single" w:sz="4" w:space="0" w:color="auto"/>
            </w:tcBorders>
          </w:tcPr>
          <w:p w14:paraId="526EB523" w14:textId="77777777" w:rsidR="000923BB" w:rsidRPr="00F955C6" w:rsidRDefault="000923BB" w:rsidP="003A385F">
            <w:pPr>
              <w:rPr>
                <w:rFonts w:cs="Arial"/>
                <w:b/>
                <w:sz w:val="18"/>
                <w:szCs w:val="18"/>
              </w:rPr>
            </w:pPr>
            <w:r w:rsidRPr="00F955C6">
              <w:rPr>
                <w:rFonts w:cs="Arial"/>
                <w:b/>
                <w:sz w:val="18"/>
                <w:szCs w:val="18"/>
              </w:rPr>
              <w:t>Figure 15.</w:t>
            </w:r>
          </w:p>
          <w:p w14:paraId="7C27CF96" w14:textId="77777777" w:rsidR="000923BB" w:rsidRPr="00F955C6" w:rsidRDefault="000923BB" w:rsidP="00DD0924">
            <w:pPr>
              <w:rPr>
                <w:rFonts w:cs="Arial"/>
                <w:sz w:val="22"/>
                <w:szCs w:val="22"/>
              </w:rPr>
            </w:pPr>
            <w:r w:rsidRPr="00F955C6">
              <w:rPr>
                <w:rFonts w:cs="Arial"/>
                <w:b/>
                <w:sz w:val="18"/>
                <w:szCs w:val="18"/>
              </w:rPr>
              <w:t xml:space="preserve">Scatter plot (with regression line) for heart failure holistic score by NHS staff survey Q22e: care pf patients/service users is top priority </w:t>
            </w:r>
            <w:r w:rsidR="00DD0924" w:rsidRPr="00F955C6">
              <w:rPr>
                <w:rFonts w:cs="Arial"/>
                <w:b/>
                <w:sz w:val="18"/>
                <w:szCs w:val="18"/>
              </w:rPr>
              <w:t xml:space="preserve"> </w:t>
            </w:r>
            <w:r w:rsidRPr="00F955C6">
              <w:rPr>
                <w:rFonts w:cs="Arial"/>
                <w:b/>
                <w:sz w:val="18"/>
                <w:szCs w:val="18"/>
              </w:rPr>
              <w:t>(mean score)</w:t>
            </w:r>
            <w:r w:rsidR="00DD0924">
              <w:rPr>
                <w:rFonts w:cs="Arial"/>
                <w:noProof/>
                <w:sz w:val="14"/>
                <w:szCs w:val="14"/>
                <w:lang w:eastAsia="en-GB" w:bidi="ar-SA"/>
              </w:rPr>
              <w:t xml:space="preserve"> </w:t>
            </w:r>
            <w:r w:rsidR="00DD0924">
              <w:rPr>
                <w:rFonts w:cs="Arial"/>
                <w:noProof/>
                <w:sz w:val="14"/>
                <w:szCs w:val="14"/>
                <w:lang w:eastAsia="en-GB" w:bidi="ar-SA"/>
              </w:rPr>
              <w:drawing>
                <wp:inline distT="0" distB="0" distL="0" distR="0" wp14:anchorId="1782052F" wp14:editId="720DA99F">
                  <wp:extent cx="1876567" cy="1876567"/>
                  <wp:effectExtent l="19050" t="0" r="9383" b="0"/>
                  <wp:docPr id="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7" cstate="print"/>
                          <a:srcRect/>
                          <a:stretch>
                            <a:fillRect/>
                          </a:stretch>
                        </pic:blipFill>
                        <pic:spPr bwMode="auto">
                          <a:xfrm>
                            <a:off x="0" y="0"/>
                            <a:ext cx="1879216" cy="1879216"/>
                          </a:xfrm>
                          <a:prstGeom prst="rect">
                            <a:avLst/>
                          </a:prstGeom>
                          <a:noFill/>
                          <a:ln w="9525">
                            <a:noFill/>
                            <a:miter lim="800000"/>
                            <a:headEnd/>
                            <a:tailEnd/>
                          </a:ln>
                        </pic:spPr>
                      </pic:pic>
                    </a:graphicData>
                  </a:graphic>
                </wp:inline>
              </w:drawing>
            </w:r>
          </w:p>
        </w:tc>
      </w:tr>
    </w:tbl>
    <w:p w14:paraId="09192FFD" w14:textId="77777777" w:rsidR="000923BB" w:rsidRPr="007A4493" w:rsidRDefault="000923BB" w:rsidP="000923BB">
      <w:pPr>
        <w:jc w:val="both"/>
        <w:rPr>
          <w:rFonts w:cs="Arial"/>
          <w:b/>
          <w:sz w:val="22"/>
        </w:rPr>
      </w:pPr>
      <w:r>
        <w:rPr>
          <w:rFonts w:cs="Arial"/>
          <w:b/>
          <w:sz w:val="22"/>
        </w:rPr>
        <w:lastRenderedPageBreak/>
        <w:t xml:space="preserve">Correlations </w:t>
      </w:r>
      <w:r w:rsidRPr="007A4493">
        <w:rPr>
          <w:rFonts w:cs="Arial"/>
          <w:b/>
          <w:sz w:val="22"/>
        </w:rPr>
        <w:t>between criterion based scores</w:t>
      </w:r>
      <w:r>
        <w:rPr>
          <w:rFonts w:cs="Arial"/>
          <w:b/>
          <w:sz w:val="22"/>
        </w:rPr>
        <w:t xml:space="preserve"> a</w:t>
      </w:r>
      <w:r w:rsidRPr="007A4493">
        <w:rPr>
          <w:rFonts w:cs="Arial"/>
          <w:b/>
          <w:sz w:val="22"/>
          <w:szCs w:val="22"/>
        </w:rPr>
        <w:t>nd hospital level outcome variables</w:t>
      </w:r>
    </w:p>
    <w:p w14:paraId="2652A047" w14:textId="77777777" w:rsidR="000923BB" w:rsidRDefault="000923BB" w:rsidP="000923BB">
      <w:pPr>
        <w:rPr>
          <w:rFonts w:cs="Arial"/>
          <w:sz w:val="22"/>
          <w:szCs w:val="22"/>
        </w:rPr>
      </w:pPr>
    </w:p>
    <w:p w14:paraId="4ADB9371" w14:textId="77777777" w:rsidR="000923BB" w:rsidRPr="0096559C" w:rsidRDefault="000923BB" w:rsidP="000923BB">
      <w:pPr>
        <w:jc w:val="both"/>
        <w:rPr>
          <w:rFonts w:cs="Arial"/>
          <w:sz w:val="22"/>
          <w:szCs w:val="22"/>
        </w:rPr>
      </w:pPr>
      <w:r>
        <w:rPr>
          <w:rFonts w:cs="Arial"/>
          <w:sz w:val="22"/>
          <w:szCs w:val="22"/>
        </w:rPr>
        <w:t>Tables 13 &amp; 14 show the relationships between criterion scores and mortality grouping.  There were no statistically significant differences in mean scores per mortality group.  These findings are similar to the holistic quality of care data (Tables 5 – 8).</w:t>
      </w:r>
    </w:p>
    <w:p w14:paraId="64B4331C" w14:textId="77777777" w:rsidR="000923BB" w:rsidRDefault="000923BB" w:rsidP="000923BB">
      <w:pPr>
        <w:rPr>
          <w:rFonts w:cs="Arial"/>
          <w:sz w:val="22"/>
          <w:szCs w:val="22"/>
        </w:rPr>
      </w:pPr>
    </w:p>
    <w:p w14:paraId="7019A9F0" w14:textId="77777777" w:rsidR="000923BB" w:rsidRPr="00694519" w:rsidRDefault="000923BB" w:rsidP="000923BB">
      <w:pPr>
        <w:rPr>
          <w:rFonts w:cs="Arial"/>
          <w:b/>
          <w:sz w:val="20"/>
          <w:szCs w:val="20"/>
        </w:rPr>
      </w:pPr>
      <w:r w:rsidRPr="00694519">
        <w:rPr>
          <w:rFonts w:cs="Arial"/>
          <w:b/>
          <w:sz w:val="20"/>
          <w:szCs w:val="20"/>
        </w:rPr>
        <w:t>Table 13: COPD mean criterion based score (out of 13) by mortality group</w:t>
      </w:r>
    </w:p>
    <w:p w14:paraId="23994431" w14:textId="77777777" w:rsidR="000923BB" w:rsidRPr="005D7147" w:rsidRDefault="000923BB" w:rsidP="000923BB">
      <w:pPr>
        <w:rPr>
          <w:rFonts w:cs="Arial"/>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2"/>
        <w:gridCol w:w="2130"/>
        <w:gridCol w:w="2131"/>
        <w:gridCol w:w="1939"/>
      </w:tblGrid>
      <w:tr w:rsidR="000923BB" w:rsidRPr="00F955C6" w14:paraId="492182CD" w14:textId="77777777" w:rsidTr="003C12FD">
        <w:tc>
          <w:tcPr>
            <w:tcW w:w="2022" w:type="dxa"/>
          </w:tcPr>
          <w:p w14:paraId="49D9C3C6" w14:textId="77777777" w:rsidR="000923BB" w:rsidRPr="00F955C6" w:rsidRDefault="000923BB" w:rsidP="003A385F">
            <w:pPr>
              <w:rPr>
                <w:rFonts w:cs="Arial"/>
                <w:sz w:val="18"/>
                <w:szCs w:val="18"/>
              </w:rPr>
            </w:pPr>
          </w:p>
        </w:tc>
        <w:tc>
          <w:tcPr>
            <w:tcW w:w="2130" w:type="dxa"/>
          </w:tcPr>
          <w:p w14:paraId="423850B5" w14:textId="77777777" w:rsidR="000923BB" w:rsidRPr="00F955C6" w:rsidRDefault="000923BB" w:rsidP="003A385F">
            <w:pPr>
              <w:jc w:val="center"/>
              <w:rPr>
                <w:rFonts w:cs="Arial"/>
                <w:sz w:val="18"/>
                <w:szCs w:val="18"/>
              </w:rPr>
            </w:pPr>
            <w:r w:rsidRPr="00F955C6">
              <w:rPr>
                <w:rFonts w:cs="Arial"/>
                <w:sz w:val="18"/>
                <w:szCs w:val="18"/>
              </w:rPr>
              <w:t>Mean (SD)</w:t>
            </w:r>
          </w:p>
        </w:tc>
        <w:tc>
          <w:tcPr>
            <w:tcW w:w="2131" w:type="dxa"/>
          </w:tcPr>
          <w:p w14:paraId="057CF810" w14:textId="77777777" w:rsidR="000923BB" w:rsidRPr="00F955C6" w:rsidRDefault="000923BB" w:rsidP="003A385F">
            <w:pPr>
              <w:jc w:val="center"/>
              <w:rPr>
                <w:rFonts w:cs="Arial"/>
                <w:sz w:val="18"/>
                <w:szCs w:val="18"/>
              </w:rPr>
            </w:pPr>
            <w:r w:rsidRPr="00F955C6">
              <w:rPr>
                <w:rFonts w:cs="Arial"/>
                <w:sz w:val="18"/>
                <w:szCs w:val="18"/>
              </w:rPr>
              <w:t>Median</w:t>
            </w:r>
          </w:p>
        </w:tc>
        <w:tc>
          <w:tcPr>
            <w:tcW w:w="1939" w:type="dxa"/>
          </w:tcPr>
          <w:p w14:paraId="26453C28" w14:textId="77777777" w:rsidR="000923BB" w:rsidRPr="00F955C6" w:rsidRDefault="000923BB" w:rsidP="003A385F">
            <w:pPr>
              <w:jc w:val="center"/>
              <w:rPr>
                <w:rFonts w:cs="Arial"/>
                <w:sz w:val="18"/>
                <w:szCs w:val="18"/>
              </w:rPr>
            </w:pPr>
            <w:r w:rsidRPr="00F955C6">
              <w:rPr>
                <w:rFonts w:cs="Arial"/>
                <w:sz w:val="18"/>
                <w:szCs w:val="18"/>
              </w:rPr>
              <w:t>Range</w:t>
            </w:r>
          </w:p>
        </w:tc>
      </w:tr>
      <w:tr w:rsidR="000923BB" w:rsidRPr="00F955C6" w14:paraId="6AD3CEDE" w14:textId="77777777" w:rsidTr="003C12FD">
        <w:tc>
          <w:tcPr>
            <w:tcW w:w="2022" w:type="dxa"/>
          </w:tcPr>
          <w:p w14:paraId="25A3DC20" w14:textId="77777777" w:rsidR="000923BB" w:rsidRPr="00F955C6" w:rsidRDefault="000923BB" w:rsidP="003A385F">
            <w:pPr>
              <w:rPr>
                <w:rFonts w:cs="Arial"/>
                <w:sz w:val="18"/>
                <w:szCs w:val="18"/>
              </w:rPr>
            </w:pPr>
            <w:r w:rsidRPr="00F955C6">
              <w:rPr>
                <w:rFonts w:cs="Arial"/>
                <w:sz w:val="18"/>
                <w:szCs w:val="18"/>
              </w:rPr>
              <w:t>Higher mortality group hospitals (N = 10)</w:t>
            </w:r>
          </w:p>
        </w:tc>
        <w:tc>
          <w:tcPr>
            <w:tcW w:w="2130" w:type="dxa"/>
          </w:tcPr>
          <w:p w14:paraId="1A406F73" w14:textId="77777777" w:rsidR="000923BB" w:rsidRPr="00F955C6" w:rsidRDefault="000923BB" w:rsidP="003A385F">
            <w:pPr>
              <w:jc w:val="center"/>
              <w:rPr>
                <w:rFonts w:cs="Arial"/>
                <w:sz w:val="18"/>
                <w:szCs w:val="18"/>
              </w:rPr>
            </w:pPr>
            <w:r w:rsidRPr="00F955C6">
              <w:rPr>
                <w:rFonts w:cs="Arial"/>
                <w:sz w:val="18"/>
                <w:szCs w:val="18"/>
              </w:rPr>
              <w:t>10.1 (1.10)</w:t>
            </w:r>
          </w:p>
        </w:tc>
        <w:tc>
          <w:tcPr>
            <w:tcW w:w="2131" w:type="dxa"/>
          </w:tcPr>
          <w:p w14:paraId="35004E9E" w14:textId="77777777" w:rsidR="000923BB" w:rsidRPr="00F955C6" w:rsidRDefault="000923BB" w:rsidP="003A385F">
            <w:pPr>
              <w:jc w:val="center"/>
              <w:rPr>
                <w:rFonts w:cs="Arial"/>
                <w:sz w:val="18"/>
                <w:szCs w:val="18"/>
              </w:rPr>
            </w:pPr>
            <w:r w:rsidRPr="00F955C6">
              <w:rPr>
                <w:rFonts w:cs="Arial"/>
                <w:sz w:val="18"/>
                <w:szCs w:val="18"/>
              </w:rPr>
              <w:t>10.4</w:t>
            </w:r>
          </w:p>
        </w:tc>
        <w:tc>
          <w:tcPr>
            <w:tcW w:w="1939" w:type="dxa"/>
          </w:tcPr>
          <w:p w14:paraId="67D4D3F2" w14:textId="77777777" w:rsidR="000923BB" w:rsidRPr="00F955C6" w:rsidRDefault="000923BB" w:rsidP="003A385F">
            <w:pPr>
              <w:jc w:val="center"/>
              <w:rPr>
                <w:rFonts w:cs="Arial"/>
                <w:sz w:val="18"/>
                <w:szCs w:val="18"/>
              </w:rPr>
            </w:pPr>
            <w:r w:rsidRPr="00F955C6">
              <w:rPr>
                <w:rFonts w:cs="Arial"/>
                <w:sz w:val="18"/>
                <w:szCs w:val="18"/>
              </w:rPr>
              <w:t>7.9 to 11.5</w:t>
            </w:r>
          </w:p>
        </w:tc>
      </w:tr>
      <w:tr w:rsidR="000923BB" w:rsidRPr="00F955C6" w14:paraId="354E7041" w14:textId="77777777" w:rsidTr="003C12FD">
        <w:tc>
          <w:tcPr>
            <w:tcW w:w="2022" w:type="dxa"/>
          </w:tcPr>
          <w:p w14:paraId="5AB40053" w14:textId="77777777" w:rsidR="000923BB" w:rsidRPr="00F955C6" w:rsidRDefault="000923BB" w:rsidP="003A385F">
            <w:pPr>
              <w:rPr>
                <w:rFonts w:cs="Arial"/>
                <w:sz w:val="18"/>
                <w:szCs w:val="18"/>
              </w:rPr>
            </w:pPr>
            <w:r w:rsidRPr="00F955C6">
              <w:rPr>
                <w:rFonts w:cs="Arial"/>
                <w:sz w:val="18"/>
                <w:szCs w:val="18"/>
              </w:rPr>
              <w:t>Lower mortality group hospitals (N = 10)</w:t>
            </w:r>
          </w:p>
        </w:tc>
        <w:tc>
          <w:tcPr>
            <w:tcW w:w="2130" w:type="dxa"/>
          </w:tcPr>
          <w:p w14:paraId="467D5CB9" w14:textId="77777777" w:rsidR="000923BB" w:rsidRPr="00F955C6" w:rsidRDefault="000923BB" w:rsidP="003A385F">
            <w:pPr>
              <w:jc w:val="center"/>
              <w:rPr>
                <w:rFonts w:cs="Arial"/>
                <w:sz w:val="18"/>
                <w:szCs w:val="18"/>
              </w:rPr>
            </w:pPr>
            <w:r w:rsidRPr="00F955C6">
              <w:rPr>
                <w:rFonts w:cs="Arial"/>
                <w:sz w:val="18"/>
                <w:szCs w:val="18"/>
              </w:rPr>
              <w:t>10.2 (0.73)</w:t>
            </w:r>
          </w:p>
        </w:tc>
        <w:tc>
          <w:tcPr>
            <w:tcW w:w="2131" w:type="dxa"/>
          </w:tcPr>
          <w:p w14:paraId="525B069D" w14:textId="77777777" w:rsidR="000923BB" w:rsidRPr="00F955C6" w:rsidRDefault="000923BB" w:rsidP="003A385F">
            <w:pPr>
              <w:jc w:val="center"/>
              <w:rPr>
                <w:rFonts w:cs="Arial"/>
                <w:sz w:val="18"/>
                <w:szCs w:val="18"/>
              </w:rPr>
            </w:pPr>
            <w:r w:rsidRPr="00F955C6">
              <w:rPr>
                <w:rFonts w:cs="Arial"/>
                <w:sz w:val="18"/>
                <w:szCs w:val="18"/>
              </w:rPr>
              <w:t>10.7</w:t>
            </w:r>
          </w:p>
        </w:tc>
        <w:tc>
          <w:tcPr>
            <w:tcW w:w="1939" w:type="dxa"/>
          </w:tcPr>
          <w:p w14:paraId="091993F9" w14:textId="77777777" w:rsidR="000923BB" w:rsidRPr="00F955C6" w:rsidRDefault="000923BB" w:rsidP="003A385F">
            <w:pPr>
              <w:jc w:val="center"/>
              <w:rPr>
                <w:rFonts w:cs="Arial"/>
                <w:sz w:val="18"/>
                <w:szCs w:val="18"/>
              </w:rPr>
            </w:pPr>
            <w:r w:rsidRPr="00F955C6">
              <w:rPr>
                <w:rFonts w:cs="Arial"/>
                <w:sz w:val="18"/>
                <w:szCs w:val="18"/>
              </w:rPr>
              <w:t>8.4 to 11.1</w:t>
            </w:r>
          </w:p>
        </w:tc>
      </w:tr>
    </w:tbl>
    <w:p w14:paraId="1D353B51" w14:textId="77777777" w:rsidR="000923BB" w:rsidRDefault="000923BB" w:rsidP="000923BB">
      <w:pPr>
        <w:rPr>
          <w:rFonts w:cs="Arial"/>
          <w:sz w:val="22"/>
          <w:szCs w:val="22"/>
        </w:rPr>
      </w:pPr>
    </w:p>
    <w:p w14:paraId="1E3153C4" w14:textId="77777777" w:rsidR="000923BB" w:rsidRDefault="000923BB" w:rsidP="000923BB">
      <w:pPr>
        <w:rPr>
          <w:rFonts w:cs="Arial"/>
          <w:sz w:val="22"/>
          <w:szCs w:val="22"/>
        </w:rPr>
      </w:pPr>
      <w:r>
        <w:rPr>
          <w:rFonts w:cs="Arial"/>
          <w:sz w:val="22"/>
          <w:szCs w:val="22"/>
        </w:rPr>
        <w:t>There were no statistically significant differences in mean scores per mortality group</w:t>
      </w:r>
      <w:r w:rsidR="00617D2F">
        <w:rPr>
          <w:rFonts w:cs="Arial"/>
          <w:sz w:val="22"/>
          <w:szCs w:val="22"/>
        </w:rPr>
        <w:t xml:space="preserve"> </w:t>
      </w:r>
      <w:r>
        <w:rPr>
          <w:rFonts w:cs="Arial"/>
          <w:sz w:val="22"/>
          <w:szCs w:val="22"/>
        </w:rPr>
        <w:t xml:space="preserve"> (t = -0.21, p = 0.840).</w:t>
      </w:r>
    </w:p>
    <w:p w14:paraId="656748AA" w14:textId="77777777" w:rsidR="000923BB" w:rsidRDefault="000923BB" w:rsidP="000923BB">
      <w:pPr>
        <w:rPr>
          <w:rFonts w:cs="Arial"/>
          <w:sz w:val="22"/>
          <w:szCs w:val="22"/>
        </w:rPr>
      </w:pPr>
    </w:p>
    <w:p w14:paraId="465B8004" w14:textId="77777777" w:rsidR="000923BB" w:rsidRPr="00694519" w:rsidRDefault="000923BB" w:rsidP="000923BB">
      <w:pPr>
        <w:rPr>
          <w:rFonts w:cs="Arial"/>
          <w:b/>
          <w:sz w:val="20"/>
          <w:szCs w:val="20"/>
        </w:rPr>
      </w:pPr>
      <w:r w:rsidRPr="00694519">
        <w:rPr>
          <w:rFonts w:cs="Arial"/>
          <w:b/>
          <w:sz w:val="20"/>
          <w:szCs w:val="20"/>
        </w:rPr>
        <w:t>Table 14: Heart failure mean criterion based score (out of 11) by mortality group</w:t>
      </w:r>
    </w:p>
    <w:p w14:paraId="3F4B06A0" w14:textId="77777777" w:rsidR="000923BB" w:rsidRPr="00096843" w:rsidRDefault="000923BB" w:rsidP="000923BB">
      <w:pPr>
        <w:rPr>
          <w:rFonts w:cs="Arial"/>
          <w:b/>
          <w: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2"/>
        <w:gridCol w:w="2130"/>
        <w:gridCol w:w="2131"/>
        <w:gridCol w:w="1939"/>
      </w:tblGrid>
      <w:tr w:rsidR="000923BB" w:rsidRPr="00F955C6" w14:paraId="5F79731D" w14:textId="77777777" w:rsidTr="003C12FD">
        <w:tc>
          <w:tcPr>
            <w:tcW w:w="2022" w:type="dxa"/>
          </w:tcPr>
          <w:p w14:paraId="3C49F48D" w14:textId="77777777" w:rsidR="000923BB" w:rsidRPr="00F955C6" w:rsidRDefault="000923BB" w:rsidP="003A385F">
            <w:pPr>
              <w:rPr>
                <w:rFonts w:cs="Arial"/>
                <w:sz w:val="18"/>
                <w:szCs w:val="18"/>
              </w:rPr>
            </w:pPr>
          </w:p>
        </w:tc>
        <w:tc>
          <w:tcPr>
            <w:tcW w:w="2130" w:type="dxa"/>
          </w:tcPr>
          <w:p w14:paraId="7C37A98C" w14:textId="77777777" w:rsidR="000923BB" w:rsidRPr="00F955C6" w:rsidRDefault="000923BB" w:rsidP="003A385F">
            <w:pPr>
              <w:jc w:val="center"/>
              <w:rPr>
                <w:rFonts w:cs="Arial"/>
                <w:sz w:val="18"/>
                <w:szCs w:val="18"/>
              </w:rPr>
            </w:pPr>
            <w:r w:rsidRPr="00F955C6">
              <w:rPr>
                <w:rFonts w:cs="Arial"/>
                <w:sz w:val="18"/>
                <w:szCs w:val="18"/>
              </w:rPr>
              <w:t>Mean (SD)</w:t>
            </w:r>
          </w:p>
        </w:tc>
        <w:tc>
          <w:tcPr>
            <w:tcW w:w="2131" w:type="dxa"/>
          </w:tcPr>
          <w:p w14:paraId="7E706860" w14:textId="77777777" w:rsidR="000923BB" w:rsidRPr="00F955C6" w:rsidRDefault="000923BB" w:rsidP="003A385F">
            <w:pPr>
              <w:jc w:val="center"/>
              <w:rPr>
                <w:rFonts w:cs="Arial"/>
                <w:sz w:val="18"/>
                <w:szCs w:val="18"/>
              </w:rPr>
            </w:pPr>
            <w:r w:rsidRPr="00F955C6">
              <w:rPr>
                <w:rFonts w:cs="Arial"/>
                <w:sz w:val="18"/>
                <w:szCs w:val="18"/>
              </w:rPr>
              <w:t>Median</w:t>
            </w:r>
          </w:p>
        </w:tc>
        <w:tc>
          <w:tcPr>
            <w:tcW w:w="1939" w:type="dxa"/>
          </w:tcPr>
          <w:p w14:paraId="39612948" w14:textId="77777777" w:rsidR="000923BB" w:rsidRPr="00F955C6" w:rsidRDefault="000923BB" w:rsidP="003A385F">
            <w:pPr>
              <w:jc w:val="center"/>
              <w:rPr>
                <w:rFonts w:cs="Arial"/>
                <w:sz w:val="18"/>
                <w:szCs w:val="18"/>
              </w:rPr>
            </w:pPr>
            <w:r w:rsidRPr="00F955C6">
              <w:rPr>
                <w:rFonts w:cs="Arial"/>
                <w:sz w:val="18"/>
                <w:szCs w:val="18"/>
              </w:rPr>
              <w:t>Range</w:t>
            </w:r>
          </w:p>
        </w:tc>
      </w:tr>
      <w:tr w:rsidR="000923BB" w:rsidRPr="00F955C6" w14:paraId="4928BC66" w14:textId="77777777" w:rsidTr="003C12FD">
        <w:tc>
          <w:tcPr>
            <w:tcW w:w="2022" w:type="dxa"/>
          </w:tcPr>
          <w:p w14:paraId="51421612" w14:textId="77777777" w:rsidR="000923BB" w:rsidRPr="00F955C6" w:rsidRDefault="000923BB" w:rsidP="003A385F">
            <w:pPr>
              <w:rPr>
                <w:rFonts w:cs="Arial"/>
                <w:sz w:val="18"/>
                <w:szCs w:val="18"/>
              </w:rPr>
            </w:pPr>
            <w:r w:rsidRPr="00F955C6">
              <w:rPr>
                <w:rFonts w:cs="Arial"/>
                <w:sz w:val="18"/>
                <w:szCs w:val="18"/>
              </w:rPr>
              <w:t>Higher mortality group hospitals (N = 10)</w:t>
            </w:r>
          </w:p>
        </w:tc>
        <w:tc>
          <w:tcPr>
            <w:tcW w:w="2130" w:type="dxa"/>
          </w:tcPr>
          <w:p w14:paraId="6F559803" w14:textId="77777777" w:rsidR="000923BB" w:rsidRPr="00F955C6" w:rsidRDefault="000923BB" w:rsidP="003A385F">
            <w:pPr>
              <w:jc w:val="center"/>
              <w:rPr>
                <w:rFonts w:cs="Arial"/>
                <w:sz w:val="18"/>
                <w:szCs w:val="18"/>
              </w:rPr>
            </w:pPr>
            <w:r w:rsidRPr="00F955C6">
              <w:rPr>
                <w:rFonts w:cs="Arial"/>
                <w:sz w:val="18"/>
                <w:szCs w:val="18"/>
              </w:rPr>
              <w:t>7.8 (0.41)</w:t>
            </w:r>
          </w:p>
        </w:tc>
        <w:tc>
          <w:tcPr>
            <w:tcW w:w="2131" w:type="dxa"/>
          </w:tcPr>
          <w:p w14:paraId="41B5A55F" w14:textId="77777777" w:rsidR="000923BB" w:rsidRPr="00F955C6" w:rsidRDefault="000923BB" w:rsidP="003A385F">
            <w:pPr>
              <w:jc w:val="center"/>
              <w:rPr>
                <w:rFonts w:cs="Arial"/>
                <w:sz w:val="18"/>
                <w:szCs w:val="18"/>
              </w:rPr>
            </w:pPr>
            <w:r w:rsidRPr="00F955C6">
              <w:rPr>
                <w:rFonts w:cs="Arial"/>
                <w:sz w:val="18"/>
                <w:szCs w:val="18"/>
              </w:rPr>
              <w:t>7.9</w:t>
            </w:r>
          </w:p>
        </w:tc>
        <w:tc>
          <w:tcPr>
            <w:tcW w:w="1939" w:type="dxa"/>
          </w:tcPr>
          <w:p w14:paraId="70961822" w14:textId="77777777" w:rsidR="000923BB" w:rsidRPr="00F955C6" w:rsidRDefault="000923BB" w:rsidP="003A385F">
            <w:pPr>
              <w:jc w:val="center"/>
              <w:rPr>
                <w:rFonts w:cs="Arial"/>
                <w:sz w:val="18"/>
                <w:szCs w:val="18"/>
              </w:rPr>
            </w:pPr>
            <w:r w:rsidRPr="00F955C6">
              <w:rPr>
                <w:rFonts w:cs="Arial"/>
                <w:sz w:val="18"/>
                <w:szCs w:val="18"/>
              </w:rPr>
              <w:t>7.0 to 8.4</w:t>
            </w:r>
          </w:p>
        </w:tc>
      </w:tr>
      <w:tr w:rsidR="000923BB" w:rsidRPr="00F955C6" w14:paraId="599EB15F" w14:textId="77777777" w:rsidTr="003C12FD">
        <w:tc>
          <w:tcPr>
            <w:tcW w:w="2022" w:type="dxa"/>
          </w:tcPr>
          <w:p w14:paraId="3AD06C32" w14:textId="77777777" w:rsidR="000923BB" w:rsidRPr="00F955C6" w:rsidRDefault="000923BB" w:rsidP="003A385F">
            <w:pPr>
              <w:rPr>
                <w:rFonts w:cs="Arial"/>
                <w:sz w:val="18"/>
                <w:szCs w:val="18"/>
              </w:rPr>
            </w:pPr>
            <w:r w:rsidRPr="00F955C6">
              <w:rPr>
                <w:rFonts w:cs="Arial"/>
                <w:sz w:val="18"/>
                <w:szCs w:val="18"/>
              </w:rPr>
              <w:t>Lower mortality group hospitals (N = 10)</w:t>
            </w:r>
          </w:p>
        </w:tc>
        <w:tc>
          <w:tcPr>
            <w:tcW w:w="2130" w:type="dxa"/>
          </w:tcPr>
          <w:p w14:paraId="68D39D84" w14:textId="77777777" w:rsidR="000923BB" w:rsidRPr="00F955C6" w:rsidRDefault="000923BB" w:rsidP="003A385F">
            <w:pPr>
              <w:jc w:val="center"/>
              <w:rPr>
                <w:rFonts w:cs="Arial"/>
                <w:sz w:val="18"/>
                <w:szCs w:val="18"/>
              </w:rPr>
            </w:pPr>
            <w:r w:rsidRPr="00F955C6">
              <w:rPr>
                <w:rFonts w:cs="Arial"/>
                <w:sz w:val="18"/>
                <w:szCs w:val="18"/>
              </w:rPr>
              <w:t>8.0 (0.50)</w:t>
            </w:r>
          </w:p>
        </w:tc>
        <w:tc>
          <w:tcPr>
            <w:tcW w:w="2131" w:type="dxa"/>
          </w:tcPr>
          <w:p w14:paraId="194ECB9D" w14:textId="77777777" w:rsidR="000923BB" w:rsidRPr="00F955C6" w:rsidRDefault="000923BB" w:rsidP="003A385F">
            <w:pPr>
              <w:jc w:val="center"/>
              <w:rPr>
                <w:rFonts w:cs="Arial"/>
                <w:sz w:val="18"/>
                <w:szCs w:val="18"/>
              </w:rPr>
            </w:pPr>
            <w:r w:rsidRPr="00F955C6">
              <w:rPr>
                <w:rFonts w:cs="Arial"/>
                <w:sz w:val="18"/>
                <w:szCs w:val="18"/>
              </w:rPr>
              <w:t>7.9</w:t>
            </w:r>
          </w:p>
        </w:tc>
        <w:tc>
          <w:tcPr>
            <w:tcW w:w="1939" w:type="dxa"/>
          </w:tcPr>
          <w:p w14:paraId="7EE606C5" w14:textId="77777777" w:rsidR="000923BB" w:rsidRPr="00F955C6" w:rsidRDefault="000923BB" w:rsidP="003A385F">
            <w:pPr>
              <w:jc w:val="center"/>
              <w:rPr>
                <w:rFonts w:cs="Arial"/>
                <w:sz w:val="18"/>
                <w:szCs w:val="18"/>
              </w:rPr>
            </w:pPr>
            <w:r w:rsidRPr="00F955C6">
              <w:rPr>
                <w:rFonts w:cs="Arial"/>
                <w:sz w:val="18"/>
                <w:szCs w:val="18"/>
              </w:rPr>
              <w:t>7.5 to 9.3</w:t>
            </w:r>
          </w:p>
        </w:tc>
      </w:tr>
    </w:tbl>
    <w:p w14:paraId="38076274" w14:textId="77777777" w:rsidR="000923BB" w:rsidRDefault="000923BB" w:rsidP="000923BB">
      <w:pPr>
        <w:rPr>
          <w:rFonts w:cs="Arial"/>
          <w:sz w:val="22"/>
          <w:szCs w:val="22"/>
        </w:rPr>
      </w:pPr>
    </w:p>
    <w:p w14:paraId="0E58C6EC" w14:textId="77777777" w:rsidR="000923BB" w:rsidRDefault="000923BB" w:rsidP="000923BB">
      <w:pPr>
        <w:rPr>
          <w:rFonts w:cs="Arial"/>
          <w:b/>
          <w:i/>
          <w:sz w:val="22"/>
          <w:szCs w:val="22"/>
        </w:rPr>
      </w:pPr>
      <w:r>
        <w:rPr>
          <w:rFonts w:cs="Arial"/>
          <w:sz w:val="22"/>
          <w:szCs w:val="22"/>
        </w:rPr>
        <w:t>There were no statistically significant differences in mean scores per mortality group</w:t>
      </w:r>
      <w:r w:rsidR="00617D2F">
        <w:rPr>
          <w:rFonts w:cs="Arial"/>
          <w:sz w:val="22"/>
          <w:szCs w:val="22"/>
        </w:rPr>
        <w:t xml:space="preserve"> </w:t>
      </w:r>
      <w:r>
        <w:rPr>
          <w:rFonts w:cs="Arial"/>
          <w:sz w:val="22"/>
          <w:szCs w:val="22"/>
        </w:rPr>
        <w:t xml:space="preserve"> (t = -0.83, p = 0.417).</w:t>
      </w:r>
    </w:p>
    <w:p w14:paraId="7ED409D9" w14:textId="77777777" w:rsidR="000923BB" w:rsidRDefault="000923BB" w:rsidP="000923BB">
      <w:pPr>
        <w:rPr>
          <w:rFonts w:cs="Arial"/>
          <w:b/>
          <w:i/>
          <w:sz w:val="22"/>
          <w:szCs w:val="22"/>
        </w:rPr>
      </w:pPr>
    </w:p>
    <w:p w14:paraId="278AB9ED" w14:textId="77777777" w:rsidR="00617D2F" w:rsidRDefault="00617D2F" w:rsidP="000923BB">
      <w:pPr>
        <w:rPr>
          <w:rFonts w:cs="Arial"/>
          <w:b/>
          <w:i/>
          <w:sz w:val="22"/>
          <w:szCs w:val="22"/>
        </w:rPr>
      </w:pPr>
    </w:p>
    <w:p w14:paraId="100B88C0" w14:textId="77777777" w:rsidR="00617D2F" w:rsidRDefault="00617D2F" w:rsidP="000923BB">
      <w:pPr>
        <w:rPr>
          <w:rFonts w:cs="Arial"/>
          <w:b/>
          <w:i/>
          <w:sz w:val="22"/>
          <w:szCs w:val="22"/>
        </w:rPr>
      </w:pPr>
    </w:p>
    <w:p w14:paraId="2589E473" w14:textId="77777777" w:rsidR="00617D2F" w:rsidRDefault="00617D2F" w:rsidP="000923BB">
      <w:pPr>
        <w:rPr>
          <w:rFonts w:cs="Arial"/>
          <w:b/>
          <w:i/>
          <w:sz w:val="22"/>
          <w:szCs w:val="22"/>
        </w:rPr>
      </w:pPr>
    </w:p>
    <w:p w14:paraId="360DDA2F" w14:textId="77777777" w:rsidR="00617D2F" w:rsidRDefault="00617D2F" w:rsidP="000923BB">
      <w:pPr>
        <w:rPr>
          <w:rFonts w:cs="Arial"/>
          <w:b/>
          <w:i/>
          <w:sz w:val="22"/>
          <w:szCs w:val="22"/>
        </w:rPr>
      </w:pPr>
    </w:p>
    <w:p w14:paraId="4C77FEB6" w14:textId="77777777" w:rsidR="000923BB" w:rsidRPr="00BB2CAF" w:rsidRDefault="000923BB" w:rsidP="000923BB">
      <w:pPr>
        <w:rPr>
          <w:rFonts w:cs="Arial"/>
          <w:b/>
          <w:i/>
          <w:sz w:val="22"/>
          <w:szCs w:val="22"/>
        </w:rPr>
      </w:pPr>
      <w:r w:rsidRPr="00BB2CAF">
        <w:rPr>
          <w:rFonts w:cs="Arial"/>
          <w:b/>
          <w:i/>
          <w:sz w:val="22"/>
          <w:szCs w:val="22"/>
        </w:rPr>
        <w:lastRenderedPageBreak/>
        <w:t xml:space="preserve">Correlations between criterion based scores and </w:t>
      </w:r>
      <w:r>
        <w:rPr>
          <w:rFonts w:cs="Arial"/>
          <w:b/>
          <w:i/>
          <w:sz w:val="22"/>
          <w:szCs w:val="22"/>
        </w:rPr>
        <w:t>outcome variables</w:t>
      </w:r>
    </w:p>
    <w:p w14:paraId="32736A74" w14:textId="77777777" w:rsidR="000923BB" w:rsidRDefault="000923BB" w:rsidP="000923BB">
      <w:pPr>
        <w:rPr>
          <w:rFonts w:cs="Arial"/>
          <w:sz w:val="22"/>
          <w:szCs w:val="22"/>
        </w:rPr>
      </w:pPr>
    </w:p>
    <w:p w14:paraId="10C7B1EB" w14:textId="77777777" w:rsidR="000923BB" w:rsidRDefault="000923BB" w:rsidP="000923BB">
      <w:pPr>
        <w:jc w:val="both"/>
        <w:rPr>
          <w:rFonts w:cs="Arial"/>
          <w:sz w:val="22"/>
        </w:rPr>
      </w:pPr>
      <w:r>
        <w:rPr>
          <w:rFonts w:cs="Arial"/>
          <w:sz w:val="22"/>
        </w:rPr>
        <w:t xml:space="preserve">Correlations at the moderate to very strong level are shown in tables 15 &amp; 16, with accompanying scatter plots.  The results of all correlations are presented in Appendices 11 and 12. </w:t>
      </w:r>
    </w:p>
    <w:p w14:paraId="58014CAD" w14:textId="77777777" w:rsidR="000923BB" w:rsidRDefault="000923BB" w:rsidP="000923BB">
      <w:pPr>
        <w:jc w:val="both"/>
        <w:rPr>
          <w:rFonts w:cs="Arial"/>
          <w:sz w:val="22"/>
          <w:szCs w:val="22"/>
        </w:rPr>
      </w:pPr>
      <w:r>
        <w:rPr>
          <w:rFonts w:cs="Arial"/>
          <w:sz w:val="22"/>
          <w:szCs w:val="22"/>
        </w:rPr>
        <w:t xml:space="preserve"> </w:t>
      </w:r>
    </w:p>
    <w:p w14:paraId="44E76D8D" w14:textId="77777777" w:rsidR="000923BB" w:rsidRDefault="000923BB" w:rsidP="000923BB">
      <w:pPr>
        <w:jc w:val="both"/>
        <w:rPr>
          <w:rFonts w:cs="Arial"/>
          <w:i/>
          <w:sz w:val="22"/>
          <w:szCs w:val="22"/>
        </w:rPr>
      </w:pPr>
      <w:r w:rsidRPr="001528AF">
        <w:rPr>
          <w:rFonts w:cs="Arial"/>
          <w:i/>
          <w:sz w:val="22"/>
          <w:szCs w:val="22"/>
        </w:rPr>
        <w:t>COPD mean criterion score</w:t>
      </w:r>
      <w:r>
        <w:rPr>
          <w:rFonts w:cs="Arial"/>
          <w:i/>
          <w:sz w:val="22"/>
          <w:szCs w:val="22"/>
        </w:rPr>
        <w:t xml:space="preserve"> (out of 13)</w:t>
      </w:r>
    </w:p>
    <w:p w14:paraId="7D6298DB" w14:textId="77777777" w:rsidR="000923BB" w:rsidRPr="001528AF" w:rsidRDefault="000923BB" w:rsidP="000923BB">
      <w:pPr>
        <w:jc w:val="both"/>
        <w:rPr>
          <w:rFonts w:cs="Arial"/>
          <w:i/>
          <w:sz w:val="22"/>
          <w:szCs w:val="22"/>
        </w:rPr>
      </w:pPr>
    </w:p>
    <w:p w14:paraId="4A8EF335" w14:textId="77777777" w:rsidR="000923BB" w:rsidRPr="00EF373A" w:rsidRDefault="000923BB" w:rsidP="000923BB">
      <w:pPr>
        <w:jc w:val="both"/>
        <w:rPr>
          <w:rFonts w:cs="Arial"/>
          <w:sz w:val="22"/>
          <w:szCs w:val="22"/>
        </w:rPr>
      </w:pPr>
      <w:r w:rsidRPr="00EF373A">
        <w:rPr>
          <w:rFonts w:cs="Arial"/>
          <w:sz w:val="22"/>
          <w:szCs w:val="22"/>
        </w:rPr>
        <w:t xml:space="preserve">Two variables were significantly correlated with COPD mean </w:t>
      </w:r>
      <w:r>
        <w:rPr>
          <w:rFonts w:cs="Arial"/>
          <w:sz w:val="22"/>
          <w:szCs w:val="22"/>
        </w:rPr>
        <w:t>criteria</w:t>
      </w:r>
      <w:r w:rsidRPr="00EF373A">
        <w:rPr>
          <w:rFonts w:cs="Arial"/>
          <w:sz w:val="22"/>
          <w:szCs w:val="22"/>
        </w:rPr>
        <w:t xml:space="preserve"> score: incidents</w:t>
      </w:r>
      <w:r>
        <w:rPr>
          <w:rFonts w:cs="Arial"/>
          <w:sz w:val="22"/>
          <w:szCs w:val="22"/>
        </w:rPr>
        <w:t xml:space="preserve"> reported </w:t>
      </w:r>
      <w:r w:rsidRPr="00EF373A">
        <w:rPr>
          <w:rFonts w:cs="Arial"/>
          <w:sz w:val="22"/>
          <w:szCs w:val="22"/>
        </w:rPr>
        <w:t xml:space="preserve">to </w:t>
      </w:r>
      <w:r>
        <w:rPr>
          <w:rFonts w:cs="Arial"/>
          <w:sz w:val="22"/>
          <w:szCs w:val="22"/>
        </w:rPr>
        <w:t xml:space="preserve">the </w:t>
      </w:r>
      <w:r w:rsidRPr="00EF373A">
        <w:rPr>
          <w:rFonts w:cs="Arial"/>
          <w:sz w:val="22"/>
          <w:szCs w:val="22"/>
        </w:rPr>
        <w:t xml:space="preserve">NPSA per 100 bed days and NHS staff survey question 22f </w:t>
      </w:r>
      <w:r>
        <w:rPr>
          <w:rFonts w:cs="Arial"/>
          <w:sz w:val="22"/>
          <w:szCs w:val="22"/>
        </w:rPr>
        <w:t>(</w:t>
      </w:r>
      <w:r w:rsidRPr="00EF373A">
        <w:rPr>
          <w:rFonts w:cs="Arial"/>
          <w:sz w:val="22"/>
          <w:szCs w:val="22"/>
        </w:rPr>
        <w:t>happy with standard of care</w:t>
      </w:r>
      <w:r>
        <w:rPr>
          <w:rFonts w:cs="Arial"/>
          <w:sz w:val="22"/>
          <w:szCs w:val="22"/>
        </w:rPr>
        <w:t xml:space="preserve"> provided) (Table 15)</w:t>
      </w:r>
      <w:r w:rsidRPr="00EF373A">
        <w:rPr>
          <w:rFonts w:cs="Arial"/>
          <w:sz w:val="22"/>
          <w:szCs w:val="22"/>
        </w:rPr>
        <w:t xml:space="preserve">. A moderate negative correlation was observed with NPSA bed days, as the number of incidents per 100 bed days decreased the mean </w:t>
      </w:r>
      <w:r>
        <w:rPr>
          <w:rFonts w:cs="Arial"/>
          <w:sz w:val="22"/>
          <w:szCs w:val="22"/>
        </w:rPr>
        <w:t>criteria</w:t>
      </w:r>
      <w:r w:rsidRPr="00EF373A">
        <w:rPr>
          <w:rFonts w:cs="Arial"/>
          <w:sz w:val="22"/>
          <w:szCs w:val="22"/>
        </w:rPr>
        <w:t xml:space="preserve"> score increased</w:t>
      </w:r>
      <w:r>
        <w:rPr>
          <w:rFonts w:cs="Arial"/>
          <w:sz w:val="22"/>
          <w:szCs w:val="22"/>
        </w:rPr>
        <w:t xml:space="preserve"> (Figure 16)</w:t>
      </w:r>
      <w:r w:rsidRPr="00EF373A">
        <w:rPr>
          <w:rFonts w:cs="Arial"/>
          <w:sz w:val="22"/>
          <w:szCs w:val="22"/>
        </w:rPr>
        <w:t xml:space="preserve">. </w:t>
      </w:r>
      <w:r>
        <w:rPr>
          <w:rFonts w:cs="Arial"/>
          <w:sz w:val="22"/>
          <w:szCs w:val="22"/>
        </w:rPr>
        <w:t xml:space="preserve">Again this is an unexpected direction for the correlation, since increased reporting is a positive safety culture marker. </w:t>
      </w:r>
      <w:r w:rsidRPr="00EF373A">
        <w:rPr>
          <w:rFonts w:cs="Arial"/>
          <w:sz w:val="22"/>
          <w:szCs w:val="22"/>
        </w:rPr>
        <w:t>A moderate positive correlation was observed with NHS staff survey 22f (mean score), where the higher the score the happier the staff with their standard of care, thus as the mean response to 22f increased, mean COPD score increased</w:t>
      </w:r>
      <w:r>
        <w:rPr>
          <w:rFonts w:cs="Arial"/>
          <w:sz w:val="22"/>
          <w:szCs w:val="22"/>
        </w:rPr>
        <w:t xml:space="preserve"> (Figure 17)</w:t>
      </w:r>
      <w:r w:rsidRPr="00EF373A">
        <w:rPr>
          <w:rFonts w:cs="Arial"/>
          <w:sz w:val="22"/>
          <w:szCs w:val="22"/>
        </w:rPr>
        <w:t>.</w:t>
      </w:r>
    </w:p>
    <w:p w14:paraId="69151696" w14:textId="77777777" w:rsidR="000923BB" w:rsidRPr="00694519" w:rsidRDefault="000923BB" w:rsidP="000923BB">
      <w:pPr>
        <w:rPr>
          <w:rFonts w:cs="Arial"/>
          <w:b/>
          <w:sz w:val="20"/>
          <w:szCs w:val="20"/>
        </w:rPr>
      </w:pPr>
      <w:r w:rsidRPr="00694519">
        <w:rPr>
          <w:rFonts w:cs="Arial"/>
          <w:b/>
          <w:sz w:val="20"/>
          <w:szCs w:val="20"/>
        </w:rPr>
        <w:t>Table 15: Correlations between COPD mean criterion score and outcome variables</w:t>
      </w:r>
    </w:p>
    <w:p w14:paraId="69106CA1" w14:textId="77777777" w:rsidR="000923BB" w:rsidRPr="001636C7" w:rsidRDefault="000923BB" w:rsidP="000923BB">
      <w:pPr>
        <w:rPr>
          <w:rFonts w:cs="Arial"/>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1238"/>
        <w:gridCol w:w="838"/>
        <w:gridCol w:w="1368"/>
      </w:tblGrid>
      <w:tr w:rsidR="000923BB" w:rsidRPr="00F955C6" w14:paraId="6CEA55DB" w14:textId="77777777" w:rsidTr="00617D2F">
        <w:tc>
          <w:tcPr>
            <w:tcW w:w="3686" w:type="dxa"/>
          </w:tcPr>
          <w:p w14:paraId="36244B29" w14:textId="77777777" w:rsidR="000923BB" w:rsidRPr="00F955C6" w:rsidRDefault="000923BB" w:rsidP="003A385F">
            <w:pPr>
              <w:rPr>
                <w:rFonts w:cs="Arial"/>
                <w:sz w:val="18"/>
                <w:szCs w:val="18"/>
              </w:rPr>
            </w:pPr>
            <w:r w:rsidRPr="00F955C6">
              <w:rPr>
                <w:rFonts w:cs="Arial"/>
                <w:sz w:val="18"/>
                <w:szCs w:val="18"/>
              </w:rPr>
              <w:t>Variable</w:t>
            </w:r>
          </w:p>
        </w:tc>
        <w:tc>
          <w:tcPr>
            <w:tcW w:w="1238" w:type="dxa"/>
          </w:tcPr>
          <w:p w14:paraId="2964223D" w14:textId="77777777" w:rsidR="000923BB" w:rsidRPr="00F955C6" w:rsidRDefault="000923BB" w:rsidP="003A385F">
            <w:pPr>
              <w:jc w:val="center"/>
              <w:rPr>
                <w:rFonts w:cs="Arial"/>
                <w:sz w:val="18"/>
                <w:szCs w:val="18"/>
              </w:rPr>
            </w:pPr>
            <w:r w:rsidRPr="00F955C6">
              <w:rPr>
                <w:rFonts w:cs="Arial"/>
                <w:sz w:val="18"/>
                <w:szCs w:val="18"/>
              </w:rPr>
              <w:t>Correlation coefficient</w:t>
            </w:r>
          </w:p>
        </w:tc>
        <w:tc>
          <w:tcPr>
            <w:tcW w:w="838" w:type="dxa"/>
          </w:tcPr>
          <w:p w14:paraId="0182366F" w14:textId="77777777" w:rsidR="000923BB" w:rsidRPr="00F955C6" w:rsidRDefault="000923BB" w:rsidP="003A385F">
            <w:pPr>
              <w:jc w:val="center"/>
              <w:rPr>
                <w:rFonts w:cs="Arial"/>
                <w:sz w:val="18"/>
                <w:szCs w:val="18"/>
              </w:rPr>
            </w:pPr>
            <w:r w:rsidRPr="00F955C6">
              <w:rPr>
                <w:rFonts w:cs="Arial"/>
                <w:sz w:val="18"/>
                <w:szCs w:val="18"/>
              </w:rPr>
              <w:t>p-value</w:t>
            </w:r>
          </w:p>
        </w:tc>
        <w:tc>
          <w:tcPr>
            <w:tcW w:w="1368" w:type="dxa"/>
          </w:tcPr>
          <w:p w14:paraId="7B6F039B" w14:textId="77777777" w:rsidR="000923BB" w:rsidRPr="00F955C6" w:rsidRDefault="000923BB" w:rsidP="003A385F">
            <w:pPr>
              <w:jc w:val="center"/>
              <w:rPr>
                <w:rFonts w:cs="Arial"/>
                <w:sz w:val="18"/>
                <w:szCs w:val="18"/>
              </w:rPr>
            </w:pPr>
            <w:r w:rsidRPr="00F955C6">
              <w:rPr>
                <w:rFonts w:cs="Arial"/>
                <w:sz w:val="18"/>
                <w:szCs w:val="18"/>
              </w:rPr>
              <w:t>Relationship</w:t>
            </w:r>
          </w:p>
        </w:tc>
      </w:tr>
      <w:tr w:rsidR="000923BB" w:rsidRPr="00F955C6" w14:paraId="4C4FE825" w14:textId="77777777" w:rsidTr="00617D2F">
        <w:tc>
          <w:tcPr>
            <w:tcW w:w="3686" w:type="dxa"/>
          </w:tcPr>
          <w:p w14:paraId="74ECA45F" w14:textId="77777777" w:rsidR="000923BB" w:rsidRPr="00F955C6" w:rsidRDefault="000923BB" w:rsidP="003A385F">
            <w:pPr>
              <w:rPr>
                <w:rFonts w:cs="Arial"/>
                <w:sz w:val="18"/>
                <w:szCs w:val="18"/>
              </w:rPr>
            </w:pPr>
            <w:r w:rsidRPr="00F955C6">
              <w:rPr>
                <w:rFonts w:cs="Arial"/>
                <w:sz w:val="18"/>
                <w:szCs w:val="18"/>
              </w:rPr>
              <w:t>Incidents reported to NPSA per 100 bed days</w:t>
            </w:r>
          </w:p>
        </w:tc>
        <w:tc>
          <w:tcPr>
            <w:tcW w:w="1238" w:type="dxa"/>
          </w:tcPr>
          <w:p w14:paraId="356ACD6B" w14:textId="77777777" w:rsidR="000923BB" w:rsidRPr="00F955C6" w:rsidRDefault="000923BB" w:rsidP="003A385F">
            <w:pPr>
              <w:jc w:val="center"/>
              <w:rPr>
                <w:rFonts w:cs="Arial"/>
                <w:sz w:val="18"/>
                <w:szCs w:val="18"/>
              </w:rPr>
            </w:pPr>
            <w:r w:rsidRPr="00F955C6">
              <w:rPr>
                <w:rFonts w:cs="Arial"/>
                <w:sz w:val="18"/>
                <w:szCs w:val="18"/>
              </w:rPr>
              <w:t>-0.489</w:t>
            </w:r>
          </w:p>
        </w:tc>
        <w:tc>
          <w:tcPr>
            <w:tcW w:w="838" w:type="dxa"/>
          </w:tcPr>
          <w:p w14:paraId="5D5753EB" w14:textId="77777777" w:rsidR="000923BB" w:rsidRPr="00F955C6" w:rsidRDefault="000923BB" w:rsidP="003A385F">
            <w:pPr>
              <w:jc w:val="center"/>
              <w:rPr>
                <w:rFonts w:cs="Arial"/>
                <w:sz w:val="18"/>
                <w:szCs w:val="18"/>
              </w:rPr>
            </w:pPr>
            <w:r w:rsidRPr="00F955C6">
              <w:rPr>
                <w:rFonts w:cs="Arial"/>
                <w:sz w:val="18"/>
                <w:szCs w:val="18"/>
              </w:rPr>
              <w:t>0.029</w:t>
            </w:r>
          </w:p>
        </w:tc>
        <w:tc>
          <w:tcPr>
            <w:tcW w:w="1368" w:type="dxa"/>
          </w:tcPr>
          <w:p w14:paraId="7A3B343C" w14:textId="77777777" w:rsidR="000923BB" w:rsidRPr="00F955C6" w:rsidRDefault="000923BB" w:rsidP="003A385F">
            <w:pPr>
              <w:jc w:val="center"/>
              <w:rPr>
                <w:rFonts w:cs="Arial"/>
                <w:sz w:val="18"/>
                <w:szCs w:val="18"/>
              </w:rPr>
            </w:pPr>
            <w:r w:rsidRPr="00F955C6">
              <w:rPr>
                <w:rFonts w:cs="Arial"/>
                <w:sz w:val="18"/>
                <w:szCs w:val="18"/>
              </w:rPr>
              <w:t xml:space="preserve">Moderate </w:t>
            </w:r>
          </w:p>
        </w:tc>
      </w:tr>
      <w:tr w:rsidR="000923BB" w:rsidRPr="00F955C6" w14:paraId="00AA74DB" w14:textId="77777777" w:rsidTr="00617D2F">
        <w:tc>
          <w:tcPr>
            <w:tcW w:w="3686" w:type="dxa"/>
          </w:tcPr>
          <w:p w14:paraId="3089A125" w14:textId="77777777" w:rsidR="000923BB" w:rsidRPr="00F955C6" w:rsidRDefault="000923BB" w:rsidP="003A385F">
            <w:pPr>
              <w:rPr>
                <w:rFonts w:cs="Arial"/>
                <w:sz w:val="18"/>
                <w:szCs w:val="18"/>
              </w:rPr>
            </w:pPr>
            <w:r w:rsidRPr="00F955C6">
              <w:rPr>
                <w:rFonts w:cs="Arial"/>
                <w:sz w:val="18"/>
                <w:szCs w:val="18"/>
              </w:rPr>
              <w:t>NHS staff survey Q22f: Happy with standard of care provided (mean)</w:t>
            </w:r>
          </w:p>
        </w:tc>
        <w:tc>
          <w:tcPr>
            <w:tcW w:w="1238" w:type="dxa"/>
          </w:tcPr>
          <w:p w14:paraId="2AF7C9C8" w14:textId="77777777" w:rsidR="000923BB" w:rsidRPr="00F955C6" w:rsidRDefault="000923BB" w:rsidP="003A385F">
            <w:pPr>
              <w:jc w:val="center"/>
              <w:rPr>
                <w:rFonts w:cs="Arial"/>
                <w:sz w:val="18"/>
                <w:szCs w:val="18"/>
              </w:rPr>
            </w:pPr>
            <w:r w:rsidRPr="00F955C6">
              <w:rPr>
                <w:rFonts w:cs="Arial"/>
                <w:sz w:val="18"/>
                <w:szCs w:val="18"/>
              </w:rPr>
              <w:t>0.475</w:t>
            </w:r>
          </w:p>
        </w:tc>
        <w:tc>
          <w:tcPr>
            <w:tcW w:w="838" w:type="dxa"/>
          </w:tcPr>
          <w:p w14:paraId="7F04C01D" w14:textId="77777777" w:rsidR="000923BB" w:rsidRPr="00F955C6" w:rsidRDefault="000923BB" w:rsidP="003A385F">
            <w:pPr>
              <w:jc w:val="center"/>
              <w:rPr>
                <w:rFonts w:cs="Arial"/>
                <w:sz w:val="18"/>
                <w:szCs w:val="18"/>
              </w:rPr>
            </w:pPr>
            <w:r w:rsidRPr="00F955C6">
              <w:rPr>
                <w:rFonts w:cs="Arial"/>
                <w:sz w:val="18"/>
                <w:szCs w:val="18"/>
              </w:rPr>
              <w:t>0.034</w:t>
            </w:r>
          </w:p>
        </w:tc>
        <w:tc>
          <w:tcPr>
            <w:tcW w:w="1368" w:type="dxa"/>
          </w:tcPr>
          <w:p w14:paraId="744B1D28" w14:textId="77777777" w:rsidR="000923BB" w:rsidRPr="00F955C6" w:rsidRDefault="000923BB" w:rsidP="003A385F">
            <w:pPr>
              <w:jc w:val="center"/>
              <w:rPr>
                <w:rFonts w:cs="Arial"/>
                <w:sz w:val="18"/>
                <w:szCs w:val="18"/>
              </w:rPr>
            </w:pPr>
            <w:r w:rsidRPr="00F955C6">
              <w:rPr>
                <w:rFonts w:cs="Arial"/>
                <w:sz w:val="18"/>
                <w:szCs w:val="18"/>
              </w:rPr>
              <w:t>Moderate</w:t>
            </w:r>
          </w:p>
        </w:tc>
      </w:tr>
    </w:tbl>
    <w:p w14:paraId="2651A9A3" w14:textId="77777777" w:rsidR="000923BB" w:rsidRDefault="000923BB" w:rsidP="000923BB">
      <w:pPr>
        <w:rPr>
          <w:rFonts w:cs="Arial"/>
          <w:b/>
          <w:sz w:val="22"/>
          <w:szCs w:val="22"/>
        </w:rPr>
      </w:pPr>
    </w:p>
    <w:p w14:paraId="25E58EE9" w14:textId="77777777" w:rsidR="00617D2F" w:rsidRDefault="00617D2F" w:rsidP="000923BB">
      <w:pPr>
        <w:rPr>
          <w:rFonts w:cs="Arial"/>
          <w:b/>
          <w:sz w:val="22"/>
          <w:szCs w:val="22"/>
        </w:rPr>
      </w:pPr>
    </w:p>
    <w:p w14:paraId="72A84490" w14:textId="77777777" w:rsidR="00617D2F" w:rsidRDefault="00617D2F" w:rsidP="000923BB">
      <w:pPr>
        <w:rPr>
          <w:rFonts w:cs="Arial"/>
          <w:b/>
          <w:sz w:val="22"/>
          <w:szCs w:val="22"/>
        </w:rPr>
      </w:pPr>
    </w:p>
    <w:p w14:paraId="3C5B4E8C" w14:textId="77777777" w:rsidR="00617D2F" w:rsidRDefault="00617D2F" w:rsidP="000923BB">
      <w:pPr>
        <w:rPr>
          <w:rFonts w:cs="Arial"/>
          <w:b/>
          <w:sz w:val="22"/>
          <w:szCs w:val="22"/>
        </w:rPr>
      </w:pPr>
    </w:p>
    <w:p w14:paraId="15E12741" w14:textId="77777777" w:rsidR="00617D2F" w:rsidRDefault="00617D2F" w:rsidP="000923BB">
      <w:pPr>
        <w:rPr>
          <w:rFonts w:cs="Arial"/>
          <w:b/>
          <w:sz w:val="22"/>
          <w:szCs w:val="22"/>
        </w:rPr>
      </w:pPr>
    </w:p>
    <w:p w14:paraId="79ABACA5" w14:textId="77777777" w:rsidR="00617D2F" w:rsidRDefault="00617D2F" w:rsidP="000923BB">
      <w:pPr>
        <w:rPr>
          <w:rFonts w:cs="Arial"/>
          <w:b/>
          <w:sz w:val="22"/>
          <w:szCs w:val="22"/>
        </w:rPr>
      </w:pPr>
    </w:p>
    <w:p w14:paraId="4A0B3372" w14:textId="77777777" w:rsidR="00617D2F" w:rsidRDefault="00617D2F" w:rsidP="000923BB">
      <w:pPr>
        <w:rPr>
          <w:rFonts w:cs="Arial"/>
          <w:b/>
          <w:sz w:val="22"/>
          <w:szCs w:val="22"/>
        </w:rPr>
      </w:pPr>
    </w:p>
    <w:p w14:paraId="2AC17FD8" w14:textId="77777777" w:rsidR="00617D2F" w:rsidRDefault="00617D2F" w:rsidP="000923BB">
      <w:pPr>
        <w:rPr>
          <w:rFonts w:cs="Arial"/>
          <w:b/>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3869"/>
      </w:tblGrid>
      <w:tr w:rsidR="000923BB" w:rsidRPr="00F955C6" w14:paraId="4EF4583C" w14:textId="77777777" w:rsidTr="003C12FD">
        <w:tc>
          <w:tcPr>
            <w:tcW w:w="3969" w:type="dxa"/>
          </w:tcPr>
          <w:p w14:paraId="5C525CBB" w14:textId="77777777" w:rsidR="000923BB" w:rsidRPr="00F955C6" w:rsidRDefault="000923BB" w:rsidP="003A385F">
            <w:pPr>
              <w:rPr>
                <w:rFonts w:cs="Arial"/>
                <w:b/>
                <w:sz w:val="18"/>
                <w:szCs w:val="18"/>
              </w:rPr>
            </w:pPr>
            <w:r w:rsidRPr="00F955C6">
              <w:rPr>
                <w:rFonts w:cs="Arial"/>
                <w:b/>
                <w:sz w:val="18"/>
                <w:szCs w:val="18"/>
              </w:rPr>
              <w:lastRenderedPageBreak/>
              <w:t>Figure 16.</w:t>
            </w:r>
          </w:p>
          <w:p w14:paraId="5EBC54EA" w14:textId="77777777" w:rsidR="000923BB" w:rsidRPr="00F955C6" w:rsidRDefault="000923BB" w:rsidP="003A385F">
            <w:pPr>
              <w:rPr>
                <w:rFonts w:cs="Arial"/>
                <w:b/>
                <w:sz w:val="22"/>
                <w:szCs w:val="22"/>
              </w:rPr>
            </w:pPr>
            <w:r w:rsidRPr="00F955C6">
              <w:rPr>
                <w:rFonts w:cs="Arial"/>
                <w:b/>
                <w:sz w:val="18"/>
                <w:szCs w:val="18"/>
              </w:rPr>
              <w:t>Scatter plot (with regression line) for COPD criterion score by incidents reported to NPSA per 100 bed days</w:t>
            </w:r>
          </w:p>
        </w:tc>
        <w:tc>
          <w:tcPr>
            <w:tcW w:w="3869" w:type="dxa"/>
          </w:tcPr>
          <w:p w14:paraId="7A126CD2" w14:textId="77777777" w:rsidR="000923BB" w:rsidRPr="00F955C6" w:rsidRDefault="000923BB" w:rsidP="003A385F">
            <w:pPr>
              <w:rPr>
                <w:rFonts w:cs="Arial"/>
                <w:b/>
                <w:sz w:val="18"/>
                <w:szCs w:val="18"/>
              </w:rPr>
            </w:pPr>
            <w:r w:rsidRPr="00F955C6">
              <w:rPr>
                <w:rFonts w:cs="Arial"/>
                <w:b/>
                <w:sz w:val="18"/>
                <w:szCs w:val="18"/>
              </w:rPr>
              <w:t>Figure 17.</w:t>
            </w:r>
          </w:p>
          <w:p w14:paraId="2FE5AFFF" w14:textId="77777777" w:rsidR="000923BB" w:rsidRPr="00F955C6" w:rsidRDefault="000923BB" w:rsidP="003A385F">
            <w:pPr>
              <w:rPr>
                <w:rFonts w:cs="Arial"/>
                <w:b/>
                <w:sz w:val="18"/>
                <w:szCs w:val="18"/>
              </w:rPr>
            </w:pPr>
            <w:r w:rsidRPr="00F955C6">
              <w:rPr>
                <w:rFonts w:cs="Arial"/>
                <w:b/>
                <w:sz w:val="18"/>
                <w:szCs w:val="18"/>
              </w:rPr>
              <w:t>Scatter plot (with regression line) for COPD algorithmic score by NHS staff survey Q22f: happy with standard of care provided (mean score)</w:t>
            </w:r>
          </w:p>
          <w:p w14:paraId="199D9F48" w14:textId="77777777" w:rsidR="000923BB" w:rsidRPr="00F955C6" w:rsidRDefault="000923BB" w:rsidP="003A385F">
            <w:pPr>
              <w:rPr>
                <w:rFonts w:cs="Arial"/>
                <w:b/>
                <w:sz w:val="22"/>
                <w:szCs w:val="22"/>
              </w:rPr>
            </w:pPr>
          </w:p>
        </w:tc>
      </w:tr>
      <w:tr w:rsidR="000923BB" w:rsidRPr="00F955C6" w14:paraId="1FDDBEA3" w14:textId="77777777" w:rsidTr="003C12FD">
        <w:tc>
          <w:tcPr>
            <w:tcW w:w="3969" w:type="dxa"/>
          </w:tcPr>
          <w:p w14:paraId="0EE9CFCA" w14:textId="77777777" w:rsidR="000923BB" w:rsidRPr="00F955C6" w:rsidRDefault="000923BB" w:rsidP="003A385F">
            <w:pPr>
              <w:rPr>
                <w:rFonts w:cs="Arial"/>
                <w:b/>
                <w:sz w:val="22"/>
                <w:szCs w:val="22"/>
              </w:rPr>
            </w:pPr>
            <w:r>
              <w:rPr>
                <w:rFonts w:cs="Arial"/>
                <w:noProof/>
                <w:sz w:val="14"/>
                <w:szCs w:val="14"/>
                <w:lang w:eastAsia="en-GB" w:bidi="ar-SA"/>
              </w:rPr>
              <w:drawing>
                <wp:inline distT="0" distB="0" distL="0" distR="0" wp14:anchorId="113138E4" wp14:editId="28604DAF">
                  <wp:extent cx="2210435" cy="221043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8" cstate="print"/>
                          <a:srcRect/>
                          <a:stretch>
                            <a:fillRect/>
                          </a:stretch>
                        </pic:blipFill>
                        <pic:spPr bwMode="auto">
                          <a:xfrm>
                            <a:off x="0" y="0"/>
                            <a:ext cx="2210435" cy="2210435"/>
                          </a:xfrm>
                          <a:prstGeom prst="rect">
                            <a:avLst/>
                          </a:prstGeom>
                          <a:noFill/>
                          <a:ln w="9525">
                            <a:noFill/>
                            <a:miter lim="800000"/>
                            <a:headEnd/>
                            <a:tailEnd/>
                          </a:ln>
                        </pic:spPr>
                      </pic:pic>
                    </a:graphicData>
                  </a:graphic>
                </wp:inline>
              </w:drawing>
            </w:r>
          </w:p>
        </w:tc>
        <w:tc>
          <w:tcPr>
            <w:tcW w:w="3869" w:type="dxa"/>
          </w:tcPr>
          <w:p w14:paraId="3AD531A1" w14:textId="77777777" w:rsidR="000923BB" w:rsidRPr="00F955C6" w:rsidRDefault="000923BB" w:rsidP="003A385F">
            <w:pPr>
              <w:rPr>
                <w:rFonts w:cs="Arial"/>
                <w:b/>
                <w:sz w:val="22"/>
                <w:szCs w:val="22"/>
              </w:rPr>
            </w:pPr>
            <w:r>
              <w:rPr>
                <w:rFonts w:cs="Arial"/>
                <w:noProof/>
                <w:sz w:val="14"/>
                <w:szCs w:val="14"/>
                <w:lang w:eastAsia="en-GB" w:bidi="ar-SA"/>
              </w:rPr>
              <w:drawing>
                <wp:inline distT="0" distB="0" distL="0" distR="0" wp14:anchorId="1190F7A9" wp14:editId="0179D402">
                  <wp:extent cx="2242185" cy="2242185"/>
                  <wp:effectExtent l="1905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9" cstate="print"/>
                          <a:srcRect/>
                          <a:stretch>
                            <a:fillRect/>
                          </a:stretch>
                        </pic:blipFill>
                        <pic:spPr bwMode="auto">
                          <a:xfrm>
                            <a:off x="0" y="0"/>
                            <a:ext cx="2242185" cy="2242185"/>
                          </a:xfrm>
                          <a:prstGeom prst="rect">
                            <a:avLst/>
                          </a:prstGeom>
                          <a:noFill/>
                          <a:ln w="9525">
                            <a:noFill/>
                            <a:miter lim="800000"/>
                            <a:headEnd/>
                            <a:tailEnd/>
                          </a:ln>
                        </pic:spPr>
                      </pic:pic>
                    </a:graphicData>
                  </a:graphic>
                </wp:inline>
              </w:drawing>
            </w:r>
          </w:p>
        </w:tc>
      </w:tr>
    </w:tbl>
    <w:p w14:paraId="18E74231" w14:textId="77777777" w:rsidR="000923BB" w:rsidRDefault="000923BB" w:rsidP="000923BB">
      <w:pPr>
        <w:rPr>
          <w:rFonts w:cs="Arial"/>
          <w:b/>
          <w:sz w:val="22"/>
          <w:szCs w:val="22"/>
        </w:rPr>
      </w:pPr>
    </w:p>
    <w:p w14:paraId="7AE31682" w14:textId="77777777" w:rsidR="000923BB" w:rsidRDefault="000923BB" w:rsidP="000923BB">
      <w:pPr>
        <w:rPr>
          <w:rFonts w:cs="Arial"/>
          <w:b/>
          <w:sz w:val="22"/>
          <w:szCs w:val="22"/>
        </w:rPr>
      </w:pPr>
    </w:p>
    <w:p w14:paraId="74E368B8" w14:textId="77777777" w:rsidR="000923BB" w:rsidRPr="001528AF" w:rsidRDefault="000923BB" w:rsidP="000923BB">
      <w:pPr>
        <w:jc w:val="both"/>
        <w:rPr>
          <w:rFonts w:cs="Arial"/>
          <w:i/>
          <w:sz w:val="22"/>
          <w:szCs w:val="22"/>
        </w:rPr>
      </w:pPr>
      <w:r w:rsidRPr="001528AF">
        <w:rPr>
          <w:rFonts w:cs="Arial"/>
          <w:i/>
          <w:sz w:val="22"/>
          <w:szCs w:val="22"/>
        </w:rPr>
        <w:t xml:space="preserve">Heart failure mean </w:t>
      </w:r>
      <w:r>
        <w:rPr>
          <w:rFonts w:cs="Arial"/>
          <w:i/>
          <w:sz w:val="22"/>
          <w:szCs w:val="22"/>
        </w:rPr>
        <w:t>criteria</w:t>
      </w:r>
      <w:r w:rsidRPr="001528AF">
        <w:rPr>
          <w:rFonts w:cs="Arial"/>
          <w:i/>
          <w:sz w:val="22"/>
          <w:szCs w:val="22"/>
        </w:rPr>
        <w:t xml:space="preserve"> score (out of 11)</w:t>
      </w:r>
    </w:p>
    <w:p w14:paraId="53353F79" w14:textId="77777777" w:rsidR="000923BB" w:rsidRPr="001528AF" w:rsidRDefault="000923BB" w:rsidP="000923BB">
      <w:pPr>
        <w:jc w:val="both"/>
        <w:rPr>
          <w:rFonts w:cs="Arial"/>
          <w:sz w:val="22"/>
          <w:szCs w:val="22"/>
        </w:rPr>
      </w:pPr>
    </w:p>
    <w:p w14:paraId="3CD0DCB3" w14:textId="77777777" w:rsidR="000923BB" w:rsidRDefault="000923BB" w:rsidP="000923BB">
      <w:pPr>
        <w:jc w:val="both"/>
        <w:rPr>
          <w:rFonts w:cs="Arial"/>
          <w:sz w:val="22"/>
          <w:szCs w:val="22"/>
        </w:rPr>
      </w:pPr>
      <w:r w:rsidRPr="001528AF">
        <w:rPr>
          <w:rFonts w:cs="Arial"/>
          <w:sz w:val="22"/>
          <w:szCs w:val="22"/>
        </w:rPr>
        <w:t>Two variables were</w:t>
      </w:r>
      <w:r>
        <w:rPr>
          <w:rFonts w:cs="Arial"/>
          <w:sz w:val="22"/>
          <w:szCs w:val="22"/>
        </w:rPr>
        <w:t xml:space="preserve"> significantly correlated with heart failure</w:t>
      </w:r>
      <w:r w:rsidRPr="001528AF">
        <w:rPr>
          <w:rFonts w:cs="Arial"/>
          <w:sz w:val="22"/>
          <w:szCs w:val="22"/>
        </w:rPr>
        <w:t xml:space="preserve"> mean c</w:t>
      </w:r>
      <w:r>
        <w:rPr>
          <w:rFonts w:cs="Arial"/>
          <w:sz w:val="22"/>
          <w:szCs w:val="22"/>
        </w:rPr>
        <w:t>riteria</w:t>
      </w:r>
      <w:r w:rsidRPr="001528AF">
        <w:rPr>
          <w:rFonts w:cs="Arial"/>
          <w:sz w:val="22"/>
          <w:szCs w:val="22"/>
        </w:rPr>
        <w:t xml:space="preserve"> score: incidents </w:t>
      </w:r>
      <w:r>
        <w:rPr>
          <w:rFonts w:cs="Arial"/>
          <w:sz w:val="22"/>
          <w:szCs w:val="22"/>
        </w:rPr>
        <w:t xml:space="preserve">reported </w:t>
      </w:r>
      <w:r w:rsidRPr="001528AF">
        <w:rPr>
          <w:rFonts w:cs="Arial"/>
          <w:sz w:val="22"/>
          <w:szCs w:val="22"/>
        </w:rPr>
        <w:t xml:space="preserve">to </w:t>
      </w:r>
      <w:r>
        <w:rPr>
          <w:rFonts w:cs="Arial"/>
          <w:sz w:val="22"/>
          <w:szCs w:val="22"/>
        </w:rPr>
        <w:t xml:space="preserve">the </w:t>
      </w:r>
      <w:r w:rsidRPr="001528AF">
        <w:rPr>
          <w:rFonts w:cs="Arial"/>
          <w:sz w:val="22"/>
          <w:szCs w:val="22"/>
        </w:rPr>
        <w:t>NPSA per 100 bed days and NHS staff survey 24b</w:t>
      </w:r>
      <w:r>
        <w:rPr>
          <w:rFonts w:cs="Arial"/>
          <w:sz w:val="22"/>
          <w:szCs w:val="22"/>
        </w:rPr>
        <w:t xml:space="preserve"> (knowing the </w:t>
      </w:r>
      <w:r w:rsidRPr="001528AF">
        <w:rPr>
          <w:rFonts w:cs="Arial"/>
          <w:sz w:val="22"/>
          <w:szCs w:val="22"/>
        </w:rPr>
        <w:t>system for reporting errors</w:t>
      </w:r>
      <w:r>
        <w:rPr>
          <w:rFonts w:cs="Arial"/>
          <w:sz w:val="22"/>
          <w:szCs w:val="22"/>
        </w:rPr>
        <w:t>) (Table 16)</w:t>
      </w:r>
      <w:r w:rsidRPr="001528AF">
        <w:rPr>
          <w:rFonts w:cs="Arial"/>
          <w:sz w:val="22"/>
          <w:szCs w:val="22"/>
        </w:rPr>
        <w:t xml:space="preserve">. In a reversal of results from </w:t>
      </w:r>
      <w:r>
        <w:rPr>
          <w:rFonts w:cs="Arial"/>
          <w:sz w:val="22"/>
          <w:szCs w:val="22"/>
        </w:rPr>
        <w:t>the COPD criterion analysis</w:t>
      </w:r>
      <w:r w:rsidRPr="001528AF">
        <w:rPr>
          <w:rFonts w:cs="Arial"/>
          <w:sz w:val="22"/>
          <w:szCs w:val="22"/>
        </w:rPr>
        <w:t xml:space="preserve"> there was a significant positive correlation between incidents </w:t>
      </w:r>
      <w:r>
        <w:rPr>
          <w:rFonts w:cs="Arial"/>
          <w:sz w:val="22"/>
          <w:szCs w:val="22"/>
        </w:rPr>
        <w:t xml:space="preserve">reported </w:t>
      </w:r>
      <w:r w:rsidRPr="001528AF">
        <w:rPr>
          <w:rFonts w:cs="Arial"/>
          <w:sz w:val="22"/>
          <w:szCs w:val="22"/>
        </w:rPr>
        <w:t xml:space="preserve">to </w:t>
      </w:r>
      <w:r>
        <w:rPr>
          <w:rFonts w:cs="Arial"/>
          <w:sz w:val="22"/>
          <w:szCs w:val="22"/>
        </w:rPr>
        <w:t xml:space="preserve">the </w:t>
      </w:r>
      <w:r w:rsidRPr="001528AF">
        <w:rPr>
          <w:rFonts w:cs="Arial"/>
          <w:sz w:val="22"/>
          <w:szCs w:val="22"/>
        </w:rPr>
        <w:t xml:space="preserve">NPSA and </w:t>
      </w:r>
      <w:r>
        <w:rPr>
          <w:rFonts w:cs="Arial"/>
          <w:sz w:val="22"/>
          <w:szCs w:val="22"/>
        </w:rPr>
        <w:t>heart failure</w:t>
      </w:r>
      <w:r w:rsidRPr="001528AF">
        <w:rPr>
          <w:rFonts w:cs="Arial"/>
          <w:sz w:val="22"/>
          <w:szCs w:val="22"/>
        </w:rPr>
        <w:t xml:space="preserve"> mean score, as the number o</w:t>
      </w:r>
      <w:r>
        <w:rPr>
          <w:rFonts w:cs="Arial"/>
          <w:sz w:val="22"/>
          <w:szCs w:val="22"/>
        </w:rPr>
        <w:t>f incidents increased the mean heart failure</w:t>
      </w:r>
      <w:r w:rsidRPr="001528AF">
        <w:rPr>
          <w:rFonts w:cs="Arial"/>
          <w:sz w:val="22"/>
          <w:szCs w:val="22"/>
        </w:rPr>
        <w:t xml:space="preserve"> score increased</w:t>
      </w:r>
      <w:r>
        <w:rPr>
          <w:rFonts w:cs="Arial"/>
          <w:sz w:val="22"/>
          <w:szCs w:val="22"/>
        </w:rPr>
        <w:t xml:space="preserve"> (Figure 18)</w:t>
      </w:r>
      <w:r w:rsidRPr="001528AF">
        <w:rPr>
          <w:rFonts w:cs="Arial"/>
          <w:sz w:val="22"/>
          <w:szCs w:val="22"/>
        </w:rPr>
        <w:t xml:space="preserve">. There was also a strong positive correlation between the percentage of responders to the NHS staff </w:t>
      </w:r>
      <w:r w:rsidRPr="002E7C70">
        <w:rPr>
          <w:rFonts w:cs="Arial"/>
          <w:sz w:val="22"/>
          <w:szCs w:val="22"/>
        </w:rPr>
        <w:t>survey stating the</w:t>
      </w:r>
      <w:r>
        <w:rPr>
          <w:rFonts w:cs="Arial"/>
          <w:sz w:val="22"/>
          <w:szCs w:val="22"/>
        </w:rPr>
        <w:t xml:space="preserve">y did not know how to </w:t>
      </w:r>
      <w:r w:rsidRPr="002E7C70">
        <w:rPr>
          <w:rFonts w:cs="Arial"/>
          <w:sz w:val="22"/>
          <w:szCs w:val="22"/>
        </w:rPr>
        <w:t>reporting errors confidentiall</w:t>
      </w:r>
      <w:r>
        <w:rPr>
          <w:rFonts w:cs="Arial"/>
          <w:sz w:val="22"/>
          <w:szCs w:val="22"/>
        </w:rPr>
        <w:t xml:space="preserve">y </w:t>
      </w:r>
      <w:r w:rsidRPr="001528AF">
        <w:rPr>
          <w:rFonts w:cs="Arial"/>
          <w:sz w:val="22"/>
          <w:szCs w:val="22"/>
        </w:rPr>
        <w:t xml:space="preserve">and mean </w:t>
      </w:r>
      <w:r>
        <w:rPr>
          <w:rFonts w:cs="Arial"/>
          <w:sz w:val="22"/>
          <w:szCs w:val="22"/>
        </w:rPr>
        <w:t>heart failure</w:t>
      </w:r>
      <w:r w:rsidRPr="001528AF">
        <w:rPr>
          <w:rFonts w:cs="Arial"/>
          <w:sz w:val="22"/>
          <w:szCs w:val="22"/>
        </w:rPr>
        <w:t xml:space="preserve"> score</w:t>
      </w:r>
      <w:r>
        <w:rPr>
          <w:rFonts w:cs="Arial"/>
          <w:sz w:val="22"/>
          <w:szCs w:val="22"/>
        </w:rPr>
        <w:t>.  That is,</w:t>
      </w:r>
      <w:r w:rsidRPr="001528AF">
        <w:rPr>
          <w:rFonts w:cs="Arial"/>
          <w:sz w:val="22"/>
          <w:szCs w:val="22"/>
        </w:rPr>
        <w:t xml:space="preserve"> as mean </w:t>
      </w:r>
      <w:r>
        <w:rPr>
          <w:rFonts w:cs="Arial"/>
          <w:sz w:val="22"/>
          <w:szCs w:val="22"/>
        </w:rPr>
        <w:t>heart failure</w:t>
      </w:r>
      <w:r w:rsidRPr="001528AF">
        <w:rPr>
          <w:rFonts w:cs="Arial"/>
          <w:sz w:val="22"/>
          <w:szCs w:val="22"/>
        </w:rPr>
        <w:t xml:space="preserve"> score increased the percentage of responders reporting that </w:t>
      </w:r>
      <w:r>
        <w:rPr>
          <w:rFonts w:cs="Arial"/>
          <w:sz w:val="22"/>
          <w:szCs w:val="22"/>
        </w:rPr>
        <w:t>they did not know how to report concerns</w:t>
      </w:r>
      <w:r w:rsidRPr="001528AF">
        <w:rPr>
          <w:rFonts w:cs="Arial"/>
          <w:sz w:val="22"/>
          <w:szCs w:val="22"/>
        </w:rPr>
        <w:t xml:space="preserve"> also increased</w:t>
      </w:r>
      <w:r>
        <w:rPr>
          <w:rFonts w:cs="Arial"/>
          <w:sz w:val="22"/>
          <w:szCs w:val="22"/>
        </w:rPr>
        <w:t xml:space="preserve"> (Figure 19)</w:t>
      </w:r>
      <w:r w:rsidRPr="001528AF">
        <w:rPr>
          <w:rFonts w:cs="Arial"/>
          <w:sz w:val="22"/>
          <w:szCs w:val="22"/>
        </w:rPr>
        <w:t>.</w:t>
      </w:r>
    </w:p>
    <w:p w14:paraId="33AF8D67" w14:textId="77777777" w:rsidR="000923BB" w:rsidRDefault="000923BB" w:rsidP="000923BB">
      <w:pPr>
        <w:rPr>
          <w:rFonts w:cs="Arial"/>
          <w:b/>
          <w:sz w:val="22"/>
          <w:szCs w:val="22"/>
        </w:rPr>
      </w:pPr>
    </w:p>
    <w:p w14:paraId="70D0821B" w14:textId="77777777" w:rsidR="00617D2F" w:rsidRDefault="00617D2F" w:rsidP="000923BB">
      <w:pPr>
        <w:rPr>
          <w:rFonts w:cs="Arial"/>
          <w:b/>
          <w:sz w:val="20"/>
          <w:szCs w:val="20"/>
        </w:rPr>
      </w:pPr>
    </w:p>
    <w:p w14:paraId="0A1C2FE9" w14:textId="77777777" w:rsidR="00617D2F" w:rsidRDefault="00617D2F" w:rsidP="000923BB">
      <w:pPr>
        <w:rPr>
          <w:rFonts w:cs="Arial"/>
          <w:b/>
          <w:sz w:val="20"/>
          <w:szCs w:val="20"/>
        </w:rPr>
      </w:pPr>
    </w:p>
    <w:p w14:paraId="7666B8E9" w14:textId="77777777" w:rsidR="00617D2F" w:rsidRDefault="00617D2F" w:rsidP="000923BB">
      <w:pPr>
        <w:rPr>
          <w:rFonts w:cs="Arial"/>
          <w:b/>
          <w:sz w:val="20"/>
          <w:szCs w:val="20"/>
        </w:rPr>
      </w:pPr>
    </w:p>
    <w:p w14:paraId="5DD0B67B" w14:textId="77777777" w:rsidR="00617D2F" w:rsidRDefault="00617D2F" w:rsidP="000923BB">
      <w:pPr>
        <w:rPr>
          <w:rFonts w:cs="Arial"/>
          <w:b/>
          <w:sz w:val="20"/>
          <w:szCs w:val="20"/>
        </w:rPr>
      </w:pPr>
    </w:p>
    <w:p w14:paraId="2AF585FE" w14:textId="77777777" w:rsidR="00617D2F" w:rsidRDefault="00617D2F" w:rsidP="000923BB">
      <w:pPr>
        <w:rPr>
          <w:rFonts w:cs="Arial"/>
          <w:b/>
          <w:sz w:val="20"/>
          <w:szCs w:val="20"/>
        </w:rPr>
      </w:pPr>
    </w:p>
    <w:p w14:paraId="28223E09" w14:textId="77777777" w:rsidR="000923BB" w:rsidRPr="00694519" w:rsidRDefault="000923BB" w:rsidP="000923BB">
      <w:pPr>
        <w:rPr>
          <w:rFonts w:cs="Arial"/>
          <w:b/>
          <w:sz w:val="20"/>
          <w:szCs w:val="20"/>
        </w:rPr>
      </w:pPr>
      <w:r w:rsidRPr="00694519">
        <w:rPr>
          <w:rFonts w:cs="Arial"/>
          <w:b/>
          <w:sz w:val="20"/>
          <w:szCs w:val="20"/>
        </w:rPr>
        <w:lastRenderedPageBreak/>
        <w:t>Table 16: Correlations between heart failure mean criterion score and outcome variables</w:t>
      </w:r>
    </w:p>
    <w:p w14:paraId="44B2B42A" w14:textId="77777777" w:rsidR="000923BB" w:rsidRDefault="000923BB" w:rsidP="000923BB">
      <w:pPr>
        <w:rPr>
          <w:rFonts w:cs="Arial"/>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1238"/>
        <w:gridCol w:w="838"/>
        <w:gridCol w:w="1368"/>
      </w:tblGrid>
      <w:tr w:rsidR="000923BB" w:rsidRPr="00F955C6" w14:paraId="797263D7" w14:textId="77777777" w:rsidTr="00617D2F">
        <w:tc>
          <w:tcPr>
            <w:tcW w:w="3544" w:type="dxa"/>
          </w:tcPr>
          <w:p w14:paraId="16B68162" w14:textId="77777777" w:rsidR="000923BB" w:rsidRPr="00F955C6" w:rsidRDefault="000923BB" w:rsidP="003A385F">
            <w:pPr>
              <w:rPr>
                <w:rFonts w:cs="Arial"/>
                <w:sz w:val="18"/>
                <w:szCs w:val="18"/>
              </w:rPr>
            </w:pPr>
            <w:r w:rsidRPr="00F955C6">
              <w:rPr>
                <w:rFonts w:cs="Arial"/>
                <w:sz w:val="18"/>
                <w:szCs w:val="18"/>
              </w:rPr>
              <w:t>Variable</w:t>
            </w:r>
          </w:p>
        </w:tc>
        <w:tc>
          <w:tcPr>
            <w:tcW w:w="1238" w:type="dxa"/>
          </w:tcPr>
          <w:p w14:paraId="728E4312" w14:textId="77777777" w:rsidR="000923BB" w:rsidRPr="00F955C6" w:rsidRDefault="000923BB" w:rsidP="003A385F">
            <w:pPr>
              <w:jc w:val="center"/>
              <w:rPr>
                <w:rFonts w:cs="Arial"/>
                <w:sz w:val="18"/>
                <w:szCs w:val="18"/>
              </w:rPr>
            </w:pPr>
            <w:r w:rsidRPr="00F955C6">
              <w:rPr>
                <w:rFonts w:cs="Arial"/>
                <w:sz w:val="18"/>
                <w:szCs w:val="18"/>
              </w:rPr>
              <w:t>Correlation coefficient</w:t>
            </w:r>
          </w:p>
        </w:tc>
        <w:tc>
          <w:tcPr>
            <w:tcW w:w="838" w:type="dxa"/>
          </w:tcPr>
          <w:p w14:paraId="56B00BC3" w14:textId="77777777" w:rsidR="000923BB" w:rsidRPr="00F955C6" w:rsidRDefault="000923BB" w:rsidP="003A385F">
            <w:pPr>
              <w:jc w:val="center"/>
              <w:rPr>
                <w:rFonts w:cs="Arial"/>
                <w:sz w:val="18"/>
                <w:szCs w:val="18"/>
              </w:rPr>
            </w:pPr>
            <w:r w:rsidRPr="00F955C6">
              <w:rPr>
                <w:rFonts w:cs="Arial"/>
                <w:sz w:val="18"/>
                <w:szCs w:val="18"/>
              </w:rPr>
              <w:t>p-value</w:t>
            </w:r>
          </w:p>
        </w:tc>
        <w:tc>
          <w:tcPr>
            <w:tcW w:w="1368" w:type="dxa"/>
          </w:tcPr>
          <w:p w14:paraId="3AC02C5B" w14:textId="77777777" w:rsidR="000923BB" w:rsidRPr="00F955C6" w:rsidRDefault="000923BB" w:rsidP="003A385F">
            <w:pPr>
              <w:jc w:val="center"/>
              <w:rPr>
                <w:rFonts w:cs="Arial"/>
                <w:sz w:val="18"/>
                <w:szCs w:val="18"/>
              </w:rPr>
            </w:pPr>
            <w:r w:rsidRPr="00F955C6">
              <w:rPr>
                <w:rFonts w:cs="Arial"/>
                <w:sz w:val="18"/>
                <w:szCs w:val="18"/>
              </w:rPr>
              <w:t>Relationship</w:t>
            </w:r>
          </w:p>
        </w:tc>
      </w:tr>
      <w:tr w:rsidR="000923BB" w:rsidRPr="00F955C6" w14:paraId="7A7FA980" w14:textId="77777777" w:rsidTr="00617D2F">
        <w:tc>
          <w:tcPr>
            <w:tcW w:w="3544" w:type="dxa"/>
          </w:tcPr>
          <w:p w14:paraId="346D2591" w14:textId="77777777" w:rsidR="000923BB" w:rsidRPr="00F955C6" w:rsidRDefault="000923BB" w:rsidP="003A385F">
            <w:pPr>
              <w:rPr>
                <w:rFonts w:cs="Arial"/>
                <w:sz w:val="18"/>
                <w:szCs w:val="18"/>
              </w:rPr>
            </w:pPr>
            <w:r w:rsidRPr="00F955C6">
              <w:rPr>
                <w:rFonts w:cs="Arial"/>
                <w:sz w:val="18"/>
                <w:szCs w:val="18"/>
              </w:rPr>
              <w:t>Incidents reported to NPSA per 100 bed days</w:t>
            </w:r>
          </w:p>
        </w:tc>
        <w:tc>
          <w:tcPr>
            <w:tcW w:w="1238" w:type="dxa"/>
          </w:tcPr>
          <w:p w14:paraId="5A470C42" w14:textId="77777777" w:rsidR="000923BB" w:rsidRPr="00F955C6" w:rsidRDefault="000923BB" w:rsidP="003A385F">
            <w:pPr>
              <w:jc w:val="center"/>
              <w:rPr>
                <w:rFonts w:cs="Arial"/>
                <w:sz w:val="18"/>
                <w:szCs w:val="18"/>
              </w:rPr>
            </w:pPr>
            <w:r w:rsidRPr="00F955C6">
              <w:rPr>
                <w:rFonts w:cs="Arial"/>
                <w:sz w:val="18"/>
                <w:szCs w:val="18"/>
              </w:rPr>
              <w:t>0.528</w:t>
            </w:r>
          </w:p>
        </w:tc>
        <w:tc>
          <w:tcPr>
            <w:tcW w:w="838" w:type="dxa"/>
          </w:tcPr>
          <w:p w14:paraId="72AE1EFC" w14:textId="77777777" w:rsidR="000923BB" w:rsidRPr="00F955C6" w:rsidRDefault="000923BB" w:rsidP="003A385F">
            <w:pPr>
              <w:jc w:val="center"/>
              <w:rPr>
                <w:rFonts w:cs="Arial"/>
                <w:sz w:val="18"/>
                <w:szCs w:val="18"/>
              </w:rPr>
            </w:pPr>
            <w:r w:rsidRPr="00F955C6">
              <w:rPr>
                <w:rFonts w:cs="Arial"/>
                <w:sz w:val="18"/>
                <w:szCs w:val="18"/>
              </w:rPr>
              <w:t>0.017</w:t>
            </w:r>
          </w:p>
        </w:tc>
        <w:tc>
          <w:tcPr>
            <w:tcW w:w="1368" w:type="dxa"/>
          </w:tcPr>
          <w:p w14:paraId="1CE78FAD" w14:textId="77777777" w:rsidR="000923BB" w:rsidRPr="00F955C6" w:rsidRDefault="000923BB" w:rsidP="003A385F">
            <w:pPr>
              <w:jc w:val="center"/>
              <w:rPr>
                <w:rFonts w:cs="Arial"/>
                <w:sz w:val="18"/>
                <w:szCs w:val="18"/>
              </w:rPr>
            </w:pPr>
            <w:r w:rsidRPr="00F955C6">
              <w:rPr>
                <w:rFonts w:cs="Arial"/>
                <w:sz w:val="18"/>
                <w:szCs w:val="18"/>
              </w:rPr>
              <w:t>Moderate</w:t>
            </w:r>
          </w:p>
        </w:tc>
      </w:tr>
      <w:tr w:rsidR="000923BB" w:rsidRPr="00F955C6" w14:paraId="67E8498E" w14:textId="77777777" w:rsidTr="00617D2F">
        <w:tc>
          <w:tcPr>
            <w:tcW w:w="3544" w:type="dxa"/>
          </w:tcPr>
          <w:p w14:paraId="0E96828C" w14:textId="77777777" w:rsidR="000923BB" w:rsidRPr="00F955C6" w:rsidRDefault="000923BB" w:rsidP="003A385F">
            <w:pPr>
              <w:rPr>
                <w:rFonts w:cs="Arial"/>
                <w:sz w:val="18"/>
                <w:szCs w:val="18"/>
              </w:rPr>
            </w:pPr>
            <w:r w:rsidRPr="00F955C6">
              <w:rPr>
                <w:rFonts w:cs="Arial"/>
                <w:sz w:val="18"/>
                <w:szCs w:val="18"/>
              </w:rPr>
              <w:t>NHS staff survey Q24b: System for reporting (% no)</w:t>
            </w:r>
          </w:p>
        </w:tc>
        <w:tc>
          <w:tcPr>
            <w:tcW w:w="1238" w:type="dxa"/>
          </w:tcPr>
          <w:p w14:paraId="3F1AEFD4" w14:textId="77777777" w:rsidR="000923BB" w:rsidRPr="00F955C6" w:rsidRDefault="000923BB" w:rsidP="003A385F">
            <w:pPr>
              <w:jc w:val="center"/>
              <w:rPr>
                <w:rFonts w:cs="Arial"/>
                <w:sz w:val="18"/>
                <w:szCs w:val="18"/>
              </w:rPr>
            </w:pPr>
            <w:r w:rsidRPr="00F955C6">
              <w:rPr>
                <w:rFonts w:cs="Arial"/>
                <w:sz w:val="18"/>
                <w:szCs w:val="18"/>
              </w:rPr>
              <w:t>0.620</w:t>
            </w:r>
          </w:p>
        </w:tc>
        <w:tc>
          <w:tcPr>
            <w:tcW w:w="838" w:type="dxa"/>
          </w:tcPr>
          <w:p w14:paraId="076F6FFC" w14:textId="77777777" w:rsidR="000923BB" w:rsidRPr="00F955C6" w:rsidRDefault="000923BB" w:rsidP="003A385F">
            <w:pPr>
              <w:jc w:val="center"/>
              <w:rPr>
                <w:rFonts w:cs="Arial"/>
                <w:sz w:val="18"/>
                <w:szCs w:val="18"/>
              </w:rPr>
            </w:pPr>
            <w:r w:rsidRPr="00F955C6">
              <w:rPr>
                <w:rFonts w:cs="Arial"/>
                <w:sz w:val="18"/>
                <w:szCs w:val="18"/>
              </w:rPr>
              <w:t>0.004</w:t>
            </w:r>
          </w:p>
        </w:tc>
        <w:tc>
          <w:tcPr>
            <w:tcW w:w="1368" w:type="dxa"/>
          </w:tcPr>
          <w:p w14:paraId="5927D376" w14:textId="77777777" w:rsidR="000923BB" w:rsidRPr="00F955C6" w:rsidRDefault="000923BB" w:rsidP="003A385F">
            <w:pPr>
              <w:jc w:val="center"/>
              <w:rPr>
                <w:rFonts w:cs="Arial"/>
                <w:sz w:val="18"/>
                <w:szCs w:val="18"/>
              </w:rPr>
            </w:pPr>
            <w:r w:rsidRPr="00F955C6">
              <w:rPr>
                <w:rFonts w:cs="Arial"/>
                <w:sz w:val="18"/>
                <w:szCs w:val="18"/>
              </w:rPr>
              <w:t>Strong</w:t>
            </w:r>
          </w:p>
        </w:tc>
      </w:tr>
    </w:tbl>
    <w:p w14:paraId="555AB7CF" w14:textId="77777777" w:rsidR="000923BB" w:rsidRDefault="000923BB" w:rsidP="000923BB">
      <w:pPr>
        <w:rPr>
          <w:rFonts w:cs="Arial"/>
          <w:sz w:val="22"/>
          <w:szCs w:val="22"/>
        </w:rPr>
      </w:pPr>
    </w:p>
    <w:p w14:paraId="144A5745" w14:textId="77777777" w:rsidR="000923BB" w:rsidRDefault="000923BB" w:rsidP="000923BB">
      <w:pPr>
        <w:rPr>
          <w:rFonts w:cs="Arial"/>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4"/>
        <w:gridCol w:w="3786"/>
      </w:tblGrid>
      <w:tr w:rsidR="000923BB" w:rsidRPr="00F955C6" w14:paraId="09C77506" w14:textId="77777777" w:rsidTr="003C12FD">
        <w:tc>
          <w:tcPr>
            <w:tcW w:w="4014" w:type="dxa"/>
          </w:tcPr>
          <w:p w14:paraId="0302A818" w14:textId="77777777" w:rsidR="000923BB" w:rsidRPr="00F955C6" w:rsidRDefault="000923BB" w:rsidP="003A385F">
            <w:pPr>
              <w:rPr>
                <w:rFonts w:cs="Arial"/>
                <w:b/>
                <w:sz w:val="18"/>
                <w:szCs w:val="18"/>
              </w:rPr>
            </w:pPr>
            <w:r w:rsidRPr="00F955C6">
              <w:rPr>
                <w:rFonts w:cs="Arial"/>
                <w:b/>
                <w:sz w:val="18"/>
                <w:szCs w:val="18"/>
              </w:rPr>
              <w:t>Figure 18.</w:t>
            </w:r>
          </w:p>
          <w:p w14:paraId="17F752C6" w14:textId="77777777" w:rsidR="000923BB" w:rsidRPr="00F955C6" w:rsidRDefault="000923BB" w:rsidP="003A385F">
            <w:pPr>
              <w:rPr>
                <w:rFonts w:cs="Arial"/>
                <w:sz w:val="22"/>
                <w:szCs w:val="22"/>
              </w:rPr>
            </w:pPr>
            <w:r w:rsidRPr="00F955C6">
              <w:rPr>
                <w:rFonts w:cs="Arial"/>
                <w:b/>
                <w:sz w:val="18"/>
                <w:szCs w:val="18"/>
              </w:rPr>
              <w:t>Scatter plot (with regression line) for heart failure criterion score by NPSA  incidents bed days</w:t>
            </w:r>
          </w:p>
        </w:tc>
        <w:tc>
          <w:tcPr>
            <w:tcW w:w="3786" w:type="dxa"/>
          </w:tcPr>
          <w:p w14:paraId="062F364D" w14:textId="77777777" w:rsidR="000923BB" w:rsidRPr="00F955C6" w:rsidRDefault="000923BB" w:rsidP="003A385F">
            <w:pPr>
              <w:rPr>
                <w:rFonts w:cs="Arial"/>
                <w:b/>
                <w:sz w:val="18"/>
                <w:szCs w:val="18"/>
              </w:rPr>
            </w:pPr>
            <w:r w:rsidRPr="00F955C6">
              <w:rPr>
                <w:rFonts w:cs="Arial"/>
                <w:b/>
                <w:sz w:val="18"/>
                <w:szCs w:val="18"/>
              </w:rPr>
              <w:t xml:space="preserve">Figure 19. </w:t>
            </w:r>
          </w:p>
          <w:p w14:paraId="5C42CD36" w14:textId="77777777" w:rsidR="000923BB" w:rsidRPr="00F955C6" w:rsidRDefault="000923BB" w:rsidP="003A385F">
            <w:pPr>
              <w:rPr>
                <w:rFonts w:cs="Arial"/>
                <w:sz w:val="22"/>
                <w:szCs w:val="22"/>
              </w:rPr>
            </w:pPr>
            <w:r w:rsidRPr="00F955C6">
              <w:rPr>
                <w:rFonts w:cs="Arial"/>
                <w:b/>
                <w:sz w:val="18"/>
                <w:szCs w:val="18"/>
              </w:rPr>
              <w:t>Scatter plot (with regression line) for heart failure criterion score by NHS staff survey Q24b: system for reporting (Percent no)</w:t>
            </w:r>
          </w:p>
        </w:tc>
      </w:tr>
      <w:tr w:rsidR="000923BB" w:rsidRPr="00F955C6" w14:paraId="5DB4E479" w14:textId="77777777" w:rsidTr="003C12FD">
        <w:tc>
          <w:tcPr>
            <w:tcW w:w="4014" w:type="dxa"/>
          </w:tcPr>
          <w:p w14:paraId="43E129F1" w14:textId="77777777" w:rsidR="000923BB" w:rsidRPr="00F955C6" w:rsidRDefault="000923BB" w:rsidP="003A385F">
            <w:pPr>
              <w:rPr>
                <w:rFonts w:cs="Arial"/>
                <w:sz w:val="22"/>
                <w:szCs w:val="22"/>
              </w:rPr>
            </w:pPr>
            <w:r>
              <w:rPr>
                <w:rFonts w:cs="Arial"/>
                <w:noProof/>
                <w:sz w:val="14"/>
                <w:szCs w:val="14"/>
                <w:lang w:eastAsia="en-GB" w:bidi="ar-SA"/>
              </w:rPr>
              <w:drawing>
                <wp:inline distT="0" distB="0" distL="0" distR="0" wp14:anchorId="39C6FA63" wp14:editId="21808182">
                  <wp:extent cx="2289810" cy="228981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0" cstate="print"/>
                          <a:srcRect/>
                          <a:stretch>
                            <a:fillRect/>
                          </a:stretch>
                        </pic:blipFill>
                        <pic:spPr bwMode="auto">
                          <a:xfrm>
                            <a:off x="0" y="0"/>
                            <a:ext cx="2289810" cy="2289810"/>
                          </a:xfrm>
                          <a:prstGeom prst="rect">
                            <a:avLst/>
                          </a:prstGeom>
                          <a:noFill/>
                          <a:ln w="9525">
                            <a:noFill/>
                            <a:miter lim="800000"/>
                            <a:headEnd/>
                            <a:tailEnd/>
                          </a:ln>
                        </pic:spPr>
                      </pic:pic>
                    </a:graphicData>
                  </a:graphic>
                </wp:inline>
              </w:drawing>
            </w:r>
          </w:p>
        </w:tc>
        <w:tc>
          <w:tcPr>
            <w:tcW w:w="3786" w:type="dxa"/>
          </w:tcPr>
          <w:p w14:paraId="3012D652" w14:textId="77777777" w:rsidR="000923BB" w:rsidRPr="00F955C6" w:rsidRDefault="000923BB" w:rsidP="003A385F">
            <w:pPr>
              <w:rPr>
                <w:rFonts w:cs="Arial"/>
                <w:sz w:val="22"/>
                <w:szCs w:val="22"/>
              </w:rPr>
            </w:pPr>
            <w:r>
              <w:rPr>
                <w:rFonts w:cs="Arial"/>
                <w:noProof/>
                <w:sz w:val="14"/>
                <w:szCs w:val="14"/>
                <w:lang w:eastAsia="en-GB" w:bidi="ar-SA"/>
              </w:rPr>
              <w:drawing>
                <wp:inline distT="0" distB="0" distL="0" distR="0" wp14:anchorId="59F5197D" wp14:editId="2ADFB245">
                  <wp:extent cx="2242185" cy="2242185"/>
                  <wp:effectExtent l="1905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1" cstate="print"/>
                          <a:srcRect/>
                          <a:stretch>
                            <a:fillRect/>
                          </a:stretch>
                        </pic:blipFill>
                        <pic:spPr bwMode="auto">
                          <a:xfrm>
                            <a:off x="0" y="0"/>
                            <a:ext cx="2242185" cy="2242185"/>
                          </a:xfrm>
                          <a:prstGeom prst="rect">
                            <a:avLst/>
                          </a:prstGeom>
                          <a:noFill/>
                          <a:ln w="9525">
                            <a:noFill/>
                            <a:miter lim="800000"/>
                            <a:headEnd/>
                            <a:tailEnd/>
                          </a:ln>
                        </pic:spPr>
                      </pic:pic>
                    </a:graphicData>
                  </a:graphic>
                </wp:inline>
              </w:drawing>
            </w:r>
          </w:p>
        </w:tc>
      </w:tr>
    </w:tbl>
    <w:p w14:paraId="7FADEA3E" w14:textId="77777777" w:rsidR="00C335C2" w:rsidRDefault="00C335C2" w:rsidP="000923BB">
      <w:pPr>
        <w:jc w:val="both"/>
        <w:rPr>
          <w:rFonts w:cs="Arial"/>
          <w:b/>
          <w:sz w:val="22"/>
          <w:szCs w:val="22"/>
        </w:rPr>
      </w:pPr>
    </w:p>
    <w:p w14:paraId="4E004921" w14:textId="77777777" w:rsidR="00C335C2" w:rsidRDefault="00C335C2" w:rsidP="000923BB">
      <w:pPr>
        <w:jc w:val="both"/>
        <w:rPr>
          <w:rFonts w:cs="Arial"/>
          <w:b/>
          <w:sz w:val="22"/>
          <w:szCs w:val="22"/>
        </w:rPr>
      </w:pPr>
    </w:p>
    <w:p w14:paraId="7C025385" w14:textId="77777777" w:rsidR="000923BB" w:rsidRPr="007A4493" w:rsidRDefault="000923BB" w:rsidP="000923BB">
      <w:pPr>
        <w:jc w:val="both"/>
        <w:rPr>
          <w:rFonts w:cs="Arial"/>
          <w:b/>
          <w:sz w:val="22"/>
          <w:szCs w:val="22"/>
        </w:rPr>
      </w:pPr>
      <w:r w:rsidRPr="007A4493">
        <w:rPr>
          <w:rFonts w:cs="Arial"/>
          <w:b/>
          <w:sz w:val="22"/>
          <w:szCs w:val="22"/>
        </w:rPr>
        <w:t xml:space="preserve">Outliers in the analysis </w:t>
      </w:r>
    </w:p>
    <w:p w14:paraId="004B2209" w14:textId="77777777" w:rsidR="000923BB" w:rsidRPr="008B55C6" w:rsidRDefault="000923BB" w:rsidP="000923BB">
      <w:pPr>
        <w:jc w:val="both"/>
        <w:rPr>
          <w:rFonts w:cs="Arial"/>
          <w:sz w:val="22"/>
          <w:szCs w:val="22"/>
        </w:rPr>
      </w:pPr>
      <w:r w:rsidRPr="008B55C6">
        <w:rPr>
          <w:rFonts w:cs="Arial"/>
          <w:sz w:val="22"/>
          <w:szCs w:val="22"/>
        </w:rPr>
        <w:t>It was agreed to identify which hospitals were outliers in each analysis to establish whether it was the same trust each time. The following outliers were identified (hospital scores presented in brackets):</w:t>
      </w:r>
    </w:p>
    <w:p w14:paraId="5D656B8A" w14:textId="77777777" w:rsidR="000923BB" w:rsidRDefault="000923BB" w:rsidP="000923BB">
      <w:pPr>
        <w:jc w:val="both"/>
        <w:rPr>
          <w:rFonts w:cs="Arial"/>
          <w:sz w:val="22"/>
          <w:szCs w:val="22"/>
        </w:rPr>
      </w:pPr>
    </w:p>
    <w:p w14:paraId="16DB76C9" w14:textId="77777777" w:rsidR="00617D2F" w:rsidRDefault="00617D2F" w:rsidP="000923BB">
      <w:pPr>
        <w:jc w:val="both"/>
        <w:rPr>
          <w:rFonts w:cs="Arial"/>
          <w:sz w:val="22"/>
          <w:szCs w:val="22"/>
        </w:rPr>
      </w:pPr>
    </w:p>
    <w:p w14:paraId="7C68C339" w14:textId="77777777" w:rsidR="00617D2F" w:rsidRDefault="00617D2F" w:rsidP="000923BB">
      <w:pPr>
        <w:jc w:val="both"/>
        <w:rPr>
          <w:rFonts w:cs="Arial"/>
          <w:sz w:val="22"/>
          <w:szCs w:val="22"/>
        </w:rPr>
      </w:pPr>
    </w:p>
    <w:p w14:paraId="5A16697A" w14:textId="77777777" w:rsidR="00617D2F" w:rsidRPr="008B55C6" w:rsidRDefault="00617D2F" w:rsidP="000923BB">
      <w:pPr>
        <w:jc w:val="both"/>
        <w:rPr>
          <w:rFonts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6"/>
        <w:gridCol w:w="4196"/>
      </w:tblGrid>
      <w:tr w:rsidR="000923BB" w:rsidRPr="00F955C6" w14:paraId="0141D1A2" w14:textId="77777777" w:rsidTr="006C4584">
        <w:tc>
          <w:tcPr>
            <w:tcW w:w="4080" w:type="dxa"/>
          </w:tcPr>
          <w:p w14:paraId="28D94C42" w14:textId="77777777" w:rsidR="000923BB" w:rsidRPr="00F955C6" w:rsidRDefault="000923BB" w:rsidP="003A385F">
            <w:pPr>
              <w:jc w:val="both"/>
              <w:rPr>
                <w:rFonts w:cs="Arial"/>
                <w:sz w:val="22"/>
                <w:szCs w:val="22"/>
              </w:rPr>
            </w:pPr>
            <w:r w:rsidRPr="00F955C6">
              <w:rPr>
                <w:rFonts w:cs="Arial"/>
                <w:sz w:val="22"/>
                <w:szCs w:val="22"/>
              </w:rPr>
              <w:t>COPD mean holistic overall score</w:t>
            </w:r>
          </w:p>
        </w:tc>
        <w:tc>
          <w:tcPr>
            <w:tcW w:w="4200" w:type="dxa"/>
          </w:tcPr>
          <w:p w14:paraId="334F38C6" w14:textId="77777777" w:rsidR="000923BB" w:rsidRPr="00F955C6" w:rsidRDefault="000923BB" w:rsidP="003A385F">
            <w:pPr>
              <w:jc w:val="right"/>
              <w:rPr>
                <w:rFonts w:cs="Arial"/>
                <w:sz w:val="22"/>
                <w:szCs w:val="22"/>
              </w:rPr>
            </w:pPr>
            <w:r w:rsidRPr="00F955C6">
              <w:rPr>
                <w:rFonts w:cs="Arial"/>
                <w:sz w:val="22"/>
                <w:szCs w:val="22"/>
              </w:rPr>
              <w:t>Hospital RC9 (2.9)</w:t>
            </w:r>
          </w:p>
        </w:tc>
      </w:tr>
      <w:tr w:rsidR="000923BB" w:rsidRPr="00F955C6" w14:paraId="40CCC310" w14:textId="77777777" w:rsidTr="006C4584">
        <w:tc>
          <w:tcPr>
            <w:tcW w:w="4080" w:type="dxa"/>
          </w:tcPr>
          <w:p w14:paraId="5513F530" w14:textId="77777777" w:rsidR="000923BB" w:rsidRPr="00F955C6" w:rsidRDefault="000923BB" w:rsidP="003A385F">
            <w:pPr>
              <w:jc w:val="both"/>
              <w:rPr>
                <w:rFonts w:cs="Arial"/>
                <w:sz w:val="22"/>
                <w:szCs w:val="22"/>
              </w:rPr>
            </w:pPr>
            <w:r w:rsidRPr="00F955C6">
              <w:rPr>
                <w:rFonts w:cs="Arial"/>
                <w:sz w:val="22"/>
                <w:szCs w:val="22"/>
              </w:rPr>
              <w:t>HF mean holistic overall score</w:t>
            </w:r>
          </w:p>
        </w:tc>
        <w:tc>
          <w:tcPr>
            <w:tcW w:w="4200" w:type="dxa"/>
          </w:tcPr>
          <w:p w14:paraId="79B21B43" w14:textId="77777777" w:rsidR="000923BB" w:rsidRPr="00F955C6" w:rsidRDefault="000923BB" w:rsidP="003A385F">
            <w:pPr>
              <w:jc w:val="right"/>
              <w:rPr>
                <w:rFonts w:cs="Arial"/>
                <w:sz w:val="22"/>
                <w:szCs w:val="22"/>
              </w:rPr>
            </w:pPr>
            <w:r w:rsidRPr="00F955C6">
              <w:rPr>
                <w:rFonts w:cs="Arial"/>
                <w:sz w:val="22"/>
                <w:szCs w:val="22"/>
              </w:rPr>
              <w:t>Hospital RN1 (3.1)</w:t>
            </w:r>
          </w:p>
        </w:tc>
      </w:tr>
      <w:tr w:rsidR="000923BB" w:rsidRPr="00F955C6" w14:paraId="068B8061" w14:textId="77777777" w:rsidTr="006C4584">
        <w:tc>
          <w:tcPr>
            <w:tcW w:w="4080" w:type="dxa"/>
          </w:tcPr>
          <w:p w14:paraId="0A64220B" w14:textId="77777777" w:rsidR="000923BB" w:rsidRPr="00F955C6" w:rsidRDefault="000923BB" w:rsidP="003A385F">
            <w:pPr>
              <w:jc w:val="both"/>
              <w:rPr>
                <w:rFonts w:cs="Arial"/>
                <w:sz w:val="22"/>
                <w:szCs w:val="22"/>
              </w:rPr>
            </w:pPr>
            <w:r w:rsidRPr="00F955C6">
              <w:rPr>
                <w:rFonts w:cs="Arial"/>
                <w:sz w:val="22"/>
                <w:szCs w:val="22"/>
              </w:rPr>
              <w:t>COPD mean holistic phase score</w:t>
            </w:r>
          </w:p>
        </w:tc>
        <w:tc>
          <w:tcPr>
            <w:tcW w:w="4200" w:type="dxa"/>
          </w:tcPr>
          <w:p w14:paraId="3E7AC2AF" w14:textId="77777777" w:rsidR="000923BB" w:rsidRPr="00F955C6" w:rsidRDefault="000923BB" w:rsidP="003A385F">
            <w:pPr>
              <w:jc w:val="right"/>
              <w:rPr>
                <w:rFonts w:cs="Arial"/>
                <w:sz w:val="22"/>
                <w:szCs w:val="22"/>
              </w:rPr>
            </w:pPr>
            <w:r w:rsidRPr="00F955C6">
              <w:rPr>
                <w:rFonts w:cs="Arial"/>
                <w:sz w:val="22"/>
                <w:szCs w:val="22"/>
              </w:rPr>
              <w:t>Hospital RQW (10.2)</w:t>
            </w:r>
          </w:p>
        </w:tc>
      </w:tr>
      <w:tr w:rsidR="000923BB" w:rsidRPr="00F955C6" w14:paraId="45E14B64" w14:textId="77777777" w:rsidTr="006C4584">
        <w:tc>
          <w:tcPr>
            <w:tcW w:w="4080" w:type="dxa"/>
          </w:tcPr>
          <w:p w14:paraId="30C8C3AF" w14:textId="77777777" w:rsidR="000923BB" w:rsidRPr="00F955C6" w:rsidRDefault="000923BB" w:rsidP="003A385F">
            <w:pPr>
              <w:jc w:val="both"/>
              <w:rPr>
                <w:rFonts w:cs="Arial"/>
                <w:sz w:val="22"/>
                <w:szCs w:val="22"/>
              </w:rPr>
            </w:pPr>
            <w:r w:rsidRPr="00F955C6">
              <w:rPr>
                <w:rFonts w:cs="Arial"/>
                <w:sz w:val="22"/>
                <w:szCs w:val="22"/>
              </w:rPr>
              <w:t>HF mean holistic phase score</w:t>
            </w:r>
          </w:p>
        </w:tc>
        <w:tc>
          <w:tcPr>
            <w:tcW w:w="4200" w:type="dxa"/>
          </w:tcPr>
          <w:p w14:paraId="2107DE21" w14:textId="77777777" w:rsidR="000923BB" w:rsidRPr="00F955C6" w:rsidRDefault="000923BB" w:rsidP="003A385F">
            <w:pPr>
              <w:jc w:val="right"/>
              <w:rPr>
                <w:rFonts w:cs="Arial"/>
                <w:i/>
                <w:sz w:val="22"/>
                <w:szCs w:val="22"/>
              </w:rPr>
            </w:pPr>
            <w:r w:rsidRPr="00F955C6">
              <w:rPr>
                <w:rFonts w:cs="Arial"/>
                <w:i/>
                <w:sz w:val="22"/>
                <w:szCs w:val="22"/>
              </w:rPr>
              <w:t>No outlier identified</w:t>
            </w:r>
          </w:p>
        </w:tc>
      </w:tr>
      <w:tr w:rsidR="000923BB" w:rsidRPr="00F955C6" w14:paraId="7A515CB8" w14:textId="77777777" w:rsidTr="006C4584">
        <w:tc>
          <w:tcPr>
            <w:tcW w:w="4080" w:type="dxa"/>
          </w:tcPr>
          <w:p w14:paraId="6F160607" w14:textId="77777777" w:rsidR="000923BB" w:rsidRPr="00F955C6" w:rsidRDefault="000923BB" w:rsidP="003A385F">
            <w:pPr>
              <w:jc w:val="both"/>
              <w:rPr>
                <w:rFonts w:cs="Arial"/>
                <w:sz w:val="22"/>
                <w:szCs w:val="22"/>
              </w:rPr>
            </w:pPr>
          </w:p>
        </w:tc>
        <w:tc>
          <w:tcPr>
            <w:tcW w:w="4200" w:type="dxa"/>
          </w:tcPr>
          <w:p w14:paraId="3AF23E6B" w14:textId="77777777" w:rsidR="000923BB" w:rsidRPr="00F955C6" w:rsidRDefault="000923BB" w:rsidP="003A385F">
            <w:pPr>
              <w:jc w:val="right"/>
              <w:rPr>
                <w:rFonts w:cs="Arial"/>
                <w:i/>
                <w:sz w:val="22"/>
                <w:szCs w:val="22"/>
              </w:rPr>
            </w:pPr>
          </w:p>
        </w:tc>
      </w:tr>
      <w:tr w:rsidR="000923BB" w:rsidRPr="00F955C6" w14:paraId="19E81675" w14:textId="77777777" w:rsidTr="006C4584">
        <w:tc>
          <w:tcPr>
            <w:tcW w:w="4080" w:type="dxa"/>
          </w:tcPr>
          <w:p w14:paraId="1E5EF47C" w14:textId="77777777" w:rsidR="000923BB" w:rsidRPr="00F955C6" w:rsidRDefault="000923BB" w:rsidP="003A385F">
            <w:pPr>
              <w:jc w:val="both"/>
              <w:rPr>
                <w:rFonts w:cs="Arial"/>
                <w:sz w:val="22"/>
                <w:szCs w:val="22"/>
              </w:rPr>
            </w:pPr>
            <w:r w:rsidRPr="00F955C6">
              <w:rPr>
                <w:rFonts w:cs="Arial"/>
                <w:sz w:val="22"/>
                <w:szCs w:val="22"/>
              </w:rPr>
              <w:t>COPD mean criterion based score</w:t>
            </w:r>
          </w:p>
        </w:tc>
        <w:tc>
          <w:tcPr>
            <w:tcW w:w="4200" w:type="dxa"/>
          </w:tcPr>
          <w:p w14:paraId="3BD5F36B" w14:textId="77777777" w:rsidR="000923BB" w:rsidRPr="00F955C6" w:rsidRDefault="000923BB" w:rsidP="003A385F">
            <w:pPr>
              <w:jc w:val="right"/>
              <w:rPr>
                <w:rFonts w:cs="Arial"/>
                <w:i/>
                <w:sz w:val="22"/>
                <w:szCs w:val="22"/>
              </w:rPr>
            </w:pPr>
            <w:r w:rsidRPr="00F955C6">
              <w:rPr>
                <w:rFonts w:cs="Arial"/>
                <w:i/>
                <w:sz w:val="22"/>
                <w:szCs w:val="22"/>
              </w:rPr>
              <w:t>No outlier identified</w:t>
            </w:r>
          </w:p>
        </w:tc>
      </w:tr>
      <w:tr w:rsidR="000923BB" w:rsidRPr="00F955C6" w14:paraId="51B1B80B" w14:textId="77777777" w:rsidTr="006C4584">
        <w:tc>
          <w:tcPr>
            <w:tcW w:w="4080" w:type="dxa"/>
          </w:tcPr>
          <w:p w14:paraId="77B23E06" w14:textId="77777777" w:rsidR="000923BB" w:rsidRPr="00F955C6" w:rsidRDefault="000923BB" w:rsidP="003A385F">
            <w:pPr>
              <w:jc w:val="both"/>
              <w:rPr>
                <w:rFonts w:cs="Arial"/>
                <w:sz w:val="22"/>
                <w:szCs w:val="22"/>
              </w:rPr>
            </w:pPr>
            <w:r w:rsidRPr="00F955C6">
              <w:rPr>
                <w:rFonts w:cs="Arial"/>
                <w:sz w:val="22"/>
                <w:szCs w:val="22"/>
              </w:rPr>
              <w:t>HF mean criterion based score</w:t>
            </w:r>
          </w:p>
        </w:tc>
        <w:tc>
          <w:tcPr>
            <w:tcW w:w="4200" w:type="dxa"/>
          </w:tcPr>
          <w:p w14:paraId="0C025CE0" w14:textId="77777777" w:rsidR="000923BB" w:rsidRPr="00F955C6" w:rsidRDefault="000923BB" w:rsidP="003A385F">
            <w:pPr>
              <w:rPr>
                <w:rFonts w:cs="Arial"/>
                <w:sz w:val="22"/>
                <w:szCs w:val="22"/>
              </w:rPr>
            </w:pPr>
            <w:r w:rsidRPr="00F955C6">
              <w:rPr>
                <w:rFonts w:cs="Arial"/>
                <w:sz w:val="22"/>
                <w:szCs w:val="22"/>
              </w:rPr>
              <w:t>Hospital RNH (9.3); Hospital RQW   (7.0)</w:t>
            </w:r>
          </w:p>
        </w:tc>
      </w:tr>
    </w:tbl>
    <w:p w14:paraId="29EE6074" w14:textId="77777777" w:rsidR="000923BB" w:rsidRPr="008B55C6" w:rsidRDefault="000923BB" w:rsidP="000923BB">
      <w:pPr>
        <w:jc w:val="both"/>
        <w:rPr>
          <w:rFonts w:cs="Arial"/>
          <w:sz w:val="22"/>
          <w:szCs w:val="22"/>
        </w:rPr>
      </w:pPr>
    </w:p>
    <w:p w14:paraId="38F70F8B" w14:textId="77777777" w:rsidR="000923BB" w:rsidRDefault="000923BB" w:rsidP="000923BB">
      <w:pPr>
        <w:jc w:val="both"/>
        <w:rPr>
          <w:rFonts w:cs="Arial"/>
          <w:sz w:val="22"/>
          <w:szCs w:val="22"/>
        </w:rPr>
      </w:pPr>
      <w:r>
        <w:rPr>
          <w:rFonts w:cs="Arial"/>
          <w:sz w:val="22"/>
          <w:szCs w:val="22"/>
        </w:rPr>
        <w:t>Hospital</w:t>
      </w:r>
      <w:r w:rsidRPr="008B55C6">
        <w:rPr>
          <w:rFonts w:cs="Arial"/>
          <w:sz w:val="22"/>
          <w:szCs w:val="22"/>
        </w:rPr>
        <w:t xml:space="preserve"> RNH </w:t>
      </w:r>
      <w:r>
        <w:rPr>
          <w:rFonts w:cs="Arial"/>
          <w:sz w:val="22"/>
          <w:szCs w:val="22"/>
        </w:rPr>
        <w:t>(</w:t>
      </w:r>
      <w:r w:rsidRPr="008B55C6">
        <w:rPr>
          <w:rFonts w:cs="Arial"/>
          <w:sz w:val="22"/>
          <w:szCs w:val="22"/>
        </w:rPr>
        <w:t xml:space="preserve">from </w:t>
      </w:r>
      <w:r>
        <w:rPr>
          <w:rFonts w:cs="Arial"/>
          <w:sz w:val="22"/>
          <w:szCs w:val="22"/>
        </w:rPr>
        <w:t>the heart failure criterion score analysis)</w:t>
      </w:r>
      <w:r w:rsidRPr="008B55C6">
        <w:rPr>
          <w:rFonts w:cs="Arial"/>
          <w:sz w:val="22"/>
          <w:szCs w:val="22"/>
        </w:rPr>
        <w:t xml:space="preserve"> was the most noticeable outlier in all analys</w:t>
      </w:r>
      <w:r>
        <w:rPr>
          <w:rFonts w:cs="Arial"/>
          <w:sz w:val="22"/>
          <w:szCs w:val="22"/>
        </w:rPr>
        <w:t>e</w:t>
      </w:r>
      <w:r w:rsidRPr="008B55C6">
        <w:rPr>
          <w:rFonts w:cs="Arial"/>
          <w:sz w:val="22"/>
          <w:szCs w:val="22"/>
        </w:rPr>
        <w:t xml:space="preserve">s and </w:t>
      </w:r>
      <w:r>
        <w:rPr>
          <w:rFonts w:cs="Arial"/>
          <w:sz w:val="22"/>
          <w:szCs w:val="22"/>
        </w:rPr>
        <w:t xml:space="preserve">a decision was taken to </w:t>
      </w:r>
      <w:r w:rsidRPr="008B55C6">
        <w:rPr>
          <w:rFonts w:cs="Arial"/>
          <w:sz w:val="22"/>
          <w:szCs w:val="22"/>
        </w:rPr>
        <w:t xml:space="preserve">rerun the analysis to see if there were any changes in the correlation results. </w:t>
      </w:r>
    </w:p>
    <w:p w14:paraId="791C1352" w14:textId="77777777" w:rsidR="000923BB" w:rsidRDefault="000923BB" w:rsidP="000923BB">
      <w:pPr>
        <w:jc w:val="both"/>
        <w:rPr>
          <w:rFonts w:cs="Arial"/>
          <w:sz w:val="22"/>
          <w:szCs w:val="22"/>
        </w:rPr>
      </w:pPr>
    </w:p>
    <w:p w14:paraId="451E2A19" w14:textId="77777777" w:rsidR="000923BB" w:rsidRPr="008B55C6" w:rsidRDefault="000923BB" w:rsidP="000923BB">
      <w:pPr>
        <w:jc w:val="both"/>
        <w:rPr>
          <w:rFonts w:cs="Arial"/>
          <w:sz w:val="22"/>
          <w:szCs w:val="22"/>
        </w:rPr>
      </w:pPr>
      <w:r>
        <w:rPr>
          <w:rFonts w:cs="Arial"/>
          <w:sz w:val="22"/>
          <w:szCs w:val="22"/>
        </w:rPr>
        <w:t xml:space="preserve">There were some minor differences in results following the exclusion of hospital RNH.  </w:t>
      </w:r>
      <w:r w:rsidRPr="008B55C6">
        <w:rPr>
          <w:rFonts w:cs="Arial"/>
          <w:sz w:val="22"/>
          <w:szCs w:val="22"/>
        </w:rPr>
        <w:t xml:space="preserve">Incidents </w:t>
      </w:r>
      <w:r>
        <w:rPr>
          <w:rFonts w:cs="Arial"/>
          <w:sz w:val="22"/>
          <w:szCs w:val="22"/>
        </w:rPr>
        <w:t xml:space="preserve">reported </w:t>
      </w:r>
      <w:r w:rsidRPr="008B55C6">
        <w:rPr>
          <w:rFonts w:cs="Arial"/>
          <w:sz w:val="22"/>
          <w:szCs w:val="22"/>
        </w:rPr>
        <w:t xml:space="preserve">to </w:t>
      </w:r>
      <w:r>
        <w:rPr>
          <w:rFonts w:cs="Arial"/>
          <w:sz w:val="22"/>
          <w:szCs w:val="22"/>
        </w:rPr>
        <w:t xml:space="preserve">the </w:t>
      </w:r>
      <w:r w:rsidRPr="008B55C6">
        <w:rPr>
          <w:rFonts w:cs="Arial"/>
          <w:sz w:val="22"/>
          <w:szCs w:val="22"/>
        </w:rPr>
        <w:t>NPSA remain</w:t>
      </w:r>
      <w:r>
        <w:rPr>
          <w:rFonts w:cs="Arial"/>
          <w:sz w:val="22"/>
          <w:szCs w:val="22"/>
        </w:rPr>
        <w:t>ed</w:t>
      </w:r>
      <w:r w:rsidRPr="008B55C6">
        <w:rPr>
          <w:rFonts w:cs="Arial"/>
          <w:sz w:val="22"/>
          <w:szCs w:val="22"/>
        </w:rPr>
        <w:t xml:space="preserve"> moderately correlated with </w:t>
      </w:r>
      <w:r>
        <w:rPr>
          <w:rFonts w:cs="Arial"/>
          <w:sz w:val="22"/>
          <w:szCs w:val="22"/>
        </w:rPr>
        <w:t xml:space="preserve">heart failure </w:t>
      </w:r>
      <w:r w:rsidRPr="008B55C6">
        <w:rPr>
          <w:rFonts w:cs="Arial"/>
          <w:sz w:val="22"/>
          <w:szCs w:val="22"/>
        </w:rPr>
        <w:t>mean score</w:t>
      </w:r>
      <w:r>
        <w:rPr>
          <w:rFonts w:cs="Arial"/>
          <w:sz w:val="22"/>
          <w:szCs w:val="22"/>
        </w:rPr>
        <w:t>,</w:t>
      </w:r>
      <w:r w:rsidRPr="008B55C6">
        <w:rPr>
          <w:rFonts w:cs="Arial"/>
          <w:sz w:val="22"/>
          <w:szCs w:val="22"/>
        </w:rPr>
        <w:t xml:space="preserve"> where the higher the number of incidents the higher the mean </w:t>
      </w:r>
      <w:r>
        <w:rPr>
          <w:rFonts w:cs="Arial"/>
          <w:sz w:val="22"/>
          <w:szCs w:val="22"/>
        </w:rPr>
        <w:t>heart failure</w:t>
      </w:r>
      <w:r w:rsidRPr="008B55C6">
        <w:rPr>
          <w:rFonts w:cs="Arial"/>
          <w:sz w:val="22"/>
          <w:szCs w:val="22"/>
        </w:rPr>
        <w:t xml:space="preserve"> score. </w:t>
      </w:r>
      <w:r>
        <w:rPr>
          <w:rFonts w:cs="Arial"/>
          <w:sz w:val="22"/>
          <w:szCs w:val="22"/>
        </w:rPr>
        <w:t>The p</w:t>
      </w:r>
      <w:r w:rsidRPr="008B55C6">
        <w:rPr>
          <w:rFonts w:cs="Arial"/>
          <w:sz w:val="22"/>
          <w:szCs w:val="22"/>
        </w:rPr>
        <w:t xml:space="preserve">ercentage of </w:t>
      </w:r>
      <w:r>
        <w:rPr>
          <w:rFonts w:cs="Arial"/>
          <w:sz w:val="22"/>
          <w:szCs w:val="22"/>
        </w:rPr>
        <w:t>heart failure patients dy</w:t>
      </w:r>
      <w:r w:rsidRPr="008B55C6">
        <w:rPr>
          <w:rFonts w:cs="Arial"/>
          <w:sz w:val="22"/>
          <w:szCs w:val="22"/>
        </w:rPr>
        <w:t xml:space="preserve">ing in hospital within 28 days moderately correlated with </w:t>
      </w:r>
      <w:r>
        <w:rPr>
          <w:rFonts w:cs="Arial"/>
          <w:sz w:val="22"/>
          <w:szCs w:val="22"/>
        </w:rPr>
        <w:t xml:space="preserve">heart failure </w:t>
      </w:r>
      <w:r w:rsidRPr="008B55C6">
        <w:rPr>
          <w:rFonts w:cs="Arial"/>
          <w:sz w:val="22"/>
          <w:szCs w:val="22"/>
        </w:rPr>
        <w:t xml:space="preserve">mean score: the lower the percentage of patients who die within 28 days the higher the mean score. Finally, NHS staff survey Q24b system for reporting error </w:t>
      </w:r>
      <w:r>
        <w:rPr>
          <w:rFonts w:cs="Arial"/>
          <w:sz w:val="22"/>
          <w:szCs w:val="22"/>
        </w:rPr>
        <w:t>(</w:t>
      </w:r>
      <w:r w:rsidRPr="008B55C6">
        <w:rPr>
          <w:rFonts w:cs="Arial"/>
          <w:sz w:val="22"/>
          <w:szCs w:val="22"/>
        </w:rPr>
        <w:t>%</w:t>
      </w:r>
      <w:r>
        <w:rPr>
          <w:rFonts w:cs="Arial"/>
          <w:sz w:val="22"/>
          <w:szCs w:val="22"/>
        </w:rPr>
        <w:t xml:space="preserve"> replying that they did not k</w:t>
      </w:r>
      <w:r w:rsidRPr="008B55C6">
        <w:rPr>
          <w:rFonts w:cs="Arial"/>
          <w:sz w:val="22"/>
          <w:szCs w:val="22"/>
        </w:rPr>
        <w:t>no</w:t>
      </w:r>
      <w:r>
        <w:rPr>
          <w:rFonts w:cs="Arial"/>
          <w:sz w:val="22"/>
          <w:szCs w:val="22"/>
        </w:rPr>
        <w:t>w of the system)</w:t>
      </w:r>
      <w:r w:rsidRPr="008B55C6">
        <w:rPr>
          <w:rFonts w:cs="Arial"/>
          <w:sz w:val="22"/>
          <w:szCs w:val="22"/>
        </w:rPr>
        <w:t xml:space="preserve"> is no longer strongly correlated with mean </w:t>
      </w:r>
      <w:r>
        <w:rPr>
          <w:rFonts w:cs="Arial"/>
          <w:sz w:val="22"/>
          <w:szCs w:val="22"/>
        </w:rPr>
        <w:t>heart failure</w:t>
      </w:r>
      <w:r w:rsidRPr="008B55C6">
        <w:rPr>
          <w:rFonts w:cs="Arial"/>
          <w:sz w:val="22"/>
          <w:szCs w:val="22"/>
        </w:rPr>
        <w:t xml:space="preserve"> score</w:t>
      </w:r>
      <w:r>
        <w:rPr>
          <w:rFonts w:cs="Arial"/>
          <w:sz w:val="22"/>
          <w:szCs w:val="22"/>
        </w:rPr>
        <w:t>.</w:t>
      </w:r>
      <w:r w:rsidRPr="008B55C6">
        <w:rPr>
          <w:rFonts w:cs="Arial"/>
          <w:sz w:val="22"/>
          <w:szCs w:val="22"/>
        </w:rPr>
        <w:t xml:space="preserve"> </w:t>
      </w:r>
    </w:p>
    <w:p w14:paraId="3141DDEB" w14:textId="77777777" w:rsidR="000923BB" w:rsidRDefault="000923BB" w:rsidP="000923BB">
      <w:pPr>
        <w:jc w:val="both"/>
        <w:rPr>
          <w:rFonts w:cs="Arial"/>
          <w:b/>
          <w:i/>
          <w:sz w:val="22"/>
          <w:szCs w:val="22"/>
        </w:rPr>
      </w:pPr>
    </w:p>
    <w:p w14:paraId="46EB5C3C" w14:textId="77777777" w:rsidR="000923BB" w:rsidRPr="003419C8" w:rsidRDefault="000923BB" w:rsidP="000923BB">
      <w:pPr>
        <w:jc w:val="both"/>
        <w:rPr>
          <w:rFonts w:cs="Arial"/>
          <w:b/>
          <w:i/>
          <w:sz w:val="22"/>
          <w:szCs w:val="22"/>
        </w:rPr>
      </w:pPr>
      <w:r w:rsidRPr="003419C8">
        <w:rPr>
          <w:rFonts w:cs="Arial"/>
          <w:b/>
          <w:i/>
          <w:sz w:val="22"/>
          <w:szCs w:val="22"/>
        </w:rPr>
        <w:t>Regression Analysis</w:t>
      </w:r>
    </w:p>
    <w:p w14:paraId="4E3E37CC" w14:textId="77777777" w:rsidR="000923BB" w:rsidRDefault="000923BB" w:rsidP="000923BB">
      <w:pPr>
        <w:jc w:val="both"/>
        <w:rPr>
          <w:rFonts w:cs="Arial"/>
          <w:sz w:val="22"/>
          <w:szCs w:val="22"/>
        </w:rPr>
      </w:pPr>
    </w:p>
    <w:p w14:paraId="43EF6A52" w14:textId="77777777" w:rsidR="000923BB" w:rsidRPr="004E6115" w:rsidRDefault="000923BB" w:rsidP="000923BB">
      <w:pPr>
        <w:jc w:val="both"/>
        <w:rPr>
          <w:rFonts w:cs="Arial"/>
          <w:sz w:val="22"/>
          <w:szCs w:val="22"/>
        </w:rPr>
      </w:pPr>
      <w:r w:rsidRPr="004E6115">
        <w:rPr>
          <w:rFonts w:cs="Arial"/>
          <w:sz w:val="22"/>
          <w:szCs w:val="22"/>
        </w:rPr>
        <w:t xml:space="preserve">A priori, one of the objectives of this analysis was to fit multiple regression models to COPD and </w:t>
      </w:r>
      <w:r>
        <w:rPr>
          <w:rFonts w:cs="Arial"/>
          <w:sz w:val="22"/>
          <w:szCs w:val="22"/>
        </w:rPr>
        <w:t>heart failure</w:t>
      </w:r>
      <w:r w:rsidRPr="004E6115">
        <w:rPr>
          <w:rFonts w:cs="Arial"/>
          <w:sz w:val="22"/>
          <w:szCs w:val="22"/>
        </w:rPr>
        <w:t xml:space="preserve"> scores to establish any predictors. With a sample of 20 </w:t>
      </w:r>
      <w:r>
        <w:rPr>
          <w:rFonts w:cs="Arial"/>
          <w:sz w:val="22"/>
          <w:szCs w:val="22"/>
        </w:rPr>
        <w:t>hospitals</w:t>
      </w:r>
      <w:r w:rsidRPr="004E6115">
        <w:rPr>
          <w:rFonts w:cs="Arial"/>
          <w:sz w:val="22"/>
          <w:szCs w:val="22"/>
        </w:rPr>
        <w:t xml:space="preserve"> the number of variables in a multiple regression model should be restricted to two as anything over two would result in over fitting a model. Further</w:t>
      </w:r>
      <w:r>
        <w:rPr>
          <w:rFonts w:cs="Arial"/>
          <w:sz w:val="22"/>
          <w:szCs w:val="22"/>
        </w:rPr>
        <w:t>more,</w:t>
      </w:r>
      <w:r w:rsidRPr="004E6115">
        <w:rPr>
          <w:rFonts w:cs="Arial"/>
          <w:sz w:val="22"/>
          <w:szCs w:val="22"/>
        </w:rPr>
        <w:t xml:space="preserve"> consideration should be taken </w:t>
      </w:r>
      <w:r>
        <w:rPr>
          <w:rFonts w:cs="Arial"/>
          <w:sz w:val="22"/>
          <w:szCs w:val="22"/>
        </w:rPr>
        <w:t>o</w:t>
      </w:r>
      <w:r w:rsidRPr="004E6115">
        <w:rPr>
          <w:rFonts w:cs="Arial"/>
          <w:sz w:val="22"/>
          <w:szCs w:val="22"/>
        </w:rPr>
        <w:t>f categorical variables such as existing national targets, where each level of response (not met, partly met, almost met, fully met) counts as one variable</w:t>
      </w:r>
      <w:r>
        <w:rPr>
          <w:rFonts w:cs="Arial"/>
          <w:sz w:val="22"/>
          <w:szCs w:val="22"/>
        </w:rPr>
        <w:t xml:space="preserve"> in the regression analysis</w:t>
      </w:r>
      <w:r w:rsidRPr="004E6115">
        <w:rPr>
          <w:rFonts w:cs="Arial"/>
          <w:sz w:val="22"/>
          <w:szCs w:val="22"/>
        </w:rPr>
        <w:t xml:space="preserve"> – thus a categorical variable with three or more categories, which is the case for all categorical variables in this dataset, would result in over fitting. </w:t>
      </w:r>
    </w:p>
    <w:p w14:paraId="52CEA421" w14:textId="77777777" w:rsidR="000923BB" w:rsidRPr="004E6115" w:rsidRDefault="000923BB" w:rsidP="000923BB">
      <w:pPr>
        <w:jc w:val="both"/>
        <w:rPr>
          <w:rFonts w:cs="Arial"/>
          <w:sz w:val="22"/>
          <w:szCs w:val="22"/>
        </w:rPr>
      </w:pPr>
    </w:p>
    <w:p w14:paraId="5C7B65BF" w14:textId="77777777" w:rsidR="000923BB" w:rsidRDefault="000923BB" w:rsidP="000923BB">
      <w:pPr>
        <w:jc w:val="both"/>
        <w:rPr>
          <w:rFonts w:cs="Arial"/>
          <w:sz w:val="22"/>
          <w:szCs w:val="22"/>
        </w:rPr>
      </w:pPr>
      <w:r w:rsidRPr="004E6115">
        <w:rPr>
          <w:rFonts w:cs="Arial"/>
          <w:sz w:val="22"/>
          <w:szCs w:val="22"/>
        </w:rPr>
        <w:lastRenderedPageBreak/>
        <w:t xml:space="preserve">It was possible to fit a multiple regression model for COPD </w:t>
      </w:r>
      <w:r>
        <w:rPr>
          <w:rFonts w:cs="Arial"/>
          <w:sz w:val="22"/>
          <w:szCs w:val="22"/>
        </w:rPr>
        <w:t>criterion</w:t>
      </w:r>
      <w:r w:rsidRPr="004E6115">
        <w:rPr>
          <w:rFonts w:cs="Arial"/>
          <w:sz w:val="22"/>
          <w:szCs w:val="22"/>
        </w:rPr>
        <w:t xml:space="preserve"> score where NPSA incidents and NHS staff survey question 22f</w:t>
      </w:r>
      <w:r>
        <w:rPr>
          <w:rFonts w:cs="Arial"/>
          <w:sz w:val="22"/>
          <w:szCs w:val="22"/>
        </w:rPr>
        <w:t xml:space="preserve"> (happy with standard of care provided)</w:t>
      </w:r>
      <w:r w:rsidRPr="004E6115">
        <w:rPr>
          <w:rFonts w:cs="Arial"/>
          <w:sz w:val="22"/>
          <w:szCs w:val="22"/>
        </w:rPr>
        <w:t xml:space="preserve"> were significant predictors of COPD score at the 10% significance level. A one unit increase in the number of incidents reported to NPSA per 100 bed days resulted in a 0.5 decrease in COPD </w:t>
      </w:r>
      <w:r>
        <w:rPr>
          <w:rFonts w:cs="Arial"/>
          <w:sz w:val="22"/>
          <w:szCs w:val="22"/>
        </w:rPr>
        <w:t>criterion</w:t>
      </w:r>
      <w:r w:rsidRPr="004E6115">
        <w:rPr>
          <w:rFonts w:cs="Arial"/>
          <w:sz w:val="22"/>
          <w:szCs w:val="22"/>
        </w:rPr>
        <w:t xml:space="preserve"> score and a one unit increase in the staff happy with standard of care resulted in a 3.14 change in COPD score. Multiple regression models were fitted using the forwards stepwise method where the most significant variable at the univariate stage is selected first.</w:t>
      </w:r>
    </w:p>
    <w:p w14:paraId="04FB2F7A" w14:textId="77777777" w:rsidR="000923BB" w:rsidRPr="004E6115" w:rsidRDefault="000923BB" w:rsidP="000923BB">
      <w:pPr>
        <w:jc w:val="both"/>
        <w:rPr>
          <w:rFonts w:cs="Arial"/>
          <w:sz w:val="22"/>
          <w:szCs w:val="22"/>
        </w:rPr>
      </w:pPr>
    </w:p>
    <w:p w14:paraId="3358FBB1" w14:textId="77777777" w:rsidR="000923BB" w:rsidRDefault="000923BB" w:rsidP="000923BB">
      <w:pPr>
        <w:jc w:val="both"/>
        <w:rPr>
          <w:rFonts w:cs="Arial"/>
          <w:sz w:val="22"/>
          <w:szCs w:val="22"/>
        </w:rPr>
      </w:pPr>
      <w:r>
        <w:rPr>
          <w:rFonts w:cs="Arial"/>
          <w:sz w:val="22"/>
          <w:szCs w:val="22"/>
        </w:rPr>
        <w:t>When the regression model was fitted to the COPD criterion score, this model only included the two variables that were significantly correlated with the score. When included in a regression model together ‘neither incidents per 100 bed days’ nor ‘NHS staff survey question 22f’ were significant at the 5% significance level (Table 17)</w:t>
      </w:r>
    </w:p>
    <w:p w14:paraId="77BC7AC2" w14:textId="77777777" w:rsidR="000923BB" w:rsidRDefault="000923BB" w:rsidP="000923BB">
      <w:pPr>
        <w:jc w:val="both"/>
        <w:rPr>
          <w:rFonts w:cs="Arial"/>
          <w:sz w:val="22"/>
          <w:szCs w:val="22"/>
        </w:rPr>
      </w:pPr>
    </w:p>
    <w:p w14:paraId="14BE4CEE" w14:textId="77777777" w:rsidR="000923BB" w:rsidRPr="00694519" w:rsidRDefault="000923BB" w:rsidP="000923BB">
      <w:pPr>
        <w:rPr>
          <w:rFonts w:cs="Arial"/>
          <w:b/>
          <w:sz w:val="20"/>
          <w:szCs w:val="20"/>
        </w:rPr>
      </w:pPr>
      <w:r w:rsidRPr="00694519">
        <w:rPr>
          <w:rFonts w:cs="Arial"/>
          <w:b/>
          <w:sz w:val="20"/>
          <w:szCs w:val="20"/>
        </w:rPr>
        <w:t>Table 17: COPD criterion score regression with outcome variables</w:t>
      </w:r>
    </w:p>
    <w:p w14:paraId="639A0207" w14:textId="77777777" w:rsidR="000923BB" w:rsidRDefault="000923BB" w:rsidP="000923BB">
      <w:pPr>
        <w:rPr>
          <w:rFonts w:cs="Arial"/>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3"/>
        <w:gridCol w:w="1783"/>
        <w:gridCol w:w="1240"/>
        <w:gridCol w:w="1024"/>
      </w:tblGrid>
      <w:tr w:rsidR="000923BB" w:rsidRPr="00F955C6" w14:paraId="0760815E" w14:textId="77777777" w:rsidTr="006C4584">
        <w:tc>
          <w:tcPr>
            <w:tcW w:w="4178" w:type="dxa"/>
          </w:tcPr>
          <w:p w14:paraId="264CAFE5" w14:textId="77777777" w:rsidR="000923BB" w:rsidRPr="00F955C6" w:rsidRDefault="000923BB" w:rsidP="003A385F">
            <w:pPr>
              <w:rPr>
                <w:rFonts w:cs="Arial"/>
                <w:sz w:val="20"/>
                <w:szCs w:val="20"/>
              </w:rPr>
            </w:pPr>
          </w:p>
        </w:tc>
        <w:tc>
          <w:tcPr>
            <w:tcW w:w="1800" w:type="dxa"/>
          </w:tcPr>
          <w:p w14:paraId="6704A680" w14:textId="77777777" w:rsidR="000923BB" w:rsidRPr="00F955C6" w:rsidRDefault="000923BB" w:rsidP="003A385F">
            <w:pPr>
              <w:jc w:val="center"/>
              <w:rPr>
                <w:rFonts w:cs="Arial"/>
                <w:sz w:val="20"/>
                <w:szCs w:val="20"/>
              </w:rPr>
            </w:pPr>
            <w:r w:rsidRPr="00F955C6">
              <w:rPr>
                <w:rFonts w:cs="Arial"/>
                <w:sz w:val="20"/>
                <w:szCs w:val="20"/>
              </w:rPr>
              <w:t xml:space="preserve">Regression coefficient </w:t>
            </w:r>
          </w:p>
          <w:p w14:paraId="38747330" w14:textId="77777777" w:rsidR="000923BB" w:rsidRPr="00F955C6" w:rsidRDefault="000923BB" w:rsidP="003A385F">
            <w:pPr>
              <w:jc w:val="center"/>
              <w:rPr>
                <w:rFonts w:cs="Arial"/>
                <w:sz w:val="20"/>
                <w:szCs w:val="20"/>
              </w:rPr>
            </w:pPr>
            <w:r w:rsidRPr="00F955C6">
              <w:rPr>
                <w:rFonts w:cs="Arial"/>
                <w:sz w:val="20"/>
                <w:szCs w:val="20"/>
              </w:rPr>
              <w:t>(standard error)</w:t>
            </w:r>
          </w:p>
        </w:tc>
        <w:tc>
          <w:tcPr>
            <w:tcW w:w="1260" w:type="dxa"/>
          </w:tcPr>
          <w:p w14:paraId="6673C77C" w14:textId="77777777" w:rsidR="000923BB" w:rsidRPr="00F955C6" w:rsidRDefault="000923BB" w:rsidP="003A385F">
            <w:pPr>
              <w:jc w:val="center"/>
              <w:rPr>
                <w:rFonts w:cs="Arial"/>
                <w:sz w:val="20"/>
                <w:szCs w:val="20"/>
              </w:rPr>
            </w:pPr>
            <w:r w:rsidRPr="00F955C6">
              <w:rPr>
                <w:rFonts w:cs="Arial"/>
                <w:sz w:val="20"/>
                <w:szCs w:val="20"/>
              </w:rPr>
              <w:t>t-test</w:t>
            </w:r>
          </w:p>
        </w:tc>
        <w:tc>
          <w:tcPr>
            <w:tcW w:w="1034" w:type="dxa"/>
          </w:tcPr>
          <w:p w14:paraId="02B8D218" w14:textId="77777777" w:rsidR="000923BB" w:rsidRPr="00F955C6" w:rsidRDefault="000923BB" w:rsidP="003A385F">
            <w:pPr>
              <w:jc w:val="center"/>
              <w:rPr>
                <w:rFonts w:cs="Arial"/>
                <w:sz w:val="20"/>
                <w:szCs w:val="20"/>
              </w:rPr>
            </w:pPr>
            <w:r w:rsidRPr="00F955C6">
              <w:rPr>
                <w:rFonts w:cs="Arial"/>
                <w:sz w:val="20"/>
                <w:szCs w:val="20"/>
              </w:rPr>
              <w:t>p-value</w:t>
            </w:r>
          </w:p>
        </w:tc>
      </w:tr>
      <w:tr w:rsidR="000923BB" w:rsidRPr="00F955C6" w14:paraId="7AE512D4" w14:textId="77777777" w:rsidTr="006C4584">
        <w:tc>
          <w:tcPr>
            <w:tcW w:w="4178" w:type="dxa"/>
          </w:tcPr>
          <w:p w14:paraId="1C4FB1CB" w14:textId="77777777" w:rsidR="000923BB" w:rsidRPr="00F955C6" w:rsidRDefault="000923BB" w:rsidP="003A385F">
            <w:pPr>
              <w:rPr>
                <w:rFonts w:cs="Arial"/>
                <w:sz w:val="20"/>
                <w:szCs w:val="20"/>
              </w:rPr>
            </w:pPr>
            <w:r w:rsidRPr="00F955C6">
              <w:rPr>
                <w:rFonts w:cs="Arial"/>
                <w:sz w:val="20"/>
                <w:szCs w:val="20"/>
              </w:rPr>
              <w:t>Constant</w:t>
            </w:r>
          </w:p>
        </w:tc>
        <w:tc>
          <w:tcPr>
            <w:tcW w:w="1800" w:type="dxa"/>
          </w:tcPr>
          <w:p w14:paraId="38647D86" w14:textId="77777777" w:rsidR="000923BB" w:rsidRPr="00F955C6" w:rsidRDefault="000923BB" w:rsidP="003A385F">
            <w:pPr>
              <w:jc w:val="center"/>
              <w:rPr>
                <w:rFonts w:cs="Arial"/>
                <w:sz w:val="20"/>
                <w:szCs w:val="20"/>
              </w:rPr>
            </w:pPr>
            <w:r w:rsidRPr="00F955C6">
              <w:rPr>
                <w:rFonts w:cs="Arial"/>
                <w:sz w:val="20"/>
                <w:szCs w:val="20"/>
              </w:rPr>
              <w:t>0.82 (5.48)</w:t>
            </w:r>
          </w:p>
        </w:tc>
        <w:tc>
          <w:tcPr>
            <w:tcW w:w="1260" w:type="dxa"/>
          </w:tcPr>
          <w:p w14:paraId="02303E89" w14:textId="77777777" w:rsidR="000923BB" w:rsidRPr="00F955C6" w:rsidRDefault="000923BB" w:rsidP="003A385F">
            <w:pPr>
              <w:jc w:val="center"/>
              <w:rPr>
                <w:rFonts w:cs="Arial"/>
                <w:sz w:val="20"/>
                <w:szCs w:val="20"/>
              </w:rPr>
            </w:pPr>
            <w:r w:rsidRPr="00F955C6">
              <w:rPr>
                <w:rFonts w:cs="Arial"/>
                <w:sz w:val="20"/>
                <w:szCs w:val="20"/>
              </w:rPr>
              <w:t>0.15</w:t>
            </w:r>
          </w:p>
        </w:tc>
        <w:tc>
          <w:tcPr>
            <w:tcW w:w="1034" w:type="dxa"/>
          </w:tcPr>
          <w:p w14:paraId="0FDBB616" w14:textId="77777777" w:rsidR="000923BB" w:rsidRPr="00F955C6" w:rsidRDefault="000923BB" w:rsidP="003A385F">
            <w:pPr>
              <w:jc w:val="center"/>
              <w:rPr>
                <w:rFonts w:cs="Arial"/>
                <w:sz w:val="20"/>
                <w:szCs w:val="20"/>
              </w:rPr>
            </w:pPr>
            <w:r w:rsidRPr="00F955C6">
              <w:rPr>
                <w:rFonts w:cs="Arial"/>
                <w:sz w:val="20"/>
                <w:szCs w:val="20"/>
              </w:rPr>
              <w:t>0.883</w:t>
            </w:r>
          </w:p>
        </w:tc>
      </w:tr>
      <w:tr w:rsidR="000923BB" w:rsidRPr="00F955C6" w14:paraId="3221D6DF" w14:textId="77777777" w:rsidTr="006C4584">
        <w:tc>
          <w:tcPr>
            <w:tcW w:w="4178" w:type="dxa"/>
          </w:tcPr>
          <w:p w14:paraId="41103FA2" w14:textId="77777777" w:rsidR="000923BB" w:rsidRPr="00F955C6" w:rsidRDefault="000923BB" w:rsidP="003A385F">
            <w:pPr>
              <w:rPr>
                <w:rFonts w:cs="Arial"/>
                <w:sz w:val="20"/>
                <w:szCs w:val="20"/>
              </w:rPr>
            </w:pPr>
            <w:r w:rsidRPr="00F955C6">
              <w:rPr>
                <w:rFonts w:cs="Arial"/>
                <w:sz w:val="20"/>
                <w:szCs w:val="20"/>
              </w:rPr>
              <w:t>Incidents reported to NPSA per 100 bed days</w:t>
            </w:r>
          </w:p>
        </w:tc>
        <w:tc>
          <w:tcPr>
            <w:tcW w:w="1800" w:type="dxa"/>
          </w:tcPr>
          <w:p w14:paraId="276603FE" w14:textId="77777777" w:rsidR="000923BB" w:rsidRPr="00F955C6" w:rsidRDefault="000923BB" w:rsidP="003A385F">
            <w:pPr>
              <w:jc w:val="center"/>
              <w:rPr>
                <w:rFonts w:cs="Arial"/>
                <w:sz w:val="20"/>
                <w:szCs w:val="20"/>
              </w:rPr>
            </w:pPr>
            <w:r w:rsidRPr="00F955C6">
              <w:rPr>
                <w:rFonts w:cs="Arial"/>
                <w:sz w:val="20"/>
                <w:szCs w:val="20"/>
              </w:rPr>
              <w:t>-0.50 (0.26)</w:t>
            </w:r>
          </w:p>
        </w:tc>
        <w:tc>
          <w:tcPr>
            <w:tcW w:w="1260" w:type="dxa"/>
          </w:tcPr>
          <w:p w14:paraId="0FB3EE75" w14:textId="77777777" w:rsidR="000923BB" w:rsidRPr="00F955C6" w:rsidRDefault="000923BB" w:rsidP="003A385F">
            <w:pPr>
              <w:jc w:val="center"/>
              <w:rPr>
                <w:rFonts w:cs="Arial"/>
                <w:sz w:val="20"/>
                <w:szCs w:val="20"/>
              </w:rPr>
            </w:pPr>
            <w:r w:rsidRPr="00F955C6">
              <w:rPr>
                <w:rFonts w:cs="Arial"/>
                <w:sz w:val="20"/>
                <w:szCs w:val="20"/>
              </w:rPr>
              <w:t>-1.89</w:t>
            </w:r>
          </w:p>
        </w:tc>
        <w:tc>
          <w:tcPr>
            <w:tcW w:w="1034" w:type="dxa"/>
          </w:tcPr>
          <w:p w14:paraId="04CFC76A" w14:textId="77777777" w:rsidR="000923BB" w:rsidRPr="00F955C6" w:rsidRDefault="000923BB" w:rsidP="003A385F">
            <w:pPr>
              <w:jc w:val="center"/>
              <w:rPr>
                <w:rFonts w:cs="Arial"/>
                <w:sz w:val="20"/>
                <w:szCs w:val="20"/>
              </w:rPr>
            </w:pPr>
            <w:r w:rsidRPr="00F955C6">
              <w:rPr>
                <w:rFonts w:cs="Arial"/>
                <w:sz w:val="20"/>
                <w:szCs w:val="20"/>
              </w:rPr>
              <w:t>0.076</w:t>
            </w:r>
          </w:p>
        </w:tc>
      </w:tr>
      <w:tr w:rsidR="000923BB" w:rsidRPr="00F955C6" w14:paraId="614D05EE" w14:textId="77777777" w:rsidTr="006C4584">
        <w:tc>
          <w:tcPr>
            <w:tcW w:w="4178" w:type="dxa"/>
          </w:tcPr>
          <w:p w14:paraId="573CE6AD" w14:textId="77777777" w:rsidR="000923BB" w:rsidRPr="00F955C6" w:rsidRDefault="000923BB" w:rsidP="003A385F">
            <w:pPr>
              <w:rPr>
                <w:rFonts w:cs="Arial"/>
                <w:sz w:val="20"/>
                <w:szCs w:val="20"/>
              </w:rPr>
            </w:pPr>
            <w:r w:rsidRPr="00F955C6">
              <w:rPr>
                <w:rFonts w:cs="Arial"/>
                <w:sz w:val="20"/>
                <w:szCs w:val="20"/>
              </w:rPr>
              <w:t>NHS staff survey Q22f: Happy with standard of care provided (mean)</w:t>
            </w:r>
          </w:p>
        </w:tc>
        <w:tc>
          <w:tcPr>
            <w:tcW w:w="1800" w:type="dxa"/>
          </w:tcPr>
          <w:p w14:paraId="566A677E" w14:textId="77777777" w:rsidR="000923BB" w:rsidRPr="00F955C6" w:rsidRDefault="000923BB" w:rsidP="003A385F">
            <w:pPr>
              <w:jc w:val="center"/>
              <w:rPr>
                <w:rFonts w:cs="Arial"/>
                <w:sz w:val="20"/>
                <w:szCs w:val="20"/>
              </w:rPr>
            </w:pPr>
            <w:r w:rsidRPr="00F955C6">
              <w:rPr>
                <w:rFonts w:cs="Arial"/>
                <w:sz w:val="20"/>
                <w:szCs w:val="20"/>
              </w:rPr>
              <w:t>3.14 (1.75)</w:t>
            </w:r>
          </w:p>
        </w:tc>
        <w:tc>
          <w:tcPr>
            <w:tcW w:w="1260" w:type="dxa"/>
          </w:tcPr>
          <w:p w14:paraId="4B113526" w14:textId="77777777" w:rsidR="000923BB" w:rsidRPr="00F955C6" w:rsidRDefault="000923BB" w:rsidP="003A385F">
            <w:pPr>
              <w:jc w:val="center"/>
              <w:rPr>
                <w:rFonts w:cs="Arial"/>
                <w:sz w:val="20"/>
                <w:szCs w:val="20"/>
              </w:rPr>
            </w:pPr>
            <w:r w:rsidRPr="00F955C6">
              <w:rPr>
                <w:rFonts w:cs="Arial"/>
                <w:sz w:val="20"/>
                <w:szCs w:val="20"/>
              </w:rPr>
              <w:t>1.79</w:t>
            </w:r>
          </w:p>
        </w:tc>
        <w:tc>
          <w:tcPr>
            <w:tcW w:w="1034" w:type="dxa"/>
          </w:tcPr>
          <w:p w14:paraId="6E30CD9E" w14:textId="77777777" w:rsidR="000923BB" w:rsidRPr="00F955C6" w:rsidRDefault="000923BB" w:rsidP="003A385F">
            <w:pPr>
              <w:jc w:val="center"/>
              <w:rPr>
                <w:rFonts w:cs="Arial"/>
                <w:sz w:val="20"/>
                <w:szCs w:val="20"/>
              </w:rPr>
            </w:pPr>
            <w:r w:rsidRPr="00F955C6">
              <w:rPr>
                <w:rFonts w:cs="Arial"/>
                <w:sz w:val="20"/>
                <w:szCs w:val="20"/>
              </w:rPr>
              <w:t>0.091</w:t>
            </w:r>
          </w:p>
        </w:tc>
      </w:tr>
    </w:tbl>
    <w:p w14:paraId="62E96C14" w14:textId="77777777" w:rsidR="000923BB" w:rsidRDefault="000923BB" w:rsidP="000923BB">
      <w:pPr>
        <w:rPr>
          <w:rFonts w:cs="Arial"/>
          <w:sz w:val="22"/>
          <w:szCs w:val="22"/>
        </w:rPr>
      </w:pPr>
    </w:p>
    <w:p w14:paraId="2FE41555" w14:textId="77777777" w:rsidR="000923BB" w:rsidRPr="004E6115" w:rsidRDefault="000923BB" w:rsidP="000923BB">
      <w:pPr>
        <w:jc w:val="both"/>
        <w:rPr>
          <w:rFonts w:cs="Arial"/>
          <w:sz w:val="22"/>
          <w:szCs w:val="22"/>
        </w:rPr>
      </w:pPr>
    </w:p>
    <w:p w14:paraId="5C131E17" w14:textId="77777777" w:rsidR="000923BB" w:rsidRPr="004E6115" w:rsidRDefault="000923BB" w:rsidP="000923BB">
      <w:pPr>
        <w:jc w:val="both"/>
        <w:rPr>
          <w:rFonts w:cs="Arial"/>
          <w:sz w:val="22"/>
          <w:szCs w:val="22"/>
        </w:rPr>
      </w:pPr>
      <w:r w:rsidRPr="004E6115">
        <w:rPr>
          <w:rFonts w:cs="Arial"/>
          <w:sz w:val="22"/>
          <w:szCs w:val="22"/>
        </w:rPr>
        <w:t xml:space="preserve">A multiple regression model was also fitted to </w:t>
      </w:r>
      <w:r>
        <w:rPr>
          <w:rFonts w:cs="Arial"/>
          <w:sz w:val="22"/>
          <w:szCs w:val="22"/>
        </w:rPr>
        <w:t>heart failure criterion</w:t>
      </w:r>
      <w:r w:rsidRPr="004E6115">
        <w:rPr>
          <w:rFonts w:cs="Arial"/>
          <w:sz w:val="22"/>
          <w:szCs w:val="22"/>
        </w:rPr>
        <w:t xml:space="preserve"> score, where NPSA incidents and NHS staff survey question 22f were significant predictors of </w:t>
      </w:r>
      <w:r>
        <w:rPr>
          <w:rFonts w:cs="Arial"/>
          <w:sz w:val="22"/>
          <w:szCs w:val="22"/>
        </w:rPr>
        <w:t xml:space="preserve">heart failure </w:t>
      </w:r>
      <w:r w:rsidRPr="004E6115">
        <w:rPr>
          <w:rFonts w:cs="Arial"/>
          <w:sz w:val="22"/>
          <w:szCs w:val="22"/>
        </w:rPr>
        <w:t xml:space="preserve">score at the 10% significance level. A one unit increase in the number of incidents reported to NPSA per 100 bed days resulted in a 0.21 increase in </w:t>
      </w:r>
      <w:r>
        <w:rPr>
          <w:rFonts w:cs="Arial"/>
          <w:sz w:val="22"/>
          <w:szCs w:val="22"/>
        </w:rPr>
        <w:t>heart failure criterion</w:t>
      </w:r>
      <w:r w:rsidRPr="004E6115">
        <w:rPr>
          <w:rFonts w:cs="Arial"/>
          <w:sz w:val="22"/>
          <w:szCs w:val="22"/>
        </w:rPr>
        <w:t xml:space="preserve"> score and a one unit increase in the percentage of staff reporting no to system for reporting errors resulted in a 0.11 change in </w:t>
      </w:r>
      <w:r>
        <w:rPr>
          <w:rFonts w:cs="Arial"/>
          <w:sz w:val="22"/>
          <w:szCs w:val="22"/>
        </w:rPr>
        <w:t>heart failure</w:t>
      </w:r>
      <w:r w:rsidRPr="004E6115">
        <w:rPr>
          <w:rFonts w:cs="Arial"/>
          <w:sz w:val="22"/>
          <w:szCs w:val="22"/>
        </w:rPr>
        <w:t xml:space="preserve"> score. </w:t>
      </w:r>
    </w:p>
    <w:p w14:paraId="64764BBE" w14:textId="77777777" w:rsidR="000923BB" w:rsidRDefault="000923BB" w:rsidP="000923BB">
      <w:pPr>
        <w:jc w:val="both"/>
        <w:rPr>
          <w:rFonts w:cs="Arial"/>
          <w:sz w:val="22"/>
          <w:szCs w:val="22"/>
        </w:rPr>
      </w:pPr>
      <w:r>
        <w:rPr>
          <w:rFonts w:cs="Arial"/>
          <w:sz w:val="22"/>
          <w:szCs w:val="22"/>
        </w:rPr>
        <w:t xml:space="preserve">When a regression model was fitted to the heart failure criterion score, this model only included the two variables that were significantly correlated with criterion score. When included in a regression model together incidents per 100 bed days was no longer significant when included with NHS staff survey 24b (% of staff </w:t>
      </w:r>
      <w:r w:rsidRPr="00A96980">
        <w:rPr>
          <w:rFonts w:cs="Arial"/>
          <w:sz w:val="22"/>
          <w:szCs w:val="22"/>
        </w:rPr>
        <w:t>percent reporting they did not know</w:t>
      </w:r>
      <w:r>
        <w:rPr>
          <w:rFonts w:cs="Arial"/>
          <w:sz w:val="22"/>
          <w:szCs w:val="22"/>
        </w:rPr>
        <w:t xml:space="preserve"> of the system</w:t>
      </w:r>
      <w:r w:rsidRPr="00A96980">
        <w:rPr>
          <w:rFonts w:cs="Arial"/>
          <w:sz w:val="22"/>
          <w:szCs w:val="22"/>
        </w:rPr>
        <w:t xml:space="preserve">) </w:t>
      </w:r>
      <w:r>
        <w:rPr>
          <w:rFonts w:cs="Arial"/>
          <w:sz w:val="22"/>
          <w:szCs w:val="22"/>
        </w:rPr>
        <w:t>(Table 18).</w:t>
      </w:r>
    </w:p>
    <w:p w14:paraId="2944ADBD" w14:textId="77777777" w:rsidR="000923BB" w:rsidRDefault="000923BB" w:rsidP="000923BB">
      <w:pPr>
        <w:jc w:val="both"/>
        <w:rPr>
          <w:rFonts w:cs="Arial"/>
          <w:sz w:val="22"/>
          <w:szCs w:val="22"/>
        </w:rPr>
      </w:pPr>
    </w:p>
    <w:p w14:paraId="4AC9ECD9" w14:textId="77777777" w:rsidR="000923BB" w:rsidRDefault="000923BB" w:rsidP="000923BB">
      <w:pPr>
        <w:rPr>
          <w:rFonts w:cs="Arial"/>
          <w:b/>
          <w:sz w:val="20"/>
          <w:szCs w:val="20"/>
        </w:rPr>
      </w:pPr>
    </w:p>
    <w:p w14:paraId="3F901BB8" w14:textId="77777777" w:rsidR="000923BB" w:rsidRPr="00694519" w:rsidRDefault="000923BB" w:rsidP="000923BB">
      <w:pPr>
        <w:rPr>
          <w:rFonts w:cs="Arial"/>
          <w:b/>
          <w:sz w:val="20"/>
          <w:szCs w:val="20"/>
        </w:rPr>
      </w:pPr>
      <w:r w:rsidRPr="00694519">
        <w:rPr>
          <w:rFonts w:cs="Arial"/>
          <w:b/>
          <w:sz w:val="20"/>
          <w:szCs w:val="20"/>
        </w:rPr>
        <w:t>Table 18: Heart failure criterion score regression with outcome variables</w:t>
      </w:r>
    </w:p>
    <w:p w14:paraId="16844859" w14:textId="77777777" w:rsidR="000923BB" w:rsidRPr="00694519" w:rsidRDefault="000923BB" w:rsidP="000923BB">
      <w:pPr>
        <w:rPr>
          <w:rFonts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7"/>
        <w:gridCol w:w="1985"/>
        <w:gridCol w:w="1134"/>
        <w:gridCol w:w="1134"/>
      </w:tblGrid>
      <w:tr w:rsidR="000923BB" w:rsidRPr="00F955C6" w14:paraId="0C7186D9" w14:textId="77777777" w:rsidTr="003C12FD">
        <w:tc>
          <w:tcPr>
            <w:tcW w:w="3827" w:type="dxa"/>
          </w:tcPr>
          <w:p w14:paraId="6BD84463" w14:textId="77777777" w:rsidR="000923BB" w:rsidRPr="00F955C6" w:rsidRDefault="000923BB" w:rsidP="003A385F">
            <w:pPr>
              <w:rPr>
                <w:rFonts w:cs="Arial"/>
                <w:sz w:val="20"/>
                <w:szCs w:val="20"/>
              </w:rPr>
            </w:pPr>
          </w:p>
        </w:tc>
        <w:tc>
          <w:tcPr>
            <w:tcW w:w="1985" w:type="dxa"/>
          </w:tcPr>
          <w:p w14:paraId="62C483CC" w14:textId="77777777" w:rsidR="000923BB" w:rsidRPr="00F955C6" w:rsidRDefault="000923BB" w:rsidP="003A385F">
            <w:pPr>
              <w:jc w:val="center"/>
              <w:rPr>
                <w:rFonts w:cs="Arial"/>
                <w:sz w:val="20"/>
                <w:szCs w:val="20"/>
              </w:rPr>
            </w:pPr>
            <w:r w:rsidRPr="00F955C6">
              <w:rPr>
                <w:rFonts w:cs="Arial"/>
                <w:sz w:val="20"/>
                <w:szCs w:val="20"/>
              </w:rPr>
              <w:t xml:space="preserve">Regression coefficient </w:t>
            </w:r>
          </w:p>
          <w:p w14:paraId="28011070" w14:textId="77777777" w:rsidR="000923BB" w:rsidRPr="00F955C6" w:rsidRDefault="000923BB" w:rsidP="003A385F">
            <w:pPr>
              <w:jc w:val="center"/>
              <w:rPr>
                <w:rFonts w:cs="Arial"/>
                <w:sz w:val="20"/>
                <w:szCs w:val="20"/>
              </w:rPr>
            </w:pPr>
            <w:r w:rsidRPr="00F955C6">
              <w:rPr>
                <w:rFonts w:cs="Arial"/>
                <w:sz w:val="20"/>
                <w:szCs w:val="20"/>
              </w:rPr>
              <w:t>(standard error)</w:t>
            </w:r>
          </w:p>
        </w:tc>
        <w:tc>
          <w:tcPr>
            <w:tcW w:w="1134" w:type="dxa"/>
          </w:tcPr>
          <w:p w14:paraId="4BE05EAC" w14:textId="77777777" w:rsidR="000923BB" w:rsidRPr="00F955C6" w:rsidRDefault="000923BB" w:rsidP="003A385F">
            <w:pPr>
              <w:jc w:val="center"/>
              <w:rPr>
                <w:rFonts w:cs="Arial"/>
                <w:sz w:val="20"/>
                <w:szCs w:val="20"/>
              </w:rPr>
            </w:pPr>
            <w:r w:rsidRPr="00F955C6">
              <w:rPr>
                <w:rFonts w:cs="Arial"/>
                <w:sz w:val="20"/>
                <w:szCs w:val="20"/>
              </w:rPr>
              <w:t>t-test</w:t>
            </w:r>
          </w:p>
        </w:tc>
        <w:tc>
          <w:tcPr>
            <w:tcW w:w="1134" w:type="dxa"/>
          </w:tcPr>
          <w:p w14:paraId="799CB8FC" w14:textId="77777777" w:rsidR="000923BB" w:rsidRPr="00F955C6" w:rsidRDefault="000923BB" w:rsidP="003A385F">
            <w:pPr>
              <w:jc w:val="center"/>
              <w:rPr>
                <w:rFonts w:cs="Arial"/>
                <w:sz w:val="20"/>
                <w:szCs w:val="20"/>
              </w:rPr>
            </w:pPr>
            <w:r w:rsidRPr="00F955C6">
              <w:rPr>
                <w:rFonts w:cs="Arial"/>
                <w:sz w:val="20"/>
                <w:szCs w:val="20"/>
              </w:rPr>
              <w:t>p-value</w:t>
            </w:r>
          </w:p>
        </w:tc>
      </w:tr>
      <w:tr w:rsidR="000923BB" w:rsidRPr="00F955C6" w14:paraId="62840EA3" w14:textId="77777777" w:rsidTr="003C12FD">
        <w:tc>
          <w:tcPr>
            <w:tcW w:w="3827" w:type="dxa"/>
          </w:tcPr>
          <w:p w14:paraId="7A4EEA80" w14:textId="77777777" w:rsidR="000923BB" w:rsidRPr="00F955C6" w:rsidRDefault="000923BB" w:rsidP="003A385F">
            <w:pPr>
              <w:rPr>
                <w:rFonts w:cs="Arial"/>
                <w:sz w:val="20"/>
                <w:szCs w:val="20"/>
              </w:rPr>
            </w:pPr>
            <w:r w:rsidRPr="00F955C6">
              <w:rPr>
                <w:rFonts w:cs="Arial"/>
                <w:sz w:val="20"/>
                <w:szCs w:val="20"/>
              </w:rPr>
              <w:t>Constant</w:t>
            </w:r>
          </w:p>
        </w:tc>
        <w:tc>
          <w:tcPr>
            <w:tcW w:w="1985" w:type="dxa"/>
          </w:tcPr>
          <w:p w14:paraId="40872F21" w14:textId="77777777" w:rsidR="000923BB" w:rsidRPr="00F955C6" w:rsidRDefault="000923BB" w:rsidP="003A385F">
            <w:pPr>
              <w:jc w:val="center"/>
              <w:rPr>
                <w:rFonts w:cs="Arial"/>
                <w:sz w:val="20"/>
                <w:szCs w:val="20"/>
              </w:rPr>
            </w:pPr>
            <w:r w:rsidRPr="00F955C6">
              <w:rPr>
                <w:rFonts w:cs="Arial"/>
                <w:sz w:val="20"/>
                <w:szCs w:val="20"/>
              </w:rPr>
              <w:t>7.30 (0.19)</w:t>
            </w:r>
          </w:p>
        </w:tc>
        <w:tc>
          <w:tcPr>
            <w:tcW w:w="1134" w:type="dxa"/>
          </w:tcPr>
          <w:p w14:paraId="1D27DDEE" w14:textId="77777777" w:rsidR="000923BB" w:rsidRPr="00F955C6" w:rsidRDefault="000923BB" w:rsidP="003A385F">
            <w:pPr>
              <w:jc w:val="center"/>
              <w:rPr>
                <w:rFonts w:cs="Arial"/>
                <w:sz w:val="20"/>
                <w:szCs w:val="20"/>
              </w:rPr>
            </w:pPr>
            <w:r w:rsidRPr="00F955C6">
              <w:rPr>
                <w:rFonts w:cs="Arial"/>
                <w:sz w:val="20"/>
                <w:szCs w:val="20"/>
              </w:rPr>
              <w:t>38.98</w:t>
            </w:r>
          </w:p>
        </w:tc>
        <w:tc>
          <w:tcPr>
            <w:tcW w:w="1134" w:type="dxa"/>
          </w:tcPr>
          <w:p w14:paraId="1D79BE3E" w14:textId="77777777" w:rsidR="000923BB" w:rsidRPr="00F955C6" w:rsidRDefault="000923BB" w:rsidP="003A385F">
            <w:pPr>
              <w:jc w:val="center"/>
              <w:rPr>
                <w:rFonts w:cs="Arial"/>
                <w:sz w:val="20"/>
                <w:szCs w:val="20"/>
              </w:rPr>
            </w:pPr>
            <w:r w:rsidRPr="00F955C6">
              <w:rPr>
                <w:rFonts w:cs="Arial"/>
                <w:sz w:val="20"/>
                <w:szCs w:val="20"/>
              </w:rPr>
              <w:t>&lt; 0.001</w:t>
            </w:r>
          </w:p>
        </w:tc>
      </w:tr>
      <w:tr w:rsidR="000923BB" w:rsidRPr="00F955C6" w14:paraId="53832F9C" w14:textId="77777777" w:rsidTr="003C12FD">
        <w:tc>
          <w:tcPr>
            <w:tcW w:w="3827" w:type="dxa"/>
          </w:tcPr>
          <w:p w14:paraId="7F32734E" w14:textId="77777777" w:rsidR="000923BB" w:rsidRPr="00F955C6" w:rsidRDefault="000923BB" w:rsidP="003A385F">
            <w:pPr>
              <w:rPr>
                <w:rFonts w:cs="Arial"/>
                <w:sz w:val="20"/>
                <w:szCs w:val="20"/>
              </w:rPr>
            </w:pPr>
            <w:r w:rsidRPr="00F955C6">
              <w:rPr>
                <w:rFonts w:cs="Arial"/>
                <w:sz w:val="20"/>
                <w:szCs w:val="20"/>
              </w:rPr>
              <w:t xml:space="preserve">Incidents reported to NPSA per 100 bed days </w:t>
            </w:r>
          </w:p>
        </w:tc>
        <w:tc>
          <w:tcPr>
            <w:tcW w:w="1985" w:type="dxa"/>
          </w:tcPr>
          <w:p w14:paraId="4D7E6D59" w14:textId="77777777" w:rsidR="000923BB" w:rsidRPr="00F955C6" w:rsidRDefault="000923BB" w:rsidP="003A385F">
            <w:pPr>
              <w:jc w:val="center"/>
              <w:rPr>
                <w:rFonts w:cs="Arial"/>
                <w:sz w:val="20"/>
                <w:szCs w:val="20"/>
              </w:rPr>
            </w:pPr>
            <w:r w:rsidRPr="00F955C6">
              <w:rPr>
                <w:rFonts w:cs="Arial"/>
                <w:sz w:val="20"/>
                <w:szCs w:val="20"/>
              </w:rPr>
              <w:t>0.21 (0.12)</w:t>
            </w:r>
          </w:p>
        </w:tc>
        <w:tc>
          <w:tcPr>
            <w:tcW w:w="1134" w:type="dxa"/>
          </w:tcPr>
          <w:p w14:paraId="0635CC79" w14:textId="77777777" w:rsidR="000923BB" w:rsidRPr="00F955C6" w:rsidRDefault="000923BB" w:rsidP="003A385F">
            <w:pPr>
              <w:jc w:val="center"/>
              <w:rPr>
                <w:rFonts w:cs="Arial"/>
                <w:sz w:val="20"/>
                <w:szCs w:val="20"/>
              </w:rPr>
            </w:pPr>
            <w:r w:rsidRPr="00F955C6">
              <w:rPr>
                <w:rFonts w:cs="Arial"/>
                <w:sz w:val="20"/>
                <w:szCs w:val="20"/>
              </w:rPr>
              <w:t>1.77</w:t>
            </w:r>
          </w:p>
        </w:tc>
        <w:tc>
          <w:tcPr>
            <w:tcW w:w="1134" w:type="dxa"/>
          </w:tcPr>
          <w:p w14:paraId="58F1E8F7" w14:textId="77777777" w:rsidR="000923BB" w:rsidRPr="00F955C6" w:rsidRDefault="000923BB" w:rsidP="003A385F">
            <w:pPr>
              <w:jc w:val="center"/>
              <w:rPr>
                <w:rFonts w:cs="Arial"/>
                <w:sz w:val="20"/>
                <w:szCs w:val="20"/>
              </w:rPr>
            </w:pPr>
            <w:r w:rsidRPr="00F955C6">
              <w:rPr>
                <w:rFonts w:cs="Arial"/>
                <w:sz w:val="20"/>
                <w:szCs w:val="20"/>
              </w:rPr>
              <w:t>0.095</w:t>
            </w:r>
          </w:p>
        </w:tc>
      </w:tr>
      <w:tr w:rsidR="000923BB" w:rsidRPr="00F955C6" w14:paraId="6C6664AB" w14:textId="77777777" w:rsidTr="003C12FD">
        <w:tc>
          <w:tcPr>
            <w:tcW w:w="3827" w:type="dxa"/>
          </w:tcPr>
          <w:p w14:paraId="6AC65261" w14:textId="77777777" w:rsidR="000923BB" w:rsidRPr="00F955C6" w:rsidRDefault="000923BB" w:rsidP="003A385F">
            <w:pPr>
              <w:rPr>
                <w:rFonts w:cs="Arial"/>
                <w:sz w:val="20"/>
                <w:szCs w:val="20"/>
              </w:rPr>
            </w:pPr>
            <w:r w:rsidRPr="00F955C6">
              <w:rPr>
                <w:rFonts w:cs="Arial"/>
                <w:sz w:val="20"/>
                <w:szCs w:val="20"/>
              </w:rPr>
              <w:t>NHS staff survey Q24b: System for reporting – percent reporting they did not know</w:t>
            </w:r>
          </w:p>
        </w:tc>
        <w:tc>
          <w:tcPr>
            <w:tcW w:w="1985" w:type="dxa"/>
          </w:tcPr>
          <w:p w14:paraId="555343DB" w14:textId="77777777" w:rsidR="000923BB" w:rsidRPr="00F955C6" w:rsidRDefault="000923BB" w:rsidP="003A385F">
            <w:pPr>
              <w:jc w:val="center"/>
              <w:rPr>
                <w:rFonts w:cs="Arial"/>
                <w:sz w:val="20"/>
                <w:szCs w:val="20"/>
              </w:rPr>
            </w:pPr>
            <w:r w:rsidRPr="00F955C6">
              <w:rPr>
                <w:rFonts w:cs="Arial"/>
                <w:sz w:val="20"/>
                <w:szCs w:val="20"/>
              </w:rPr>
              <w:t>0.11 (0.04)</w:t>
            </w:r>
          </w:p>
        </w:tc>
        <w:tc>
          <w:tcPr>
            <w:tcW w:w="1134" w:type="dxa"/>
          </w:tcPr>
          <w:p w14:paraId="765F02B2" w14:textId="77777777" w:rsidR="000923BB" w:rsidRPr="00F955C6" w:rsidRDefault="000923BB" w:rsidP="003A385F">
            <w:pPr>
              <w:jc w:val="center"/>
              <w:rPr>
                <w:rFonts w:cs="Arial"/>
                <w:sz w:val="20"/>
                <w:szCs w:val="20"/>
              </w:rPr>
            </w:pPr>
            <w:r w:rsidRPr="00F955C6">
              <w:rPr>
                <w:rFonts w:cs="Arial"/>
                <w:sz w:val="20"/>
                <w:szCs w:val="20"/>
              </w:rPr>
              <w:t>2.56</w:t>
            </w:r>
          </w:p>
        </w:tc>
        <w:tc>
          <w:tcPr>
            <w:tcW w:w="1134" w:type="dxa"/>
          </w:tcPr>
          <w:p w14:paraId="35F75436" w14:textId="77777777" w:rsidR="000923BB" w:rsidRPr="00F955C6" w:rsidRDefault="000923BB" w:rsidP="003A385F">
            <w:pPr>
              <w:jc w:val="center"/>
              <w:rPr>
                <w:rFonts w:cs="Arial"/>
                <w:sz w:val="20"/>
                <w:szCs w:val="20"/>
              </w:rPr>
            </w:pPr>
            <w:r w:rsidRPr="00F955C6">
              <w:rPr>
                <w:rFonts w:cs="Arial"/>
                <w:sz w:val="20"/>
                <w:szCs w:val="20"/>
              </w:rPr>
              <w:t>0.020</w:t>
            </w:r>
          </w:p>
        </w:tc>
      </w:tr>
    </w:tbl>
    <w:p w14:paraId="2F30F825" w14:textId="77777777" w:rsidR="00CA3A5B" w:rsidRDefault="00CA3A5B" w:rsidP="000923BB">
      <w:pPr>
        <w:jc w:val="both"/>
        <w:rPr>
          <w:rFonts w:cs="Arial"/>
          <w:sz w:val="22"/>
          <w:szCs w:val="22"/>
        </w:rPr>
      </w:pPr>
    </w:p>
    <w:p w14:paraId="04AC7F62" w14:textId="77777777" w:rsidR="000923BB" w:rsidRPr="004E6115" w:rsidRDefault="000923BB" w:rsidP="000923BB">
      <w:pPr>
        <w:jc w:val="both"/>
        <w:rPr>
          <w:rFonts w:cs="Arial"/>
          <w:sz w:val="22"/>
          <w:szCs w:val="22"/>
        </w:rPr>
      </w:pPr>
      <w:r w:rsidRPr="004E6115">
        <w:rPr>
          <w:rFonts w:cs="Arial"/>
          <w:sz w:val="22"/>
          <w:szCs w:val="22"/>
        </w:rPr>
        <w:t>For the remaining four analys</w:t>
      </w:r>
      <w:r>
        <w:rPr>
          <w:rFonts w:cs="Arial"/>
          <w:sz w:val="22"/>
          <w:szCs w:val="22"/>
        </w:rPr>
        <w:t>e</w:t>
      </w:r>
      <w:r w:rsidRPr="004E6115">
        <w:rPr>
          <w:rFonts w:cs="Arial"/>
          <w:sz w:val="22"/>
          <w:szCs w:val="22"/>
        </w:rPr>
        <w:t xml:space="preserve">s it was not possible to fit a multiple regression model, either because no two variables were significant in the same model or due to problems with over fitting for categorical variables. </w:t>
      </w:r>
    </w:p>
    <w:p w14:paraId="689F8134" w14:textId="77777777" w:rsidR="000923BB" w:rsidRPr="007225F2" w:rsidRDefault="000923BB" w:rsidP="000923BB">
      <w:pPr>
        <w:rPr>
          <w:rFonts w:cs="Arial"/>
          <w:b/>
        </w:rPr>
      </w:pPr>
      <w:r w:rsidRPr="005D0C0C">
        <w:rPr>
          <w:rFonts w:cs="Arial"/>
          <w:sz w:val="22"/>
          <w:szCs w:val="22"/>
        </w:rPr>
        <w:br w:type="page"/>
      </w:r>
      <w:r w:rsidRPr="007225F2">
        <w:rPr>
          <w:rFonts w:cs="Arial"/>
          <w:b/>
        </w:rPr>
        <w:lastRenderedPageBreak/>
        <w:t xml:space="preserve">Conclusions </w:t>
      </w:r>
    </w:p>
    <w:p w14:paraId="4A2CA758" w14:textId="77777777" w:rsidR="000923BB" w:rsidRDefault="000923BB" w:rsidP="000923BB">
      <w:pPr>
        <w:rPr>
          <w:rFonts w:cs="Arial"/>
          <w:sz w:val="22"/>
          <w:szCs w:val="22"/>
        </w:rPr>
      </w:pPr>
    </w:p>
    <w:p w14:paraId="2E1CB3AF" w14:textId="77777777" w:rsidR="000923BB" w:rsidRDefault="000923BB" w:rsidP="000923BB">
      <w:pPr>
        <w:jc w:val="both"/>
        <w:rPr>
          <w:rFonts w:cs="Arial"/>
          <w:sz w:val="22"/>
          <w:szCs w:val="22"/>
        </w:rPr>
      </w:pPr>
      <w:r>
        <w:rPr>
          <w:rFonts w:cs="Arial"/>
          <w:sz w:val="22"/>
          <w:szCs w:val="22"/>
        </w:rPr>
        <w:t xml:space="preserve">This part of the study set out to explore </w:t>
      </w:r>
      <w:r w:rsidRPr="005D0C0C">
        <w:rPr>
          <w:rFonts w:cs="Arial"/>
          <w:sz w:val="22"/>
          <w:szCs w:val="22"/>
        </w:rPr>
        <w:t>how much of the variance in outcome for two important clinical conditions</w:t>
      </w:r>
      <w:r>
        <w:rPr>
          <w:rFonts w:cs="Arial"/>
          <w:sz w:val="22"/>
          <w:szCs w:val="22"/>
        </w:rPr>
        <w:t xml:space="preserve"> (COPD and heart failure)</w:t>
      </w:r>
      <w:r w:rsidRPr="005D0C0C">
        <w:rPr>
          <w:rFonts w:cs="Arial"/>
          <w:sz w:val="22"/>
          <w:szCs w:val="22"/>
        </w:rPr>
        <w:t xml:space="preserve"> can be attributed to differences in quality of clinical care in acute hospitals.</w:t>
      </w:r>
      <w:r>
        <w:rPr>
          <w:rFonts w:cs="Arial"/>
          <w:sz w:val="22"/>
          <w:szCs w:val="22"/>
        </w:rPr>
        <w:t xml:space="preserve"> The main findings are:</w:t>
      </w:r>
    </w:p>
    <w:p w14:paraId="1E261CD0" w14:textId="77777777" w:rsidR="000923BB" w:rsidRDefault="000923BB" w:rsidP="000923BB">
      <w:pPr>
        <w:jc w:val="both"/>
        <w:rPr>
          <w:rFonts w:cs="Arial"/>
          <w:sz w:val="22"/>
          <w:szCs w:val="22"/>
        </w:rPr>
      </w:pPr>
      <w:r>
        <w:rPr>
          <w:rFonts w:cs="Arial"/>
          <w:sz w:val="22"/>
          <w:szCs w:val="22"/>
        </w:rPr>
        <w:t xml:space="preserve"> </w:t>
      </w:r>
    </w:p>
    <w:p w14:paraId="372C220B" w14:textId="77777777" w:rsidR="000923BB" w:rsidRDefault="000923BB" w:rsidP="008A6C6D">
      <w:pPr>
        <w:numPr>
          <w:ilvl w:val="0"/>
          <w:numId w:val="23"/>
        </w:numPr>
        <w:spacing w:after="0" w:line="240" w:lineRule="auto"/>
        <w:jc w:val="both"/>
        <w:rPr>
          <w:rFonts w:cs="Arial"/>
          <w:sz w:val="22"/>
          <w:szCs w:val="22"/>
        </w:rPr>
      </w:pPr>
      <w:r>
        <w:rPr>
          <w:rFonts w:cs="Arial"/>
          <w:sz w:val="22"/>
          <w:szCs w:val="22"/>
        </w:rPr>
        <w:t>Within hospital and between hospital variation in quality of care can be identified from a combination of holistic scale scores and criterion based review.</w:t>
      </w:r>
    </w:p>
    <w:p w14:paraId="3322C89A" w14:textId="77777777" w:rsidR="000923BB" w:rsidRDefault="000923BB" w:rsidP="000923BB">
      <w:pPr>
        <w:jc w:val="both"/>
        <w:rPr>
          <w:rFonts w:cs="Arial"/>
        </w:rPr>
      </w:pPr>
    </w:p>
    <w:p w14:paraId="58769628" w14:textId="77777777" w:rsidR="000923BB" w:rsidRDefault="000923BB" w:rsidP="008A6C6D">
      <w:pPr>
        <w:numPr>
          <w:ilvl w:val="0"/>
          <w:numId w:val="23"/>
        </w:numPr>
        <w:spacing w:after="0" w:line="240" w:lineRule="auto"/>
        <w:jc w:val="both"/>
        <w:rPr>
          <w:rFonts w:cs="Arial"/>
          <w:sz w:val="22"/>
          <w:szCs w:val="22"/>
        </w:rPr>
      </w:pPr>
      <w:r>
        <w:rPr>
          <w:rFonts w:cs="Arial"/>
          <w:sz w:val="22"/>
          <w:szCs w:val="22"/>
        </w:rPr>
        <w:t>While there were trends towards hospitals having lower mortality also having higher quality of care scores, none of these differences were statistically significant</w:t>
      </w:r>
    </w:p>
    <w:p w14:paraId="586B710B" w14:textId="77777777" w:rsidR="000923BB" w:rsidRDefault="000923BB" w:rsidP="000923BB">
      <w:pPr>
        <w:jc w:val="both"/>
        <w:rPr>
          <w:rFonts w:cs="Arial"/>
          <w:sz w:val="22"/>
          <w:szCs w:val="22"/>
        </w:rPr>
      </w:pPr>
    </w:p>
    <w:p w14:paraId="2CDC9E25" w14:textId="77777777" w:rsidR="000923BB" w:rsidRDefault="000923BB" w:rsidP="008A6C6D">
      <w:pPr>
        <w:numPr>
          <w:ilvl w:val="0"/>
          <w:numId w:val="23"/>
        </w:numPr>
        <w:spacing w:after="0" w:line="240" w:lineRule="auto"/>
        <w:jc w:val="both"/>
        <w:rPr>
          <w:rFonts w:cs="Arial"/>
          <w:sz w:val="22"/>
          <w:szCs w:val="22"/>
        </w:rPr>
      </w:pPr>
      <w:r>
        <w:rPr>
          <w:rFonts w:cs="Arial"/>
          <w:sz w:val="22"/>
          <w:szCs w:val="22"/>
        </w:rPr>
        <w:t xml:space="preserve">Although there were some correlations between quality of care scores and hospital level outcome data, there was no clear relationship between the quality of care and hospital level outcomes for the two indicator conditions in this study. This may reflect the complexity of the process/outcome relationship at the patient group level.  </w:t>
      </w:r>
    </w:p>
    <w:p w14:paraId="26ABC18B" w14:textId="77777777" w:rsidR="000923BB" w:rsidRDefault="000923BB" w:rsidP="000923BB">
      <w:pPr>
        <w:jc w:val="both"/>
        <w:rPr>
          <w:rFonts w:cs="Arial"/>
          <w:sz w:val="22"/>
          <w:szCs w:val="22"/>
        </w:rPr>
      </w:pPr>
    </w:p>
    <w:p w14:paraId="262CABA4" w14:textId="77777777" w:rsidR="000923BB" w:rsidRDefault="000923BB" w:rsidP="008A6C6D">
      <w:pPr>
        <w:numPr>
          <w:ilvl w:val="0"/>
          <w:numId w:val="23"/>
        </w:numPr>
        <w:spacing w:after="0" w:line="240" w:lineRule="auto"/>
        <w:jc w:val="both"/>
        <w:rPr>
          <w:rFonts w:cs="Arial"/>
          <w:sz w:val="22"/>
          <w:szCs w:val="22"/>
        </w:rPr>
      </w:pPr>
      <w:r>
        <w:rPr>
          <w:rFonts w:cs="Arial"/>
          <w:sz w:val="22"/>
          <w:szCs w:val="22"/>
        </w:rPr>
        <w:t xml:space="preserve">Available hospital level outcome indicator data are probably insufficiently sensitive to reflect the quality of care recorded in patient case notes.  Furthermore, the nuances of patient care may mean that high quality care may be given even when the patient’s outcome appears poor, and vice versa.  These findings may be pointing to process measures as being more useful than outcome measures when reviewing the case notes of people who have chronic disease or multiple conditions. </w:t>
      </w:r>
    </w:p>
    <w:p w14:paraId="1AC18A9F" w14:textId="77777777" w:rsidR="000923BB" w:rsidRDefault="000923BB" w:rsidP="000923BB">
      <w:pPr>
        <w:jc w:val="both"/>
        <w:rPr>
          <w:rFonts w:cs="Arial"/>
          <w:sz w:val="22"/>
          <w:szCs w:val="22"/>
        </w:rPr>
      </w:pPr>
    </w:p>
    <w:p w14:paraId="0DEFB9A6" w14:textId="77777777" w:rsidR="000923BB" w:rsidRDefault="000923BB" w:rsidP="000923BB">
      <w:pPr>
        <w:jc w:val="both"/>
        <w:rPr>
          <w:rFonts w:cs="Arial"/>
          <w:sz w:val="22"/>
          <w:szCs w:val="22"/>
        </w:rPr>
      </w:pPr>
      <w:r>
        <w:rPr>
          <w:rFonts w:cs="Arial"/>
          <w:sz w:val="22"/>
          <w:szCs w:val="22"/>
        </w:rPr>
        <w:t xml:space="preserve">The study explored a complex methodological and clinical question and the extent to which it can be investigated is dependent on a number of factors, particularly in this study related to the available outcome measures and the availability of process of care measures.  Choice of outcome measure can be critical in exploring the relationship between the process and outcome of care.  For example, the death of a patient (outcome) in the terminal stages of a chronic illness may not be influenced even by the highest quality of care (process).   </w:t>
      </w:r>
    </w:p>
    <w:p w14:paraId="40B1DE83" w14:textId="77777777" w:rsidR="000923BB" w:rsidRDefault="000923BB" w:rsidP="000923BB">
      <w:pPr>
        <w:jc w:val="both"/>
        <w:rPr>
          <w:rFonts w:cs="Arial"/>
          <w:sz w:val="22"/>
          <w:szCs w:val="22"/>
        </w:rPr>
      </w:pPr>
    </w:p>
    <w:p w14:paraId="02B20CD4" w14:textId="77777777" w:rsidR="000923BB" w:rsidRDefault="000923BB" w:rsidP="000923BB">
      <w:pPr>
        <w:jc w:val="both"/>
        <w:rPr>
          <w:rFonts w:cs="Arial"/>
          <w:sz w:val="22"/>
          <w:szCs w:val="22"/>
        </w:rPr>
      </w:pPr>
      <w:r>
        <w:rPr>
          <w:rFonts w:cs="Arial"/>
          <w:sz w:val="22"/>
          <w:szCs w:val="22"/>
        </w:rPr>
        <w:t>Previous studies have already indicated that the relationship between process and outcome is difficult to assess and the systematic review by Pitches et a</w:t>
      </w:r>
      <w:r w:rsidRPr="007225F2">
        <w:rPr>
          <w:rFonts w:cs="Arial"/>
          <w:sz w:val="22"/>
          <w:szCs w:val="22"/>
        </w:rPr>
        <w:t>l[</w:t>
      </w:r>
      <w:r>
        <w:rPr>
          <w:rFonts w:cs="Arial"/>
          <w:sz w:val="22"/>
          <w:szCs w:val="22"/>
        </w:rPr>
        <w:t>38</w:t>
      </w:r>
      <w:r w:rsidRPr="007225F2">
        <w:rPr>
          <w:rFonts w:cs="Arial"/>
          <w:sz w:val="22"/>
          <w:szCs w:val="22"/>
        </w:rPr>
        <w:t>]</w:t>
      </w:r>
      <w:r>
        <w:rPr>
          <w:rFonts w:cs="Arial"/>
          <w:sz w:val="22"/>
          <w:szCs w:val="22"/>
        </w:rPr>
        <w:t xml:space="preserve"> found that only about half of the 51 correlations between process measures and outcome indicators in the 36 studies were positive.   </w:t>
      </w:r>
    </w:p>
    <w:p w14:paraId="03A2CE34" w14:textId="77777777" w:rsidR="000923BB" w:rsidRDefault="000923BB" w:rsidP="000923BB">
      <w:pPr>
        <w:jc w:val="both"/>
        <w:rPr>
          <w:rFonts w:cs="Arial"/>
          <w:sz w:val="22"/>
          <w:szCs w:val="22"/>
        </w:rPr>
      </w:pPr>
    </w:p>
    <w:p w14:paraId="17CD4250" w14:textId="77777777" w:rsidR="000923BB" w:rsidRDefault="000923BB" w:rsidP="000923BB">
      <w:pPr>
        <w:jc w:val="both"/>
        <w:rPr>
          <w:rFonts w:cs="Arial"/>
          <w:sz w:val="22"/>
          <w:szCs w:val="22"/>
        </w:rPr>
      </w:pPr>
      <w:r>
        <w:rPr>
          <w:rFonts w:cs="Arial"/>
          <w:sz w:val="22"/>
          <w:szCs w:val="22"/>
        </w:rPr>
        <w:lastRenderedPageBreak/>
        <w:t>Process (or quality of care) measures in this study were derived from a multi-method case note review process that was refined during phase one of the study.  For each case reviewers produced a synthesis of their perspective on the quality of care provided, rather than from direct observation.  Only the quantitative data from holistic scale scores and criterion based scores could be used for the analysis, with the holistic textual data being used to validate the reviewer’s holistic scale scores being given to overall and phases of care.</w:t>
      </w:r>
    </w:p>
    <w:p w14:paraId="3875C1FB" w14:textId="77777777" w:rsidR="000923BB" w:rsidRDefault="000923BB" w:rsidP="000923BB">
      <w:pPr>
        <w:jc w:val="both"/>
        <w:rPr>
          <w:rFonts w:cs="Arial"/>
          <w:sz w:val="22"/>
          <w:szCs w:val="22"/>
        </w:rPr>
      </w:pPr>
      <w:r>
        <w:rPr>
          <w:rFonts w:cs="Arial"/>
          <w:sz w:val="22"/>
          <w:szCs w:val="22"/>
        </w:rPr>
        <w:t xml:space="preserve">  </w:t>
      </w:r>
    </w:p>
    <w:p w14:paraId="189F9D5B" w14:textId="77777777" w:rsidR="000923BB" w:rsidRDefault="000923BB" w:rsidP="000923BB">
      <w:pPr>
        <w:jc w:val="both"/>
        <w:rPr>
          <w:rFonts w:cs="Arial"/>
          <w:sz w:val="22"/>
          <w:szCs w:val="22"/>
        </w:rPr>
      </w:pPr>
      <w:r>
        <w:rPr>
          <w:rFonts w:cs="Arial"/>
          <w:sz w:val="22"/>
          <w:szCs w:val="22"/>
        </w:rPr>
        <w:t>Condition specific mortality and proxy outcomes were derived from a range of hospital level data.  These measures were selected from a much more extensive list through a process of group discussion, drawing also on the experience in another study by the research team that examined the influence of hospital level process and outcome measures on incident reporting in acute hospitals.[53]  Resource constraints and the difficulties of obtaining research governance and patient consent meant that, though desirable, it was not possible to obtain patient level outcome data for the 1565 cases reviewed.</w:t>
      </w:r>
    </w:p>
    <w:p w14:paraId="3E645BB7" w14:textId="77777777" w:rsidR="000923BB" w:rsidRPr="0049256A" w:rsidRDefault="000923BB" w:rsidP="000923BB">
      <w:pPr>
        <w:jc w:val="both"/>
        <w:rPr>
          <w:rFonts w:cs="Arial"/>
          <w:sz w:val="22"/>
          <w:szCs w:val="22"/>
        </w:rPr>
      </w:pPr>
    </w:p>
    <w:p w14:paraId="2B1F430A" w14:textId="77777777" w:rsidR="000923BB" w:rsidRDefault="000923BB" w:rsidP="000923BB">
      <w:pPr>
        <w:jc w:val="both"/>
        <w:rPr>
          <w:rFonts w:cs="Arial"/>
          <w:sz w:val="22"/>
          <w:szCs w:val="22"/>
        </w:rPr>
      </w:pPr>
      <w:r w:rsidRPr="0049256A">
        <w:rPr>
          <w:rFonts w:cs="Arial"/>
          <w:sz w:val="22"/>
          <w:szCs w:val="22"/>
        </w:rPr>
        <w:t xml:space="preserve">In seeking to explore the relationship between the quality of care for </w:t>
      </w:r>
      <w:r>
        <w:rPr>
          <w:rFonts w:cs="Arial"/>
          <w:sz w:val="22"/>
          <w:szCs w:val="22"/>
        </w:rPr>
        <w:t>the two tracer</w:t>
      </w:r>
      <w:r w:rsidRPr="0049256A">
        <w:rPr>
          <w:rFonts w:cs="Arial"/>
          <w:sz w:val="22"/>
          <w:szCs w:val="22"/>
        </w:rPr>
        <w:t xml:space="preserve"> conditions in hospitals and overall quality of care and quality markers across hospital institutions</w:t>
      </w:r>
      <w:r>
        <w:rPr>
          <w:rFonts w:cs="Arial"/>
          <w:sz w:val="22"/>
          <w:szCs w:val="22"/>
        </w:rPr>
        <w:t xml:space="preserve">, we found only a limited number of positive associations.  Correlations with continuous outcome data, where positive (Table 1), mainly reflected the selection of mortality to group the hospitals.  </w:t>
      </w:r>
    </w:p>
    <w:p w14:paraId="695B9C04" w14:textId="77777777" w:rsidR="000923BB" w:rsidRDefault="000923BB" w:rsidP="000923BB">
      <w:pPr>
        <w:jc w:val="both"/>
        <w:rPr>
          <w:rFonts w:cs="Arial"/>
          <w:sz w:val="22"/>
          <w:szCs w:val="22"/>
        </w:rPr>
      </w:pPr>
    </w:p>
    <w:p w14:paraId="7A7D26EE" w14:textId="77777777" w:rsidR="000923BB" w:rsidRDefault="000923BB" w:rsidP="000923BB">
      <w:pPr>
        <w:jc w:val="both"/>
        <w:rPr>
          <w:rFonts w:cs="Arial"/>
          <w:sz w:val="22"/>
          <w:szCs w:val="22"/>
        </w:rPr>
      </w:pPr>
      <w:r w:rsidRPr="004043D7">
        <w:rPr>
          <w:rFonts w:cs="Arial"/>
          <w:sz w:val="22"/>
          <w:szCs w:val="22"/>
        </w:rPr>
        <w:t>In exploring the relationship between quality of care scores and hospital mortality group, the findings are consistent for both conditions.  Across all phases of care and overall care using holistic review, and total criterion score, there was a trend towards higher mean scores for the lower mortality hospital groups</w:t>
      </w:r>
      <w:r>
        <w:rPr>
          <w:rFonts w:cs="Arial"/>
          <w:sz w:val="22"/>
          <w:szCs w:val="22"/>
        </w:rPr>
        <w:t xml:space="preserve"> (Tables 3 &amp; 4)</w:t>
      </w:r>
      <w:r w:rsidRPr="004043D7">
        <w:rPr>
          <w:rFonts w:cs="Arial"/>
          <w:sz w:val="22"/>
          <w:szCs w:val="22"/>
        </w:rPr>
        <w:t>.  However, when account was taken of clustering</w:t>
      </w:r>
      <w:r>
        <w:rPr>
          <w:rFonts w:cs="Arial"/>
          <w:sz w:val="22"/>
          <w:szCs w:val="22"/>
        </w:rPr>
        <w:t xml:space="preserve"> by reviewer</w:t>
      </w:r>
      <w:r w:rsidRPr="004043D7">
        <w:rPr>
          <w:rFonts w:cs="Arial"/>
          <w:sz w:val="22"/>
          <w:szCs w:val="22"/>
        </w:rPr>
        <w:t>, there were no statistically significant differences in scores between the two groups of hospitals.</w:t>
      </w:r>
      <w:r>
        <w:rPr>
          <w:rFonts w:cs="Arial"/>
          <w:sz w:val="22"/>
          <w:szCs w:val="22"/>
        </w:rPr>
        <w:t xml:space="preserve"> These results are supported by the finding that there are no statistical differences for the mean holistic scale scores between the higher and lower mortality hospitals (Tables 5 – 8).   </w:t>
      </w:r>
    </w:p>
    <w:p w14:paraId="2E4B84BA" w14:textId="77777777" w:rsidR="000923BB" w:rsidRDefault="000923BB" w:rsidP="000923BB">
      <w:pPr>
        <w:jc w:val="both"/>
        <w:rPr>
          <w:rFonts w:cs="Arial"/>
          <w:sz w:val="22"/>
          <w:szCs w:val="22"/>
        </w:rPr>
      </w:pPr>
    </w:p>
    <w:p w14:paraId="222FAE9C" w14:textId="77777777" w:rsidR="000923BB" w:rsidRDefault="000923BB" w:rsidP="000923BB">
      <w:pPr>
        <w:jc w:val="both"/>
        <w:rPr>
          <w:rFonts w:cs="Arial"/>
          <w:sz w:val="22"/>
          <w:szCs w:val="22"/>
        </w:rPr>
      </w:pPr>
      <w:r>
        <w:rPr>
          <w:rFonts w:cs="Arial"/>
          <w:sz w:val="22"/>
          <w:szCs w:val="22"/>
        </w:rPr>
        <w:t xml:space="preserve">If the quality of care is good for one condition in a hospital </w:t>
      </w:r>
      <w:r w:rsidRPr="005D0C0C">
        <w:rPr>
          <w:rFonts w:cs="Arial"/>
          <w:sz w:val="22"/>
          <w:szCs w:val="22"/>
        </w:rPr>
        <w:t>as measured by case note review</w:t>
      </w:r>
      <w:r>
        <w:rPr>
          <w:rFonts w:cs="Arial"/>
          <w:sz w:val="22"/>
          <w:szCs w:val="22"/>
        </w:rPr>
        <w:t>, should we expect that it will also be good for another condition?  From each hospital there were approximately 40 reviews available for the quality of care in COPD and in heart failure (80 reviews in total).  It might be hypothesised that a hospital from the lower mortality group might be expected to have higher quality of care scores– and that the levels of quality of care for the two conditions within each hospital bear some relationship.  We did not find this – in general scores were only slightly higher in the lower mortality group than in the higher mortality hospital group. Analysis (Figure 3) shows that there is little association within hospitals and we are unable to show that better</w:t>
      </w:r>
      <w:r w:rsidRPr="005D0C0C">
        <w:rPr>
          <w:rFonts w:cs="Arial"/>
          <w:sz w:val="22"/>
          <w:szCs w:val="22"/>
        </w:rPr>
        <w:t xml:space="preserve"> quality care result</w:t>
      </w:r>
      <w:r>
        <w:rPr>
          <w:rFonts w:cs="Arial"/>
          <w:sz w:val="22"/>
          <w:szCs w:val="22"/>
        </w:rPr>
        <w:t>s</w:t>
      </w:r>
      <w:r w:rsidRPr="005D0C0C">
        <w:rPr>
          <w:rFonts w:cs="Arial"/>
          <w:sz w:val="22"/>
          <w:szCs w:val="22"/>
        </w:rPr>
        <w:t xml:space="preserve"> in </w:t>
      </w:r>
      <w:r>
        <w:rPr>
          <w:rFonts w:cs="Arial"/>
          <w:sz w:val="22"/>
          <w:szCs w:val="22"/>
        </w:rPr>
        <w:t xml:space="preserve">better </w:t>
      </w:r>
      <w:r w:rsidRPr="005D0C0C">
        <w:rPr>
          <w:rFonts w:cs="Arial"/>
          <w:sz w:val="22"/>
          <w:szCs w:val="22"/>
        </w:rPr>
        <w:t>quality</w:t>
      </w:r>
      <w:r>
        <w:rPr>
          <w:rFonts w:cs="Arial"/>
          <w:sz w:val="22"/>
          <w:szCs w:val="22"/>
        </w:rPr>
        <w:t xml:space="preserve"> hospital level </w:t>
      </w:r>
      <w:r w:rsidRPr="005D0C0C">
        <w:rPr>
          <w:rFonts w:cs="Arial"/>
          <w:sz w:val="22"/>
          <w:szCs w:val="22"/>
        </w:rPr>
        <w:t>outcomes</w:t>
      </w:r>
      <w:r>
        <w:rPr>
          <w:rFonts w:cs="Arial"/>
          <w:sz w:val="22"/>
          <w:szCs w:val="22"/>
        </w:rPr>
        <w:t>.</w:t>
      </w:r>
      <w:r w:rsidRPr="005D0C0C">
        <w:rPr>
          <w:rFonts w:cs="Arial"/>
          <w:sz w:val="22"/>
          <w:szCs w:val="22"/>
        </w:rPr>
        <w:t xml:space="preserve"> </w:t>
      </w:r>
    </w:p>
    <w:p w14:paraId="1A4A64C0" w14:textId="77777777" w:rsidR="000923BB" w:rsidRDefault="000923BB" w:rsidP="000923BB">
      <w:pPr>
        <w:jc w:val="both"/>
        <w:rPr>
          <w:rFonts w:cs="Arial"/>
          <w:sz w:val="22"/>
        </w:rPr>
      </w:pPr>
    </w:p>
    <w:p w14:paraId="3307D791" w14:textId="77777777" w:rsidR="000923BB" w:rsidRDefault="000923BB" w:rsidP="000923BB">
      <w:pPr>
        <w:jc w:val="both"/>
        <w:rPr>
          <w:rFonts w:cs="Arial"/>
          <w:sz w:val="22"/>
          <w:szCs w:val="22"/>
        </w:rPr>
      </w:pPr>
      <w:r>
        <w:rPr>
          <w:rFonts w:cs="Arial"/>
          <w:sz w:val="22"/>
          <w:szCs w:val="22"/>
        </w:rPr>
        <w:t xml:space="preserve"> We explored the relationships between holistic and criterion based quality of care scores on the one hand and hospital level process and outcome indicators on the other.  These indicators were drawn from a number of sources and their relationship with the outcome of quality of care for the two conditions took different forms.  Some, such as the Healthcare Commission indicators, were related to the general external reference measures. Others, particularly from the NHS staff survey, are known to be related to safety culture and incident reporting.[53]</w:t>
      </w:r>
    </w:p>
    <w:p w14:paraId="4EE5A9E5" w14:textId="77777777" w:rsidR="000923BB" w:rsidRPr="0049256A" w:rsidRDefault="000923BB" w:rsidP="000923BB">
      <w:pPr>
        <w:jc w:val="both"/>
        <w:rPr>
          <w:rFonts w:cs="Arial"/>
          <w:sz w:val="22"/>
          <w:szCs w:val="22"/>
        </w:rPr>
      </w:pPr>
    </w:p>
    <w:p w14:paraId="5BB39653" w14:textId="77777777" w:rsidR="000923BB" w:rsidRDefault="000923BB" w:rsidP="000923BB">
      <w:pPr>
        <w:jc w:val="both"/>
        <w:rPr>
          <w:rFonts w:cs="Arial"/>
          <w:sz w:val="22"/>
        </w:rPr>
      </w:pPr>
      <w:r>
        <w:rPr>
          <w:rFonts w:cs="Arial"/>
          <w:sz w:val="22"/>
        </w:rPr>
        <w:t xml:space="preserve">There are a number of positive correlations in the expected direction for holistic scale score and mean phase score data, although this is mainly for heart failure – there are only limited correlations for COPD holistic data.  However there were also a number of negative correlations for which it is difficult to find an </w:t>
      </w:r>
      <w:r w:rsidRPr="0022335C">
        <w:rPr>
          <w:rFonts w:cs="Arial"/>
          <w:sz w:val="22"/>
        </w:rPr>
        <w:t>explanation</w:t>
      </w:r>
      <w:r>
        <w:rPr>
          <w:rFonts w:cs="Arial"/>
          <w:sz w:val="22"/>
        </w:rPr>
        <w:t>. For example,</w:t>
      </w:r>
      <w:r w:rsidRPr="001528AF">
        <w:rPr>
          <w:rFonts w:cs="Arial"/>
          <w:sz w:val="22"/>
          <w:szCs w:val="22"/>
        </w:rPr>
        <w:t xml:space="preserve"> as COPD mean holistic score increases the mean score for care of patient/service users being a top priority decreased</w:t>
      </w:r>
      <w:r>
        <w:rPr>
          <w:rFonts w:cs="Arial"/>
          <w:sz w:val="22"/>
          <w:szCs w:val="22"/>
        </w:rPr>
        <w:t xml:space="preserve">.  It is possible that some of these associations are chance findings because of the number of correlations being undertaken.  However, we limited this effect by ensuring that </w:t>
      </w:r>
      <w:r>
        <w:rPr>
          <w:rFonts w:cs="Arial"/>
          <w:bCs/>
          <w:sz w:val="22"/>
          <w:szCs w:val="22"/>
        </w:rPr>
        <w:t>a</w:t>
      </w:r>
      <w:r w:rsidRPr="00652839">
        <w:rPr>
          <w:rFonts w:cs="Arial"/>
          <w:bCs/>
          <w:sz w:val="22"/>
          <w:szCs w:val="22"/>
        </w:rPr>
        <w:t xml:space="preserve">ll statistical tests were two-sided </w:t>
      </w:r>
      <w:r>
        <w:rPr>
          <w:rFonts w:cs="Arial"/>
          <w:bCs/>
          <w:sz w:val="22"/>
          <w:szCs w:val="22"/>
        </w:rPr>
        <w:t>with</w:t>
      </w:r>
      <w:r w:rsidRPr="00652839">
        <w:rPr>
          <w:rFonts w:cs="Arial"/>
          <w:bCs/>
          <w:sz w:val="22"/>
          <w:szCs w:val="22"/>
        </w:rPr>
        <w:t xml:space="preserve"> a significance level of p ≤ 0.05 </w:t>
      </w:r>
      <w:r>
        <w:rPr>
          <w:rFonts w:cs="Arial"/>
          <w:bCs/>
          <w:sz w:val="22"/>
          <w:szCs w:val="22"/>
        </w:rPr>
        <w:t>and weak and very weak associations were excluded from consideration in the analysis.</w:t>
      </w:r>
    </w:p>
    <w:p w14:paraId="139AC9B8" w14:textId="77777777" w:rsidR="000923BB" w:rsidRDefault="000923BB" w:rsidP="000923BB">
      <w:pPr>
        <w:jc w:val="both"/>
        <w:rPr>
          <w:rFonts w:cs="Arial"/>
          <w:sz w:val="22"/>
        </w:rPr>
      </w:pPr>
    </w:p>
    <w:p w14:paraId="343949F9" w14:textId="77777777" w:rsidR="000923BB" w:rsidRDefault="000923BB" w:rsidP="000923BB">
      <w:pPr>
        <w:jc w:val="both"/>
        <w:rPr>
          <w:rFonts w:cs="Arial"/>
          <w:sz w:val="22"/>
        </w:rPr>
      </w:pPr>
      <w:r w:rsidRPr="005A760D">
        <w:rPr>
          <w:rFonts w:cs="Arial"/>
          <w:sz w:val="22"/>
        </w:rPr>
        <w:t>Why is the correlation between recorded process</w:t>
      </w:r>
      <w:r>
        <w:rPr>
          <w:rFonts w:cs="Arial"/>
          <w:sz w:val="22"/>
        </w:rPr>
        <w:t xml:space="preserve"> and outcome so apparently poor?  We have already indicated that the methods may not be sophisticated enough to measure the associations.  It may be that the use of hospital level measures that are not condition specific, and that reflect the organisation as a whole, are too abstract for the purpose of assessing care for people with such as COPD and heart failure. </w:t>
      </w:r>
    </w:p>
    <w:p w14:paraId="14D79CCB" w14:textId="77777777" w:rsidR="000923BB" w:rsidRDefault="000923BB" w:rsidP="000923BB">
      <w:pPr>
        <w:jc w:val="both"/>
        <w:rPr>
          <w:rFonts w:cs="Arial"/>
          <w:sz w:val="22"/>
        </w:rPr>
      </w:pPr>
    </w:p>
    <w:p w14:paraId="2EA6C83A" w14:textId="77777777" w:rsidR="000923BB" w:rsidRDefault="000923BB" w:rsidP="000923BB">
      <w:pPr>
        <w:jc w:val="both"/>
        <w:rPr>
          <w:rFonts w:cs="Arial"/>
          <w:sz w:val="22"/>
        </w:rPr>
      </w:pPr>
      <w:r>
        <w:rPr>
          <w:rFonts w:cs="Arial"/>
          <w:sz w:val="22"/>
        </w:rPr>
        <w:t>However there may be other important confounding issues that relate to the meaning of quality of care and to the relationship between process and outcome when quality of care is measured.</w:t>
      </w:r>
    </w:p>
    <w:p w14:paraId="4F5C208D" w14:textId="77777777" w:rsidR="000923BB" w:rsidRDefault="000923BB" w:rsidP="000923BB">
      <w:pPr>
        <w:jc w:val="both"/>
        <w:rPr>
          <w:rFonts w:cs="Arial"/>
          <w:sz w:val="22"/>
        </w:rPr>
      </w:pPr>
    </w:p>
    <w:p w14:paraId="1C59A601" w14:textId="77777777" w:rsidR="000923BB" w:rsidRDefault="000923BB" w:rsidP="000923BB">
      <w:pPr>
        <w:jc w:val="both"/>
        <w:rPr>
          <w:rFonts w:cs="Arial"/>
          <w:sz w:val="22"/>
        </w:rPr>
      </w:pPr>
      <w:r>
        <w:rPr>
          <w:rFonts w:cs="Arial"/>
          <w:sz w:val="22"/>
        </w:rPr>
        <w:t>When Mohamed and colleagues[27</w:t>
      </w:r>
      <w:r w:rsidRPr="00B710EC">
        <w:rPr>
          <w:rFonts w:cs="Arial"/>
          <w:sz w:val="22"/>
        </w:rPr>
        <w:t>]</w:t>
      </w:r>
      <w:r>
        <w:rPr>
          <w:rFonts w:cs="Arial"/>
          <w:sz w:val="22"/>
        </w:rPr>
        <w:t xml:space="preserve"> explored the care of people with stroke they found, as we did, that both criterion and holistic methods are valuable in reviewing care and others have suggested similar approaches.  They also found that clinical practice issues, such as the impact of Advance Directives, made it difficult to assess quality unless detailed information at the patient level was used to understand outcomes.  In our study it became clear that reviewers could be very critical of quality of care and were willing to make explicit judgements about clinical practice.  Crucially, though, reviewers were able to say that what might be regarded as a poor outcome (for example, a patient died) can be accompanied by very high quality of care.  For a very ill patient, with little of no chance of surviving, high quality palliative care may be </w:t>
      </w:r>
      <w:r>
        <w:rPr>
          <w:rFonts w:cs="Arial"/>
          <w:sz w:val="22"/>
        </w:rPr>
        <w:lastRenderedPageBreak/>
        <w:t xml:space="preserve">both appropriate and in the patient’s and family’s best interests.  </w:t>
      </w:r>
      <w:r w:rsidRPr="00FB567E">
        <w:rPr>
          <w:rFonts w:cs="Arial"/>
          <w:sz w:val="22"/>
        </w:rPr>
        <w:t xml:space="preserve">  Alternatively, patients may survive very poor care.  </w:t>
      </w:r>
      <w:r>
        <w:rPr>
          <w:rFonts w:cs="Arial"/>
          <w:sz w:val="22"/>
        </w:rPr>
        <w:t>Again, choice of outcome measure is critical.</w:t>
      </w:r>
    </w:p>
    <w:p w14:paraId="3642339B" w14:textId="77777777" w:rsidR="000923BB" w:rsidRDefault="000923BB" w:rsidP="000923BB">
      <w:pPr>
        <w:jc w:val="both"/>
        <w:rPr>
          <w:rFonts w:cs="Arial"/>
          <w:sz w:val="22"/>
        </w:rPr>
      </w:pPr>
      <w:r>
        <w:rPr>
          <w:rFonts w:cs="Arial"/>
          <w:sz w:val="22"/>
        </w:rPr>
        <w:t xml:space="preserve">Nevertheless, although individual level data may increase the likelihood of defining process outcome relationships, this still remains a methodological challenge.  When  Gibbs and colleagues[7] used patient level as well as hospital level outcomes to investigate the relationship between process and outcome among surgical patients, they found that people who were more severely ill, or who died or had complications, had higher quality of care ratings than those with a lower predicted outcome risk.  Furthermore, Pitches et al[38] have shown that numbers of studies find uncertain relationships between process and risk-adjusted outcomes of care.  The results of this study seem to be following a similar trend. </w:t>
      </w:r>
    </w:p>
    <w:p w14:paraId="24C2807A" w14:textId="77777777" w:rsidR="000923BB" w:rsidRDefault="000923BB" w:rsidP="000923BB">
      <w:pPr>
        <w:jc w:val="both"/>
        <w:rPr>
          <w:rFonts w:cs="Arial"/>
          <w:i/>
          <w:sz w:val="22"/>
        </w:rPr>
      </w:pPr>
    </w:p>
    <w:p w14:paraId="54C78084" w14:textId="77777777" w:rsidR="000923BB" w:rsidRPr="00AB290B" w:rsidRDefault="000923BB" w:rsidP="000923BB">
      <w:pPr>
        <w:jc w:val="both"/>
        <w:rPr>
          <w:rFonts w:cs="Arial"/>
          <w:i/>
          <w:sz w:val="22"/>
        </w:rPr>
      </w:pPr>
      <w:r w:rsidRPr="00AB290B">
        <w:rPr>
          <w:rFonts w:cs="Arial"/>
          <w:i/>
          <w:sz w:val="22"/>
        </w:rPr>
        <w:t xml:space="preserve">Limitations </w:t>
      </w:r>
    </w:p>
    <w:p w14:paraId="049A2AA3" w14:textId="77777777" w:rsidR="000923BB" w:rsidRDefault="000923BB" w:rsidP="000923BB">
      <w:pPr>
        <w:jc w:val="both"/>
        <w:rPr>
          <w:rFonts w:cs="Arial"/>
          <w:sz w:val="22"/>
        </w:rPr>
      </w:pPr>
      <w:r>
        <w:rPr>
          <w:rFonts w:cs="Arial"/>
          <w:sz w:val="22"/>
        </w:rPr>
        <w:t>Because of a lack of proven methodologies for chronic disease care, and because of the difficulty of accessing individual outcome data, it was not possible to undertake a full risk adjusted analysis.  Whereas Daley et al[37] were able to access a number of possible predictors for surgical care, these are mainly unavailable for chronic disease management.  In this study the availability of the outcome measures was limited to hospital level data and it has not been possible to capture more individual level data.  This is clearly a potential limitation.  However, even though risk adjustment measures have been available for the assessment of the effect of process of care on surgical outcomes, a number of studies have found it difficult to show positive associations between risk adjusted mortality and good quality of care.[7][37][55][56]</w:t>
      </w:r>
    </w:p>
    <w:p w14:paraId="29626B29" w14:textId="77777777" w:rsidR="000923BB" w:rsidRDefault="000923BB" w:rsidP="000923BB">
      <w:pPr>
        <w:jc w:val="both"/>
        <w:rPr>
          <w:rFonts w:cs="Arial"/>
          <w:sz w:val="22"/>
        </w:rPr>
      </w:pPr>
      <w:r>
        <w:rPr>
          <w:rFonts w:cs="Arial"/>
          <w:sz w:val="22"/>
        </w:rPr>
        <w:t>Reviewers are not perfect.  For instance, some may have a more positive view on cases than they should have, or be too inexperienced to identify flaws in care.  Nevertheless we have no evidence that they glossed over errors since they did identify about 20% of cases which fell into the unsatisfactory range and about 4% that were identified as adverse incidents or near misses.  The ability to judge the quality of care provided is also dependent on the quality of recording in the case notes and there may not be enough data in the records to be able to make an adequate judgement on quality of care – although reviewers indicated that about 85% of the case notes were in a satisfactory or better condition.</w:t>
      </w:r>
    </w:p>
    <w:p w14:paraId="3FB5C35C" w14:textId="77777777" w:rsidR="000923BB" w:rsidRDefault="000923BB" w:rsidP="000923BB">
      <w:pPr>
        <w:jc w:val="both"/>
        <w:rPr>
          <w:rFonts w:cs="Arial"/>
          <w:sz w:val="22"/>
        </w:rPr>
      </w:pPr>
      <w:r>
        <w:rPr>
          <w:rFonts w:cs="Arial"/>
          <w:sz w:val="22"/>
        </w:rPr>
        <w:t>Although the two groups of hospitals in this study had considerable differences in mortality rates between the lower mortality rate hospitals and the higher mortality rate hospitals, a whole range of factors might account for those differences, such as case mix and age.  Indeed, in this study, there is some indication that quality of care scores went down as age went up in the group of heart failure cases, but this may be because of higher levels of mortality risk before admission.  We do not know enough about these cases to model this risk, though we did randomly select the 10 hospitals in each group.</w:t>
      </w:r>
    </w:p>
    <w:p w14:paraId="3B14747E" w14:textId="77777777" w:rsidR="000923BB" w:rsidRDefault="000923BB" w:rsidP="000923BB">
      <w:pPr>
        <w:jc w:val="both"/>
        <w:rPr>
          <w:rFonts w:cs="Arial"/>
          <w:sz w:val="22"/>
        </w:rPr>
      </w:pPr>
    </w:p>
    <w:p w14:paraId="1AC5D7F9" w14:textId="77777777" w:rsidR="000923BB" w:rsidRPr="0054669A" w:rsidRDefault="000923BB" w:rsidP="000923BB">
      <w:pPr>
        <w:jc w:val="both"/>
        <w:rPr>
          <w:rFonts w:cs="Arial"/>
          <w:sz w:val="22"/>
        </w:rPr>
      </w:pPr>
      <w:r w:rsidRPr="0054669A">
        <w:rPr>
          <w:rFonts w:cs="Arial"/>
          <w:sz w:val="22"/>
        </w:rPr>
        <w:lastRenderedPageBreak/>
        <w:t>We did not account for any measurement error in the process variables and the number of measurements per hospital. Since the correlation of true scores is equal to the correlation of observed scores divided by the square root of the product of their reliabilities it is possible that measurement error may dilute the magnitude of the correlation coefficients. This means that the correlations observed between the process and outcome variables may be lower than the true population correlation.</w:t>
      </w:r>
    </w:p>
    <w:p w14:paraId="32FB28E6" w14:textId="77777777" w:rsidR="000923BB" w:rsidRPr="00AB290B" w:rsidRDefault="000923BB" w:rsidP="000923BB">
      <w:pPr>
        <w:jc w:val="both"/>
        <w:rPr>
          <w:rFonts w:cs="Arial"/>
          <w:i/>
          <w:sz w:val="22"/>
        </w:rPr>
      </w:pPr>
      <w:r w:rsidRPr="00AB290B">
        <w:rPr>
          <w:rFonts w:cs="Arial"/>
          <w:i/>
          <w:sz w:val="22"/>
        </w:rPr>
        <w:t>Reviewing using a mixed method approach - how can it be used in future?</w:t>
      </w:r>
    </w:p>
    <w:p w14:paraId="685CD74B" w14:textId="77777777" w:rsidR="000923BB" w:rsidRDefault="000923BB" w:rsidP="000923BB">
      <w:pPr>
        <w:jc w:val="both"/>
        <w:rPr>
          <w:rFonts w:cs="Arial"/>
          <w:sz w:val="22"/>
        </w:rPr>
      </w:pPr>
    </w:p>
    <w:p w14:paraId="4CBC4CFC" w14:textId="77777777" w:rsidR="000923BB" w:rsidRDefault="000923BB" w:rsidP="000923BB">
      <w:pPr>
        <w:jc w:val="both"/>
        <w:rPr>
          <w:rFonts w:cs="Arial"/>
          <w:sz w:val="22"/>
        </w:rPr>
      </w:pPr>
      <w:r>
        <w:rPr>
          <w:rFonts w:cs="Arial"/>
          <w:sz w:val="22"/>
        </w:rPr>
        <w:t>Because of the research aims of the phase one study we separated out the review methods into two distinct sections - holistic and criterion based.  In phase two those methods were combined to provide holistic scale scores, criterion based scores and textual data about the quality of care of each of the phases and of overall care.  In this study the textual data was only used to validate the holistic scale score data.  However, when reviewing or auditing small groups of cases, for example when there are concerns about the outcome of interventions, then mixed holistic and criterion based review, that also captures textual data, may prove a powerful model.  In using these mixed methods careful attention will be required to</w:t>
      </w:r>
      <w:r w:rsidRPr="005518D0">
        <w:rPr>
          <w:rFonts w:cs="Arial"/>
          <w:sz w:val="22"/>
        </w:rPr>
        <w:t xml:space="preserve"> </w:t>
      </w:r>
      <w:r>
        <w:rPr>
          <w:rFonts w:cs="Arial"/>
          <w:sz w:val="22"/>
        </w:rPr>
        <w:t>aspects such as the selection and training of reviewers, including recognition of the problems associated with inter-rater reliability and bias.</w:t>
      </w:r>
    </w:p>
    <w:p w14:paraId="6EE2393C" w14:textId="77777777" w:rsidR="000923BB" w:rsidRPr="002B664C" w:rsidRDefault="000923BB" w:rsidP="000923BB">
      <w:pPr>
        <w:jc w:val="both"/>
        <w:rPr>
          <w:rFonts w:cs="Arial"/>
          <w:b/>
          <w:sz w:val="22"/>
        </w:rPr>
      </w:pPr>
      <w:r w:rsidRPr="002B664C">
        <w:rPr>
          <w:rFonts w:cs="Arial"/>
          <w:b/>
          <w:sz w:val="22"/>
        </w:rPr>
        <w:t xml:space="preserve">Overview of findings </w:t>
      </w:r>
    </w:p>
    <w:p w14:paraId="77BA9CE4" w14:textId="77777777" w:rsidR="000923BB" w:rsidRDefault="000923BB" w:rsidP="000923BB">
      <w:pPr>
        <w:jc w:val="both"/>
        <w:rPr>
          <w:rFonts w:cs="Arial"/>
          <w:sz w:val="22"/>
        </w:rPr>
      </w:pPr>
      <w:r>
        <w:rPr>
          <w:rFonts w:cs="Arial"/>
          <w:sz w:val="22"/>
        </w:rPr>
        <w:t>This study has not found strong relationships between quality of care, as measured by case note review, and outcome of care at the hospital level.  Other authors have found a similar lack of direct association.  The finding that reviewers considered quality of care as a broad concept, where patients who fared poorly overall because of their underlying condition might nevertheless have high quality care, reflects a similar finding by Gibbs et al[7] when examining patient level outcomes.  In their study, patients with poor outcomes or with a higher predicted risk of mortality or morbidity had higher quality of care ratings than those with a low predicted risk of adverse outcome.  Mohammed and colleagues[27] found that a combination of holistic data and criterion based data was required to understand the influence of care on outcomes and Pitches et al[38] concluded from their systematic review of the literature that ‘the general notion that hospitals with higher risk-adjusted mortality have poorer quality of care is neither consistent nor reliable’.</w:t>
      </w:r>
    </w:p>
    <w:p w14:paraId="4D21DED3" w14:textId="77777777" w:rsidR="000923BB" w:rsidRDefault="000923BB" w:rsidP="000923BB">
      <w:pPr>
        <w:jc w:val="both"/>
        <w:rPr>
          <w:rFonts w:cs="Arial"/>
          <w:sz w:val="22"/>
        </w:rPr>
      </w:pPr>
      <w:r>
        <w:rPr>
          <w:rFonts w:cs="Arial"/>
          <w:sz w:val="22"/>
        </w:rPr>
        <w:t>Lilford and colleagues[54] have recently provided a useful critique of risk adjusted outcomes in the assessment of healthcare quality in which they question the value of using outcome measures to evaluate the quality of care.  We are unable to confirm that proposition with these data but would suggest that for the purposes of reviewing quality of care, process measures that allow for an integration both criterion base</w:t>
      </w:r>
      <w:r w:rsidR="00097367">
        <w:rPr>
          <w:rFonts w:cs="Arial"/>
          <w:sz w:val="22"/>
        </w:rPr>
        <w:t>d</w:t>
      </w:r>
      <w:r>
        <w:rPr>
          <w:rFonts w:cs="Arial"/>
          <w:sz w:val="22"/>
        </w:rPr>
        <w:t xml:space="preserve"> review and holistic review can provide a sound basis for decision making.  </w:t>
      </w:r>
    </w:p>
    <w:p w14:paraId="276E1234" w14:textId="77777777" w:rsidR="000923BB" w:rsidRDefault="000923BB" w:rsidP="000923BB">
      <w:pPr>
        <w:jc w:val="both"/>
        <w:rPr>
          <w:rFonts w:cs="Arial"/>
          <w:sz w:val="22"/>
        </w:rPr>
      </w:pPr>
      <w:r>
        <w:rPr>
          <w:rFonts w:cs="Arial"/>
          <w:sz w:val="22"/>
        </w:rPr>
        <w:t xml:space="preserve">Meanwhile the real challenge of outcomes is to define what is measurable - and there are actually very few measures that are validated.[57]   Where attempts have been made to develop outcome measures there has been some tendency for health professionals to dismiss outcomes as too difficult to use. But patients are concerned </w:t>
      </w:r>
      <w:r>
        <w:rPr>
          <w:rFonts w:cs="Arial"/>
          <w:sz w:val="22"/>
        </w:rPr>
        <w:lastRenderedPageBreak/>
        <w:t xml:space="preserve">with the ultimate outcome of their therapy and thus we cannot ignore the need for appropriate measures, and risk adjustment methods, for chronic disease management.  In the meantime, however, given the lack of agreement on specific outcome measures, we suggest that process measures are a reasonable proxy.   </w:t>
      </w:r>
    </w:p>
    <w:p w14:paraId="44BD2EA8" w14:textId="77777777" w:rsidR="000923BB" w:rsidRDefault="000923BB" w:rsidP="000923BB">
      <w:pPr>
        <w:jc w:val="both"/>
        <w:rPr>
          <w:rFonts w:cs="Arial"/>
          <w:sz w:val="22"/>
        </w:rPr>
      </w:pPr>
    </w:p>
    <w:p w14:paraId="28B3ADBD" w14:textId="77777777" w:rsidR="000923BB" w:rsidRPr="00C439FF" w:rsidRDefault="000923BB" w:rsidP="000923BB">
      <w:pPr>
        <w:jc w:val="both"/>
        <w:rPr>
          <w:rFonts w:cs="Arial"/>
          <w:b/>
        </w:rPr>
      </w:pPr>
      <w:r>
        <w:rPr>
          <w:rFonts w:cs="Arial"/>
          <w:b/>
        </w:rPr>
        <w:br w:type="page"/>
      </w:r>
      <w:r w:rsidRPr="00C439FF">
        <w:rPr>
          <w:rFonts w:cs="Arial"/>
          <w:b/>
        </w:rPr>
        <w:lastRenderedPageBreak/>
        <w:t>Future research agenda</w:t>
      </w:r>
    </w:p>
    <w:p w14:paraId="101CE2D0" w14:textId="77777777" w:rsidR="000923BB" w:rsidRDefault="000923BB" w:rsidP="000923BB">
      <w:pPr>
        <w:jc w:val="both"/>
        <w:rPr>
          <w:rFonts w:cs="Arial"/>
          <w:sz w:val="22"/>
          <w:szCs w:val="22"/>
        </w:rPr>
      </w:pPr>
    </w:p>
    <w:p w14:paraId="3F35ED0D" w14:textId="77777777" w:rsidR="000923BB" w:rsidRDefault="000923BB" w:rsidP="000923BB">
      <w:pPr>
        <w:jc w:val="both"/>
        <w:rPr>
          <w:rFonts w:cs="Arial"/>
          <w:sz w:val="22"/>
          <w:szCs w:val="22"/>
        </w:rPr>
      </w:pPr>
      <w:r>
        <w:rPr>
          <w:rFonts w:cs="Arial"/>
          <w:sz w:val="22"/>
          <w:szCs w:val="22"/>
        </w:rPr>
        <w:t>1. Clinical staff are increasingly called upon to assess quality and safety of care from case notes under conditions where there is cause for concern.  This research has identified aspects of case note review that could be used to support quality review and that would benefit from further research.</w:t>
      </w:r>
    </w:p>
    <w:p w14:paraId="12D3DB00" w14:textId="77777777" w:rsidR="000923BB" w:rsidRDefault="000923BB" w:rsidP="000923BB">
      <w:pPr>
        <w:jc w:val="both"/>
        <w:rPr>
          <w:rFonts w:cs="Arial"/>
          <w:sz w:val="22"/>
          <w:szCs w:val="22"/>
        </w:rPr>
      </w:pPr>
    </w:p>
    <w:p w14:paraId="64854938" w14:textId="77777777" w:rsidR="000923BB" w:rsidRDefault="000923BB" w:rsidP="000923BB">
      <w:pPr>
        <w:jc w:val="both"/>
        <w:rPr>
          <w:rFonts w:cs="Arial"/>
          <w:sz w:val="22"/>
          <w:szCs w:val="22"/>
        </w:rPr>
      </w:pPr>
      <w:r>
        <w:rPr>
          <w:rFonts w:cs="Arial"/>
          <w:sz w:val="22"/>
          <w:szCs w:val="22"/>
        </w:rPr>
        <w:t>1.1. Research to assess the inter-rater reliability among experienced physician reviewers, including the effect of selection and training.  This research should take account of other work from North America that has shown the potential for major discrepancies in inter-rater reliability.</w:t>
      </w:r>
    </w:p>
    <w:p w14:paraId="6856C85A" w14:textId="77777777" w:rsidR="000923BB" w:rsidRDefault="000923BB" w:rsidP="000923BB">
      <w:pPr>
        <w:jc w:val="both"/>
        <w:rPr>
          <w:rFonts w:cs="Arial"/>
          <w:sz w:val="22"/>
          <w:szCs w:val="22"/>
        </w:rPr>
      </w:pPr>
    </w:p>
    <w:p w14:paraId="64510AD2" w14:textId="77777777" w:rsidR="000923BB" w:rsidRDefault="00CA3A5B" w:rsidP="000923BB">
      <w:pPr>
        <w:jc w:val="both"/>
        <w:rPr>
          <w:rFonts w:cs="Arial"/>
          <w:sz w:val="22"/>
          <w:szCs w:val="22"/>
        </w:rPr>
      </w:pPr>
      <w:r>
        <w:rPr>
          <w:rFonts w:cs="Arial"/>
          <w:sz w:val="22"/>
          <w:szCs w:val="22"/>
        </w:rPr>
        <w:t xml:space="preserve">1.2. </w:t>
      </w:r>
      <w:r w:rsidR="000923BB">
        <w:rPr>
          <w:rFonts w:cs="Arial"/>
          <w:sz w:val="22"/>
          <w:szCs w:val="22"/>
        </w:rPr>
        <w:t xml:space="preserve">Reviewer recruitment appears to be difficult in the UK, perhaps because this form of clinical review has been treated in an </w:t>
      </w:r>
      <w:r w:rsidR="000923BB" w:rsidRPr="00AD31DD">
        <w:rPr>
          <w:rFonts w:cs="Arial"/>
          <w:i/>
          <w:sz w:val="22"/>
          <w:szCs w:val="22"/>
        </w:rPr>
        <w:t>ad hoc</w:t>
      </w:r>
      <w:r w:rsidR="000923BB">
        <w:rPr>
          <w:rFonts w:cs="Arial"/>
          <w:sz w:val="22"/>
          <w:szCs w:val="22"/>
        </w:rPr>
        <w:t xml:space="preserve"> fashion to date.  A qualitative study should be undertaken to understand the possible barriers and factors that might enhance recruitment and training of clinician reviewers.</w:t>
      </w:r>
    </w:p>
    <w:p w14:paraId="14190A3C" w14:textId="77777777" w:rsidR="000923BB" w:rsidRDefault="000923BB" w:rsidP="000923BB">
      <w:pPr>
        <w:jc w:val="both"/>
        <w:rPr>
          <w:rFonts w:cs="Arial"/>
          <w:sz w:val="22"/>
          <w:szCs w:val="22"/>
        </w:rPr>
      </w:pPr>
    </w:p>
    <w:p w14:paraId="1FAA6183" w14:textId="77777777" w:rsidR="000923BB" w:rsidRDefault="000923BB" w:rsidP="000923BB">
      <w:pPr>
        <w:jc w:val="both"/>
        <w:rPr>
          <w:rFonts w:cs="Arial"/>
          <w:sz w:val="22"/>
          <w:szCs w:val="22"/>
        </w:rPr>
      </w:pPr>
      <w:r>
        <w:rPr>
          <w:rFonts w:cs="Arial"/>
          <w:sz w:val="22"/>
          <w:szCs w:val="22"/>
        </w:rPr>
        <w:t>1.3.  Doctors and nurses may view quality differently but there has been no UK research (and little international research) to explore whether experienced physicians and experienced specialist nurses review in similar or complimentary manners (possibly enhancing the overall scope and quality of reviews)</w:t>
      </w:r>
    </w:p>
    <w:p w14:paraId="666B9D87" w14:textId="77777777" w:rsidR="000923BB" w:rsidRDefault="000923BB" w:rsidP="000923BB">
      <w:pPr>
        <w:jc w:val="both"/>
        <w:rPr>
          <w:rFonts w:cs="Arial"/>
          <w:sz w:val="22"/>
          <w:szCs w:val="22"/>
        </w:rPr>
      </w:pPr>
    </w:p>
    <w:p w14:paraId="4987340F" w14:textId="77777777" w:rsidR="000923BB" w:rsidRDefault="00CA3A5B" w:rsidP="000923BB">
      <w:pPr>
        <w:jc w:val="both"/>
        <w:rPr>
          <w:rFonts w:cs="Arial"/>
          <w:sz w:val="22"/>
          <w:szCs w:val="22"/>
        </w:rPr>
      </w:pPr>
      <w:r>
        <w:rPr>
          <w:rFonts w:cs="Arial"/>
          <w:sz w:val="22"/>
          <w:szCs w:val="22"/>
        </w:rPr>
        <w:t xml:space="preserve">1.4. </w:t>
      </w:r>
      <w:r w:rsidR="000923BB">
        <w:rPr>
          <w:rFonts w:cs="Arial"/>
          <w:sz w:val="22"/>
          <w:szCs w:val="22"/>
        </w:rPr>
        <w:t>Research on the reliability of structured holistic assessment of the quality and safety of care using scales remains unusual in the literature.  Evaluation of the sensitivity and internal consistency of these methods would be of value.</w:t>
      </w:r>
    </w:p>
    <w:p w14:paraId="62E5127E" w14:textId="77777777" w:rsidR="000923BB" w:rsidRDefault="000923BB" w:rsidP="000923BB">
      <w:pPr>
        <w:jc w:val="both"/>
        <w:rPr>
          <w:rFonts w:cs="Arial"/>
          <w:sz w:val="22"/>
          <w:szCs w:val="22"/>
        </w:rPr>
      </w:pPr>
    </w:p>
    <w:p w14:paraId="09034CF6" w14:textId="77777777" w:rsidR="000923BB" w:rsidRDefault="000923BB" w:rsidP="000923BB">
      <w:pPr>
        <w:jc w:val="both"/>
        <w:rPr>
          <w:rFonts w:cs="Arial"/>
          <w:sz w:val="22"/>
          <w:szCs w:val="22"/>
        </w:rPr>
      </w:pPr>
      <w:r>
        <w:rPr>
          <w:rFonts w:cs="Arial"/>
          <w:sz w:val="22"/>
          <w:szCs w:val="22"/>
        </w:rPr>
        <w:t>1.</w:t>
      </w:r>
      <w:r w:rsidRPr="006E3CE7">
        <w:rPr>
          <w:rFonts w:cs="Arial"/>
          <w:sz w:val="22"/>
          <w:szCs w:val="22"/>
        </w:rPr>
        <w:t>5.</w:t>
      </w:r>
      <w:r w:rsidR="00CA3A5B">
        <w:rPr>
          <w:rFonts w:cs="Arial"/>
          <w:sz w:val="22"/>
          <w:szCs w:val="22"/>
        </w:rPr>
        <w:t xml:space="preserve"> </w:t>
      </w:r>
      <w:r>
        <w:rPr>
          <w:rFonts w:cs="Arial"/>
          <w:sz w:val="22"/>
          <w:szCs w:val="22"/>
        </w:rPr>
        <w:t>The extent to which review criteria are reproducible remains a research question.  There is some evidence from US and UK studies using the RAND appropriateness method that panels constructing review criteria from the same clinical guideline have only moderate levels of agreement.  The extensive need for review criteria generated by national clinical guidelines suggests further research would be useful before these criteria become a significant part of the new quality improvement programmes.</w:t>
      </w:r>
    </w:p>
    <w:p w14:paraId="5EAC1D08" w14:textId="77777777" w:rsidR="000923BB" w:rsidRDefault="000923BB" w:rsidP="000923BB">
      <w:pPr>
        <w:jc w:val="both"/>
        <w:rPr>
          <w:rFonts w:cs="Arial"/>
          <w:sz w:val="22"/>
          <w:szCs w:val="22"/>
        </w:rPr>
      </w:pPr>
    </w:p>
    <w:p w14:paraId="0BE2A76F" w14:textId="77777777" w:rsidR="000923BB" w:rsidRDefault="000923BB" w:rsidP="000923BB">
      <w:pPr>
        <w:jc w:val="both"/>
        <w:rPr>
          <w:rFonts w:cs="Arial"/>
          <w:sz w:val="22"/>
          <w:szCs w:val="22"/>
        </w:rPr>
      </w:pPr>
      <w:r>
        <w:rPr>
          <w:rFonts w:cs="Arial"/>
          <w:sz w:val="22"/>
          <w:szCs w:val="22"/>
        </w:rPr>
        <w:t xml:space="preserve">2. There is an important research agenda relating to linkage between process and outcome data for chronic disease care, and in relation to case note review.  Although the potential for data retrieval from electronic records is considerable (information might be gathered from data mining and natural language programming), this agenda </w:t>
      </w:r>
      <w:r>
        <w:rPr>
          <w:rFonts w:cs="Arial"/>
          <w:sz w:val="22"/>
          <w:szCs w:val="22"/>
        </w:rPr>
        <w:lastRenderedPageBreak/>
        <w:t xml:space="preserve">relates to paper based records which will remain the main data course in hospital care over the next five years in the </w:t>
      </w:r>
      <w:smartTag w:uri="urn:schemas-microsoft-com:office:smarttags" w:element="place">
        <w:smartTag w:uri="urn:schemas-microsoft-com:office:smarttags" w:element="country-region">
          <w:r>
            <w:rPr>
              <w:rFonts w:cs="Arial"/>
              <w:sz w:val="22"/>
              <w:szCs w:val="22"/>
            </w:rPr>
            <w:t>UK</w:t>
          </w:r>
        </w:smartTag>
      </w:smartTag>
      <w:r>
        <w:rPr>
          <w:rFonts w:cs="Arial"/>
          <w:sz w:val="22"/>
          <w:szCs w:val="22"/>
        </w:rPr>
        <w:t>.</w:t>
      </w:r>
    </w:p>
    <w:p w14:paraId="113DF38A" w14:textId="77777777" w:rsidR="000923BB" w:rsidRDefault="000923BB" w:rsidP="000923BB">
      <w:pPr>
        <w:jc w:val="both"/>
        <w:rPr>
          <w:rFonts w:cs="Arial"/>
          <w:sz w:val="22"/>
          <w:szCs w:val="22"/>
        </w:rPr>
      </w:pPr>
    </w:p>
    <w:p w14:paraId="10B4C10A" w14:textId="77777777" w:rsidR="000923BB" w:rsidRDefault="000923BB" w:rsidP="000923BB">
      <w:pPr>
        <w:jc w:val="both"/>
        <w:rPr>
          <w:rFonts w:cs="Arial"/>
          <w:sz w:val="22"/>
          <w:szCs w:val="22"/>
        </w:rPr>
      </w:pPr>
      <w:r>
        <w:rPr>
          <w:rFonts w:cs="Arial"/>
          <w:sz w:val="22"/>
          <w:szCs w:val="22"/>
        </w:rPr>
        <w:t>2.1.</w:t>
      </w:r>
      <w:r w:rsidR="00CA3A5B">
        <w:rPr>
          <w:rFonts w:cs="Arial"/>
          <w:sz w:val="22"/>
          <w:szCs w:val="22"/>
        </w:rPr>
        <w:t xml:space="preserve"> </w:t>
      </w:r>
      <w:r>
        <w:rPr>
          <w:rFonts w:cs="Arial"/>
          <w:sz w:val="22"/>
          <w:szCs w:val="22"/>
        </w:rPr>
        <w:t>There is a need for further research to explore r</w:t>
      </w:r>
      <w:r w:rsidRPr="002A1D46">
        <w:rPr>
          <w:rFonts w:cs="Arial"/>
          <w:sz w:val="22"/>
          <w:szCs w:val="22"/>
        </w:rPr>
        <w:t>isk adjusted outcome measure</w:t>
      </w:r>
      <w:r>
        <w:rPr>
          <w:rFonts w:cs="Arial"/>
          <w:sz w:val="22"/>
          <w:szCs w:val="22"/>
        </w:rPr>
        <w:t xml:space="preserve"> methodologies for chronic diseases.  Methods of risk prediction should be developed in a fashion that enables the production of (at least some) measures across the spectrum of chronic disease, allowing better methods of outcome comparison.</w:t>
      </w:r>
    </w:p>
    <w:p w14:paraId="015E5030" w14:textId="77777777" w:rsidR="000923BB" w:rsidRDefault="000923BB" w:rsidP="000923BB">
      <w:pPr>
        <w:jc w:val="both"/>
        <w:rPr>
          <w:rFonts w:cs="Arial"/>
          <w:sz w:val="22"/>
          <w:szCs w:val="22"/>
        </w:rPr>
      </w:pPr>
      <w:r w:rsidRPr="002A1D46">
        <w:rPr>
          <w:rFonts w:cs="Arial"/>
          <w:sz w:val="22"/>
          <w:szCs w:val="22"/>
        </w:rPr>
        <w:t xml:space="preserve"> </w:t>
      </w:r>
    </w:p>
    <w:p w14:paraId="1A36F3B8" w14:textId="77777777" w:rsidR="000923BB" w:rsidRPr="002A1D46" w:rsidRDefault="000923BB" w:rsidP="000923BB">
      <w:pPr>
        <w:jc w:val="both"/>
        <w:rPr>
          <w:rFonts w:cs="Arial"/>
          <w:sz w:val="22"/>
          <w:szCs w:val="22"/>
        </w:rPr>
      </w:pPr>
      <w:r>
        <w:rPr>
          <w:rFonts w:cs="Arial"/>
          <w:sz w:val="22"/>
          <w:szCs w:val="22"/>
        </w:rPr>
        <w:t>2.2 There is a continued need for validated condition specific outcome measures for a range of chronic diseases, of a type that can be used in health services evaluation – that is, comprising a minimum data set of items that might, in future evaluations, be collectable through electronic records systems.</w:t>
      </w:r>
    </w:p>
    <w:p w14:paraId="493088C0" w14:textId="77777777" w:rsidR="000923BB" w:rsidRDefault="000923BB" w:rsidP="000923BB">
      <w:pPr>
        <w:jc w:val="both"/>
        <w:rPr>
          <w:rFonts w:cs="Arial"/>
          <w:sz w:val="22"/>
          <w:szCs w:val="22"/>
        </w:rPr>
      </w:pPr>
    </w:p>
    <w:p w14:paraId="65FB07D9" w14:textId="77777777" w:rsidR="000923BB" w:rsidRDefault="000923BB" w:rsidP="000923BB">
      <w:pPr>
        <w:jc w:val="both"/>
        <w:rPr>
          <w:rFonts w:cs="Arial"/>
          <w:b/>
        </w:rPr>
      </w:pPr>
      <w:r>
        <w:rPr>
          <w:rFonts w:cs="Arial"/>
          <w:sz w:val="22"/>
          <w:szCs w:val="22"/>
        </w:rPr>
        <w:t>We thank the external referees for their contributions to shaping this research agenda.</w:t>
      </w:r>
    </w:p>
    <w:p w14:paraId="6A690D1C" w14:textId="77777777" w:rsidR="000923BB" w:rsidRPr="00122F87" w:rsidRDefault="000923BB" w:rsidP="000923BB">
      <w:pPr>
        <w:jc w:val="both"/>
        <w:rPr>
          <w:rFonts w:cs="Arial"/>
          <w:b/>
        </w:rPr>
      </w:pPr>
      <w:r>
        <w:rPr>
          <w:rFonts w:cs="Arial"/>
          <w:b/>
        </w:rPr>
        <w:br w:type="page"/>
      </w:r>
      <w:r w:rsidRPr="00122F87">
        <w:rPr>
          <w:rFonts w:cs="Arial"/>
          <w:b/>
        </w:rPr>
        <w:lastRenderedPageBreak/>
        <w:t>References</w:t>
      </w:r>
    </w:p>
    <w:p w14:paraId="5B28DFFC" w14:textId="77777777" w:rsidR="000923BB" w:rsidRDefault="000923BB" w:rsidP="000923BB">
      <w:pPr>
        <w:jc w:val="both"/>
        <w:rPr>
          <w:rFonts w:cs="Arial"/>
          <w:sz w:val="22"/>
          <w:szCs w:val="22"/>
        </w:rPr>
      </w:pPr>
    </w:p>
    <w:p w14:paraId="4A25A734" w14:textId="77777777" w:rsidR="000923BB" w:rsidRDefault="000923BB" w:rsidP="000923BB">
      <w:r>
        <w:rPr>
          <w:rFonts w:cs="Arial"/>
          <w:sz w:val="22"/>
          <w:szCs w:val="22"/>
        </w:rPr>
        <w:t xml:space="preserve">1] </w:t>
      </w:r>
      <w:r w:rsidRPr="005B5C15">
        <w:rPr>
          <w:rFonts w:cs="Arial"/>
          <w:sz w:val="22"/>
          <w:szCs w:val="22"/>
        </w:rPr>
        <w:t xml:space="preserve">Codman EA. </w:t>
      </w:r>
      <w:r w:rsidRPr="005B5C15">
        <w:rPr>
          <w:rFonts w:cs="Arial"/>
          <w:i/>
          <w:iCs/>
          <w:sz w:val="22"/>
          <w:szCs w:val="22"/>
        </w:rPr>
        <w:t xml:space="preserve">A Study in Hospital Efficiency. As Demonstrated by the Case Report of the First Five Years of a </w:t>
      </w:r>
      <w:smartTag w:uri="urn:schemas-microsoft-com:office:smarttags" w:element="place">
        <w:smartTag w:uri="urn:schemas-microsoft-com:office:smarttags" w:element="PlaceName">
          <w:r w:rsidRPr="005B5C15">
            <w:rPr>
              <w:rFonts w:cs="Arial"/>
              <w:i/>
              <w:iCs/>
              <w:sz w:val="22"/>
              <w:szCs w:val="22"/>
            </w:rPr>
            <w:t>Private</w:t>
          </w:r>
        </w:smartTag>
        <w:r w:rsidRPr="005B5C15">
          <w:rPr>
            <w:rFonts w:cs="Arial"/>
            <w:i/>
            <w:iCs/>
            <w:sz w:val="22"/>
            <w:szCs w:val="22"/>
          </w:rPr>
          <w:t xml:space="preserve"> </w:t>
        </w:r>
        <w:smartTag w:uri="urn:schemas-microsoft-com:office:smarttags" w:element="PlaceType">
          <w:r w:rsidRPr="005B5C15">
            <w:rPr>
              <w:rFonts w:cs="Arial"/>
              <w:i/>
              <w:iCs/>
              <w:sz w:val="22"/>
              <w:szCs w:val="22"/>
            </w:rPr>
            <w:t>Hospital</w:t>
          </w:r>
        </w:smartTag>
      </w:smartTag>
      <w:r w:rsidRPr="005B5C15">
        <w:rPr>
          <w:rFonts w:cs="Arial"/>
          <w:sz w:val="22"/>
          <w:szCs w:val="22"/>
        </w:rPr>
        <w:t xml:space="preserve">. </w:t>
      </w:r>
      <w:smartTag w:uri="urn:schemas-microsoft-com:office:smarttags" w:element="City">
        <w:smartTag w:uri="urn:schemas-microsoft-com:office:smarttags" w:element="place">
          <w:r w:rsidRPr="005B5C15">
            <w:rPr>
              <w:rFonts w:cs="Arial"/>
              <w:sz w:val="22"/>
              <w:szCs w:val="22"/>
            </w:rPr>
            <w:t>Boston</w:t>
          </w:r>
        </w:smartTag>
      </w:smartTag>
      <w:r w:rsidRPr="005B5C15">
        <w:rPr>
          <w:rFonts w:cs="Arial"/>
          <w:sz w:val="22"/>
          <w:szCs w:val="22"/>
        </w:rPr>
        <w:t>: Thomas Todd Co., 1918-1920</w:t>
      </w:r>
      <w:r>
        <w:rPr>
          <w:rFonts w:ascii="Verdana" w:hAnsi="Verdana"/>
          <w:sz w:val="10"/>
          <w:szCs w:val="10"/>
        </w:rPr>
        <w:t>.</w:t>
      </w:r>
    </w:p>
    <w:p w14:paraId="218C5BDF" w14:textId="77777777" w:rsidR="000923BB" w:rsidRPr="00817E33" w:rsidRDefault="000923BB" w:rsidP="000923BB">
      <w:pPr>
        <w:jc w:val="both"/>
        <w:rPr>
          <w:rFonts w:cs="Arial"/>
          <w:sz w:val="22"/>
          <w:szCs w:val="22"/>
        </w:rPr>
      </w:pPr>
      <w:r>
        <w:rPr>
          <w:rFonts w:cs="Arial"/>
          <w:sz w:val="22"/>
          <w:szCs w:val="22"/>
        </w:rPr>
        <w:t>2</w:t>
      </w:r>
      <w:r w:rsidRPr="00817E33">
        <w:rPr>
          <w:rFonts w:cs="Arial"/>
          <w:sz w:val="22"/>
          <w:szCs w:val="22"/>
        </w:rPr>
        <w:t xml:space="preserve">] Rubenstein LV, Kahn KL, Reinisch EJ, Sherwood MJ, Rogers WH, Kambers C. Changes in quality of care for five diseases measured by implicit review, 1981-1986. </w:t>
      </w:r>
      <w:r w:rsidRPr="00467BCA">
        <w:rPr>
          <w:rFonts w:cs="Arial"/>
          <w:i/>
          <w:sz w:val="22"/>
          <w:szCs w:val="22"/>
        </w:rPr>
        <w:t>JAMA</w:t>
      </w:r>
      <w:r w:rsidRPr="00817E33">
        <w:rPr>
          <w:rFonts w:cs="Arial"/>
          <w:sz w:val="22"/>
          <w:szCs w:val="22"/>
        </w:rPr>
        <w:t>, 1990;</w:t>
      </w:r>
      <w:r w:rsidRPr="00DA1FFA">
        <w:rPr>
          <w:rFonts w:cs="Arial"/>
          <w:b/>
          <w:sz w:val="22"/>
          <w:szCs w:val="22"/>
        </w:rPr>
        <w:t>264</w:t>
      </w:r>
      <w:r w:rsidRPr="00817E33">
        <w:rPr>
          <w:rFonts w:cs="Arial"/>
          <w:sz w:val="22"/>
          <w:szCs w:val="22"/>
        </w:rPr>
        <w:t xml:space="preserve">:1974-1979. </w:t>
      </w:r>
    </w:p>
    <w:p w14:paraId="20AD35A8" w14:textId="77777777" w:rsidR="000923BB" w:rsidRPr="00817E33" w:rsidRDefault="000923BB" w:rsidP="000923BB">
      <w:pPr>
        <w:jc w:val="both"/>
        <w:rPr>
          <w:rFonts w:cs="Arial"/>
          <w:sz w:val="22"/>
          <w:szCs w:val="22"/>
        </w:rPr>
      </w:pPr>
      <w:r>
        <w:rPr>
          <w:rFonts w:cs="Arial"/>
          <w:sz w:val="22"/>
          <w:szCs w:val="22"/>
        </w:rPr>
        <w:t>3</w:t>
      </w:r>
      <w:r w:rsidRPr="00817E33">
        <w:rPr>
          <w:rFonts w:cs="Arial"/>
          <w:sz w:val="22"/>
          <w:szCs w:val="22"/>
        </w:rPr>
        <w:t xml:space="preserve">] Leape LL, Brennan TA, Laird N, Cawthers AG, Localio AR, Barnes BA. et al. The nature of adverse events in hospitalised patients: results of Harvard Medical Practice Study.II. </w:t>
      </w:r>
      <w:r w:rsidRPr="00467BCA">
        <w:rPr>
          <w:rFonts w:cs="Arial"/>
          <w:i/>
          <w:sz w:val="22"/>
          <w:szCs w:val="22"/>
        </w:rPr>
        <w:t>NEJM</w:t>
      </w:r>
      <w:r w:rsidRPr="00817E33">
        <w:rPr>
          <w:rFonts w:cs="Arial"/>
          <w:sz w:val="22"/>
          <w:szCs w:val="22"/>
        </w:rPr>
        <w:t>, 1991;</w:t>
      </w:r>
      <w:r w:rsidRPr="00DA1FFA">
        <w:rPr>
          <w:rFonts w:cs="Arial"/>
          <w:b/>
          <w:sz w:val="22"/>
          <w:szCs w:val="22"/>
        </w:rPr>
        <w:t>324</w:t>
      </w:r>
      <w:r w:rsidRPr="00817E33">
        <w:rPr>
          <w:rFonts w:cs="Arial"/>
          <w:sz w:val="22"/>
          <w:szCs w:val="22"/>
        </w:rPr>
        <w:t xml:space="preserve">:377- 384. </w:t>
      </w:r>
    </w:p>
    <w:p w14:paraId="2FF037FD" w14:textId="77777777" w:rsidR="000923BB" w:rsidRPr="00817E33" w:rsidRDefault="000923BB" w:rsidP="000923BB">
      <w:pPr>
        <w:jc w:val="both"/>
        <w:rPr>
          <w:rFonts w:cs="Arial"/>
          <w:sz w:val="22"/>
          <w:szCs w:val="22"/>
        </w:rPr>
      </w:pPr>
      <w:r>
        <w:rPr>
          <w:rFonts w:cs="Arial"/>
          <w:sz w:val="22"/>
          <w:szCs w:val="22"/>
        </w:rPr>
        <w:t>4</w:t>
      </w:r>
      <w:r w:rsidRPr="00817E33">
        <w:rPr>
          <w:rFonts w:cs="Arial"/>
          <w:sz w:val="22"/>
          <w:szCs w:val="22"/>
        </w:rPr>
        <w:t xml:space="preserve">] Runciman WB, Webb RK, Helps SC, Thomas EJ, Sexton EJ, Studdert DM, Brennan TA. A comparison of iatrogenic injury studies in </w:t>
      </w:r>
      <w:smartTag w:uri="urn:schemas-microsoft-com:office:smarttags" w:element="place">
        <w:smartTag w:uri="urn:schemas-microsoft-com:office:smarttags" w:element="country-region">
          <w:r w:rsidRPr="00817E33">
            <w:rPr>
              <w:rFonts w:cs="Arial"/>
              <w:sz w:val="22"/>
              <w:szCs w:val="22"/>
            </w:rPr>
            <w:t>Australia</w:t>
          </w:r>
        </w:smartTag>
      </w:smartTag>
      <w:r w:rsidRPr="00817E33">
        <w:rPr>
          <w:rFonts w:cs="Arial"/>
          <w:sz w:val="22"/>
          <w:szCs w:val="22"/>
        </w:rPr>
        <w:t xml:space="preserve"> and the USA II reviewer behaviour and quality of care. </w:t>
      </w:r>
      <w:r w:rsidRPr="00467BCA">
        <w:rPr>
          <w:rFonts w:cs="Arial"/>
          <w:i/>
          <w:sz w:val="22"/>
          <w:szCs w:val="22"/>
        </w:rPr>
        <w:t>Int J Quality in Health Care</w:t>
      </w:r>
      <w:r w:rsidRPr="00817E33">
        <w:rPr>
          <w:rFonts w:cs="Arial"/>
          <w:sz w:val="22"/>
          <w:szCs w:val="22"/>
        </w:rPr>
        <w:t>, 2000;</w:t>
      </w:r>
      <w:r w:rsidRPr="00DA1FFA">
        <w:rPr>
          <w:rFonts w:cs="Arial"/>
          <w:b/>
          <w:sz w:val="22"/>
          <w:szCs w:val="22"/>
        </w:rPr>
        <w:t>12</w:t>
      </w:r>
      <w:r w:rsidRPr="00817E33">
        <w:rPr>
          <w:rFonts w:cs="Arial"/>
          <w:sz w:val="22"/>
          <w:szCs w:val="22"/>
        </w:rPr>
        <w:t>(5):379-388.</w:t>
      </w:r>
    </w:p>
    <w:p w14:paraId="2DA0A31A" w14:textId="77777777" w:rsidR="000923BB" w:rsidRPr="00817E33" w:rsidRDefault="000923BB" w:rsidP="000923BB">
      <w:pPr>
        <w:jc w:val="both"/>
        <w:rPr>
          <w:rFonts w:cs="Arial"/>
          <w:sz w:val="22"/>
          <w:szCs w:val="22"/>
        </w:rPr>
      </w:pPr>
      <w:r>
        <w:rPr>
          <w:rFonts w:cs="Arial"/>
          <w:sz w:val="22"/>
          <w:szCs w:val="22"/>
        </w:rPr>
        <w:t>5</w:t>
      </w:r>
      <w:r w:rsidRPr="00817E33">
        <w:rPr>
          <w:rFonts w:cs="Arial"/>
          <w:sz w:val="22"/>
          <w:szCs w:val="22"/>
        </w:rPr>
        <w:t xml:space="preserve">] Thomas EJ, Studdert DM, Burstein HR, Orav JE, Zeena TBS, Williams EJ, Howard KM, Weiler PC, Brennan TA. Incidences and types of adverse events and negligent care in Utah and Colorado. </w:t>
      </w:r>
      <w:r w:rsidRPr="00467BCA">
        <w:rPr>
          <w:rFonts w:cs="Arial"/>
          <w:i/>
          <w:sz w:val="22"/>
          <w:szCs w:val="22"/>
        </w:rPr>
        <w:t>Medical Care</w:t>
      </w:r>
      <w:r w:rsidRPr="00817E33">
        <w:rPr>
          <w:rFonts w:cs="Arial"/>
          <w:sz w:val="22"/>
          <w:szCs w:val="22"/>
        </w:rPr>
        <w:t>, 2000;</w:t>
      </w:r>
      <w:r w:rsidRPr="00DA1FFA">
        <w:rPr>
          <w:rFonts w:cs="Arial"/>
          <w:b/>
          <w:sz w:val="22"/>
          <w:szCs w:val="22"/>
        </w:rPr>
        <w:t>38</w:t>
      </w:r>
      <w:r w:rsidRPr="00817E33">
        <w:rPr>
          <w:rFonts w:cs="Arial"/>
          <w:sz w:val="22"/>
          <w:szCs w:val="22"/>
        </w:rPr>
        <w:t>(3).261-271.</w:t>
      </w:r>
    </w:p>
    <w:p w14:paraId="069DED26" w14:textId="77777777" w:rsidR="000923BB" w:rsidRDefault="000923BB" w:rsidP="000923BB">
      <w:pPr>
        <w:shd w:val="clear" w:color="auto" w:fill="FFFFFF"/>
        <w:jc w:val="both"/>
        <w:rPr>
          <w:rFonts w:cs="Arial"/>
          <w:sz w:val="22"/>
          <w:szCs w:val="22"/>
        </w:rPr>
      </w:pPr>
      <w:r>
        <w:rPr>
          <w:rFonts w:cs="Arial"/>
          <w:sz w:val="22"/>
          <w:szCs w:val="22"/>
        </w:rPr>
        <w:t>6</w:t>
      </w:r>
      <w:r w:rsidRPr="00817E33">
        <w:rPr>
          <w:rFonts w:cs="Arial"/>
          <w:sz w:val="22"/>
          <w:szCs w:val="22"/>
        </w:rPr>
        <w:t xml:space="preserve">] Weingart SN, Davis RB, Palmer RH, Cahalane M, Hamel MB, Mukamal K, Phillips RS, Davies DT, Iezzoni LI. Discrepancies between explicit and implicit review: Physician and Nurse Assessments of Complication and Quality. </w:t>
      </w:r>
      <w:r w:rsidRPr="00817E33">
        <w:rPr>
          <w:rFonts w:cs="Arial"/>
          <w:i/>
          <w:sz w:val="22"/>
          <w:szCs w:val="22"/>
        </w:rPr>
        <w:t>Health Services Research</w:t>
      </w:r>
      <w:r w:rsidRPr="00817E33">
        <w:rPr>
          <w:rFonts w:cs="Arial"/>
          <w:sz w:val="22"/>
          <w:szCs w:val="22"/>
        </w:rPr>
        <w:t>, 2002;</w:t>
      </w:r>
      <w:r w:rsidRPr="00817E33">
        <w:rPr>
          <w:rFonts w:cs="Arial"/>
          <w:b/>
          <w:sz w:val="22"/>
          <w:szCs w:val="22"/>
        </w:rPr>
        <w:t>32</w:t>
      </w:r>
      <w:r w:rsidRPr="00817E33">
        <w:rPr>
          <w:rFonts w:cs="Arial"/>
          <w:sz w:val="22"/>
          <w:szCs w:val="22"/>
        </w:rPr>
        <w:t xml:space="preserve">:483- 498. </w:t>
      </w:r>
      <w:r w:rsidRPr="00817E33">
        <w:rPr>
          <w:rFonts w:cs="Arial"/>
          <w:sz w:val="22"/>
          <w:szCs w:val="22"/>
        </w:rPr>
        <w:tab/>
      </w:r>
    </w:p>
    <w:p w14:paraId="739F6FF7" w14:textId="77777777" w:rsidR="000923BB" w:rsidRDefault="000923BB" w:rsidP="000923BB">
      <w:pPr>
        <w:shd w:val="clear" w:color="auto" w:fill="FFFFFF"/>
        <w:jc w:val="both"/>
        <w:rPr>
          <w:rFonts w:cs="Arial"/>
          <w:sz w:val="22"/>
          <w:szCs w:val="22"/>
        </w:rPr>
      </w:pPr>
      <w:r>
        <w:rPr>
          <w:rFonts w:cs="Arial"/>
          <w:sz w:val="22"/>
          <w:szCs w:val="22"/>
        </w:rPr>
        <w:t>7</w:t>
      </w:r>
      <w:r w:rsidRPr="00817E33">
        <w:rPr>
          <w:rFonts w:cs="Arial"/>
          <w:sz w:val="22"/>
          <w:szCs w:val="22"/>
        </w:rPr>
        <w:t>] Gibbs J, Clark K, Khuri S, Henderson W, Hur K, Daley J. Validating risk adjusted surgical outcomes: ch</w:t>
      </w:r>
      <w:r>
        <w:rPr>
          <w:rFonts w:cs="Arial"/>
          <w:sz w:val="22"/>
          <w:szCs w:val="22"/>
        </w:rPr>
        <w:t xml:space="preserve">art review of process of care. </w:t>
      </w:r>
      <w:r w:rsidRPr="00467BCA">
        <w:rPr>
          <w:rFonts w:cs="Arial"/>
          <w:i/>
          <w:sz w:val="22"/>
          <w:szCs w:val="22"/>
        </w:rPr>
        <w:t>Int J Qual</w:t>
      </w:r>
      <w:r>
        <w:rPr>
          <w:rFonts w:cs="Arial"/>
          <w:i/>
          <w:sz w:val="22"/>
          <w:szCs w:val="22"/>
        </w:rPr>
        <w:t xml:space="preserve"> </w:t>
      </w:r>
      <w:r w:rsidRPr="00467BCA">
        <w:rPr>
          <w:rFonts w:cs="Arial"/>
          <w:i/>
          <w:sz w:val="22"/>
          <w:szCs w:val="22"/>
        </w:rPr>
        <w:t>Health Care</w:t>
      </w:r>
      <w:r>
        <w:rPr>
          <w:rFonts w:cs="Arial"/>
          <w:i/>
          <w:sz w:val="22"/>
          <w:szCs w:val="22"/>
        </w:rPr>
        <w:t>,</w:t>
      </w:r>
      <w:r>
        <w:rPr>
          <w:rFonts w:cs="Arial"/>
          <w:sz w:val="22"/>
          <w:szCs w:val="22"/>
        </w:rPr>
        <w:t xml:space="preserve">  </w:t>
      </w:r>
      <w:r w:rsidRPr="00817E33">
        <w:rPr>
          <w:rFonts w:cs="Arial"/>
          <w:sz w:val="22"/>
          <w:szCs w:val="22"/>
        </w:rPr>
        <w:t>2001:</w:t>
      </w:r>
      <w:r w:rsidRPr="007D3762">
        <w:rPr>
          <w:rFonts w:cs="Arial"/>
          <w:b/>
          <w:sz w:val="22"/>
          <w:szCs w:val="22"/>
        </w:rPr>
        <w:t>13</w:t>
      </w:r>
      <w:r w:rsidRPr="00817E33">
        <w:rPr>
          <w:rFonts w:cs="Arial"/>
          <w:sz w:val="22"/>
          <w:szCs w:val="22"/>
        </w:rPr>
        <w:t>(3);187-196.</w:t>
      </w:r>
    </w:p>
    <w:p w14:paraId="46975A87" w14:textId="77777777" w:rsidR="000923BB" w:rsidRDefault="000923BB" w:rsidP="000923BB">
      <w:pPr>
        <w:shd w:val="clear" w:color="auto" w:fill="FFFFFF"/>
        <w:jc w:val="both"/>
        <w:rPr>
          <w:rFonts w:cs="Arial"/>
          <w:sz w:val="22"/>
          <w:szCs w:val="22"/>
        </w:rPr>
      </w:pPr>
      <w:r>
        <w:rPr>
          <w:rFonts w:cs="Arial"/>
          <w:sz w:val="22"/>
          <w:szCs w:val="22"/>
        </w:rPr>
        <w:t>8</w:t>
      </w:r>
      <w:r w:rsidRPr="00817E33">
        <w:rPr>
          <w:rFonts w:cs="Arial"/>
          <w:sz w:val="22"/>
          <w:szCs w:val="22"/>
        </w:rPr>
        <w:t xml:space="preserve">] Ashton C, Kuykendall D, Johnson ML, Wray N. An empirical assessment of the validity of explicit and implicit process of care criteria for quality assessment, </w:t>
      </w:r>
      <w:r w:rsidRPr="00817E33">
        <w:rPr>
          <w:rFonts w:cs="Arial"/>
          <w:i/>
          <w:sz w:val="22"/>
          <w:szCs w:val="22"/>
        </w:rPr>
        <w:t>Med Care</w:t>
      </w:r>
      <w:r w:rsidRPr="00817E33">
        <w:rPr>
          <w:rFonts w:cs="Arial"/>
          <w:sz w:val="22"/>
          <w:szCs w:val="22"/>
        </w:rPr>
        <w:t>,1999;</w:t>
      </w:r>
      <w:r w:rsidRPr="00817E33">
        <w:rPr>
          <w:rFonts w:cs="Arial"/>
          <w:b/>
          <w:sz w:val="22"/>
          <w:szCs w:val="22"/>
        </w:rPr>
        <w:t>37</w:t>
      </w:r>
      <w:r w:rsidRPr="00817E33">
        <w:rPr>
          <w:rFonts w:cs="Arial"/>
          <w:sz w:val="22"/>
          <w:szCs w:val="22"/>
        </w:rPr>
        <w:t>:798-808.</w:t>
      </w:r>
    </w:p>
    <w:p w14:paraId="3778DA5D" w14:textId="77777777" w:rsidR="000923BB" w:rsidRPr="00817E33" w:rsidRDefault="000923BB" w:rsidP="000923BB">
      <w:pPr>
        <w:jc w:val="both"/>
        <w:rPr>
          <w:rFonts w:cs="Arial"/>
          <w:sz w:val="22"/>
          <w:szCs w:val="22"/>
        </w:rPr>
      </w:pPr>
      <w:r w:rsidRPr="00FE1B28">
        <w:rPr>
          <w:rFonts w:cs="Arial"/>
          <w:sz w:val="22"/>
          <w:szCs w:val="22"/>
          <w:lang w:val="de-DE"/>
        </w:rPr>
        <w:t xml:space="preserve">9] Thomas EJ, Studdert DM, Brennan TA. </w:t>
      </w:r>
      <w:r w:rsidRPr="00817E33">
        <w:rPr>
          <w:rFonts w:cs="Arial"/>
          <w:sz w:val="22"/>
          <w:szCs w:val="22"/>
        </w:rPr>
        <w:t>The reliabili</w:t>
      </w:r>
      <w:r>
        <w:rPr>
          <w:rFonts w:cs="Arial"/>
          <w:sz w:val="22"/>
          <w:szCs w:val="22"/>
        </w:rPr>
        <w:t xml:space="preserve">ty of medical record review for </w:t>
      </w:r>
      <w:r w:rsidRPr="00817E33">
        <w:rPr>
          <w:rFonts w:cs="Arial"/>
          <w:sz w:val="22"/>
          <w:szCs w:val="22"/>
        </w:rPr>
        <w:t xml:space="preserve">estimating adverse event rates. </w:t>
      </w:r>
      <w:r w:rsidRPr="00467BCA">
        <w:rPr>
          <w:rFonts w:cs="Arial"/>
          <w:i/>
          <w:sz w:val="22"/>
          <w:szCs w:val="22"/>
        </w:rPr>
        <w:t>Ann Int Med</w:t>
      </w:r>
      <w:r w:rsidRPr="00817E33">
        <w:rPr>
          <w:rFonts w:cs="Arial"/>
          <w:sz w:val="22"/>
          <w:szCs w:val="22"/>
        </w:rPr>
        <w:t>, 2002;</w:t>
      </w:r>
      <w:r w:rsidRPr="00DA1FFA">
        <w:rPr>
          <w:rFonts w:cs="Arial"/>
          <w:b/>
          <w:sz w:val="22"/>
          <w:szCs w:val="22"/>
        </w:rPr>
        <w:t>136</w:t>
      </w:r>
      <w:r w:rsidRPr="00817E33">
        <w:rPr>
          <w:rFonts w:cs="Arial"/>
          <w:sz w:val="22"/>
          <w:szCs w:val="22"/>
        </w:rPr>
        <w:t>(11)812-816.</w:t>
      </w:r>
    </w:p>
    <w:p w14:paraId="325DFC26" w14:textId="77777777" w:rsidR="000923BB" w:rsidRPr="00817E33" w:rsidRDefault="000923BB" w:rsidP="000923BB">
      <w:pPr>
        <w:shd w:val="clear" w:color="auto" w:fill="FFFFFF"/>
        <w:jc w:val="both"/>
        <w:rPr>
          <w:rFonts w:cs="Arial"/>
          <w:sz w:val="22"/>
          <w:szCs w:val="22"/>
        </w:rPr>
      </w:pPr>
      <w:r>
        <w:rPr>
          <w:rFonts w:cs="Arial"/>
          <w:sz w:val="22"/>
          <w:szCs w:val="22"/>
        </w:rPr>
        <w:t>10</w:t>
      </w:r>
      <w:r w:rsidRPr="00817E33">
        <w:rPr>
          <w:rFonts w:cs="Arial"/>
          <w:sz w:val="22"/>
          <w:szCs w:val="22"/>
        </w:rPr>
        <w:t xml:space="preserve">] Hofer TP, Asch SM, Hayward RA, Rubenstein LV, Hogan MM, Adams J, Kerr EA.  Profiling quality of care: is there a role for peer review? </w:t>
      </w:r>
      <w:r w:rsidRPr="00817E33">
        <w:rPr>
          <w:rFonts w:cs="Arial"/>
          <w:i/>
          <w:sz w:val="22"/>
          <w:szCs w:val="22"/>
        </w:rPr>
        <w:t>BMC Health Services Research</w:t>
      </w:r>
      <w:r w:rsidRPr="00817E33">
        <w:rPr>
          <w:rFonts w:cs="Arial"/>
          <w:sz w:val="22"/>
          <w:szCs w:val="22"/>
        </w:rPr>
        <w:t xml:space="preserve"> 2004;</w:t>
      </w:r>
      <w:r w:rsidRPr="00817E33">
        <w:rPr>
          <w:rFonts w:cs="Arial"/>
          <w:b/>
          <w:sz w:val="22"/>
          <w:szCs w:val="22"/>
        </w:rPr>
        <w:t>4</w:t>
      </w:r>
      <w:r w:rsidRPr="00817E33">
        <w:rPr>
          <w:rFonts w:cs="Arial"/>
          <w:sz w:val="22"/>
          <w:szCs w:val="22"/>
        </w:rPr>
        <w:t xml:space="preserve">:9. </w:t>
      </w:r>
      <w:hyperlink r:id="rId102" w:history="1">
        <w:r w:rsidRPr="00817E33">
          <w:rPr>
            <w:rStyle w:val="Hyperlink"/>
            <w:rFonts w:cs="Arial"/>
            <w:sz w:val="22"/>
            <w:szCs w:val="22"/>
          </w:rPr>
          <w:t>http://www.biomedcentral.com/1472-6963/4/9</w:t>
        </w:r>
      </w:hyperlink>
    </w:p>
    <w:p w14:paraId="5A9F19E4" w14:textId="77777777" w:rsidR="000923BB" w:rsidRPr="00817E33" w:rsidRDefault="000923BB" w:rsidP="000923BB">
      <w:pPr>
        <w:shd w:val="clear" w:color="auto" w:fill="FFFFFF"/>
        <w:jc w:val="both"/>
        <w:rPr>
          <w:rFonts w:cs="Arial"/>
          <w:sz w:val="22"/>
          <w:szCs w:val="22"/>
        </w:rPr>
      </w:pPr>
      <w:r>
        <w:rPr>
          <w:rFonts w:cs="Arial"/>
          <w:snapToGrid w:val="0"/>
          <w:sz w:val="22"/>
          <w:szCs w:val="22"/>
        </w:rPr>
        <w:t>11</w:t>
      </w:r>
      <w:r w:rsidRPr="00817E33">
        <w:rPr>
          <w:rFonts w:cs="Arial"/>
          <w:snapToGrid w:val="0"/>
          <w:sz w:val="22"/>
          <w:szCs w:val="22"/>
        </w:rPr>
        <w:t>] Hayward RA, Hofer TP</w:t>
      </w:r>
      <w:r w:rsidRPr="00817E33">
        <w:rPr>
          <w:rFonts w:cs="Arial"/>
          <w:sz w:val="22"/>
          <w:szCs w:val="22"/>
        </w:rPr>
        <w:t xml:space="preserve">E. Estimating hospital deaths due to medical errors: preventability is in the eye of the reviewer. </w:t>
      </w:r>
      <w:r w:rsidRPr="00817E33">
        <w:rPr>
          <w:rFonts w:cs="Arial"/>
          <w:i/>
          <w:sz w:val="22"/>
          <w:szCs w:val="22"/>
        </w:rPr>
        <w:t>JAMA</w:t>
      </w:r>
      <w:r w:rsidRPr="00817E33">
        <w:rPr>
          <w:rFonts w:cs="Arial"/>
          <w:sz w:val="22"/>
          <w:szCs w:val="22"/>
        </w:rPr>
        <w:t>, 2001;</w:t>
      </w:r>
      <w:r w:rsidRPr="00817E33">
        <w:rPr>
          <w:rFonts w:cs="Arial"/>
          <w:b/>
          <w:sz w:val="22"/>
          <w:szCs w:val="22"/>
        </w:rPr>
        <w:t>286</w:t>
      </w:r>
      <w:r w:rsidRPr="00817E33">
        <w:rPr>
          <w:rFonts w:cs="Arial"/>
          <w:sz w:val="22"/>
          <w:szCs w:val="22"/>
        </w:rPr>
        <w:t>:415-420.</w:t>
      </w:r>
    </w:p>
    <w:p w14:paraId="24B122BC" w14:textId="77777777" w:rsidR="000923BB" w:rsidRPr="00817E33" w:rsidRDefault="000923BB" w:rsidP="000923BB">
      <w:pPr>
        <w:shd w:val="clear" w:color="auto" w:fill="FFFFFF"/>
        <w:jc w:val="both"/>
        <w:rPr>
          <w:rFonts w:cs="Arial"/>
          <w:sz w:val="22"/>
          <w:szCs w:val="22"/>
        </w:rPr>
      </w:pPr>
      <w:r w:rsidRPr="00817E33">
        <w:rPr>
          <w:rFonts w:cs="Arial"/>
          <w:sz w:val="22"/>
          <w:szCs w:val="22"/>
        </w:rPr>
        <w:t>1</w:t>
      </w:r>
      <w:r>
        <w:rPr>
          <w:rFonts w:cs="Arial"/>
          <w:sz w:val="22"/>
          <w:szCs w:val="22"/>
        </w:rPr>
        <w:t>2</w:t>
      </w:r>
      <w:r w:rsidRPr="00817E33">
        <w:rPr>
          <w:rFonts w:cs="Arial"/>
          <w:sz w:val="22"/>
          <w:szCs w:val="22"/>
        </w:rPr>
        <w:t xml:space="preserve">] Lilford R, Edwards A, Girling A, Hofer T, Di Tanna GL, Petty J, Nicholl J.  Inter-rater reliability of case-note audit: a systematic review.  </w:t>
      </w:r>
      <w:r>
        <w:rPr>
          <w:rFonts w:cs="Arial"/>
          <w:i/>
          <w:sz w:val="22"/>
          <w:szCs w:val="22"/>
        </w:rPr>
        <w:t xml:space="preserve">J Health </w:t>
      </w:r>
      <w:r w:rsidRPr="00817E33">
        <w:rPr>
          <w:rFonts w:cs="Arial"/>
          <w:i/>
          <w:sz w:val="22"/>
          <w:szCs w:val="22"/>
        </w:rPr>
        <w:t>Serv Res Policy</w:t>
      </w:r>
      <w:r w:rsidRPr="00817E33">
        <w:rPr>
          <w:rFonts w:cs="Arial"/>
          <w:sz w:val="22"/>
          <w:szCs w:val="22"/>
        </w:rPr>
        <w:t>, 2007;</w:t>
      </w:r>
      <w:r w:rsidRPr="00817E33">
        <w:rPr>
          <w:rFonts w:cs="Arial"/>
          <w:b/>
          <w:sz w:val="22"/>
          <w:szCs w:val="22"/>
        </w:rPr>
        <w:t>12</w:t>
      </w:r>
      <w:r w:rsidRPr="00817E33">
        <w:rPr>
          <w:rFonts w:cs="Arial"/>
          <w:sz w:val="22"/>
          <w:szCs w:val="22"/>
        </w:rPr>
        <w:t xml:space="preserve">:173-180 </w:t>
      </w:r>
    </w:p>
    <w:p w14:paraId="3A8E5725" w14:textId="77777777" w:rsidR="000923BB" w:rsidRPr="00817E33" w:rsidRDefault="000923BB" w:rsidP="000923BB">
      <w:pPr>
        <w:shd w:val="clear" w:color="auto" w:fill="FFFFFF"/>
        <w:jc w:val="both"/>
        <w:rPr>
          <w:rFonts w:cs="Arial"/>
          <w:sz w:val="22"/>
          <w:szCs w:val="22"/>
        </w:rPr>
      </w:pPr>
    </w:p>
    <w:p w14:paraId="01B1FFE9" w14:textId="77777777" w:rsidR="000923BB" w:rsidRDefault="000923BB" w:rsidP="000923BB">
      <w:pPr>
        <w:shd w:val="clear" w:color="auto" w:fill="FFFFFF"/>
        <w:jc w:val="both"/>
        <w:rPr>
          <w:rFonts w:cs="Arial"/>
          <w:sz w:val="22"/>
          <w:szCs w:val="22"/>
        </w:rPr>
      </w:pPr>
      <w:r w:rsidRPr="00817E33">
        <w:rPr>
          <w:rFonts w:cs="Arial"/>
          <w:sz w:val="22"/>
          <w:szCs w:val="22"/>
        </w:rPr>
        <w:lastRenderedPageBreak/>
        <w:t>1</w:t>
      </w:r>
      <w:r>
        <w:rPr>
          <w:rFonts w:cs="Arial"/>
          <w:sz w:val="22"/>
          <w:szCs w:val="22"/>
        </w:rPr>
        <w:t>3</w:t>
      </w:r>
      <w:r w:rsidRPr="00817E33">
        <w:rPr>
          <w:rFonts w:cs="Arial"/>
          <w:sz w:val="22"/>
          <w:szCs w:val="22"/>
        </w:rPr>
        <w:t xml:space="preserve">] Hulka BS, Romm FJ, Parkerson GR, Russell IT, Clapp NE, Johnson FS. Peer review in Ambulatory Care: Use of Explicit Criteria and Implicit Judgements.  </w:t>
      </w:r>
      <w:r w:rsidRPr="00817E33">
        <w:rPr>
          <w:rFonts w:cs="Arial"/>
          <w:i/>
          <w:sz w:val="22"/>
          <w:szCs w:val="22"/>
        </w:rPr>
        <w:t>Med Care</w:t>
      </w:r>
      <w:r w:rsidRPr="00817E33">
        <w:rPr>
          <w:rFonts w:cs="Arial"/>
          <w:sz w:val="22"/>
          <w:szCs w:val="22"/>
        </w:rPr>
        <w:t>, 1979;</w:t>
      </w:r>
      <w:r w:rsidRPr="00817E33">
        <w:rPr>
          <w:rFonts w:cs="Arial"/>
          <w:b/>
          <w:sz w:val="22"/>
          <w:szCs w:val="22"/>
        </w:rPr>
        <w:t>17</w:t>
      </w:r>
      <w:r w:rsidRPr="00817E33">
        <w:rPr>
          <w:rFonts w:cs="Arial"/>
          <w:sz w:val="22"/>
          <w:szCs w:val="22"/>
        </w:rPr>
        <w:t>(Suppl):1-73.</w:t>
      </w:r>
    </w:p>
    <w:p w14:paraId="24B33C7A" w14:textId="77777777" w:rsidR="000923BB" w:rsidRDefault="000923BB" w:rsidP="000923BB">
      <w:pPr>
        <w:shd w:val="clear" w:color="auto" w:fill="FFFFFF"/>
        <w:jc w:val="both"/>
        <w:rPr>
          <w:rFonts w:cs="Arial"/>
          <w:sz w:val="22"/>
          <w:szCs w:val="22"/>
        </w:rPr>
      </w:pPr>
      <w:r w:rsidRPr="00817E33">
        <w:rPr>
          <w:rFonts w:cs="Arial"/>
          <w:sz w:val="22"/>
          <w:szCs w:val="22"/>
        </w:rPr>
        <w:t>1</w:t>
      </w:r>
      <w:r>
        <w:rPr>
          <w:rFonts w:cs="Arial"/>
          <w:sz w:val="22"/>
          <w:szCs w:val="22"/>
        </w:rPr>
        <w:t>4</w:t>
      </w:r>
      <w:r w:rsidRPr="00817E33">
        <w:rPr>
          <w:rFonts w:cs="Arial"/>
          <w:sz w:val="22"/>
          <w:szCs w:val="22"/>
        </w:rPr>
        <w:t xml:space="preserve">] Hayward RA, McMahon LF, Bernard AM.  Evaluating the care of general medicine inpatients: how good is implicit review? </w:t>
      </w:r>
      <w:r w:rsidRPr="00817E33">
        <w:rPr>
          <w:rFonts w:cs="Arial"/>
          <w:i/>
          <w:sz w:val="22"/>
          <w:szCs w:val="22"/>
        </w:rPr>
        <w:t>Ann Intern Med</w:t>
      </w:r>
      <w:r w:rsidRPr="00817E33">
        <w:rPr>
          <w:rFonts w:cs="Arial"/>
          <w:sz w:val="22"/>
          <w:szCs w:val="22"/>
        </w:rPr>
        <w:t>, 1993;</w:t>
      </w:r>
      <w:r w:rsidRPr="00817E33">
        <w:rPr>
          <w:rFonts w:cs="Arial"/>
          <w:b/>
          <w:sz w:val="22"/>
          <w:szCs w:val="22"/>
        </w:rPr>
        <w:t>118</w:t>
      </w:r>
      <w:r w:rsidRPr="00817E33">
        <w:rPr>
          <w:rFonts w:cs="Arial"/>
          <w:sz w:val="22"/>
          <w:szCs w:val="22"/>
        </w:rPr>
        <w:t>:550-556</w:t>
      </w:r>
    </w:p>
    <w:p w14:paraId="0B23DBF5" w14:textId="77777777" w:rsidR="000923BB" w:rsidRPr="00FE1B28" w:rsidRDefault="000923BB" w:rsidP="000923BB">
      <w:pPr>
        <w:shd w:val="clear" w:color="auto" w:fill="FFFFFF"/>
        <w:jc w:val="both"/>
        <w:rPr>
          <w:rFonts w:cs="Arial"/>
          <w:sz w:val="22"/>
          <w:szCs w:val="22"/>
          <w:lang w:val="de-DE"/>
        </w:rPr>
      </w:pPr>
      <w:r w:rsidRPr="00817E33">
        <w:rPr>
          <w:rFonts w:cs="Arial"/>
          <w:sz w:val="22"/>
          <w:szCs w:val="22"/>
        </w:rPr>
        <w:t>1</w:t>
      </w:r>
      <w:r>
        <w:rPr>
          <w:rFonts w:cs="Arial"/>
          <w:sz w:val="22"/>
          <w:szCs w:val="22"/>
        </w:rPr>
        <w:t>5</w:t>
      </w:r>
      <w:r w:rsidRPr="00817E33">
        <w:rPr>
          <w:rFonts w:cs="Arial"/>
          <w:sz w:val="22"/>
          <w:szCs w:val="22"/>
        </w:rPr>
        <w:t xml:space="preserve">] Fischoff B.  Hindsight ≠ foresight: The effect of outcome knowledge on judgement under uncertainty.  </w:t>
      </w:r>
      <w:r w:rsidRPr="00FE1B28">
        <w:rPr>
          <w:rFonts w:cs="Arial"/>
          <w:i/>
          <w:sz w:val="22"/>
          <w:szCs w:val="22"/>
          <w:lang w:val="de-DE"/>
        </w:rPr>
        <w:t>J Experimental Psychol</w:t>
      </w:r>
      <w:r w:rsidRPr="00FE1B28">
        <w:rPr>
          <w:rFonts w:cs="Arial"/>
          <w:sz w:val="22"/>
          <w:szCs w:val="22"/>
          <w:lang w:val="de-DE"/>
        </w:rPr>
        <w:t>, 1975;</w:t>
      </w:r>
      <w:r w:rsidRPr="00FE1B28">
        <w:rPr>
          <w:rFonts w:cs="Arial"/>
          <w:b/>
          <w:sz w:val="22"/>
          <w:szCs w:val="22"/>
          <w:lang w:val="de-DE"/>
        </w:rPr>
        <w:t>1</w:t>
      </w:r>
      <w:r w:rsidRPr="00FE1B28">
        <w:rPr>
          <w:rFonts w:cs="Arial"/>
          <w:sz w:val="22"/>
          <w:szCs w:val="22"/>
          <w:lang w:val="de-DE"/>
        </w:rPr>
        <w:t>:288-299</w:t>
      </w:r>
    </w:p>
    <w:p w14:paraId="79BA02FE" w14:textId="77777777" w:rsidR="000923BB" w:rsidRPr="00817E33" w:rsidRDefault="000923BB" w:rsidP="000923BB">
      <w:pPr>
        <w:jc w:val="both"/>
        <w:rPr>
          <w:rFonts w:cs="Arial"/>
          <w:sz w:val="22"/>
          <w:szCs w:val="22"/>
        </w:rPr>
      </w:pPr>
      <w:r w:rsidRPr="00A423F0">
        <w:rPr>
          <w:rFonts w:cs="Arial"/>
          <w:color w:val="000000"/>
          <w:sz w:val="22"/>
          <w:szCs w:val="22"/>
          <w:lang w:val="de-DE"/>
        </w:rPr>
        <w:t>1</w:t>
      </w:r>
      <w:r>
        <w:rPr>
          <w:rFonts w:cs="Arial"/>
          <w:color w:val="000000"/>
          <w:sz w:val="22"/>
          <w:szCs w:val="22"/>
          <w:lang w:val="de-DE"/>
        </w:rPr>
        <w:t>6</w:t>
      </w:r>
      <w:r w:rsidRPr="00A423F0">
        <w:rPr>
          <w:rFonts w:cs="Arial"/>
          <w:color w:val="000000"/>
          <w:sz w:val="22"/>
          <w:szCs w:val="22"/>
          <w:lang w:val="de-DE"/>
        </w:rPr>
        <w:t>] Lilford RJ, Mohammed MA, Brauholtz</w:t>
      </w:r>
      <w:r>
        <w:rPr>
          <w:rFonts w:cs="Arial"/>
          <w:color w:val="000000"/>
          <w:sz w:val="22"/>
          <w:szCs w:val="22"/>
          <w:lang w:val="de-DE"/>
        </w:rPr>
        <w:t xml:space="preserve"> </w:t>
      </w:r>
      <w:r w:rsidRPr="00A423F0">
        <w:rPr>
          <w:rFonts w:cs="Arial"/>
          <w:color w:val="000000"/>
          <w:sz w:val="22"/>
          <w:szCs w:val="22"/>
          <w:lang w:val="de-DE"/>
        </w:rPr>
        <w:t>D</w:t>
      </w:r>
      <w:r>
        <w:rPr>
          <w:rFonts w:cs="Arial"/>
          <w:color w:val="000000"/>
          <w:sz w:val="22"/>
          <w:szCs w:val="22"/>
          <w:lang w:val="de-DE"/>
        </w:rPr>
        <w:t>,</w:t>
      </w:r>
      <w:r w:rsidRPr="00A423F0">
        <w:rPr>
          <w:rFonts w:cs="Arial"/>
          <w:color w:val="000000"/>
          <w:sz w:val="22"/>
          <w:szCs w:val="22"/>
          <w:lang w:val="de-DE"/>
        </w:rPr>
        <w:t xml:space="preserve"> Hofer TP. </w:t>
      </w:r>
      <w:r w:rsidRPr="00817E33">
        <w:rPr>
          <w:rFonts w:cs="Arial"/>
          <w:color w:val="000000"/>
          <w:sz w:val="22"/>
          <w:szCs w:val="22"/>
        </w:rPr>
        <w:t xml:space="preserve">The measurement of active errors: methodology issues.  </w:t>
      </w:r>
      <w:r w:rsidRPr="000F208D">
        <w:rPr>
          <w:rFonts w:cs="Arial"/>
          <w:i/>
          <w:color w:val="000000"/>
          <w:sz w:val="22"/>
          <w:szCs w:val="22"/>
        </w:rPr>
        <w:t>QSHC</w:t>
      </w:r>
      <w:r w:rsidRPr="00817E33">
        <w:rPr>
          <w:rFonts w:cs="Arial"/>
          <w:color w:val="000000"/>
          <w:sz w:val="22"/>
          <w:szCs w:val="22"/>
        </w:rPr>
        <w:t>, 2003;</w:t>
      </w:r>
      <w:r w:rsidRPr="00817E33">
        <w:rPr>
          <w:rFonts w:cs="Arial"/>
          <w:b/>
          <w:color w:val="000000"/>
          <w:sz w:val="22"/>
          <w:szCs w:val="22"/>
        </w:rPr>
        <w:t>12</w:t>
      </w:r>
      <w:r w:rsidRPr="00817E33">
        <w:rPr>
          <w:rFonts w:cs="Arial"/>
          <w:color w:val="000000"/>
          <w:sz w:val="22"/>
          <w:szCs w:val="22"/>
        </w:rPr>
        <w:t>(SuppI):ii8-ii12</w:t>
      </w:r>
    </w:p>
    <w:p w14:paraId="7011C4EE" w14:textId="77777777" w:rsidR="000923BB" w:rsidRPr="00817E33" w:rsidRDefault="000923BB" w:rsidP="000923BB">
      <w:pPr>
        <w:shd w:val="clear" w:color="auto" w:fill="FFFFFF"/>
        <w:jc w:val="both"/>
        <w:rPr>
          <w:rFonts w:cs="Arial"/>
          <w:sz w:val="22"/>
          <w:szCs w:val="22"/>
        </w:rPr>
      </w:pPr>
      <w:r w:rsidRPr="00817E33">
        <w:rPr>
          <w:rFonts w:cs="Arial"/>
          <w:sz w:val="22"/>
          <w:szCs w:val="22"/>
        </w:rPr>
        <w:t>1</w:t>
      </w:r>
      <w:r>
        <w:rPr>
          <w:rFonts w:cs="Arial"/>
          <w:sz w:val="22"/>
          <w:szCs w:val="22"/>
        </w:rPr>
        <w:t>7</w:t>
      </w:r>
      <w:r w:rsidRPr="00817E33">
        <w:rPr>
          <w:rFonts w:cs="Arial"/>
          <w:sz w:val="22"/>
          <w:szCs w:val="22"/>
        </w:rPr>
        <w:t xml:space="preserve">] Localio RA, Weaver SL, Landis R, Lawthers AG, Brennan TA, Hebert L, Sharp TJ. Identifying adverse events caused by medical care: degree of physician agreement in a retrospective chart review. </w:t>
      </w:r>
      <w:r w:rsidRPr="00817E33">
        <w:rPr>
          <w:rFonts w:cs="Arial"/>
          <w:i/>
          <w:sz w:val="22"/>
          <w:szCs w:val="22"/>
        </w:rPr>
        <w:t>Ann Intern Med</w:t>
      </w:r>
      <w:r w:rsidRPr="00817E33">
        <w:rPr>
          <w:rFonts w:cs="Arial"/>
          <w:sz w:val="22"/>
          <w:szCs w:val="22"/>
        </w:rPr>
        <w:t>, 1996;</w:t>
      </w:r>
      <w:r w:rsidRPr="00817E33">
        <w:rPr>
          <w:rFonts w:cs="Arial"/>
          <w:b/>
          <w:sz w:val="22"/>
          <w:szCs w:val="22"/>
        </w:rPr>
        <w:t>125</w:t>
      </w:r>
      <w:r w:rsidRPr="00817E33">
        <w:rPr>
          <w:rFonts w:cs="Arial"/>
          <w:sz w:val="22"/>
          <w:szCs w:val="22"/>
        </w:rPr>
        <w:t>:457-464.</w:t>
      </w:r>
    </w:p>
    <w:p w14:paraId="74BCC5A2" w14:textId="77777777" w:rsidR="000923BB" w:rsidRDefault="000923BB" w:rsidP="000923BB">
      <w:pPr>
        <w:shd w:val="clear" w:color="auto" w:fill="FFFFFF"/>
        <w:jc w:val="both"/>
        <w:rPr>
          <w:rFonts w:cs="Arial"/>
          <w:sz w:val="22"/>
          <w:szCs w:val="22"/>
        </w:rPr>
      </w:pPr>
      <w:r w:rsidRPr="00817E33">
        <w:rPr>
          <w:rFonts w:cs="Arial"/>
          <w:sz w:val="22"/>
          <w:szCs w:val="22"/>
        </w:rPr>
        <w:t>1</w:t>
      </w:r>
      <w:r>
        <w:rPr>
          <w:rFonts w:cs="Arial"/>
          <w:sz w:val="22"/>
          <w:szCs w:val="22"/>
        </w:rPr>
        <w:t>8</w:t>
      </w:r>
      <w:r w:rsidRPr="00817E33">
        <w:rPr>
          <w:rFonts w:cs="Arial"/>
          <w:sz w:val="22"/>
          <w:szCs w:val="22"/>
        </w:rPr>
        <w:t xml:space="preserve">]  Agency for Health Care Policy and Research. </w:t>
      </w:r>
      <w:r w:rsidRPr="00467BCA">
        <w:rPr>
          <w:rFonts w:cs="Arial"/>
          <w:i/>
          <w:sz w:val="22"/>
          <w:szCs w:val="22"/>
        </w:rPr>
        <w:t>Using clinical practice guidelines to evaluate quality of care. Volume 2.</w:t>
      </w:r>
      <w:r w:rsidRPr="00817E33">
        <w:rPr>
          <w:rFonts w:cs="Arial"/>
          <w:sz w:val="22"/>
          <w:szCs w:val="22"/>
        </w:rPr>
        <w:t xml:space="preserve"> Rockville MD</w:t>
      </w:r>
      <w:r>
        <w:rPr>
          <w:rFonts w:cs="Arial"/>
          <w:sz w:val="22"/>
          <w:szCs w:val="22"/>
        </w:rPr>
        <w:t xml:space="preserve">, </w:t>
      </w:r>
      <w:r w:rsidRPr="00817E33">
        <w:rPr>
          <w:rFonts w:cs="Arial"/>
          <w:sz w:val="22"/>
          <w:szCs w:val="22"/>
        </w:rPr>
        <w:t>US Department of Health and Human Services, Public Health Service, 1995.</w:t>
      </w:r>
    </w:p>
    <w:p w14:paraId="08F6DCB4" w14:textId="77777777" w:rsidR="000923BB" w:rsidRPr="00817E33" w:rsidRDefault="000923BB" w:rsidP="000923BB">
      <w:pPr>
        <w:shd w:val="clear" w:color="auto" w:fill="FFFFFF"/>
        <w:jc w:val="both"/>
        <w:rPr>
          <w:rFonts w:cs="Arial"/>
          <w:sz w:val="22"/>
          <w:szCs w:val="22"/>
        </w:rPr>
      </w:pPr>
      <w:r>
        <w:rPr>
          <w:rFonts w:cs="Arial"/>
          <w:sz w:val="22"/>
          <w:szCs w:val="22"/>
        </w:rPr>
        <w:t>19</w:t>
      </w:r>
      <w:r w:rsidRPr="00817E33">
        <w:rPr>
          <w:rFonts w:cs="Arial"/>
          <w:sz w:val="22"/>
          <w:szCs w:val="22"/>
        </w:rPr>
        <w:t xml:space="preserve">]  Hadorn DC, Baker DW, Kamberg CJ, Brook RH. Practice guidelines. Phase II of the AHCPR – sponsored heart failure guideline: translating practice recommendations into review criteria. </w:t>
      </w:r>
      <w:r w:rsidRPr="00817E33">
        <w:rPr>
          <w:rFonts w:cs="Arial"/>
          <w:i/>
          <w:sz w:val="22"/>
          <w:szCs w:val="22"/>
        </w:rPr>
        <w:t>J Quality Improvement</w:t>
      </w:r>
      <w:r w:rsidRPr="00817E33">
        <w:rPr>
          <w:rFonts w:cs="Arial"/>
          <w:sz w:val="22"/>
          <w:szCs w:val="22"/>
        </w:rPr>
        <w:t>, 1996;</w:t>
      </w:r>
      <w:r w:rsidRPr="00817E33">
        <w:rPr>
          <w:rFonts w:cs="Arial"/>
          <w:b/>
          <w:sz w:val="22"/>
          <w:szCs w:val="22"/>
        </w:rPr>
        <w:t>22</w:t>
      </w:r>
      <w:r w:rsidRPr="00817E33">
        <w:rPr>
          <w:rFonts w:cs="Arial"/>
          <w:sz w:val="22"/>
          <w:szCs w:val="22"/>
        </w:rPr>
        <w:t>:265-276.</w:t>
      </w:r>
    </w:p>
    <w:p w14:paraId="017D9AD2" w14:textId="77777777" w:rsidR="000923BB" w:rsidRPr="00817E33" w:rsidRDefault="000923BB" w:rsidP="000923BB">
      <w:pPr>
        <w:shd w:val="clear" w:color="auto" w:fill="FFFFFF"/>
        <w:jc w:val="both"/>
        <w:rPr>
          <w:rFonts w:cs="Arial"/>
          <w:sz w:val="22"/>
          <w:szCs w:val="22"/>
        </w:rPr>
      </w:pPr>
      <w:r>
        <w:rPr>
          <w:rFonts w:cs="Arial"/>
          <w:sz w:val="22"/>
          <w:szCs w:val="22"/>
        </w:rPr>
        <w:t>20</w:t>
      </w:r>
      <w:r w:rsidRPr="00817E33">
        <w:rPr>
          <w:rFonts w:cs="Arial"/>
          <w:sz w:val="22"/>
          <w:szCs w:val="22"/>
        </w:rPr>
        <w:t xml:space="preserve">] The North of England Study of Standards and Performance in General Practice. Medical audit in general practice.  I: Effects on doctors' clinical behaviour for common childhood conditions.  </w:t>
      </w:r>
      <w:r w:rsidRPr="00817E33">
        <w:rPr>
          <w:rFonts w:cs="Arial"/>
          <w:i/>
          <w:sz w:val="22"/>
          <w:szCs w:val="22"/>
        </w:rPr>
        <w:t xml:space="preserve">BMJ, </w:t>
      </w:r>
      <w:r w:rsidRPr="00817E33">
        <w:rPr>
          <w:rFonts w:cs="Arial"/>
          <w:sz w:val="22"/>
          <w:szCs w:val="22"/>
        </w:rPr>
        <w:t>1992;</w:t>
      </w:r>
      <w:r w:rsidRPr="00817E33">
        <w:rPr>
          <w:rFonts w:cs="Arial"/>
          <w:b/>
          <w:sz w:val="22"/>
          <w:szCs w:val="22"/>
        </w:rPr>
        <w:t>304:</w:t>
      </w:r>
      <w:r w:rsidRPr="00817E33">
        <w:rPr>
          <w:rFonts w:cs="Arial"/>
          <w:sz w:val="22"/>
          <w:szCs w:val="22"/>
        </w:rPr>
        <w:t>1480-1484.</w:t>
      </w:r>
    </w:p>
    <w:p w14:paraId="4AA90AF5" w14:textId="77777777" w:rsidR="000923BB" w:rsidRPr="00817E33" w:rsidRDefault="000923BB" w:rsidP="000923BB">
      <w:pPr>
        <w:shd w:val="clear" w:color="auto" w:fill="FFFFFF"/>
        <w:jc w:val="both"/>
        <w:rPr>
          <w:rFonts w:cs="Arial"/>
          <w:sz w:val="22"/>
          <w:szCs w:val="22"/>
        </w:rPr>
      </w:pPr>
      <w:r>
        <w:rPr>
          <w:rFonts w:cs="Arial"/>
          <w:sz w:val="22"/>
          <w:szCs w:val="22"/>
        </w:rPr>
        <w:t>21</w:t>
      </w:r>
      <w:r w:rsidRPr="00817E33">
        <w:rPr>
          <w:rFonts w:cs="Arial"/>
          <w:sz w:val="22"/>
          <w:szCs w:val="22"/>
        </w:rPr>
        <w:t xml:space="preserve">] Hutchinson A, McIntosh A, Anderson J, Gilbert C, Field R. Developing primary care review criteria from evidenced-based guidelines: coronary heart disease as a model. </w:t>
      </w:r>
      <w:r w:rsidRPr="00817E33">
        <w:rPr>
          <w:rFonts w:cs="Arial"/>
          <w:i/>
          <w:sz w:val="22"/>
          <w:szCs w:val="22"/>
        </w:rPr>
        <w:t>BJGP</w:t>
      </w:r>
      <w:r w:rsidRPr="00817E33">
        <w:rPr>
          <w:rFonts w:cs="Arial"/>
          <w:sz w:val="22"/>
          <w:szCs w:val="22"/>
        </w:rPr>
        <w:t>, 2003;</w:t>
      </w:r>
      <w:r w:rsidRPr="00817E33">
        <w:rPr>
          <w:rFonts w:cs="Arial"/>
          <w:b/>
          <w:sz w:val="22"/>
          <w:szCs w:val="22"/>
        </w:rPr>
        <w:t>53</w:t>
      </w:r>
      <w:r w:rsidRPr="00817E33">
        <w:rPr>
          <w:rFonts w:cs="Arial"/>
          <w:sz w:val="22"/>
          <w:szCs w:val="22"/>
        </w:rPr>
        <w:t>:691-696.</w:t>
      </w:r>
    </w:p>
    <w:p w14:paraId="52163A56" w14:textId="77777777" w:rsidR="000923BB" w:rsidRPr="00817E33" w:rsidRDefault="000923BB" w:rsidP="000923BB">
      <w:pPr>
        <w:shd w:val="clear" w:color="auto" w:fill="FFFFFF"/>
        <w:jc w:val="both"/>
        <w:rPr>
          <w:rFonts w:cs="Arial"/>
          <w:sz w:val="22"/>
          <w:szCs w:val="22"/>
        </w:rPr>
      </w:pPr>
      <w:r>
        <w:rPr>
          <w:rFonts w:cs="Arial"/>
          <w:sz w:val="22"/>
          <w:szCs w:val="22"/>
        </w:rPr>
        <w:t>22</w:t>
      </w:r>
      <w:r w:rsidRPr="00817E33">
        <w:rPr>
          <w:rFonts w:cs="Arial"/>
          <w:sz w:val="22"/>
          <w:szCs w:val="22"/>
        </w:rPr>
        <w:t xml:space="preserve">] National Institute for Clinical Excellence. </w:t>
      </w:r>
      <w:r w:rsidRPr="00467BCA">
        <w:rPr>
          <w:rFonts w:cs="Arial"/>
          <w:i/>
          <w:sz w:val="22"/>
          <w:szCs w:val="22"/>
        </w:rPr>
        <w:t>Chronic Heart Failure: management of chronic heart failure in adults in primary and secondary care. Clinical Guideline 5.</w:t>
      </w:r>
      <w:r w:rsidRPr="00817E33">
        <w:rPr>
          <w:rFonts w:cs="Arial"/>
          <w:sz w:val="22"/>
          <w:szCs w:val="22"/>
        </w:rPr>
        <w:t xml:space="preserve"> London, National Institute for Clinical Excellence, 2003</w:t>
      </w:r>
    </w:p>
    <w:p w14:paraId="39C8D8AC" w14:textId="77777777" w:rsidR="000923BB" w:rsidRPr="00817E33" w:rsidRDefault="000923BB" w:rsidP="000923BB">
      <w:pPr>
        <w:pStyle w:val="HTMLPreformatted"/>
        <w:jc w:val="both"/>
        <w:rPr>
          <w:rFonts w:ascii="Arial" w:hAnsi="Arial" w:cs="Arial"/>
          <w:sz w:val="22"/>
          <w:szCs w:val="22"/>
        </w:rPr>
      </w:pPr>
      <w:r>
        <w:rPr>
          <w:rFonts w:ascii="Arial" w:hAnsi="Arial" w:cs="Arial"/>
          <w:sz w:val="22"/>
          <w:szCs w:val="22"/>
        </w:rPr>
        <w:t>23</w:t>
      </w:r>
      <w:r w:rsidRPr="00817E33">
        <w:rPr>
          <w:rFonts w:ascii="Arial" w:hAnsi="Arial" w:cs="Arial"/>
          <w:sz w:val="22"/>
          <w:szCs w:val="22"/>
        </w:rPr>
        <w:t xml:space="preserve">] Rudd AG, Lowe D, Irwin P, Rutledge Z, Pearson M; Intercollegiate Stroke Working Party.  National stroke audit: a tool for change? </w:t>
      </w:r>
      <w:r w:rsidRPr="00467BCA">
        <w:rPr>
          <w:rFonts w:ascii="Arial" w:hAnsi="Arial" w:cs="Arial"/>
          <w:i/>
          <w:sz w:val="22"/>
          <w:szCs w:val="22"/>
        </w:rPr>
        <w:t>Qual Health Care</w:t>
      </w:r>
      <w:r w:rsidRPr="00817E33">
        <w:rPr>
          <w:rFonts w:ascii="Arial" w:hAnsi="Arial" w:cs="Arial"/>
          <w:sz w:val="22"/>
          <w:szCs w:val="22"/>
        </w:rPr>
        <w:t>. 2001 Sep;</w:t>
      </w:r>
      <w:r w:rsidRPr="00817E33">
        <w:rPr>
          <w:rFonts w:ascii="Arial" w:hAnsi="Arial" w:cs="Arial"/>
          <w:b/>
          <w:sz w:val="22"/>
          <w:szCs w:val="22"/>
        </w:rPr>
        <w:t>10</w:t>
      </w:r>
      <w:r w:rsidRPr="00817E33">
        <w:rPr>
          <w:rFonts w:ascii="Arial" w:hAnsi="Arial" w:cs="Arial"/>
          <w:sz w:val="22"/>
          <w:szCs w:val="22"/>
        </w:rPr>
        <w:t xml:space="preserve">:141-51. </w:t>
      </w:r>
    </w:p>
    <w:p w14:paraId="692D19BF" w14:textId="77777777" w:rsidR="000923BB" w:rsidRDefault="000923BB" w:rsidP="000923BB">
      <w:pPr>
        <w:pStyle w:val="HTMLPreformatted"/>
        <w:jc w:val="both"/>
        <w:rPr>
          <w:rFonts w:ascii="Arial" w:hAnsi="Arial" w:cs="Arial"/>
          <w:sz w:val="22"/>
          <w:szCs w:val="22"/>
        </w:rPr>
      </w:pPr>
    </w:p>
    <w:p w14:paraId="0241975F" w14:textId="77777777" w:rsidR="000923BB" w:rsidRPr="00817E33" w:rsidRDefault="000923BB" w:rsidP="000923BB">
      <w:pPr>
        <w:jc w:val="both"/>
        <w:rPr>
          <w:rFonts w:cs="Arial"/>
          <w:sz w:val="22"/>
          <w:szCs w:val="22"/>
        </w:rPr>
      </w:pPr>
      <w:r>
        <w:rPr>
          <w:rFonts w:cs="Arial"/>
          <w:sz w:val="22"/>
          <w:szCs w:val="22"/>
        </w:rPr>
        <w:t xml:space="preserve">24] </w:t>
      </w:r>
      <w:r w:rsidRPr="00817E33">
        <w:rPr>
          <w:rFonts w:cs="Arial"/>
          <w:sz w:val="22"/>
          <w:szCs w:val="22"/>
        </w:rPr>
        <w:t xml:space="preserve">Gompertz P, Dennis M, Hopkins A, Ebrahim S.  Development and reliability of the stroke audit form. UK Stroke Audit Group.  </w:t>
      </w:r>
      <w:r w:rsidRPr="00817E33">
        <w:rPr>
          <w:rFonts w:cs="Arial"/>
          <w:i/>
          <w:sz w:val="22"/>
          <w:szCs w:val="22"/>
        </w:rPr>
        <w:t>Age Aging</w:t>
      </w:r>
      <w:r w:rsidRPr="00817E33">
        <w:rPr>
          <w:rFonts w:cs="Arial"/>
          <w:sz w:val="22"/>
          <w:szCs w:val="22"/>
        </w:rPr>
        <w:t>, 1994;</w:t>
      </w:r>
      <w:r w:rsidRPr="00817E33">
        <w:rPr>
          <w:rFonts w:cs="Arial"/>
          <w:b/>
          <w:sz w:val="22"/>
          <w:szCs w:val="22"/>
        </w:rPr>
        <w:t>23</w:t>
      </w:r>
      <w:r w:rsidRPr="00817E33">
        <w:rPr>
          <w:rFonts w:cs="Arial"/>
          <w:sz w:val="22"/>
          <w:szCs w:val="22"/>
        </w:rPr>
        <w:t xml:space="preserve">:378-83. </w:t>
      </w:r>
    </w:p>
    <w:p w14:paraId="2958C8F7" w14:textId="77777777" w:rsidR="000923BB" w:rsidRPr="00817E33" w:rsidRDefault="000923BB" w:rsidP="000923BB">
      <w:pPr>
        <w:shd w:val="clear" w:color="auto" w:fill="FFFFFF"/>
        <w:jc w:val="both"/>
        <w:rPr>
          <w:rFonts w:cs="Arial"/>
          <w:sz w:val="22"/>
          <w:szCs w:val="22"/>
        </w:rPr>
      </w:pPr>
      <w:r>
        <w:rPr>
          <w:rFonts w:cs="Arial"/>
          <w:sz w:val="22"/>
          <w:szCs w:val="22"/>
        </w:rPr>
        <w:t xml:space="preserve">25] </w:t>
      </w:r>
      <w:r w:rsidRPr="00817E33">
        <w:rPr>
          <w:rFonts w:cs="Arial"/>
          <w:sz w:val="22"/>
          <w:szCs w:val="22"/>
        </w:rPr>
        <w:t xml:space="preserve">Gompertz PH, Irwin P, Morris R, Lowe D, Rutledge Z, Rudd AG, Pearson MG.  Reliability and validity of the Intercollegiate Stroke Audit Package.  </w:t>
      </w:r>
      <w:r w:rsidRPr="00817E33">
        <w:rPr>
          <w:rFonts w:cs="Arial"/>
          <w:i/>
          <w:sz w:val="22"/>
          <w:szCs w:val="22"/>
        </w:rPr>
        <w:t>J</w:t>
      </w:r>
      <w:r w:rsidRPr="00817E33">
        <w:rPr>
          <w:rFonts w:cs="Arial"/>
          <w:sz w:val="22"/>
          <w:szCs w:val="22"/>
        </w:rPr>
        <w:t xml:space="preserve"> </w:t>
      </w:r>
      <w:r w:rsidRPr="00817E33">
        <w:rPr>
          <w:rFonts w:cs="Arial"/>
          <w:i/>
          <w:sz w:val="22"/>
          <w:szCs w:val="22"/>
        </w:rPr>
        <w:t>Eval Clin Prac</w:t>
      </w:r>
      <w:r w:rsidRPr="00817E33">
        <w:rPr>
          <w:rFonts w:cs="Arial"/>
          <w:sz w:val="22"/>
          <w:szCs w:val="22"/>
        </w:rPr>
        <w:t>, 2001;</w:t>
      </w:r>
      <w:r w:rsidRPr="00817E33">
        <w:rPr>
          <w:rFonts w:cs="Arial"/>
          <w:b/>
          <w:sz w:val="22"/>
          <w:szCs w:val="22"/>
        </w:rPr>
        <w:t>7</w:t>
      </w:r>
      <w:r w:rsidRPr="00817E33">
        <w:rPr>
          <w:rFonts w:cs="Arial"/>
          <w:sz w:val="22"/>
          <w:szCs w:val="22"/>
        </w:rPr>
        <w:t>:1-11.</w:t>
      </w:r>
    </w:p>
    <w:p w14:paraId="4E228113" w14:textId="77777777" w:rsidR="000923BB" w:rsidRDefault="000923BB" w:rsidP="000923BB">
      <w:pPr>
        <w:shd w:val="clear" w:color="auto" w:fill="FFFFFF"/>
        <w:jc w:val="both"/>
        <w:rPr>
          <w:rFonts w:cs="Arial"/>
          <w:sz w:val="22"/>
          <w:szCs w:val="22"/>
        </w:rPr>
      </w:pPr>
      <w:r>
        <w:rPr>
          <w:rFonts w:cs="Arial"/>
          <w:sz w:val="22"/>
          <w:szCs w:val="22"/>
        </w:rPr>
        <w:t>26</w:t>
      </w:r>
      <w:r w:rsidRPr="00817E33">
        <w:rPr>
          <w:rFonts w:cs="Arial"/>
          <w:sz w:val="22"/>
          <w:szCs w:val="22"/>
        </w:rPr>
        <w:t xml:space="preserve">] Camacho LA, Rubin HR.  Assessment of the validity and reliability of three systems of medical record screening for quality of care assessment.  </w:t>
      </w:r>
      <w:r w:rsidRPr="00817E33">
        <w:rPr>
          <w:rFonts w:cs="Arial"/>
          <w:i/>
          <w:sz w:val="22"/>
          <w:szCs w:val="22"/>
        </w:rPr>
        <w:t>Med Care</w:t>
      </w:r>
      <w:r w:rsidRPr="00817E33">
        <w:rPr>
          <w:rFonts w:cs="Arial"/>
          <w:sz w:val="22"/>
          <w:szCs w:val="22"/>
        </w:rPr>
        <w:t>, 1998;</w:t>
      </w:r>
      <w:r w:rsidRPr="00817E33">
        <w:rPr>
          <w:rFonts w:cs="Arial"/>
          <w:b/>
          <w:sz w:val="22"/>
          <w:szCs w:val="22"/>
        </w:rPr>
        <w:t>36</w:t>
      </w:r>
      <w:r w:rsidRPr="00817E33">
        <w:rPr>
          <w:rFonts w:cs="Arial"/>
          <w:sz w:val="22"/>
          <w:szCs w:val="22"/>
        </w:rPr>
        <w:t>:748-51.</w:t>
      </w:r>
    </w:p>
    <w:p w14:paraId="1CBEA27A" w14:textId="77777777" w:rsidR="000923BB" w:rsidRPr="00817E33" w:rsidRDefault="000923BB" w:rsidP="000923BB">
      <w:pPr>
        <w:shd w:val="clear" w:color="auto" w:fill="FFFFFF"/>
        <w:jc w:val="both"/>
        <w:rPr>
          <w:rFonts w:cs="Arial"/>
          <w:sz w:val="22"/>
          <w:szCs w:val="22"/>
        </w:rPr>
      </w:pPr>
      <w:r>
        <w:rPr>
          <w:rFonts w:cs="Arial"/>
          <w:sz w:val="22"/>
          <w:szCs w:val="22"/>
        </w:rPr>
        <w:lastRenderedPageBreak/>
        <w:t>27</w:t>
      </w:r>
      <w:r w:rsidRPr="00817E33">
        <w:rPr>
          <w:rFonts w:cs="Arial"/>
          <w:sz w:val="22"/>
          <w:szCs w:val="22"/>
        </w:rPr>
        <w:t xml:space="preserve">] Mohammed MA, Mant J, Bentham L, Stevens A, Hussain S.  Process and mortality of stroke patients with and without do not resuscitate order in the </w:t>
      </w:r>
      <w:smartTag w:uri="urn:schemas-microsoft-com:office:smarttags" w:element="place">
        <w:r w:rsidRPr="00817E33">
          <w:rPr>
            <w:rFonts w:cs="Arial"/>
            <w:sz w:val="22"/>
            <w:szCs w:val="22"/>
          </w:rPr>
          <w:t>West Midlands</w:t>
        </w:r>
      </w:smartTag>
      <w:r w:rsidRPr="00817E33">
        <w:rPr>
          <w:rFonts w:cs="Arial"/>
          <w:sz w:val="22"/>
          <w:szCs w:val="22"/>
        </w:rPr>
        <w:t xml:space="preserve">, </w:t>
      </w:r>
      <w:smartTag w:uri="urn:schemas-microsoft-com:office:smarttags" w:element="place">
        <w:smartTag w:uri="urn:schemas-microsoft-com:office:smarttags" w:element="country-region">
          <w:r w:rsidRPr="00817E33">
            <w:rPr>
              <w:rFonts w:cs="Arial"/>
              <w:sz w:val="22"/>
              <w:szCs w:val="22"/>
            </w:rPr>
            <w:t>UK</w:t>
          </w:r>
        </w:smartTag>
      </w:smartTag>
      <w:r w:rsidRPr="00817E33">
        <w:rPr>
          <w:rFonts w:cs="Arial"/>
          <w:sz w:val="22"/>
          <w:szCs w:val="22"/>
        </w:rPr>
        <w:t xml:space="preserve">.  </w:t>
      </w:r>
      <w:r w:rsidRPr="00817E33">
        <w:rPr>
          <w:rFonts w:cs="Arial"/>
          <w:i/>
          <w:sz w:val="22"/>
          <w:szCs w:val="22"/>
        </w:rPr>
        <w:t>Int J Qual Healthcare</w:t>
      </w:r>
      <w:r w:rsidRPr="00817E33">
        <w:rPr>
          <w:rFonts w:cs="Arial"/>
          <w:sz w:val="22"/>
          <w:szCs w:val="22"/>
        </w:rPr>
        <w:t>, 2006;</w:t>
      </w:r>
      <w:r w:rsidRPr="00817E33">
        <w:rPr>
          <w:rFonts w:cs="Arial"/>
          <w:b/>
          <w:sz w:val="22"/>
          <w:szCs w:val="22"/>
        </w:rPr>
        <w:t>18</w:t>
      </w:r>
      <w:r w:rsidRPr="00817E33">
        <w:rPr>
          <w:rFonts w:cs="Arial"/>
          <w:sz w:val="22"/>
          <w:szCs w:val="22"/>
        </w:rPr>
        <w:t xml:space="preserve">:102-106. </w:t>
      </w:r>
    </w:p>
    <w:p w14:paraId="586BDD5D" w14:textId="77777777" w:rsidR="000923BB" w:rsidRPr="00817E33" w:rsidRDefault="000923BB" w:rsidP="000923BB">
      <w:pPr>
        <w:shd w:val="clear" w:color="auto" w:fill="FFFFFF"/>
        <w:jc w:val="both"/>
        <w:rPr>
          <w:rFonts w:cs="Arial"/>
          <w:sz w:val="22"/>
          <w:szCs w:val="22"/>
        </w:rPr>
      </w:pPr>
      <w:r>
        <w:rPr>
          <w:rFonts w:cs="Arial"/>
          <w:sz w:val="22"/>
          <w:szCs w:val="22"/>
        </w:rPr>
        <w:t xml:space="preserve">28] </w:t>
      </w:r>
      <w:r w:rsidRPr="00817E33">
        <w:rPr>
          <w:rFonts w:cs="Arial"/>
          <w:sz w:val="22"/>
          <w:szCs w:val="22"/>
        </w:rPr>
        <w:t xml:space="preserve">Rubenstein LR, Kahn KL, Harris ER, Sherwood MJ, Rodgers WH, Brook RH.  </w:t>
      </w:r>
      <w:r w:rsidRPr="00467BCA">
        <w:rPr>
          <w:rFonts w:cs="Arial"/>
          <w:i/>
          <w:sz w:val="22"/>
          <w:szCs w:val="22"/>
        </w:rPr>
        <w:t>Structured implicit review of the medical record: a method for measuring the quality of inhospital medical care and a summary of quality changes following implementation of the Medicare prospective payments system</w:t>
      </w:r>
      <w:r w:rsidRPr="00817E33">
        <w:rPr>
          <w:rFonts w:cs="Arial"/>
          <w:sz w:val="22"/>
          <w:szCs w:val="22"/>
        </w:rPr>
        <w:t xml:space="preserve">.  </w:t>
      </w:r>
      <w:smartTag w:uri="urn:schemas-microsoft-com:office:smarttags" w:element="place">
        <w:smartTag w:uri="urn:schemas-microsoft-com:office:smarttags" w:element="City">
          <w:r w:rsidRPr="00817E33">
            <w:rPr>
              <w:rFonts w:cs="Arial"/>
              <w:sz w:val="22"/>
              <w:szCs w:val="22"/>
            </w:rPr>
            <w:t>Santa Monica</w:t>
          </w:r>
        </w:smartTag>
      </w:smartTag>
      <w:r w:rsidRPr="00817E33">
        <w:rPr>
          <w:rFonts w:cs="Arial"/>
          <w:sz w:val="22"/>
          <w:szCs w:val="22"/>
        </w:rPr>
        <w:t xml:space="preserve">, </w:t>
      </w:r>
      <w:smartTag w:uri="urn:schemas-microsoft-com:office:smarttags" w:element="place">
        <w:r w:rsidRPr="00817E33">
          <w:rPr>
            <w:rFonts w:cs="Arial"/>
            <w:sz w:val="22"/>
            <w:szCs w:val="22"/>
          </w:rPr>
          <w:t>RAND</w:t>
        </w:r>
      </w:smartTag>
      <w:r w:rsidRPr="00817E33">
        <w:rPr>
          <w:rFonts w:cs="Arial"/>
          <w:sz w:val="22"/>
          <w:szCs w:val="22"/>
        </w:rPr>
        <w:t>, 1991</w:t>
      </w:r>
    </w:p>
    <w:p w14:paraId="3D1817B8" w14:textId="77777777" w:rsidR="000923BB" w:rsidRPr="00817E33" w:rsidRDefault="000923BB" w:rsidP="000923BB">
      <w:pPr>
        <w:shd w:val="clear" w:color="auto" w:fill="FFFFFF"/>
        <w:jc w:val="both"/>
        <w:rPr>
          <w:rFonts w:cs="Arial"/>
          <w:sz w:val="22"/>
          <w:szCs w:val="22"/>
        </w:rPr>
      </w:pPr>
      <w:r>
        <w:rPr>
          <w:rFonts w:cs="Arial"/>
          <w:sz w:val="22"/>
          <w:szCs w:val="22"/>
        </w:rPr>
        <w:t xml:space="preserve">29] </w:t>
      </w:r>
      <w:r w:rsidRPr="00817E33">
        <w:rPr>
          <w:rFonts w:cs="Arial"/>
          <w:sz w:val="22"/>
          <w:szCs w:val="22"/>
        </w:rPr>
        <w:t xml:space="preserve">Pearson M, Lee JL, Chang BL, Elliott M, Kahn KL, Rubenstein LV.  Structured implicit review: a new method for monitoring nursing care quality.  </w:t>
      </w:r>
      <w:r w:rsidRPr="00817E33">
        <w:rPr>
          <w:rFonts w:cs="Arial"/>
          <w:i/>
          <w:sz w:val="22"/>
          <w:szCs w:val="22"/>
        </w:rPr>
        <w:t>Med Care</w:t>
      </w:r>
      <w:r w:rsidRPr="00817E33">
        <w:rPr>
          <w:rFonts w:cs="Arial"/>
          <w:sz w:val="22"/>
          <w:szCs w:val="22"/>
        </w:rPr>
        <w:t>, 2000;</w:t>
      </w:r>
      <w:r w:rsidRPr="00817E33">
        <w:rPr>
          <w:rFonts w:cs="Arial"/>
          <w:b/>
          <w:sz w:val="22"/>
          <w:szCs w:val="22"/>
        </w:rPr>
        <w:t>38</w:t>
      </w:r>
      <w:r w:rsidRPr="00817E33">
        <w:rPr>
          <w:rFonts w:cs="Arial"/>
          <w:sz w:val="22"/>
          <w:szCs w:val="22"/>
        </w:rPr>
        <w:t>:1074-1091.</w:t>
      </w:r>
    </w:p>
    <w:p w14:paraId="6052CD00" w14:textId="77777777" w:rsidR="000923BB" w:rsidRPr="00817E33" w:rsidRDefault="000923BB" w:rsidP="000923BB">
      <w:pPr>
        <w:shd w:val="clear" w:color="auto" w:fill="FFFFFF"/>
        <w:jc w:val="both"/>
        <w:rPr>
          <w:rFonts w:cs="Arial"/>
          <w:sz w:val="22"/>
          <w:szCs w:val="22"/>
          <w:highlight w:val="green"/>
        </w:rPr>
      </w:pPr>
      <w:r>
        <w:rPr>
          <w:rFonts w:cs="Arial"/>
          <w:sz w:val="22"/>
          <w:szCs w:val="22"/>
        </w:rPr>
        <w:t xml:space="preserve">30] </w:t>
      </w:r>
      <w:r w:rsidRPr="00817E33">
        <w:rPr>
          <w:rFonts w:cs="Arial"/>
          <w:sz w:val="22"/>
          <w:szCs w:val="22"/>
        </w:rPr>
        <w:t xml:space="preserve">Keeler EB, Rubenstein KLK, Draper D, Harrison ER, McGinty MJ, Rogers WH, Brook RH, </w:t>
      </w:r>
      <w:r w:rsidRPr="00BD454E">
        <w:rPr>
          <w:rFonts w:cs="Arial"/>
          <w:sz w:val="22"/>
          <w:szCs w:val="22"/>
        </w:rPr>
        <w:t>Health Programme of RAND</w:t>
      </w:r>
      <w:r w:rsidRPr="00817E33">
        <w:rPr>
          <w:rFonts w:cs="Arial"/>
          <w:sz w:val="22"/>
          <w:szCs w:val="22"/>
        </w:rPr>
        <w:t>.</w:t>
      </w:r>
      <w:r>
        <w:rPr>
          <w:rFonts w:cs="Arial"/>
          <w:sz w:val="22"/>
          <w:szCs w:val="22"/>
        </w:rPr>
        <w:t xml:space="preserve"> </w:t>
      </w:r>
      <w:r w:rsidRPr="00BD454E">
        <w:rPr>
          <w:rFonts w:cs="Arial"/>
          <w:i/>
          <w:sz w:val="22"/>
          <w:szCs w:val="22"/>
        </w:rPr>
        <w:t>JAMA</w:t>
      </w:r>
      <w:r>
        <w:rPr>
          <w:rFonts w:cs="Arial"/>
          <w:sz w:val="22"/>
          <w:szCs w:val="22"/>
        </w:rPr>
        <w:t>, 1992;</w:t>
      </w:r>
      <w:r w:rsidRPr="00BD454E">
        <w:rPr>
          <w:rFonts w:cs="Arial"/>
          <w:b/>
          <w:sz w:val="22"/>
          <w:szCs w:val="22"/>
        </w:rPr>
        <w:t>268</w:t>
      </w:r>
      <w:r>
        <w:rPr>
          <w:rFonts w:cs="Arial"/>
          <w:sz w:val="22"/>
          <w:szCs w:val="22"/>
        </w:rPr>
        <w:t>:1702-1708</w:t>
      </w:r>
      <w:r w:rsidRPr="00817E33">
        <w:rPr>
          <w:rFonts w:cs="Arial"/>
          <w:sz w:val="22"/>
          <w:szCs w:val="22"/>
        </w:rPr>
        <w:t xml:space="preserve">.  </w:t>
      </w:r>
    </w:p>
    <w:p w14:paraId="638F6D10" w14:textId="77777777" w:rsidR="000923BB" w:rsidRPr="00817E33" w:rsidRDefault="000923BB" w:rsidP="000923BB">
      <w:pPr>
        <w:shd w:val="clear" w:color="auto" w:fill="FFFFFF"/>
        <w:jc w:val="both"/>
        <w:rPr>
          <w:rFonts w:cs="Arial"/>
          <w:sz w:val="22"/>
          <w:szCs w:val="22"/>
        </w:rPr>
      </w:pPr>
      <w:r>
        <w:rPr>
          <w:rFonts w:cs="Arial"/>
          <w:sz w:val="22"/>
          <w:szCs w:val="22"/>
        </w:rPr>
        <w:t>31</w:t>
      </w:r>
      <w:r w:rsidRPr="00817E33">
        <w:rPr>
          <w:rFonts w:cs="Arial"/>
          <w:sz w:val="22"/>
          <w:szCs w:val="22"/>
        </w:rPr>
        <w:t xml:space="preserve">] National Institute for Clinical Excellence.  </w:t>
      </w:r>
      <w:r w:rsidRPr="00120B8A">
        <w:rPr>
          <w:rFonts w:cs="Arial"/>
          <w:i/>
          <w:sz w:val="22"/>
          <w:szCs w:val="22"/>
        </w:rPr>
        <w:t>Chronic obstructive pulmonary disease.  Management of chronic obstructive pulmonary disease in adults in primary and secondary care.</w:t>
      </w:r>
      <w:r w:rsidRPr="00817E33">
        <w:rPr>
          <w:rFonts w:cs="Arial"/>
          <w:sz w:val="22"/>
          <w:szCs w:val="22"/>
        </w:rPr>
        <w:t xml:space="preserve">  London, National Institute for Clinical Excellence, 2004</w:t>
      </w:r>
    </w:p>
    <w:p w14:paraId="1057E684" w14:textId="77777777" w:rsidR="000923BB" w:rsidRPr="00644240" w:rsidRDefault="000923BB" w:rsidP="000923BB">
      <w:pPr>
        <w:shd w:val="clear" w:color="auto" w:fill="FFFFFF"/>
        <w:jc w:val="both"/>
        <w:rPr>
          <w:rFonts w:cs="Arial"/>
          <w:sz w:val="22"/>
        </w:rPr>
      </w:pPr>
      <w:r>
        <w:rPr>
          <w:rFonts w:cs="Arial"/>
          <w:sz w:val="22"/>
        </w:rPr>
        <w:t xml:space="preserve">32] </w:t>
      </w:r>
      <w:r w:rsidRPr="00644240">
        <w:rPr>
          <w:rFonts w:cs="Arial"/>
          <w:sz w:val="22"/>
        </w:rPr>
        <w:t xml:space="preserve">Van Belle, Gerald. </w:t>
      </w:r>
      <w:r w:rsidRPr="00C6288C">
        <w:rPr>
          <w:rFonts w:cs="Arial"/>
          <w:i/>
          <w:sz w:val="22"/>
        </w:rPr>
        <w:t>Statistical Rules of Thumb. Wiley Series in Probability and Statistics.</w:t>
      </w:r>
      <w:r w:rsidRPr="00644240">
        <w:rPr>
          <w:rFonts w:cs="Arial"/>
          <w:sz w:val="22"/>
        </w:rPr>
        <w:t xml:space="preserve"> Wiley-Interscience; 1st edition, 2002</w:t>
      </w:r>
    </w:p>
    <w:p w14:paraId="1733186B" w14:textId="77777777" w:rsidR="000923BB" w:rsidRPr="00996C23" w:rsidRDefault="000923BB" w:rsidP="000923BB">
      <w:pPr>
        <w:jc w:val="both"/>
        <w:rPr>
          <w:rFonts w:cs="Arial"/>
          <w:sz w:val="22"/>
          <w:szCs w:val="22"/>
        </w:rPr>
      </w:pPr>
      <w:r>
        <w:rPr>
          <w:rFonts w:cs="Arial"/>
          <w:sz w:val="22"/>
          <w:szCs w:val="22"/>
        </w:rPr>
        <w:t xml:space="preserve">33] </w:t>
      </w:r>
      <w:r w:rsidRPr="00996C23">
        <w:rPr>
          <w:rFonts w:cs="Arial"/>
          <w:sz w:val="22"/>
          <w:szCs w:val="22"/>
        </w:rPr>
        <w:t>Hospital Episode Statistics Online: Data on hospital providers.</w:t>
      </w:r>
    </w:p>
    <w:p w14:paraId="1E3C78C5" w14:textId="77777777" w:rsidR="000923BB" w:rsidRPr="00996C23" w:rsidRDefault="002770D3" w:rsidP="000923BB">
      <w:pPr>
        <w:jc w:val="both"/>
        <w:rPr>
          <w:rFonts w:cs="Arial"/>
          <w:sz w:val="22"/>
          <w:szCs w:val="22"/>
        </w:rPr>
      </w:pPr>
      <w:hyperlink r:id="rId103" w:history="1">
        <w:r w:rsidR="000923BB" w:rsidRPr="00996C23">
          <w:rPr>
            <w:rStyle w:val="Hyperlink"/>
            <w:rFonts w:cs="Arial"/>
            <w:sz w:val="22"/>
            <w:szCs w:val="22"/>
          </w:rPr>
          <w:t>www.hesonline.nhs.uk/Ease/servlet/ContentServer?siteID=1937&amp;categoryID=212</w:t>
        </w:r>
      </w:hyperlink>
      <w:r w:rsidR="000923BB" w:rsidRPr="00996C23">
        <w:rPr>
          <w:rFonts w:cs="Arial"/>
          <w:sz w:val="22"/>
          <w:szCs w:val="22"/>
        </w:rPr>
        <w:t xml:space="preserve"> (accessed </w:t>
      </w:r>
      <w:smartTag w:uri="urn:schemas-microsoft-com:office:smarttags" w:element="date">
        <w:smartTagPr>
          <w:attr w:name="Year" w:val="2006"/>
          <w:attr w:name="Day" w:val="20"/>
          <w:attr w:name="Month" w:val="11"/>
        </w:smartTagPr>
        <w:r w:rsidR="000923BB" w:rsidRPr="00996C23">
          <w:rPr>
            <w:rFonts w:cs="Arial"/>
            <w:sz w:val="22"/>
            <w:szCs w:val="22"/>
          </w:rPr>
          <w:t>20 November 2006</w:t>
        </w:r>
      </w:smartTag>
      <w:r w:rsidR="000923BB" w:rsidRPr="00996C23">
        <w:rPr>
          <w:rFonts w:cs="Arial"/>
          <w:sz w:val="22"/>
          <w:szCs w:val="22"/>
        </w:rPr>
        <w:t>).</w:t>
      </w:r>
    </w:p>
    <w:p w14:paraId="10F1E460" w14:textId="77777777" w:rsidR="000923BB" w:rsidRPr="00480A10" w:rsidRDefault="000923BB" w:rsidP="000923BB">
      <w:pPr>
        <w:shd w:val="clear" w:color="auto" w:fill="FFFFFF"/>
        <w:jc w:val="both"/>
        <w:rPr>
          <w:rFonts w:cs="Arial"/>
          <w:sz w:val="22"/>
          <w:szCs w:val="22"/>
        </w:rPr>
      </w:pPr>
      <w:r>
        <w:rPr>
          <w:sz w:val="22"/>
          <w:szCs w:val="22"/>
        </w:rPr>
        <w:t xml:space="preserve"> </w:t>
      </w:r>
      <w:r w:rsidRPr="00480A10">
        <w:rPr>
          <w:rFonts w:cs="Arial"/>
          <w:sz w:val="22"/>
          <w:szCs w:val="22"/>
        </w:rPr>
        <w:t>3</w:t>
      </w:r>
      <w:r>
        <w:rPr>
          <w:rFonts w:cs="Arial"/>
          <w:sz w:val="22"/>
          <w:szCs w:val="22"/>
        </w:rPr>
        <w:t>4</w:t>
      </w:r>
      <w:r w:rsidRPr="00480A10">
        <w:rPr>
          <w:rFonts w:cs="Arial"/>
          <w:sz w:val="22"/>
          <w:szCs w:val="22"/>
        </w:rPr>
        <w:t xml:space="preserve">]  Royal College of Physicians and British Thoracic Society. Report of the 2003 National COPD Audit. </w:t>
      </w:r>
      <w:smartTag w:uri="urn:schemas-microsoft-com:office:smarttags" w:element="place">
        <w:smartTag w:uri="urn:schemas-microsoft-com:office:smarttags" w:element="City">
          <w:r w:rsidRPr="00480A10">
            <w:rPr>
              <w:rFonts w:cs="Arial"/>
              <w:sz w:val="22"/>
              <w:szCs w:val="22"/>
            </w:rPr>
            <w:t>London</w:t>
          </w:r>
        </w:smartTag>
      </w:smartTag>
      <w:r w:rsidRPr="00480A10">
        <w:rPr>
          <w:rFonts w:cs="Arial"/>
          <w:sz w:val="22"/>
          <w:szCs w:val="22"/>
        </w:rPr>
        <w:t xml:space="preserve">: </w:t>
      </w:r>
      <w:smartTag w:uri="urn:schemas-microsoft-com:office:smarttags" w:element="place">
        <w:smartTag w:uri="urn:schemas-microsoft-com:office:smarttags" w:element="PlaceName">
          <w:r w:rsidRPr="00480A10">
            <w:rPr>
              <w:rFonts w:cs="Arial"/>
              <w:sz w:val="22"/>
              <w:szCs w:val="22"/>
            </w:rPr>
            <w:t>Royal</w:t>
          </w:r>
        </w:smartTag>
        <w:r w:rsidRPr="00480A10">
          <w:rPr>
            <w:rFonts w:cs="Arial"/>
            <w:sz w:val="22"/>
            <w:szCs w:val="22"/>
          </w:rPr>
          <w:t xml:space="preserve"> </w:t>
        </w:r>
        <w:smartTag w:uri="urn:schemas-microsoft-com:office:smarttags" w:element="PlaceType">
          <w:r w:rsidRPr="00480A10">
            <w:rPr>
              <w:rFonts w:cs="Arial"/>
              <w:sz w:val="22"/>
              <w:szCs w:val="22"/>
            </w:rPr>
            <w:t>College</w:t>
          </w:r>
        </w:smartTag>
      </w:smartTag>
      <w:r w:rsidRPr="00480A10">
        <w:rPr>
          <w:rFonts w:cs="Arial"/>
          <w:sz w:val="22"/>
          <w:szCs w:val="22"/>
        </w:rPr>
        <w:t xml:space="preserve"> of Physicians, 2004.</w:t>
      </w:r>
    </w:p>
    <w:p w14:paraId="2AD3034E" w14:textId="77777777" w:rsidR="000923BB" w:rsidRDefault="000923BB" w:rsidP="000923BB">
      <w:pPr>
        <w:shd w:val="clear" w:color="auto" w:fill="FFFFFF"/>
        <w:jc w:val="both"/>
        <w:rPr>
          <w:rFonts w:cs="Arial"/>
          <w:sz w:val="22"/>
          <w:szCs w:val="22"/>
        </w:rPr>
      </w:pPr>
      <w:r>
        <w:rPr>
          <w:rFonts w:cs="Arial"/>
          <w:sz w:val="22"/>
          <w:szCs w:val="22"/>
        </w:rPr>
        <w:t xml:space="preserve">35] </w:t>
      </w:r>
      <w:r w:rsidRPr="00817E33">
        <w:rPr>
          <w:rFonts w:cs="Arial"/>
          <w:sz w:val="22"/>
          <w:szCs w:val="22"/>
        </w:rPr>
        <w:t xml:space="preserve">Fleiss JL.  </w:t>
      </w:r>
      <w:r w:rsidRPr="00120B8A">
        <w:rPr>
          <w:rFonts w:cs="Arial"/>
          <w:i/>
          <w:sz w:val="22"/>
          <w:szCs w:val="22"/>
        </w:rPr>
        <w:t>Statistical methods for rates and proportions, 2</w:t>
      </w:r>
      <w:r w:rsidRPr="00120B8A">
        <w:rPr>
          <w:rFonts w:cs="Arial"/>
          <w:i/>
          <w:sz w:val="22"/>
          <w:szCs w:val="22"/>
          <w:vertAlign w:val="superscript"/>
        </w:rPr>
        <w:t>nd</w:t>
      </w:r>
      <w:r w:rsidRPr="00120B8A">
        <w:rPr>
          <w:rFonts w:cs="Arial"/>
          <w:i/>
          <w:sz w:val="22"/>
          <w:szCs w:val="22"/>
        </w:rPr>
        <w:t xml:space="preserve"> Edition</w:t>
      </w:r>
      <w:r w:rsidRPr="00817E33">
        <w:rPr>
          <w:rFonts w:cs="Arial"/>
          <w:sz w:val="22"/>
          <w:szCs w:val="22"/>
        </w:rPr>
        <w:t xml:space="preserve">.  </w:t>
      </w:r>
      <w:smartTag w:uri="urn:schemas-microsoft-com:office:smarttags" w:element="place">
        <w:smartTag w:uri="urn:schemas-microsoft-com:office:smarttags" w:element="State">
          <w:r w:rsidRPr="00817E33">
            <w:rPr>
              <w:rFonts w:cs="Arial"/>
              <w:sz w:val="22"/>
              <w:szCs w:val="22"/>
            </w:rPr>
            <w:t>New York</w:t>
          </w:r>
        </w:smartTag>
      </w:smartTag>
      <w:r w:rsidRPr="00817E33">
        <w:rPr>
          <w:rFonts w:cs="Arial"/>
          <w:sz w:val="22"/>
          <w:szCs w:val="22"/>
        </w:rPr>
        <w:t>, Wiley, 1981</w:t>
      </w:r>
    </w:p>
    <w:p w14:paraId="7C32854C" w14:textId="77777777" w:rsidR="000923BB" w:rsidRDefault="000923BB" w:rsidP="000923BB">
      <w:pPr>
        <w:shd w:val="clear" w:color="auto" w:fill="FFFFFF"/>
        <w:jc w:val="both"/>
        <w:rPr>
          <w:rFonts w:cs="Arial"/>
          <w:sz w:val="22"/>
        </w:rPr>
      </w:pPr>
      <w:r>
        <w:rPr>
          <w:rFonts w:cs="Arial"/>
          <w:sz w:val="22"/>
        </w:rPr>
        <w:t xml:space="preserve">36] </w:t>
      </w:r>
      <w:r w:rsidRPr="00644240">
        <w:rPr>
          <w:rFonts w:cs="Arial"/>
          <w:sz w:val="22"/>
        </w:rPr>
        <w:t xml:space="preserve">Dale, JR. Global cross-ratio models for bivariate, discrete, ordered responses. </w:t>
      </w:r>
      <w:r w:rsidRPr="00120B8A">
        <w:rPr>
          <w:rFonts w:cs="Arial"/>
          <w:i/>
          <w:sz w:val="22"/>
        </w:rPr>
        <w:t>Biometrics</w:t>
      </w:r>
      <w:r w:rsidRPr="00644240">
        <w:rPr>
          <w:rFonts w:cs="Arial"/>
          <w:sz w:val="22"/>
        </w:rPr>
        <w:t>, 1986</w:t>
      </w:r>
      <w:r>
        <w:rPr>
          <w:rFonts w:cs="Arial"/>
          <w:sz w:val="22"/>
        </w:rPr>
        <w:t>;</w:t>
      </w:r>
      <w:r w:rsidRPr="00BD454E">
        <w:rPr>
          <w:rFonts w:cs="Arial"/>
          <w:b/>
          <w:sz w:val="22"/>
        </w:rPr>
        <w:t>42</w:t>
      </w:r>
      <w:r>
        <w:rPr>
          <w:rFonts w:cs="Arial"/>
          <w:b/>
          <w:sz w:val="22"/>
        </w:rPr>
        <w:t>:</w:t>
      </w:r>
      <w:r w:rsidRPr="00644240">
        <w:rPr>
          <w:rFonts w:cs="Arial"/>
          <w:sz w:val="22"/>
        </w:rPr>
        <w:t>909-917.</w:t>
      </w:r>
    </w:p>
    <w:p w14:paraId="3930BD21" w14:textId="77777777" w:rsidR="000923BB" w:rsidRPr="00356CFC" w:rsidRDefault="000923BB" w:rsidP="000923BB">
      <w:pPr>
        <w:shd w:val="clear" w:color="auto" w:fill="FFFFFF"/>
        <w:jc w:val="both"/>
        <w:rPr>
          <w:rFonts w:cs="Arial"/>
          <w:sz w:val="22"/>
        </w:rPr>
      </w:pPr>
      <w:r>
        <w:rPr>
          <w:rFonts w:cs="Arial"/>
          <w:sz w:val="22"/>
        </w:rPr>
        <w:t xml:space="preserve">37] </w:t>
      </w:r>
      <w:r w:rsidRPr="00356CFC">
        <w:rPr>
          <w:rFonts w:cs="Arial"/>
          <w:sz w:val="22"/>
        </w:rPr>
        <w:t>Daley J, Khuri SF, Henderson W</w:t>
      </w:r>
      <w:r>
        <w:rPr>
          <w:rFonts w:cs="Arial"/>
          <w:sz w:val="22"/>
        </w:rPr>
        <w:t>, Hur K, Gibbs J, Barbour G, Demakis J, Irvin G, Stremple J, Grover F, MCdonald G, Passaro E, Fabri P, Spencer J, Hammermeister K, Aust J, Oprian C</w:t>
      </w:r>
      <w:r w:rsidRPr="00356CFC">
        <w:rPr>
          <w:rFonts w:cs="Arial"/>
          <w:sz w:val="22"/>
        </w:rPr>
        <w:t>.  Risk adjustment of the postoperative morbidity rate for the comparative assessment of the quality of surgical care</w:t>
      </w:r>
      <w:r>
        <w:rPr>
          <w:rFonts w:cs="Arial"/>
          <w:sz w:val="22"/>
        </w:rPr>
        <w:t>: results of the National Veterans Affairs surgical risk study</w:t>
      </w:r>
      <w:r w:rsidRPr="00356CFC">
        <w:rPr>
          <w:rFonts w:cs="Arial"/>
          <w:sz w:val="22"/>
        </w:rPr>
        <w:t xml:space="preserve">. </w:t>
      </w:r>
      <w:r w:rsidRPr="00120B8A">
        <w:rPr>
          <w:rFonts w:cs="Arial"/>
          <w:i/>
          <w:sz w:val="22"/>
        </w:rPr>
        <w:t>J Am Coll Surg.</w:t>
      </w:r>
      <w:r>
        <w:rPr>
          <w:rFonts w:cs="Arial"/>
          <w:sz w:val="22"/>
        </w:rPr>
        <w:t xml:space="preserve"> 1997</w:t>
      </w:r>
      <w:r w:rsidRPr="00356CFC">
        <w:rPr>
          <w:rFonts w:cs="Arial"/>
          <w:sz w:val="22"/>
        </w:rPr>
        <w:t>;</w:t>
      </w:r>
      <w:r w:rsidRPr="00BD454E">
        <w:rPr>
          <w:rFonts w:cs="Arial"/>
          <w:b/>
          <w:sz w:val="22"/>
        </w:rPr>
        <w:t>185</w:t>
      </w:r>
      <w:r w:rsidRPr="00356CFC">
        <w:rPr>
          <w:rFonts w:cs="Arial"/>
          <w:sz w:val="22"/>
        </w:rPr>
        <w:t>:315-327.</w:t>
      </w:r>
    </w:p>
    <w:p w14:paraId="1DD47308" w14:textId="77777777" w:rsidR="000923BB" w:rsidRPr="00817E33" w:rsidRDefault="000923BB" w:rsidP="000923BB">
      <w:pPr>
        <w:jc w:val="both"/>
        <w:rPr>
          <w:rFonts w:cs="Arial"/>
          <w:sz w:val="22"/>
          <w:szCs w:val="22"/>
        </w:rPr>
      </w:pPr>
      <w:r>
        <w:rPr>
          <w:rFonts w:cs="Arial"/>
          <w:sz w:val="22"/>
          <w:szCs w:val="22"/>
        </w:rPr>
        <w:t xml:space="preserve">38] Pitches DW, Mohammed MA, Lilford RJ.  What is the empirical evidence that hospitals with higher-risk adjusted mortality rates provide poorer quality care?  A systematic review of the literature.  </w:t>
      </w:r>
      <w:r w:rsidRPr="00120B8A">
        <w:rPr>
          <w:rFonts w:cs="Arial"/>
          <w:i/>
          <w:sz w:val="22"/>
          <w:szCs w:val="22"/>
        </w:rPr>
        <w:t>BMC Health Services Research</w:t>
      </w:r>
      <w:r>
        <w:rPr>
          <w:rFonts w:cs="Arial"/>
          <w:sz w:val="22"/>
          <w:szCs w:val="22"/>
        </w:rPr>
        <w:t xml:space="preserve"> 2007;</w:t>
      </w:r>
      <w:r w:rsidRPr="00BD454E">
        <w:rPr>
          <w:rFonts w:cs="Arial"/>
          <w:b/>
          <w:sz w:val="22"/>
          <w:szCs w:val="22"/>
        </w:rPr>
        <w:t>7</w:t>
      </w:r>
      <w:r>
        <w:rPr>
          <w:rFonts w:cs="Arial"/>
          <w:sz w:val="22"/>
          <w:szCs w:val="22"/>
        </w:rPr>
        <w:t xml:space="preserve">:91  </w:t>
      </w:r>
      <w:hyperlink r:id="rId104" w:history="1">
        <w:r w:rsidRPr="00482A76">
          <w:rPr>
            <w:rStyle w:val="Hyperlink"/>
            <w:rFonts w:cs="Arial"/>
            <w:sz w:val="22"/>
            <w:szCs w:val="22"/>
          </w:rPr>
          <w:t>http://www.biomedcentral.com/1472-6963/7/91</w:t>
        </w:r>
      </w:hyperlink>
    </w:p>
    <w:p w14:paraId="7A4DBDCA" w14:textId="77777777" w:rsidR="000923BB" w:rsidRDefault="000923BB" w:rsidP="000923BB">
      <w:pPr>
        <w:pStyle w:val="BodyText"/>
        <w:jc w:val="both"/>
        <w:rPr>
          <w:rFonts w:cs="Arial"/>
          <w:sz w:val="22"/>
          <w:szCs w:val="22"/>
        </w:rPr>
      </w:pPr>
      <w:r w:rsidRPr="00FE1B28">
        <w:rPr>
          <w:rFonts w:cs="Arial"/>
          <w:sz w:val="22"/>
          <w:szCs w:val="22"/>
          <w:lang w:val="de-DE"/>
        </w:rPr>
        <w:t xml:space="preserve">39] Glaser, B. and Strauss, A.. </w:t>
      </w:r>
      <w:r w:rsidRPr="003A6AB5">
        <w:rPr>
          <w:rFonts w:cs="Arial"/>
          <w:i/>
          <w:sz w:val="22"/>
          <w:szCs w:val="22"/>
        </w:rPr>
        <w:t>Discovery of grounded theory: strategies for qualitative research.</w:t>
      </w:r>
      <w:r w:rsidRPr="003A6AB5">
        <w:rPr>
          <w:rFonts w:cs="Arial"/>
          <w:sz w:val="22"/>
          <w:szCs w:val="22"/>
        </w:rPr>
        <w:t xml:space="preserve"> </w:t>
      </w:r>
      <w:r>
        <w:rPr>
          <w:rFonts w:cs="Arial"/>
          <w:sz w:val="22"/>
          <w:szCs w:val="22"/>
        </w:rPr>
        <w:t xml:space="preserve">1967. </w:t>
      </w:r>
      <w:smartTag w:uri="urn:schemas-microsoft-com:office:smarttags" w:element="place">
        <w:smartTag w:uri="urn:schemas-microsoft-com:office:smarttags" w:element="City">
          <w:r w:rsidRPr="003A6AB5">
            <w:rPr>
              <w:rFonts w:cs="Arial"/>
              <w:sz w:val="22"/>
              <w:szCs w:val="22"/>
            </w:rPr>
            <w:t>London</w:t>
          </w:r>
        </w:smartTag>
      </w:smartTag>
      <w:r w:rsidRPr="003A6AB5">
        <w:rPr>
          <w:rFonts w:cs="Arial"/>
          <w:sz w:val="22"/>
          <w:szCs w:val="22"/>
        </w:rPr>
        <w:t>: Weidenfeld and Nicolson.</w:t>
      </w:r>
    </w:p>
    <w:p w14:paraId="1376DDF4" w14:textId="77777777" w:rsidR="000923BB" w:rsidRDefault="000923BB" w:rsidP="000923BB">
      <w:pPr>
        <w:shd w:val="clear" w:color="auto" w:fill="FFFFFF"/>
        <w:jc w:val="both"/>
        <w:rPr>
          <w:rFonts w:cs="Arial"/>
          <w:sz w:val="22"/>
          <w:szCs w:val="22"/>
        </w:rPr>
      </w:pPr>
      <w:r w:rsidRPr="00480A10">
        <w:rPr>
          <w:rFonts w:cs="Arial"/>
          <w:sz w:val="22"/>
          <w:szCs w:val="22"/>
        </w:rPr>
        <w:lastRenderedPageBreak/>
        <w:t>4</w:t>
      </w:r>
      <w:r>
        <w:rPr>
          <w:rFonts w:cs="Arial"/>
          <w:sz w:val="22"/>
          <w:szCs w:val="22"/>
        </w:rPr>
        <w:t xml:space="preserve">0] </w:t>
      </w:r>
      <w:hyperlink r:id="rId105" w:history="1">
        <w:r w:rsidRPr="00C86861">
          <w:rPr>
            <w:rStyle w:val="Hyperlink"/>
            <w:rFonts w:cs="Arial"/>
            <w:sz w:val="22"/>
            <w:szCs w:val="22"/>
          </w:rPr>
          <w:t>http://www.nhsemployers.org/restricted/downloads/download.asp?ref=363&amp;hash= 0bb7dc2313394a93337d3adf51cf6c3f&amp;itemplate=e_aboutus_3col_aboutus-2028</w:t>
        </w:r>
      </w:hyperlink>
    </w:p>
    <w:p w14:paraId="522D9EF3" w14:textId="77777777" w:rsidR="000923BB" w:rsidRDefault="000923BB" w:rsidP="000923BB">
      <w:pPr>
        <w:shd w:val="clear" w:color="auto" w:fill="FFFFFF"/>
        <w:jc w:val="both"/>
        <w:rPr>
          <w:rFonts w:cs="Arial"/>
          <w:sz w:val="22"/>
          <w:szCs w:val="22"/>
        </w:rPr>
      </w:pPr>
    </w:p>
    <w:p w14:paraId="3B37AACB" w14:textId="77777777" w:rsidR="000923BB" w:rsidRPr="00817E33" w:rsidRDefault="000923BB" w:rsidP="000923BB">
      <w:pPr>
        <w:jc w:val="both"/>
        <w:rPr>
          <w:rFonts w:cs="Arial"/>
          <w:color w:val="000000"/>
          <w:sz w:val="22"/>
          <w:szCs w:val="22"/>
        </w:rPr>
      </w:pPr>
      <w:r>
        <w:rPr>
          <w:rFonts w:cs="Arial"/>
          <w:color w:val="000000"/>
          <w:sz w:val="22"/>
          <w:szCs w:val="22"/>
        </w:rPr>
        <w:t xml:space="preserve">41]  </w:t>
      </w:r>
      <w:r w:rsidRPr="00817E33">
        <w:rPr>
          <w:rFonts w:cs="Arial"/>
          <w:color w:val="000000"/>
          <w:sz w:val="22"/>
          <w:szCs w:val="22"/>
        </w:rPr>
        <w:t xml:space="preserve">Wardle TD, Burnham R, Greig E, Preston S, Harris RA, Borrill Z, Driscoll P, Seward E, Harrison BDW, Lowe D, Pearson MG.   A confidential study of deaths after emergency medical admission: Issues relating to quality of care.   </w:t>
      </w:r>
      <w:r w:rsidRPr="00817E33">
        <w:rPr>
          <w:rFonts w:cs="Arial"/>
          <w:i/>
          <w:color w:val="000000"/>
          <w:sz w:val="22"/>
          <w:szCs w:val="22"/>
        </w:rPr>
        <w:t>Clin Med</w:t>
      </w:r>
      <w:r w:rsidRPr="00817E33">
        <w:rPr>
          <w:rFonts w:cs="Arial"/>
          <w:color w:val="000000"/>
          <w:sz w:val="22"/>
          <w:szCs w:val="22"/>
        </w:rPr>
        <w:t xml:space="preserve"> 2003;</w:t>
      </w:r>
      <w:r w:rsidRPr="00817E33">
        <w:rPr>
          <w:rFonts w:cs="Arial"/>
          <w:b/>
          <w:color w:val="000000"/>
          <w:sz w:val="22"/>
          <w:szCs w:val="22"/>
        </w:rPr>
        <w:t>3</w:t>
      </w:r>
      <w:r w:rsidRPr="00817E33">
        <w:rPr>
          <w:rFonts w:cs="Arial"/>
          <w:color w:val="000000"/>
          <w:sz w:val="22"/>
          <w:szCs w:val="22"/>
        </w:rPr>
        <w:t>:425-34.</w:t>
      </w:r>
    </w:p>
    <w:p w14:paraId="619FF168" w14:textId="77777777" w:rsidR="000923BB" w:rsidRDefault="000923BB" w:rsidP="000923BB">
      <w:pPr>
        <w:jc w:val="both"/>
        <w:rPr>
          <w:rFonts w:cs="Arial"/>
          <w:color w:val="000000"/>
          <w:sz w:val="22"/>
          <w:szCs w:val="22"/>
        </w:rPr>
      </w:pPr>
      <w:r>
        <w:rPr>
          <w:rFonts w:cs="Arial"/>
          <w:color w:val="000000"/>
          <w:sz w:val="22"/>
          <w:szCs w:val="22"/>
        </w:rPr>
        <w:t xml:space="preserve">42] </w:t>
      </w:r>
      <w:r w:rsidRPr="00817E33">
        <w:rPr>
          <w:rFonts w:cs="Arial"/>
          <w:color w:val="000000"/>
          <w:sz w:val="22"/>
          <w:szCs w:val="22"/>
        </w:rPr>
        <w:t xml:space="preserve">Potter J, Peel P, Mian S, Lowe D, Irwin P, Pearson M, Wagg A. National audit of continence care for older people: management of faecal incontinence. </w:t>
      </w:r>
      <w:r w:rsidRPr="00817E33">
        <w:rPr>
          <w:rFonts w:cs="Arial"/>
          <w:i/>
          <w:color w:val="000000"/>
          <w:sz w:val="22"/>
          <w:szCs w:val="22"/>
        </w:rPr>
        <w:t>Age Ageing</w:t>
      </w:r>
      <w:r w:rsidRPr="00817E33">
        <w:rPr>
          <w:rFonts w:cs="Arial"/>
          <w:color w:val="000000"/>
          <w:sz w:val="22"/>
          <w:szCs w:val="22"/>
        </w:rPr>
        <w:t>, 2007;</w:t>
      </w:r>
      <w:r w:rsidRPr="00817E33">
        <w:rPr>
          <w:rFonts w:cs="Arial"/>
          <w:b/>
          <w:color w:val="000000"/>
          <w:sz w:val="22"/>
          <w:szCs w:val="22"/>
        </w:rPr>
        <w:t>36</w:t>
      </w:r>
      <w:r w:rsidRPr="00817E33">
        <w:rPr>
          <w:rFonts w:cs="Arial"/>
          <w:color w:val="000000"/>
          <w:sz w:val="22"/>
          <w:szCs w:val="22"/>
        </w:rPr>
        <w:t>:268-73.</w:t>
      </w:r>
    </w:p>
    <w:p w14:paraId="4FFCFD72" w14:textId="77777777" w:rsidR="000923BB" w:rsidRPr="00617D51" w:rsidRDefault="000923BB" w:rsidP="000923BB">
      <w:pPr>
        <w:rPr>
          <w:rFonts w:cs="Arial"/>
          <w:sz w:val="22"/>
          <w:szCs w:val="22"/>
        </w:rPr>
      </w:pPr>
      <w:r>
        <w:rPr>
          <w:rFonts w:cs="Arial"/>
          <w:sz w:val="22"/>
          <w:szCs w:val="22"/>
        </w:rPr>
        <w:t xml:space="preserve">43] </w:t>
      </w:r>
      <w:r w:rsidRPr="00617D51">
        <w:rPr>
          <w:rFonts w:cs="Arial"/>
          <w:sz w:val="22"/>
          <w:szCs w:val="22"/>
        </w:rPr>
        <w:t xml:space="preserve">Hutchinson A, McIntosh A, Coster JE, Cooper KL, Bath PA, Walters SJ, Pearson M. </w:t>
      </w:r>
      <w:r w:rsidRPr="00DA1FFA">
        <w:rPr>
          <w:rFonts w:cs="Arial"/>
          <w:i/>
          <w:sz w:val="22"/>
          <w:szCs w:val="22"/>
        </w:rPr>
        <w:t>When is an event an event? Data from the quality and safety continuum. In: From safe design to safe practice.</w:t>
      </w:r>
      <w:r w:rsidRPr="00617D51">
        <w:rPr>
          <w:rFonts w:cs="Arial"/>
          <w:sz w:val="22"/>
          <w:szCs w:val="22"/>
        </w:rPr>
        <w:t xml:space="preserve">  Eds</w:t>
      </w:r>
      <w:r>
        <w:rPr>
          <w:rFonts w:cs="Arial"/>
          <w:sz w:val="22"/>
          <w:szCs w:val="22"/>
        </w:rPr>
        <w:t>.</w:t>
      </w:r>
      <w:r w:rsidRPr="00617D51">
        <w:rPr>
          <w:rFonts w:cs="Arial"/>
          <w:sz w:val="22"/>
          <w:szCs w:val="22"/>
        </w:rPr>
        <w:t xml:space="preserve"> Hignett S, Norris B, Catchpole K, Hutchinson A, Tapley S. Cambridge, The Ergonomics Society, 2008. ISBN 978-0-9554225-2-2</w:t>
      </w:r>
    </w:p>
    <w:p w14:paraId="3793D003" w14:textId="77777777" w:rsidR="000923BB" w:rsidRDefault="000923BB" w:rsidP="000923BB">
      <w:pPr>
        <w:rPr>
          <w:rFonts w:cs="Arial"/>
          <w:sz w:val="22"/>
          <w:szCs w:val="22"/>
        </w:rPr>
      </w:pPr>
      <w:r>
        <w:rPr>
          <w:rFonts w:cs="Arial"/>
          <w:sz w:val="22"/>
          <w:szCs w:val="22"/>
        </w:rPr>
        <w:t>44</w:t>
      </w:r>
      <w:r w:rsidRPr="00015FBF">
        <w:rPr>
          <w:rFonts w:cs="Arial"/>
          <w:sz w:val="22"/>
          <w:szCs w:val="22"/>
        </w:rPr>
        <w:t xml:space="preserve">] </w:t>
      </w:r>
      <w:r>
        <w:rPr>
          <w:rFonts w:cs="Arial"/>
          <w:sz w:val="22"/>
          <w:szCs w:val="22"/>
        </w:rPr>
        <w:t>Armitage, P</w:t>
      </w:r>
      <w:r w:rsidRPr="00015FBF">
        <w:rPr>
          <w:rFonts w:cs="Arial"/>
          <w:sz w:val="22"/>
          <w:szCs w:val="22"/>
        </w:rPr>
        <w:t>, Berry</w:t>
      </w:r>
      <w:r>
        <w:rPr>
          <w:rFonts w:cs="Arial"/>
          <w:sz w:val="22"/>
          <w:szCs w:val="22"/>
        </w:rPr>
        <w:t>, G</w:t>
      </w:r>
      <w:r w:rsidRPr="00015FBF">
        <w:rPr>
          <w:rFonts w:cs="Arial"/>
          <w:sz w:val="22"/>
          <w:szCs w:val="22"/>
        </w:rPr>
        <w:t xml:space="preserve">, and Matthews, J.N.S. </w:t>
      </w:r>
      <w:r w:rsidRPr="00015FBF">
        <w:rPr>
          <w:rFonts w:cs="Arial"/>
          <w:i/>
          <w:sz w:val="22"/>
          <w:szCs w:val="22"/>
        </w:rPr>
        <w:t xml:space="preserve">Statistical Methods in Medical Research. </w:t>
      </w:r>
      <w:r w:rsidRPr="00015FBF">
        <w:rPr>
          <w:rFonts w:cs="Arial"/>
          <w:sz w:val="22"/>
          <w:szCs w:val="22"/>
        </w:rPr>
        <w:t>4</w:t>
      </w:r>
      <w:r w:rsidRPr="00015FBF">
        <w:rPr>
          <w:rFonts w:cs="Arial"/>
          <w:sz w:val="22"/>
          <w:szCs w:val="22"/>
          <w:vertAlign w:val="superscript"/>
        </w:rPr>
        <w:t>th</w:t>
      </w:r>
      <w:r w:rsidRPr="00015FBF">
        <w:rPr>
          <w:rFonts w:cs="Arial"/>
          <w:sz w:val="22"/>
          <w:szCs w:val="22"/>
        </w:rPr>
        <w:t xml:space="preserve"> edition. Blackwell Science, </w:t>
      </w:r>
      <w:smartTag w:uri="urn:schemas-microsoft-com:office:smarttags" w:element="place">
        <w:smartTag w:uri="urn:schemas-microsoft-com:office:smarttags" w:element="City">
          <w:r w:rsidRPr="00015FBF">
            <w:rPr>
              <w:rFonts w:cs="Arial"/>
              <w:sz w:val="22"/>
              <w:szCs w:val="22"/>
            </w:rPr>
            <w:t>Oxford</w:t>
          </w:r>
        </w:smartTag>
      </w:smartTag>
      <w:r w:rsidRPr="00015FBF">
        <w:rPr>
          <w:rFonts w:cs="Arial"/>
          <w:sz w:val="22"/>
          <w:szCs w:val="22"/>
        </w:rPr>
        <w:t>, 2002.</w:t>
      </w:r>
    </w:p>
    <w:p w14:paraId="3C9FD583" w14:textId="77777777" w:rsidR="000923BB" w:rsidRPr="00897832" w:rsidRDefault="000923BB" w:rsidP="000923BB">
      <w:pPr>
        <w:jc w:val="both"/>
        <w:rPr>
          <w:rFonts w:cs="Arial"/>
          <w:bCs/>
          <w:sz w:val="22"/>
        </w:rPr>
      </w:pPr>
      <w:r>
        <w:rPr>
          <w:rFonts w:cs="Arial"/>
          <w:bCs/>
          <w:sz w:val="22"/>
        </w:rPr>
        <w:t>45] L</w:t>
      </w:r>
      <w:r w:rsidRPr="00897832">
        <w:rPr>
          <w:rFonts w:cs="Arial"/>
          <w:bCs/>
          <w:sz w:val="22"/>
        </w:rPr>
        <w:t>uck</w:t>
      </w:r>
      <w:r>
        <w:rPr>
          <w:rFonts w:cs="Arial"/>
          <w:bCs/>
          <w:sz w:val="22"/>
        </w:rPr>
        <w:t xml:space="preserve"> </w:t>
      </w:r>
      <w:r w:rsidRPr="00897832">
        <w:rPr>
          <w:rFonts w:cs="Arial"/>
          <w:bCs/>
          <w:sz w:val="22"/>
        </w:rPr>
        <w:t>J,</w:t>
      </w:r>
      <w:r>
        <w:rPr>
          <w:rFonts w:cs="Arial"/>
          <w:bCs/>
          <w:sz w:val="22"/>
        </w:rPr>
        <w:t xml:space="preserve"> Peabody JW, Dressellhaus TR, Lee M, Glassman P.  How well does chart abstraction measure quality? A prospective comparison of standardised patients with the medical record.  </w:t>
      </w:r>
      <w:r w:rsidRPr="00897832">
        <w:rPr>
          <w:rFonts w:cs="Arial"/>
          <w:bCs/>
          <w:i/>
          <w:sz w:val="22"/>
        </w:rPr>
        <w:t>Am J Med</w:t>
      </w:r>
      <w:r>
        <w:rPr>
          <w:rFonts w:cs="Arial"/>
          <w:bCs/>
          <w:sz w:val="22"/>
        </w:rPr>
        <w:t xml:space="preserve"> 2000;</w:t>
      </w:r>
      <w:r w:rsidRPr="00897832">
        <w:rPr>
          <w:rFonts w:cs="Arial"/>
          <w:b/>
          <w:bCs/>
          <w:sz w:val="22"/>
        </w:rPr>
        <w:t>108</w:t>
      </w:r>
      <w:r>
        <w:rPr>
          <w:rFonts w:cs="Arial"/>
          <w:bCs/>
          <w:sz w:val="22"/>
        </w:rPr>
        <w:t>:642-649</w:t>
      </w:r>
      <w:r w:rsidRPr="00897832">
        <w:rPr>
          <w:rFonts w:cs="Arial"/>
          <w:bCs/>
          <w:sz w:val="22"/>
        </w:rPr>
        <w:t xml:space="preserve"> </w:t>
      </w:r>
    </w:p>
    <w:p w14:paraId="5ACED4EF" w14:textId="77777777" w:rsidR="000923BB" w:rsidRPr="00F375EC" w:rsidRDefault="000923BB" w:rsidP="000923BB">
      <w:pPr>
        <w:jc w:val="both"/>
        <w:rPr>
          <w:rFonts w:cs="Arial"/>
          <w:sz w:val="22"/>
          <w:szCs w:val="22"/>
        </w:rPr>
      </w:pPr>
      <w:r>
        <w:rPr>
          <w:rFonts w:cs="Arial"/>
          <w:sz w:val="22"/>
          <w:szCs w:val="22"/>
        </w:rPr>
        <w:t>46] Healthcare Commission</w:t>
      </w:r>
      <w:r w:rsidRPr="00F375EC">
        <w:rPr>
          <w:rFonts w:cs="Arial"/>
          <w:sz w:val="22"/>
          <w:szCs w:val="22"/>
        </w:rPr>
        <w:t>.</w:t>
      </w:r>
    </w:p>
    <w:p w14:paraId="4BCBC691" w14:textId="77777777" w:rsidR="000923BB" w:rsidRDefault="002770D3" w:rsidP="000923BB">
      <w:pPr>
        <w:jc w:val="both"/>
        <w:rPr>
          <w:rFonts w:cs="Arial"/>
          <w:sz w:val="22"/>
          <w:szCs w:val="22"/>
        </w:rPr>
      </w:pPr>
      <w:hyperlink r:id="rId106" w:history="1">
        <w:r w:rsidR="000923BB" w:rsidRPr="00F375EC">
          <w:rPr>
            <w:rStyle w:val="Hyperlink"/>
            <w:rFonts w:cs="Arial"/>
            <w:sz w:val="22"/>
            <w:szCs w:val="22"/>
          </w:rPr>
          <w:t>www.healthcarecommission.org.uk</w:t>
        </w:r>
      </w:hyperlink>
      <w:r w:rsidR="000923BB" w:rsidRPr="00F375EC">
        <w:rPr>
          <w:rFonts w:cs="Arial"/>
          <w:sz w:val="22"/>
          <w:szCs w:val="22"/>
        </w:rPr>
        <w:t xml:space="preserve"> (accessed </w:t>
      </w:r>
      <w:smartTag w:uri="urn:schemas-microsoft-com:office:smarttags" w:element="date">
        <w:smartTagPr>
          <w:attr w:name="Year" w:val="2008"/>
          <w:attr w:name="Day" w:val="30"/>
          <w:attr w:name="Month" w:val="11"/>
        </w:smartTagPr>
        <w:r w:rsidR="000923BB">
          <w:rPr>
            <w:rFonts w:cs="Arial"/>
            <w:sz w:val="22"/>
            <w:szCs w:val="22"/>
          </w:rPr>
          <w:t>30 November 2008</w:t>
        </w:r>
      </w:smartTag>
      <w:r w:rsidR="000923BB" w:rsidRPr="00F375EC">
        <w:rPr>
          <w:rFonts w:cs="Arial"/>
          <w:sz w:val="22"/>
          <w:szCs w:val="22"/>
        </w:rPr>
        <w:t>).</w:t>
      </w:r>
    </w:p>
    <w:p w14:paraId="638D782C" w14:textId="77777777" w:rsidR="000923BB" w:rsidRPr="00DA1FFA" w:rsidRDefault="000923BB" w:rsidP="000923BB">
      <w:pPr>
        <w:rPr>
          <w:rFonts w:cs="Arial"/>
          <w:sz w:val="22"/>
          <w:szCs w:val="22"/>
        </w:rPr>
      </w:pPr>
      <w:r>
        <w:rPr>
          <w:rFonts w:cs="Arial"/>
          <w:sz w:val="22"/>
          <w:szCs w:val="22"/>
        </w:rPr>
        <w:t>47</w:t>
      </w:r>
      <w:r w:rsidRPr="00DA1FFA">
        <w:rPr>
          <w:rFonts w:cs="Arial"/>
          <w:sz w:val="22"/>
          <w:szCs w:val="22"/>
        </w:rPr>
        <w:t xml:space="preserve">] Intercollegiate Stroke Audit Working Party.  </w:t>
      </w:r>
      <w:r w:rsidRPr="00DA1FFA">
        <w:rPr>
          <w:rFonts w:cs="Arial"/>
          <w:i/>
          <w:sz w:val="22"/>
          <w:szCs w:val="22"/>
        </w:rPr>
        <w:t>National Sentinel Stroke Audit</w:t>
      </w:r>
      <w:r w:rsidRPr="00DA1FFA">
        <w:rPr>
          <w:rFonts w:cs="Arial"/>
          <w:sz w:val="22"/>
          <w:szCs w:val="22"/>
        </w:rPr>
        <w:t xml:space="preserve">.  </w:t>
      </w:r>
      <w:smartTag w:uri="urn:schemas-microsoft-com:office:smarttags" w:element="place">
        <w:smartTag w:uri="urn:schemas-microsoft-com:office:smarttags" w:element="City">
          <w:r w:rsidRPr="00DA1FFA">
            <w:rPr>
              <w:rFonts w:cs="Arial"/>
              <w:sz w:val="22"/>
              <w:szCs w:val="22"/>
            </w:rPr>
            <w:t>London</w:t>
          </w:r>
        </w:smartTag>
      </w:smartTag>
      <w:r w:rsidRPr="00DA1FFA">
        <w:rPr>
          <w:rFonts w:cs="Arial"/>
          <w:sz w:val="22"/>
          <w:szCs w:val="22"/>
        </w:rPr>
        <w:t xml:space="preserve">: </w:t>
      </w:r>
      <w:smartTag w:uri="urn:schemas-microsoft-com:office:smarttags" w:element="place">
        <w:smartTag w:uri="urn:schemas-microsoft-com:office:smarttags" w:element="PlaceName">
          <w:r w:rsidRPr="00DA1FFA">
            <w:rPr>
              <w:rFonts w:cs="Arial"/>
              <w:sz w:val="22"/>
              <w:szCs w:val="22"/>
            </w:rPr>
            <w:t>Royal</w:t>
          </w:r>
        </w:smartTag>
        <w:r w:rsidRPr="00DA1FFA">
          <w:rPr>
            <w:rFonts w:cs="Arial"/>
            <w:sz w:val="22"/>
            <w:szCs w:val="22"/>
          </w:rPr>
          <w:t xml:space="preserve"> </w:t>
        </w:r>
        <w:smartTag w:uri="urn:schemas-microsoft-com:office:smarttags" w:element="PlaceType">
          <w:r w:rsidRPr="00DA1FFA">
            <w:rPr>
              <w:rFonts w:cs="Arial"/>
              <w:sz w:val="22"/>
              <w:szCs w:val="22"/>
            </w:rPr>
            <w:t>College</w:t>
          </w:r>
        </w:smartTag>
      </w:smartTag>
      <w:r w:rsidRPr="00DA1FFA">
        <w:rPr>
          <w:rFonts w:cs="Arial"/>
          <w:sz w:val="22"/>
          <w:szCs w:val="22"/>
        </w:rPr>
        <w:t xml:space="preserve"> of Physicians of </w:t>
      </w:r>
      <w:smartTag w:uri="urn:schemas-microsoft-com:office:smarttags" w:element="place">
        <w:smartTag w:uri="urn:schemas-microsoft-com:office:smarttags" w:element="City">
          <w:r w:rsidRPr="00DA1FFA">
            <w:rPr>
              <w:rFonts w:cs="Arial"/>
              <w:sz w:val="22"/>
              <w:szCs w:val="22"/>
            </w:rPr>
            <w:t>London</w:t>
          </w:r>
        </w:smartTag>
      </w:smartTag>
      <w:r w:rsidRPr="00DA1FFA">
        <w:rPr>
          <w:rFonts w:cs="Arial"/>
          <w:sz w:val="22"/>
          <w:szCs w:val="22"/>
        </w:rPr>
        <w:t>, 2007</w:t>
      </w:r>
    </w:p>
    <w:p w14:paraId="45482579" w14:textId="77777777" w:rsidR="000923BB" w:rsidRPr="00DA1FFA" w:rsidRDefault="000923BB" w:rsidP="000923BB">
      <w:pPr>
        <w:rPr>
          <w:rFonts w:cs="Arial"/>
          <w:sz w:val="22"/>
          <w:szCs w:val="22"/>
        </w:rPr>
      </w:pPr>
      <w:r w:rsidRPr="00DA1FFA">
        <w:rPr>
          <w:rFonts w:cs="Arial"/>
          <w:sz w:val="22"/>
          <w:szCs w:val="22"/>
        </w:rPr>
        <w:t>4</w:t>
      </w:r>
      <w:r>
        <w:rPr>
          <w:rFonts w:cs="Arial"/>
          <w:sz w:val="22"/>
          <w:szCs w:val="22"/>
        </w:rPr>
        <w:t>8</w:t>
      </w:r>
      <w:r w:rsidRPr="00DA1FFA">
        <w:rPr>
          <w:rFonts w:cs="Arial"/>
          <w:sz w:val="22"/>
          <w:szCs w:val="22"/>
        </w:rPr>
        <w:t>] McNaughton H, McPherson K, Taylor W, Weatherall M.  Relationship between process and outcome in stroke care.</w:t>
      </w:r>
      <w:r w:rsidRPr="00DA1FFA">
        <w:rPr>
          <w:rFonts w:cs="Arial"/>
          <w:sz w:val="22"/>
          <w:szCs w:val="22"/>
        </w:rPr>
        <w:tab/>
        <w:t xml:space="preserve"> </w:t>
      </w:r>
      <w:r w:rsidRPr="00DA1FFA">
        <w:rPr>
          <w:rFonts w:cs="Arial"/>
          <w:i/>
          <w:sz w:val="22"/>
          <w:szCs w:val="22"/>
        </w:rPr>
        <w:t>Stroke</w:t>
      </w:r>
      <w:r w:rsidRPr="00DA1FFA">
        <w:rPr>
          <w:rFonts w:cs="Arial"/>
          <w:sz w:val="22"/>
          <w:szCs w:val="22"/>
        </w:rPr>
        <w:t>, 2003:</w:t>
      </w:r>
      <w:r w:rsidRPr="00DA1FFA">
        <w:rPr>
          <w:rFonts w:cs="Arial"/>
          <w:b/>
          <w:sz w:val="22"/>
          <w:szCs w:val="22"/>
        </w:rPr>
        <w:t>34</w:t>
      </w:r>
      <w:r w:rsidRPr="00DA1FFA">
        <w:rPr>
          <w:rFonts w:cs="Arial"/>
          <w:sz w:val="22"/>
          <w:szCs w:val="22"/>
        </w:rPr>
        <w:t>;713-717.</w:t>
      </w:r>
    </w:p>
    <w:p w14:paraId="7BD2659A" w14:textId="77777777" w:rsidR="000923BB" w:rsidRDefault="000923BB" w:rsidP="000923BB">
      <w:pPr>
        <w:rPr>
          <w:rFonts w:cs="Arial"/>
          <w:sz w:val="22"/>
          <w:szCs w:val="22"/>
        </w:rPr>
      </w:pPr>
      <w:r>
        <w:rPr>
          <w:rFonts w:cs="Arial"/>
          <w:sz w:val="22"/>
          <w:szCs w:val="22"/>
        </w:rPr>
        <w:t>49</w:t>
      </w:r>
      <w:r w:rsidRPr="00DA1FFA">
        <w:rPr>
          <w:rFonts w:cs="Arial"/>
          <w:sz w:val="22"/>
          <w:szCs w:val="22"/>
        </w:rPr>
        <w:t xml:space="preserve">] Wilson B, Thornton JG, Hewison J, Lilford RJ, Watt I, Braunholtz D, Robinson M.  The Leeds University maternity audit project. </w:t>
      </w:r>
      <w:r w:rsidRPr="00DA1FFA">
        <w:rPr>
          <w:rFonts w:cs="Arial"/>
          <w:i/>
          <w:sz w:val="22"/>
          <w:szCs w:val="22"/>
        </w:rPr>
        <w:t>Int J Qual in Health Care</w:t>
      </w:r>
      <w:r w:rsidRPr="00DA1FFA">
        <w:rPr>
          <w:rFonts w:cs="Arial"/>
          <w:sz w:val="22"/>
          <w:szCs w:val="22"/>
        </w:rPr>
        <w:t>, 2002;</w:t>
      </w:r>
      <w:r w:rsidRPr="00DA1FFA">
        <w:rPr>
          <w:rFonts w:cs="Arial"/>
          <w:b/>
          <w:sz w:val="22"/>
          <w:szCs w:val="22"/>
        </w:rPr>
        <w:t>14</w:t>
      </w:r>
      <w:r w:rsidRPr="00DA1FFA">
        <w:rPr>
          <w:rFonts w:cs="Arial"/>
          <w:sz w:val="22"/>
          <w:szCs w:val="22"/>
        </w:rPr>
        <w:t>:175-181.</w:t>
      </w:r>
    </w:p>
    <w:p w14:paraId="5190AC32" w14:textId="77777777" w:rsidR="000923BB" w:rsidRPr="00F375EC" w:rsidRDefault="000923BB" w:rsidP="000923BB">
      <w:pPr>
        <w:jc w:val="both"/>
        <w:rPr>
          <w:rFonts w:cs="Arial"/>
          <w:sz w:val="22"/>
          <w:szCs w:val="22"/>
        </w:rPr>
      </w:pPr>
      <w:r>
        <w:rPr>
          <w:rFonts w:cs="Arial"/>
          <w:sz w:val="22"/>
          <w:szCs w:val="22"/>
        </w:rPr>
        <w:t xml:space="preserve">50] </w:t>
      </w:r>
      <w:r w:rsidRPr="00F375EC">
        <w:rPr>
          <w:rFonts w:cs="Arial"/>
          <w:sz w:val="22"/>
          <w:szCs w:val="22"/>
        </w:rPr>
        <w:t xml:space="preserve">Dr Foster. The Hospital Guide: How Good is My Hospital, 2005. </w:t>
      </w:r>
      <w:hyperlink r:id="rId107" w:history="1">
        <w:r w:rsidRPr="00F375EC">
          <w:rPr>
            <w:rStyle w:val="Hyperlink"/>
            <w:rFonts w:cs="Arial"/>
            <w:sz w:val="22"/>
            <w:szCs w:val="22"/>
          </w:rPr>
          <w:t>www.drfoster.co.uk/hospitalreport/pdfs/howGood.pdf</w:t>
        </w:r>
      </w:hyperlink>
      <w:r w:rsidRPr="00F375EC">
        <w:rPr>
          <w:rFonts w:cs="Arial"/>
          <w:sz w:val="22"/>
          <w:szCs w:val="22"/>
        </w:rPr>
        <w:t xml:space="preserve"> (accessed </w:t>
      </w:r>
      <w:smartTag w:uri="urn:schemas-microsoft-com:office:smarttags" w:element="date">
        <w:smartTagPr>
          <w:attr w:name="Year" w:val="2006"/>
          <w:attr w:name="Day" w:val="20"/>
          <w:attr w:name="Month" w:val="11"/>
        </w:smartTagPr>
        <w:r w:rsidRPr="00F375EC">
          <w:rPr>
            <w:rFonts w:cs="Arial"/>
            <w:sz w:val="22"/>
            <w:szCs w:val="22"/>
          </w:rPr>
          <w:t>20 November 2006</w:t>
        </w:r>
      </w:smartTag>
      <w:r w:rsidRPr="00F375EC">
        <w:rPr>
          <w:rFonts w:cs="Arial"/>
          <w:sz w:val="22"/>
          <w:szCs w:val="22"/>
        </w:rPr>
        <w:t>).</w:t>
      </w:r>
    </w:p>
    <w:p w14:paraId="362ADFB1" w14:textId="77777777" w:rsidR="000923BB" w:rsidRPr="00F375EC" w:rsidRDefault="000923BB" w:rsidP="000923BB">
      <w:pPr>
        <w:jc w:val="both"/>
        <w:rPr>
          <w:rFonts w:cs="Arial"/>
          <w:sz w:val="22"/>
          <w:szCs w:val="22"/>
        </w:rPr>
      </w:pPr>
      <w:r>
        <w:rPr>
          <w:rFonts w:cs="Arial"/>
          <w:sz w:val="22"/>
          <w:szCs w:val="22"/>
        </w:rPr>
        <w:t xml:space="preserve">51] </w:t>
      </w:r>
      <w:r w:rsidRPr="00F375EC">
        <w:rPr>
          <w:rFonts w:cs="Arial"/>
          <w:sz w:val="22"/>
          <w:szCs w:val="22"/>
        </w:rPr>
        <w:t>Healthcare Commission NHS Staff Survey.</w:t>
      </w:r>
    </w:p>
    <w:p w14:paraId="25D467DD" w14:textId="77777777" w:rsidR="000923BB" w:rsidRDefault="002770D3" w:rsidP="000923BB">
      <w:pPr>
        <w:jc w:val="both"/>
        <w:rPr>
          <w:rFonts w:cs="Arial"/>
          <w:sz w:val="22"/>
          <w:szCs w:val="22"/>
        </w:rPr>
      </w:pPr>
      <w:hyperlink r:id="rId108" w:history="1">
        <w:r w:rsidR="000923BB" w:rsidRPr="00F375EC">
          <w:rPr>
            <w:rStyle w:val="Hyperlink"/>
            <w:rFonts w:cs="Arial"/>
            <w:sz w:val="22"/>
            <w:szCs w:val="22"/>
          </w:rPr>
          <w:t>www.healthcarecommission.org.uk/nationalfindings/surveys.cfm</w:t>
        </w:r>
      </w:hyperlink>
      <w:r w:rsidR="000923BB" w:rsidRPr="00F375EC">
        <w:rPr>
          <w:rFonts w:cs="Arial"/>
          <w:sz w:val="22"/>
          <w:szCs w:val="22"/>
        </w:rPr>
        <w:t xml:space="preserve"> (accessed </w:t>
      </w:r>
      <w:smartTag w:uri="urn:schemas-microsoft-com:office:smarttags" w:element="date">
        <w:smartTagPr>
          <w:attr w:name="Year" w:val="2006"/>
          <w:attr w:name="Day" w:val="20"/>
          <w:attr w:name="Month" w:val="11"/>
        </w:smartTagPr>
        <w:r w:rsidR="000923BB" w:rsidRPr="00F375EC">
          <w:rPr>
            <w:rFonts w:cs="Arial"/>
            <w:sz w:val="22"/>
            <w:szCs w:val="22"/>
          </w:rPr>
          <w:t>20 November 2006</w:t>
        </w:r>
      </w:smartTag>
      <w:r w:rsidR="000923BB" w:rsidRPr="00F375EC">
        <w:rPr>
          <w:rFonts w:cs="Arial"/>
          <w:sz w:val="22"/>
          <w:szCs w:val="22"/>
        </w:rPr>
        <w:t>).</w:t>
      </w:r>
    </w:p>
    <w:p w14:paraId="60A1459A" w14:textId="77777777" w:rsidR="000923BB" w:rsidRPr="00F375EC" w:rsidRDefault="000923BB" w:rsidP="000923BB">
      <w:pPr>
        <w:jc w:val="both"/>
        <w:rPr>
          <w:rFonts w:cs="Arial"/>
          <w:sz w:val="22"/>
          <w:szCs w:val="22"/>
        </w:rPr>
      </w:pPr>
      <w:r>
        <w:rPr>
          <w:rFonts w:cs="Arial"/>
          <w:sz w:val="22"/>
          <w:szCs w:val="22"/>
        </w:rPr>
        <w:t xml:space="preserve">52] </w:t>
      </w:r>
      <w:r w:rsidRPr="00F375EC">
        <w:rPr>
          <w:rFonts w:cs="Arial"/>
          <w:sz w:val="22"/>
          <w:szCs w:val="22"/>
        </w:rPr>
        <w:t>National Patient Safety Agency. Quarterly National Reporting and Learning System Data Summary, Autumn 2006.</w:t>
      </w:r>
    </w:p>
    <w:p w14:paraId="25F80741" w14:textId="77777777" w:rsidR="000923BB" w:rsidRDefault="002770D3" w:rsidP="000923BB">
      <w:pPr>
        <w:jc w:val="both"/>
        <w:rPr>
          <w:rFonts w:cs="Arial"/>
          <w:iCs/>
          <w:sz w:val="22"/>
          <w:szCs w:val="22"/>
        </w:rPr>
      </w:pPr>
      <w:hyperlink r:id="rId109" w:history="1">
        <w:r w:rsidR="000923BB" w:rsidRPr="00F375EC">
          <w:rPr>
            <w:rStyle w:val="Hyperlink"/>
            <w:rFonts w:cs="Arial"/>
            <w:sz w:val="22"/>
            <w:szCs w:val="22"/>
          </w:rPr>
          <w:t>www.npsa.nhs.uk/site/media/documents/1953_NRLS_Data.pdf</w:t>
        </w:r>
      </w:hyperlink>
      <w:r w:rsidR="000923BB" w:rsidRPr="00F375EC">
        <w:rPr>
          <w:rFonts w:cs="Arial"/>
          <w:sz w:val="22"/>
          <w:szCs w:val="22"/>
        </w:rPr>
        <w:t xml:space="preserve"> (</w:t>
      </w:r>
      <w:r w:rsidR="000923BB" w:rsidRPr="00F375EC">
        <w:rPr>
          <w:rFonts w:cs="Arial"/>
          <w:iCs/>
          <w:sz w:val="22"/>
          <w:szCs w:val="22"/>
        </w:rPr>
        <w:t xml:space="preserve">accessed </w:t>
      </w:r>
      <w:smartTag w:uri="urn:schemas-microsoft-com:office:smarttags" w:element="date">
        <w:smartTagPr>
          <w:attr w:name="Year" w:val="2006"/>
          <w:attr w:name="Day" w:val="20"/>
          <w:attr w:name="Month" w:val="11"/>
        </w:smartTagPr>
        <w:r w:rsidR="000923BB" w:rsidRPr="00F375EC">
          <w:rPr>
            <w:rFonts w:cs="Arial"/>
            <w:sz w:val="22"/>
            <w:szCs w:val="22"/>
          </w:rPr>
          <w:t xml:space="preserve">20 November </w:t>
        </w:r>
        <w:r w:rsidR="000923BB" w:rsidRPr="00F375EC">
          <w:rPr>
            <w:rFonts w:cs="Arial"/>
            <w:iCs/>
            <w:sz w:val="22"/>
            <w:szCs w:val="22"/>
          </w:rPr>
          <w:t>2006</w:t>
        </w:r>
      </w:smartTag>
      <w:r w:rsidR="000923BB" w:rsidRPr="00F375EC">
        <w:rPr>
          <w:rFonts w:cs="Arial"/>
          <w:iCs/>
          <w:sz w:val="22"/>
          <w:szCs w:val="22"/>
        </w:rPr>
        <w:t>).</w:t>
      </w:r>
    </w:p>
    <w:p w14:paraId="373B0814" w14:textId="77777777" w:rsidR="000923BB" w:rsidRDefault="000923BB" w:rsidP="000923BB">
      <w:pPr>
        <w:jc w:val="both"/>
        <w:rPr>
          <w:rFonts w:cs="Arial"/>
          <w:i/>
          <w:sz w:val="22"/>
          <w:szCs w:val="22"/>
        </w:rPr>
      </w:pPr>
      <w:r>
        <w:rPr>
          <w:rFonts w:cs="Arial"/>
          <w:bCs/>
          <w:sz w:val="22"/>
          <w:szCs w:val="22"/>
        </w:rPr>
        <w:lastRenderedPageBreak/>
        <w:t xml:space="preserve">53] </w:t>
      </w:r>
      <w:r w:rsidRPr="004C2F4D">
        <w:rPr>
          <w:rFonts w:cs="Arial"/>
          <w:bCs/>
          <w:sz w:val="22"/>
          <w:szCs w:val="22"/>
        </w:rPr>
        <w:t>Hutchinson A, Young TA, Cooper KL, McIntosh A, Karnon JD, Scobie S, Thomson RG.</w:t>
      </w:r>
      <w:r>
        <w:rPr>
          <w:rFonts w:cs="Arial"/>
          <w:bCs/>
          <w:sz w:val="22"/>
          <w:szCs w:val="22"/>
        </w:rPr>
        <w:t xml:space="preserve"> </w:t>
      </w:r>
      <w:r w:rsidRPr="004C2F4D">
        <w:rPr>
          <w:rFonts w:cs="Arial"/>
          <w:sz w:val="22"/>
          <w:szCs w:val="22"/>
        </w:rPr>
        <w:t xml:space="preserve">Trends in healthcare incident reporting and relationship to safety and quality data in acute hospitals: results from the National Reporting and Learning System.  </w:t>
      </w:r>
      <w:r w:rsidRPr="004C2F4D">
        <w:rPr>
          <w:rFonts w:cs="Arial"/>
          <w:i/>
          <w:sz w:val="22"/>
          <w:szCs w:val="22"/>
        </w:rPr>
        <w:t>Q</w:t>
      </w:r>
      <w:r>
        <w:rPr>
          <w:rFonts w:cs="Arial"/>
          <w:i/>
          <w:sz w:val="22"/>
          <w:szCs w:val="22"/>
        </w:rPr>
        <w:t xml:space="preserve">ual </w:t>
      </w:r>
      <w:r w:rsidRPr="004C2F4D">
        <w:rPr>
          <w:rFonts w:cs="Arial"/>
          <w:i/>
          <w:sz w:val="22"/>
          <w:szCs w:val="22"/>
        </w:rPr>
        <w:t>S</w:t>
      </w:r>
      <w:r>
        <w:rPr>
          <w:rFonts w:cs="Arial"/>
          <w:i/>
          <w:sz w:val="22"/>
          <w:szCs w:val="22"/>
        </w:rPr>
        <w:t xml:space="preserve">af </w:t>
      </w:r>
      <w:r w:rsidRPr="004C2F4D">
        <w:rPr>
          <w:rFonts w:cs="Arial"/>
          <w:i/>
          <w:sz w:val="22"/>
          <w:szCs w:val="22"/>
        </w:rPr>
        <w:t>H</w:t>
      </w:r>
      <w:r>
        <w:rPr>
          <w:rFonts w:cs="Arial"/>
          <w:i/>
          <w:sz w:val="22"/>
          <w:szCs w:val="22"/>
        </w:rPr>
        <w:t xml:space="preserve">ealth </w:t>
      </w:r>
      <w:r w:rsidRPr="004C2F4D">
        <w:rPr>
          <w:rFonts w:cs="Arial"/>
          <w:i/>
          <w:sz w:val="22"/>
          <w:szCs w:val="22"/>
        </w:rPr>
        <w:t>C</w:t>
      </w:r>
      <w:r>
        <w:rPr>
          <w:rFonts w:cs="Arial"/>
          <w:i/>
          <w:sz w:val="22"/>
          <w:szCs w:val="22"/>
        </w:rPr>
        <w:t>are</w:t>
      </w:r>
      <w:r w:rsidRPr="004C2F4D">
        <w:rPr>
          <w:rFonts w:cs="Arial"/>
          <w:sz w:val="22"/>
          <w:szCs w:val="22"/>
        </w:rPr>
        <w:t xml:space="preserve"> 200</w:t>
      </w:r>
      <w:r>
        <w:rPr>
          <w:rFonts w:cs="Arial"/>
          <w:sz w:val="22"/>
          <w:szCs w:val="22"/>
        </w:rPr>
        <w:t>9</w:t>
      </w:r>
      <w:r w:rsidRPr="004C2F4D">
        <w:rPr>
          <w:rFonts w:cs="Arial"/>
          <w:sz w:val="22"/>
          <w:szCs w:val="22"/>
        </w:rPr>
        <w:t>;</w:t>
      </w:r>
      <w:r w:rsidRPr="00F762F3">
        <w:rPr>
          <w:rFonts w:cs="Arial"/>
          <w:b/>
          <w:sz w:val="22"/>
          <w:szCs w:val="22"/>
        </w:rPr>
        <w:t>1</w:t>
      </w:r>
      <w:r>
        <w:rPr>
          <w:rFonts w:cs="Arial"/>
          <w:b/>
          <w:sz w:val="22"/>
          <w:szCs w:val="22"/>
        </w:rPr>
        <w:t>8</w:t>
      </w:r>
      <w:r w:rsidRPr="004C2F4D">
        <w:rPr>
          <w:rFonts w:cs="Arial"/>
          <w:sz w:val="22"/>
          <w:szCs w:val="22"/>
        </w:rPr>
        <w:t>:</w:t>
      </w:r>
      <w:r>
        <w:rPr>
          <w:rFonts w:cs="Arial"/>
          <w:sz w:val="22"/>
          <w:szCs w:val="22"/>
        </w:rPr>
        <w:t>5-10</w:t>
      </w:r>
    </w:p>
    <w:p w14:paraId="6EB1BB55" w14:textId="77777777" w:rsidR="000923BB" w:rsidRDefault="000923BB" w:rsidP="000923BB">
      <w:pPr>
        <w:shd w:val="clear" w:color="auto" w:fill="FFFFFF"/>
        <w:jc w:val="both"/>
        <w:rPr>
          <w:rFonts w:cs="Arial"/>
          <w:sz w:val="22"/>
          <w:szCs w:val="22"/>
        </w:rPr>
      </w:pPr>
      <w:r>
        <w:rPr>
          <w:rFonts w:cs="Arial"/>
          <w:sz w:val="22"/>
          <w:szCs w:val="22"/>
        </w:rPr>
        <w:t xml:space="preserve">54] Lilford RJ, Brown CA, Nicholl, J.  Use of process measures to monitor the quality of clinical practice.  </w:t>
      </w:r>
      <w:r w:rsidRPr="00F97875">
        <w:rPr>
          <w:rFonts w:cs="Arial"/>
          <w:i/>
          <w:sz w:val="22"/>
          <w:szCs w:val="22"/>
        </w:rPr>
        <w:t>BMJ</w:t>
      </w:r>
      <w:r>
        <w:rPr>
          <w:rFonts w:cs="Arial"/>
          <w:sz w:val="22"/>
          <w:szCs w:val="22"/>
        </w:rPr>
        <w:t>, 2007;</w:t>
      </w:r>
      <w:r w:rsidRPr="00F762F3">
        <w:rPr>
          <w:rFonts w:cs="Arial"/>
          <w:b/>
          <w:sz w:val="22"/>
          <w:szCs w:val="22"/>
        </w:rPr>
        <w:t>335</w:t>
      </w:r>
      <w:r>
        <w:rPr>
          <w:rFonts w:cs="Arial"/>
          <w:sz w:val="22"/>
          <w:szCs w:val="22"/>
        </w:rPr>
        <w:t>:648-650.</w:t>
      </w:r>
    </w:p>
    <w:p w14:paraId="336CA471" w14:textId="77777777" w:rsidR="000923BB" w:rsidRDefault="000923BB" w:rsidP="000923BB">
      <w:pPr>
        <w:jc w:val="both"/>
        <w:rPr>
          <w:rFonts w:cs="Arial"/>
          <w:sz w:val="22"/>
        </w:rPr>
      </w:pPr>
      <w:r>
        <w:rPr>
          <w:rFonts w:cs="Arial"/>
          <w:sz w:val="22"/>
        </w:rPr>
        <w:t xml:space="preserve">55] Dubois RW, Rogers WH, Moxley JH et al. Hospital inpatient mortality: is it a predictor of quality?  </w:t>
      </w:r>
      <w:smartTag w:uri="urn:schemas-microsoft-com:office:smarttags" w:element="place">
        <w:r w:rsidRPr="00F97875">
          <w:rPr>
            <w:rFonts w:cs="Arial"/>
            <w:i/>
            <w:sz w:val="22"/>
          </w:rPr>
          <w:t>N Engl</w:t>
        </w:r>
      </w:smartTag>
      <w:r w:rsidRPr="00F97875">
        <w:rPr>
          <w:rFonts w:cs="Arial"/>
          <w:i/>
          <w:sz w:val="22"/>
        </w:rPr>
        <w:t xml:space="preserve"> J Med</w:t>
      </w:r>
      <w:r>
        <w:rPr>
          <w:rFonts w:cs="Arial"/>
          <w:sz w:val="22"/>
        </w:rPr>
        <w:t>, 1987;</w:t>
      </w:r>
      <w:r w:rsidRPr="00F762F3">
        <w:rPr>
          <w:rFonts w:cs="Arial"/>
          <w:b/>
          <w:sz w:val="22"/>
        </w:rPr>
        <w:t>317</w:t>
      </w:r>
      <w:r>
        <w:rPr>
          <w:rFonts w:cs="Arial"/>
          <w:sz w:val="22"/>
        </w:rPr>
        <w:t>:1674-1680</w:t>
      </w:r>
    </w:p>
    <w:p w14:paraId="69ED4091" w14:textId="77777777" w:rsidR="000923BB" w:rsidRPr="00EC52A2" w:rsidRDefault="000923BB" w:rsidP="000923BB">
      <w:pPr>
        <w:jc w:val="both"/>
        <w:rPr>
          <w:rFonts w:cs="Arial"/>
          <w:sz w:val="22"/>
        </w:rPr>
      </w:pPr>
      <w:r>
        <w:rPr>
          <w:rFonts w:cs="Arial"/>
          <w:sz w:val="22"/>
        </w:rPr>
        <w:t xml:space="preserve">56] Thomas JW, Holloway JJ, Guire KE. Validating risk-adjusted mortality as an indicator of quality of care. </w:t>
      </w:r>
      <w:r w:rsidRPr="00F97875">
        <w:rPr>
          <w:rFonts w:cs="Arial"/>
          <w:i/>
          <w:sz w:val="22"/>
        </w:rPr>
        <w:t>Inquiry</w:t>
      </w:r>
      <w:r>
        <w:rPr>
          <w:rFonts w:cs="Arial"/>
          <w:sz w:val="22"/>
        </w:rPr>
        <w:t xml:space="preserve"> 1993;</w:t>
      </w:r>
      <w:r w:rsidRPr="00F762F3">
        <w:rPr>
          <w:rFonts w:cs="Arial"/>
          <w:b/>
          <w:sz w:val="22"/>
        </w:rPr>
        <w:t>30</w:t>
      </w:r>
      <w:r>
        <w:rPr>
          <w:rFonts w:cs="Arial"/>
          <w:sz w:val="22"/>
        </w:rPr>
        <w:t>:6-22</w:t>
      </w:r>
    </w:p>
    <w:p w14:paraId="4DD2D962" w14:textId="77777777" w:rsidR="000923BB" w:rsidRDefault="000923BB" w:rsidP="000923BB">
      <w:pPr>
        <w:jc w:val="both"/>
        <w:rPr>
          <w:rFonts w:cs="Arial"/>
          <w:sz w:val="22"/>
        </w:rPr>
      </w:pPr>
      <w:r>
        <w:rPr>
          <w:rFonts w:cs="Arial"/>
          <w:sz w:val="22"/>
        </w:rPr>
        <w:t xml:space="preserve">57] Pearson M, Goldacre M, Coles J, Amess M, Cleary R, Fletcher J, Mason A, Dixon P, Eastwood A.  </w:t>
      </w:r>
      <w:r w:rsidRPr="00C375F7">
        <w:rPr>
          <w:rFonts w:cs="Arial"/>
          <w:i/>
          <w:sz w:val="22"/>
        </w:rPr>
        <w:t>Health Outcome Indicators: Asthma Report of working group to the Dep</w:t>
      </w:r>
      <w:r>
        <w:rPr>
          <w:rFonts w:cs="Arial"/>
          <w:i/>
          <w:sz w:val="22"/>
        </w:rPr>
        <w:t>ar</w:t>
      </w:r>
      <w:r w:rsidRPr="00C375F7">
        <w:rPr>
          <w:rFonts w:cs="Arial"/>
          <w:i/>
          <w:sz w:val="22"/>
        </w:rPr>
        <w:t>t</w:t>
      </w:r>
      <w:r>
        <w:rPr>
          <w:rFonts w:cs="Arial"/>
          <w:i/>
          <w:sz w:val="22"/>
        </w:rPr>
        <w:t>ment of</w:t>
      </w:r>
      <w:r w:rsidRPr="00C375F7">
        <w:rPr>
          <w:rFonts w:cs="Arial"/>
          <w:i/>
          <w:sz w:val="22"/>
        </w:rPr>
        <w:t xml:space="preserve"> Health</w:t>
      </w:r>
      <w:r>
        <w:rPr>
          <w:rFonts w:cs="Arial"/>
          <w:sz w:val="22"/>
        </w:rPr>
        <w:t xml:space="preserve">.  </w:t>
      </w:r>
      <w:smartTag w:uri="urn:schemas-microsoft-com:office:smarttags" w:element="place">
        <w:smartTag w:uri="urn:schemas-microsoft-com:office:smarttags" w:element="City">
          <w:r>
            <w:rPr>
              <w:rFonts w:cs="Arial"/>
              <w:sz w:val="22"/>
            </w:rPr>
            <w:t>Oxford</w:t>
          </w:r>
        </w:smartTag>
      </w:smartTag>
      <w:r>
        <w:rPr>
          <w:rFonts w:cs="Arial"/>
          <w:sz w:val="22"/>
        </w:rPr>
        <w:t xml:space="preserve">: National Centre for Health Outcomes Development, 1999. </w:t>
      </w:r>
    </w:p>
    <w:p w14:paraId="2CEA7538" w14:textId="77777777" w:rsidR="000923BB" w:rsidRDefault="000923BB" w:rsidP="000923BB">
      <w:pPr>
        <w:jc w:val="both"/>
        <w:rPr>
          <w:rFonts w:cs="Arial"/>
          <w:sz w:val="22"/>
          <w:szCs w:val="22"/>
        </w:rPr>
      </w:pPr>
      <w:r>
        <w:rPr>
          <w:rFonts w:cs="Arial"/>
          <w:sz w:val="22"/>
        </w:rPr>
        <w:br w:type="page"/>
      </w:r>
    </w:p>
    <w:p w14:paraId="399FBF69" w14:textId="77777777" w:rsidR="000923BB" w:rsidRPr="00BD5625" w:rsidRDefault="000923BB" w:rsidP="000923BB">
      <w:pPr>
        <w:spacing w:line="360" w:lineRule="auto"/>
        <w:jc w:val="center"/>
        <w:rPr>
          <w:rFonts w:cs="Arial"/>
          <w:b/>
          <w:sz w:val="28"/>
          <w:szCs w:val="28"/>
        </w:rPr>
      </w:pPr>
      <w:r>
        <w:rPr>
          <w:rFonts w:cs="Arial"/>
          <w:b/>
          <w:sz w:val="28"/>
          <w:szCs w:val="28"/>
        </w:rPr>
        <w:lastRenderedPageBreak/>
        <w:t>Ap</w:t>
      </w:r>
      <w:r w:rsidRPr="00BD5625">
        <w:rPr>
          <w:rFonts w:cs="Arial"/>
          <w:b/>
          <w:sz w:val="28"/>
          <w:szCs w:val="28"/>
        </w:rPr>
        <w:t xml:space="preserve">pendix </w:t>
      </w:r>
      <w:r>
        <w:rPr>
          <w:rFonts w:cs="Arial"/>
          <w:b/>
          <w:sz w:val="28"/>
          <w:szCs w:val="28"/>
        </w:rPr>
        <w:t>1</w:t>
      </w:r>
    </w:p>
    <w:p w14:paraId="407EDF5C" w14:textId="77777777" w:rsidR="000923BB" w:rsidRDefault="000923BB" w:rsidP="000923BB">
      <w:pPr>
        <w:pStyle w:val="Header"/>
        <w:rPr>
          <w:rFonts w:cs="Arial"/>
          <w:b/>
          <w:sz w:val="28"/>
          <w:szCs w:val="28"/>
        </w:rPr>
      </w:pPr>
    </w:p>
    <w:p w14:paraId="5E4B9972" w14:textId="77777777" w:rsidR="000923BB" w:rsidRDefault="000923BB" w:rsidP="000923BB">
      <w:pPr>
        <w:pStyle w:val="Header"/>
        <w:ind w:left="720"/>
        <w:jc w:val="center"/>
        <w:rPr>
          <w:rFonts w:cs="Arial"/>
          <w:b/>
          <w:sz w:val="28"/>
          <w:szCs w:val="28"/>
        </w:rPr>
      </w:pPr>
      <w:r>
        <w:rPr>
          <w:rFonts w:cs="Arial"/>
          <w:b/>
          <w:sz w:val="28"/>
          <w:szCs w:val="28"/>
        </w:rPr>
        <w:t>COPD review criteria</w:t>
      </w:r>
    </w:p>
    <w:p w14:paraId="154AA021" w14:textId="77777777" w:rsidR="000923BB" w:rsidRDefault="000923BB" w:rsidP="000923BB">
      <w:pPr>
        <w:pStyle w:val="Header"/>
        <w:jc w:val="center"/>
        <w:rPr>
          <w:rFonts w:cs="Arial"/>
          <w:b/>
          <w:sz w:val="28"/>
          <w:szCs w:val="28"/>
        </w:rPr>
      </w:pPr>
    </w:p>
    <w:p w14:paraId="6AEDD32C" w14:textId="77777777" w:rsidR="000923BB" w:rsidRPr="005C4790" w:rsidRDefault="000923BB" w:rsidP="000923BB">
      <w:pPr>
        <w:pStyle w:val="Header"/>
        <w:rPr>
          <w:rFonts w:cs="Arial"/>
          <w:b/>
          <w:sz w:val="28"/>
          <w:szCs w:val="28"/>
        </w:rPr>
      </w:pPr>
    </w:p>
    <w:p w14:paraId="40CB403C" w14:textId="77777777" w:rsidR="000923BB" w:rsidRDefault="000923BB" w:rsidP="000923BB">
      <w:pPr>
        <w:pStyle w:val="Header"/>
        <w:rPr>
          <w:rFonts w:cs="Arial"/>
          <w:sz w:val="22"/>
          <w:szCs w:val="22"/>
        </w:rPr>
      </w:pPr>
    </w:p>
    <w:p w14:paraId="506C245F" w14:textId="77777777" w:rsidR="000923BB" w:rsidRPr="00BD5625" w:rsidRDefault="000923BB" w:rsidP="000923BB">
      <w:pPr>
        <w:pStyle w:val="Header"/>
        <w:rPr>
          <w:rFonts w:cs="Arial"/>
          <w:b/>
          <w:sz w:val="22"/>
          <w:szCs w:val="22"/>
          <w:u w:val="single"/>
        </w:rPr>
      </w:pPr>
      <w:r w:rsidRPr="00BD5625">
        <w:rPr>
          <w:rFonts w:cs="Arial"/>
          <w:b/>
          <w:sz w:val="22"/>
          <w:szCs w:val="22"/>
          <w:u w:val="single"/>
        </w:rPr>
        <w:t>NICE definition of an exacerbation of COPD:</w:t>
      </w:r>
    </w:p>
    <w:p w14:paraId="5FBC43E6" w14:textId="77777777" w:rsidR="000923BB" w:rsidRPr="00BD5625" w:rsidRDefault="000923BB" w:rsidP="000923BB">
      <w:pPr>
        <w:pStyle w:val="Header"/>
        <w:rPr>
          <w:rFonts w:cs="Arial"/>
          <w:b/>
          <w:sz w:val="22"/>
          <w:szCs w:val="22"/>
          <w:u w:val="single"/>
        </w:rPr>
      </w:pPr>
    </w:p>
    <w:p w14:paraId="5485C444" w14:textId="77777777" w:rsidR="000923BB" w:rsidRPr="00BD5625" w:rsidRDefault="000923BB" w:rsidP="000923BB">
      <w:pPr>
        <w:pStyle w:val="Header"/>
        <w:rPr>
          <w:rFonts w:cs="Arial"/>
          <w:b/>
          <w:sz w:val="22"/>
          <w:szCs w:val="22"/>
          <w:u w:val="single"/>
        </w:rPr>
      </w:pPr>
    </w:p>
    <w:p w14:paraId="2AC74C41" w14:textId="77777777" w:rsidR="000923BB" w:rsidRPr="00BD5625" w:rsidRDefault="000923BB" w:rsidP="000923BB">
      <w:pPr>
        <w:pStyle w:val="Header"/>
        <w:rPr>
          <w:rFonts w:cs="Arial"/>
          <w:sz w:val="22"/>
          <w:szCs w:val="22"/>
        </w:rPr>
      </w:pPr>
      <w:r w:rsidRPr="00BD5625">
        <w:rPr>
          <w:rFonts w:cs="Arial"/>
          <w:sz w:val="22"/>
          <w:szCs w:val="22"/>
        </w:rPr>
        <w:t>ICD-10: J43, 44</w:t>
      </w:r>
    </w:p>
    <w:p w14:paraId="3AC53480" w14:textId="77777777" w:rsidR="000923BB" w:rsidRPr="00BD5625" w:rsidRDefault="000923BB" w:rsidP="000923BB">
      <w:pPr>
        <w:pStyle w:val="Header"/>
        <w:rPr>
          <w:rFonts w:cs="Arial"/>
          <w:b/>
          <w:sz w:val="22"/>
          <w:szCs w:val="22"/>
          <w:u w:val="single"/>
        </w:rPr>
      </w:pPr>
    </w:p>
    <w:p w14:paraId="3A7BF901" w14:textId="77777777" w:rsidR="000923BB" w:rsidRPr="00BD5625" w:rsidRDefault="000923BB" w:rsidP="000923BB">
      <w:pPr>
        <w:pStyle w:val="Header"/>
        <w:rPr>
          <w:rFonts w:cs="Arial"/>
          <w:b/>
          <w:sz w:val="22"/>
          <w:szCs w:val="22"/>
          <w:u w:val="single"/>
        </w:rPr>
      </w:pPr>
    </w:p>
    <w:p w14:paraId="410C616C" w14:textId="77777777" w:rsidR="000923BB" w:rsidRPr="00BD5625" w:rsidRDefault="000923BB" w:rsidP="000923BB">
      <w:pPr>
        <w:pStyle w:val="Header"/>
        <w:rPr>
          <w:rFonts w:cs="Arial"/>
          <w:i/>
          <w:sz w:val="22"/>
          <w:szCs w:val="22"/>
        </w:rPr>
      </w:pPr>
      <w:r w:rsidRPr="00BD5625">
        <w:rPr>
          <w:rFonts w:cs="Arial"/>
          <w:i/>
          <w:sz w:val="22"/>
          <w:szCs w:val="22"/>
        </w:rPr>
        <w:t>“An exacerbation is a sustained worsening of the patient’s symptoms from their usual stable state which is beyond normal day-to-day variations, and is acute in onset.  Commonly reported symptoms are worsening breathlessness, cough, increased sputum production and change in sputum colour.”</w:t>
      </w:r>
      <w:r>
        <w:rPr>
          <w:rFonts w:cs="Arial"/>
          <w:i/>
          <w:sz w:val="22"/>
          <w:szCs w:val="22"/>
        </w:rPr>
        <w:t xml:space="preserve"> [32]</w:t>
      </w:r>
    </w:p>
    <w:p w14:paraId="13023FB5" w14:textId="77777777" w:rsidR="000923BB" w:rsidRDefault="000923BB" w:rsidP="000923BB">
      <w:pPr>
        <w:pStyle w:val="Header"/>
        <w:rPr>
          <w:i/>
          <w:sz w:val="28"/>
        </w:rPr>
      </w:pPr>
    </w:p>
    <w:p w14:paraId="5852C391" w14:textId="77777777" w:rsidR="000923BB" w:rsidRDefault="000923BB" w:rsidP="000923BB">
      <w:pPr>
        <w:pStyle w:val="Header"/>
        <w:rPr>
          <w:sz w:val="28"/>
        </w:rPr>
      </w:pPr>
    </w:p>
    <w:p w14:paraId="7A257015" w14:textId="77777777" w:rsidR="000923BB" w:rsidRDefault="000923BB" w:rsidP="000923BB">
      <w:pPr>
        <w:pStyle w:val="Header"/>
        <w:rPr>
          <w:sz w:val="28"/>
        </w:rPr>
      </w:pPr>
    </w:p>
    <w:p w14:paraId="0949D0BD" w14:textId="77777777" w:rsidR="000923BB" w:rsidRDefault="000923BB" w:rsidP="000923BB">
      <w:pPr>
        <w:pStyle w:val="Header"/>
        <w:rPr>
          <w:sz w:val="28"/>
        </w:rPr>
      </w:pPr>
    </w:p>
    <w:p w14:paraId="6FD9A6EB" w14:textId="77777777" w:rsidR="000923BB" w:rsidRDefault="000923BB" w:rsidP="000923BB">
      <w:pPr>
        <w:pStyle w:val="Header"/>
        <w:rPr>
          <w:sz w:val="28"/>
        </w:rPr>
      </w:pPr>
    </w:p>
    <w:p w14:paraId="0BE5716C" w14:textId="77777777" w:rsidR="000923BB" w:rsidRPr="00DA5E13" w:rsidRDefault="000923BB" w:rsidP="000923BB">
      <w:pPr>
        <w:pStyle w:val="Header"/>
        <w:rPr>
          <w:b/>
          <w:u w:val="single"/>
        </w:rPr>
      </w:pPr>
      <w:r>
        <w:rPr>
          <w:b/>
          <w:sz w:val="32"/>
          <w:u w:val="single"/>
        </w:rPr>
        <w:br w:type="page"/>
      </w:r>
      <w:r w:rsidRPr="00DA5E13">
        <w:rPr>
          <w:b/>
          <w:u w:val="single"/>
        </w:rPr>
        <w:lastRenderedPageBreak/>
        <w:t>Key data</w:t>
      </w:r>
    </w:p>
    <w:p w14:paraId="7C3CED02" w14:textId="77777777" w:rsidR="000923BB" w:rsidRDefault="000923BB" w:rsidP="000923BB">
      <w:pPr>
        <w:pStyle w:val="Header"/>
        <w:tabs>
          <w:tab w:val="left" w:pos="2835"/>
          <w:tab w:val="left" w:pos="4820"/>
          <w:tab w:val="left" w:pos="6379"/>
          <w:tab w:val="left" w:pos="7371"/>
          <w:tab w:val="left" w:pos="9072"/>
        </w:tabs>
        <w:rPr>
          <w:sz w:val="28"/>
        </w:rPr>
      </w:pPr>
    </w:p>
    <w:p w14:paraId="485D6F72" w14:textId="77777777" w:rsidR="000923BB" w:rsidRDefault="000923BB" w:rsidP="000923BB">
      <w:pPr>
        <w:pStyle w:val="Header"/>
        <w:tabs>
          <w:tab w:val="left" w:pos="2835"/>
          <w:tab w:val="left" w:pos="4820"/>
          <w:tab w:val="left" w:pos="6379"/>
          <w:tab w:val="left" w:pos="7371"/>
          <w:tab w:val="left" w:pos="9072"/>
        </w:tabs>
        <w:rPr>
          <w:sz w:val="28"/>
        </w:rPr>
      </w:pPr>
    </w:p>
    <w:p w14:paraId="43893CDC" w14:textId="77777777" w:rsidR="000923BB" w:rsidRPr="00DA5E13" w:rsidRDefault="000923BB" w:rsidP="000923BB">
      <w:pPr>
        <w:pStyle w:val="Header"/>
        <w:tabs>
          <w:tab w:val="left" w:pos="2835"/>
          <w:tab w:val="left" w:pos="4820"/>
          <w:tab w:val="left" w:pos="6379"/>
          <w:tab w:val="left" w:pos="7371"/>
          <w:tab w:val="left" w:pos="9072"/>
        </w:tabs>
        <w:rPr>
          <w:sz w:val="22"/>
          <w:szCs w:val="22"/>
        </w:rPr>
      </w:pPr>
    </w:p>
    <w:p w14:paraId="02F0929A" w14:textId="5375ECD7" w:rsidR="000923BB" w:rsidRPr="00DA5E13" w:rsidRDefault="00003011" w:rsidP="000923BB">
      <w:pPr>
        <w:pStyle w:val="Header"/>
        <w:pBdr>
          <w:top w:val="dotted" w:sz="4" w:space="10" w:color="auto"/>
        </w:pBdr>
        <w:tabs>
          <w:tab w:val="left" w:pos="2835"/>
          <w:tab w:val="left" w:pos="4820"/>
          <w:tab w:val="left" w:pos="6379"/>
          <w:tab w:val="left" w:pos="7371"/>
          <w:tab w:val="left" w:pos="9072"/>
        </w:tabs>
        <w:rPr>
          <w:sz w:val="22"/>
          <w:szCs w:val="22"/>
        </w:rPr>
      </w:pPr>
      <w:r>
        <w:rPr>
          <w:noProof/>
          <w:sz w:val="22"/>
          <w:szCs w:val="22"/>
        </w:rPr>
        <mc:AlternateContent>
          <mc:Choice Requires="wps">
            <w:drawing>
              <wp:anchor distT="0" distB="0" distL="114300" distR="114300" simplePos="0" relativeHeight="252618752" behindDoc="0" locked="0" layoutInCell="0" allowOverlap="1" wp14:anchorId="62C6BD15" wp14:editId="7568E068">
                <wp:simplePos x="0" y="0"/>
                <wp:positionH relativeFrom="column">
                  <wp:posOffset>3075940</wp:posOffset>
                </wp:positionH>
                <wp:positionV relativeFrom="paragraph">
                  <wp:posOffset>121285</wp:posOffset>
                </wp:positionV>
                <wp:extent cx="1657350" cy="260985"/>
                <wp:effectExtent l="8890" t="8890" r="10160" b="6350"/>
                <wp:wrapNone/>
                <wp:docPr id="83" name="Rectangle 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60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83814" id="Rectangle 993" o:spid="_x0000_s1026" style="position:absolute;margin-left:242.2pt;margin-top:9.55pt;width:130.5pt;height:20.5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" o:allowincell="f"/>
            </w:pict>
          </mc:Fallback>
        </mc:AlternateContent>
      </w:r>
      <w:r w:rsidR="000923BB" w:rsidRPr="00DA5E13">
        <w:rPr>
          <w:sz w:val="22"/>
          <w:szCs w:val="22"/>
        </w:rPr>
        <w:t>1. Audit record number</w:t>
      </w:r>
      <w:r w:rsidR="000923BB" w:rsidRPr="00DA5E13">
        <w:rPr>
          <w:sz w:val="22"/>
          <w:szCs w:val="22"/>
        </w:rPr>
        <w:tab/>
      </w:r>
      <w:r w:rsidR="000923BB" w:rsidRPr="00DA5E13">
        <w:rPr>
          <w:sz w:val="22"/>
          <w:szCs w:val="22"/>
        </w:rPr>
        <w:tab/>
      </w:r>
    </w:p>
    <w:p w14:paraId="6234C6C8" w14:textId="77777777" w:rsidR="000923BB" w:rsidRPr="00DA5E13" w:rsidRDefault="000923BB" w:rsidP="000923BB">
      <w:pPr>
        <w:pStyle w:val="Header"/>
        <w:tabs>
          <w:tab w:val="left" w:pos="2835"/>
          <w:tab w:val="left" w:pos="4820"/>
          <w:tab w:val="left" w:pos="6379"/>
          <w:tab w:val="left" w:pos="7371"/>
          <w:tab w:val="left" w:pos="9072"/>
        </w:tabs>
        <w:rPr>
          <w:sz w:val="22"/>
          <w:szCs w:val="22"/>
        </w:rPr>
      </w:pPr>
      <w:r w:rsidRPr="00DA5E13">
        <w:rPr>
          <w:sz w:val="22"/>
          <w:szCs w:val="22"/>
        </w:rPr>
        <w:tab/>
      </w:r>
    </w:p>
    <w:p w14:paraId="1DBAC046" w14:textId="69CC6253" w:rsidR="000923BB" w:rsidRPr="00DA5E13" w:rsidRDefault="00003011" w:rsidP="000923BB">
      <w:pPr>
        <w:pStyle w:val="Header"/>
        <w:pBdr>
          <w:top w:val="dotted" w:sz="4" w:space="10" w:color="auto"/>
        </w:pBdr>
        <w:tabs>
          <w:tab w:val="left" w:pos="2835"/>
          <w:tab w:val="left" w:pos="4820"/>
          <w:tab w:val="left" w:pos="6379"/>
          <w:tab w:val="left" w:pos="7371"/>
          <w:tab w:val="left" w:pos="9072"/>
        </w:tabs>
        <w:rPr>
          <w:sz w:val="22"/>
          <w:szCs w:val="22"/>
        </w:rPr>
      </w:pPr>
      <w:r>
        <w:rPr>
          <w:noProof/>
          <w:sz w:val="22"/>
          <w:szCs w:val="22"/>
        </w:rPr>
        <mc:AlternateContent>
          <mc:Choice Requires="wps">
            <w:drawing>
              <wp:anchor distT="0" distB="0" distL="114300" distR="114300" simplePos="0" relativeHeight="252617728" behindDoc="0" locked="0" layoutInCell="0" allowOverlap="1" wp14:anchorId="7D50BB6C" wp14:editId="7558C6B7">
                <wp:simplePos x="0" y="0"/>
                <wp:positionH relativeFrom="column">
                  <wp:posOffset>3075940</wp:posOffset>
                </wp:positionH>
                <wp:positionV relativeFrom="paragraph">
                  <wp:posOffset>119380</wp:posOffset>
                </wp:positionV>
                <wp:extent cx="1657350" cy="260985"/>
                <wp:effectExtent l="8890" t="13970" r="10160" b="10795"/>
                <wp:wrapNone/>
                <wp:docPr id="82" name="Rectangle 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60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9AA55" id="Rectangle 992" o:spid="_x0000_s1026" style="position:absolute;margin-left:242.2pt;margin-top:9.4pt;width:130.5pt;height:20.5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" o:allowincell="f"/>
            </w:pict>
          </mc:Fallback>
        </mc:AlternateContent>
      </w:r>
      <w:r w:rsidR="000923BB" w:rsidRPr="00DA5E13">
        <w:rPr>
          <w:sz w:val="22"/>
          <w:szCs w:val="22"/>
        </w:rPr>
        <w:t>2. Hospital number</w:t>
      </w:r>
      <w:r w:rsidR="000923BB" w:rsidRPr="00DA5E13">
        <w:rPr>
          <w:sz w:val="22"/>
          <w:szCs w:val="22"/>
        </w:rPr>
        <w:tab/>
      </w:r>
      <w:r w:rsidR="000923BB" w:rsidRPr="00DA5E13">
        <w:rPr>
          <w:sz w:val="22"/>
          <w:szCs w:val="22"/>
        </w:rPr>
        <w:tab/>
      </w:r>
    </w:p>
    <w:p w14:paraId="206F1134" w14:textId="77777777" w:rsidR="000923BB" w:rsidRPr="00DA5E13" w:rsidRDefault="000923BB" w:rsidP="000923BB">
      <w:pPr>
        <w:pStyle w:val="Header"/>
        <w:tabs>
          <w:tab w:val="left" w:pos="2835"/>
          <w:tab w:val="left" w:pos="4820"/>
          <w:tab w:val="left" w:pos="6379"/>
          <w:tab w:val="left" w:pos="7371"/>
          <w:tab w:val="left" w:pos="9072"/>
        </w:tabs>
        <w:rPr>
          <w:sz w:val="22"/>
          <w:szCs w:val="22"/>
        </w:rPr>
      </w:pPr>
    </w:p>
    <w:p w14:paraId="5FF3AE36" w14:textId="40F4E9F8" w:rsidR="000923BB" w:rsidRPr="00DA5E13" w:rsidRDefault="00003011" w:rsidP="000923BB">
      <w:pPr>
        <w:pStyle w:val="Header"/>
        <w:pBdr>
          <w:top w:val="dotted" w:sz="4" w:space="10" w:color="auto"/>
        </w:pBdr>
        <w:tabs>
          <w:tab w:val="left" w:pos="2835"/>
          <w:tab w:val="left" w:pos="4820"/>
          <w:tab w:val="left" w:pos="6379"/>
          <w:tab w:val="left" w:pos="7371"/>
          <w:tab w:val="left" w:pos="9072"/>
        </w:tabs>
        <w:rPr>
          <w:sz w:val="22"/>
          <w:szCs w:val="22"/>
        </w:rPr>
      </w:pPr>
      <w:r>
        <w:rPr>
          <w:noProof/>
          <w:sz w:val="22"/>
          <w:szCs w:val="22"/>
        </w:rPr>
        <mc:AlternateContent>
          <mc:Choice Requires="wps">
            <w:drawing>
              <wp:anchor distT="0" distB="0" distL="114300" distR="114300" simplePos="0" relativeHeight="252625920" behindDoc="0" locked="0" layoutInCell="0" allowOverlap="1" wp14:anchorId="1D33148C" wp14:editId="273BECB7">
                <wp:simplePos x="0" y="0"/>
                <wp:positionH relativeFrom="column">
                  <wp:posOffset>3014980</wp:posOffset>
                </wp:positionH>
                <wp:positionV relativeFrom="paragraph">
                  <wp:posOffset>146685</wp:posOffset>
                </wp:positionV>
                <wp:extent cx="1657350" cy="260985"/>
                <wp:effectExtent l="5080" t="10160" r="13970" b="5080"/>
                <wp:wrapNone/>
                <wp:docPr id="81" name="Rectangle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60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D484F" id="Rectangle 1000" o:spid="_x0000_s1026" style="position:absolute;margin-left:237.4pt;margin-top:11.55pt;width:130.5pt;height:20.5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" o:allowincell="f"/>
            </w:pict>
          </mc:Fallback>
        </mc:AlternateContent>
      </w:r>
      <w:r w:rsidR="000923BB" w:rsidRPr="00DA5E13">
        <w:rPr>
          <w:sz w:val="22"/>
          <w:szCs w:val="22"/>
        </w:rPr>
        <w:t>3. Date of birth</w:t>
      </w:r>
      <w:r w:rsidR="000923BB" w:rsidRPr="00DA5E13">
        <w:rPr>
          <w:sz w:val="22"/>
          <w:szCs w:val="22"/>
        </w:rPr>
        <w:tab/>
      </w:r>
      <w:r w:rsidR="000923BB" w:rsidRPr="00DA5E13">
        <w:rPr>
          <w:sz w:val="22"/>
          <w:szCs w:val="22"/>
        </w:rPr>
        <w:tab/>
      </w:r>
    </w:p>
    <w:p w14:paraId="226F41E8" w14:textId="77777777" w:rsidR="000923BB" w:rsidRPr="00DA5E13" w:rsidRDefault="000923BB" w:rsidP="000923BB">
      <w:pPr>
        <w:pStyle w:val="Header"/>
        <w:pBdr>
          <w:top w:val="dotted" w:sz="4" w:space="10" w:color="auto"/>
        </w:pBdr>
        <w:tabs>
          <w:tab w:val="left" w:pos="2835"/>
          <w:tab w:val="left" w:pos="4820"/>
          <w:tab w:val="left" w:pos="6379"/>
          <w:tab w:val="left" w:pos="7371"/>
          <w:tab w:val="left" w:pos="9072"/>
        </w:tabs>
        <w:rPr>
          <w:sz w:val="22"/>
          <w:szCs w:val="22"/>
        </w:rPr>
      </w:pPr>
      <w:r w:rsidRPr="00DA5E13">
        <w:rPr>
          <w:sz w:val="22"/>
          <w:szCs w:val="22"/>
        </w:rPr>
        <w:tab/>
      </w:r>
      <w:r w:rsidRPr="00DA5E13">
        <w:rPr>
          <w:sz w:val="22"/>
          <w:szCs w:val="22"/>
        </w:rPr>
        <w:tab/>
      </w:r>
    </w:p>
    <w:p w14:paraId="21403787" w14:textId="77777777" w:rsidR="000923BB" w:rsidRPr="00DA5E13" w:rsidRDefault="000923BB" w:rsidP="000923BB">
      <w:pPr>
        <w:pStyle w:val="Header"/>
        <w:tabs>
          <w:tab w:val="left" w:pos="2835"/>
          <w:tab w:val="left" w:pos="4820"/>
          <w:tab w:val="left" w:pos="6379"/>
          <w:tab w:val="left" w:pos="7371"/>
          <w:tab w:val="left" w:pos="9072"/>
        </w:tabs>
        <w:rPr>
          <w:sz w:val="22"/>
          <w:szCs w:val="22"/>
        </w:rPr>
      </w:pPr>
    </w:p>
    <w:p w14:paraId="379EEC24" w14:textId="77777777" w:rsidR="000923BB" w:rsidRPr="00DA5E13" w:rsidRDefault="000923BB" w:rsidP="000923BB">
      <w:pPr>
        <w:pStyle w:val="Header"/>
        <w:pBdr>
          <w:top w:val="dotted" w:sz="4" w:space="10" w:color="auto"/>
        </w:pBdr>
        <w:tabs>
          <w:tab w:val="left" w:pos="2835"/>
          <w:tab w:val="left" w:pos="4820"/>
          <w:tab w:val="left" w:pos="6379"/>
          <w:tab w:val="left" w:pos="7371"/>
          <w:tab w:val="left" w:pos="9072"/>
        </w:tabs>
        <w:rPr>
          <w:sz w:val="22"/>
          <w:szCs w:val="22"/>
        </w:rPr>
      </w:pPr>
      <w:r w:rsidRPr="00DA5E13">
        <w:rPr>
          <w:sz w:val="22"/>
          <w:szCs w:val="22"/>
        </w:rPr>
        <w:t>4. Gender</w:t>
      </w:r>
      <w:r w:rsidRPr="00DA5E13">
        <w:rPr>
          <w:sz w:val="22"/>
          <w:szCs w:val="22"/>
        </w:rPr>
        <w:tab/>
      </w:r>
    </w:p>
    <w:p w14:paraId="66D60076" w14:textId="77777777" w:rsidR="000923BB" w:rsidRPr="00DA5E13" w:rsidRDefault="00513F76" w:rsidP="000923BB">
      <w:pPr>
        <w:pStyle w:val="Header"/>
        <w:pBdr>
          <w:top w:val="dotted" w:sz="4" w:space="10" w:color="auto"/>
        </w:pBdr>
        <w:tabs>
          <w:tab w:val="left" w:pos="2835"/>
          <w:tab w:val="left" w:pos="4820"/>
          <w:tab w:val="left" w:pos="6379"/>
          <w:tab w:val="left" w:pos="7371"/>
          <w:tab w:val="left" w:pos="9072"/>
        </w:tabs>
        <w:rPr>
          <w:sz w:val="22"/>
          <w:szCs w:val="22"/>
        </w:rPr>
      </w:pPr>
      <w:r>
        <w:rPr>
          <w:sz w:val="22"/>
          <w:szCs w:val="22"/>
        </w:rPr>
        <w:tab/>
      </w:r>
      <w:r>
        <w:rPr>
          <w:sz w:val="22"/>
          <w:szCs w:val="22"/>
        </w:rPr>
        <w:tab/>
      </w:r>
      <w:r>
        <w:rPr>
          <w:sz w:val="22"/>
          <w:szCs w:val="22"/>
        </w:rPr>
        <w:tab/>
      </w:r>
      <w:r w:rsidR="000923BB" w:rsidRPr="00DA5E13">
        <w:rPr>
          <w:sz w:val="22"/>
          <w:szCs w:val="22"/>
        </w:rPr>
        <w:t>male</w:t>
      </w:r>
      <w:r w:rsidR="000923BB" w:rsidRPr="00DA5E13">
        <w:rPr>
          <w:sz w:val="22"/>
          <w:szCs w:val="22"/>
        </w:rPr>
        <w:tab/>
      </w:r>
      <w:r w:rsidR="000923BB" w:rsidRPr="00DA5E13">
        <w:rPr>
          <w:sz w:val="22"/>
          <w:szCs w:val="22"/>
        </w:rPr>
        <w:sym w:font="Monotype Sorts" w:char="F071"/>
      </w:r>
    </w:p>
    <w:p w14:paraId="3ADC9179" w14:textId="77777777" w:rsidR="000923BB" w:rsidRPr="00DA5E13" w:rsidRDefault="00513F76" w:rsidP="000923BB">
      <w:pPr>
        <w:pStyle w:val="Header"/>
        <w:pBdr>
          <w:top w:val="dotted" w:sz="4" w:space="10" w:color="auto"/>
        </w:pBdr>
        <w:tabs>
          <w:tab w:val="left" w:pos="2835"/>
          <w:tab w:val="left" w:pos="4820"/>
          <w:tab w:val="left" w:pos="6379"/>
          <w:tab w:val="left" w:pos="7371"/>
          <w:tab w:val="left" w:pos="9072"/>
        </w:tabs>
        <w:rPr>
          <w:sz w:val="22"/>
          <w:szCs w:val="22"/>
        </w:rPr>
      </w:pPr>
      <w:r>
        <w:rPr>
          <w:sz w:val="22"/>
          <w:szCs w:val="22"/>
        </w:rPr>
        <w:tab/>
      </w:r>
      <w:r>
        <w:rPr>
          <w:sz w:val="22"/>
          <w:szCs w:val="22"/>
        </w:rPr>
        <w:tab/>
      </w:r>
      <w:r>
        <w:rPr>
          <w:sz w:val="22"/>
          <w:szCs w:val="22"/>
        </w:rPr>
        <w:tab/>
      </w:r>
      <w:r w:rsidR="000923BB" w:rsidRPr="00DA5E13">
        <w:rPr>
          <w:sz w:val="22"/>
          <w:szCs w:val="22"/>
        </w:rPr>
        <w:t>female</w:t>
      </w:r>
      <w:r w:rsidR="000923BB" w:rsidRPr="00DA5E13">
        <w:rPr>
          <w:sz w:val="22"/>
          <w:szCs w:val="22"/>
        </w:rPr>
        <w:tab/>
      </w:r>
      <w:r w:rsidR="000923BB" w:rsidRPr="00DA5E13">
        <w:rPr>
          <w:sz w:val="22"/>
          <w:szCs w:val="22"/>
        </w:rPr>
        <w:sym w:font="Monotype Sorts" w:char="F071"/>
      </w:r>
    </w:p>
    <w:p w14:paraId="3AC5AA4C" w14:textId="77777777" w:rsidR="000923BB" w:rsidRPr="00DA5E13" w:rsidRDefault="000923BB" w:rsidP="000923BB">
      <w:pPr>
        <w:pStyle w:val="Header"/>
        <w:tabs>
          <w:tab w:val="left" w:pos="2835"/>
          <w:tab w:val="left" w:pos="4820"/>
          <w:tab w:val="left" w:pos="6379"/>
          <w:tab w:val="left" w:pos="7371"/>
          <w:tab w:val="left" w:pos="9072"/>
        </w:tabs>
        <w:rPr>
          <w:sz w:val="22"/>
          <w:szCs w:val="22"/>
        </w:rPr>
      </w:pPr>
    </w:p>
    <w:p w14:paraId="4C22E932" w14:textId="7FEFA9A0" w:rsidR="000923BB" w:rsidRPr="00DA5E13" w:rsidRDefault="00003011" w:rsidP="000923BB">
      <w:pPr>
        <w:pStyle w:val="Header"/>
        <w:pBdr>
          <w:top w:val="dotted" w:sz="4" w:space="10" w:color="auto"/>
        </w:pBdr>
        <w:tabs>
          <w:tab w:val="left" w:pos="2835"/>
          <w:tab w:val="left" w:pos="4820"/>
          <w:tab w:val="left" w:pos="6379"/>
          <w:tab w:val="left" w:pos="7371"/>
          <w:tab w:val="left" w:pos="9072"/>
        </w:tabs>
        <w:rPr>
          <w:sz w:val="22"/>
          <w:szCs w:val="22"/>
        </w:rPr>
      </w:pPr>
      <w:r>
        <w:rPr>
          <w:noProof/>
          <w:sz w:val="22"/>
          <w:szCs w:val="22"/>
        </w:rPr>
        <mc:AlternateContent>
          <mc:Choice Requires="wps">
            <w:drawing>
              <wp:anchor distT="0" distB="0" distL="114300" distR="114300" simplePos="0" relativeHeight="252636160" behindDoc="0" locked="0" layoutInCell="0" allowOverlap="1" wp14:anchorId="4BA81181" wp14:editId="4A3F781C">
                <wp:simplePos x="0" y="0"/>
                <wp:positionH relativeFrom="column">
                  <wp:posOffset>3075940</wp:posOffset>
                </wp:positionH>
                <wp:positionV relativeFrom="paragraph">
                  <wp:posOffset>85090</wp:posOffset>
                </wp:positionV>
                <wp:extent cx="1657350" cy="260985"/>
                <wp:effectExtent l="8890" t="8890" r="10160" b="6350"/>
                <wp:wrapNone/>
                <wp:docPr id="80" name="Rectangle 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60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A087A" id="Rectangle 1010" o:spid="_x0000_s1026" style="position:absolute;margin-left:242.2pt;margin-top:6.7pt;width:130.5pt;height:20.5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" o:allowincell="f"/>
            </w:pict>
          </mc:Fallback>
        </mc:AlternateContent>
      </w:r>
      <w:r w:rsidR="000923BB" w:rsidRPr="00DA5E13">
        <w:rPr>
          <w:sz w:val="22"/>
          <w:szCs w:val="22"/>
        </w:rPr>
        <w:t>5. First part of patient’s postcode</w:t>
      </w:r>
      <w:r w:rsidR="000923BB" w:rsidRPr="00DA5E13">
        <w:rPr>
          <w:sz w:val="22"/>
          <w:szCs w:val="22"/>
        </w:rPr>
        <w:tab/>
      </w:r>
    </w:p>
    <w:p w14:paraId="7258F6DB" w14:textId="77777777" w:rsidR="000923BB" w:rsidRPr="00DA5E13" w:rsidRDefault="000923BB" w:rsidP="000923BB">
      <w:pPr>
        <w:pStyle w:val="Header"/>
        <w:pBdr>
          <w:top w:val="dotted" w:sz="4" w:space="10" w:color="auto"/>
        </w:pBdr>
        <w:tabs>
          <w:tab w:val="left" w:pos="2835"/>
          <w:tab w:val="left" w:pos="4820"/>
          <w:tab w:val="left" w:pos="6379"/>
          <w:tab w:val="left" w:pos="7371"/>
          <w:tab w:val="left" w:pos="9072"/>
        </w:tabs>
        <w:rPr>
          <w:sz w:val="22"/>
          <w:szCs w:val="22"/>
        </w:rPr>
      </w:pPr>
    </w:p>
    <w:p w14:paraId="5A032BA3" w14:textId="77777777" w:rsidR="000923BB" w:rsidRPr="00DA5E13" w:rsidRDefault="000923BB" w:rsidP="000923BB">
      <w:pPr>
        <w:pStyle w:val="Header"/>
        <w:tabs>
          <w:tab w:val="left" w:pos="2835"/>
          <w:tab w:val="left" w:pos="4820"/>
          <w:tab w:val="left" w:pos="6379"/>
          <w:tab w:val="left" w:pos="7371"/>
          <w:tab w:val="left" w:pos="9072"/>
        </w:tabs>
        <w:rPr>
          <w:sz w:val="22"/>
          <w:szCs w:val="22"/>
        </w:rPr>
      </w:pPr>
    </w:p>
    <w:p w14:paraId="46AE04A0" w14:textId="05DBD555" w:rsidR="000923BB" w:rsidRPr="00DA5E13" w:rsidRDefault="00003011" w:rsidP="000923BB">
      <w:pPr>
        <w:pStyle w:val="Header"/>
        <w:pBdr>
          <w:top w:val="dotted" w:sz="4" w:space="10" w:color="auto"/>
        </w:pBdr>
        <w:tabs>
          <w:tab w:val="left" w:pos="2835"/>
          <w:tab w:val="left" w:pos="4820"/>
          <w:tab w:val="left" w:pos="6379"/>
          <w:tab w:val="left" w:pos="7371"/>
          <w:tab w:val="left" w:pos="9072"/>
        </w:tabs>
        <w:rPr>
          <w:sz w:val="22"/>
          <w:szCs w:val="22"/>
        </w:rPr>
      </w:pPr>
      <w:r>
        <w:rPr>
          <w:noProof/>
          <w:sz w:val="22"/>
          <w:szCs w:val="22"/>
        </w:rPr>
        <mc:AlternateContent>
          <mc:Choice Requires="wps">
            <w:drawing>
              <wp:anchor distT="0" distB="0" distL="114300" distR="114300" simplePos="0" relativeHeight="252637184" behindDoc="0" locked="0" layoutInCell="0" allowOverlap="1" wp14:anchorId="09B4691E" wp14:editId="393A1F9E">
                <wp:simplePos x="0" y="0"/>
                <wp:positionH relativeFrom="column">
                  <wp:posOffset>3075940</wp:posOffset>
                </wp:positionH>
                <wp:positionV relativeFrom="paragraph">
                  <wp:posOffset>71755</wp:posOffset>
                </wp:positionV>
                <wp:extent cx="1657350" cy="260985"/>
                <wp:effectExtent l="8890" t="10795" r="10160" b="13970"/>
                <wp:wrapNone/>
                <wp:docPr id="79" name="Rectangle 1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60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1C38F" id="Rectangle 1011" o:spid="_x0000_s1026" style="position:absolute;margin-left:242.2pt;margin-top:5.65pt;width:130.5pt;height:20.5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" o:allowincell="f"/>
            </w:pict>
          </mc:Fallback>
        </mc:AlternateContent>
      </w:r>
      <w:r w:rsidR="000923BB" w:rsidRPr="00DA5E13">
        <w:rPr>
          <w:sz w:val="22"/>
          <w:szCs w:val="22"/>
        </w:rPr>
        <w:t>6. Date of this admission to hospital</w:t>
      </w:r>
      <w:r w:rsidR="000923BB" w:rsidRPr="00DA5E13">
        <w:rPr>
          <w:sz w:val="22"/>
          <w:szCs w:val="22"/>
        </w:rPr>
        <w:tab/>
      </w:r>
      <w:r w:rsidR="000923BB" w:rsidRPr="00DA5E13">
        <w:rPr>
          <w:sz w:val="22"/>
          <w:szCs w:val="22"/>
        </w:rPr>
        <w:tab/>
      </w:r>
    </w:p>
    <w:p w14:paraId="1CF443FF" w14:textId="77777777" w:rsidR="000923BB" w:rsidRPr="00DA5E13" w:rsidRDefault="000923BB" w:rsidP="000923BB">
      <w:pPr>
        <w:pStyle w:val="Header"/>
        <w:pBdr>
          <w:top w:val="dotted" w:sz="4" w:space="10" w:color="auto"/>
        </w:pBdr>
        <w:tabs>
          <w:tab w:val="left" w:pos="2835"/>
          <w:tab w:val="left" w:pos="4820"/>
          <w:tab w:val="left" w:pos="6379"/>
          <w:tab w:val="left" w:pos="7371"/>
          <w:tab w:val="left" w:pos="9072"/>
        </w:tabs>
        <w:rPr>
          <w:sz w:val="22"/>
          <w:szCs w:val="22"/>
        </w:rPr>
      </w:pPr>
    </w:p>
    <w:p w14:paraId="61E14741" w14:textId="77777777" w:rsidR="000923BB" w:rsidRPr="00DA5E13" w:rsidRDefault="000923BB" w:rsidP="000923BB">
      <w:pPr>
        <w:pStyle w:val="Header"/>
        <w:tabs>
          <w:tab w:val="left" w:pos="2835"/>
          <w:tab w:val="left" w:pos="4820"/>
          <w:tab w:val="left" w:pos="6379"/>
          <w:tab w:val="left" w:pos="7371"/>
          <w:tab w:val="left" w:pos="9072"/>
        </w:tabs>
        <w:rPr>
          <w:sz w:val="22"/>
          <w:szCs w:val="22"/>
        </w:rPr>
      </w:pPr>
    </w:p>
    <w:p w14:paraId="1A777C9B" w14:textId="77777777" w:rsidR="000923BB" w:rsidRPr="00DA5E13" w:rsidRDefault="000923BB" w:rsidP="000923BB">
      <w:pPr>
        <w:pStyle w:val="Header"/>
        <w:tabs>
          <w:tab w:val="left" w:pos="2835"/>
          <w:tab w:val="left" w:pos="4820"/>
          <w:tab w:val="left" w:pos="6379"/>
          <w:tab w:val="left" w:pos="7371"/>
          <w:tab w:val="left" w:pos="9072"/>
        </w:tabs>
        <w:rPr>
          <w:sz w:val="22"/>
          <w:szCs w:val="22"/>
        </w:rPr>
      </w:pPr>
    </w:p>
    <w:p w14:paraId="74F400AD" w14:textId="77777777" w:rsidR="000923BB" w:rsidRPr="00DA5E13" w:rsidRDefault="000923BB" w:rsidP="000923BB">
      <w:pPr>
        <w:pStyle w:val="Header"/>
        <w:pBdr>
          <w:top w:val="dotted" w:sz="4" w:space="10" w:color="auto"/>
        </w:pBdr>
        <w:tabs>
          <w:tab w:val="left" w:pos="2835"/>
          <w:tab w:val="left" w:pos="4820"/>
          <w:tab w:val="left" w:pos="6379"/>
          <w:tab w:val="left" w:pos="7371"/>
          <w:tab w:val="left" w:pos="9072"/>
        </w:tabs>
        <w:rPr>
          <w:sz w:val="22"/>
          <w:szCs w:val="22"/>
        </w:rPr>
      </w:pPr>
      <w:r w:rsidRPr="00DA5E13">
        <w:rPr>
          <w:sz w:val="22"/>
          <w:szCs w:val="22"/>
        </w:rPr>
        <w:t>7. Did the patient die during this admission</w:t>
      </w:r>
      <w:r w:rsidRPr="00DA5E13">
        <w:rPr>
          <w:sz w:val="22"/>
          <w:szCs w:val="22"/>
        </w:rPr>
        <w:tab/>
      </w:r>
    </w:p>
    <w:p w14:paraId="4FCAD9CB" w14:textId="77777777" w:rsidR="000923BB" w:rsidRPr="00DA5E13" w:rsidRDefault="00513F76" w:rsidP="000923BB">
      <w:pPr>
        <w:pStyle w:val="Header"/>
        <w:tabs>
          <w:tab w:val="left" w:pos="2835"/>
          <w:tab w:val="left" w:pos="4820"/>
          <w:tab w:val="left" w:pos="6379"/>
          <w:tab w:val="left" w:pos="7371"/>
          <w:tab w:val="left" w:pos="9072"/>
        </w:tabs>
        <w:ind w:left="720"/>
        <w:rPr>
          <w:sz w:val="22"/>
          <w:szCs w:val="22"/>
        </w:rPr>
      </w:pPr>
      <w:r>
        <w:rPr>
          <w:sz w:val="22"/>
          <w:szCs w:val="22"/>
        </w:rPr>
        <w:tab/>
      </w:r>
      <w:r>
        <w:rPr>
          <w:sz w:val="22"/>
          <w:szCs w:val="22"/>
        </w:rPr>
        <w:tab/>
      </w:r>
      <w:r>
        <w:rPr>
          <w:sz w:val="22"/>
          <w:szCs w:val="22"/>
        </w:rPr>
        <w:tab/>
      </w:r>
      <w:r w:rsidR="000923BB" w:rsidRPr="00DA5E13">
        <w:rPr>
          <w:sz w:val="22"/>
          <w:szCs w:val="22"/>
        </w:rPr>
        <w:t>yes</w:t>
      </w:r>
      <w:r w:rsidR="000923BB" w:rsidRPr="00DA5E13">
        <w:rPr>
          <w:sz w:val="22"/>
          <w:szCs w:val="22"/>
        </w:rPr>
        <w:tab/>
      </w:r>
      <w:r w:rsidR="000923BB" w:rsidRPr="00DA5E13">
        <w:rPr>
          <w:sz w:val="22"/>
          <w:szCs w:val="22"/>
        </w:rPr>
        <w:sym w:font="Monotype Sorts" w:char="F071"/>
      </w:r>
    </w:p>
    <w:p w14:paraId="34121EC8" w14:textId="77777777" w:rsidR="000923BB" w:rsidRPr="00DA5E13" w:rsidRDefault="00513F76" w:rsidP="000923BB">
      <w:pPr>
        <w:pStyle w:val="Header"/>
        <w:tabs>
          <w:tab w:val="left" w:pos="2835"/>
          <w:tab w:val="left" w:pos="4820"/>
          <w:tab w:val="left" w:pos="6379"/>
          <w:tab w:val="left" w:pos="7371"/>
          <w:tab w:val="left" w:pos="9072"/>
        </w:tabs>
        <w:rPr>
          <w:sz w:val="22"/>
          <w:szCs w:val="22"/>
        </w:rPr>
      </w:pPr>
      <w:r>
        <w:rPr>
          <w:sz w:val="22"/>
          <w:szCs w:val="22"/>
        </w:rPr>
        <w:tab/>
      </w:r>
      <w:r>
        <w:rPr>
          <w:sz w:val="22"/>
          <w:szCs w:val="22"/>
        </w:rPr>
        <w:tab/>
      </w:r>
      <w:r>
        <w:rPr>
          <w:sz w:val="22"/>
          <w:szCs w:val="22"/>
        </w:rPr>
        <w:tab/>
      </w:r>
      <w:r w:rsidR="000923BB" w:rsidRPr="00DA5E13">
        <w:rPr>
          <w:sz w:val="22"/>
          <w:szCs w:val="22"/>
        </w:rPr>
        <w:t>no</w:t>
      </w:r>
      <w:r w:rsidR="000923BB" w:rsidRPr="00DA5E13">
        <w:rPr>
          <w:sz w:val="22"/>
          <w:szCs w:val="22"/>
        </w:rPr>
        <w:tab/>
      </w:r>
      <w:r w:rsidR="000923BB" w:rsidRPr="00DA5E13">
        <w:rPr>
          <w:sz w:val="22"/>
          <w:szCs w:val="22"/>
        </w:rPr>
        <w:sym w:font="Monotype Sorts" w:char="F071"/>
      </w:r>
    </w:p>
    <w:p w14:paraId="3633B6EC" w14:textId="77777777" w:rsidR="000923BB" w:rsidRPr="00DA5E13" w:rsidRDefault="000923BB" w:rsidP="000923BB">
      <w:pPr>
        <w:pStyle w:val="Header"/>
        <w:tabs>
          <w:tab w:val="left" w:pos="2835"/>
          <w:tab w:val="left" w:pos="4820"/>
          <w:tab w:val="left" w:pos="6379"/>
          <w:tab w:val="left" w:pos="7371"/>
          <w:tab w:val="left" w:pos="9072"/>
        </w:tabs>
        <w:rPr>
          <w:sz w:val="22"/>
          <w:szCs w:val="22"/>
        </w:rPr>
      </w:pPr>
      <w:r w:rsidRPr="00DA5E13">
        <w:rPr>
          <w:sz w:val="22"/>
          <w:szCs w:val="22"/>
        </w:rPr>
        <w:tab/>
      </w:r>
      <w:r w:rsidRPr="00DA5E13">
        <w:rPr>
          <w:sz w:val="22"/>
          <w:szCs w:val="22"/>
        </w:rPr>
        <w:tab/>
      </w:r>
      <w:r w:rsidRPr="00DA5E13">
        <w:rPr>
          <w:sz w:val="22"/>
          <w:szCs w:val="22"/>
        </w:rPr>
        <w:tab/>
      </w:r>
      <w:r w:rsidRPr="00DA5E13">
        <w:rPr>
          <w:sz w:val="22"/>
          <w:szCs w:val="22"/>
        </w:rPr>
        <w:tab/>
      </w:r>
    </w:p>
    <w:p w14:paraId="78FD5485" w14:textId="77777777" w:rsidR="000923BB" w:rsidRPr="00DA5E13" w:rsidRDefault="000923BB" w:rsidP="000923BB">
      <w:pPr>
        <w:pStyle w:val="Header"/>
        <w:tabs>
          <w:tab w:val="left" w:pos="2835"/>
          <w:tab w:val="left" w:pos="4820"/>
          <w:tab w:val="left" w:pos="6379"/>
          <w:tab w:val="left" w:pos="7371"/>
          <w:tab w:val="left" w:pos="9072"/>
        </w:tabs>
        <w:ind w:left="720"/>
        <w:rPr>
          <w:sz w:val="22"/>
          <w:szCs w:val="22"/>
        </w:rPr>
      </w:pPr>
      <w:r w:rsidRPr="00DA5E13">
        <w:rPr>
          <w:sz w:val="22"/>
          <w:szCs w:val="22"/>
        </w:rPr>
        <w:t>If yes, was the recorded cause of death</w:t>
      </w:r>
      <w:r w:rsidRPr="00DA5E13">
        <w:rPr>
          <w:sz w:val="22"/>
          <w:szCs w:val="22"/>
        </w:rPr>
        <w:tab/>
      </w:r>
    </w:p>
    <w:p w14:paraId="29A07BE3" w14:textId="77777777" w:rsidR="000923BB" w:rsidRPr="00DA5E13" w:rsidRDefault="00513F76" w:rsidP="000923BB">
      <w:pPr>
        <w:pStyle w:val="Header"/>
        <w:tabs>
          <w:tab w:val="left" w:pos="2835"/>
          <w:tab w:val="left" w:pos="4111"/>
          <w:tab w:val="left" w:pos="6379"/>
          <w:tab w:val="left" w:pos="7371"/>
          <w:tab w:val="left" w:pos="9072"/>
        </w:tabs>
        <w:ind w:left="720"/>
        <w:rPr>
          <w:sz w:val="22"/>
          <w:szCs w:val="22"/>
        </w:rPr>
      </w:pPr>
      <w:r>
        <w:rPr>
          <w:sz w:val="22"/>
          <w:szCs w:val="22"/>
        </w:rPr>
        <w:tab/>
      </w:r>
      <w:r w:rsidR="000923BB" w:rsidRPr="00DA5E13">
        <w:rPr>
          <w:sz w:val="22"/>
          <w:szCs w:val="22"/>
        </w:rPr>
        <w:t>COPD or complications of COPD</w:t>
      </w:r>
      <w:r w:rsidR="000923BB" w:rsidRPr="00DA5E13">
        <w:rPr>
          <w:sz w:val="22"/>
          <w:szCs w:val="22"/>
        </w:rPr>
        <w:tab/>
      </w:r>
      <w:r w:rsidR="000923BB" w:rsidRPr="00DA5E13">
        <w:rPr>
          <w:sz w:val="22"/>
          <w:szCs w:val="22"/>
        </w:rPr>
        <w:sym w:font="Monotype Sorts" w:char="F071"/>
      </w:r>
    </w:p>
    <w:p w14:paraId="0CBD79D3" w14:textId="77777777" w:rsidR="000923BB" w:rsidRPr="00DA5E13" w:rsidRDefault="00513F76" w:rsidP="000923BB">
      <w:pPr>
        <w:pStyle w:val="Header"/>
        <w:tabs>
          <w:tab w:val="left" w:pos="2835"/>
          <w:tab w:val="left" w:pos="4111"/>
          <w:tab w:val="left" w:pos="6379"/>
          <w:tab w:val="left" w:pos="7371"/>
          <w:tab w:val="left" w:pos="9072"/>
        </w:tabs>
        <w:ind w:left="720"/>
        <w:rPr>
          <w:sz w:val="22"/>
          <w:szCs w:val="22"/>
        </w:rPr>
      </w:pPr>
      <w:r>
        <w:rPr>
          <w:sz w:val="22"/>
          <w:szCs w:val="22"/>
        </w:rPr>
        <w:tab/>
        <w:t>other cause(s)</w:t>
      </w:r>
      <w:r>
        <w:rPr>
          <w:sz w:val="22"/>
          <w:szCs w:val="22"/>
        </w:rPr>
        <w:tab/>
      </w:r>
      <w:r>
        <w:rPr>
          <w:sz w:val="22"/>
          <w:szCs w:val="22"/>
        </w:rPr>
        <w:tab/>
      </w:r>
      <w:r w:rsidR="000923BB" w:rsidRPr="00DA5E13">
        <w:rPr>
          <w:sz w:val="22"/>
          <w:szCs w:val="22"/>
        </w:rPr>
        <w:sym w:font="Monotype Sorts" w:char="F071"/>
      </w:r>
    </w:p>
    <w:p w14:paraId="5BF75CA2" w14:textId="77777777" w:rsidR="000923BB" w:rsidRPr="00DA5E13" w:rsidRDefault="00513F76" w:rsidP="000923BB">
      <w:pPr>
        <w:pStyle w:val="Header"/>
        <w:tabs>
          <w:tab w:val="left" w:pos="2835"/>
          <w:tab w:val="left" w:pos="4111"/>
          <w:tab w:val="left" w:pos="6379"/>
          <w:tab w:val="left" w:pos="7371"/>
          <w:tab w:val="left" w:pos="9072"/>
        </w:tabs>
        <w:ind w:left="720"/>
        <w:rPr>
          <w:sz w:val="22"/>
          <w:szCs w:val="22"/>
        </w:rPr>
      </w:pPr>
      <w:r>
        <w:rPr>
          <w:sz w:val="22"/>
          <w:szCs w:val="22"/>
        </w:rPr>
        <w:tab/>
      </w:r>
      <w:r w:rsidR="000923BB" w:rsidRPr="00DA5E13">
        <w:rPr>
          <w:sz w:val="22"/>
          <w:szCs w:val="22"/>
        </w:rPr>
        <w:t>not recorded</w:t>
      </w:r>
      <w:r w:rsidR="000923BB" w:rsidRPr="00DA5E13">
        <w:rPr>
          <w:sz w:val="22"/>
          <w:szCs w:val="22"/>
        </w:rPr>
        <w:tab/>
      </w:r>
      <w:r w:rsidR="000923BB" w:rsidRPr="00DA5E13">
        <w:rPr>
          <w:sz w:val="22"/>
          <w:szCs w:val="22"/>
        </w:rPr>
        <w:tab/>
      </w:r>
      <w:r w:rsidR="000923BB" w:rsidRPr="00DA5E13">
        <w:rPr>
          <w:sz w:val="22"/>
          <w:szCs w:val="22"/>
        </w:rPr>
        <w:tab/>
      </w:r>
      <w:r w:rsidR="000923BB" w:rsidRPr="00DA5E13">
        <w:rPr>
          <w:sz w:val="22"/>
          <w:szCs w:val="22"/>
        </w:rPr>
        <w:sym w:font="Monotype Sorts" w:char="F071"/>
      </w:r>
    </w:p>
    <w:p w14:paraId="3BA9898B" w14:textId="77777777" w:rsidR="000923BB" w:rsidRPr="00DA5E13" w:rsidRDefault="000923BB" w:rsidP="000923BB">
      <w:pPr>
        <w:pStyle w:val="Header"/>
        <w:tabs>
          <w:tab w:val="left" w:pos="2835"/>
          <w:tab w:val="left" w:pos="4111"/>
          <w:tab w:val="left" w:pos="6379"/>
          <w:tab w:val="left" w:pos="7371"/>
          <w:tab w:val="left" w:pos="9072"/>
        </w:tabs>
        <w:ind w:left="720"/>
        <w:rPr>
          <w:sz w:val="22"/>
          <w:szCs w:val="22"/>
        </w:rPr>
      </w:pPr>
    </w:p>
    <w:p w14:paraId="720E7967" w14:textId="77777777" w:rsidR="000923BB" w:rsidRPr="00DA5E13" w:rsidRDefault="000923BB" w:rsidP="000923BB">
      <w:pPr>
        <w:pStyle w:val="Header"/>
        <w:pBdr>
          <w:top w:val="dotted" w:sz="4" w:space="10" w:color="auto"/>
        </w:pBdr>
        <w:tabs>
          <w:tab w:val="left" w:pos="2835"/>
          <w:tab w:val="left" w:pos="4820"/>
          <w:tab w:val="left" w:pos="6379"/>
          <w:tab w:val="left" w:pos="7371"/>
          <w:tab w:val="left" w:pos="9072"/>
        </w:tabs>
        <w:rPr>
          <w:sz w:val="22"/>
          <w:szCs w:val="22"/>
        </w:rPr>
      </w:pPr>
      <w:r w:rsidRPr="00DA5E13">
        <w:rPr>
          <w:sz w:val="22"/>
          <w:szCs w:val="22"/>
        </w:rPr>
        <w:t>8. Date of discharge from hospital (or death if applicable)</w:t>
      </w:r>
      <w:r w:rsidRPr="00DA5E13">
        <w:rPr>
          <w:sz w:val="22"/>
          <w:szCs w:val="22"/>
        </w:rPr>
        <w:tab/>
      </w:r>
      <w:r w:rsidRPr="00DA5E13">
        <w:rPr>
          <w:sz w:val="22"/>
          <w:szCs w:val="22"/>
        </w:rPr>
        <w:tab/>
      </w:r>
      <w:r w:rsidRPr="00DA5E13">
        <w:rPr>
          <w:sz w:val="22"/>
          <w:szCs w:val="22"/>
        </w:rPr>
        <w:tab/>
      </w:r>
    </w:p>
    <w:p w14:paraId="30545171" w14:textId="6C568DB1" w:rsidR="000923BB" w:rsidRPr="00DA5E13" w:rsidRDefault="00003011" w:rsidP="000923BB">
      <w:pPr>
        <w:pStyle w:val="Header"/>
        <w:pBdr>
          <w:top w:val="dotted" w:sz="4" w:space="10" w:color="auto"/>
        </w:pBdr>
        <w:tabs>
          <w:tab w:val="left" w:pos="2835"/>
          <w:tab w:val="left" w:pos="4820"/>
          <w:tab w:val="left" w:pos="6379"/>
          <w:tab w:val="left" w:pos="7371"/>
          <w:tab w:val="left" w:pos="9072"/>
        </w:tabs>
        <w:rPr>
          <w:sz w:val="22"/>
          <w:szCs w:val="22"/>
        </w:rPr>
      </w:pPr>
      <w:r>
        <w:rPr>
          <w:noProof/>
          <w:sz w:val="22"/>
          <w:szCs w:val="22"/>
        </w:rPr>
        <mc:AlternateContent>
          <mc:Choice Requires="wps">
            <w:drawing>
              <wp:anchor distT="0" distB="0" distL="114300" distR="114300" simplePos="0" relativeHeight="252638208" behindDoc="0" locked="0" layoutInCell="0" allowOverlap="1" wp14:anchorId="693162E9" wp14:editId="14145D93">
                <wp:simplePos x="0" y="0"/>
                <wp:positionH relativeFrom="column">
                  <wp:posOffset>2110105</wp:posOffset>
                </wp:positionH>
                <wp:positionV relativeFrom="paragraph">
                  <wp:posOffset>154305</wp:posOffset>
                </wp:positionV>
                <wp:extent cx="1657350" cy="260985"/>
                <wp:effectExtent l="5080" t="10795" r="13970" b="13970"/>
                <wp:wrapNone/>
                <wp:docPr id="78" name="Rectangle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60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91C46" id="Rectangle 1012" o:spid="_x0000_s1026" style="position:absolute;margin-left:166.15pt;margin-top:12.15pt;width:130.5pt;height:20.5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" o:allowincell="f"/>
            </w:pict>
          </mc:Fallback>
        </mc:AlternateContent>
      </w:r>
    </w:p>
    <w:p w14:paraId="2DC51A9E" w14:textId="77777777" w:rsidR="000923BB" w:rsidRPr="00DA5E13" w:rsidRDefault="000923BB" w:rsidP="000923BB">
      <w:pPr>
        <w:rPr>
          <w:sz w:val="22"/>
          <w:szCs w:val="22"/>
        </w:rPr>
      </w:pPr>
    </w:p>
    <w:p w14:paraId="7D9AEC92" w14:textId="77777777" w:rsidR="000923BB" w:rsidRPr="00DA5E13" w:rsidRDefault="000923BB" w:rsidP="000923BB">
      <w:pPr>
        <w:pStyle w:val="Header"/>
        <w:pBdr>
          <w:top w:val="dotted" w:sz="4" w:space="10" w:color="auto"/>
        </w:pBdr>
        <w:tabs>
          <w:tab w:val="left" w:pos="2835"/>
          <w:tab w:val="left" w:pos="4820"/>
          <w:tab w:val="left" w:pos="6379"/>
          <w:tab w:val="left" w:pos="7371"/>
          <w:tab w:val="left" w:pos="9072"/>
        </w:tabs>
        <w:rPr>
          <w:sz w:val="22"/>
          <w:szCs w:val="22"/>
        </w:rPr>
      </w:pPr>
      <w:r w:rsidRPr="00DA5E13">
        <w:rPr>
          <w:sz w:val="22"/>
          <w:szCs w:val="22"/>
        </w:rPr>
        <w:t>9. Was the patient accepted by an early discharge</w:t>
      </w:r>
      <w:r w:rsidRPr="00DA5E13">
        <w:rPr>
          <w:sz w:val="22"/>
          <w:szCs w:val="22"/>
        </w:rPr>
        <w:br/>
        <w:t>(or hospital at home) scheme?</w:t>
      </w:r>
      <w:r w:rsidRPr="00DA5E13">
        <w:rPr>
          <w:sz w:val="22"/>
          <w:szCs w:val="22"/>
        </w:rPr>
        <w:tab/>
      </w:r>
      <w:r w:rsidRPr="00DA5E13">
        <w:rPr>
          <w:sz w:val="22"/>
          <w:szCs w:val="22"/>
        </w:rPr>
        <w:tab/>
      </w:r>
      <w:r w:rsidRPr="00DA5E13">
        <w:rPr>
          <w:sz w:val="22"/>
          <w:szCs w:val="22"/>
        </w:rPr>
        <w:tab/>
        <w:t>yes</w:t>
      </w:r>
      <w:r w:rsidRPr="00DA5E13">
        <w:rPr>
          <w:sz w:val="22"/>
          <w:szCs w:val="22"/>
        </w:rPr>
        <w:tab/>
      </w:r>
      <w:r w:rsidRPr="00DA5E13">
        <w:rPr>
          <w:sz w:val="22"/>
          <w:szCs w:val="22"/>
        </w:rPr>
        <w:sym w:font="Monotype Sorts" w:char="F071"/>
      </w:r>
    </w:p>
    <w:p w14:paraId="3B72A0B0" w14:textId="77777777" w:rsidR="000923BB" w:rsidRPr="00DA5E13" w:rsidRDefault="000923BB" w:rsidP="000923BB">
      <w:pPr>
        <w:pStyle w:val="Header"/>
        <w:tabs>
          <w:tab w:val="left" w:pos="2835"/>
          <w:tab w:val="left" w:pos="4820"/>
          <w:tab w:val="left" w:pos="6379"/>
          <w:tab w:val="left" w:pos="7371"/>
          <w:tab w:val="left" w:pos="9072"/>
        </w:tabs>
        <w:rPr>
          <w:sz w:val="22"/>
          <w:szCs w:val="22"/>
        </w:rPr>
      </w:pPr>
      <w:r w:rsidRPr="00DA5E13">
        <w:rPr>
          <w:sz w:val="22"/>
          <w:szCs w:val="22"/>
        </w:rPr>
        <w:tab/>
      </w:r>
      <w:r w:rsidRPr="00DA5E13">
        <w:rPr>
          <w:sz w:val="22"/>
          <w:szCs w:val="22"/>
        </w:rPr>
        <w:tab/>
      </w:r>
      <w:r w:rsidRPr="00DA5E13">
        <w:rPr>
          <w:sz w:val="22"/>
          <w:szCs w:val="22"/>
        </w:rPr>
        <w:tab/>
      </w:r>
      <w:r w:rsidRPr="00DA5E13">
        <w:rPr>
          <w:sz w:val="22"/>
          <w:szCs w:val="22"/>
        </w:rPr>
        <w:tab/>
        <w:t>no</w:t>
      </w:r>
      <w:r w:rsidRPr="00DA5E13">
        <w:rPr>
          <w:sz w:val="22"/>
          <w:szCs w:val="22"/>
        </w:rPr>
        <w:tab/>
      </w:r>
      <w:r w:rsidRPr="00DA5E13">
        <w:rPr>
          <w:sz w:val="22"/>
          <w:szCs w:val="22"/>
        </w:rPr>
        <w:sym w:font="Monotype Sorts" w:char="F071"/>
      </w:r>
    </w:p>
    <w:p w14:paraId="378B5F52" w14:textId="77777777" w:rsidR="000923BB" w:rsidRPr="00DA5E13" w:rsidRDefault="00513F76" w:rsidP="000923BB">
      <w:pPr>
        <w:pStyle w:val="Header"/>
        <w:tabs>
          <w:tab w:val="left" w:pos="2835"/>
          <w:tab w:val="left" w:pos="4820"/>
          <w:tab w:val="left" w:pos="6379"/>
          <w:tab w:val="left" w:pos="7371"/>
          <w:tab w:val="left" w:pos="9072"/>
        </w:tabs>
        <w:rPr>
          <w:sz w:val="22"/>
          <w:szCs w:val="22"/>
        </w:rPr>
      </w:pPr>
      <w:r>
        <w:rPr>
          <w:sz w:val="22"/>
          <w:szCs w:val="22"/>
        </w:rPr>
        <w:tab/>
      </w:r>
      <w:r>
        <w:rPr>
          <w:sz w:val="22"/>
          <w:szCs w:val="22"/>
        </w:rPr>
        <w:tab/>
      </w:r>
      <w:r>
        <w:rPr>
          <w:sz w:val="22"/>
          <w:szCs w:val="22"/>
        </w:rPr>
        <w:tab/>
      </w:r>
      <w:r w:rsidR="000923BB" w:rsidRPr="00DA5E13">
        <w:rPr>
          <w:sz w:val="22"/>
          <w:szCs w:val="22"/>
        </w:rPr>
        <w:t>not applicable</w:t>
      </w:r>
      <w:r w:rsidR="000923BB" w:rsidRPr="00DA5E13">
        <w:rPr>
          <w:sz w:val="22"/>
          <w:szCs w:val="22"/>
        </w:rPr>
        <w:tab/>
      </w:r>
      <w:r w:rsidR="000923BB" w:rsidRPr="00DA5E13">
        <w:rPr>
          <w:sz w:val="22"/>
          <w:szCs w:val="22"/>
        </w:rPr>
        <w:sym w:font="Monotype Sorts" w:char="F071"/>
      </w:r>
    </w:p>
    <w:p w14:paraId="78D4AF64" w14:textId="77777777" w:rsidR="000923BB" w:rsidRPr="00DA5E13" w:rsidRDefault="000923BB" w:rsidP="000923BB">
      <w:pPr>
        <w:pStyle w:val="Header"/>
        <w:tabs>
          <w:tab w:val="left" w:pos="2835"/>
          <w:tab w:val="left" w:pos="4820"/>
          <w:tab w:val="left" w:pos="6379"/>
          <w:tab w:val="left" w:pos="7371"/>
          <w:tab w:val="left" w:pos="9072"/>
        </w:tabs>
        <w:ind w:left="2835"/>
        <w:rPr>
          <w:sz w:val="22"/>
          <w:szCs w:val="22"/>
        </w:rPr>
      </w:pPr>
      <w:r w:rsidRPr="00DA5E13">
        <w:rPr>
          <w:sz w:val="22"/>
          <w:szCs w:val="22"/>
        </w:rPr>
        <w:tab/>
      </w:r>
    </w:p>
    <w:p w14:paraId="12599108" w14:textId="77777777" w:rsidR="000923BB" w:rsidRPr="00DA5E13" w:rsidRDefault="000923BB" w:rsidP="000923BB">
      <w:pPr>
        <w:pStyle w:val="Header"/>
        <w:pBdr>
          <w:top w:val="dotted" w:sz="4" w:space="10" w:color="auto"/>
        </w:pBdr>
        <w:tabs>
          <w:tab w:val="left" w:pos="2835"/>
          <w:tab w:val="left" w:pos="4820"/>
          <w:tab w:val="left" w:pos="6379"/>
          <w:tab w:val="left" w:pos="7371"/>
          <w:tab w:val="left" w:pos="9072"/>
        </w:tabs>
        <w:ind w:left="426" w:hanging="568"/>
        <w:rPr>
          <w:noProof/>
          <w:sz w:val="22"/>
          <w:szCs w:val="22"/>
        </w:rPr>
      </w:pPr>
      <w:r w:rsidRPr="00DA5E13">
        <w:rPr>
          <w:noProof/>
          <w:sz w:val="22"/>
          <w:szCs w:val="22"/>
        </w:rPr>
        <w:t>10.</w:t>
      </w:r>
      <w:r w:rsidRPr="00DA5E13">
        <w:rPr>
          <w:noProof/>
          <w:sz w:val="22"/>
          <w:szCs w:val="22"/>
        </w:rPr>
        <w:tab/>
        <w:t xml:space="preserve"> Prior to this admission, has the patient previously been admitted</w:t>
      </w:r>
      <w:r w:rsidRPr="00DA5E13">
        <w:rPr>
          <w:noProof/>
          <w:sz w:val="22"/>
          <w:szCs w:val="22"/>
        </w:rPr>
        <w:br/>
        <w:t>to hospital for COPD or accepted onto an early discharge scheme?</w:t>
      </w:r>
      <w:r w:rsidRPr="00DA5E13">
        <w:rPr>
          <w:noProof/>
          <w:sz w:val="22"/>
          <w:szCs w:val="22"/>
        </w:rPr>
        <w:tab/>
      </w:r>
    </w:p>
    <w:p w14:paraId="111DA392" w14:textId="77777777" w:rsidR="000923BB" w:rsidRPr="00DA5E13" w:rsidRDefault="000923BB" w:rsidP="000923BB">
      <w:pPr>
        <w:rPr>
          <w:sz w:val="22"/>
          <w:szCs w:val="22"/>
        </w:rPr>
      </w:pPr>
    </w:p>
    <w:p w14:paraId="3918CC57" w14:textId="77777777" w:rsidR="000923BB" w:rsidRPr="00DA5E13" w:rsidRDefault="00513F76" w:rsidP="000923BB">
      <w:pPr>
        <w:pStyle w:val="Header"/>
        <w:tabs>
          <w:tab w:val="left" w:pos="2835"/>
          <w:tab w:val="left" w:pos="4820"/>
          <w:tab w:val="left" w:pos="6379"/>
          <w:tab w:val="left" w:pos="7371"/>
          <w:tab w:val="left" w:pos="9072"/>
        </w:tabs>
        <w:ind w:left="720"/>
        <w:rPr>
          <w:sz w:val="22"/>
          <w:szCs w:val="22"/>
        </w:rPr>
      </w:pPr>
      <w:r>
        <w:rPr>
          <w:sz w:val="22"/>
          <w:szCs w:val="22"/>
        </w:rPr>
        <w:lastRenderedPageBreak/>
        <w:tab/>
      </w:r>
      <w:r>
        <w:rPr>
          <w:sz w:val="22"/>
          <w:szCs w:val="22"/>
        </w:rPr>
        <w:tab/>
      </w:r>
      <w:r>
        <w:rPr>
          <w:sz w:val="22"/>
          <w:szCs w:val="22"/>
        </w:rPr>
        <w:tab/>
      </w:r>
      <w:r w:rsidR="000923BB" w:rsidRPr="00DA5E13">
        <w:rPr>
          <w:sz w:val="22"/>
          <w:szCs w:val="22"/>
        </w:rPr>
        <w:t>yes</w:t>
      </w:r>
      <w:r w:rsidR="000923BB" w:rsidRPr="00DA5E13">
        <w:rPr>
          <w:sz w:val="22"/>
          <w:szCs w:val="22"/>
        </w:rPr>
        <w:tab/>
      </w:r>
      <w:r w:rsidR="000923BB" w:rsidRPr="00DA5E13">
        <w:rPr>
          <w:sz w:val="22"/>
          <w:szCs w:val="22"/>
        </w:rPr>
        <w:sym w:font="Monotype Sorts" w:char="F071"/>
      </w:r>
    </w:p>
    <w:p w14:paraId="0763F735" w14:textId="77777777" w:rsidR="000923BB" w:rsidRPr="00DA5E13" w:rsidRDefault="00513F76" w:rsidP="000923BB">
      <w:pPr>
        <w:pStyle w:val="Header"/>
        <w:tabs>
          <w:tab w:val="left" w:pos="2835"/>
          <w:tab w:val="left" w:pos="4820"/>
          <w:tab w:val="left" w:pos="6379"/>
          <w:tab w:val="left" w:pos="7371"/>
          <w:tab w:val="left" w:pos="9072"/>
        </w:tabs>
        <w:ind w:left="720"/>
        <w:rPr>
          <w:sz w:val="22"/>
          <w:szCs w:val="22"/>
        </w:rPr>
      </w:pPr>
      <w:r>
        <w:rPr>
          <w:sz w:val="22"/>
          <w:szCs w:val="22"/>
        </w:rPr>
        <w:tab/>
      </w:r>
      <w:r>
        <w:rPr>
          <w:sz w:val="22"/>
          <w:szCs w:val="22"/>
        </w:rPr>
        <w:tab/>
      </w:r>
      <w:r>
        <w:rPr>
          <w:sz w:val="22"/>
          <w:szCs w:val="22"/>
        </w:rPr>
        <w:tab/>
      </w:r>
      <w:r w:rsidR="000923BB" w:rsidRPr="00DA5E13">
        <w:rPr>
          <w:sz w:val="22"/>
          <w:szCs w:val="22"/>
        </w:rPr>
        <w:t>no</w:t>
      </w:r>
      <w:r w:rsidR="000923BB" w:rsidRPr="00DA5E13">
        <w:rPr>
          <w:sz w:val="22"/>
          <w:szCs w:val="22"/>
        </w:rPr>
        <w:tab/>
      </w:r>
      <w:r w:rsidR="000923BB" w:rsidRPr="00DA5E13">
        <w:rPr>
          <w:sz w:val="22"/>
          <w:szCs w:val="22"/>
        </w:rPr>
        <w:sym w:font="Monotype Sorts" w:char="F071"/>
      </w:r>
    </w:p>
    <w:p w14:paraId="210F5850" w14:textId="77777777" w:rsidR="000923BB" w:rsidRPr="00DA5E13" w:rsidRDefault="000923BB" w:rsidP="000923BB">
      <w:pPr>
        <w:pStyle w:val="Header"/>
        <w:rPr>
          <w:b/>
          <w:u w:val="single"/>
        </w:rPr>
      </w:pPr>
      <w:r w:rsidRPr="00DA5E13">
        <w:rPr>
          <w:sz w:val="22"/>
          <w:szCs w:val="22"/>
        </w:rPr>
        <w:br w:type="page"/>
      </w:r>
      <w:r w:rsidRPr="00DA5E13">
        <w:rPr>
          <w:b/>
          <w:u w:val="single"/>
        </w:rPr>
        <w:lastRenderedPageBreak/>
        <w:t>History/patient characteristics</w:t>
      </w:r>
    </w:p>
    <w:p w14:paraId="64BBC768" w14:textId="77777777" w:rsidR="000923BB" w:rsidRDefault="000923BB" w:rsidP="000923BB">
      <w:pPr>
        <w:pStyle w:val="Header"/>
        <w:tabs>
          <w:tab w:val="left" w:pos="2835"/>
          <w:tab w:val="left" w:pos="4820"/>
          <w:tab w:val="left" w:pos="6379"/>
          <w:tab w:val="left" w:pos="7371"/>
          <w:tab w:val="left" w:pos="9072"/>
        </w:tabs>
      </w:pPr>
    </w:p>
    <w:p w14:paraId="12DDD287" w14:textId="77777777" w:rsidR="000923BB" w:rsidRPr="00DA5E13" w:rsidRDefault="000923BB" w:rsidP="000923BB">
      <w:pPr>
        <w:pStyle w:val="Header"/>
        <w:tabs>
          <w:tab w:val="left" w:pos="2835"/>
          <w:tab w:val="left" w:pos="4820"/>
          <w:tab w:val="left" w:pos="6379"/>
          <w:tab w:val="left" w:pos="7371"/>
          <w:tab w:val="left" w:pos="9072"/>
        </w:tabs>
        <w:rPr>
          <w:sz w:val="22"/>
          <w:szCs w:val="22"/>
        </w:rPr>
      </w:pPr>
    </w:p>
    <w:p w14:paraId="62E22E2D" w14:textId="77777777" w:rsidR="000923BB" w:rsidRPr="00DA5E13" w:rsidRDefault="000923BB" w:rsidP="000923BB">
      <w:pPr>
        <w:pStyle w:val="Header"/>
        <w:pBdr>
          <w:top w:val="dotted" w:sz="4" w:space="10" w:color="auto"/>
        </w:pBdr>
        <w:tabs>
          <w:tab w:val="left" w:pos="2835"/>
          <w:tab w:val="left" w:pos="4820"/>
          <w:tab w:val="left" w:pos="5954"/>
          <w:tab w:val="left" w:pos="7371"/>
          <w:tab w:val="left" w:pos="9072"/>
        </w:tabs>
        <w:rPr>
          <w:sz w:val="22"/>
          <w:szCs w:val="22"/>
        </w:rPr>
      </w:pPr>
      <w:r w:rsidRPr="00DA5E13">
        <w:rPr>
          <w:sz w:val="22"/>
          <w:szCs w:val="22"/>
        </w:rPr>
        <w:t>11. What is the patient’s smoking status?</w:t>
      </w:r>
      <w:r w:rsidRPr="00DA5E13">
        <w:rPr>
          <w:sz w:val="22"/>
          <w:szCs w:val="22"/>
        </w:rPr>
        <w:tab/>
      </w:r>
    </w:p>
    <w:p w14:paraId="1A1269D6" w14:textId="77777777" w:rsidR="000923BB" w:rsidRPr="00DA5E13" w:rsidRDefault="000923BB" w:rsidP="000923BB">
      <w:pPr>
        <w:pStyle w:val="Header"/>
        <w:pBdr>
          <w:top w:val="dotted" w:sz="4" w:space="10" w:color="auto"/>
        </w:pBdr>
        <w:tabs>
          <w:tab w:val="left" w:pos="2835"/>
          <w:tab w:val="left" w:pos="4820"/>
          <w:tab w:val="left" w:pos="5954"/>
          <w:tab w:val="left" w:pos="7371"/>
          <w:tab w:val="left" w:pos="9072"/>
        </w:tabs>
        <w:rPr>
          <w:sz w:val="22"/>
          <w:szCs w:val="22"/>
        </w:rPr>
      </w:pPr>
      <w:r w:rsidRPr="00DA5E13">
        <w:rPr>
          <w:sz w:val="22"/>
          <w:szCs w:val="22"/>
        </w:rPr>
        <w:tab/>
      </w:r>
      <w:r w:rsidRPr="00DA5E13">
        <w:rPr>
          <w:sz w:val="22"/>
          <w:szCs w:val="22"/>
        </w:rPr>
        <w:tab/>
        <w:t xml:space="preserve">current smoker </w:t>
      </w:r>
      <w:r w:rsidRPr="00DA5E13">
        <w:rPr>
          <w:sz w:val="22"/>
          <w:szCs w:val="22"/>
        </w:rPr>
        <w:tab/>
      </w:r>
      <w:r w:rsidRPr="00DA5E13">
        <w:rPr>
          <w:sz w:val="22"/>
          <w:szCs w:val="22"/>
        </w:rPr>
        <w:tab/>
      </w:r>
      <w:r w:rsidRPr="00DA5E13">
        <w:rPr>
          <w:sz w:val="22"/>
          <w:szCs w:val="22"/>
        </w:rPr>
        <w:sym w:font="Monotype Sorts" w:char="F071"/>
      </w:r>
    </w:p>
    <w:p w14:paraId="4F730963" w14:textId="77777777" w:rsidR="000923BB" w:rsidRPr="00DA5E13" w:rsidRDefault="000923BB" w:rsidP="000923BB">
      <w:pPr>
        <w:pStyle w:val="Header"/>
        <w:tabs>
          <w:tab w:val="left" w:pos="2835"/>
          <w:tab w:val="left" w:pos="4820"/>
          <w:tab w:val="left" w:pos="5954"/>
          <w:tab w:val="left" w:pos="7371"/>
          <w:tab w:val="left" w:pos="9072"/>
        </w:tabs>
        <w:rPr>
          <w:sz w:val="22"/>
          <w:szCs w:val="22"/>
        </w:rPr>
      </w:pPr>
      <w:r w:rsidRPr="00DA5E13">
        <w:rPr>
          <w:sz w:val="22"/>
          <w:szCs w:val="22"/>
        </w:rPr>
        <w:tab/>
      </w:r>
      <w:r w:rsidRPr="00DA5E13">
        <w:rPr>
          <w:sz w:val="22"/>
          <w:szCs w:val="22"/>
        </w:rPr>
        <w:tab/>
        <w:t>ex smoker (stopped more than 3 months)</w:t>
      </w:r>
      <w:r w:rsidRPr="00DA5E13">
        <w:rPr>
          <w:sz w:val="22"/>
          <w:szCs w:val="22"/>
        </w:rPr>
        <w:tab/>
      </w:r>
      <w:r w:rsidRPr="00DA5E13">
        <w:rPr>
          <w:sz w:val="22"/>
          <w:szCs w:val="22"/>
        </w:rPr>
        <w:sym w:font="Monotype Sorts" w:char="F071"/>
      </w:r>
    </w:p>
    <w:p w14:paraId="0B3C0238" w14:textId="77777777" w:rsidR="000923BB" w:rsidRPr="00DA5E13" w:rsidRDefault="000923BB" w:rsidP="000923BB">
      <w:pPr>
        <w:pStyle w:val="Header"/>
        <w:tabs>
          <w:tab w:val="left" w:pos="2835"/>
          <w:tab w:val="left" w:pos="4820"/>
          <w:tab w:val="left" w:pos="5954"/>
          <w:tab w:val="left" w:pos="7371"/>
          <w:tab w:val="left" w:pos="9072"/>
        </w:tabs>
        <w:rPr>
          <w:sz w:val="22"/>
          <w:szCs w:val="22"/>
        </w:rPr>
      </w:pPr>
      <w:r w:rsidRPr="00DA5E13">
        <w:rPr>
          <w:sz w:val="22"/>
          <w:szCs w:val="22"/>
        </w:rPr>
        <w:tab/>
      </w:r>
      <w:r w:rsidRPr="00DA5E13">
        <w:rPr>
          <w:sz w:val="22"/>
          <w:szCs w:val="22"/>
        </w:rPr>
        <w:tab/>
      </w:r>
      <w:r w:rsidRPr="00DA5E13">
        <w:rPr>
          <w:sz w:val="22"/>
          <w:szCs w:val="22"/>
        </w:rPr>
        <w:tab/>
        <w:t>life long non-smoker</w:t>
      </w:r>
      <w:r w:rsidRPr="00DA5E13">
        <w:rPr>
          <w:sz w:val="22"/>
          <w:szCs w:val="22"/>
        </w:rPr>
        <w:tab/>
      </w:r>
      <w:r w:rsidRPr="00DA5E13">
        <w:rPr>
          <w:sz w:val="22"/>
          <w:szCs w:val="22"/>
        </w:rPr>
        <w:sym w:font="Monotype Sorts" w:char="F071"/>
      </w:r>
    </w:p>
    <w:p w14:paraId="182DDD5C" w14:textId="77777777" w:rsidR="000923BB" w:rsidRPr="00DA5E13" w:rsidRDefault="006C4584" w:rsidP="000923BB">
      <w:pPr>
        <w:pStyle w:val="Header"/>
        <w:tabs>
          <w:tab w:val="left" w:pos="2835"/>
          <w:tab w:val="left" w:pos="4820"/>
          <w:tab w:val="left" w:pos="5954"/>
          <w:tab w:val="left" w:pos="7371"/>
          <w:tab w:val="left" w:pos="9072"/>
        </w:tabs>
        <w:rPr>
          <w:sz w:val="22"/>
          <w:szCs w:val="22"/>
        </w:rPr>
      </w:pPr>
      <w:r>
        <w:rPr>
          <w:sz w:val="22"/>
          <w:szCs w:val="22"/>
        </w:rPr>
        <w:tab/>
      </w:r>
      <w:r>
        <w:rPr>
          <w:sz w:val="22"/>
          <w:szCs w:val="22"/>
        </w:rPr>
        <w:tab/>
      </w:r>
      <w:r>
        <w:rPr>
          <w:sz w:val="22"/>
          <w:szCs w:val="22"/>
        </w:rPr>
        <w:tab/>
        <w:t>not recorded</w:t>
      </w:r>
      <w:r>
        <w:rPr>
          <w:sz w:val="22"/>
          <w:szCs w:val="22"/>
        </w:rPr>
        <w:tab/>
      </w:r>
      <w:r w:rsidR="000923BB" w:rsidRPr="00DA5E13">
        <w:rPr>
          <w:sz w:val="22"/>
          <w:szCs w:val="22"/>
        </w:rPr>
        <w:sym w:font="Monotype Sorts" w:char="F071"/>
      </w:r>
    </w:p>
    <w:p w14:paraId="3291E30C" w14:textId="77777777" w:rsidR="000923BB" w:rsidRPr="00DA5E13" w:rsidRDefault="000923BB" w:rsidP="000923BB">
      <w:pPr>
        <w:pStyle w:val="Header"/>
        <w:tabs>
          <w:tab w:val="left" w:pos="2835"/>
          <w:tab w:val="left" w:pos="4820"/>
          <w:tab w:val="left" w:pos="6379"/>
          <w:tab w:val="left" w:pos="7371"/>
          <w:tab w:val="left" w:pos="9072"/>
        </w:tabs>
        <w:ind w:left="720"/>
        <w:rPr>
          <w:sz w:val="22"/>
          <w:szCs w:val="22"/>
        </w:rPr>
      </w:pPr>
    </w:p>
    <w:p w14:paraId="21C007EC" w14:textId="77777777" w:rsidR="000923BB" w:rsidRPr="00DA5E13" w:rsidRDefault="000923BB" w:rsidP="000923BB">
      <w:pPr>
        <w:pStyle w:val="Header"/>
        <w:tabs>
          <w:tab w:val="left" w:pos="2835"/>
          <w:tab w:val="left" w:pos="4820"/>
          <w:tab w:val="left" w:pos="6379"/>
          <w:tab w:val="left" w:pos="7371"/>
          <w:tab w:val="left" w:pos="9072"/>
        </w:tabs>
        <w:ind w:left="720"/>
        <w:rPr>
          <w:sz w:val="22"/>
          <w:szCs w:val="22"/>
        </w:rPr>
      </w:pPr>
      <w:r w:rsidRPr="00DA5E13">
        <w:rPr>
          <w:sz w:val="22"/>
          <w:szCs w:val="22"/>
        </w:rPr>
        <w:t>If current or ex-smoker,</w:t>
      </w:r>
    </w:p>
    <w:p w14:paraId="5EFCA3ED" w14:textId="66B473CB" w:rsidR="000923BB" w:rsidRPr="00DA5E13" w:rsidRDefault="00003011" w:rsidP="000923BB">
      <w:pPr>
        <w:pStyle w:val="Header"/>
        <w:tabs>
          <w:tab w:val="left" w:pos="2835"/>
          <w:tab w:val="left" w:pos="4820"/>
          <w:tab w:val="left" w:pos="6379"/>
          <w:tab w:val="left" w:pos="7371"/>
          <w:tab w:val="left" w:pos="9072"/>
        </w:tabs>
        <w:ind w:left="720"/>
        <w:rPr>
          <w:sz w:val="22"/>
          <w:szCs w:val="22"/>
        </w:rPr>
      </w:pPr>
      <w:r>
        <w:rPr>
          <w:noProof/>
          <w:sz w:val="22"/>
          <w:szCs w:val="22"/>
        </w:rPr>
        <mc:AlternateContent>
          <mc:Choice Requires="wps">
            <w:drawing>
              <wp:anchor distT="0" distB="0" distL="114300" distR="114300" simplePos="0" relativeHeight="252632064" behindDoc="0" locked="0" layoutInCell="0" allowOverlap="1" wp14:anchorId="26AC7BA2" wp14:editId="0B12AE46">
                <wp:simplePos x="0" y="0"/>
                <wp:positionH relativeFrom="column">
                  <wp:posOffset>3763645</wp:posOffset>
                </wp:positionH>
                <wp:positionV relativeFrom="paragraph">
                  <wp:posOffset>139065</wp:posOffset>
                </wp:positionV>
                <wp:extent cx="1468755" cy="260985"/>
                <wp:effectExtent l="10795" t="8255" r="6350" b="6985"/>
                <wp:wrapNone/>
                <wp:docPr id="77" name="Rectangle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260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946FD" id="Rectangle 1006" o:spid="_x0000_s1026" style="position:absolute;margin-left:296.35pt;margin-top:10.95pt;width:115.65pt;height:20.5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" o:allowincell="f"/>
            </w:pict>
          </mc:Fallback>
        </mc:AlternateContent>
      </w:r>
    </w:p>
    <w:p w14:paraId="1D29A7F9" w14:textId="77777777" w:rsidR="000923BB" w:rsidRPr="00DA5E13" w:rsidRDefault="000923BB" w:rsidP="000923BB">
      <w:pPr>
        <w:pStyle w:val="Header"/>
        <w:tabs>
          <w:tab w:val="left" w:pos="2835"/>
          <w:tab w:val="left" w:pos="4820"/>
          <w:tab w:val="left" w:pos="6379"/>
          <w:tab w:val="left" w:pos="7371"/>
          <w:tab w:val="left" w:pos="9072"/>
        </w:tabs>
        <w:ind w:left="1440"/>
        <w:rPr>
          <w:sz w:val="22"/>
          <w:szCs w:val="22"/>
        </w:rPr>
      </w:pPr>
      <w:r w:rsidRPr="00DA5E13">
        <w:rPr>
          <w:sz w:val="22"/>
          <w:szCs w:val="22"/>
        </w:rPr>
        <w:t>how many cigarettes smoked per day?</w:t>
      </w:r>
      <w:r w:rsidRPr="00DA5E13">
        <w:rPr>
          <w:sz w:val="22"/>
          <w:szCs w:val="22"/>
        </w:rPr>
        <w:tab/>
      </w:r>
      <w:r w:rsidRPr="00DA5E13">
        <w:rPr>
          <w:sz w:val="22"/>
          <w:szCs w:val="22"/>
        </w:rPr>
        <w:tab/>
      </w:r>
      <w:r w:rsidRPr="00DA5E13">
        <w:rPr>
          <w:sz w:val="22"/>
          <w:szCs w:val="22"/>
        </w:rPr>
        <w:tab/>
      </w:r>
    </w:p>
    <w:p w14:paraId="621DAC02" w14:textId="20D02ED1" w:rsidR="000923BB" w:rsidRPr="00DA5E13" w:rsidRDefault="00003011" w:rsidP="000923BB">
      <w:pPr>
        <w:pStyle w:val="Header"/>
        <w:tabs>
          <w:tab w:val="left" w:pos="2835"/>
          <w:tab w:val="left" w:pos="4820"/>
          <w:tab w:val="left" w:pos="6379"/>
          <w:tab w:val="left" w:pos="7371"/>
          <w:tab w:val="left" w:pos="9072"/>
        </w:tabs>
        <w:ind w:left="1440"/>
        <w:rPr>
          <w:b/>
          <w:i/>
          <w:sz w:val="22"/>
          <w:szCs w:val="22"/>
        </w:rPr>
      </w:pPr>
      <w:r>
        <w:rPr>
          <w:b/>
          <w:i/>
          <w:noProof/>
          <w:sz w:val="22"/>
          <w:szCs w:val="22"/>
        </w:rPr>
        <mc:AlternateContent>
          <mc:Choice Requires="wps">
            <w:drawing>
              <wp:anchor distT="0" distB="0" distL="114300" distR="114300" simplePos="0" relativeHeight="252633088" behindDoc="0" locked="0" layoutInCell="0" allowOverlap="1" wp14:anchorId="420FBA69" wp14:editId="05301632">
                <wp:simplePos x="0" y="0"/>
                <wp:positionH relativeFrom="column">
                  <wp:posOffset>3649980</wp:posOffset>
                </wp:positionH>
                <wp:positionV relativeFrom="paragraph">
                  <wp:posOffset>121920</wp:posOffset>
                </wp:positionV>
                <wp:extent cx="1657350" cy="260985"/>
                <wp:effectExtent l="11430" t="7620" r="7620" b="7620"/>
                <wp:wrapNone/>
                <wp:docPr id="76" name="Rectangle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60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4CA01" id="Rectangle 1007" o:spid="_x0000_s1026" style="position:absolute;margin-left:287.4pt;margin-top:9.6pt;width:130.5pt;height:20.5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" o:allowincell="f"/>
            </w:pict>
          </mc:Fallback>
        </mc:AlternateContent>
      </w:r>
      <w:r w:rsidR="000923BB" w:rsidRPr="00DA5E13">
        <w:rPr>
          <w:b/>
          <w:i/>
          <w:sz w:val="22"/>
          <w:szCs w:val="22"/>
        </w:rPr>
        <w:t>or</w:t>
      </w:r>
    </w:p>
    <w:p w14:paraId="275CBD8B" w14:textId="77777777" w:rsidR="000923BB" w:rsidRPr="00DA5E13" w:rsidRDefault="000923BB" w:rsidP="000923BB">
      <w:pPr>
        <w:pStyle w:val="Header"/>
        <w:tabs>
          <w:tab w:val="left" w:pos="2835"/>
          <w:tab w:val="left" w:pos="4820"/>
          <w:tab w:val="left" w:pos="6379"/>
          <w:tab w:val="left" w:pos="7371"/>
          <w:tab w:val="left" w:pos="9072"/>
        </w:tabs>
        <w:ind w:left="1440"/>
        <w:rPr>
          <w:sz w:val="22"/>
          <w:szCs w:val="22"/>
        </w:rPr>
      </w:pPr>
      <w:r w:rsidRPr="00DA5E13">
        <w:rPr>
          <w:sz w:val="22"/>
          <w:szCs w:val="22"/>
        </w:rPr>
        <w:t>pack years?</w:t>
      </w:r>
      <w:r w:rsidRPr="00DA5E13">
        <w:rPr>
          <w:sz w:val="22"/>
          <w:szCs w:val="22"/>
        </w:rPr>
        <w:tab/>
      </w:r>
      <w:r w:rsidRPr="00DA5E13">
        <w:rPr>
          <w:sz w:val="22"/>
          <w:szCs w:val="22"/>
        </w:rPr>
        <w:tab/>
      </w:r>
      <w:r w:rsidRPr="00DA5E13">
        <w:rPr>
          <w:sz w:val="22"/>
          <w:szCs w:val="22"/>
        </w:rPr>
        <w:tab/>
      </w:r>
    </w:p>
    <w:p w14:paraId="2BE037CB" w14:textId="77777777" w:rsidR="000923BB" w:rsidRPr="00DA5E13" w:rsidRDefault="000923BB" w:rsidP="000923BB">
      <w:pPr>
        <w:pStyle w:val="Header"/>
        <w:tabs>
          <w:tab w:val="left" w:pos="2835"/>
          <w:tab w:val="left" w:pos="4820"/>
          <w:tab w:val="left" w:pos="6379"/>
          <w:tab w:val="left" w:pos="7371"/>
          <w:tab w:val="left" w:pos="9072"/>
        </w:tabs>
        <w:rPr>
          <w:sz w:val="22"/>
          <w:szCs w:val="22"/>
        </w:rPr>
      </w:pPr>
    </w:p>
    <w:p w14:paraId="53C9265C" w14:textId="77777777" w:rsidR="000923BB" w:rsidRPr="00DA5E13" w:rsidRDefault="006C4584" w:rsidP="000923BB">
      <w:pPr>
        <w:pStyle w:val="Header"/>
        <w:tabs>
          <w:tab w:val="left" w:pos="2835"/>
          <w:tab w:val="left" w:pos="4820"/>
          <w:tab w:val="left" w:pos="6379"/>
          <w:tab w:val="left" w:pos="7371"/>
          <w:tab w:val="left" w:pos="9072"/>
        </w:tabs>
        <w:rPr>
          <w:sz w:val="22"/>
          <w:szCs w:val="22"/>
        </w:rPr>
      </w:pPr>
      <w:r>
        <w:rPr>
          <w:sz w:val="22"/>
          <w:szCs w:val="22"/>
        </w:rPr>
        <w:tab/>
      </w:r>
      <w:r>
        <w:rPr>
          <w:sz w:val="22"/>
          <w:szCs w:val="22"/>
        </w:rPr>
        <w:tab/>
      </w:r>
      <w:r>
        <w:rPr>
          <w:sz w:val="22"/>
          <w:szCs w:val="22"/>
        </w:rPr>
        <w:tab/>
      </w:r>
      <w:r>
        <w:rPr>
          <w:sz w:val="22"/>
          <w:szCs w:val="22"/>
        </w:rPr>
        <w:tab/>
        <w:t>don’t know</w:t>
      </w:r>
      <w:r w:rsidR="000923BB" w:rsidRPr="00DA5E13">
        <w:rPr>
          <w:sz w:val="22"/>
          <w:szCs w:val="22"/>
        </w:rPr>
        <w:sym w:font="Monotype Sorts" w:char="F071"/>
      </w:r>
    </w:p>
    <w:p w14:paraId="66D1796D" w14:textId="77777777" w:rsidR="000923BB" w:rsidRPr="00DA5E13" w:rsidRDefault="000923BB" w:rsidP="000923BB">
      <w:pPr>
        <w:pStyle w:val="Header"/>
        <w:tabs>
          <w:tab w:val="left" w:pos="2835"/>
          <w:tab w:val="left" w:pos="4820"/>
          <w:tab w:val="left" w:pos="6379"/>
          <w:tab w:val="left" w:pos="7371"/>
          <w:tab w:val="left" w:pos="9072"/>
        </w:tabs>
        <w:rPr>
          <w:sz w:val="22"/>
          <w:szCs w:val="22"/>
        </w:rPr>
      </w:pPr>
    </w:p>
    <w:p w14:paraId="0D2C3AEB" w14:textId="77777777" w:rsidR="000923BB" w:rsidRPr="00DA5E13" w:rsidRDefault="000923BB" w:rsidP="000923BB">
      <w:pPr>
        <w:pStyle w:val="Header"/>
        <w:tabs>
          <w:tab w:val="left" w:pos="2835"/>
          <w:tab w:val="left" w:pos="4820"/>
          <w:tab w:val="left" w:pos="6379"/>
          <w:tab w:val="left" w:pos="6946"/>
          <w:tab w:val="left" w:pos="7371"/>
          <w:tab w:val="left" w:pos="9072"/>
        </w:tabs>
        <w:rPr>
          <w:sz w:val="22"/>
          <w:szCs w:val="22"/>
        </w:rPr>
      </w:pPr>
    </w:p>
    <w:p w14:paraId="74DD078F" w14:textId="77777777" w:rsidR="000923BB" w:rsidRPr="00DA5E13" w:rsidRDefault="000923BB" w:rsidP="000923BB">
      <w:pPr>
        <w:pStyle w:val="Header"/>
        <w:pBdr>
          <w:top w:val="dotted" w:sz="4" w:space="10" w:color="auto"/>
        </w:pBdr>
        <w:tabs>
          <w:tab w:val="left" w:pos="2835"/>
          <w:tab w:val="left" w:pos="4820"/>
          <w:tab w:val="left" w:pos="6379"/>
          <w:tab w:val="left" w:pos="7371"/>
          <w:tab w:val="left" w:pos="9072"/>
        </w:tabs>
        <w:rPr>
          <w:noProof/>
          <w:sz w:val="22"/>
          <w:szCs w:val="22"/>
        </w:rPr>
      </w:pPr>
      <w:r w:rsidRPr="00DA5E13">
        <w:rPr>
          <w:noProof/>
          <w:sz w:val="22"/>
          <w:szCs w:val="22"/>
        </w:rPr>
        <w:t>12. Does the patient have any significant co-morbidities?</w:t>
      </w:r>
    </w:p>
    <w:p w14:paraId="5E77F002" w14:textId="77777777" w:rsidR="000923BB" w:rsidRPr="00DA5E13" w:rsidRDefault="000923BB" w:rsidP="000923BB">
      <w:pPr>
        <w:pStyle w:val="Header"/>
        <w:pBdr>
          <w:top w:val="dotted" w:sz="4" w:space="10" w:color="auto"/>
        </w:pBdr>
        <w:tabs>
          <w:tab w:val="left" w:pos="2835"/>
          <w:tab w:val="left" w:pos="4820"/>
          <w:tab w:val="left" w:pos="6379"/>
          <w:tab w:val="left" w:pos="7371"/>
          <w:tab w:val="left" w:pos="9072"/>
        </w:tabs>
        <w:rPr>
          <w:noProof/>
          <w:sz w:val="22"/>
          <w:szCs w:val="22"/>
        </w:rPr>
      </w:pPr>
    </w:p>
    <w:p w14:paraId="3A3F6EB1" w14:textId="77777777" w:rsidR="000923BB" w:rsidRPr="00DA5E13" w:rsidRDefault="000923BB" w:rsidP="000923BB">
      <w:pPr>
        <w:pStyle w:val="Header"/>
        <w:pBdr>
          <w:top w:val="dotted" w:sz="4" w:space="10" w:color="auto"/>
        </w:pBdr>
        <w:tabs>
          <w:tab w:val="left" w:pos="2835"/>
          <w:tab w:val="left" w:pos="4820"/>
          <w:tab w:val="left" w:pos="6379"/>
          <w:tab w:val="left" w:pos="7371"/>
          <w:tab w:val="left" w:pos="9072"/>
        </w:tabs>
        <w:rPr>
          <w:noProof/>
          <w:sz w:val="22"/>
          <w:szCs w:val="22"/>
        </w:rPr>
      </w:pPr>
      <w:r w:rsidRPr="00DA5E13">
        <w:rPr>
          <w:noProof/>
          <w:sz w:val="22"/>
          <w:szCs w:val="22"/>
        </w:rPr>
        <w:tab/>
        <w:t>Please tick all that apply</w:t>
      </w:r>
    </w:p>
    <w:p w14:paraId="2E8660B5" w14:textId="77777777" w:rsidR="000923BB" w:rsidRPr="00DA5E13" w:rsidRDefault="000923BB" w:rsidP="000923BB">
      <w:pPr>
        <w:pStyle w:val="Header"/>
        <w:keepNext/>
        <w:tabs>
          <w:tab w:val="left" w:pos="3119"/>
          <w:tab w:val="left" w:pos="4253"/>
          <w:tab w:val="left" w:pos="6379"/>
          <w:tab w:val="left" w:pos="7371"/>
          <w:tab w:val="left" w:pos="9072"/>
        </w:tabs>
        <w:rPr>
          <w:sz w:val="22"/>
          <w:szCs w:val="22"/>
        </w:rPr>
      </w:pPr>
      <w:r w:rsidRPr="00DA5E13">
        <w:rPr>
          <w:sz w:val="22"/>
          <w:szCs w:val="22"/>
        </w:rPr>
        <w:tab/>
      </w:r>
      <w:r w:rsidRPr="00DA5E13">
        <w:rPr>
          <w:sz w:val="22"/>
          <w:szCs w:val="22"/>
        </w:rPr>
        <w:tab/>
      </w:r>
      <w:r w:rsidRPr="00DA5E13">
        <w:rPr>
          <w:sz w:val="22"/>
          <w:szCs w:val="22"/>
        </w:rPr>
        <w:tab/>
        <w:t>none</w:t>
      </w:r>
      <w:r w:rsidRPr="00DA5E13">
        <w:rPr>
          <w:sz w:val="22"/>
          <w:szCs w:val="22"/>
        </w:rPr>
        <w:tab/>
      </w:r>
      <w:r w:rsidRPr="00DA5E13">
        <w:rPr>
          <w:sz w:val="22"/>
          <w:szCs w:val="22"/>
        </w:rPr>
        <w:tab/>
      </w:r>
      <w:r w:rsidRPr="00DA5E13">
        <w:rPr>
          <w:sz w:val="22"/>
          <w:szCs w:val="22"/>
        </w:rPr>
        <w:sym w:font="Monotype Sorts" w:char="F071"/>
      </w:r>
    </w:p>
    <w:p w14:paraId="7438C283" w14:textId="77777777" w:rsidR="000923BB" w:rsidRPr="00DA5E13" w:rsidRDefault="000923BB" w:rsidP="000923BB">
      <w:pPr>
        <w:pStyle w:val="Header"/>
        <w:keepNext/>
        <w:tabs>
          <w:tab w:val="left" w:pos="3119"/>
          <w:tab w:val="left" w:pos="4253"/>
          <w:tab w:val="left" w:pos="6379"/>
          <w:tab w:val="left" w:pos="7371"/>
          <w:tab w:val="left" w:pos="9072"/>
        </w:tabs>
        <w:ind w:left="3119" w:hanging="3119"/>
        <w:rPr>
          <w:sz w:val="22"/>
          <w:szCs w:val="22"/>
        </w:rPr>
      </w:pPr>
      <w:r w:rsidRPr="00DA5E13">
        <w:rPr>
          <w:sz w:val="22"/>
          <w:szCs w:val="22"/>
        </w:rPr>
        <w:tab/>
      </w:r>
      <w:r w:rsidRPr="00DA5E13">
        <w:rPr>
          <w:sz w:val="22"/>
          <w:szCs w:val="22"/>
        </w:rPr>
        <w:tab/>
      </w:r>
      <w:r w:rsidRPr="00DA5E13">
        <w:rPr>
          <w:sz w:val="22"/>
          <w:szCs w:val="22"/>
        </w:rPr>
        <w:tab/>
        <w:t>heart disease</w:t>
      </w:r>
      <w:r w:rsidRPr="00DA5E13">
        <w:rPr>
          <w:sz w:val="22"/>
          <w:szCs w:val="22"/>
        </w:rPr>
        <w:tab/>
      </w:r>
      <w:r w:rsidRPr="00DA5E13">
        <w:rPr>
          <w:sz w:val="22"/>
          <w:szCs w:val="22"/>
        </w:rPr>
        <w:sym w:font="Monotype Sorts" w:char="F071"/>
      </w:r>
      <w:r w:rsidRPr="00DA5E13">
        <w:rPr>
          <w:sz w:val="22"/>
          <w:szCs w:val="22"/>
        </w:rPr>
        <w:br/>
      </w:r>
      <w:r w:rsidRPr="00DA5E13">
        <w:rPr>
          <w:sz w:val="22"/>
          <w:szCs w:val="22"/>
        </w:rPr>
        <w:tab/>
      </w:r>
      <w:r w:rsidRPr="00DA5E13">
        <w:rPr>
          <w:sz w:val="22"/>
          <w:szCs w:val="22"/>
        </w:rPr>
        <w:tab/>
        <w:t>hypertension</w:t>
      </w:r>
      <w:r w:rsidRPr="00DA5E13">
        <w:rPr>
          <w:sz w:val="22"/>
          <w:szCs w:val="22"/>
        </w:rPr>
        <w:tab/>
      </w:r>
      <w:r w:rsidRPr="00DA5E13">
        <w:rPr>
          <w:sz w:val="22"/>
          <w:szCs w:val="22"/>
        </w:rPr>
        <w:sym w:font="Monotype Sorts" w:char="F071"/>
      </w:r>
    </w:p>
    <w:p w14:paraId="408B15B9" w14:textId="77777777" w:rsidR="000923BB" w:rsidRPr="00DA5E13" w:rsidRDefault="000923BB" w:rsidP="000923BB">
      <w:pPr>
        <w:pStyle w:val="Header"/>
        <w:keepNext/>
        <w:tabs>
          <w:tab w:val="left" w:pos="3119"/>
          <w:tab w:val="left" w:pos="4253"/>
          <w:tab w:val="left" w:pos="6379"/>
          <w:tab w:val="left" w:pos="7371"/>
          <w:tab w:val="left" w:pos="9072"/>
        </w:tabs>
        <w:rPr>
          <w:sz w:val="22"/>
          <w:szCs w:val="22"/>
        </w:rPr>
      </w:pPr>
      <w:r w:rsidRPr="00DA5E13">
        <w:rPr>
          <w:sz w:val="22"/>
          <w:szCs w:val="22"/>
        </w:rPr>
        <w:tab/>
      </w:r>
      <w:r w:rsidRPr="00DA5E13">
        <w:rPr>
          <w:sz w:val="22"/>
          <w:szCs w:val="22"/>
        </w:rPr>
        <w:tab/>
      </w:r>
      <w:r w:rsidRPr="00DA5E13">
        <w:rPr>
          <w:sz w:val="22"/>
          <w:szCs w:val="22"/>
        </w:rPr>
        <w:tab/>
        <w:t>stroke</w:t>
      </w:r>
      <w:r w:rsidRPr="00DA5E13">
        <w:rPr>
          <w:sz w:val="22"/>
          <w:szCs w:val="22"/>
        </w:rPr>
        <w:tab/>
      </w:r>
      <w:r w:rsidRPr="00DA5E13">
        <w:rPr>
          <w:sz w:val="22"/>
          <w:szCs w:val="22"/>
        </w:rPr>
        <w:tab/>
      </w:r>
      <w:r w:rsidRPr="00DA5E13">
        <w:rPr>
          <w:sz w:val="22"/>
          <w:szCs w:val="22"/>
        </w:rPr>
        <w:sym w:font="Monotype Sorts" w:char="F071"/>
      </w:r>
    </w:p>
    <w:p w14:paraId="32CD370B" w14:textId="77777777" w:rsidR="000923BB" w:rsidRPr="00DA5E13" w:rsidRDefault="000923BB" w:rsidP="000923BB">
      <w:pPr>
        <w:pStyle w:val="Header"/>
        <w:keepNext/>
        <w:tabs>
          <w:tab w:val="left" w:pos="3119"/>
          <w:tab w:val="left" w:pos="4253"/>
          <w:tab w:val="left" w:pos="6379"/>
          <w:tab w:val="left" w:pos="7371"/>
          <w:tab w:val="left" w:pos="9072"/>
        </w:tabs>
        <w:rPr>
          <w:sz w:val="22"/>
          <w:szCs w:val="22"/>
        </w:rPr>
      </w:pPr>
      <w:r w:rsidRPr="00DA5E13">
        <w:rPr>
          <w:sz w:val="22"/>
          <w:szCs w:val="22"/>
        </w:rPr>
        <w:tab/>
      </w:r>
      <w:r w:rsidRPr="00DA5E13">
        <w:rPr>
          <w:sz w:val="22"/>
          <w:szCs w:val="22"/>
        </w:rPr>
        <w:tab/>
      </w:r>
      <w:r w:rsidRPr="00DA5E13">
        <w:rPr>
          <w:sz w:val="22"/>
          <w:szCs w:val="22"/>
        </w:rPr>
        <w:tab/>
        <w:t>locomotor problems</w:t>
      </w:r>
      <w:r w:rsidRPr="00DA5E13">
        <w:rPr>
          <w:sz w:val="22"/>
          <w:szCs w:val="22"/>
        </w:rPr>
        <w:tab/>
      </w:r>
      <w:r w:rsidRPr="00DA5E13">
        <w:rPr>
          <w:sz w:val="22"/>
          <w:szCs w:val="22"/>
        </w:rPr>
        <w:sym w:font="Monotype Sorts" w:char="F071"/>
      </w:r>
    </w:p>
    <w:p w14:paraId="05C57CDD" w14:textId="77777777" w:rsidR="000923BB" w:rsidRPr="00DA5E13" w:rsidRDefault="000923BB" w:rsidP="000923BB">
      <w:pPr>
        <w:pStyle w:val="Header"/>
        <w:keepNext/>
        <w:tabs>
          <w:tab w:val="left" w:pos="3119"/>
          <w:tab w:val="left" w:pos="4253"/>
          <w:tab w:val="left" w:pos="6379"/>
          <w:tab w:val="left" w:pos="7371"/>
          <w:tab w:val="left" w:pos="9072"/>
        </w:tabs>
        <w:rPr>
          <w:sz w:val="22"/>
          <w:szCs w:val="22"/>
        </w:rPr>
      </w:pPr>
      <w:r w:rsidRPr="00DA5E13">
        <w:rPr>
          <w:sz w:val="22"/>
          <w:szCs w:val="22"/>
        </w:rPr>
        <w:tab/>
      </w:r>
      <w:r w:rsidRPr="00DA5E13">
        <w:rPr>
          <w:sz w:val="22"/>
          <w:szCs w:val="22"/>
        </w:rPr>
        <w:tab/>
      </w:r>
      <w:r w:rsidRPr="00DA5E13">
        <w:rPr>
          <w:sz w:val="22"/>
          <w:szCs w:val="22"/>
        </w:rPr>
        <w:tab/>
        <w:t>neurological problems</w:t>
      </w:r>
      <w:r w:rsidRPr="00DA5E13">
        <w:rPr>
          <w:sz w:val="22"/>
          <w:szCs w:val="22"/>
        </w:rPr>
        <w:tab/>
      </w:r>
      <w:r w:rsidRPr="00DA5E13">
        <w:rPr>
          <w:sz w:val="22"/>
          <w:szCs w:val="22"/>
        </w:rPr>
        <w:sym w:font="Monotype Sorts" w:char="F071"/>
      </w:r>
    </w:p>
    <w:p w14:paraId="0453D1ED" w14:textId="77777777" w:rsidR="000923BB" w:rsidRPr="00DA5E13" w:rsidRDefault="000923BB" w:rsidP="000923BB">
      <w:pPr>
        <w:pStyle w:val="Header"/>
        <w:tabs>
          <w:tab w:val="left" w:pos="3119"/>
          <w:tab w:val="left" w:pos="4253"/>
          <w:tab w:val="left" w:pos="6379"/>
          <w:tab w:val="left" w:pos="7371"/>
          <w:tab w:val="left" w:pos="9072"/>
        </w:tabs>
        <w:rPr>
          <w:sz w:val="22"/>
          <w:szCs w:val="22"/>
        </w:rPr>
      </w:pPr>
      <w:r w:rsidRPr="00DA5E13">
        <w:rPr>
          <w:sz w:val="22"/>
          <w:szCs w:val="22"/>
        </w:rPr>
        <w:tab/>
      </w:r>
      <w:r w:rsidRPr="00DA5E13">
        <w:rPr>
          <w:sz w:val="22"/>
          <w:szCs w:val="22"/>
        </w:rPr>
        <w:tab/>
      </w:r>
      <w:r w:rsidRPr="00DA5E13">
        <w:rPr>
          <w:sz w:val="22"/>
          <w:szCs w:val="22"/>
        </w:rPr>
        <w:tab/>
        <w:t>diabetes</w:t>
      </w:r>
      <w:r w:rsidRPr="00DA5E13">
        <w:rPr>
          <w:sz w:val="22"/>
          <w:szCs w:val="22"/>
        </w:rPr>
        <w:tab/>
      </w:r>
      <w:r w:rsidRPr="00DA5E13">
        <w:rPr>
          <w:sz w:val="22"/>
          <w:szCs w:val="22"/>
        </w:rPr>
        <w:tab/>
      </w:r>
      <w:r w:rsidRPr="00DA5E13">
        <w:rPr>
          <w:sz w:val="22"/>
          <w:szCs w:val="22"/>
        </w:rPr>
        <w:sym w:font="Monotype Sorts" w:char="F071"/>
      </w:r>
    </w:p>
    <w:p w14:paraId="1EA927F3" w14:textId="77777777" w:rsidR="000923BB" w:rsidRPr="00DA5E13" w:rsidRDefault="000923BB" w:rsidP="000923BB">
      <w:pPr>
        <w:pStyle w:val="Header"/>
        <w:tabs>
          <w:tab w:val="left" w:pos="3119"/>
          <w:tab w:val="left" w:pos="4253"/>
          <w:tab w:val="left" w:pos="6379"/>
          <w:tab w:val="left" w:pos="7371"/>
          <w:tab w:val="left" w:pos="9072"/>
        </w:tabs>
        <w:rPr>
          <w:sz w:val="22"/>
          <w:szCs w:val="22"/>
        </w:rPr>
      </w:pPr>
      <w:r w:rsidRPr="00DA5E13">
        <w:rPr>
          <w:sz w:val="22"/>
          <w:szCs w:val="22"/>
        </w:rPr>
        <w:tab/>
      </w:r>
      <w:r w:rsidRPr="00DA5E13">
        <w:rPr>
          <w:sz w:val="22"/>
          <w:szCs w:val="22"/>
        </w:rPr>
        <w:tab/>
      </w:r>
      <w:r w:rsidRPr="00DA5E13">
        <w:rPr>
          <w:sz w:val="22"/>
          <w:szCs w:val="22"/>
        </w:rPr>
        <w:tab/>
        <w:t>visual impairment</w:t>
      </w:r>
      <w:r w:rsidRPr="00DA5E13">
        <w:rPr>
          <w:sz w:val="22"/>
          <w:szCs w:val="22"/>
        </w:rPr>
        <w:tab/>
      </w:r>
      <w:r w:rsidRPr="00DA5E13">
        <w:rPr>
          <w:sz w:val="22"/>
          <w:szCs w:val="22"/>
        </w:rPr>
        <w:sym w:font="Monotype Sorts" w:char="F071"/>
      </w:r>
    </w:p>
    <w:p w14:paraId="5A6E4741" w14:textId="77777777" w:rsidR="000923BB" w:rsidRPr="00DA5E13" w:rsidRDefault="000923BB" w:rsidP="000923BB">
      <w:pPr>
        <w:pStyle w:val="Header"/>
        <w:tabs>
          <w:tab w:val="left" w:pos="3119"/>
          <w:tab w:val="left" w:pos="4253"/>
          <w:tab w:val="left" w:pos="6379"/>
          <w:tab w:val="left" w:pos="7371"/>
          <w:tab w:val="left" w:pos="9072"/>
        </w:tabs>
        <w:rPr>
          <w:sz w:val="22"/>
          <w:szCs w:val="22"/>
        </w:rPr>
      </w:pPr>
      <w:r w:rsidRPr="00DA5E13">
        <w:rPr>
          <w:sz w:val="22"/>
          <w:szCs w:val="22"/>
        </w:rPr>
        <w:tab/>
      </w:r>
      <w:r w:rsidRPr="00DA5E13">
        <w:rPr>
          <w:sz w:val="22"/>
          <w:szCs w:val="22"/>
        </w:rPr>
        <w:tab/>
      </w:r>
      <w:r w:rsidRPr="00DA5E13">
        <w:rPr>
          <w:sz w:val="22"/>
          <w:szCs w:val="22"/>
        </w:rPr>
        <w:tab/>
        <w:t>depression/anxiety</w:t>
      </w:r>
      <w:r w:rsidRPr="00DA5E13">
        <w:rPr>
          <w:sz w:val="22"/>
          <w:szCs w:val="22"/>
        </w:rPr>
        <w:tab/>
      </w:r>
      <w:r w:rsidRPr="00DA5E13">
        <w:rPr>
          <w:sz w:val="22"/>
          <w:szCs w:val="22"/>
        </w:rPr>
        <w:sym w:font="Monotype Sorts" w:char="F071"/>
      </w:r>
    </w:p>
    <w:p w14:paraId="53B0685F" w14:textId="77777777" w:rsidR="000923BB" w:rsidRPr="00DA5E13" w:rsidRDefault="000923BB" w:rsidP="000923BB">
      <w:pPr>
        <w:pStyle w:val="Header"/>
        <w:tabs>
          <w:tab w:val="left" w:pos="3119"/>
          <w:tab w:val="left" w:pos="4253"/>
          <w:tab w:val="left" w:pos="6379"/>
          <w:tab w:val="left" w:pos="7371"/>
          <w:tab w:val="left" w:pos="9072"/>
        </w:tabs>
        <w:rPr>
          <w:sz w:val="22"/>
          <w:szCs w:val="22"/>
        </w:rPr>
      </w:pPr>
      <w:r w:rsidRPr="00DA5E13">
        <w:rPr>
          <w:sz w:val="22"/>
          <w:szCs w:val="22"/>
        </w:rPr>
        <w:tab/>
      </w:r>
      <w:r w:rsidRPr="00DA5E13">
        <w:rPr>
          <w:sz w:val="22"/>
          <w:szCs w:val="22"/>
        </w:rPr>
        <w:tab/>
      </w:r>
      <w:r w:rsidRPr="00DA5E13">
        <w:rPr>
          <w:sz w:val="22"/>
          <w:szCs w:val="22"/>
        </w:rPr>
        <w:tab/>
        <w:t>other</w:t>
      </w:r>
      <w:r w:rsidRPr="00DA5E13">
        <w:rPr>
          <w:sz w:val="22"/>
          <w:szCs w:val="22"/>
        </w:rPr>
        <w:tab/>
      </w:r>
      <w:r w:rsidRPr="00DA5E13">
        <w:rPr>
          <w:sz w:val="22"/>
          <w:szCs w:val="22"/>
        </w:rPr>
        <w:tab/>
      </w:r>
      <w:r w:rsidRPr="00DA5E13">
        <w:rPr>
          <w:sz w:val="22"/>
          <w:szCs w:val="22"/>
        </w:rPr>
        <w:sym w:font="Monotype Sorts" w:char="F071"/>
      </w:r>
    </w:p>
    <w:p w14:paraId="31A0E399" w14:textId="77777777" w:rsidR="000923BB" w:rsidRPr="00DA5E13" w:rsidRDefault="000923BB" w:rsidP="000923BB">
      <w:pPr>
        <w:pStyle w:val="Header"/>
        <w:tabs>
          <w:tab w:val="left" w:pos="2835"/>
          <w:tab w:val="left" w:pos="4820"/>
          <w:tab w:val="left" w:pos="6379"/>
          <w:tab w:val="left" w:pos="7371"/>
          <w:tab w:val="left" w:pos="9072"/>
        </w:tabs>
        <w:rPr>
          <w:sz w:val="22"/>
          <w:szCs w:val="22"/>
        </w:rPr>
      </w:pPr>
    </w:p>
    <w:p w14:paraId="04482B51" w14:textId="77777777" w:rsidR="000923BB" w:rsidRPr="00DA5E13" w:rsidRDefault="000923BB" w:rsidP="000923BB">
      <w:pPr>
        <w:pStyle w:val="Header"/>
        <w:tabs>
          <w:tab w:val="left" w:pos="2835"/>
          <w:tab w:val="left" w:pos="4820"/>
          <w:tab w:val="left" w:pos="6379"/>
          <w:tab w:val="left" w:pos="7371"/>
          <w:tab w:val="left" w:pos="9072"/>
        </w:tabs>
        <w:rPr>
          <w:sz w:val="22"/>
          <w:szCs w:val="22"/>
        </w:rPr>
      </w:pPr>
    </w:p>
    <w:p w14:paraId="5FB287E2" w14:textId="77777777" w:rsidR="000923BB" w:rsidRPr="00DA5E13" w:rsidRDefault="000923BB" w:rsidP="000923BB">
      <w:pPr>
        <w:pStyle w:val="Header"/>
        <w:pBdr>
          <w:top w:val="dotted" w:sz="4" w:space="10" w:color="auto"/>
        </w:pBdr>
        <w:tabs>
          <w:tab w:val="left" w:pos="2835"/>
          <w:tab w:val="left" w:pos="4820"/>
          <w:tab w:val="left" w:pos="6379"/>
          <w:tab w:val="left" w:pos="7371"/>
          <w:tab w:val="left" w:pos="9072"/>
        </w:tabs>
        <w:rPr>
          <w:sz w:val="22"/>
          <w:szCs w:val="22"/>
        </w:rPr>
      </w:pPr>
      <w:r w:rsidRPr="00DA5E13">
        <w:rPr>
          <w:sz w:val="22"/>
          <w:szCs w:val="22"/>
        </w:rPr>
        <w:t>13. What are the patient’s social circumstances?</w:t>
      </w:r>
    </w:p>
    <w:p w14:paraId="5F13D18D" w14:textId="77777777" w:rsidR="000923BB" w:rsidRPr="00DA5E13" w:rsidRDefault="000923BB" w:rsidP="000923BB">
      <w:pPr>
        <w:pStyle w:val="Header"/>
        <w:tabs>
          <w:tab w:val="left" w:pos="2835"/>
          <w:tab w:val="left" w:pos="4820"/>
          <w:tab w:val="left" w:pos="6379"/>
          <w:tab w:val="left" w:pos="7371"/>
          <w:tab w:val="left" w:pos="9072"/>
        </w:tabs>
        <w:rPr>
          <w:sz w:val="22"/>
          <w:szCs w:val="22"/>
        </w:rPr>
      </w:pPr>
    </w:p>
    <w:p w14:paraId="165AF002" w14:textId="77777777" w:rsidR="000923BB" w:rsidRPr="00DA5E13" w:rsidRDefault="000923BB" w:rsidP="006C4584">
      <w:pPr>
        <w:pStyle w:val="Header"/>
        <w:tabs>
          <w:tab w:val="clear" w:pos="4513"/>
          <w:tab w:val="left" w:pos="3828"/>
          <w:tab w:val="left" w:pos="4536"/>
          <w:tab w:val="left" w:pos="4820"/>
          <w:tab w:val="left" w:pos="6379"/>
          <w:tab w:val="left" w:pos="7371"/>
          <w:tab w:val="left" w:pos="9072"/>
        </w:tabs>
        <w:rPr>
          <w:sz w:val="22"/>
          <w:szCs w:val="22"/>
        </w:rPr>
      </w:pPr>
      <w:r w:rsidRPr="00DA5E13">
        <w:rPr>
          <w:sz w:val="22"/>
          <w:szCs w:val="22"/>
        </w:rPr>
        <w:t>lives alone, no support</w:t>
      </w:r>
      <w:r w:rsidRPr="00DA5E13">
        <w:rPr>
          <w:sz w:val="22"/>
          <w:szCs w:val="22"/>
        </w:rPr>
        <w:tab/>
      </w:r>
      <w:r w:rsidRPr="00DA5E13">
        <w:rPr>
          <w:sz w:val="22"/>
          <w:szCs w:val="22"/>
        </w:rPr>
        <w:tab/>
      </w:r>
      <w:r w:rsidRPr="00DA5E13">
        <w:rPr>
          <w:sz w:val="22"/>
          <w:szCs w:val="22"/>
        </w:rPr>
        <w:tab/>
      </w:r>
      <w:r w:rsidRPr="00DA5E13">
        <w:rPr>
          <w:sz w:val="22"/>
          <w:szCs w:val="22"/>
        </w:rPr>
        <w:sym w:font="Monotype Sorts" w:char="F071"/>
      </w:r>
    </w:p>
    <w:p w14:paraId="39B631C7" w14:textId="77777777" w:rsidR="000923BB" w:rsidRPr="00DA5E13" w:rsidRDefault="000923BB" w:rsidP="006C4584">
      <w:pPr>
        <w:pStyle w:val="Header"/>
        <w:tabs>
          <w:tab w:val="clear" w:pos="4513"/>
          <w:tab w:val="left" w:pos="3828"/>
          <w:tab w:val="left" w:pos="4536"/>
          <w:tab w:val="left" w:pos="4820"/>
          <w:tab w:val="left" w:pos="6379"/>
          <w:tab w:val="left" w:pos="7371"/>
          <w:tab w:val="left" w:pos="9072"/>
        </w:tabs>
        <w:rPr>
          <w:sz w:val="22"/>
          <w:szCs w:val="22"/>
        </w:rPr>
      </w:pPr>
      <w:r w:rsidRPr="00DA5E13">
        <w:rPr>
          <w:sz w:val="22"/>
          <w:szCs w:val="22"/>
        </w:rPr>
        <w:t>lives alone with social service support</w:t>
      </w:r>
      <w:r w:rsidRPr="00DA5E13">
        <w:rPr>
          <w:sz w:val="22"/>
          <w:szCs w:val="22"/>
        </w:rPr>
        <w:tab/>
      </w:r>
      <w:r w:rsidRPr="00DA5E13">
        <w:rPr>
          <w:sz w:val="22"/>
          <w:szCs w:val="22"/>
        </w:rPr>
        <w:tab/>
      </w:r>
      <w:r w:rsidRPr="00DA5E13">
        <w:rPr>
          <w:sz w:val="22"/>
          <w:szCs w:val="22"/>
        </w:rPr>
        <w:sym w:font="Monotype Sorts" w:char="F071"/>
      </w:r>
    </w:p>
    <w:p w14:paraId="1DA069D9" w14:textId="77777777" w:rsidR="000923BB" w:rsidRPr="00DA5E13" w:rsidRDefault="000923BB" w:rsidP="006C4584">
      <w:pPr>
        <w:pStyle w:val="Header"/>
        <w:tabs>
          <w:tab w:val="clear" w:pos="4513"/>
          <w:tab w:val="left" w:pos="3828"/>
          <w:tab w:val="left" w:pos="4536"/>
          <w:tab w:val="left" w:pos="4820"/>
          <w:tab w:val="left" w:pos="6379"/>
          <w:tab w:val="left" w:pos="7371"/>
          <w:tab w:val="left" w:pos="9072"/>
        </w:tabs>
        <w:rPr>
          <w:sz w:val="22"/>
          <w:szCs w:val="22"/>
        </w:rPr>
      </w:pPr>
      <w:r w:rsidRPr="00DA5E13">
        <w:rPr>
          <w:sz w:val="22"/>
          <w:szCs w:val="22"/>
        </w:rPr>
        <w:t>lives with spouse or close relative</w:t>
      </w:r>
      <w:r w:rsidRPr="00DA5E13">
        <w:rPr>
          <w:sz w:val="22"/>
          <w:szCs w:val="22"/>
        </w:rPr>
        <w:tab/>
      </w:r>
      <w:r w:rsidRPr="00DA5E13">
        <w:rPr>
          <w:sz w:val="22"/>
          <w:szCs w:val="22"/>
        </w:rPr>
        <w:tab/>
      </w:r>
      <w:r w:rsidRPr="00DA5E13">
        <w:rPr>
          <w:sz w:val="22"/>
          <w:szCs w:val="22"/>
        </w:rPr>
        <w:sym w:font="Monotype Sorts" w:char="F071"/>
      </w:r>
    </w:p>
    <w:p w14:paraId="2E097968" w14:textId="77777777" w:rsidR="000923BB" w:rsidRPr="00DA5E13" w:rsidRDefault="006C4584" w:rsidP="006C4584">
      <w:pPr>
        <w:pStyle w:val="Header"/>
        <w:tabs>
          <w:tab w:val="clear" w:pos="4513"/>
          <w:tab w:val="left" w:pos="3828"/>
          <w:tab w:val="left" w:pos="4536"/>
          <w:tab w:val="left" w:pos="4820"/>
          <w:tab w:val="left" w:pos="6379"/>
          <w:tab w:val="left" w:pos="7371"/>
          <w:tab w:val="left" w:pos="9072"/>
        </w:tabs>
        <w:rPr>
          <w:sz w:val="22"/>
          <w:szCs w:val="22"/>
        </w:rPr>
      </w:pPr>
      <w:r>
        <w:rPr>
          <w:sz w:val="22"/>
          <w:szCs w:val="22"/>
        </w:rPr>
        <w:t>l</w:t>
      </w:r>
      <w:r w:rsidR="000923BB" w:rsidRPr="00DA5E13">
        <w:rPr>
          <w:sz w:val="22"/>
          <w:szCs w:val="22"/>
        </w:rPr>
        <w:t>ives in nursing/residential home</w:t>
      </w:r>
      <w:r w:rsidR="000923BB" w:rsidRPr="00DA5E13">
        <w:rPr>
          <w:sz w:val="22"/>
          <w:szCs w:val="22"/>
        </w:rPr>
        <w:tab/>
      </w:r>
      <w:r w:rsidR="000923BB" w:rsidRPr="00DA5E13">
        <w:rPr>
          <w:sz w:val="22"/>
          <w:szCs w:val="22"/>
        </w:rPr>
        <w:tab/>
      </w:r>
      <w:r w:rsidR="000923BB" w:rsidRPr="00DA5E13">
        <w:rPr>
          <w:sz w:val="22"/>
          <w:szCs w:val="22"/>
        </w:rPr>
        <w:sym w:font="Monotype Sorts" w:char="F071"/>
      </w:r>
    </w:p>
    <w:p w14:paraId="3C8360E0" w14:textId="77777777" w:rsidR="000923BB" w:rsidRPr="00DA5E13" w:rsidRDefault="000923BB" w:rsidP="006C4584">
      <w:pPr>
        <w:pStyle w:val="Header"/>
        <w:tabs>
          <w:tab w:val="clear" w:pos="4513"/>
          <w:tab w:val="left" w:pos="3828"/>
          <w:tab w:val="left" w:pos="4536"/>
          <w:tab w:val="left" w:pos="4820"/>
          <w:tab w:val="left" w:pos="6379"/>
          <w:tab w:val="left" w:pos="7371"/>
          <w:tab w:val="left" w:pos="9072"/>
        </w:tabs>
        <w:rPr>
          <w:sz w:val="22"/>
          <w:szCs w:val="22"/>
        </w:rPr>
      </w:pPr>
      <w:r w:rsidRPr="00DA5E13">
        <w:rPr>
          <w:sz w:val="22"/>
          <w:szCs w:val="22"/>
        </w:rPr>
        <w:t>lives in warden controlled (sheltered) housing</w:t>
      </w:r>
      <w:r w:rsidRPr="00DA5E13">
        <w:rPr>
          <w:sz w:val="22"/>
          <w:szCs w:val="22"/>
        </w:rPr>
        <w:tab/>
      </w:r>
      <w:r w:rsidRPr="00DA5E13">
        <w:rPr>
          <w:sz w:val="22"/>
          <w:szCs w:val="22"/>
        </w:rPr>
        <w:tab/>
      </w:r>
      <w:r w:rsidRPr="00DA5E13">
        <w:rPr>
          <w:sz w:val="22"/>
          <w:szCs w:val="22"/>
        </w:rPr>
        <w:sym w:font="Monotype Sorts" w:char="F071"/>
      </w:r>
    </w:p>
    <w:p w14:paraId="17283FE7" w14:textId="77777777" w:rsidR="000923BB" w:rsidRPr="00DA5E13" w:rsidRDefault="000923BB" w:rsidP="000923BB">
      <w:pPr>
        <w:pStyle w:val="Header"/>
        <w:tabs>
          <w:tab w:val="clear" w:pos="4513"/>
          <w:tab w:val="left" w:pos="3828"/>
          <w:tab w:val="left" w:pos="4536"/>
          <w:tab w:val="left" w:pos="4820"/>
          <w:tab w:val="left" w:pos="6379"/>
          <w:tab w:val="left" w:pos="7371"/>
          <w:tab w:val="left" w:pos="9072"/>
        </w:tabs>
        <w:rPr>
          <w:sz w:val="22"/>
          <w:szCs w:val="22"/>
        </w:rPr>
      </w:pPr>
    </w:p>
    <w:p w14:paraId="7E28422D" w14:textId="77777777" w:rsidR="000923BB" w:rsidRPr="00DA5E13" w:rsidRDefault="000923BB" w:rsidP="000923BB">
      <w:pPr>
        <w:pStyle w:val="Header"/>
        <w:rPr>
          <w:b/>
          <w:u w:val="single"/>
        </w:rPr>
      </w:pPr>
      <w:r w:rsidRPr="00DA5E13">
        <w:rPr>
          <w:sz w:val="22"/>
          <w:szCs w:val="22"/>
        </w:rPr>
        <w:br w:type="page"/>
      </w:r>
      <w:r w:rsidRPr="00DA5E13">
        <w:rPr>
          <w:b/>
          <w:u w:val="single"/>
        </w:rPr>
        <w:lastRenderedPageBreak/>
        <w:t>Admission</w:t>
      </w:r>
    </w:p>
    <w:p w14:paraId="697FC091" w14:textId="77777777" w:rsidR="000923BB" w:rsidRDefault="000923BB" w:rsidP="000923BB">
      <w:pPr>
        <w:pStyle w:val="Header"/>
      </w:pPr>
    </w:p>
    <w:p w14:paraId="650B5D34" w14:textId="77777777" w:rsidR="000923BB" w:rsidRDefault="000923BB" w:rsidP="000923BB">
      <w:pPr>
        <w:pStyle w:val="Header"/>
        <w:tabs>
          <w:tab w:val="left" w:pos="2835"/>
          <w:tab w:val="left" w:pos="4820"/>
          <w:tab w:val="left" w:pos="6379"/>
          <w:tab w:val="left" w:pos="7371"/>
          <w:tab w:val="left" w:pos="9072"/>
        </w:tabs>
      </w:pPr>
    </w:p>
    <w:p w14:paraId="00038EA1" w14:textId="77777777" w:rsidR="000923BB" w:rsidRPr="00DA5E13" w:rsidRDefault="000923BB" w:rsidP="000923BB">
      <w:pPr>
        <w:pStyle w:val="Header"/>
        <w:tabs>
          <w:tab w:val="left" w:pos="2835"/>
          <w:tab w:val="left" w:pos="4820"/>
          <w:tab w:val="left" w:pos="6379"/>
          <w:tab w:val="left" w:pos="7371"/>
          <w:tab w:val="left" w:pos="9072"/>
        </w:tabs>
      </w:pPr>
    </w:p>
    <w:p w14:paraId="238357D5" w14:textId="77777777" w:rsidR="000923BB" w:rsidRPr="00DA5E13" w:rsidRDefault="000923BB" w:rsidP="000923BB">
      <w:pPr>
        <w:pStyle w:val="Header"/>
        <w:pBdr>
          <w:top w:val="dotted" w:sz="4" w:space="10" w:color="auto"/>
        </w:pBdr>
        <w:tabs>
          <w:tab w:val="left" w:pos="2835"/>
          <w:tab w:val="left" w:pos="4820"/>
          <w:tab w:val="left" w:pos="6379"/>
          <w:tab w:val="left" w:pos="7371"/>
          <w:tab w:val="left" w:pos="9072"/>
        </w:tabs>
      </w:pPr>
      <w:r w:rsidRPr="00DA5E13">
        <w:t>14. At admission, was there a record of</w:t>
      </w:r>
    </w:p>
    <w:p w14:paraId="00CD59B4" w14:textId="77777777" w:rsidR="000923BB" w:rsidRPr="00DA5E13" w:rsidRDefault="000923BB" w:rsidP="000923BB">
      <w:pPr>
        <w:pStyle w:val="Header"/>
        <w:pBdr>
          <w:top w:val="dotted" w:sz="4" w:space="10" w:color="auto"/>
        </w:pBdr>
        <w:tabs>
          <w:tab w:val="left" w:pos="2835"/>
          <w:tab w:val="left" w:pos="4820"/>
          <w:tab w:val="left" w:pos="6379"/>
          <w:tab w:val="left" w:pos="7371"/>
          <w:tab w:val="left" w:pos="9072"/>
        </w:tabs>
      </w:pPr>
    </w:p>
    <w:p w14:paraId="60F70F17" w14:textId="77777777" w:rsidR="000923BB" w:rsidRPr="00DA5E13" w:rsidRDefault="000923BB" w:rsidP="000923BB">
      <w:pPr>
        <w:pStyle w:val="Header"/>
        <w:tabs>
          <w:tab w:val="left" w:pos="2835"/>
          <w:tab w:val="left" w:pos="4820"/>
          <w:tab w:val="left" w:pos="6379"/>
          <w:tab w:val="left" w:pos="7371"/>
          <w:tab w:val="left" w:pos="9072"/>
        </w:tabs>
        <w:ind w:left="720"/>
      </w:pPr>
      <w:r w:rsidRPr="00DA5E13">
        <w:tab/>
        <w:t>level of breathlessness</w:t>
      </w:r>
      <w:r w:rsidRPr="00DA5E13">
        <w:tab/>
      </w:r>
      <w:r w:rsidRPr="00DA5E13">
        <w:tab/>
        <w:t>increased</w:t>
      </w:r>
      <w:r w:rsidRPr="00DA5E13">
        <w:tab/>
      </w:r>
      <w:r w:rsidRPr="00DA5E13">
        <w:sym w:font="Monotype Sorts" w:char="F071"/>
      </w:r>
    </w:p>
    <w:p w14:paraId="010ACC80" w14:textId="77777777" w:rsidR="000923BB" w:rsidRPr="00DA5E13" w:rsidRDefault="006C4584" w:rsidP="000923BB">
      <w:pPr>
        <w:pStyle w:val="Header"/>
        <w:tabs>
          <w:tab w:val="left" w:pos="2835"/>
          <w:tab w:val="left" w:pos="4820"/>
          <w:tab w:val="left" w:pos="6379"/>
          <w:tab w:val="left" w:pos="7371"/>
          <w:tab w:val="left" w:pos="9072"/>
        </w:tabs>
      </w:pPr>
      <w:r>
        <w:tab/>
      </w:r>
      <w:r>
        <w:tab/>
      </w:r>
      <w:r>
        <w:tab/>
        <w:t>n</w:t>
      </w:r>
      <w:r w:rsidR="000923BB" w:rsidRPr="00DA5E13">
        <w:t>ot increased</w:t>
      </w:r>
      <w:r w:rsidR="000923BB" w:rsidRPr="00DA5E13">
        <w:tab/>
      </w:r>
      <w:r w:rsidR="000923BB" w:rsidRPr="00DA5E13">
        <w:sym w:font="Monotype Sorts" w:char="F071"/>
      </w:r>
    </w:p>
    <w:p w14:paraId="1653F763" w14:textId="77777777" w:rsidR="000923BB" w:rsidRPr="00DA5E13" w:rsidRDefault="006C4584" w:rsidP="000923BB">
      <w:pPr>
        <w:pStyle w:val="Header"/>
        <w:tabs>
          <w:tab w:val="left" w:pos="2835"/>
          <w:tab w:val="left" w:pos="4820"/>
          <w:tab w:val="left" w:pos="6379"/>
          <w:tab w:val="left" w:pos="7371"/>
          <w:tab w:val="left" w:pos="9072"/>
        </w:tabs>
      </w:pPr>
      <w:r>
        <w:tab/>
      </w:r>
      <w:r>
        <w:tab/>
      </w:r>
      <w:r>
        <w:tab/>
      </w:r>
      <w:r w:rsidR="000923BB" w:rsidRPr="00DA5E13">
        <w:t>not recorded</w:t>
      </w:r>
      <w:r w:rsidR="000923BB" w:rsidRPr="00DA5E13">
        <w:tab/>
      </w:r>
      <w:r w:rsidR="000923BB" w:rsidRPr="00DA5E13">
        <w:sym w:font="Monotype Sorts" w:char="F071"/>
      </w:r>
    </w:p>
    <w:p w14:paraId="2E463CE0" w14:textId="77777777" w:rsidR="000923BB" w:rsidRPr="00DA5E13" w:rsidRDefault="000923BB" w:rsidP="000923BB">
      <w:pPr>
        <w:pStyle w:val="Header"/>
        <w:tabs>
          <w:tab w:val="left" w:pos="2835"/>
          <w:tab w:val="left" w:pos="4820"/>
          <w:tab w:val="left" w:pos="6379"/>
          <w:tab w:val="left" w:pos="7371"/>
          <w:tab w:val="left" w:pos="9072"/>
        </w:tabs>
      </w:pPr>
    </w:p>
    <w:p w14:paraId="579A2D49" w14:textId="77777777" w:rsidR="000923BB" w:rsidRPr="00DA5E13" w:rsidRDefault="006C4584" w:rsidP="000923BB">
      <w:pPr>
        <w:pStyle w:val="Header"/>
        <w:tabs>
          <w:tab w:val="left" w:pos="2835"/>
          <w:tab w:val="left" w:pos="4820"/>
          <w:tab w:val="left" w:pos="6379"/>
          <w:tab w:val="left" w:pos="7371"/>
          <w:tab w:val="left" w:pos="9072"/>
        </w:tabs>
        <w:ind w:left="720"/>
      </w:pPr>
      <w:r>
        <w:tab/>
        <w:t>level of sputum</w:t>
      </w:r>
      <w:r>
        <w:tab/>
      </w:r>
      <w:r>
        <w:tab/>
      </w:r>
      <w:r w:rsidR="000923BB" w:rsidRPr="00DA5E13">
        <w:t>increased</w:t>
      </w:r>
      <w:r w:rsidR="000923BB" w:rsidRPr="00DA5E13">
        <w:tab/>
      </w:r>
      <w:r w:rsidR="000923BB" w:rsidRPr="00DA5E13">
        <w:sym w:font="Monotype Sorts" w:char="F071"/>
      </w:r>
    </w:p>
    <w:p w14:paraId="50C82BCA" w14:textId="77777777" w:rsidR="000923BB" w:rsidRPr="00DA5E13" w:rsidRDefault="006C4584" w:rsidP="000923BB">
      <w:pPr>
        <w:pStyle w:val="Header"/>
        <w:tabs>
          <w:tab w:val="left" w:pos="2835"/>
          <w:tab w:val="left" w:pos="4820"/>
          <w:tab w:val="left" w:pos="6379"/>
          <w:tab w:val="left" w:pos="7371"/>
          <w:tab w:val="left" w:pos="9072"/>
        </w:tabs>
      </w:pPr>
      <w:r>
        <w:tab/>
      </w:r>
      <w:r>
        <w:tab/>
      </w:r>
      <w:r>
        <w:tab/>
      </w:r>
      <w:r w:rsidR="000923BB" w:rsidRPr="00DA5E13">
        <w:t>not increased</w:t>
      </w:r>
      <w:r w:rsidR="000923BB" w:rsidRPr="00DA5E13">
        <w:tab/>
      </w:r>
      <w:r w:rsidR="000923BB" w:rsidRPr="00DA5E13">
        <w:sym w:font="Monotype Sorts" w:char="F071"/>
      </w:r>
    </w:p>
    <w:p w14:paraId="2A44B382" w14:textId="77777777" w:rsidR="000923BB" w:rsidRPr="00DA5E13" w:rsidRDefault="006C4584" w:rsidP="000923BB">
      <w:pPr>
        <w:pStyle w:val="Header"/>
        <w:tabs>
          <w:tab w:val="left" w:pos="2835"/>
          <w:tab w:val="left" w:pos="4820"/>
          <w:tab w:val="left" w:pos="6379"/>
          <w:tab w:val="left" w:pos="7371"/>
          <w:tab w:val="left" w:pos="9072"/>
        </w:tabs>
      </w:pPr>
      <w:r>
        <w:tab/>
      </w:r>
      <w:r>
        <w:tab/>
      </w:r>
      <w:r>
        <w:tab/>
      </w:r>
      <w:r w:rsidR="000923BB" w:rsidRPr="00DA5E13">
        <w:t>not recorded</w:t>
      </w:r>
      <w:r w:rsidR="000923BB" w:rsidRPr="00DA5E13">
        <w:tab/>
      </w:r>
      <w:r w:rsidR="000923BB" w:rsidRPr="00DA5E13">
        <w:sym w:font="Monotype Sorts" w:char="F071"/>
      </w:r>
    </w:p>
    <w:p w14:paraId="28A754E0" w14:textId="77777777" w:rsidR="000923BB" w:rsidRPr="00DA5E13" w:rsidRDefault="000923BB" w:rsidP="000923BB">
      <w:pPr>
        <w:pStyle w:val="Header"/>
        <w:tabs>
          <w:tab w:val="left" w:pos="2835"/>
          <w:tab w:val="left" w:pos="4820"/>
          <w:tab w:val="left" w:pos="6379"/>
          <w:tab w:val="left" w:pos="7371"/>
          <w:tab w:val="left" w:pos="9072"/>
        </w:tabs>
      </w:pPr>
    </w:p>
    <w:p w14:paraId="366FD644" w14:textId="77777777" w:rsidR="000923BB" w:rsidRPr="00DA5E13" w:rsidRDefault="000923BB" w:rsidP="000923BB">
      <w:pPr>
        <w:pStyle w:val="Header"/>
        <w:tabs>
          <w:tab w:val="left" w:pos="2835"/>
          <w:tab w:val="left" w:pos="4820"/>
          <w:tab w:val="left" w:pos="6379"/>
          <w:tab w:val="left" w:pos="7371"/>
          <w:tab w:val="left" w:pos="9072"/>
        </w:tabs>
        <w:ind w:left="720"/>
      </w:pPr>
      <w:r w:rsidRPr="00DA5E13">
        <w:tab/>
        <w:t>changes in</w:t>
      </w:r>
      <w:r w:rsidR="006C4584">
        <w:t xml:space="preserve"> colour of sputum</w:t>
      </w:r>
      <w:r w:rsidR="006C4584">
        <w:tab/>
      </w:r>
      <w:r w:rsidRPr="00DA5E13">
        <w:t>changed</w:t>
      </w:r>
      <w:r w:rsidRPr="00DA5E13">
        <w:tab/>
      </w:r>
      <w:r w:rsidRPr="00DA5E13">
        <w:sym w:font="Monotype Sorts" w:char="F071"/>
      </w:r>
    </w:p>
    <w:p w14:paraId="7B7BADB7" w14:textId="77777777" w:rsidR="000923BB" w:rsidRPr="00DA5E13" w:rsidRDefault="006C4584" w:rsidP="000923BB">
      <w:pPr>
        <w:pStyle w:val="Header"/>
        <w:tabs>
          <w:tab w:val="left" w:pos="2835"/>
          <w:tab w:val="left" w:pos="4820"/>
          <w:tab w:val="left" w:pos="6379"/>
          <w:tab w:val="left" w:pos="7371"/>
          <w:tab w:val="left" w:pos="9072"/>
        </w:tabs>
      </w:pPr>
      <w:r>
        <w:tab/>
      </w:r>
      <w:r>
        <w:tab/>
      </w:r>
      <w:r>
        <w:tab/>
      </w:r>
      <w:r w:rsidR="000923BB" w:rsidRPr="00DA5E13">
        <w:t>not changed</w:t>
      </w:r>
      <w:r w:rsidR="000923BB" w:rsidRPr="00DA5E13">
        <w:tab/>
      </w:r>
      <w:r w:rsidR="000923BB" w:rsidRPr="00DA5E13">
        <w:sym w:font="Monotype Sorts" w:char="F071"/>
      </w:r>
    </w:p>
    <w:p w14:paraId="52C43C77" w14:textId="77777777" w:rsidR="000923BB" w:rsidRPr="00DA5E13" w:rsidRDefault="006C4584" w:rsidP="000923BB">
      <w:pPr>
        <w:pStyle w:val="Header"/>
        <w:tabs>
          <w:tab w:val="left" w:pos="2835"/>
          <w:tab w:val="left" w:pos="4820"/>
          <w:tab w:val="left" w:pos="6379"/>
          <w:tab w:val="left" w:pos="7371"/>
          <w:tab w:val="left" w:pos="9072"/>
        </w:tabs>
      </w:pPr>
      <w:r>
        <w:tab/>
      </w:r>
      <w:r>
        <w:tab/>
      </w:r>
      <w:r>
        <w:tab/>
      </w:r>
      <w:r w:rsidR="000923BB" w:rsidRPr="00DA5E13">
        <w:t>not recorded</w:t>
      </w:r>
      <w:r w:rsidR="000923BB" w:rsidRPr="00DA5E13">
        <w:tab/>
      </w:r>
      <w:r w:rsidR="000923BB" w:rsidRPr="00DA5E13">
        <w:sym w:font="Monotype Sorts" w:char="F071"/>
      </w:r>
    </w:p>
    <w:p w14:paraId="4D508C27" w14:textId="77777777" w:rsidR="000923BB" w:rsidRPr="00DA5E13" w:rsidRDefault="000923BB" w:rsidP="000923BB">
      <w:pPr>
        <w:pStyle w:val="Header"/>
        <w:tabs>
          <w:tab w:val="left" w:pos="2835"/>
          <w:tab w:val="left" w:pos="4820"/>
          <w:tab w:val="left" w:pos="6379"/>
          <w:tab w:val="left" w:pos="7371"/>
          <w:tab w:val="left" w:pos="9072"/>
        </w:tabs>
      </w:pPr>
    </w:p>
    <w:p w14:paraId="261D95BA" w14:textId="77777777" w:rsidR="000923BB" w:rsidRPr="00DA5E13" w:rsidRDefault="006C4584" w:rsidP="000923BB">
      <w:pPr>
        <w:pStyle w:val="Header"/>
        <w:tabs>
          <w:tab w:val="left" w:pos="2835"/>
          <w:tab w:val="left" w:pos="4820"/>
          <w:tab w:val="left" w:pos="6379"/>
          <w:tab w:val="left" w:pos="7371"/>
          <w:tab w:val="left" w:pos="9072"/>
        </w:tabs>
        <w:ind w:left="720"/>
      </w:pPr>
      <w:r>
        <w:tab/>
        <w:t>sputum colour</w:t>
      </w:r>
      <w:r>
        <w:tab/>
      </w:r>
      <w:r>
        <w:tab/>
      </w:r>
      <w:r w:rsidR="000923BB" w:rsidRPr="00DA5E13">
        <w:t>white or grey</w:t>
      </w:r>
      <w:r w:rsidR="000923BB" w:rsidRPr="00DA5E13">
        <w:tab/>
      </w:r>
      <w:r w:rsidR="000923BB" w:rsidRPr="00DA5E13">
        <w:sym w:font="Monotype Sorts" w:char="F071"/>
      </w:r>
    </w:p>
    <w:p w14:paraId="5805C714" w14:textId="77777777" w:rsidR="000923BB" w:rsidRPr="00DA5E13" w:rsidRDefault="006C4584" w:rsidP="000923BB">
      <w:pPr>
        <w:pStyle w:val="Header"/>
        <w:tabs>
          <w:tab w:val="left" w:pos="2835"/>
          <w:tab w:val="left" w:pos="4820"/>
          <w:tab w:val="left" w:pos="6379"/>
          <w:tab w:val="left" w:pos="7371"/>
          <w:tab w:val="left" w:pos="9072"/>
        </w:tabs>
      </w:pPr>
      <w:r>
        <w:tab/>
      </w:r>
      <w:r>
        <w:tab/>
      </w:r>
      <w:r>
        <w:tab/>
        <w:t>yellow or green</w:t>
      </w:r>
      <w:r w:rsidR="000923BB" w:rsidRPr="00DA5E13">
        <w:sym w:font="Monotype Sorts" w:char="F071"/>
      </w:r>
    </w:p>
    <w:p w14:paraId="70B3212E" w14:textId="77777777" w:rsidR="000923BB" w:rsidRPr="00DA5E13" w:rsidRDefault="006C4584" w:rsidP="000923BB">
      <w:pPr>
        <w:pStyle w:val="Header"/>
        <w:tabs>
          <w:tab w:val="left" w:pos="2835"/>
          <w:tab w:val="left" w:pos="4820"/>
          <w:tab w:val="left" w:pos="6379"/>
          <w:tab w:val="left" w:pos="7371"/>
          <w:tab w:val="left" w:pos="9072"/>
        </w:tabs>
      </w:pPr>
      <w:r>
        <w:tab/>
      </w:r>
      <w:r>
        <w:tab/>
      </w:r>
      <w:r>
        <w:tab/>
      </w:r>
      <w:r w:rsidR="000923BB" w:rsidRPr="00DA5E13">
        <w:t>no sputum</w:t>
      </w:r>
      <w:r w:rsidR="000923BB" w:rsidRPr="00DA5E13">
        <w:tab/>
      </w:r>
      <w:r w:rsidR="000923BB" w:rsidRPr="00DA5E13">
        <w:sym w:font="Monotype Sorts" w:char="F071"/>
      </w:r>
    </w:p>
    <w:p w14:paraId="230CD687" w14:textId="77777777" w:rsidR="000923BB" w:rsidRPr="00DA5E13" w:rsidRDefault="006C4584" w:rsidP="000923BB">
      <w:pPr>
        <w:pStyle w:val="Header"/>
        <w:tabs>
          <w:tab w:val="left" w:pos="2835"/>
          <w:tab w:val="left" w:pos="4820"/>
          <w:tab w:val="left" w:pos="6379"/>
          <w:tab w:val="left" w:pos="7371"/>
          <w:tab w:val="left" w:pos="9072"/>
        </w:tabs>
      </w:pPr>
      <w:r>
        <w:tab/>
      </w:r>
      <w:r>
        <w:tab/>
      </w:r>
      <w:r>
        <w:tab/>
      </w:r>
      <w:r w:rsidR="000923BB" w:rsidRPr="00DA5E13">
        <w:t>not recorded</w:t>
      </w:r>
      <w:r w:rsidR="000923BB" w:rsidRPr="00DA5E13">
        <w:tab/>
      </w:r>
      <w:r w:rsidR="000923BB" w:rsidRPr="00DA5E13">
        <w:sym w:font="Monotype Sorts" w:char="F071"/>
      </w:r>
    </w:p>
    <w:p w14:paraId="3E8EB36A" w14:textId="77777777" w:rsidR="000923BB" w:rsidRPr="00DA5E13" w:rsidRDefault="000923BB" w:rsidP="000923BB"/>
    <w:p w14:paraId="0385B018" w14:textId="77777777" w:rsidR="000923BB" w:rsidRPr="00DA5E13" w:rsidRDefault="000923BB" w:rsidP="000923BB">
      <w:pPr>
        <w:pStyle w:val="Header"/>
        <w:pBdr>
          <w:top w:val="dotted" w:sz="4" w:space="10" w:color="auto"/>
        </w:pBdr>
        <w:tabs>
          <w:tab w:val="left" w:pos="2835"/>
          <w:tab w:val="left" w:pos="4820"/>
          <w:tab w:val="left" w:pos="6379"/>
          <w:tab w:val="left" w:pos="7371"/>
          <w:tab w:val="left" w:pos="9072"/>
        </w:tabs>
      </w:pPr>
      <w:r w:rsidRPr="00DA5E13">
        <w:t>15. Was the patient’s dyspnoea rating (e.g. on the MRC dyspnoea scale) recorded</w:t>
      </w:r>
    </w:p>
    <w:p w14:paraId="3AC1403E" w14:textId="77777777" w:rsidR="000923BB" w:rsidRPr="00DA5E13" w:rsidRDefault="000923BB" w:rsidP="000923BB">
      <w:pPr>
        <w:pStyle w:val="Header"/>
        <w:pBdr>
          <w:top w:val="dotted" w:sz="4" w:space="10" w:color="auto"/>
        </w:pBdr>
        <w:tabs>
          <w:tab w:val="left" w:pos="2835"/>
          <w:tab w:val="left" w:pos="4820"/>
          <w:tab w:val="left" w:pos="6379"/>
          <w:tab w:val="left" w:pos="7371"/>
          <w:tab w:val="left" w:pos="9072"/>
        </w:tabs>
      </w:pPr>
      <w:r w:rsidRPr="00DA5E13">
        <w:tab/>
      </w:r>
      <w:r w:rsidRPr="00DA5E13">
        <w:tab/>
      </w:r>
      <w:r w:rsidRPr="00DA5E13">
        <w:tab/>
      </w:r>
      <w:r w:rsidRPr="00DA5E13">
        <w:tab/>
        <w:t>yes</w:t>
      </w:r>
      <w:r w:rsidRPr="00DA5E13">
        <w:tab/>
      </w:r>
      <w:r w:rsidRPr="00DA5E13">
        <w:sym w:font="Monotype Sorts" w:char="F071"/>
      </w:r>
    </w:p>
    <w:p w14:paraId="22CA54DB" w14:textId="77777777" w:rsidR="000923BB" w:rsidRPr="00DA5E13" w:rsidRDefault="006C4584" w:rsidP="000923BB">
      <w:pPr>
        <w:tabs>
          <w:tab w:val="left" w:pos="2835"/>
          <w:tab w:val="left" w:pos="4820"/>
          <w:tab w:val="left" w:pos="7371"/>
          <w:tab w:val="left" w:pos="9072"/>
        </w:tabs>
      </w:pPr>
      <w:r>
        <w:tab/>
      </w:r>
      <w:r>
        <w:tab/>
      </w:r>
      <w:r w:rsidR="000923BB" w:rsidRPr="00DA5E13">
        <w:t>no</w:t>
      </w:r>
      <w:r w:rsidR="000923BB" w:rsidRPr="00DA5E13">
        <w:tab/>
      </w:r>
      <w:r w:rsidR="000923BB" w:rsidRPr="00DA5E13">
        <w:sym w:font="Monotype Sorts" w:char="F071"/>
      </w:r>
    </w:p>
    <w:p w14:paraId="4726103A" w14:textId="77777777" w:rsidR="000923BB" w:rsidRPr="00DA5E13" w:rsidRDefault="000923BB" w:rsidP="000923BB">
      <w:pPr>
        <w:pStyle w:val="Header"/>
        <w:tabs>
          <w:tab w:val="left" w:pos="2835"/>
          <w:tab w:val="left" w:pos="4820"/>
          <w:tab w:val="left" w:pos="6379"/>
          <w:tab w:val="left" w:pos="7371"/>
          <w:tab w:val="left" w:pos="8222"/>
          <w:tab w:val="left" w:pos="9072"/>
        </w:tabs>
      </w:pPr>
    </w:p>
    <w:p w14:paraId="1A496387" w14:textId="77777777" w:rsidR="000923BB" w:rsidRPr="00DA5E13" w:rsidRDefault="000923BB" w:rsidP="000923BB">
      <w:pPr>
        <w:pStyle w:val="Header"/>
        <w:pBdr>
          <w:top w:val="dotted" w:sz="4" w:space="10" w:color="auto"/>
        </w:pBdr>
        <w:tabs>
          <w:tab w:val="left" w:pos="2835"/>
          <w:tab w:val="left" w:pos="4820"/>
          <w:tab w:val="left" w:pos="6379"/>
          <w:tab w:val="left" w:pos="7371"/>
          <w:tab w:val="left" w:pos="9072"/>
        </w:tabs>
      </w:pPr>
      <w:r w:rsidRPr="00DA5E13">
        <w:t>16. What is the patient’s performance status?</w:t>
      </w:r>
    </w:p>
    <w:p w14:paraId="0C7BFF73" w14:textId="77777777" w:rsidR="000923BB" w:rsidRPr="00DA5E13" w:rsidRDefault="006C4584" w:rsidP="000923BB">
      <w:pPr>
        <w:pStyle w:val="Header"/>
        <w:pBdr>
          <w:top w:val="dotted" w:sz="4" w:space="10" w:color="auto"/>
        </w:pBdr>
        <w:tabs>
          <w:tab w:val="left" w:pos="2835"/>
          <w:tab w:val="left" w:pos="4820"/>
          <w:tab w:val="left" w:pos="6379"/>
          <w:tab w:val="left" w:pos="7371"/>
          <w:tab w:val="left" w:pos="9072"/>
        </w:tabs>
      </w:pPr>
      <w:r>
        <w:tab/>
      </w:r>
      <w:r>
        <w:tab/>
        <w:t>normal activity</w:t>
      </w:r>
      <w:r>
        <w:tab/>
      </w:r>
      <w:r>
        <w:tab/>
      </w:r>
      <w:r w:rsidR="000923BB" w:rsidRPr="00DA5E13">
        <w:sym w:font="Monotype Sorts" w:char="F071"/>
      </w:r>
    </w:p>
    <w:p w14:paraId="0C03843F" w14:textId="77777777" w:rsidR="000923BB" w:rsidRPr="00DA5E13" w:rsidRDefault="006C4584" w:rsidP="000923BB">
      <w:pPr>
        <w:pStyle w:val="Header"/>
        <w:tabs>
          <w:tab w:val="clear" w:pos="4513"/>
          <w:tab w:val="left" w:pos="3828"/>
          <w:tab w:val="left" w:pos="4536"/>
          <w:tab w:val="left" w:pos="4820"/>
          <w:tab w:val="left" w:pos="6379"/>
          <w:tab w:val="left" w:pos="7371"/>
          <w:tab w:val="left" w:pos="9072"/>
        </w:tabs>
      </w:pPr>
      <w:r>
        <w:tab/>
        <w:t>strenuous activity limited</w:t>
      </w:r>
      <w:r>
        <w:tab/>
      </w:r>
      <w:r w:rsidR="000923BB" w:rsidRPr="00DA5E13">
        <w:sym w:font="Monotype Sorts" w:char="F071"/>
      </w:r>
    </w:p>
    <w:p w14:paraId="7DF51177" w14:textId="77777777" w:rsidR="000923BB" w:rsidRPr="00DA5E13" w:rsidRDefault="006C4584" w:rsidP="000923BB">
      <w:pPr>
        <w:pStyle w:val="Header"/>
        <w:tabs>
          <w:tab w:val="clear" w:pos="4513"/>
          <w:tab w:val="left" w:pos="3828"/>
          <w:tab w:val="left" w:pos="4536"/>
          <w:tab w:val="left" w:pos="4820"/>
          <w:tab w:val="left" w:pos="6379"/>
          <w:tab w:val="left" w:pos="7371"/>
          <w:tab w:val="left" w:pos="9072"/>
        </w:tabs>
      </w:pPr>
      <w:r>
        <w:tab/>
      </w:r>
      <w:r w:rsidR="000923BB" w:rsidRPr="00DA5E13">
        <w:t>limited activity but self care</w:t>
      </w:r>
      <w:r w:rsidR="000923BB" w:rsidRPr="00DA5E13">
        <w:tab/>
      </w:r>
      <w:r w:rsidR="000923BB" w:rsidRPr="00DA5E13">
        <w:sym w:font="Monotype Sorts" w:char="F071"/>
      </w:r>
    </w:p>
    <w:p w14:paraId="3DAC055B" w14:textId="77777777" w:rsidR="000923BB" w:rsidRPr="00DA5E13" w:rsidRDefault="006C4584" w:rsidP="000923BB">
      <w:pPr>
        <w:pStyle w:val="Header"/>
        <w:tabs>
          <w:tab w:val="clear" w:pos="4513"/>
          <w:tab w:val="left" w:pos="3828"/>
          <w:tab w:val="left" w:pos="4536"/>
          <w:tab w:val="left" w:pos="4820"/>
          <w:tab w:val="left" w:pos="6379"/>
          <w:tab w:val="left" w:pos="7371"/>
          <w:tab w:val="left" w:pos="9072"/>
        </w:tabs>
      </w:pPr>
      <w:r>
        <w:tab/>
        <w:t>limited self care</w:t>
      </w:r>
      <w:r>
        <w:tab/>
      </w:r>
      <w:r>
        <w:tab/>
      </w:r>
      <w:r w:rsidR="000923BB" w:rsidRPr="00DA5E13">
        <w:sym w:font="Monotype Sorts" w:char="F071"/>
      </w:r>
    </w:p>
    <w:p w14:paraId="0B56491B" w14:textId="77777777" w:rsidR="000923BB" w:rsidRPr="00DA5E13" w:rsidRDefault="006C4584" w:rsidP="000923BB">
      <w:pPr>
        <w:pStyle w:val="Header"/>
        <w:tabs>
          <w:tab w:val="clear" w:pos="4513"/>
          <w:tab w:val="left" w:pos="3828"/>
          <w:tab w:val="left" w:pos="4536"/>
          <w:tab w:val="left" w:pos="4820"/>
          <w:tab w:val="left" w:pos="6379"/>
          <w:tab w:val="left" w:pos="7371"/>
          <w:tab w:val="left" w:pos="9072"/>
        </w:tabs>
      </w:pPr>
      <w:r>
        <w:tab/>
      </w:r>
      <w:r w:rsidR="000923BB" w:rsidRPr="00DA5E13">
        <w:t>bed/chair bound, no self care</w:t>
      </w:r>
      <w:r w:rsidR="000923BB" w:rsidRPr="00DA5E13">
        <w:tab/>
      </w:r>
      <w:r w:rsidR="000923BB" w:rsidRPr="00DA5E13">
        <w:sym w:font="Monotype Sorts" w:char="F071"/>
      </w:r>
    </w:p>
    <w:p w14:paraId="083F4A82" w14:textId="77777777" w:rsidR="000923BB" w:rsidRPr="00DA5E13" w:rsidRDefault="006C4584" w:rsidP="000923BB">
      <w:pPr>
        <w:pStyle w:val="Header"/>
        <w:tabs>
          <w:tab w:val="clear" w:pos="4513"/>
          <w:tab w:val="left" w:pos="3828"/>
          <w:tab w:val="left" w:pos="4536"/>
          <w:tab w:val="left" w:pos="4820"/>
          <w:tab w:val="left" w:pos="6379"/>
          <w:tab w:val="left" w:pos="7371"/>
          <w:tab w:val="left" w:pos="9072"/>
        </w:tabs>
      </w:pPr>
      <w:r>
        <w:tab/>
        <w:t>not known</w:t>
      </w:r>
      <w:r>
        <w:tab/>
      </w:r>
      <w:r>
        <w:tab/>
      </w:r>
      <w:r w:rsidR="000923BB" w:rsidRPr="00DA5E13">
        <w:sym w:font="Monotype Sorts" w:char="F071"/>
      </w:r>
    </w:p>
    <w:p w14:paraId="7F1A0B74" w14:textId="77777777" w:rsidR="000923BB" w:rsidRPr="00DA5E13" w:rsidRDefault="000923BB" w:rsidP="000923BB">
      <w:pPr>
        <w:pStyle w:val="Header"/>
        <w:tabs>
          <w:tab w:val="left" w:pos="2835"/>
          <w:tab w:val="left" w:pos="4820"/>
          <w:tab w:val="left" w:pos="6379"/>
          <w:tab w:val="left" w:pos="7371"/>
          <w:tab w:val="left" w:pos="9072"/>
        </w:tabs>
      </w:pPr>
    </w:p>
    <w:p w14:paraId="2536641E" w14:textId="77777777" w:rsidR="000923BB" w:rsidRPr="00DA5E13" w:rsidRDefault="006C4584" w:rsidP="000923BB">
      <w:pPr>
        <w:pStyle w:val="Header"/>
        <w:pBdr>
          <w:top w:val="dotted" w:sz="4" w:space="10" w:color="auto"/>
        </w:pBdr>
        <w:tabs>
          <w:tab w:val="left" w:pos="2835"/>
          <w:tab w:val="left" w:pos="4820"/>
          <w:tab w:val="left" w:pos="6379"/>
          <w:tab w:val="left" w:pos="7371"/>
          <w:tab w:val="left" w:pos="9072"/>
        </w:tabs>
      </w:pPr>
      <w:r>
        <w:t>17. Was a chest x-ray taken?</w:t>
      </w:r>
      <w:r>
        <w:tab/>
      </w:r>
      <w:r>
        <w:tab/>
      </w:r>
      <w:r>
        <w:tab/>
      </w:r>
      <w:r w:rsidR="000923BB" w:rsidRPr="00DA5E13">
        <w:t>yes</w:t>
      </w:r>
      <w:r w:rsidR="000923BB" w:rsidRPr="00DA5E13">
        <w:tab/>
      </w:r>
      <w:r w:rsidR="000923BB" w:rsidRPr="00DA5E13">
        <w:sym w:font="Monotype Sorts" w:char="F071"/>
      </w:r>
    </w:p>
    <w:p w14:paraId="32AB99DB" w14:textId="77777777" w:rsidR="000923BB" w:rsidRPr="00DA5E13" w:rsidRDefault="000923BB" w:rsidP="000923BB">
      <w:pPr>
        <w:tabs>
          <w:tab w:val="left" w:pos="2835"/>
          <w:tab w:val="left" w:pos="4820"/>
          <w:tab w:val="left" w:pos="7371"/>
          <w:tab w:val="left" w:pos="9072"/>
        </w:tabs>
      </w:pPr>
      <w:r w:rsidRPr="00DA5E13">
        <w:tab/>
      </w:r>
      <w:r w:rsidRPr="00DA5E13">
        <w:tab/>
        <w:t>no</w:t>
      </w:r>
      <w:r w:rsidRPr="00DA5E13">
        <w:tab/>
      </w:r>
      <w:r w:rsidRPr="00DA5E13">
        <w:sym w:font="Monotype Sorts" w:char="F071"/>
      </w:r>
    </w:p>
    <w:p w14:paraId="7C3A40EB" w14:textId="77777777" w:rsidR="000923BB" w:rsidRPr="00DA5E13" w:rsidRDefault="000923BB" w:rsidP="000923BB">
      <w:pPr>
        <w:pStyle w:val="Header"/>
        <w:tabs>
          <w:tab w:val="left" w:pos="2835"/>
          <w:tab w:val="left" w:pos="4820"/>
          <w:tab w:val="left" w:pos="7371"/>
          <w:tab w:val="left" w:pos="9072"/>
        </w:tabs>
      </w:pPr>
    </w:p>
    <w:p w14:paraId="61D979D2" w14:textId="77777777" w:rsidR="000923BB" w:rsidRPr="00DA5E13" w:rsidRDefault="000923BB" w:rsidP="000923BB">
      <w:pPr>
        <w:pStyle w:val="Header"/>
        <w:tabs>
          <w:tab w:val="left" w:pos="2835"/>
          <w:tab w:val="left" w:pos="4820"/>
          <w:tab w:val="left" w:pos="6379"/>
          <w:tab w:val="left" w:pos="7371"/>
          <w:tab w:val="left" w:pos="9072"/>
        </w:tabs>
        <w:ind w:left="720"/>
      </w:pPr>
      <w:r w:rsidRPr="00DA5E13">
        <w:t>If yes, is th</w:t>
      </w:r>
      <w:r w:rsidR="006C4584">
        <w:t xml:space="preserve">e x-ray report in the notes? </w:t>
      </w:r>
      <w:r w:rsidR="006C4584">
        <w:tab/>
      </w:r>
      <w:r w:rsidR="006C4584">
        <w:tab/>
      </w:r>
      <w:r w:rsidRPr="00DA5E13">
        <w:t>yes</w:t>
      </w:r>
      <w:r w:rsidRPr="00DA5E13">
        <w:tab/>
      </w:r>
      <w:r w:rsidRPr="00DA5E13">
        <w:sym w:font="Monotype Sorts" w:char="F071"/>
      </w:r>
    </w:p>
    <w:p w14:paraId="6F235044" w14:textId="77777777" w:rsidR="000923BB" w:rsidRPr="00DA5E13" w:rsidRDefault="006C4584" w:rsidP="000923BB">
      <w:pPr>
        <w:tabs>
          <w:tab w:val="left" w:pos="2835"/>
          <w:tab w:val="left" w:pos="4820"/>
          <w:tab w:val="left" w:pos="7371"/>
          <w:tab w:val="left" w:pos="9072"/>
        </w:tabs>
      </w:pPr>
      <w:r>
        <w:lastRenderedPageBreak/>
        <w:tab/>
      </w:r>
      <w:r>
        <w:tab/>
      </w:r>
      <w:r w:rsidR="000923BB" w:rsidRPr="00DA5E13">
        <w:t>no</w:t>
      </w:r>
      <w:r w:rsidR="000923BB" w:rsidRPr="00DA5E13">
        <w:tab/>
      </w:r>
      <w:r w:rsidR="000923BB" w:rsidRPr="00DA5E13">
        <w:sym w:font="Monotype Sorts" w:char="F071"/>
      </w:r>
    </w:p>
    <w:p w14:paraId="38CB3EE2" w14:textId="77777777" w:rsidR="000923BB" w:rsidRPr="00DA5E13" w:rsidRDefault="000923BB" w:rsidP="000923BB">
      <w:pPr>
        <w:pStyle w:val="Header"/>
        <w:tabs>
          <w:tab w:val="left" w:pos="2835"/>
          <w:tab w:val="left" w:pos="4820"/>
          <w:tab w:val="left" w:pos="7371"/>
          <w:tab w:val="left" w:pos="9072"/>
        </w:tabs>
      </w:pPr>
    </w:p>
    <w:p w14:paraId="68383971" w14:textId="77777777" w:rsidR="000923BB" w:rsidRPr="00DA5E13" w:rsidRDefault="000923BB" w:rsidP="000923BB">
      <w:pPr>
        <w:tabs>
          <w:tab w:val="left" w:pos="2835"/>
          <w:tab w:val="left" w:pos="4820"/>
          <w:tab w:val="left" w:pos="7371"/>
          <w:tab w:val="left" w:pos="9072"/>
        </w:tabs>
      </w:pPr>
    </w:p>
    <w:p w14:paraId="50009FFB" w14:textId="77777777" w:rsidR="000923BB" w:rsidRPr="00DA5E13" w:rsidRDefault="000923BB" w:rsidP="000923BB">
      <w:pPr>
        <w:pBdr>
          <w:top w:val="dotted" w:sz="4" w:space="10" w:color="auto"/>
        </w:pBdr>
        <w:tabs>
          <w:tab w:val="left" w:pos="2835"/>
          <w:tab w:val="left" w:pos="4820"/>
          <w:tab w:val="left" w:pos="7371"/>
          <w:tab w:val="left" w:pos="9072"/>
        </w:tabs>
      </w:pPr>
      <w:r w:rsidRPr="00DA5E13">
        <w:t>18. Was respiratory rate measured?</w:t>
      </w:r>
    </w:p>
    <w:p w14:paraId="43064AA8" w14:textId="77777777" w:rsidR="000923BB" w:rsidRPr="00DA5E13" w:rsidRDefault="006C4584" w:rsidP="000923BB">
      <w:pPr>
        <w:pStyle w:val="Header"/>
        <w:pBdr>
          <w:top w:val="dotted" w:sz="4" w:space="10" w:color="auto"/>
        </w:pBdr>
        <w:tabs>
          <w:tab w:val="left" w:pos="2835"/>
          <w:tab w:val="left" w:pos="4820"/>
          <w:tab w:val="left" w:pos="6379"/>
          <w:tab w:val="left" w:pos="7371"/>
          <w:tab w:val="left" w:pos="9072"/>
        </w:tabs>
      </w:pPr>
      <w:r>
        <w:tab/>
      </w:r>
      <w:r>
        <w:tab/>
      </w:r>
      <w:r>
        <w:tab/>
      </w:r>
      <w:r w:rsidR="000923BB" w:rsidRPr="00DA5E13">
        <w:t>yes</w:t>
      </w:r>
      <w:r w:rsidR="000923BB" w:rsidRPr="00DA5E13">
        <w:tab/>
      </w:r>
      <w:r w:rsidR="000923BB" w:rsidRPr="00DA5E13">
        <w:sym w:font="Monotype Sorts" w:char="F071"/>
      </w:r>
    </w:p>
    <w:p w14:paraId="636AED24" w14:textId="77777777" w:rsidR="000923BB" w:rsidRPr="00DA5E13" w:rsidRDefault="006C4584" w:rsidP="000923BB">
      <w:pPr>
        <w:tabs>
          <w:tab w:val="left" w:pos="2835"/>
          <w:tab w:val="left" w:pos="4820"/>
          <w:tab w:val="left" w:pos="7371"/>
          <w:tab w:val="left" w:pos="9072"/>
        </w:tabs>
      </w:pPr>
      <w:r>
        <w:tab/>
      </w:r>
      <w:r>
        <w:tab/>
        <w:t xml:space="preserve">no                    </w:t>
      </w:r>
      <w:r w:rsidR="000923BB" w:rsidRPr="00DA5E13">
        <w:sym w:font="Monotype Sorts" w:char="F071"/>
      </w:r>
    </w:p>
    <w:p w14:paraId="18185D51" w14:textId="6C022DB5" w:rsidR="000923BB" w:rsidRPr="00DA5E13" w:rsidRDefault="00003011" w:rsidP="000923BB">
      <w:pPr>
        <w:tabs>
          <w:tab w:val="left" w:pos="2835"/>
          <w:tab w:val="left" w:pos="4820"/>
          <w:tab w:val="left" w:pos="7371"/>
          <w:tab w:val="left" w:pos="9072"/>
        </w:tabs>
      </w:pPr>
      <w:r>
        <w:rPr>
          <w:noProof/>
        </w:rPr>
        <mc:AlternateContent>
          <mc:Choice Requires="wps">
            <w:drawing>
              <wp:anchor distT="0" distB="0" distL="114300" distR="114300" simplePos="0" relativeHeight="252619776" behindDoc="0" locked="0" layoutInCell="0" allowOverlap="1" wp14:anchorId="706F2FB3" wp14:editId="55064141">
                <wp:simplePos x="0" y="0"/>
                <wp:positionH relativeFrom="column">
                  <wp:posOffset>2989580</wp:posOffset>
                </wp:positionH>
                <wp:positionV relativeFrom="paragraph">
                  <wp:posOffset>279400</wp:posOffset>
                </wp:positionV>
                <wp:extent cx="744220" cy="340360"/>
                <wp:effectExtent l="8255" t="5715" r="9525" b="6350"/>
                <wp:wrapNone/>
                <wp:docPr id="75" name="Rectangle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340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5DD47" id="Rectangle 994" o:spid="_x0000_s1026" style="position:absolute;margin-left:235.4pt;margin-top:22pt;width:58.6pt;height:26.8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" o:allowincell="f"/>
            </w:pict>
          </mc:Fallback>
        </mc:AlternateContent>
      </w:r>
    </w:p>
    <w:p w14:paraId="79C09ABA" w14:textId="77777777" w:rsidR="006C4584" w:rsidRDefault="000923BB" w:rsidP="006C4584">
      <w:pPr>
        <w:pStyle w:val="Header"/>
        <w:tabs>
          <w:tab w:val="left" w:pos="2835"/>
          <w:tab w:val="left" w:pos="4820"/>
          <w:tab w:val="left" w:pos="6379"/>
          <w:tab w:val="left" w:pos="7371"/>
          <w:tab w:val="left" w:pos="9072"/>
        </w:tabs>
        <w:ind w:left="720"/>
      </w:pPr>
      <w:r w:rsidRPr="00DA5E13">
        <w:t>If yes, what was the first reading</w:t>
      </w:r>
      <w:r w:rsidRPr="00DA5E13">
        <w:br/>
        <w:t>after admission</w:t>
      </w:r>
      <w:r w:rsidRPr="00DA5E13">
        <w:tab/>
      </w:r>
      <w:r w:rsidRPr="00DA5E13">
        <w:tab/>
      </w:r>
      <w:r w:rsidRPr="00DA5E13">
        <w:tab/>
      </w:r>
      <w:r w:rsidRPr="00DA5E13">
        <w:tab/>
        <w:t>per minute</w:t>
      </w:r>
    </w:p>
    <w:p w14:paraId="6CFCDB83" w14:textId="77777777" w:rsidR="006C4584" w:rsidRDefault="006C4584" w:rsidP="006C4584">
      <w:pPr>
        <w:pStyle w:val="Header"/>
        <w:tabs>
          <w:tab w:val="left" w:pos="2835"/>
          <w:tab w:val="left" w:pos="4820"/>
          <w:tab w:val="left" w:pos="6379"/>
          <w:tab w:val="left" w:pos="7371"/>
          <w:tab w:val="left" w:pos="9072"/>
        </w:tabs>
        <w:ind w:left="720"/>
      </w:pPr>
    </w:p>
    <w:p w14:paraId="3B7E19DD" w14:textId="77777777" w:rsidR="000923BB" w:rsidRPr="00DA5E13" w:rsidRDefault="006C4584" w:rsidP="006C4584">
      <w:pPr>
        <w:pStyle w:val="Header"/>
        <w:tabs>
          <w:tab w:val="left" w:pos="2835"/>
          <w:tab w:val="left" w:pos="4820"/>
          <w:tab w:val="left" w:pos="6379"/>
          <w:tab w:val="left" w:pos="7371"/>
          <w:tab w:val="left" w:pos="9072"/>
        </w:tabs>
        <w:ind w:left="720"/>
      </w:pPr>
      <w:r>
        <w:t>19. Were blood gases taken?</w:t>
      </w:r>
      <w:r>
        <w:tab/>
      </w:r>
      <w:r w:rsidR="000923BB" w:rsidRPr="00DA5E13">
        <w:t>yes</w:t>
      </w:r>
      <w:r w:rsidR="000923BB" w:rsidRPr="00DA5E13">
        <w:tab/>
      </w:r>
      <w:r w:rsidR="000923BB" w:rsidRPr="00DA5E13">
        <w:sym w:font="Monotype Sorts" w:char="F071"/>
      </w:r>
    </w:p>
    <w:p w14:paraId="6FB31510" w14:textId="77777777" w:rsidR="000923BB" w:rsidRPr="00DA5E13" w:rsidRDefault="006C4584" w:rsidP="000923BB">
      <w:pPr>
        <w:pStyle w:val="Header"/>
        <w:tabs>
          <w:tab w:val="left" w:pos="2835"/>
          <w:tab w:val="left" w:pos="4820"/>
          <w:tab w:val="left" w:pos="6379"/>
          <w:tab w:val="left" w:pos="6521"/>
          <w:tab w:val="left" w:pos="7088"/>
          <w:tab w:val="left" w:pos="9072"/>
        </w:tabs>
      </w:pPr>
      <w:r>
        <w:tab/>
      </w:r>
      <w:r>
        <w:tab/>
      </w:r>
      <w:r>
        <w:tab/>
      </w:r>
      <w:r w:rsidR="000923BB" w:rsidRPr="00DA5E13">
        <w:t>no</w:t>
      </w:r>
      <w:r w:rsidR="000923BB" w:rsidRPr="00DA5E13">
        <w:tab/>
      </w:r>
      <w:r w:rsidR="000923BB" w:rsidRPr="00DA5E13">
        <w:sym w:font="Monotype Sorts" w:char="F071"/>
      </w:r>
    </w:p>
    <w:p w14:paraId="443C0897" w14:textId="77777777" w:rsidR="000923BB" w:rsidRPr="00DA5E13" w:rsidRDefault="000923BB" w:rsidP="000923BB">
      <w:pPr>
        <w:tabs>
          <w:tab w:val="left" w:pos="2835"/>
          <w:tab w:val="left" w:pos="4820"/>
          <w:tab w:val="left" w:pos="7371"/>
          <w:tab w:val="left" w:pos="9072"/>
        </w:tabs>
      </w:pPr>
    </w:p>
    <w:p w14:paraId="4E225369" w14:textId="77777777" w:rsidR="000923BB" w:rsidRPr="00DA5E13" w:rsidRDefault="000923BB" w:rsidP="006C4584">
      <w:pPr>
        <w:pStyle w:val="Header"/>
        <w:tabs>
          <w:tab w:val="left" w:pos="2835"/>
          <w:tab w:val="left" w:pos="3261"/>
          <w:tab w:val="left" w:pos="6379"/>
          <w:tab w:val="left" w:pos="7371"/>
          <w:tab w:val="left" w:pos="9072"/>
        </w:tabs>
      </w:pPr>
      <w:r w:rsidRPr="00DA5E13">
        <w:t>If yes, what was the first recorded (after admission) value for?</w:t>
      </w:r>
    </w:p>
    <w:p w14:paraId="15E6B2B9" w14:textId="0D2878BF" w:rsidR="000923BB" w:rsidRPr="00DA5E13" w:rsidRDefault="00003011" w:rsidP="006C4584">
      <w:pPr>
        <w:pStyle w:val="Header"/>
        <w:tabs>
          <w:tab w:val="left" w:pos="2835"/>
          <w:tab w:val="left" w:pos="3261"/>
          <w:tab w:val="left" w:pos="6379"/>
          <w:tab w:val="left" w:pos="7371"/>
          <w:tab w:val="left" w:pos="9072"/>
        </w:tabs>
      </w:pPr>
      <w:r>
        <w:rPr>
          <w:noProof/>
        </w:rPr>
        <mc:AlternateContent>
          <mc:Choice Requires="wps">
            <w:drawing>
              <wp:anchor distT="0" distB="0" distL="114300" distR="114300" simplePos="0" relativeHeight="252620800" behindDoc="0" locked="0" layoutInCell="0" allowOverlap="1" wp14:anchorId="7485D2E5" wp14:editId="3947A8EE">
                <wp:simplePos x="0" y="0"/>
                <wp:positionH relativeFrom="column">
                  <wp:posOffset>3218180</wp:posOffset>
                </wp:positionH>
                <wp:positionV relativeFrom="paragraph">
                  <wp:posOffset>133985</wp:posOffset>
                </wp:positionV>
                <wp:extent cx="775970" cy="260985"/>
                <wp:effectExtent l="8255" t="13970" r="6350" b="10795"/>
                <wp:wrapNone/>
                <wp:docPr id="74" name="Rectangle 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260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AE3DE" id="Rectangle 995" o:spid="_x0000_s1026" style="position:absolute;margin-left:253.4pt;margin-top:10.55pt;width:61.1pt;height:20.5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" o:allowincell="f"/>
            </w:pict>
          </mc:Fallback>
        </mc:AlternateContent>
      </w:r>
      <w:r>
        <w:rPr>
          <w:noProof/>
        </w:rPr>
        <mc:AlternateContent>
          <mc:Choice Requires="wps">
            <w:drawing>
              <wp:anchor distT="0" distB="0" distL="114300" distR="114300" simplePos="0" relativeHeight="252626944" behindDoc="0" locked="0" layoutInCell="0" allowOverlap="1" wp14:anchorId="4CF8988C" wp14:editId="0850E9F7">
                <wp:simplePos x="0" y="0"/>
                <wp:positionH relativeFrom="column">
                  <wp:posOffset>1244600</wp:posOffset>
                </wp:positionH>
                <wp:positionV relativeFrom="paragraph">
                  <wp:posOffset>116840</wp:posOffset>
                </wp:positionV>
                <wp:extent cx="775970" cy="260985"/>
                <wp:effectExtent l="6350" t="6350" r="8255" b="8890"/>
                <wp:wrapNone/>
                <wp:docPr id="73" name="Rectangle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260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D9D93" id="Rectangle 1001" o:spid="_x0000_s1026" style="position:absolute;margin-left:98pt;margin-top:9.2pt;width:61.1pt;height:20.5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" o:allowincell="f"/>
            </w:pict>
          </mc:Fallback>
        </mc:AlternateContent>
      </w:r>
    </w:p>
    <w:p w14:paraId="4E6312F0" w14:textId="77777777" w:rsidR="000923BB" w:rsidRPr="00DA5E13" w:rsidRDefault="000923BB" w:rsidP="006C4584">
      <w:pPr>
        <w:pStyle w:val="Header"/>
        <w:tabs>
          <w:tab w:val="left" w:pos="1276"/>
          <w:tab w:val="left" w:pos="2835"/>
          <w:tab w:val="left" w:pos="3402"/>
          <w:tab w:val="left" w:pos="4395"/>
          <w:tab w:val="left" w:pos="6379"/>
          <w:tab w:val="left" w:pos="7371"/>
          <w:tab w:val="left" w:pos="9072"/>
        </w:tabs>
      </w:pPr>
      <w:r w:rsidRPr="00DA5E13">
        <w:tab/>
        <w:t>pH</w:t>
      </w:r>
      <w:r w:rsidRPr="00DA5E13">
        <w:tab/>
      </w:r>
      <w:r w:rsidRPr="00DA5E13">
        <w:tab/>
        <w:t>or: H+ (mmol/l)</w:t>
      </w:r>
      <w:r w:rsidRPr="00DA5E13">
        <w:tab/>
      </w:r>
      <w:r w:rsidRPr="00DA5E13">
        <w:tab/>
        <w:t>not recorded</w:t>
      </w:r>
      <w:r w:rsidRPr="00DA5E13">
        <w:tab/>
      </w:r>
      <w:r w:rsidRPr="00DA5E13">
        <w:sym w:font="Monotype Sorts" w:char="F071"/>
      </w:r>
    </w:p>
    <w:p w14:paraId="49DA4FB6" w14:textId="77777777" w:rsidR="000923BB" w:rsidRPr="00DA5E13" w:rsidRDefault="000923BB" w:rsidP="006C4584">
      <w:pPr>
        <w:pStyle w:val="Header"/>
        <w:tabs>
          <w:tab w:val="left" w:pos="2835"/>
          <w:tab w:val="left" w:pos="3261"/>
          <w:tab w:val="left" w:pos="6379"/>
          <w:tab w:val="left" w:pos="7371"/>
          <w:tab w:val="left" w:pos="9072"/>
        </w:tabs>
      </w:pPr>
    </w:p>
    <w:p w14:paraId="5730E0BE" w14:textId="3E6D99C4" w:rsidR="000923BB" w:rsidRPr="00DA5E13" w:rsidRDefault="00003011" w:rsidP="006C4584">
      <w:pPr>
        <w:pStyle w:val="Header"/>
        <w:tabs>
          <w:tab w:val="left" w:pos="2835"/>
          <w:tab w:val="left" w:pos="3261"/>
          <w:tab w:val="left" w:pos="6379"/>
          <w:tab w:val="left" w:pos="7371"/>
          <w:tab w:val="left" w:pos="9072"/>
        </w:tabs>
      </w:pPr>
      <w:r>
        <w:rPr>
          <w:noProof/>
        </w:rPr>
        <mc:AlternateContent>
          <mc:Choice Requires="wps">
            <w:drawing>
              <wp:anchor distT="0" distB="0" distL="114300" distR="114300" simplePos="0" relativeHeight="252627968" behindDoc="0" locked="0" layoutInCell="0" allowOverlap="1" wp14:anchorId="78010859" wp14:editId="75C5C042">
                <wp:simplePos x="0" y="0"/>
                <wp:positionH relativeFrom="column">
                  <wp:posOffset>3540760</wp:posOffset>
                </wp:positionH>
                <wp:positionV relativeFrom="paragraph">
                  <wp:posOffset>46990</wp:posOffset>
                </wp:positionV>
                <wp:extent cx="775970" cy="260985"/>
                <wp:effectExtent l="6985" t="7620" r="7620" b="7620"/>
                <wp:wrapNone/>
                <wp:docPr id="72" name="Rectangle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260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A4477" id="Rectangle 1002" o:spid="_x0000_s1026" style="position:absolute;margin-left:278.8pt;margin-top:3.7pt;width:61.1pt;height:20.5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" o:allowincell="f"/>
            </w:pict>
          </mc:Fallback>
        </mc:AlternateContent>
      </w:r>
      <w:r>
        <w:rPr>
          <w:noProof/>
        </w:rPr>
        <mc:AlternateContent>
          <mc:Choice Requires="wps">
            <w:drawing>
              <wp:anchor distT="0" distB="0" distL="114300" distR="114300" simplePos="0" relativeHeight="252621824" behindDoc="0" locked="0" layoutInCell="0" allowOverlap="1" wp14:anchorId="5AAA4833" wp14:editId="25CC2322">
                <wp:simplePos x="0" y="0"/>
                <wp:positionH relativeFrom="column">
                  <wp:posOffset>1795780</wp:posOffset>
                </wp:positionH>
                <wp:positionV relativeFrom="paragraph">
                  <wp:posOffset>125730</wp:posOffset>
                </wp:positionV>
                <wp:extent cx="775970" cy="260985"/>
                <wp:effectExtent l="5080" t="10160" r="9525" b="5080"/>
                <wp:wrapNone/>
                <wp:docPr id="71" name="Rectangle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260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9AB96" id="Rectangle 996" o:spid="_x0000_s1026" style="position:absolute;margin-left:141.4pt;margin-top:9.9pt;width:61.1pt;height:20.5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" o:allowincell="f"/>
            </w:pict>
          </mc:Fallback>
        </mc:AlternateContent>
      </w:r>
    </w:p>
    <w:p w14:paraId="092ABAE2" w14:textId="77777777" w:rsidR="000923BB" w:rsidRPr="00DA5E13" w:rsidRDefault="000923BB" w:rsidP="006C4584">
      <w:pPr>
        <w:pStyle w:val="Header"/>
        <w:tabs>
          <w:tab w:val="left" w:pos="1276"/>
          <w:tab w:val="left" w:pos="2835"/>
          <w:tab w:val="left" w:pos="4395"/>
          <w:tab w:val="left" w:pos="6379"/>
          <w:tab w:val="left" w:pos="7371"/>
          <w:tab w:val="left" w:pos="9072"/>
        </w:tabs>
      </w:pPr>
      <w:r w:rsidRPr="00DA5E13">
        <w:tab/>
        <w:t>PCO</w:t>
      </w:r>
      <w:r w:rsidRPr="00DA5E13">
        <w:rPr>
          <w:position w:val="-6"/>
        </w:rPr>
        <w:t>2</w:t>
      </w:r>
      <w:r w:rsidRPr="00DA5E13">
        <w:t xml:space="preserve"> (kPa)</w:t>
      </w:r>
      <w:r w:rsidRPr="00DA5E13">
        <w:tab/>
      </w:r>
      <w:r w:rsidRPr="00DA5E13">
        <w:tab/>
        <w:t>or: mmHg</w:t>
      </w:r>
      <w:r w:rsidRPr="00DA5E13">
        <w:tab/>
      </w:r>
      <w:r w:rsidRPr="00DA5E13">
        <w:tab/>
        <w:t>not recorded</w:t>
      </w:r>
      <w:r w:rsidRPr="00DA5E13">
        <w:tab/>
      </w:r>
      <w:r w:rsidRPr="00DA5E13">
        <w:sym w:font="Monotype Sorts" w:char="F071"/>
      </w:r>
    </w:p>
    <w:p w14:paraId="47502C1E" w14:textId="77777777" w:rsidR="000923BB" w:rsidRPr="00DA5E13" w:rsidRDefault="000923BB" w:rsidP="006C4584">
      <w:pPr>
        <w:pStyle w:val="Header"/>
        <w:tabs>
          <w:tab w:val="left" w:pos="1276"/>
          <w:tab w:val="left" w:pos="2835"/>
          <w:tab w:val="left" w:pos="3402"/>
          <w:tab w:val="left" w:pos="3969"/>
          <w:tab w:val="left" w:pos="6379"/>
          <w:tab w:val="left" w:pos="7371"/>
          <w:tab w:val="left" w:pos="9072"/>
        </w:tabs>
      </w:pPr>
    </w:p>
    <w:p w14:paraId="69B967B1" w14:textId="65E31183" w:rsidR="000923BB" w:rsidRPr="00DA5E13" w:rsidRDefault="00003011" w:rsidP="006C4584">
      <w:pPr>
        <w:pStyle w:val="Header"/>
        <w:tabs>
          <w:tab w:val="left" w:pos="1276"/>
          <w:tab w:val="left" w:pos="2835"/>
          <w:tab w:val="left" w:pos="3402"/>
          <w:tab w:val="left" w:pos="3969"/>
          <w:tab w:val="left" w:pos="6379"/>
          <w:tab w:val="left" w:pos="7371"/>
          <w:tab w:val="left" w:pos="9072"/>
        </w:tabs>
      </w:pPr>
      <w:r>
        <w:rPr>
          <w:noProof/>
        </w:rPr>
        <mc:AlternateContent>
          <mc:Choice Requires="wps">
            <w:drawing>
              <wp:anchor distT="0" distB="0" distL="114300" distR="114300" simplePos="0" relativeHeight="252628992" behindDoc="0" locked="0" layoutInCell="0" allowOverlap="1" wp14:anchorId="51A0AEC2" wp14:editId="48EA76F9">
                <wp:simplePos x="0" y="0"/>
                <wp:positionH relativeFrom="column">
                  <wp:posOffset>3565525</wp:posOffset>
                </wp:positionH>
                <wp:positionV relativeFrom="paragraph">
                  <wp:posOffset>142875</wp:posOffset>
                </wp:positionV>
                <wp:extent cx="775970" cy="260985"/>
                <wp:effectExtent l="12700" t="13335" r="11430" b="11430"/>
                <wp:wrapNone/>
                <wp:docPr id="70" name="Rectangle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260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CB7FD" id="Rectangle 1003" o:spid="_x0000_s1026" style="position:absolute;margin-left:280.75pt;margin-top:11.25pt;width:61.1pt;height:20.5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" o:allowincell="f"/>
            </w:pict>
          </mc:Fallback>
        </mc:AlternateContent>
      </w:r>
      <w:r>
        <w:rPr>
          <w:noProof/>
        </w:rPr>
        <mc:AlternateContent>
          <mc:Choice Requires="wps">
            <w:drawing>
              <wp:anchor distT="0" distB="0" distL="114300" distR="114300" simplePos="0" relativeHeight="252622848" behindDoc="0" locked="0" layoutInCell="0" allowOverlap="1" wp14:anchorId="1C5D2757" wp14:editId="1DD93310">
                <wp:simplePos x="0" y="0"/>
                <wp:positionH relativeFrom="column">
                  <wp:posOffset>1785620</wp:posOffset>
                </wp:positionH>
                <wp:positionV relativeFrom="paragraph">
                  <wp:posOffset>147320</wp:posOffset>
                </wp:positionV>
                <wp:extent cx="775970" cy="260985"/>
                <wp:effectExtent l="13970" t="8255" r="10160" b="6985"/>
                <wp:wrapNone/>
                <wp:docPr id="69" name="Rectangle 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260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EA5FD" id="Rectangle 997" o:spid="_x0000_s1026" style="position:absolute;margin-left:140.6pt;margin-top:11.6pt;width:61.1pt;height:20.5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" o:allowincell="f"/>
            </w:pict>
          </mc:Fallback>
        </mc:AlternateContent>
      </w:r>
    </w:p>
    <w:p w14:paraId="08CBE79E" w14:textId="77777777" w:rsidR="000923BB" w:rsidRPr="00DA5E13" w:rsidRDefault="000923BB" w:rsidP="006C4584">
      <w:pPr>
        <w:pStyle w:val="Header"/>
        <w:tabs>
          <w:tab w:val="left" w:pos="1276"/>
          <w:tab w:val="left" w:pos="2835"/>
          <w:tab w:val="left" w:pos="4395"/>
          <w:tab w:val="left" w:pos="6379"/>
          <w:tab w:val="left" w:pos="7371"/>
          <w:tab w:val="left" w:pos="9072"/>
        </w:tabs>
      </w:pPr>
      <w:r w:rsidRPr="00DA5E13">
        <w:tab/>
        <w:t>PO</w:t>
      </w:r>
      <w:r w:rsidRPr="00DA5E13">
        <w:rPr>
          <w:position w:val="-6"/>
        </w:rPr>
        <w:t>2</w:t>
      </w:r>
      <w:r w:rsidRPr="00DA5E13">
        <w:t xml:space="preserve"> (kPa)</w:t>
      </w:r>
      <w:r w:rsidRPr="00DA5E13">
        <w:tab/>
      </w:r>
      <w:r w:rsidRPr="00DA5E13">
        <w:tab/>
        <w:t>or: mmHg</w:t>
      </w:r>
      <w:r w:rsidRPr="00DA5E13">
        <w:tab/>
      </w:r>
      <w:r w:rsidRPr="00DA5E13">
        <w:tab/>
        <w:t>not recorded</w:t>
      </w:r>
      <w:r w:rsidRPr="00DA5E13">
        <w:tab/>
      </w:r>
      <w:r w:rsidRPr="00DA5E13">
        <w:sym w:font="Monotype Sorts" w:char="F071"/>
      </w:r>
    </w:p>
    <w:p w14:paraId="1181449C" w14:textId="77777777" w:rsidR="000923BB" w:rsidRPr="00DA5E13" w:rsidRDefault="000923BB" w:rsidP="006C4584">
      <w:pPr>
        <w:pStyle w:val="Header"/>
        <w:tabs>
          <w:tab w:val="left" w:pos="2835"/>
          <w:tab w:val="left" w:pos="3261"/>
          <w:tab w:val="left" w:pos="5954"/>
          <w:tab w:val="left" w:pos="7371"/>
          <w:tab w:val="left" w:pos="9072"/>
        </w:tabs>
      </w:pPr>
    </w:p>
    <w:p w14:paraId="2731CE98" w14:textId="77777777" w:rsidR="000923BB" w:rsidRPr="00DA5E13" w:rsidRDefault="000923BB" w:rsidP="006C4584">
      <w:pPr>
        <w:pStyle w:val="Header"/>
        <w:tabs>
          <w:tab w:val="left" w:pos="2835"/>
          <w:tab w:val="left" w:pos="3261"/>
          <w:tab w:val="left" w:pos="5954"/>
          <w:tab w:val="left" w:pos="7371"/>
          <w:tab w:val="left" w:pos="9072"/>
        </w:tabs>
      </w:pPr>
    </w:p>
    <w:p w14:paraId="3CCF605B" w14:textId="77777777" w:rsidR="000923BB" w:rsidRPr="00DA5E13" w:rsidRDefault="000923BB" w:rsidP="006C4584">
      <w:pPr>
        <w:pStyle w:val="Header"/>
        <w:tabs>
          <w:tab w:val="left" w:pos="2835"/>
          <w:tab w:val="left" w:pos="4820"/>
          <w:tab w:val="left" w:pos="6379"/>
          <w:tab w:val="left" w:pos="7371"/>
          <w:tab w:val="left" w:pos="9072"/>
        </w:tabs>
      </w:pPr>
      <w:r w:rsidRPr="00DA5E13">
        <w:t>Was level of O</w:t>
      </w:r>
      <w:r w:rsidRPr="00DA5E13">
        <w:rPr>
          <w:position w:val="-6"/>
        </w:rPr>
        <w:t>2</w:t>
      </w:r>
      <w:r w:rsidRPr="00DA5E13">
        <w:t xml:space="preserve"> to be given</w:t>
      </w:r>
      <w:r w:rsidR="006C4584">
        <w:t xml:space="preserve"> stipulated in notes/on chart?</w:t>
      </w:r>
      <w:r w:rsidR="006C4584">
        <w:tab/>
      </w:r>
      <w:r w:rsidRPr="00DA5E13">
        <w:t>yes</w:t>
      </w:r>
      <w:r w:rsidRPr="00DA5E13">
        <w:tab/>
      </w:r>
      <w:r w:rsidRPr="00DA5E13">
        <w:sym w:font="Monotype Sorts" w:char="F071"/>
      </w:r>
    </w:p>
    <w:p w14:paraId="7AB0534E" w14:textId="77777777" w:rsidR="000923BB" w:rsidRPr="00DA5E13" w:rsidRDefault="000923BB" w:rsidP="006C4584">
      <w:pPr>
        <w:pStyle w:val="Header"/>
        <w:tabs>
          <w:tab w:val="left" w:pos="2835"/>
          <w:tab w:val="left" w:pos="4820"/>
          <w:tab w:val="left" w:pos="6379"/>
          <w:tab w:val="left" w:pos="7371"/>
          <w:tab w:val="left" w:pos="9072"/>
        </w:tabs>
      </w:pPr>
      <w:r w:rsidRPr="00DA5E13">
        <w:tab/>
      </w:r>
      <w:r w:rsidRPr="00DA5E13">
        <w:tab/>
      </w:r>
      <w:r w:rsidRPr="00DA5E13">
        <w:tab/>
      </w:r>
      <w:r w:rsidRPr="00DA5E13">
        <w:tab/>
        <w:t>no</w:t>
      </w:r>
      <w:r w:rsidRPr="00DA5E13">
        <w:tab/>
      </w:r>
      <w:r w:rsidRPr="00DA5E13">
        <w:sym w:font="Monotype Sorts" w:char="F071"/>
      </w:r>
    </w:p>
    <w:p w14:paraId="5978C5C7" w14:textId="77777777" w:rsidR="000923BB" w:rsidRPr="00DA5E13" w:rsidRDefault="000923BB" w:rsidP="000923BB">
      <w:pPr>
        <w:pStyle w:val="Header"/>
        <w:tabs>
          <w:tab w:val="clear" w:pos="4513"/>
          <w:tab w:val="left" w:pos="2268"/>
          <w:tab w:val="left" w:pos="3261"/>
          <w:tab w:val="left" w:pos="4536"/>
          <w:tab w:val="left" w:pos="9072"/>
        </w:tabs>
        <w:ind w:left="1440"/>
      </w:pPr>
    </w:p>
    <w:p w14:paraId="0948599C" w14:textId="77777777" w:rsidR="000923BB" w:rsidRPr="00DA5E13" w:rsidRDefault="000923BB" w:rsidP="006C4584">
      <w:pPr>
        <w:pBdr>
          <w:top w:val="dotted" w:sz="4" w:space="10" w:color="auto"/>
        </w:pBdr>
        <w:tabs>
          <w:tab w:val="left" w:pos="2835"/>
          <w:tab w:val="left" w:pos="4820"/>
          <w:tab w:val="left" w:pos="7371"/>
          <w:tab w:val="left" w:pos="9072"/>
        </w:tabs>
      </w:pPr>
      <w:r w:rsidRPr="00DA5E13">
        <w:t>20. Was an</w:t>
      </w:r>
      <w:r w:rsidR="006C4584">
        <w:t xml:space="preserve"> ECG performed?</w:t>
      </w:r>
      <w:r w:rsidR="006C4584">
        <w:tab/>
      </w:r>
      <w:r w:rsidRPr="00DA5E13">
        <w:t>yes</w:t>
      </w:r>
      <w:r w:rsidRPr="00DA5E13">
        <w:tab/>
      </w:r>
      <w:r w:rsidRPr="00DA5E13">
        <w:sym w:font="Monotype Sorts" w:char="F071"/>
      </w:r>
    </w:p>
    <w:p w14:paraId="37A261E1" w14:textId="77777777" w:rsidR="000923BB" w:rsidRPr="00DA5E13" w:rsidRDefault="006C4584" w:rsidP="006C4584">
      <w:pPr>
        <w:tabs>
          <w:tab w:val="left" w:pos="2835"/>
          <w:tab w:val="left" w:pos="4820"/>
          <w:tab w:val="left" w:pos="7371"/>
          <w:tab w:val="left" w:pos="9072"/>
        </w:tabs>
      </w:pPr>
      <w:r>
        <w:tab/>
      </w:r>
      <w:r>
        <w:tab/>
      </w:r>
      <w:r w:rsidR="000923BB" w:rsidRPr="00DA5E13">
        <w:t>no</w:t>
      </w:r>
      <w:r w:rsidR="000923BB" w:rsidRPr="00DA5E13">
        <w:tab/>
      </w:r>
      <w:r w:rsidR="000923BB" w:rsidRPr="00DA5E13">
        <w:sym w:font="Monotype Sorts" w:char="F071"/>
      </w:r>
    </w:p>
    <w:p w14:paraId="6B91D505" w14:textId="77777777" w:rsidR="000923BB" w:rsidRPr="00DA5E13" w:rsidRDefault="000923BB" w:rsidP="000923BB">
      <w:pPr>
        <w:pStyle w:val="Header"/>
        <w:tabs>
          <w:tab w:val="left" w:pos="2835"/>
          <w:tab w:val="left" w:pos="4820"/>
          <w:tab w:val="left" w:pos="7371"/>
          <w:tab w:val="left" w:pos="9072"/>
        </w:tabs>
      </w:pPr>
    </w:p>
    <w:p w14:paraId="54A60A51" w14:textId="77777777" w:rsidR="000923BB" w:rsidRPr="00DA5E13" w:rsidRDefault="006C4584" w:rsidP="000923BB">
      <w:pPr>
        <w:pBdr>
          <w:top w:val="dotted" w:sz="4" w:space="10" w:color="auto"/>
        </w:pBdr>
        <w:tabs>
          <w:tab w:val="left" w:pos="2835"/>
          <w:tab w:val="left" w:pos="4820"/>
          <w:tab w:val="left" w:pos="7371"/>
          <w:tab w:val="left" w:pos="9072"/>
        </w:tabs>
      </w:pPr>
      <w:r>
        <w:t xml:space="preserve">21. Was urea recorded? </w:t>
      </w:r>
      <w:r>
        <w:tab/>
      </w:r>
      <w:r>
        <w:tab/>
      </w:r>
      <w:r w:rsidR="000923BB" w:rsidRPr="00DA5E13">
        <w:t>yes</w:t>
      </w:r>
      <w:r w:rsidR="000923BB" w:rsidRPr="00DA5E13">
        <w:tab/>
      </w:r>
      <w:r w:rsidR="000923BB" w:rsidRPr="00DA5E13">
        <w:sym w:font="Monotype Sorts" w:char="F071"/>
      </w:r>
    </w:p>
    <w:p w14:paraId="00E695AE" w14:textId="77777777" w:rsidR="000923BB" w:rsidRPr="00DA5E13" w:rsidRDefault="006C4584" w:rsidP="000923BB">
      <w:pPr>
        <w:tabs>
          <w:tab w:val="left" w:pos="2835"/>
          <w:tab w:val="left" w:pos="4820"/>
          <w:tab w:val="left" w:pos="7371"/>
          <w:tab w:val="left" w:pos="9072"/>
        </w:tabs>
      </w:pPr>
      <w:r>
        <w:tab/>
      </w:r>
      <w:r>
        <w:tab/>
      </w:r>
      <w:r w:rsidR="000923BB" w:rsidRPr="00DA5E13">
        <w:t>no</w:t>
      </w:r>
      <w:r w:rsidR="000923BB" w:rsidRPr="00DA5E13">
        <w:tab/>
      </w:r>
      <w:r w:rsidR="000923BB" w:rsidRPr="00DA5E13">
        <w:sym w:font="Monotype Sorts" w:char="F071"/>
      </w:r>
    </w:p>
    <w:p w14:paraId="2908D5EE" w14:textId="77777777" w:rsidR="000923BB" w:rsidRPr="00DA5E13" w:rsidRDefault="000923BB" w:rsidP="000923BB">
      <w:pPr>
        <w:pStyle w:val="Header"/>
        <w:tabs>
          <w:tab w:val="left" w:pos="2835"/>
          <w:tab w:val="left" w:pos="4820"/>
          <w:tab w:val="left" w:pos="7371"/>
          <w:tab w:val="left" w:pos="9072"/>
        </w:tabs>
      </w:pPr>
      <w:r w:rsidRPr="00DA5E13">
        <w:tab/>
      </w:r>
      <w:r w:rsidRPr="00DA5E13">
        <w:tab/>
      </w:r>
      <w:r w:rsidRPr="00DA5E13">
        <w:tab/>
      </w:r>
    </w:p>
    <w:p w14:paraId="5303DB43" w14:textId="77777777" w:rsidR="000923BB" w:rsidRPr="00DA5E13" w:rsidRDefault="000923BB" w:rsidP="000923BB">
      <w:pPr>
        <w:pStyle w:val="Header"/>
        <w:tabs>
          <w:tab w:val="left" w:pos="2835"/>
          <w:tab w:val="left" w:pos="4820"/>
          <w:tab w:val="left" w:pos="6379"/>
          <w:tab w:val="left" w:pos="7371"/>
          <w:tab w:val="left" w:pos="9072"/>
        </w:tabs>
        <w:ind w:left="2835"/>
      </w:pPr>
    </w:p>
    <w:p w14:paraId="55FF697A" w14:textId="77777777" w:rsidR="000923BB" w:rsidRPr="00DA5E13" w:rsidRDefault="000923BB" w:rsidP="000923BB">
      <w:pPr>
        <w:pStyle w:val="Header"/>
        <w:tabs>
          <w:tab w:val="left" w:pos="2835"/>
          <w:tab w:val="left" w:pos="4820"/>
          <w:tab w:val="left" w:pos="6379"/>
          <w:tab w:val="left" w:pos="7088"/>
          <w:tab w:val="left" w:pos="9072"/>
        </w:tabs>
        <w:ind w:left="720"/>
      </w:pPr>
      <w:r w:rsidRPr="00DA5E13">
        <w:t>If yes, what was the first recorded (after admission) value?</w:t>
      </w:r>
    </w:p>
    <w:p w14:paraId="427E3E18" w14:textId="77777777" w:rsidR="000923BB" w:rsidRPr="00DA5E13" w:rsidRDefault="000923BB" w:rsidP="000923BB">
      <w:pPr>
        <w:pStyle w:val="Header"/>
        <w:tabs>
          <w:tab w:val="left" w:pos="2835"/>
          <w:tab w:val="left" w:pos="4820"/>
          <w:tab w:val="left" w:pos="6379"/>
          <w:tab w:val="left" w:pos="7088"/>
          <w:tab w:val="left" w:pos="9072"/>
        </w:tabs>
        <w:ind w:left="720"/>
      </w:pPr>
    </w:p>
    <w:p w14:paraId="0020F138" w14:textId="168420EF" w:rsidR="000923BB" w:rsidRPr="00DA5E13" w:rsidRDefault="00003011" w:rsidP="000923BB">
      <w:pPr>
        <w:pStyle w:val="Header"/>
        <w:tabs>
          <w:tab w:val="left" w:pos="2835"/>
          <w:tab w:val="left" w:pos="4820"/>
          <w:tab w:val="left" w:pos="6379"/>
          <w:tab w:val="left" w:pos="7088"/>
          <w:tab w:val="left" w:pos="9072"/>
        </w:tabs>
        <w:ind w:left="720"/>
      </w:pPr>
      <w:r>
        <w:rPr>
          <w:noProof/>
        </w:rPr>
        <mc:AlternateContent>
          <mc:Choice Requires="wps">
            <w:drawing>
              <wp:anchor distT="0" distB="0" distL="114300" distR="114300" simplePos="0" relativeHeight="252631040" behindDoc="0" locked="0" layoutInCell="0" allowOverlap="1" wp14:anchorId="3CBAE66F" wp14:editId="7C670051">
                <wp:simplePos x="0" y="0"/>
                <wp:positionH relativeFrom="column">
                  <wp:posOffset>3565525</wp:posOffset>
                </wp:positionH>
                <wp:positionV relativeFrom="paragraph">
                  <wp:posOffset>-4445</wp:posOffset>
                </wp:positionV>
                <wp:extent cx="635000" cy="260985"/>
                <wp:effectExtent l="12700" t="6985" r="9525" b="8255"/>
                <wp:wrapNone/>
                <wp:docPr id="68" name="Rectangle 1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260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C67BC" id="Rectangle 1005" o:spid="_x0000_s1026" style="position:absolute;margin-left:280.75pt;margin-top:-.35pt;width:50pt;height:20.5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" o:allowincell="f"/>
            </w:pict>
          </mc:Fallback>
        </mc:AlternateContent>
      </w:r>
      <w:r w:rsidR="000923BB" w:rsidRPr="00DA5E13">
        <w:tab/>
      </w:r>
      <w:r w:rsidR="000923BB" w:rsidRPr="00DA5E13">
        <w:tab/>
      </w:r>
      <w:r w:rsidR="000923BB" w:rsidRPr="00DA5E13">
        <w:tab/>
        <w:t xml:space="preserve">mmol/l </w:t>
      </w:r>
    </w:p>
    <w:p w14:paraId="0AD2A44C" w14:textId="77777777" w:rsidR="000923BB" w:rsidRPr="00DA5E13" w:rsidRDefault="000923BB" w:rsidP="000923BB">
      <w:pPr>
        <w:pStyle w:val="Header"/>
        <w:tabs>
          <w:tab w:val="left" w:pos="1418"/>
          <w:tab w:val="left" w:pos="2835"/>
          <w:tab w:val="left" w:pos="3544"/>
          <w:tab w:val="left" w:pos="4820"/>
          <w:tab w:val="left" w:pos="5387"/>
          <w:tab w:val="left" w:pos="6379"/>
          <w:tab w:val="left" w:pos="7371"/>
          <w:tab w:val="left" w:pos="9072"/>
        </w:tabs>
      </w:pPr>
    </w:p>
    <w:p w14:paraId="4DF5BEDE" w14:textId="77777777" w:rsidR="000923BB" w:rsidRPr="00DA5E13" w:rsidRDefault="006C4584" w:rsidP="000923BB">
      <w:pPr>
        <w:pStyle w:val="Header"/>
        <w:tabs>
          <w:tab w:val="left" w:pos="709"/>
          <w:tab w:val="left" w:pos="1985"/>
          <w:tab w:val="left" w:pos="2835"/>
          <w:tab w:val="left" w:pos="3969"/>
          <w:tab w:val="left" w:pos="4820"/>
          <w:tab w:val="left" w:pos="6379"/>
          <w:tab w:val="left" w:pos="7371"/>
          <w:tab w:val="left" w:pos="9072"/>
        </w:tabs>
      </w:pPr>
      <w:r>
        <w:tab/>
      </w:r>
      <w:r>
        <w:tab/>
      </w:r>
      <w:r>
        <w:tab/>
      </w:r>
      <w:r>
        <w:tab/>
      </w:r>
      <w:r>
        <w:tab/>
      </w:r>
      <w:r>
        <w:tab/>
      </w:r>
      <w:r w:rsidR="000923BB" w:rsidRPr="00DA5E13">
        <w:t>not recorded</w:t>
      </w:r>
      <w:r w:rsidR="000923BB" w:rsidRPr="00DA5E13">
        <w:tab/>
      </w:r>
      <w:r w:rsidR="000923BB" w:rsidRPr="00DA5E13">
        <w:sym w:font="Monotype Sorts" w:char="F071"/>
      </w:r>
    </w:p>
    <w:p w14:paraId="67A828E6" w14:textId="77777777" w:rsidR="000923BB" w:rsidRPr="00DA5E13" w:rsidRDefault="000923BB" w:rsidP="000923BB">
      <w:pPr>
        <w:pStyle w:val="Header"/>
        <w:tabs>
          <w:tab w:val="left" w:pos="709"/>
          <w:tab w:val="left" w:pos="1985"/>
          <w:tab w:val="left" w:pos="2835"/>
          <w:tab w:val="left" w:pos="3969"/>
          <w:tab w:val="left" w:pos="4820"/>
          <w:tab w:val="left" w:pos="6379"/>
          <w:tab w:val="left" w:pos="7371"/>
          <w:tab w:val="left" w:pos="9072"/>
        </w:tabs>
      </w:pPr>
    </w:p>
    <w:p w14:paraId="3935DD71" w14:textId="77777777" w:rsidR="000923BB" w:rsidRPr="00DA5E13" w:rsidRDefault="000923BB" w:rsidP="000923BB">
      <w:pPr>
        <w:pBdr>
          <w:top w:val="dotted" w:sz="4" w:space="10" w:color="auto"/>
        </w:pBdr>
        <w:tabs>
          <w:tab w:val="left" w:pos="2835"/>
          <w:tab w:val="left" w:pos="4820"/>
          <w:tab w:val="left" w:pos="7371"/>
          <w:tab w:val="left" w:pos="9072"/>
        </w:tabs>
      </w:pPr>
      <w:r w:rsidRPr="00DA5E13">
        <w:t>22</w:t>
      </w:r>
      <w:r w:rsidR="006C4584">
        <w:t xml:space="preserve">. Was serum albumin recorded? </w:t>
      </w:r>
      <w:r w:rsidR="006C4584">
        <w:tab/>
      </w:r>
      <w:r w:rsidRPr="00DA5E13">
        <w:t>yes</w:t>
      </w:r>
      <w:r w:rsidRPr="00DA5E13">
        <w:tab/>
      </w:r>
      <w:r w:rsidRPr="00DA5E13">
        <w:sym w:font="Monotype Sorts" w:char="F071"/>
      </w:r>
    </w:p>
    <w:p w14:paraId="627D0261" w14:textId="77777777" w:rsidR="000923BB" w:rsidRPr="00DA5E13" w:rsidRDefault="006C4584" w:rsidP="000923BB">
      <w:pPr>
        <w:tabs>
          <w:tab w:val="left" w:pos="2835"/>
          <w:tab w:val="left" w:pos="4820"/>
          <w:tab w:val="left" w:pos="7371"/>
          <w:tab w:val="left" w:pos="9072"/>
        </w:tabs>
      </w:pPr>
      <w:r>
        <w:tab/>
      </w:r>
      <w:r>
        <w:tab/>
      </w:r>
      <w:r w:rsidR="000923BB" w:rsidRPr="00DA5E13">
        <w:t>no</w:t>
      </w:r>
      <w:r w:rsidR="000923BB" w:rsidRPr="00DA5E13">
        <w:tab/>
      </w:r>
      <w:r w:rsidR="000923BB" w:rsidRPr="00DA5E13">
        <w:sym w:font="Monotype Sorts" w:char="F071"/>
      </w:r>
    </w:p>
    <w:p w14:paraId="70D12445" w14:textId="77777777" w:rsidR="000923BB" w:rsidRPr="00DA5E13" w:rsidRDefault="000923BB" w:rsidP="000923BB">
      <w:pPr>
        <w:pStyle w:val="Header"/>
        <w:tabs>
          <w:tab w:val="left" w:pos="2835"/>
          <w:tab w:val="left" w:pos="4820"/>
          <w:tab w:val="left" w:pos="7371"/>
          <w:tab w:val="left" w:pos="9072"/>
        </w:tabs>
      </w:pPr>
      <w:r w:rsidRPr="00DA5E13">
        <w:tab/>
      </w:r>
      <w:r w:rsidRPr="00DA5E13">
        <w:tab/>
      </w:r>
      <w:r w:rsidRPr="00DA5E13">
        <w:tab/>
      </w:r>
    </w:p>
    <w:p w14:paraId="22694D86" w14:textId="77777777" w:rsidR="000923BB" w:rsidRPr="00DA5E13" w:rsidRDefault="000923BB" w:rsidP="000923BB">
      <w:pPr>
        <w:pStyle w:val="Header"/>
        <w:tabs>
          <w:tab w:val="left" w:pos="2835"/>
          <w:tab w:val="left" w:pos="4820"/>
          <w:tab w:val="left" w:pos="6379"/>
          <w:tab w:val="left" w:pos="7371"/>
          <w:tab w:val="left" w:pos="9072"/>
        </w:tabs>
        <w:ind w:left="2835"/>
      </w:pPr>
    </w:p>
    <w:p w14:paraId="3CCFDB3B" w14:textId="77777777" w:rsidR="000923BB" w:rsidRPr="00DA5E13" w:rsidRDefault="000923BB" w:rsidP="000923BB">
      <w:pPr>
        <w:pStyle w:val="Header"/>
        <w:tabs>
          <w:tab w:val="left" w:pos="2835"/>
          <w:tab w:val="left" w:pos="4820"/>
          <w:tab w:val="left" w:pos="6379"/>
          <w:tab w:val="left" w:pos="7088"/>
          <w:tab w:val="left" w:pos="9072"/>
        </w:tabs>
        <w:ind w:left="720"/>
      </w:pPr>
      <w:r w:rsidRPr="00DA5E13">
        <w:t>If yes, what was the first recorded (after admission) value?</w:t>
      </w:r>
    </w:p>
    <w:p w14:paraId="0D1A4033" w14:textId="5AA7A752" w:rsidR="000923BB" w:rsidRPr="00DA5E13" w:rsidRDefault="00003011" w:rsidP="000923BB">
      <w:pPr>
        <w:pStyle w:val="Header"/>
        <w:tabs>
          <w:tab w:val="left" w:pos="2835"/>
          <w:tab w:val="left" w:pos="4820"/>
          <w:tab w:val="left" w:pos="6379"/>
          <w:tab w:val="left" w:pos="7088"/>
          <w:tab w:val="left" w:pos="9072"/>
        </w:tabs>
        <w:ind w:left="720"/>
      </w:pPr>
      <w:r>
        <w:rPr>
          <w:noProof/>
        </w:rPr>
        <mc:AlternateContent>
          <mc:Choice Requires="wps">
            <w:drawing>
              <wp:anchor distT="0" distB="0" distL="114300" distR="114300" simplePos="0" relativeHeight="252634112" behindDoc="0" locked="0" layoutInCell="0" allowOverlap="1" wp14:anchorId="69270225" wp14:editId="37ABF375">
                <wp:simplePos x="0" y="0"/>
                <wp:positionH relativeFrom="column">
                  <wp:posOffset>3773170</wp:posOffset>
                </wp:positionH>
                <wp:positionV relativeFrom="paragraph">
                  <wp:posOffset>170815</wp:posOffset>
                </wp:positionV>
                <wp:extent cx="775970" cy="260985"/>
                <wp:effectExtent l="10795" t="13335" r="13335" b="11430"/>
                <wp:wrapNone/>
                <wp:docPr id="67" name="Rectangle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260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BAD49" id="Rectangle 1008" o:spid="_x0000_s1026" style="position:absolute;margin-left:297.1pt;margin-top:13.45pt;width:61.1pt;height:20.5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" o:allowincell="f"/>
            </w:pict>
          </mc:Fallback>
        </mc:AlternateContent>
      </w:r>
    </w:p>
    <w:p w14:paraId="431DAF3B" w14:textId="77777777" w:rsidR="000923BB" w:rsidRPr="00DA5E13" w:rsidRDefault="000923BB" w:rsidP="000923BB">
      <w:pPr>
        <w:pStyle w:val="Header"/>
        <w:tabs>
          <w:tab w:val="left" w:pos="2835"/>
          <w:tab w:val="left" w:pos="4820"/>
          <w:tab w:val="left" w:pos="6379"/>
          <w:tab w:val="left" w:pos="7371"/>
          <w:tab w:val="left" w:pos="9072"/>
        </w:tabs>
        <w:ind w:left="720"/>
      </w:pPr>
      <w:r w:rsidRPr="00DA5E13">
        <w:tab/>
      </w:r>
      <w:r w:rsidRPr="00DA5E13">
        <w:tab/>
      </w:r>
      <w:r w:rsidRPr="00DA5E13">
        <w:tab/>
        <w:t xml:space="preserve"> mmol/l </w:t>
      </w:r>
    </w:p>
    <w:p w14:paraId="64D847F1" w14:textId="77777777" w:rsidR="000923BB" w:rsidRPr="00DA5E13" w:rsidRDefault="000923BB" w:rsidP="000923BB">
      <w:pPr>
        <w:pStyle w:val="Header"/>
        <w:tabs>
          <w:tab w:val="left" w:pos="1418"/>
          <w:tab w:val="left" w:pos="2835"/>
          <w:tab w:val="left" w:pos="3544"/>
          <w:tab w:val="left" w:pos="4820"/>
          <w:tab w:val="left" w:pos="5387"/>
          <w:tab w:val="left" w:pos="6379"/>
          <w:tab w:val="left" w:pos="7371"/>
          <w:tab w:val="left" w:pos="9072"/>
        </w:tabs>
      </w:pPr>
    </w:p>
    <w:p w14:paraId="584CDCC3" w14:textId="77777777" w:rsidR="000923BB" w:rsidRPr="00DA5E13" w:rsidRDefault="006C4584" w:rsidP="000923BB">
      <w:pPr>
        <w:pStyle w:val="Header"/>
        <w:tabs>
          <w:tab w:val="left" w:pos="709"/>
          <w:tab w:val="left" w:pos="1985"/>
          <w:tab w:val="left" w:pos="2835"/>
          <w:tab w:val="left" w:pos="3969"/>
          <w:tab w:val="left" w:pos="4820"/>
          <w:tab w:val="left" w:pos="6379"/>
          <w:tab w:val="left" w:pos="7371"/>
          <w:tab w:val="left" w:pos="9072"/>
        </w:tabs>
      </w:pPr>
      <w:r>
        <w:tab/>
      </w:r>
      <w:r>
        <w:tab/>
      </w:r>
      <w:r>
        <w:tab/>
      </w:r>
      <w:r>
        <w:tab/>
      </w:r>
      <w:r>
        <w:tab/>
      </w:r>
      <w:r>
        <w:tab/>
      </w:r>
      <w:r w:rsidR="000923BB" w:rsidRPr="00DA5E13">
        <w:t>not recorded</w:t>
      </w:r>
      <w:r w:rsidR="000923BB" w:rsidRPr="00DA5E13">
        <w:tab/>
      </w:r>
      <w:r w:rsidR="000923BB" w:rsidRPr="00DA5E13">
        <w:sym w:font="Monotype Sorts" w:char="F071"/>
      </w:r>
    </w:p>
    <w:p w14:paraId="17BE1A7B" w14:textId="77777777" w:rsidR="000923BB" w:rsidRPr="00DA5E13" w:rsidRDefault="000923BB" w:rsidP="000923BB">
      <w:pPr>
        <w:pStyle w:val="Header"/>
        <w:tabs>
          <w:tab w:val="left" w:pos="709"/>
          <w:tab w:val="left" w:pos="1985"/>
          <w:tab w:val="left" w:pos="2835"/>
          <w:tab w:val="left" w:pos="3969"/>
          <w:tab w:val="left" w:pos="4820"/>
          <w:tab w:val="left" w:pos="6379"/>
          <w:tab w:val="left" w:pos="7371"/>
          <w:tab w:val="left" w:pos="9072"/>
        </w:tabs>
      </w:pPr>
    </w:p>
    <w:p w14:paraId="730A9AE6" w14:textId="77777777" w:rsidR="000923BB" w:rsidRPr="00DA5E13" w:rsidRDefault="000923BB" w:rsidP="000923BB">
      <w:pPr>
        <w:pStyle w:val="Header"/>
        <w:pBdr>
          <w:top w:val="dotted" w:sz="4" w:space="10" w:color="auto"/>
        </w:pBdr>
        <w:tabs>
          <w:tab w:val="left" w:pos="2835"/>
          <w:tab w:val="left" w:pos="4820"/>
          <w:tab w:val="left" w:pos="6379"/>
          <w:tab w:val="left" w:pos="7371"/>
          <w:tab w:val="left" w:pos="9072"/>
        </w:tabs>
      </w:pPr>
      <w:r w:rsidRPr="00DA5E13">
        <w:t>23. Was there a record of medications being taken at time of admission?</w:t>
      </w:r>
    </w:p>
    <w:p w14:paraId="78E56EED" w14:textId="77777777" w:rsidR="000923BB" w:rsidRPr="00DA5E13" w:rsidRDefault="000923BB" w:rsidP="000923BB">
      <w:pPr>
        <w:pStyle w:val="Header"/>
        <w:pBdr>
          <w:top w:val="dotted" w:sz="4" w:space="10" w:color="auto"/>
        </w:pBdr>
        <w:tabs>
          <w:tab w:val="left" w:pos="2835"/>
          <w:tab w:val="left" w:pos="4820"/>
          <w:tab w:val="left" w:pos="6379"/>
          <w:tab w:val="left" w:pos="7371"/>
          <w:tab w:val="left" w:pos="9072"/>
        </w:tabs>
      </w:pPr>
      <w:r w:rsidRPr="00DA5E13">
        <w:tab/>
      </w:r>
      <w:r w:rsidRPr="00DA5E13">
        <w:tab/>
      </w:r>
      <w:r w:rsidRPr="00DA5E13">
        <w:tab/>
      </w:r>
      <w:r w:rsidRPr="00DA5E13">
        <w:tab/>
        <w:t>yes</w:t>
      </w:r>
      <w:r w:rsidRPr="00DA5E13">
        <w:tab/>
      </w:r>
      <w:r w:rsidRPr="00DA5E13">
        <w:sym w:font="Monotype Sorts" w:char="F071"/>
      </w:r>
    </w:p>
    <w:p w14:paraId="14DD603A" w14:textId="77777777" w:rsidR="000923BB" w:rsidRPr="00DA5E13" w:rsidRDefault="000923BB" w:rsidP="000923BB">
      <w:pPr>
        <w:pStyle w:val="Header"/>
        <w:tabs>
          <w:tab w:val="left" w:pos="2835"/>
          <w:tab w:val="left" w:pos="4820"/>
          <w:tab w:val="left" w:pos="6379"/>
          <w:tab w:val="left" w:pos="7371"/>
          <w:tab w:val="left" w:pos="9072"/>
        </w:tabs>
      </w:pPr>
      <w:r w:rsidRPr="00DA5E13">
        <w:tab/>
      </w:r>
      <w:r w:rsidRPr="00DA5E13">
        <w:tab/>
      </w:r>
      <w:r w:rsidRPr="00DA5E13">
        <w:tab/>
      </w:r>
      <w:r w:rsidRPr="00DA5E13">
        <w:tab/>
        <w:t xml:space="preserve">no </w:t>
      </w:r>
      <w:r w:rsidRPr="00DA5E13">
        <w:tab/>
      </w:r>
      <w:r w:rsidRPr="00DA5E13">
        <w:sym w:font="Monotype Sorts" w:char="F071"/>
      </w:r>
    </w:p>
    <w:p w14:paraId="0BC15ABA" w14:textId="77777777" w:rsidR="000923BB" w:rsidRPr="00DA5E13" w:rsidRDefault="000923BB" w:rsidP="000923BB">
      <w:pPr>
        <w:pStyle w:val="Header"/>
        <w:tabs>
          <w:tab w:val="left" w:pos="2835"/>
          <w:tab w:val="left" w:pos="4820"/>
          <w:tab w:val="left" w:pos="6379"/>
          <w:tab w:val="left" w:pos="7371"/>
          <w:tab w:val="left" w:pos="9072"/>
        </w:tabs>
        <w:ind w:left="720"/>
      </w:pPr>
      <w:r w:rsidRPr="00DA5E13">
        <w:t>If yes, were there 5 or more medications recorded?</w:t>
      </w:r>
    </w:p>
    <w:p w14:paraId="13C25A41" w14:textId="77777777" w:rsidR="000923BB" w:rsidRPr="00DA5E13" w:rsidRDefault="000923BB" w:rsidP="000923BB">
      <w:pPr>
        <w:pStyle w:val="Header"/>
        <w:tabs>
          <w:tab w:val="left" w:pos="2835"/>
          <w:tab w:val="left" w:pos="4820"/>
          <w:tab w:val="left" w:pos="6379"/>
          <w:tab w:val="left" w:pos="7371"/>
          <w:tab w:val="left" w:pos="9072"/>
        </w:tabs>
      </w:pPr>
      <w:r w:rsidRPr="00DA5E13">
        <w:tab/>
      </w:r>
      <w:r w:rsidRPr="00DA5E13">
        <w:tab/>
      </w:r>
      <w:r w:rsidRPr="00DA5E13">
        <w:tab/>
      </w:r>
      <w:r w:rsidRPr="00DA5E13">
        <w:tab/>
        <w:t>yes</w:t>
      </w:r>
      <w:r w:rsidRPr="00DA5E13">
        <w:tab/>
      </w:r>
      <w:r w:rsidRPr="00DA5E13">
        <w:sym w:font="Monotype Sorts" w:char="F071"/>
      </w:r>
    </w:p>
    <w:p w14:paraId="220D2A6F" w14:textId="77777777" w:rsidR="000923BB" w:rsidRPr="00DA5E13" w:rsidRDefault="000923BB" w:rsidP="000923BB">
      <w:pPr>
        <w:pStyle w:val="Header"/>
        <w:tabs>
          <w:tab w:val="left" w:pos="2835"/>
          <w:tab w:val="left" w:pos="4820"/>
          <w:tab w:val="left" w:pos="6379"/>
          <w:tab w:val="left" w:pos="7371"/>
          <w:tab w:val="left" w:pos="9072"/>
        </w:tabs>
      </w:pPr>
      <w:r w:rsidRPr="00DA5E13">
        <w:tab/>
      </w:r>
      <w:r w:rsidRPr="00DA5E13">
        <w:tab/>
      </w:r>
      <w:r w:rsidRPr="00DA5E13">
        <w:tab/>
      </w:r>
      <w:r w:rsidRPr="00DA5E13">
        <w:tab/>
        <w:t xml:space="preserve">no </w:t>
      </w:r>
      <w:r w:rsidRPr="00DA5E13">
        <w:tab/>
      </w:r>
      <w:r w:rsidRPr="00DA5E13">
        <w:sym w:font="Monotype Sorts" w:char="F071"/>
      </w:r>
    </w:p>
    <w:p w14:paraId="6E21AE5A" w14:textId="77777777" w:rsidR="000923BB" w:rsidRPr="00DA5E13" w:rsidRDefault="000923BB" w:rsidP="000923BB">
      <w:pPr>
        <w:pStyle w:val="Header"/>
        <w:tabs>
          <w:tab w:val="left" w:pos="2835"/>
          <w:tab w:val="left" w:pos="4820"/>
          <w:tab w:val="left" w:pos="6379"/>
          <w:tab w:val="left" w:pos="7371"/>
          <w:tab w:val="left" w:pos="9072"/>
        </w:tabs>
        <w:ind w:left="720"/>
      </w:pPr>
    </w:p>
    <w:p w14:paraId="1D2A9E38" w14:textId="5A7DF130" w:rsidR="000923BB" w:rsidRPr="00DA5E13" w:rsidRDefault="00003011" w:rsidP="000923BB">
      <w:pPr>
        <w:pStyle w:val="Header"/>
        <w:pBdr>
          <w:top w:val="dotted" w:sz="4" w:space="10" w:color="auto"/>
        </w:pBdr>
        <w:tabs>
          <w:tab w:val="left" w:pos="2835"/>
          <w:tab w:val="left" w:pos="4820"/>
          <w:tab w:val="left" w:pos="6379"/>
          <w:tab w:val="left" w:pos="7371"/>
          <w:tab w:val="left" w:pos="9072"/>
        </w:tabs>
      </w:pPr>
      <w:r>
        <w:rPr>
          <w:noProof/>
        </w:rPr>
        <mc:AlternateContent>
          <mc:Choice Requires="wps">
            <w:drawing>
              <wp:anchor distT="0" distB="0" distL="114300" distR="114300" simplePos="0" relativeHeight="252639232" behindDoc="0" locked="0" layoutInCell="0" allowOverlap="1" wp14:anchorId="188A2CC5" wp14:editId="3CC4870E">
                <wp:simplePos x="0" y="0"/>
                <wp:positionH relativeFrom="column">
                  <wp:posOffset>3680460</wp:posOffset>
                </wp:positionH>
                <wp:positionV relativeFrom="paragraph">
                  <wp:posOffset>109220</wp:posOffset>
                </wp:positionV>
                <wp:extent cx="775970" cy="260985"/>
                <wp:effectExtent l="13335" t="10795" r="10795" b="13970"/>
                <wp:wrapNone/>
                <wp:docPr id="66" name="Rectangle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260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288A3" id="Rectangle 1013" o:spid="_x0000_s1026" style="position:absolute;margin-left:289.8pt;margin-top:8.6pt;width:61.1pt;height:20.5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" o:allowincell="f"/>
            </w:pict>
          </mc:Fallback>
        </mc:AlternateContent>
      </w:r>
    </w:p>
    <w:p w14:paraId="07049700" w14:textId="77777777" w:rsidR="000923BB" w:rsidRPr="00DA5E13" w:rsidRDefault="000923BB" w:rsidP="000923BB">
      <w:pPr>
        <w:pStyle w:val="Header"/>
        <w:pBdr>
          <w:top w:val="dotted" w:sz="4" w:space="10" w:color="auto"/>
        </w:pBdr>
        <w:tabs>
          <w:tab w:val="left" w:pos="2835"/>
          <w:tab w:val="left" w:pos="4820"/>
          <w:tab w:val="left" w:pos="6379"/>
          <w:tab w:val="left" w:pos="7371"/>
          <w:tab w:val="left" w:pos="9072"/>
        </w:tabs>
      </w:pPr>
      <w:r w:rsidRPr="00DA5E13">
        <w:t>24. What was the patient’s temperature at admission?</w:t>
      </w:r>
      <w:r w:rsidRPr="00DA5E13">
        <w:tab/>
      </w:r>
      <w:r w:rsidRPr="00DA5E13">
        <w:tab/>
      </w:r>
      <w:r w:rsidRPr="00DA5E13">
        <w:tab/>
      </w:r>
    </w:p>
    <w:p w14:paraId="56218782" w14:textId="77777777" w:rsidR="006C4584" w:rsidRDefault="000923BB" w:rsidP="000923BB">
      <w:pPr>
        <w:pStyle w:val="Header"/>
        <w:pBdr>
          <w:top w:val="dotted" w:sz="4" w:space="10" w:color="auto"/>
        </w:pBdr>
        <w:tabs>
          <w:tab w:val="left" w:pos="2835"/>
          <w:tab w:val="left" w:pos="4820"/>
          <w:tab w:val="left" w:pos="6379"/>
          <w:tab w:val="left" w:pos="7371"/>
          <w:tab w:val="left" w:pos="9072"/>
        </w:tabs>
      </w:pPr>
      <w:r w:rsidRPr="00DA5E13">
        <w:tab/>
      </w:r>
      <w:r w:rsidRPr="00DA5E13">
        <w:tab/>
      </w:r>
      <w:r w:rsidRPr="00DA5E13">
        <w:tab/>
      </w:r>
      <w:r w:rsidRPr="00DA5E13">
        <w:tab/>
      </w:r>
    </w:p>
    <w:p w14:paraId="5F585C05" w14:textId="77777777" w:rsidR="000923BB" w:rsidRPr="00DA5E13" w:rsidRDefault="000923BB" w:rsidP="000923BB">
      <w:pPr>
        <w:pStyle w:val="Header"/>
        <w:pBdr>
          <w:top w:val="dotted" w:sz="4" w:space="10" w:color="auto"/>
        </w:pBdr>
        <w:tabs>
          <w:tab w:val="left" w:pos="2835"/>
          <w:tab w:val="left" w:pos="4820"/>
          <w:tab w:val="left" w:pos="6379"/>
          <w:tab w:val="left" w:pos="7371"/>
          <w:tab w:val="left" w:pos="9072"/>
        </w:tabs>
      </w:pPr>
      <w:r w:rsidRPr="00DA5E13">
        <w:t>not recorded</w:t>
      </w:r>
      <w:r w:rsidRPr="00DA5E13">
        <w:tab/>
      </w:r>
      <w:r w:rsidRPr="00DA5E13">
        <w:sym w:font="Monotype Sorts" w:char="F071"/>
      </w:r>
    </w:p>
    <w:p w14:paraId="5BCF04D4" w14:textId="77777777" w:rsidR="000923BB" w:rsidRPr="00DA5E13" w:rsidRDefault="000923BB" w:rsidP="000923BB">
      <w:pPr>
        <w:pStyle w:val="Header"/>
        <w:pBdr>
          <w:top w:val="dotted" w:sz="4" w:space="10" w:color="auto"/>
        </w:pBdr>
        <w:tabs>
          <w:tab w:val="left" w:pos="2835"/>
          <w:tab w:val="left" w:pos="4820"/>
          <w:tab w:val="left" w:pos="6379"/>
          <w:tab w:val="left" w:pos="7371"/>
          <w:tab w:val="left" w:pos="9072"/>
        </w:tabs>
      </w:pPr>
    </w:p>
    <w:p w14:paraId="2FF93121" w14:textId="77777777" w:rsidR="000923BB" w:rsidRPr="00DA5E13" w:rsidRDefault="000923BB" w:rsidP="000923BB">
      <w:pPr>
        <w:pStyle w:val="Header"/>
        <w:tabs>
          <w:tab w:val="left" w:pos="2835"/>
          <w:tab w:val="left" w:pos="4820"/>
          <w:tab w:val="left" w:pos="6379"/>
          <w:tab w:val="left" w:pos="7371"/>
          <w:tab w:val="left" w:pos="9072"/>
        </w:tabs>
      </w:pPr>
    </w:p>
    <w:p w14:paraId="05DE78FD" w14:textId="77777777" w:rsidR="000923BB" w:rsidRPr="00DA5E13" w:rsidRDefault="000923BB" w:rsidP="000923BB">
      <w:pPr>
        <w:pBdr>
          <w:top w:val="dotted" w:sz="4" w:space="10" w:color="auto"/>
        </w:pBdr>
        <w:tabs>
          <w:tab w:val="left" w:pos="2835"/>
          <w:tab w:val="left" w:pos="4820"/>
          <w:tab w:val="left" w:pos="7371"/>
          <w:tab w:val="left" w:pos="9072"/>
        </w:tabs>
      </w:pPr>
      <w:r w:rsidRPr="00DA5E13">
        <w:t>25. Is there a spirometry reading in the notes for this admission?</w:t>
      </w:r>
    </w:p>
    <w:p w14:paraId="42D425A7" w14:textId="77777777" w:rsidR="000923BB" w:rsidRPr="00DA5E13" w:rsidRDefault="000923BB" w:rsidP="000923BB">
      <w:pPr>
        <w:pStyle w:val="Header"/>
        <w:pBdr>
          <w:top w:val="dotted" w:sz="4" w:space="10" w:color="auto"/>
        </w:pBdr>
        <w:tabs>
          <w:tab w:val="left" w:pos="2835"/>
          <w:tab w:val="left" w:pos="4820"/>
          <w:tab w:val="left" w:pos="6379"/>
          <w:tab w:val="left" w:pos="7371"/>
          <w:tab w:val="left" w:pos="9072"/>
        </w:tabs>
      </w:pPr>
    </w:p>
    <w:p w14:paraId="5FB543CB" w14:textId="77777777" w:rsidR="000923BB" w:rsidRPr="00DA5E13" w:rsidRDefault="000923BB" w:rsidP="000923BB">
      <w:pPr>
        <w:pStyle w:val="Header"/>
        <w:pBdr>
          <w:top w:val="dotted" w:sz="4" w:space="10" w:color="auto"/>
        </w:pBdr>
        <w:tabs>
          <w:tab w:val="left" w:pos="2835"/>
          <w:tab w:val="left" w:pos="4820"/>
          <w:tab w:val="left" w:pos="6379"/>
          <w:tab w:val="left" w:pos="7371"/>
          <w:tab w:val="left" w:pos="9072"/>
        </w:tabs>
      </w:pPr>
      <w:r w:rsidRPr="00DA5E13">
        <w:tab/>
      </w:r>
      <w:r w:rsidRPr="00DA5E13">
        <w:tab/>
      </w:r>
      <w:r w:rsidRPr="00DA5E13">
        <w:tab/>
      </w:r>
      <w:r w:rsidRPr="00DA5E13">
        <w:tab/>
        <w:t>Yes</w:t>
      </w:r>
      <w:r w:rsidRPr="00DA5E13">
        <w:tab/>
      </w:r>
      <w:r w:rsidRPr="00DA5E13">
        <w:sym w:font="Monotype Sorts" w:char="F071"/>
      </w:r>
    </w:p>
    <w:p w14:paraId="47F6B191" w14:textId="77777777" w:rsidR="000923BB" w:rsidRPr="00DA5E13" w:rsidRDefault="000923BB" w:rsidP="000923BB">
      <w:pPr>
        <w:pStyle w:val="Header"/>
        <w:pBdr>
          <w:top w:val="dotted" w:sz="4" w:space="10" w:color="auto"/>
        </w:pBdr>
        <w:tabs>
          <w:tab w:val="left" w:pos="2835"/>
          <w:tab w:val="left" w:pos="4820"/>
          <w:tab w:val="left" w:pos="6379"/>
          <w:tab w:val="left" w:pos="7371"/>
          <w:tab w:val="left" w:pos="9072"/>
        </w:tabs>
      </w:pPr>
      <w:r w:rsidRPr="00DA5E13">
        <w:tab/>
      </w:r>
      <w:r w:rsidRPr="00DA5E13">
        <w:tab/>
      </w:r>
      <w:r w:rsidRPr="00DA5E13">
        <w:tab/>
      </w:r>
      <w:r w:rsidRPr="00DA5E13">
        <w:tab/>
        <w:t>No</w:t>
      </w:r>
      <w:r w:rsidRPr="00DA5E13">
        <w:tab/>
      </w:r>
      <w:r w:rsidRPr="00DA5E13">
        <w:sym w:font="Monotype Sorts" w:char="F071"/>
      </w:r>
    </w:p>
    <w:p w14:paraId="5E06D3F4" w14:textId="77777777" w:rsidR="000923BB" w:rsidRPr="00DA5E13" w:rsidRDefault="000923BB" w:rsidP="000923BB">
      <w:pPr>
        <w:pStyle w:val="Header"/>
        <w:pBdr>
          <w:top w:val="dotted" w:sz="4" w:space="10" w:color="auto"/>
        </w:pBdr>
        <w:tabs>
          <w:tab w:val="left" w:pos="2835"/>
          <w:tab w:val="left" w:pos="4820"/>
          <w:tab w:val="left" w:pos="6379"/>
          <w:tab w:val="left" w:pos="7371"/>
          <w:tab w:val="left" w:pos="9072"/>
        </w:tabs>
      </w:pPr>
    </w:p>
    <w:p w14:paraId="46FE0E08" w14:textId="52E82D4C" w:rsidR="000923BB" w:rsidRPr="00DA5E13" w:rsidRDefault="00003011" w:rsidP="000923BB">
      <w:pPr>
        <w:pStyle w:val="Header"/>
        <w:pBdr>
          <w:top w:val="dotted" w:sz="4" w:space="10" w:color="auto"/>
        </w:pBdr>
        <w:tabs>
          <w:tab w:val="left" w:pos="1560"/>
          <w:tab w:val="left" w:pos="2835"/>
          <w:tab w:val="left" w:pos="4820"/>
          <w:tab w:val="left" w:pos="6379"/>
          <w:tab w:val="left" w:pos="7371"/>
          <w:tab w:val="left" w:pos="9072"/>
        </w:tabs>
      </w:pPr>
      <w:r>
        <w:rPr>
          <w:noProof/>
        </w:rPr>
        <mc:AlternateContent>
          <mc:Choice Requires="wps">
            <w:drawing>
              <wp:anchor distT="0" distB="0" distL="114300" distR="114300" simplePos="0" relativeHeight="252635136" behindDoc="0" locked="0" layoutInCell="0" allowOverlap="1" wp14:anchorId="07E4478E" wp14:editId="0C5FD12C">
                <wp:simplePos x="0" y="0"/>
                <wp:positionH relativeFrom="column">
                  <wp:posOffset>3512185</wp:posOffset>
                </wp:positionH>
                <wp:positionV relativeFrom="paragraph">
                  <wp:posOffset>139065</wp:posOffset>
                </wp:positionV>
                <wp:extent cx="1412240" cy="260985"/>
                <wp:effectExtent l="6985" t="13335" r="9525" b="11430"/>
                <wp:wrapNone/>
                <wp:docPr id="65" name="Rectangle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240" cy="260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65A3D" id="Rectangle 1009" o:spid="_x0000_s1026" style="position:absolute;margin-left:276.55pt;margin-top:10.95pt;width:111.2pt;height:20.5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" o:allowincell="f"/>
            </w:pict>
          </mc:Fallback>
        </mc:AlternateContent>
      </w:r>
      <w:r w:rsidR="000923BB" w:rsidRPr="00DA5E13">
        <w:tab/>
        <w:t>If yes what is the FEV</w:t>
      </w:r>
      <w:r w:rsidR="000923BB" w:rsidRPr="00DA5E13">
        <w:rPr>
          <w:position w:val="-6"/>
        </w:rPr>
        <w:t>1</w:t>
      </w:r>
      <w:r w:rsidR="000923BB" w:rsidRPr="00DA5E13">
        <w:t xml:space="preserve"> level</w:t>
      </w:r>
    </w:p>
    <w:p w14:paraId="1B6D334F" w14:textId="77777777" w:rsidR="000923BB" w:rsidRPr="00DA5E13" w:rsidRDefault="000923BB" w:rsidP="000923BB">
      <w:pPr>
        <w:pStyle w:val="Header"/>
        <w:pBdr>
          <w:top w:val="dotted" w:sz="4" w:space="10" w:color="auto"/>
        </w:pBdr>
        <w:tabs>
          <w:tab w:val="left" w:pos="1560"/>
          <w:tab w:val="left" w:pos="2835"/>
          <w:tab w:val="left" w:pos="4820"/>
          <w:tab w:val="left" w:pos="6379"/>
          <w:tab w:val="left" w:pos="7371"/>
          <w:tab w:val="left" w:pos="9072"/>
        </w:tabs>
      </w:pPr>
      <w:r w:rsidRPr="00DA5E13">
        <w:tab/>
        <w:t>(if more than one, give most recent)</w:t>
      </w:r>
    </w:p>
    <w:p w14:paraId="47560E7A" w14:textId="77777777" w:rsidR="000923BB" w:rsidRPr="00DA5E13" w:rsidRDefault="000923BB" w:rsidP="000923BB">
      <w:pPr>
        <w:pStyle w:val="Header"/>
        <w:pBdr>
          <w:top w:val="dotted" w:sz="4" w:space="10" w:color="auto"/>
        </w:pBdr>
        <w:tabs>
          <w:tab w:val="left" w:pos="2835"/>
          <w:tab w:val="left" w:pos="4820"/>
          <w:tab w:val="left" w:pos="6379"/>
          <w:tab w:val="left" w:pos="7371"/>
          <w:tab w:val="left" w:pos="9072"/>
        </w:tabs>
      </w:pPr>
    </w:p>
    <w:p w14:paraId="4B7641AD" w14:textId="77777777" w:rsidR="000923BB" w:rsidRPr="00DA5E13" w:rsidRDefault="006C4584" w:rsidP="000923BB">
      <w:pPr>
        <w:pStyle w:val="Header"/>
        <w:tabs>
          <w:tab w:val="left" w:pos="2835"/>
          <w:tab w:val="left" w:pos="4820"/>
          <w:tab w:val="left" w:pos="6379"/>
          <w:tab w:val="left" w:pos="7513"/>
          <w:tab w:val="left" w:pos="9072"/>
        </w:tabs>
      </w:pPr>
      <w:r>
        <w:tab/>
      </w:r>
      <w:r>
        <w:tab/>
      </w:r>
      <w:r>
        <w:tab/>
      </w:r>
      <w:r w:rsidR="000923BB" w:rsidRPr="00DA5E13">
        <w:t>not recorded</w:t>
      </w:r>
      <w:r w:rsidR="000923BB" w:rsidRPr="00DA5E13">
        <w:tab/>
      </w:r>
      <w:r w:rsidR="000923BB" w:rsidRPr="00DA5E13">
        <w:sym w:font="Monotype Sorts" w:char="F071"/>
      </w:r>
    </w:p>
    <w:p w14:paraId="12C25E25" w14:textId="77777777" w:rsidR="000923BB" w:rsidRPr="00DA5E13" w:rsidRDefault="000923BB" w:rsidP="000923BB">
      <w:pPr>
        <w:pStyle w:val="Header"/>
        <w:tabs>
          <w:tab w:val="left" w:pos="2835"/>
          <w:tab w:val="left" w:pos="4820"/>
          <w:tab w:val="left" w:pos="6379"/>
          <w:tab w:val="left" w:pos="7371"/>
          <w:tab w:val="left" w:pos="9072"/>
        </w:tabs>
      </w:pPr>
    </w:p>
    <w:p w14:paraId="45A2722E" w14:textId="77777777" w:rsidR="006C4584" w:rsidRDefault="000923BB" w:rsidP="000923BB">
      <w:pPr>
        <w:pStyle w:val="Header"/>
        <w:pBdr>
          <w:top w:val="dotted" w:sz="4" w:space="10" w:color="auto"/>
        </w:pBdr>
        <w:tabs>
          <w:tab w:val="left" w:pos="2835"/>
          <w:tab w:val="left" w:pos="4820"/>
          <w:tab w:val="left" w:pos="6379"/>
          <w:tab w:val="left" w:pos="9072"/>
        </w:tabs>
      </w:pPr>
      <w:r w:rsidRPr="00DA5E13">
        <w:t>26. Is there a record of peripheral oedema?</w:t>
      </w:r>
      <w:r w:rsidRPr="00DA5E13">
        <w:tab/>
      </w:r>
      <w:r w:rsidRPr="00DA5E13">
        <w:tab/>
      </w:r>
    </w:p>
    <w:p w14:paraId="04032628" w14:textId="77777777" w:rsidR="006C4584" w:rsidRDefault="006C4584" w:rsidP="006C4584">
      <w:pPr>
        <w:pStyle w:val="Header"/>
        <w:pBdr>
          <w:top w:val="dotted" w:sz="4" w:space="10" w:color="auto"/>
        </w:pBdr>
        <w:tabs>
          <w:tab w:val="left" w:pos="2835"/>
          <w:tab w:val="left" w:pos="4820"/>
          <w:tab w:val="left" w:pos="6379"/>
          <w:tab w:val="left" w:pos="9072"/>
        </w:tabs>
      </w:pPr>
    </w:p>
    <w:p w14:paraId="07DB7F09" w14:textId="77777777" w:rsidR="000923BB" w:rsidRPr="00DA5E13" w:rsidRDefault="000923BB" w:rsidP="006C4584">
      <w:pPr>
        <w:pStyle w:val="Header"/>
        <w:pBdr>
          <w:top w:val="dotted" w:sz="4" w:space="10" w:color="auto"/>
        </w:pBdr>
        <w:tabs>
          <w:tab w:val="left" w:pos="2835"/>
          <w:tab w:val="left" w:pos="4820"/>
          <w:tab w:val="left" w:pos="6379"/>
          <w:tab w:val="left" w:pos="9072"/>
        </w:tabs>
      </w:pPr>
      <w:r w:rsidRPr="00DA5E13">
        <w:lastRenderedPageBreak/>
        <w:t>yes - present</w:t>
      </w:r>
      <w:r w:rsidRPr="00DA5E13">
        <w:tab/>
      </w:r>
      <w:r w:rsidRPr="00DA5E13">
        <w:sym w:font="Monotype Sorts" w:char="F071"/>
      </w:r>
    </w:p>
    <w:p w14:paraId="0AA54015" w14:textId="77777777" w:rsidR="000923BB" w:rsidRDefault="006C4584" w:rsidP="000923BB">
      <w:pPr>
        <w:pStyle w:val="Header"/>
        <w:pBdr>
          <w:top w:val="dotted" w:sz="4" w:space="10" w:color="auto"/>
        </w:pBdr>
        <w:tabs>
          <w:tab w:val="left" w:pos="2835"/>
          <w:tab w:val="left" w:pos="4820"/>
          <w:tab w:val="left" w:pos="6379"/>
          <w:tab w:val="left" w:pos="9072"/>
        </w:tabs>
      </w:pPr>
      <w:r>
        <w:tab/>
      </w:r>
      <w:r>
        <w:tab/>
      </w:r>
      <w:r>
        <w:tab/>
        <w:t>yes – not present</w:t>
      </w:r>
      <w:r w:rsidR="000923BB" w:rsidRPr="00DA5E13">
        <w:sym w:font="Monotype Sorts" w:char="F071"/>
      </w:r>
    </w:p>
    <w:p w14:paraId="009827DF" w14:textId="77777777" w:rsidR="006C4584" w:rsidRPr="00DA5E13" w:rsidRDefault="006C4584" w:rsidP="000923BB">
      <w:pPr>
        <w:pStyle w:val="Header"/>
        <w:pBdr>
          <w:top w:val="dotted" w:sz="4" w:space="10" w:color="auto"/>
        </w:pBdr>
        <w:tabs>
          <w:tab w:val="left" w:pos="2835"/>
          <w:tab w:val="left" w:pos="4820"/>
          <w:tab w:val="left" w:pos="6379"/>
          <w:tab w:val="left" w:pos="9072"/>
        </w:tabs>
      </w:pPr>
    </w:p>
    <w:p w14:paraId="683E3900" w14:textId="77777777" w:rsidR="000923BB" w:rsidRPr="00DA5E13" w:rsidRDefault="000923BB" w:rsidP="000923BB">
      <w:pPr>
        <w:pStyle w:val="Header"/>
        <w:tabs>
          <w:tab w:val="left" w:pos="2835"/>
          <w:tab w:val="left" w:pos="4820"/>
          <w:tab w:val="left" w:pos="6379"/>
          <w:tab w:val="left" w:pos="9072"/>
        </w:tabs>
      </w:pPr>
      <w:r w:rsidRPr="00DA5E13">
        <w:tab/>
      </w:r>
      <w:r w:rsidRPr="00DA5E13">
        <w:tab/>
      </w:r>
      <w:r w:rsidRPr="00DA5E13">
        <w:tab/>
        <w:t>not recorded</w:t>
      </w:r>
      <w:r w:rsidRPr="00DA5E13">
        <w:tab/>
      </w:r>
      <w:r w:rsidRPr="00DA5E13">
        <w:sym w:font="Monotype Sorts" w:char="F071"/>
      </w:r>
    </w:p>
    <w:p w14:paraId="361DAE89" w14:textId="77777777" w:rsidR="000923BB" w:rsidRPr="00DA5E13" w:rsidRDefault="000923BB" w:rsidP="000923BB">
      <w:pPr>
        <w:pStyle w:val="Header"/>
        <w:tabs>
          <w:tab w:val="left" w:pos="2835"/>
          <w:tab w:val="left" w:pos="4820"/>
          <w:tab w:val="left" w:pos="5245"/>
          <w:tab w:val="left" w:pos="6379"/>
          <w:tab w:val="left" w:pos="7371"/>
          <w:tab w:val="left" w:pos="9072"/>
        </w:tabs>
        <w:ind w:left="720"/>
      </w:pPr>
      <w:r w:rsidRPr="00DA5E13">
        <w:t>If present, was it?</w:t>
      </w:r>
    </w:p>
    <w:p w14:paraId="2BBD948A" w14:textId="77777777" w:rsidR="000923BB" w:rsidRPr="00DA5E13" w:rsidRDefault="000923BB" w:rsidP="000923BB">
      <w:pPr>
        <w:pStyle w:val="Header"/>
        <w:tabs>
          <w:tab w:val="left" w:pos="2835"/>
          <w:tab w:val="left" w:pos="4820"/>
          <w:tab w:val="left" w:pos="6379"/>
          <w:tab w:val="left" w:pos="9072"/>
        </w:tabs>
      </w:pPr>
      <w:r w:rsidRPr="00DA5E13">
        <w:tab/>
      </w:r>
      <w:r w:rsidRPr="00DA5E13">
        <w:tab/>
      </w:r>
      <w:r w:rsidRPr="00DA5E13">
        <w:tab/>
        <w:t>leg/ ankles</w:t>
      </w:r>
      <w:r w:rsidRPr="00DA5E13">
        <w:tab/>
      </w:r>
      <w:r w:rsidRPr="00DA5E13">
        <w:sym w:font="Monotype Sorts" w:char="F071"/>
      </w:r>
    </w:p>
    <w:p w14:paraId="22F832A6" w14:textId="77777777" w:rsidR="000923BB" w:rsidRPr="00DA5E13" w:rsidRDefault="000923BB" w:rsidP="000923BB">
      <w:pPr>
        <w:pStyle w:val="Header"/>
        <w:tabs>
          <w:tab w:val="left" w:pos="2835"/>
          <w:tab w:val="left" w:pos="4820"/>
          <w:tab w:val="left" w:pos="6379"/>
          <w:tab w:val="left" w:pos="9072"/>
        </w:tabs>
      </w:pPr>
      <w:r w:rsidRPr="00DA5E13">
        <w:tab/>
      </w:r>
      <w:r w:rsidRPr="00DA5E13">
        <w:tab/>
      </w:r>
      <w:r w:rsidRPr="00DA5E13">
        <w:tab/>
        <w:t>sacral</w:t>
      </w:r>
      <w:r w:rsidRPr="00DA5E13">
        <w:tab/>
      </w:r>
      <w:r w:rsidRPr="00DA5E13">
        <w:sym w:font="Monotype Sorts" w:char="F071"/>
      </w:r>
    </w:p>
    <w:p w14:paraId="26BBCCD8" w14:textId="77777777" w:rsidR="000923BB" w:rsidRPr="00DA5E13" w:rsidRDefault="000923BB" w:rsidP="006C4584">
      <w:pPr>
        <w:pStyle w:val="Header"/>
        <w:tabs>
          <w:tab w:val="left" w:pos="2835"/>
          <w:tab w:val="left" w:pos="4820"/>
          <w:tab w:val="left" w:pos="6379"/>
          <w:tab w:val="left" w:pos="9072"/>
        </w:tabs>
      </w:pPr>
      <w:r w:rsidRPr="00DA5E13">
        <w:tab/>
      </w:r>
      <w:r w:rsidRPr="00DA5E13">
        <w:tab/>
      </w:r>
      <w:r w:rsidRPr="00DA5E13">
        <w:tab/>
        <w:t>not recorded</w:t>
      </w:r>
      <w:r w:rsidRPr="00DA5E13">
        <w:tab/>
      </w:r>
      <w:r w:rsidRPr="00DA5E13">
        <w:sym w:font="Monotype Sorts" w:char="F071"/>
      </w:r>
    </w:p>
    <w:p w14:paraId="0DAE3956" w14:textId="77777777" w:rsidR="000923BB" w:rsidRPr="00DA5E13" w:rsidRDefault="000923BB" w:rsidP="000923BB">
      <w:pPr>
        <w:pStyle w:val="Header"/>
        <w:rPr>
          <w:b/>
          <w:u w:val="single"/>
        </w:rPr>
      </w:pPr>
      <w:r w:rsidRPr="00DA5E13">
        <w:br w:type="page"/>
      </w:r>
      <w:r w:rsidRPr="00DA5E13">
        <w:rPr>
          <w:b/>
          <w:u w:val="single"/>
        </w:rPr>
        <w:lastRenderedPageBreak/>
        <w:t>Initial management</w:t>
      </w:r>
    </w:p>
    <w:p w14:paraId="6FDA5AED" w14:textId="77777777" w:rsidR="000923BB" w:rsidRDefault="000923BB" w:rsidP="000923BB"/>
    <w:p w14:paraId="26DF2944" w14:textId="77777777" w:rsidR="000923BB" w:rsidRDefault="000923BB" w:rsidP="000923BB"/>
    <w:p w14:paraId="5A3ED039" w14:textId="77777777" w:rsidR="000923BB" w:rsidRDefault="000923BB" w:rsidP="000923BB">
      <w:pPr>
        <w:pStyle w:val="Header"/>
        <w:pBdr>
          <w:top w:val="dotted" w:sz="4" w:space="10" w:color="auto"/>
        </w:pBdr>
        <w:tabs>
          <w:tab w:val="left" w:pos="2835"/>
          <w:tab w:val="left" w:pos="4820"/>
          <w:tab w:val="left" w:pos="6379"/>
          <w:tab w:val="left" w:pos="7371"/>
          <w:tab w:val="left" w:pos="9072"/>
        </w:tabs>
      </w:pPr>
      <w:r>
        <w:t>27. Was a course of antibiotics prescribed?</w:t>
      </w:r>
    </w:p>
    <w:p w14:paraId="36C6EF3A" w14:textId="77777777" w:rsidR="000923BB" w:rsidRDefault="006C4584" w:rsidP="000923BB">
      <w:pPr>
        <w:pStyle w:val="Header"/>
        <w:tabs>
          <w:tab w:val="left" w:pos="2835"/>
          <w:tab w:val="left" w:pos="4820"/>
          <w:tab w:val="left" w:pos="6379"/>
          <w:tab w:val="left" w:pos="7371"/>
          <w:tab w:val="left" w:pos="9072"/>
        </w:tabs>
        <w:ind w:left="720"/>
      </w:pPr>
      <w:r>
        <w:tab/>
      </w:r>
      <w:r>
        <w:tab/>
      </w:r>
      <w:r>
        <w:tab/>
      </w:r>
      <w:r w:rsidR="000923BB">
        <w:t>yes</w:t>
      </w:r>
      <w:r w:rsidR="000923BB">
        <w:tab/>
      </w:r>
      <w:r w:rsidR="000923BB">
        <w:sym w:font="Monotype Sorts" w:char="F071"/>
      </w:r>
    </w:p>
    <w:p w14:paraId="08D459B8" w14:textId="77777777" w:rsidR="000923BB" w:rsidRDefault="006C4584" w:rsidP="000923BB">
      <w:pPr>
        <w:pStyle w:val="Header"/>
        <w:tabs>
          <w:tab w:val="left" w:pos="2835"/>
          <w:tab w:val="left" w:pos="4820"/>
          <w:tab w:val="left" w:pos="6379"/>
          <w:tab w:val="left" w:pos="7371"/>
          <w:tab w:val="left" w:pos="9072"/>
        </w:tabs>
        <w:ind w:left="720"/>
      </w:pPr>
      <w:r>
        <w:tab/>
      </w:r>
      <w:r>
        <w:tab/>
      </w:r>
      <w:r>
        <w:tab/>
      </w:r>
      <w:r w:rsidR="000923BB">
        <w:t>no</w:t>
      </w:r>
      <w:r w:rsidR="000923BB">
        <w:tab/>
      </w:r>
      <w:r w:rsidR="000923BB">
        <w:sym w:font="Monotype Sorts" w:char="F071"/>
      </w:r>
    </w:p>
    <w:p w14:paraId="55828C8F" w14:textId="77777777" w:rsidR="000923BB" w:rsidRDefault="000923BB" w:rsidP="000923BB">
      <w:pPr>
        <w:pStyle w:val="Header"/>
        <w:tabs>
          <w:tab w:val="left" w:pos="2835"/>
          <w:tab w:val="left" w:pos="4820"/>
          <w:tab w:val="left" w:pos="6379"/>
          <w:tab w:val="left" w:pos="7371"/>
          <w:tab w:val="left" w:pos="9072"/>
        </w:tabs>
        <w:ind w:left="720"/>
      </w:pPr>
    </w:p>
    <w:p w14:paraId="0C5723F1" w14:textId="77777777" w:rsidR="006C4584" w:rsidRDefault="000923BB" w:rsidP="000923BB">
      <w:pPr>
        <w:pStyle w:val="Header"/>
        <w:pBdr>
          <w:top w:val="dotted" w:sz="4" w:space="10" w:color="auto"/>
        </w:pBdr>
        <w:tabs>
          <w:tab w:val="left" w:pos="2835"/>
          <w:tab w:val="left" w:pos="4820"/>
          <w:tab w:val="left" w:pos="6379"/>
          <w:tab w:val="left" w:pos="7371"/>
          <w:tab w:val="left" w:pos="9072"/>
        </w:tabs>
      </w:pPr>
      <w:r>
        <w:t>28. Were nebulised bronchodilators prescribed?</w:t>
      </w:r>
    </w:p>
    <w:p w14:paraId="060A8DCD" w14:textId="77777777" w:rsidR="000923BB" w:rsidRDefault="000923BB" w:rsidP="000923BB">
      <w:pPr>
        <w:pStyle w:val="Header"/>
        <w:pBdr>
          <w:top w:val="dotted" w:sz="4" w:space="10" w:color="auto"/>
        </w:pBdr>
        <w:tabs>
          <w:tab w:val="left" w:pos="2835"/>
          <w:tab w:val="left" w:pos="4820"/>
          <w:tab w:val="left" w:pos="6379"/>
          <w:tab w:val="left" w:pos="7371"/>
          <w:tab w:val="left" w:pos="9072"/>
        </w:tabs>
      </w:pPr>
      <w:r>
        <w:tab/>
      </w:r>
      <w:r>
        <w:tab/>
      </w:r>
      <w:r>
        <w:tab/>
        <w:t>yes</w:t>
      </w:r>
      <w:r>
        <w:tab/>
      </w:r>
      <w:r>
        <w:sym w:font="Monotype Sorts" w:char="F071"/>
      </w:r>
    </w:p>
    <w:p w14:paraId="5DEE9C41" w14:textId="77777777" w:rsidR="000923BB" w:rsidRDefault="006C4584" w:rsidP="000923BB">
      <w:pPr>
        <w:pStyle w:val="Header"/>
        <w:pBdr>
          <w:top w:val="dotted" w:sz="4" w:space="10" w:color="auto"/>
        </w:pBdr>
        <w:tabs>
          <w:tab w:val="left" w:pos="2835"/>
          <w:tab w:val="left" w:pos="4820"/>
          <w:tab w:val="left" w:pos="6379"/>
          <w:tab w:val="left" w:pos="7371"/>
          <w:tab w:val="left" w:pos="9072"/>
        </w:tabs>
      </w:pPr>
      <w:r>
        <w:tab/>
      </w:r>
      <w:r>
        <w:tab/>
      </w:r>
      <w:r>
        <w:tab/>
      </w:r>
      <w:r w:rsidR="000923BB">
        <w:t>no</w:t>
      </w:r>
      <w:r w:rsidR="000923BB">
        <w:tab/>
      </w:r>
      <w:r w:rsidR="000923BB">
        <w:sym w:font="Monotype Sorts" w:char="F071"/>
      </w:r>
    </w:p>
    <w:p w14:paraId="25ED5EF4" w14:textId="77777777" w:rsidR="000923BB" w:rsidRDefault="000923BB" w:rsidP="000923BB">
      <w:pPr>
        <w:pStyle w:val="Header"/>
        <w:tabs>
          <w:tab w:val="left" w:pos="2835"/>
          <w:tab w:val="left" w:pos="4820"/>
          <w:tab w:val="left" w:pos="6379"/>
          <w:tab w:val="left" w:pos="7371"/>
          <w:tab w:val="left" w:pos="9072"/>
        </w:tabs>
      </w:pPr>
    </w:p>
    <w:p w14:paraId="1E607B5A" w14:textId="77777777" w:rsidR="000923BB" w:rsidRDefault="000923BB" w:rsidP="000923BB">
      <w:pPr>
        <w:pStyle w:val="Header"/>
        <w:pBdr>
          <w:top w:val="dotted" w:sz="4" w:space="10" w:color="auto"/>
        </w:pBdr>
        <w:tabs>
          <w:tab w:val="left" w:pos="2835"/>
          <w:tab w:val="left" w:pos="4820"/>
          <w:tab w:val="left" w:pos="6379"/>
          <w:tab w:val="left" w:pos="7371"/>
          <w:tab w:val="left" w:pos="9072"/>
        </w:tabs>
      </w:pPr>
      <w:r>
        <w:t>29. Did the patient receive systemic corticosteroids?</w:t>
      </w:r>
    </w:p>
    <w:p w14:paraId="7668F4D3" w14:textId="77777777" w:rsidR="000923BB" w:rsidRDefault="000923BB" w:rsidP="000923BB">
      <w:pPr>
        <w:pStyle w:val="Header"/>
        <w:pBdr>
          <w:top w:val="dotted" w:sz="4" w:space="10" w:color="auto"/>
        </w:pBdr>
        <w:tabs>
          <w:tab w:val="left" w:pos="2835"/>
          <w:tab w:val="left" w:pos="4820"/>
          <w:tab w:val="left" w:pos="5954"/>
          <w:tab w:val="left" w:pos="7371"/>
          <w:tab w:val="left" w:pos="9072"/>
        </w:tabs>
      </w:pPr>
      <w:r>
        <w:tab/>
      </w:r>
      <w:r>
        <w:tab/>
      </w:r>
      <w:r>
        <w:tab/>
      </w:r>
      <w:r>
        <w:tab/>
        <w:t xml:space="preserve">yes </w:t>
      </w:r>
      <w:r>
        <w:tab/>
      </w:r>
      <w:r>
        <w:sym w:font="Monotype Sorts" w:char="F071"/>
      </w:r>
    </w:p>
    <w:p w14:paraId="33852748" w14:textId="77777777" w:rsidR="000923BB" w:rsidRDefault="000923BB" w:rsidP="000923BB">
      <w:pPr>
        <w:pStyle w:val="Header"/>
        <w:pBdr>
          <w:top w:val="dotted" w:sz="4" w:space="10" w:color="auto"/>
        </w:pBdr>
        <w:tabs>
          <w:tab w:val="left" w:pos="2835"/>
          <w:tab w:val="left" w:pos="4820"/>
          <w:tab w:val="left" w:pos="5954"/>
          <w:tab w:val="left" w:pos="7371"/>
          <w:tab w:val="left" w:pos="9072"/>
        </w:tabs>
      </w:pPr>
      <w:r>
        <w:tab/>
      </w:r>
      <w:r>
        <w:tab/>
      </w:r>
      <w:r>
        <w:tab/>
      </w:r>
      <w:r>
        <w:tab/>
        <w:t>no</w:t>
      </w:r>
      <w:r>
        <w:tab/>
      </w:r>
      <w:r>
        <w:sym w:font="Monotype Sorts" w:char="F071"/>
      </w:r>
    </w:p>
    <w:p w14:paraId="1640CCE6" w14:textId="77777777" w:rsidR="000923BB" w:rsidRDefault="000923BB" w:rsidP="000923BB">
      <w:pPr>
        <w:pStyle w:val="Header"/>
        <w:tabs>
          <w:tab w:val="left" w:pos="2835"/>
          <w:tab w:val="left" w:pos="4820"/>
          <w:tab w:val="left" w:pos="5954"/>
          <w:tab w:val="left" w:pos="7371"/>
          <w:tab w:val="left" w:pos="9072"/>
        </w:tabs>
        <w:ind w:left="720"/>
      </w:pPr>
    </w:p>
    <w:p w14:paraId="4F0161EE" w14:textId="77777777" w:rsidR="000923BB" w:rsidRDefault="000923BB" w:rsidP="000923BB">
      <w:pPr>
        <w:pStyle w:val="Header"/>
        <w:pBdr>
          <w:top w:val="dotted" w:sz="4" w:space="10" w:color="auto"/>
        </w:pBdr>
        <w:tabs>
          <w:tab w:val="left" w:pos="2835"/>
          <w:tab w:val="left" w:pos="4820"/>
          <w:tab w:val="left" w:pos="6379"/>
          <w:tab w:val="left" w:pos="7371"/>
          <w:tab w:val="left" w:pos="9072"/>
        </w:tabs>
      </w:pPr>
      <w:r>
        <w:t>30. How many sets of arterial blood gases results are in the records for this stay?</w:t>
      </w:r>
    </w:p>
    <w:p w14:paraId="0316C127" w14:textId="70CC3BBE" w:rsidR="000923BB" w:rsidRDefault="00003011" w:rsidP="000923BB">
      <w:pPr>
        <w:pStyle w:val="Header"/>
        <w:tabs>
          <w:tab w:val="left" w:pos="2835"/>
          <w:tab w:val="left" w:pos="4820"/>
          <w:tab w:val="left" w:pos="6379"/>
          <w:tab w:val="left" w:pos="7371"/>
          <w:tab w:val="left" w:pos="9072"/>
        </w:tabs>
      </w:pPr>
      <w:r>
        <w:rPr>
          <w:noProof/>
        </w:rPr>
        <mc:AlternateContent>
          <mc:Choice Requires="wps">
            <w:drawing>
              <wp:anchor distT="0" distB="0" distL="114300" distR="114300" simplePos="0" relativeHeight="252623872" behindDoc="0" locked="0" layoutInCell="0" allowOverlap="1" wp14:anchorId="5B99B8B9" wp14:editId="0CDC0C30">
                <wp:simplePos x="0" y="0"/>
                <wp:positionH relativeFrom="column">
                  <wp:posOffset>3992245</wp:posOffset>
                </wp:positionH>
                <wp:positionV relativeFrom="paragraph">
                  <wp:posOffset>60960</wp:posOffset>
                </wp:positionV>
                <wp:extent cx="775970" cy="260985"/>
                <wp:effectExtent l="10795" t="6350" r="13335" b="8890"/>
                <wp:wrapNone/>
                <wp:docPr id="64" name="Rectangle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260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A48D9" id="Rectangle 998" o:spid="_x0000_s1026" style="position:absolute;margin-left:314.35pt;margin-top:4.8pt;width:61.1pt;height:20.5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" o:allowincell="f"/>
            </w:pict>
          </mc:Fallback>
        </mc:AlternateContent>
      </w:r>
      <w:r w:rsidR="000923BB">
        <w:tab/>
      </w:r>
      <w:r w:rsidR="000923BB">
        <w:tab/>
      </w:r>
      <w:r w:rsidR="000923BB">
        <w:tab/>
      </w:r>
      <w:r w:rsidR="000923BB">
        <w:tab/>
      </w:r>
      <w:r w:rsidR="000923BB">
        <w:tab/>
      </w:r>
    </w:p>
    <w:p w14:paraId="1AFCB8E8" w14:textId="77777777" w:rsidR="000923BB" w:rsidRDefault="000923BB" w:rsidP="000923BB">
      <w:pPr>
        <w:pStyle w:val="Header"/>
        <w:tabs>
          <w:tab w:val="left" w:pos="2835"/>
          <w:tab w:val="left" w:pos="4820"/>
          <w:tab w:val="left" w:pos="6379"/>
          <w:tab w:val="left" w:pos="7371"/>
          <w:tab w:val="left" w:pos="9072"/>
        </w:tabs>
      </w:pPr>
    </w:p>
    <w:p w14:paraId="6C4E578D" w14:textId="77777777" w:rsidR="000923BB" w:rsidRDefault="000923BB" w:rsidP="000923BB">
      <w:pPr>
        <w:pStyle w:val="Header"/>
        <w:tabs>
          <w:tab w:val="left" w:pos="2835"/>
          <w:tab w:val="left" w:pos="4820"/>
          <w:tab w:val="left" w:pos="6379"/>
          <w:tab w:val="left" w:pos="7371"/>
          <w:tab w:val="left" w:pos="9072"/>
        </w:tabs>
      </w:pPr>
    </w:p>
    <w:p w14:paraId="1481A0B4" w14:textId="77777777" w:rsidR="000923BB" w:rsidRDefault="000923BB" w:rsidP="000923BB">
      <w:pPr>
        <w:pStyle w:val="Header"/>
        <w:pBdr>
          <w:top w:val="dotted" w:sz="4" w:space="10" w:color="auto"/>
        </w:pBdr>
        <w:tabs>
          <w:tab w:val="left" w:pos="2835"/>
          <w:tab w:val="left" w:pos="4820"/>
          <w:tab w:val="left" w:pos="6379"/>
          <w:tab w:val="left" w:pos="7371"/>
          <w:tab w:val="left" w:pos="9072"/>
        </w:tabs>
      </w:pPr>
      <w:r>
        <w:t>31. Did the patient have a pH less than 7.35 at any time during this stay?</w:t>
      </w:r>
    </w:p>
    <w:p w14:paraId="4BFEE332" w14:textId="77777777" w:rsidR="000923BB" w:rsidRDefault="000923BB" w:rsidP="000923BB">
      <w:pPr>
        <w:pStyle w:val="Header"/>
        <w:pBdr>
          <w:top w:val="dotted" w:sz="4" w:space="10" w:color="auto"/>
        </w:pBdr>
        <w:tabs>
          <w:tab w:val="left" w:pos="2835"/>
          <w:tab w:val="left" w:pos="4820"/>
          <w:tab w:val="left" w:pos="6379"/>
          <w:tab w:val="left" w:pos="7371"/>
          <w:tab w:val="left" w:pos="9072"/>
        </w:tabs>
      </w:pPr>
      <w:r>
        <w:tab/>
      </w:r>
      <w:r>
        <w:tab/>
      </w:r>
      <w:r>
        <w:tab/>
      </w:r>
      <w:r>
        <w:tab/>
        <w:t xml:space="preserve">yes </w:t>
      </w:r>
      <w:r>
        <w:tab/>
      </w:r>
      <w:r>
        <w:sym w:font="Monotype Sorts" w:char="F071"/>
      </w:r>
    </w:p>
    <w:p w14:paraId="0C5ECBC9" w14:textId="77777777" w:rsidR="000923BB" w:rsidRDefault="000923BB" w:rsidP="000923BB">
      <w:pPr>
        <w:pStyle w:val="Header"/>
        <w:tabs>
          <w:tab w:val="left" w:pos="2835"/>
          <w:tab w:val="left" w:pos="4820"/>
          <w:tab w:val="left" w:pos="6379"/>
          <w:tab w:val="left" w:pos="7371"/>
          <w:tab w:val="left" w:pos="9072"/>
        </w:tabs>
      </w:pPr>
      <w:r>
        <w:tab/>
      </w:r>
      <w:r>
        <w:tab/>
      </w:r>
      <w:r>
        <w:tab/>
      </w:r>
      <w:r>
        <w:tab/>
        <w:t>no</w:t>
      </w:r>
      <w:r>
        <w:tab/>
      </w:r>
      <w:r>
        <w:sym w:font="Monotype Sorts" w:char="F071"/>
      </w:r>
    </w:p>
    <w:p w14:paraId="2BBC9099" w14:textId="77777777" w:rsidR="000923BB" w:rsidRDefault="000923BB" w:rsidP="000923BB">
      <w:pPr>
        <w:pStyle w:val="Header"/>
        <w:tabs>
          <w:tab w:val="left" w:pos="2835"/>
          <w:tab w:val="left" w:pos="4820"/>
          <w:tab w:val="left" w:pos="6379"/>
          <w:tab w:val="left" w:pos="7371"/>
          <w:tab w:val="left" w:pos="9072"/>
        </w:tabs>
      </w:pPr>
    </w:p>
    <w:p w14:paraId="7C04085B" w14:textId="77777777" w:rsidR="000923BB" w:rsidRDefault="000923BB" w:rsidP="000923BB">
      <w:pPr>
        <w:pStyle w:val="Header"/>
        <w:tabs>
          <w:tab w:val="left" w:pos="1701"/>
          <w:tab w:val="left" w:pos="4820"/>
          <w:tab w:val="left" w:pos="6379"/>
          <w:tab w:val="left" w:pos="7371"/>
          <w:tab w:val="left" w:pos="9072"/>
        </w:tabs>
      </w:pPr>
      <w:r>
        <w:tab/>
        <w:t>If yes, did they receive ventilatory support?</w:t>
      </w:r>
    </w:p>
    <w:p w14:paraId="41C195E7" w14:textId="77777777" w:rsidR="000923BB" w:rsidRDefault="000923BB" w:rsidP="000923BB">
      <w:pPr>
        <w:pStyle w:val="Header"/>
        <w:tabs>
          <w:tab w:val="left" w:pos="2835"/>
          <w:tab w:val="left" w:pos="4820"/>
          <w:tab w:val="left" w:pos="6379"/>
          <w:tab w:val="left" w:pos="7371"/>
          <w:tab w:val="left" w:pos="9072"/>
        </w:tabs>
      </w:pPr>
    </w:p>
    <w:p w14:paraId="3AA088B9" w14:textId="77777777" w:rsidR="000923BB" w:rsidRDefault="000923BB" w:rsidP="000923BB">
      <w:pPr>
        <w:pStyle w:val="Header"/>
        <w:tabs>
          <w:tab w:val="left" w:pos="2835"/>
          <w:tab w:val="left" w:pos="4820"/>
          <w:tab w:val="left" w:pos="7371"/>
          <w:tab w:val="left" w:pos="9072"/>
        </w:tabs>
      </w:pPr>
      <w:r>
        <w:tab/>
      </w:r>
      <w:r>
        <w:tab/>
        <w:t>respiratory stimulant (e.g. doxapram)</w:t>
      </w:r>
      <w:r>
        <w:tab/>
      </w:r>
      <w:r>
        <w:sym w:font="Monotype Sorts" w:char="F071"/>
      </w:r>
    </w:p>
    <w:p w14:paraId="3BA9F7D3" w14:textId="77777777" w:rsidR="000923BB" w:rsidRDefault="000923BB" w:rsidP="000923BB">
      <w:pPr>
        <w:pStyle w:val="Header"/>
        <w:tabs>
          <w:tab w:val="left" w:pos="2835"/>
          <w:tab w:val="left" w:pos="4820"/>
          <w:tab w:val="left" w:pos="7371"/>
          <w:tab w:val="left" w:pos="9072"/>
        </w:tabs>
      </w:pPr>
      <w:r>
        <w:tab/>
      </w:r>
      <w:r>
        <w:tab/>
      </w:r>
      <w:r>
        <w:tab/>
        <w:t>non-invasive</w:t>
      </w:r>
      <w:r>
        <w:tab/>
      </w:r>
      <w:r>
        <w:sym w:font="Monotype Sorts" w:char="F071"/>
      </w:r>
    </w:p>
    <w:p w14:paraId="02953299" w14:textId="77777777" w:rsidR="000923BB" w:rsidRDefault="006C4584" w:rsidP="000923BB">
      <w:pPr>
        <w:pStyle w:val="Header"/>
        <w:tabs>
          <w:tab w:val="clear" w:pos="4513"/>
          <w:tab w:val="left" w:pos="2835"/>
          <w:tab w:val="left" w:pos="4536"/>
          <w:tab w:val="left" w:pos="4820"/>
          <w:tab w:val="left" w:pos="6379"/>
          <w:tab w:val="left" w:pos="7371"/>
          <w:tab w:val="left" w:pos="9072"/>
        </w:tabs>
      </w:pPr>
      <w:r>
        <w:tab/>
      </w:r>
      <w:r>
        <w:tab/>
      </w:r>
      <w:r>
        <w:tab/>
      </w:r>
      <w:r w:rsidR="000923BB">
        <w:t>invasive</w:t>
      </w:r>
      <w:r w:rsidR="000923BB">
        <w:tab/>
      </w:r>
      <w:r w:rsidR="000923BB">
        <w:sym w:font="Monotype Sorts" w:char="F071"/>
      </w:r>
    </w:p>
    <w:p w14:paraId="30C2BC00" w14:textId="77777777" w:rsidR="000923BB" w:rsidRDefault="006C4584" w:rsidP="000923BB">
      <w:pPr>
        <w:pStyle w:val="Header"/>
        <w:tabs>
          <w:tab w:val="left" w:pos="2835"/>
          <w:tab w:val="left" w:pos="4820"/>
          <w:tab w:val="left" w:pos="6379"/>
          <w:tab w:val="left" w:pos="7371"/>
          <w:tab w:val="left" w:pos="9072"/>
        </w:tabs>
      </w:pPr>
      <w:r>
        <w:tab/>
      </w:r>
      <w:r>
        <w:tab/>
      </w:r>
      <w:r>
        <w:tab/>
      </w:r>
      <w:r w:rsidR="000923BB">
        <w:t>none</w:t>
      </w:r>
      <w:r w:rsidR="000923BB">
        <w:tab/>
      </w:r>
      <w:r w:rsidR="000923BB">
        <w:sym w:font="Monotype Sorts" w:char="F071"/>
      </w:r>
    </w:p>
    <w:p w14:paraId="39B30A1E" w14:textId="77777777" w:rsidR="000923BB" w:rsidRDefault="000923BB" w:rsidP="000923BB">
      <w:pPr>
        <w:pStyle w:val="Header"/>
        <w:tabs>
          <w:tab w:val="left" w:pos="2835"/>
          <w:tab w:val="left" w:pos="4820"/>
          <w:tab w:val="left" w:pos="6379"/>
          <w:tab w:val="left" w:pos="7371"/>
          <w:tab w:val="left" w:pos="9072"/>
        </w:tabs>
      </w:pPr>
    </w:p>
    <w:p w14:paraId="249801A2" w14:textId="77777777" w:rsidR="000923BB" w:rsidRDefault="000923BB" w:rsidP="000923BB">
      <w:pPr>
        <w:pStyle w:val="Header"/>
        <w:tabs>
          <w:tab w:val="left" w:pos="1701"/>
          <w:tab w:val="left" w:pos="4820"/>
          <w:tab w:val="left" w:pos="6379"/>
          <w:tab w:val="left" w:pos="7371"/>
          <w:tab w:val="left" w:pos="9072"/>
        </w:tabs>
        <w:ind w:left="720"/>
      </w:pPr>
      <w:r>
        <w:t xml:space="preserve">If the patient had a pH of less than 7.35 and did not receive </w:t>
      </w:r>
      <w:r w:rsidR="006C4584">
        <w:t xml:space="preserve">             </w:t>
      </w:r>
      <w:r>
        <w:t>ventilatory support,</w:t>
      </w:r>
      <w:r>
        <w:br/>
        <w:t>is it noted why not?</w:t>
      </w:r>
      <w:r>
        <w:tab/>
      </w:r>
    </w:p>
    <w:p w14:paraId="76836A6E" w14:textId="77777777" w:rsidR="000923BB" w:rsidRDefault="006C4584" w:rsidP="006C4584">
      <w:pPr>
        <w:pStyle w:val="Header"/>
        <w:tabs>
          <w:tab w:val="left" w:pos="1701"/>
          <w:tab w:val="left" w:pos="4820"/>
          <w:tab w:val="left" w:pos="6379"/>
          <w:tab w:val="left" w:pos="7371"/>
          <w:tab w:val="left" w:pos="9072"/>
        </w:tabs>
      </w:pPr>
      <w:r>
        <w:tab/>
      </w:r>
      <w:r>
        <w:tab/>
      </w:r>
      <w:r w:rsidR="000923BB">
        <w:t>patient refused</w:t>
      </w:r>
      <w:r w:rsidR="000923BB">
        <w:tab/>
      </w:r>
      <w:r w:rsidR="000923BB">
        <w:sym w:font="Monotype Sorts" w:char="F071"/>
      </w:r>
    </w:p>
    <w:p w14:paraId="2A970236" w14:textId="77777777" w:rsidR="000923BB" w:rsidRDefault="006C4584" w:rsidP="006C4584">
      <w:pPr>
        <w:pStyle w:val="Header"/>
        <w:tabs>
          <w:tab w:val="left" w:pos="2835"/>
          <w:tab w:val="left" w:pos="4820"/>
          <w:tab w:val="left" w:pos="6379"/>
          <w:tab w:val="left" w:pos="7371"/>
          <w:tab w:val="left" w:pos="9072"/>
        </w:tabs>
      </w:pPr>
      <w:r>
        <w:tab/>
      </w:r>
      <w:r>
        <w:tab/>
      </w:r>
      <w:r w:rsidR="000923BB">
        <w:t>no facilities</w:t>
      </w:r>
      <w:r w:rsidR="000923BB">
        <w:tab/>
      </w:r>
      <w:r w:rsidR="000923BB">
        <w:sym w:font="Monotype Sorts" w:char="F071"/>
      </w:r>
    </w:p>
    <w:p w14:paraId="7E3C9C04" w14:textId="77777777" w:rsidR="000923BB" w:rsidRDefault="006C4584" w:rsidP="006C4584">
      <w:pPr>
        <w:pStyle w:val="Header"/>
        <w:tabs>
          <w:tab w:val="left" w:pos="2835"/>
          <w:tab w:val="left" w:pos="4820"/>
          <w:tab w:val="left" w:pos="6379"/>
          <w:tab w:val="left" w:pos="7371"/>
          <w:tab w:val="left" w:pos="9072"/>
        </w:tabs>
      </w:pPr>
      <w:r>
        <w:tab/>
      </w:r>
      <w:r>
        <w:tab/>
      </w:r>
      <w:r w:rsidR="000923BB">
        <w:t>not appropriate</w:t>
      </w:r>
      <w:r w:rsidR="000923BB">
        <w:tab/>
      </w:r>
      <w:r w:rsidR="000923BB">
        <w:sym w:font="Monotype Sorts" w:char="F071"/>
      </w:r>
    </w:p>
    <w:p w14:paraId="763A53D0" w14:textId="77777777" w:rsidR="000923BB" w:rsidRDefault="006C4584" w:rsidP="006C4584">
      <w:pPr>
        <w:pStyle w:val="Header"/>
        <w:tabs>
          <w:tab w:val="left" w:pos="2835"/>
          <w:tab w:val="left" w:pos="4820"/>
          <w:tab w:val="left" w:pos="6379"/>
          <w:tab w:val="left" w:pos="7371"/>
          <w:tab w:val="left" w:pos="9072"/>
        </w:tabs>
      </w:pPr>
      <w:r>
        <w:tab/>
      </w:r>
      <w:r>
        <w:tab/>
      </w:r>
      <w:r w:rsidR="000923BB">
        <w:t>failed</w:t>
      </w:r>
      <w:r w:rsidR="000923BB">
        <w:tab/>
      </w:r>
      <w:r w:rsidR="000923BB">
        <w:tab/>
      </w:r>
      <w:r w:rsidR="000923BB">
        <w:sym w:font="Monotype Sorts" w:char="F071"/>
      </w:r>
    </w:p>
    <w:p w14:paraId="36AE5743" w14:textId="77777777" w:rsidR="000923BB" w:rsidRDefault="006C4584" w:rsidP="006C4584">
      <w:pPr>
        <w:pStyle w:val="Header"/>
        <w:tabs>
          <w:tab w:val="left" w:pos="2835"/>
          <w:tab w:val="left" w:pos="4820"/>
          <w:tab w:val="left" w:pos="6379"/>
          <w:tab w:val="left" w:pos="7371"/>
          <w:tab w:val="left" w:pos="9072"/>
        </w:tabs>
      </w:pPr>
      <w:r>
        <w:tab/>
      </w:r>
      <w:r>
        <w:tab/>
      </w:r>
      <w:r w:rsidR="000923BB">
        <w:t>other (please state)</w:t>
      </w:r>
      <w:r w:rsidR="000923BB">
        <w:tab/>
      </w:r>
      <w:r w:rsidR="000923BB">
        <w:sym w:font="Monotype Sorts" w:char="F071"/>
      </w:r>
    </w:p>
    <w:p w14:paraId="59567330" w14:textId="74745031" w:rsidR="000923BB" w:rsidRDefault="00003011" w:rsidP="006C4584">
      <w:pPr>
        <w:pStyle w:val="Header"/>
        <w:tabs>
          <w:tab w:val="left" w:pos="2835"/>
          <w:tab w:val="left" w:pos="4820"/>
          <w:tab w:val="left" w:pos="6379"/>
          <w:tab w:val="left" w:pos="7371"/>
          <w:tab w:val="left" w:pos="9072"/>
        </w:tabs>
      </w:pPr>
      <w:r>
        <w:rPr>
          <w:noProof/>
        </w:rPr>
        <mc:AlternateContent>
          <mc:Choice Requires="wps">
            <w:drawing>
              <wp:anchor distT="0" distB="0" distL="114300" distR="114300" simplePos="0" relativeHeight="252630016" behindDoc="0" locked="0" layoutInCell="0" allowOverlap="1" wp14:anchorId="33507C81" wp14:editId="6C542DF7">
                <wp:simplePos x="0" y="0"/>
                <wp:positionH relativeFrom="column">
                  <wp:posOffset>2152015</wp:posOffset>
                </wp:positionH>
                <wp:positionV relativeFrom="paragraph">
                  <wp:posOffset>19050</wp:posOffset>
                </wp:positionV>
                <wp:extent cx="1669415" cy="260985"/>
                <wp:effectExtent l="8890" t="6985" r="7620" b="8255"/>
                <wp:wrapNone/>
                <wp:docPr id="63" name="Rectangle 1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9415" cy="260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36147" id="Rectangle 1004" o:spid="_x0000_s1026" style="position:absolute;margin-left:169.45pt;margin-top:1.5pt;width:131.45pt;height:20.5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" o:allowincell="f"/>
            </w:pict>
          </mc:Fallback>
        </mc:AlternateContent>
      </w:r>
    </w:p>
    <w:p w14:paraId="648DEE13" w14:textId="77777777" w:rsidR="000923BB" w:rsidRDefault="000923BB" w:rsidP="006C4584">
      <w:pPr>
        <w:pStyle w:val="Header"/>
        <w:tabs>
          <w:tab w:val="left" w:pos="2835"/>
          <w:tab w:val="left" w:pos="4820"/>
          <w:tab w:val="left" w:pos="6379"/>
          <w:tab w:val="left" w:pos="7371"/>
          <w:tab w:val="left" w:pos="9072"/>
        </w:tabs>
      </w:pPr>
      <w:r>
        <w:tab/>
      </w:r>
      <w:r>
        <w:tab/>
      </w:r>
      <w:r>
        <w:tab/>
      </w:r>
    </w:p>
    <w:p w14:paraId="33F32F7C" w14:textId="77777777" w:rsidR="000923BB" w:rsidRDefault="006C4584" w:rsidP="006C4584">
      <w:pPr>
        <w:pStyle w:val="Header"/>
        <w:tabs>
          <w:tab w:val="left" w:pos="2835"/>
          <w:tab w:val="left" w:pos="4820"/>
          <w:tab w:val="left" w:pos="6379"/>
          <w:tab w:val="left" w:pos="7371"/>
          <w:tab w:val="left" w:pos="9072"/>
        </w:tabs>
      </w:pPr>
      <w:r>
        <w:tab/>
      </w:r>
      <w:r>
        <w:tab/>
      </w:r>
      <w:r w:rsidR="000923BB">
        <w:t xml:space="preserve">not recorded </w:t>
      </w:r>
      <w:r w:rsidR="000923BB">
        <w:tab/>
      </w:r>
      <w:r w:rsidR="000923BB">
        <w:sym w:font="Monotype Sorts" w:char="F071"/>
      </w:r>
    </w:p>
    <w:p w14:paraId="1371870F" w14:textId="77777777" w:rsidR="000923BB" w:rsidRDefault="000923BB" w:rsidP="000923BB">
      <w:pPr>
        <w:pStyle w:val="Header"/>
        <w:tabs>
          <w:tab w:val="left" w:pos="2835"/>
          <w:tab w:val="left" w:pos="4820"/>
          <w:tab w:val="left" w:pos="6379"/>
          <w:tab w:val="left" w:pos="7371"/>
          <w:tab w:val="left" w:pos="9072"/>
        </w:tabs>
      </w:pPr>
    </w:p>
    <w:p w14:paraId="05570A38" w14:textId="77777777" w:rsidR="000923BB" w:rsidRPr="00DA5E13" w:rsidRDefault="000923BB" w:rsidP="000923BB">
      <w:pPr>
        <w:pStyle w:val="Header"/>
        <w:rPr>
          <w:b/>
          <w:u w:val="single"/>
        </w:rPr>
      </w:pPr>
      <w:r>
        <w:br w:type="page"/>
      </w:r>
      <w:r w:rsidRPr="00DA5E13">
        <w:rPr>
          <w:b/>
          <w:u w:val="single"/>
        </w:rPr>
        <w:lastRenderedPageBreak/>
        <w:t>Pre-discharge phase</w:t>
      </w:r>
    </w:p>
    <w:p w14:paraId="772FA98F" w14:textId="77777777" w:rsidR="000923BB" w:rsidRPr="00DA5E13" w:rsidRDefault="000923BB" w:rsidP="000923BB">
      <w:pPr>
        <w:rPr>
          <w:sz w:val="22"/>
          <w:szCs w:val="22"/>
        </w:rPr>
      </w:pPr>
    </w:p>
    <w:p w14:paraId="7A88BB05" w14:textId="77777777" w:rsidR="000923BB" w:rsidRPr="00DA5E13" w:rsidRDefault="000923BB" w:rsidP="000923BB">
      <w:pPr>
        <w:pStyle w:val="Header"/>
        <w:pBdr>
          <w:top w:val="dotted" w:sz="4" w:space="10" w:color="auto"/>
        </w:pBdr>
        <w:tabs>
          <w:tab w:val="left" w:pos="2835"/>
          <w:tab w:val="left" w:pos="4820"/>
          <w:tab w:val="left" w:pos="6379"/>
          <w:tab w:val="left" w:pos="7371"/>
          <w:tab w:val="left" w:pos="9072"/>
        </w:tabs>
        <w:ind w:left="426" w:hanging="426"/>
        <w:rPr>
          <w:sz w:val="22"/>
          <w:szCs w:val="22"/>
        </w:rPr>
      </w:pPr>
      <w:r w:rsidRPr="00DA5E13">
        <w:rPr>
          <w:sz w:val="22"/>
          <w:szCs w:val="22"/>
        </w:rPr>
        <w:t>32. Was oximetry (O</w:t>
      </w:r>
      <w:r w:rsidRPr="00DA5E13">
        <w:rPr>
          <w:position w:val="-6"/>
          <w:sz w:val="22"/>
          <w:szCs w:val="22"/>
        </w:rPr>
        <w:t>2</w:t>
      </w:r>
      <w:r w:rsidRPr="00DA5E13">
        <w:rPr>
          <w:sz w:val="22"/>
          <w:szCs w:val="22"/>
        </w:rPr>
        <w:t xml:space="preserve"> saturation levels) undertaken, after acute phase but prior to discharge?</w:t>
      </w:r>
    </w:p>
    <w:p w14:paraId="6A7BBA8E" w14:textId="77777777" w:rsidR="000923BB" w:rsidRPr="00DA5E13" w:rsidRDefault="000923BB" w:rsidP="000923BB">
      <w:pPr>
        <w:pStyle w:val="Header"/>
        <w:pBdr>
          <w:top w:val="dotted" w:sz="4" w:space="10" w:color="auto"/>
        </w:pBdr>
        <w:tabs>
          <w:tab w:val="left" w:pos="2835"/>
          <w:tab w:val="left" w:pos="4820"/>
          <w:tab w:val="left" w:pos="6379"/>
          <w:tab w:val="left" w:pos="7371"/>
          <w:tab w:val="left" w:pos="9072"/>
        </w:tabs>
        <w:ind w:left="426" w:hanging="426"/>
        <w:rPr>
          <w:sz w:val="22"/>
          <w:szCs w:val="22"/>
        </w:rPr>
      </w:pPr>
      <w:r w:rsidRPr="00DA5E13">
        <w:rPr>
          <w:sz w:val="22"/>
          <w:szCs w:val="22"/>
        </w:rPr>
        <w:tab/>
      </w:r>
      <w:r w:rsidRPr="00DA5E13">
        <w:rPr>
          <w:sz w:val="22"/>
          <w:szCs w:val="22"/>
        </w:rPr>
        <w:tab/>
      </w:r>
      <w:r w:rsidRPr="00DA5E13">
        <w:rPr>
          <w:sz w:val="22"/>
          <w:szCs w:val="22"/>
        </w:rPr>
        <w:tab/>
      </w:r>
      <w:r w:rsidRPr="00DA5E13">
        <w:rPr>
          <w:sz w:val="22"/>
          <w:szCs w:val="22"/>
        </w:rPr>
        <w:tab/>
      </w:r>
      <w:r w:rsidRPr="00DA5E13">
        <w:rPr>
          <w:sz w:val="22"/>
          <w:szCs w:val="22"/>
        </w:rPr>
        <w:tab/>
        <w:t>yes</w:t>
      </w:r>
      <w:r w:rsidRPr="00DA5E13">
        <w:rPr>
          <w:sz w:val="22"/>
          <w:szCs w:val="22"/>
        </w:rPr>
        <w:tab/>
      </w:r>
      <w:r w:rsidRPr="00DA5E13">
        <w:rPr>
          <w:sz w:val="22"/>
          <w:szCs w:val="22"/>
        </w:rPr>
        <w:sym w:font="Monotype Sorts" w:char="F071"/>
      </w:r>
    </w:p>
    <w:p w14:paraId="27B0D0A6" w14:textId="77777777" w:rsidR="000923BB" w:rsidRPr="00DA5E13" w:rsidRDefault="000923BB" w:rsidP="000923BB">
      <w:pPr>
        <w:pStyle w:val="Header"/>
        <w:tabs>
          <w:tab w:val="left" w:pos="2835"/>
          <w:tab w:val="left" w:pos="4820"/>
          <w:tab w:val="left" w:pos="6379"/>
          <w:tab w:val="left" w:pos="7371"/>
          <w:tab w:val="left" w:pos="9072"/>
        </w:tabs>
        <w:rPr>
          <w:sz w:val="22"/>
          <w:szCs w:val="22"/>
        </w:rPr>
      </w:pPr>
      <w:r w:rsidRPr="00DA5E13">
        <w:rPr>
          <w:sz w:val="22"/>
          <w:szCs w:val="22"/>
        </w:rPr>
        <w:tab/>
      </w:r>
      <w:r w:rsidRPr="00DA5E13">
        <w:rPr>
          <w:sz w:val="22"/>
          <w:szCs w:val="22"/>
        </w:rPr>
        <w:tab/>
      </w:r>
      <w:r w:rsidRPr="00DA5E13">
        <w:rPr>
          <w:sz w:val="22"/>
          <w:szCs w:val="22"/>
        </w:rPr>
        <w:tab/>
      </w:r>
      <w:r w:rsidRPr="00DA5E13">
        <w:rPr>
          <w:sz w:val="22"/>
          <w:szCs w:val="22"/>
        </w:rPr>
        <w:tab/>
        <w:t>no</w:t>
      </w:r>
      <w:r w:rsidRPr="00DA5E13">
        <w:rPr>
          <w:sz w:val="22"/>
          <w:szCs w:val="22"/>
        </w:rPr>
        <w:tab/>
      </w:r>
      <w:r w:rsidRPr="00DA5E13">
        <w:rPr>
          <w:sz w:val="22"/>
          <w:szCs w:val="22"/>
        </w:rPr>
        <w:sym w:font="Monotype Sorts" w:char="F071"/>
      </w:r>
    </w:p>
    <w:p w14:paraId="45413BD5" w14:textId="77777777" w:rsidR="000923BB" w:rsidRPr="00DA5E13" w:rsidRDefault="006C4584" w:rsidP="000923BB">
      <w:pPr>
        <w:pStyle w:val="Header"/>
        <w:tabs>
          <w:tab w:val="left" w:pos="2835"/>
          <w:tab w:val="left" w:pos="4820"/>
          <w:tab w:val="left" w:pos="6379"/>
          <w:tab w:val="left" w:pos="7371"/>
          <w:tab w:val="left" w:pos="9072"/>
        </w:tabs>
        <w:rPr>
          <w:sz w:val="22"/>
          <w:szCs w:val="22"/>
        </w:rPr>
      </w:pPr>
      <w:r>
        <w:rPr>
          <w:sz w:val="22"/>
          <w:szCs w:val="22"/>
        </w:rPr>
        <w:tab/>
      </w:r>
      <w:r>
        <w:rPr>
          <w:sz w:val="22"/>
          <w:szCs w:val="22"/>
        </w:rPr>
        <w:tab/>
      </w:r>
      <w:r>
        <w:rPr>
          <w:sz w:val="22"/>
          <w:szCs w:val="22"/>
        </w:rPr>
        <w:tab/>
      </w:r>
      <w:r w:rsidR="000923BB" w:rsidRPr="00DA5E13">
        <w:rPr>
          <w:sz w:val="22"/>
          <w:szCs w:val="22"/>
        </w:rPr>
        <w:t xml:space="preserve">not recorded </w:t>
      </w:r>
      <w:r w:rsidR="000923BB" w:rsidRPr="00DA5E13">
        <w:rPr>
          <w:sz w:val="22"/>
          <w:szCs w:val="22"/>
        </w:rPr>
        <w:tab/>
      </w:r>
      <w:r w:rsidR="000923BB" w:rsidRPr="00DA5E13">
        <w:rPr>
          <w:sz w:val="22"/>
          <w:szCs w:val="22"/>
        </w:rPr>
        <w:sym w:font="Monotype Sorts" w:char="F071"/>
      </w:r>
    </w:p>
    <w:p w14:paraId="72A137D0" w14:textId="5374A86D" w:rsidR="000923BB" w:rsidRPr="00DA5E13" w:rsidRDefault="00003011" w:rsidP="000923BB">
      <w:pPr>
        <w:pStyle w:val="Header"/>
        <w:tabs>
          <w:tab w:val="left" w:pos="2835"/>
          <w:tab w:val="left" w:pos="4820"/>
          <w:tab w:val="left" w:pos="6379"/>
          <w:tab w:val="left" w:pos="7371"/>
          <w:tab w:val="left" w:pos="9072"/>
        </w:tabs>
        <w:rPr>
          <w:sz w:val="22"/>
          <w:szCs w:val="22"/>
        </w:rPr>
      </w:pPr>
      <w:r>
        <w:rPr>
          <w:noProof/>
          <w:sz w:val="22"/>
          <w:szCs w:val="22"/>
        </w:rPr>
        <mc:AlternateContent>
          <mc:Choice Requires="wps">
            <w:drawing>
              <wp:anchor distT="0" distB="0" distL="114300" distR="114300" simplePos="0" relativeHeight="252624896" behindDoc="0" locked="0" layoutInCell="0" allowOverlap="1" wp14:anchorId="31C53EE6" wp14:editId="3307F5FD">
                <wp:simplePos x="0" y="0"/>
                <wp:positionH relativeFrom="column">
                  <wp:posOffset>2804160</wp:posOffset>
                </wp:positionH>
                <wp:positionV relativeFrom="paragraph">
                  <wp:posOffset>114300</wp:posOffset>
                </wp:positionV>
                <wp:extent cx="807085" cy="260985"/>
                <wp:effectExtent l="13335" t="13335" r="8255" b="11430"/>
                <wp:wrapNone/>
                <wp:docPr id="62" name="Rectangle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085" cy="260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E3DA7" id="Rectangle 999" o:spid="_x0000_s1026" style="position:absolute;margin-left:220.8pt;margin-top:9pt;width:63.55pt;height:20.5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" o:allowincell="f"/>
            </w:pict>
          </mc:Fallback>
        </mc:AlternateContent>
      </w:r>
      <w:r w:rsidR="000923BB" w:rsidRPr="00DA5E13">
        <w:rPr>
          <w:sz w:val="22"/>
          <w:szCs w:val="22"/>
        </w:rPr>
        <w:tab/>
      </w:r>
    </w:p>
    <w:p w14:paraId="2DE713CF" w14:textId="77777777" w:rsidR="000923BB" w:rsidRPr="00DA5E13" w:rsidRDefault="000923BB" w:rsidP="000923BB">
      <w:pPr>
        <w:pStyle w:val="Header"/>
        <w:tabs>
          <w:tab w:val="left" w:pos="2835"/>
          <w:tab w:val="left" w:pos="4820"/>
          <w:tab w:val="left" w:pos="5954"/>
          <w:tab w:val="left" w:pos="6379"/>
          <w:tab w:val="left" w:pos="7371"/>
          <w:tab w:val="left" w:pos="9072"/>
        </w:tabs>
        <w:ind w:left="720"/>
        <w:rPr>
          <w:sz w:val="22"/>
          <w:szCs w:val="22"/>
        </w:rPr>
      </w:pPr>
      <w:r w:rsidRPr="00DA5E13">
        <w:rPr>
          <w:sz w:val="22"/>
          <w:szCs w:val="22"/>
        </w:rPr>
        <w:t xml:space="preserve">If </w:t>
      </w:r>
      <w:r w:rsidR="006C4584">
        <w:rPr>
          <w:sz w:val="22"/>
          <w:szCs w:val="22"/>
        </w:rPr>
        <w:t>yes, what were the results?</w:t>
      </w:r>
      <w:r w:rsidR="006C4584">
        <w:rPr>
          <w:sz w:val="22"/>
          <w:szCs w:val="22"/>
        </w:rPr>
        <w:tab/>
      </w:r>
      <w:r w:rsidR="006C4584">
        <w:rPr>
          <w:sz w:val="22"/>
          <w:szCs w:val="22"/>
        </w:rPr>
        <w:tab/>
        <w:t>%</w:t>
      </w:r>
      <w:r w:rsidR="006C4584">
        <w:rPr>
          <w:sz w:val="22"/>
          <w:szCs w:val="22"/>
        </w:rPr>
        <w:tab/>
      </w:r>
      <w:r w:rsidRPr="00DA5E13">
        <w:rPr>
          <w:sz w:val="22"/>
          <w:szCs w:val="22"/>
        </w:rPr>
        <w:t>not recorded</w:t>
      </w:r>
      <w:r w:rsidRPr="00DA5E13">
        <w:rPr>
          <w:sz w:val="22"/>
          <w:szCs w:val="22"/>
        </w:rPr>
        <w:tab/>
      </w:r>
      <w:r w:rsidRPr="00DA5E13">
        <w:rPr>
          <w:sz w:val="22"/>
          <w:szCs w:val="22"/>
        </w:rPr>
        <w:sym w:font="Monotype Sorts" w:char="F071"/>
      </w:r>
    </w:p>
    <w:p w14:paraId="14EFBFBF" w14:textId="77777777" w:rsidR="000923BB" w:rsidRPr="00DA5E13" w:rsidRDefault="000923BB" w:rsidP="000923BB">
      <w:pPr>
        <w:pStyle w:val="Header"/>
        <w:tabs>
          <w:tab w:val="left" w:pos="2835"/>
          <w:tab w:val="left" w:pos="4820"/>
          <w:tab w:val="left" w:pos="6379"/>
          <w:tab w:val="left" w:pos="7371"/>
          <w:tab w:val="left" w:pos="9072"/>
        </w:tabs>
        <w:rPr>
          <w:sz w:val="22"/>
          <w:szCs w:val="22"/>
        </w:rPr>
      </w:pPr>
      <w:r w:rsidRPr="00DA5E13">
        <w:rPr>
          <w:sz w:val="22"/>
          <w:szCs w:val="22"/>
        </w:rPr>
        <w:tab/>
      </w:r>
      <w:r w:rsidRPr="00DA5E13">
        <w:rPr>
          <w:sz w:val="22"/>
          <w:szCs w:val="22"/>
        </w:rPr>
        <w:tab/>
      </w:r>
    </w:p>
    <w:p w14:paraId="4C9BCA2B" w14:textId="77777777" w:rsidR="000923BB" w:rsidRPr="00DA5E13" w:rsidRDefault="000923BB" w:rsidP="000923BB">
      <w:pPr>
        <w:pStyle w:val="Header"/>
        <w:pBdr>
          <w:top w:val="dotted" w:sz="4" w:space="10" w:color="auto"/>
        </w:pBdr>
        <w:tabs>
          <w:tab w:val="left" w:pos="2835"/>
          <w:tab w:val="left" w:pos="4820"/>
          <w:tab w:val="left" w:pos="6379"/>
          <w:tab w:val="left" w:pos="7371"/>
          <w:tab w:val="left" w:pos="9072"/>
        </w:tabs>
        <w:rPr>
          <w:sz w:val="22"/>
          <w:szCs w:val="22"/>
        </w:rPr>
      </w:pPr>
      <w:r w:rsidRPr="00DA5E13">
        <w:rPr>
          <w:sz w:val="22"/>
          <w:szCs w:val="22"/>
        </w:rPr>
        <w:t>33. If a current smoker, was help toward smoking cessation given</w:t>
      </w:r>
    </w:p>
    <w:p w14:paraId="0FA7ADEA" w14:textId="77777777" w:rsidR="000923BB" w:rsidRPr="00DA5E13" w:rsidRDefault="000923BB" w:rsidP="000923BB">
      <w:pPr>
        <w:pStyle w:val="Header"/>
        <w:pBdr>
          <w:top w:val="dotted" w:sz="4" w:space="10" w:color="auto"/>
        </w:pBdr>
        <w:tabs>
          <w:tab w:val="left" w:pos="2835"/>
          <w:tab w:val="left" w:pos="4820"/>
          <w:tab w:val="left" w:pos="6379"/>
          <w:tab w:val="left" w:pos="7371"/>
          <w:tab w:val="left" w:pos="9072"/>
        </w:tabs>
        <w:rPr>
          <w:sz w:val="22"/>
          <w:szCs w:val="22"/>
        </w:rPr>
      </w:pPr>
      <w:r w:rsidRPr="00DA5E13">
        <w:rPr>
          <w:sz w:val="22"/>
          <w:szCs w:val="22"/>
        </w:rPr>
        <w:tab/>
      </w:r>
      <w:r w:rsidRPr="00DA5E13">
        <w:rPr>
          <w:sz w:val="22"/>
          <w:szCs w:val="22"/>
        </w:rPr>
        <w:tab/>
        <w:t>referred to smoking cessation programme</w:t>
      </w:r>
      <w:r w:rsidRPr="00DA5E13">
        <w:rPr>
          <w:sz w:val="22"/>
          <w:szCs w:val="22"/>
        </w:rPr>
        <w:tab/>
      </w:r>
      <w:r w:rsidRPr="00DA5E13">
        <w:rPr>
          <w:sz w:val="22"/>
          <w:szCs w:val="22"/>
        </w:rPr>
        <w:sym w:font="Monotype Sorts" w:char="F071"/>
      </w:r>
    </w:p>
    <w:p w14:paraId="2EC798C4" w14:textId="77777777" w:rsidR="000923BB" w:rsidRPr="00DA5E13" w:rsidRDefault="000923BB" w:rsidP="000923BB">
      <w:pPr>
        <w:pStyle w:val="Header"/>
        <w:pBdr>
          <w:top w:val="dotted" w:sz="4" w:space="10" w:color="auto"/>
        </w:pBdr>
        <w:tabs>
          <w:tab w:val="left" w:pos="2835"/>
          <w:tab w:val="left" w:pos="4820"/>
          <w:tab w:val="left" w:pos="6379"/>
          <w:tab w:val="left" w:pos="7371"/>
          <w:tab w:val="left" w:pos="9072"/>
        </w:tabs>
        <w:rPr>
          <w:sz w:val="22"/>
          <w:szCs w:val="22"/>
        </w:rPr>
      </w:pPr>
      <w:r w:rsidRPr="00DA5E13">
        <w:rPr>
          <w:sz w:val="22"/>
          <w:szCs w:val="22"/>
        </w:rPr>
        <w:tab/>
      </w:r>
      <w:r w:rsidRPr="00DA5E13">
        <w:rPr>
          <w:sz w:val="22"/>
          <w:szCs w:val="22"/>
        </w:rPr>
        <w:tab/>
        <w:t>advice given and recorded</w:t>
      </w:r>
      <w:r w:rsidRPr="00DA5E13">
        <w:rPr>
          <w:sz w:val="22"/>
          <w:szCs w:val="22"/>
        </w:rPr>
        <w:tab/>
      </w:r>
      <w:r w:rsidRPr="00DA5E13">
        <w:rPr>
          <w:sz w:val="22"/>
          <w:szCs w:val="22"/>
        </w:rPr>
        <w:tab/>
      </w:r>
      <w:r w:rsidRPr="00DA5E13">
        <w:rPr>
          <w:sz w:val="22"/>
          <w:szCs w:val="22"/>
        </w:rPr>
        <w:sym w:font="Monotype Sorts" w:char="F071"/>
      </w:r>
    </w:p>
    <w:p w14:paraId="3A3C57DE" w14:textId="77777777" w:rsidR="000923BB" w:rsidRPr="00DA5E13" w:rsidRDefault="000923BB" w:rsidP="000923BB">
      <w:pPr>
        <w:pStyle w:val="Header"/>
        <w:pBdr>
          <w:top w:val="dotted" w:sz="4" w:space="10" w:color="auto"/>
        </w:pBdr>
        <w:tabs>
          <w:tab w:val="left" w:pos="2835"/>
          <w:tab w:val="left" w:pos="4820"/>
          <w:tab w:val="left" w:pos="6379"/>
          <w:tab w:val="left" w:pos="7371"/>
          <w:tab w:val="left" w:pos="9072"/>
        </w:tabs>
        <w:rPr>
          <w:sz w:val="22"/>
          <w:szCs w:val="22"/>
        </w:rPr>
      </w:pPr>
      <w:r w:rsidRPr="00DA5E13">
        <w:rPr>
          <w:sz w:val="22"/>
          <w:szCs w:val="22"/>
        </w:rPr>
        <w:tab/>
      </w:r>
      <w:r w:rsidRPr="00DA5E13">
        <w:rPr>
          <w:sz w:val="22"/>
          <w:szCs w:val="22"/>
        </w:rPr>
        <w:tab/>
        <w:t>nothing recorded</w:t>
      </w:r>
      <w:r w:rsidRPr="00DA5E13">
        <w:rPr>
          <w:sz w:val="22"/>
          <w:szCs w:val="22"/>
        </w:rPr>
        <w:tab/>
      </w:r>
      <w:r w:rsidRPr="00DA5E13">
        <w:rPr>
          <w:sz w:val="22"/>
          <w:szCs w:val="22"/>
        </w:rPr>
        <w:tab/>
      </w:r>
      <w:r w:rsidRPr="00DA5E13">
        <w:rPr>
          <w:sz w:val="22"/>
          <w:szCs w:val="22"/>
        </w:rPr>
        <w:sym w:font="Monotype Sorts" w:char="F071"/>
      </w:r>
    </w:p>
    <w:p w14:paraId="3803B01F" w14:textId="77777777" w:rsidR="000923BB" w:rsidRPr="00DA5E13" w:rsidRDefault="000923BB" w:rsidP="000923BB">
      <w:pPr>
        <w:pStyle w:val="Header"/>
        <w:pBdr>
          <w:top w:val="dotted" w:sz="4" w:space="10" w:color="auto"/>
        </w:pBdr>
        <w:tabs>
          <w:tab w:val="left" w:pos="2835"/>
          <w:tab w:val="left" w:pos="4820"/>
          <w:tab w:val="left" w:pos="6379"/>
          <w:tab w:val="left" w:pos="7371"/>
          <w:tab w:val="left" w:pos="9072"/>
        </w:tabs>
        <w:rPr>
          <w:sz w:val="22"/>
          <w:szCs w:val="22"/>
        </w:rPr>
      </w:pPr>
      <w:r w:rsidRPr="00DA5E13">
        <w:rPr>
          <w:sz w:val="22"/>
          <w:szCs w:val="22"/>
        </w:rPr>
        <w:tab/>
      </w:r>
      <w:r w:rsidRPr="00DA5E13">
        <w:rPr>
          <w:sz w:val="22"/>
          <w:szCs w:val="22"/>
        </w:rPr>
        <w:tab/>
        <w:t>not applicable (because non-smoker)</w:t>
      </w:r>
      <w:r w:rsidRPr="00DA5E13">
        <w:rPr>
          <w:sz w:val="22"/>
          <w:szCs w:val="22"/>
        </w:rPr>
        <w:tab/>
      </w:r>
      <w:r w:rsidRPr="00DA5E13">
        <w:rPr>
          <w:sz w:val="22"/>
          <w:szCs w:val="22"/>
        </w:rPr>
        <w:sym w:font="Monotype Sorts" w:char="F071"/>
      </w:r>
    </w:p>
    <w:p w14:paraId="00887240" w14:textId="77777777" w:rsidR="000923BB" w:rsidRPr="00DA5E13" w:rsidRDefault="000923BB" w:rsidP="000923BB">
      <w:pPr>
        <w:pStyle w:val="Header"/>
        <w:tabs>
          <w:tab w:val="left" w:pos="2835"/>
          <w:tab w:val="left" w:pos="4820"/>
          <w:tab w:val="left" w:pos="6379"/>
          <w:tab w:val="left" w:pos="7371"/>
          <w:tab w:val="left" w:pos="9072"/>
        </w:tabs>
        <w:rPr>
          <w:sz w:val="22"/>
          <w:szCs w:val="22"/>
        </w:rPr>
      </w:pPr>
    </w:p>
    <w:p w14:paraId="0D93C4B0" w14:textId="77777777" w:rsidR="000923BB" w:rsidRPr="00DA5E13" w:rsidRDefault="000923BB" w:rsidP="000923BB">
      <w:pPr>
        <w:pBdr>
          <w:top w:val="dotted" w:sz="4" w:space="10" w:color="auto"/>
        </w:pBdr>
        <w:tabs>
          <w:tab w:val="left" w:pos="2835"/>
          <w:tab w:val="left" w:pos="4820"/>
          <w:tab w:val="left" w:pos="7371"/>
          <w:tab w:val="left" w:pos="9072"/>
        </w:tabs>
        <w:rPr>
          <w:sz w:val="22"/>
          <w:szCs w:val="22"/>
        </w:rPr>
      </w:pPr>
      <w:r w:rsidRPr="00DA5E13">
        <w:rPr>
          <w:sz w:val="22"/>
          <w:szCs w:val="22"/>
        </w:rPr>
        <w:t>34. Was there an assessment of the patient’s home circumstances and their ability to cope?</w:t>
      </w:r>
    </w:p>
    <w:p w14:paraId="78ED59B2" w14:textId="77777777" w:rsidR="000923BB" w:rsidRPr="00DA5E13" w:rsidRDefault="000923BB" w:rsidP="000923BB">
      <w:pPr>
        <w:pStyle w:val="Header"/>
        <w:tabs>
          <w:tab w:val="left" w:pos="1701"/>
          <w:tab w:val="left" w:pos="2835"/>
          <w:tab w:val="left" w:pos="5670"/>
          <w:tab w:val="left" w:pos="6379"/>
          <w:tab w:val="left" w:pos="9072"/>
        </w:tabs>
        <w:rPr>
          <w:sz w:val="22"/>
          <w:szCs w:val="22"/>
        </w:rPr>
      </w:pPr>
      <w:r w:rsidRPr="00DA5E13">
        <w:rPr>
          <w:sz w:val="22"/>
          <w:szCs w:val="22"/>
        </w:rPr>
        <w:tab/>
      </w:r>
      <w:r w:rsidRPr="00DA5E13">
        <w:rPr>
          <w:sz w:val="22"/>
          <w:szCs w:val="22"/>
        </w:rPr>
        <w:tab/>
      </w:r>
      <w:r w:rsidRPr="00DA5E13">
        <w:rPr>
          <w:sz w:val="22"/>
          <w:szCs w:val="22"/>
        </w:rPr>
        <w:tab/>
      </w:r>
      <w:r w:rsidRPr="00DA5E13">
        <w:rPr>
          <w:sz w:val="22"/>
          <w:szCs w:val="22"/>
        </w:rPr>
        <w:tab/>
        <w:t>yes</w:t>
      </w:r>
      <w:r w:rsidRPr="00DA5E13">
        <w:rPr>
          <w:sz w:val="22"/>
          <w:szCs w:val="22"/>
        </w:rPr>
        <w:tab/>
      </w:r>
      <w:r w:rsidRPr="00DA5E13">
        <w:rPr>
          <w:sz w:val="22"/>
          <w:szCs w:val="22"/>
        </w:rPr>
        <w:sym w:font="Monotype Sorts" w:char="F071"/>
      </w:r>
    </w:p>
    <w:p w14:paraId="4496EB20" w14:textId="77777777" w:rsidR="000923BB" w:rsidRPr="00DA5E13" w:rsidRDefault="000923BB" w:rsidP="000923BB">
      <w:pPr>
        <w:pStyle w:val="Header"/>
        <w:tabs>
          <w:tab w:val="left" w:pos="1701"/>
          <w:tab w:val="left" w:pos="2835"/>
          <w:tab w:val="left" w:pos="5670"/>
          <w:tab w:val="left" w:pos="6379"/>
          <w:tab w:val="left" w:pos="9072"/>
        </w:tabs>
        <w:rPr>
          <w:sz w:val="22"/>
          <w:szCs w:val="22"/>
        </w:rPr>
      </w:pPr>
      <w:r w:rsidRPr="00DA5E13">
        <w:rPr>
          <w:sz w:val="22"/>
          <w:szCs w:val="22"/>
        </w:rPr>
        <w:tab/>
      </w:r>
      <w:r w:rsidRPr="00DA5E13">
        <w:rPr>
          <w:sz w:val="22"/>
          <w:szCs w:val="22"/>
        </w:rPr>
        <w:tab/>
      </w:r>
      <w:r w:rsidRPr="00DA5E13">
        <w:rPr>
          <w:sz w:val="22"/>
          <w:szCs w:val="22"/>
        </w:rPr>
        <w:tab/>
      </w:r>
      <w:r w:rsidRPr="00DA5E13">
        <w:rPr>
          <w:sz w:val="22"/>
          <w:szCs w:val="22"/>
        </w:rPr>
        <w:tab/>
        <w:t>no</w:t>
      </w:r>
      <w:r w:rsidRPr="00DA5E13">
        <w:rPr>
          <w:sz w:val="22"/>
          <w:szCs w:val="22"/>
        </w:rPr>
        <w:tab/>
      </w:r>
      <w:r w:rsidRPr="00DA5E13">
        <w:rPr>
          <w:sz w:val="22"/>
          <w:szCs w:val="22"/>
        </w:rPr>
        <w:sym w:font="Monotype Sorts" w:char="F071"/>
      </w:r>
    </w:p>
    <w:p w14:paraId="6CC70A9B" w14:textId="77777777" w:rsidR="000923BB" w:rsidRPr="00DA5E13" w:rsidRDefault="006C4584" w:rsidP="000923BB">
      <w:pPr>
        <w:pStyle w:val="Header"/>
        <w:tabs>
          <w:tab w:val="left" w:pos="1701"/>
          <w:tab w:val="left" w:pos="2835"/>
          <w:tab w:val="left" w:pos="5670"/>
          <w:tab w:val="left" w:pos="6379"/>
          <w:tab w:val="left" w:pos="9072"/>
        </w:tabs>
        <w:rPr>
          <w:sz w:val="22"/>
          <w:szCs w:val="22"/>
        </w:rPr>
      </w:pPr>
      <w:r>
        <w:rPr>
          <w:sz w:val="22"/>
          <w:szCs w:val="22"/>
        </w:rPr>
        <w:tab/>
      </w:r>
      <w:r>
        <w:rPr>
          <w:sz w:val="22"/>
          <w:szCs w:val="22"/>
        </w:rPr>
        <w:tab/>
      </w:r>
      <w:r>
        <w:rPr>
          <w:sz w:val="22"/>
          <w:szCs w:val="22"/>
        </w:rPr>
        <w:tab/>
      </w:r>
      <w:r w:rsidR="000923BB" w:rsidRPr="00DA5E13">
        <w:rPr>
          <w:sz w:val="22"/>
          <w:szCs w:val="22"/>
        </w:rPr>
        <w:t>not recorded</w:t>
      </w:r>
      <w:r w:rsidR="000923BB" w:rsidRPr="00DA5E13">
        <w:rPr>
          <w:sz w:val="22"/>
          <w:szCs w:val="22"/>
        </w:rPr>
        <w:tab/>
      </w:r>
      <w:r w:rsidR="000923BB" w:rsidRPr="00DA5E13">
        <w:rPr>
          <w:sz w:val="22"/>
          <w:szCs w:val="22"/>
        </w:rPr>
        <w:sym w:font="Monotype Sorts" w:char="F071"/>
      </w:r>
    </w:p>
    <w:p w14:paraId="2AEED04D" w14:textId="77777777" w:rsidR="000923BB" w:rsidRPr="00DA5E13" w:rsidRDefault="000923BB" w:rsidP="000923BB">
      <w:pPr>
        <w:pStyle w:val="Header"/>
        <w:tabs>
          <w:tab w:val="left" w:pos="1701"/>
          <w:tab w:val="left" w:pos="2835"/>
          <w:tab w:val="left" w:pos="5670"/>
          <w:tab w:val="left" w:pos="6379"/>
          <w:tab w:val="left" w:pos="9072"/>
        </w:tabs>
        <w:rPr>
          <w:sz w:val="22"/>
          <w:szCs w:val="22"/>
        </w:rPr>
      </w:pPr>
    </w:p>
    <w:p w14:paraId="26B9D458" w14:textId="77777777" w:rsidR="000923BB" w:rsidRPr="00DA5E13" w:rsidRDefault="000923BB" w:rsidP="000923BB">
      <w:pPr>
        <w:pBdr>
          <w:top w:val="dotted" w:sz="4" w:space="10" w:color="auto"/>
        </w:pBdr>
        <w:tabs>
          <w:tab w:val="left" w:pos="2835"/>
          <w:tab w:val="left" w:pos="4820"/>
          <w:tab w:val="left" w:pos="7371"/>
          <w:tab w:val="left" w:pos="9072"/>
        </w:tabs>
        <w:rPr>
          <w:sz w:val="22"/>
          <w:szCs w:val="22"/>
        </w:rPr>
      </w:pPr>
      <w:r w:rsidRPr="00DA5E13">
        <w:rPr>
          <w:sz w:val="22"/>
          <w:szCs w:val="22"/>
        </w:rPr>
        <w:t>35. Where was the patient discharged to?</w:t>
      </w:r>
    </w:p>
    <w:p w14:paraId="4213FA8D" w14:textId="77777777" w:rsidR="000923BB" w:rsidRPr="00DA5E13" w:rsidRDefault="000923BB" w:rsidP="000923BB">
      <w:pPr>
        <w:pStyle w:val="Header"/>
        <w:tabs>
          <w:tab w:val="left" w:pos="2835"/>
          <w:tab w:val="left" w:pos="4820"/>
          <w:tab w:val="left" w:pos="6379"/>
          <w:tab w:val="left" w:pos="7371"/>
          <w:tab w:val="left" w:pos="9072"/>
        </w:tabs>
        <w:rPr>
          <w:sz w:val="22"/>
          <w:szCs w:val="22"/>
        </w:rPr>
      </w:pPr>
      <w:r w:rsidRPr="00DA5E13">
        <w:rPr>
          <w:sz w:val="22"/>
          <w:szCs w:val="22"/>
        </w:rPr>
        <w:tab/>
      </w:r>
      <w:r w:rsidRPr="00DA5E13">
        <w:rPr>
          <w:sz w:val="22"/>
          <w:szCs w:val="22"/>
        </w:rPr>
        <w:tab/>
        <w:t>own home – independent of help</w:t>
      </w:r>
      <w:r w:rsidRPr="00DA5E13">
        <w:rPr>
          <w:sz w:val="22"/>
          <w:szCs w:val="22"/>
        </w:rPr>
        <w:tab/>
      </w:r>
      <w:r w:rsidRPr="00DA5E13">
        <w:rPr>
          <w:sz w:val="22"/>
          <w:szCs w:val="22"/>
        </w:rPr>
        <w:sym w:font="Monotype Sorts" w:char="F071"/>
      </w:r>
    </w:p>
    <w:p w14:paraId="137FD11C" w14:textId="77777777" w:rsidR="000923BB" w:rsidRPr="00DA5E13" w:rsidRDefault="000923BB" w:rsidP="000923BB">
      <w:pPr>
        <w:pStyle w:val="Header"/>
        <w:tabs>
          <w:tab w:val="left" w:pos="2835"/>
          <w:tab w:val="left" w:pos="4820"/>
          <w:tab w:val="left" w:pos="6379"/>
          <w:tab w:val="left" w:pos="7371"/>
          <w:tab w:val="left" w:pos="9072"/>
        </w:tabs>
        <w:rPr>
          <w:sz w:val="22"/>
          <w:szCs w:val="22"/>
        </w:rPr>
      </w:pPr>
      <w:r w:rsidRPr="00DA5E13">
        <w:rPr>
          <w:sz w:val="22"/>
          <w:szCs w:val="22"/>
        </w:rPr>
        <w:tab/>
      </w:r>
      <w:r w:rsidRPr="00DA5E13">
        <w:rPr>
          <w:sz w:val="22"/>
          <w:szCs w:val="22"/>
        </w:rPr>
        <w:tab/>
        <w:t>own home – with additional social support</w:t>
      </w:r>
      <w:r w:rsidRPr="00DA5E13">
        <w:rPr>
          <w:sz w:val="22"/>
          <w:szCs w:val="22"/>
        </w:rPr>
        <w:tab/>
      </w:r>
      <w:r w:rsidRPr="00DA5E13">
        <w:rPr>
          <w:sz w:val="22"/>
          <w:szCs w:val="22"/>
        </w:rPr>
        <w:sym w:font="Monotype Sorts" w:char="F071"/>
      </w:r>
    </w:p>
    <w:p w14:paraId="2985E981" w14:textId="77777777" w:rsidR="000923BB" w:rsidRPr="00DA5E13" w:rsidRDefault="000923BB" w:rsidP="000923BB">
      <w:pPr>
        <w:pStyle w:val="Header"/>
        <w:tabs>
          <w:tab w:val="left" w:pos="2835"/>
          <w:tab w:val="left" w:pos="4820"/>
          <w:tab w:val="left" w:pos="6379"/>
          <w:tab w:val="left" w:pos="7371"/>
          <w:tab w:val="left" w:pos="9072"/>
        </w:tabs>
        <w:rPr>
          <w:sz w:val="22"/>
          <w:szCs w:val="22"/>
        </w:rPr>
      </w:pPr>
      <w:r w:rsidRPr="00DA5E13">
        <w:rPr>
          <w:sz w:val="22"/>
          <w:szCs w:val="22"/>
        </w:rPr>
        <w:tab/>
      </w:r>
      <w:r w:rsidRPr="00DA5E13">
        <w:rPr>
          <w:sz w:val="22"/>
          <w:szCs w:val="22"/>
        </w:rPr>
        <w:tab/>
        <w:t>sheltered housing or living with relative</w:t>
      </w:r>
      <w:r w:rsidRPr="00DA5E13">
        <w:rPr>
          <w:sz w:val="22"/>
          <w:szCs w:val="22"/>
        </w:rPr>
        <w:tab/>
      </w:r>
      <w:r w:rsidRPr="00DA5E13">
        <w:rPr>
          <w:sz w:val="22"/>
          <w:szCs w:val="22"/>
        </w:rPr>
        <w:sym w:font="Monotype Sorts" w:char="F071"/>
      </w:r>
    </w:p>
    <w:p w14:paraId="115BB489" w14:textId="77777777" w:rsidR="000923BB" w:rsidRPr="00DA5E13" w:rsidRDefault="000923BB" w:rsidP="000923BB">
      <w:pPr>
        <w:pStyle w:val="Header"/>
        <w:tabs>
          <w:tab w:val="left" w:pos="2835"/>
          <w:tab w:val="left" w:pos="4820"/>
          <w:tab w:val="left" w:pos="6379"/>
          <w:tab w:val="left" w:pos="7371"/>
          <w:tab w:val="left" w:pos="9072"/>
        </w:tabs>
        <w:rPr>
          <w:sz w:val="22"/>
          <w:szCs w:val="22"/>
        </w:rPr>
      </w:pPr>
      <w:r w:rsidRPr="00DA5E13">
        <w:rPr>
          <w:sz w:val="22"/>
          <w:szCs w:val="22"/>
        </w:rPr>
        <w:tab/>
      </w:r>
      <w:r w:rsidRPr="00DA5E13">
        <w:rPr>
          <w:sz w:val="22"/>
          <w:szCs w:val="22"/>
        </w:rPr>
        <w:tab/>
        <w:t>nursing or residential care</w:t>
      </w:r>
      <w:r w:rsidRPr="00DA5E13">
        <w:rPr>
          <w:sz w:val="22"/>
          <w:szCs w:val="22"/>
        </w:rPr>
        <w:tab/>
      </w:r>
      <w:r w:rsidRPr="00DA5E13">
        <w:rPr>
          <w:sz w:val="22"/>
          <w:szCs w:val="22"/>
        </w:rPr>
        <w:tab/>
      </w:r>
      <w:r w:rsidRPr="00DA5E13">
        <w:rPr>
          <w:sz w:val="22"/>
          <w:szCs w:val="22"/>
        </w:rPr>
        <w:sym w:font="Monotype Sorts" w:char="F071"/>
      </w:r>
    </w:p>
    <w:p w14:paraId="0629A7DE" w14:textId="77777777" w:rsidR="000923BB" w:rsidRPr="00DA5E13" w:rsidRDefault="000923BB" w:rsidP="000923BB">
      <w:pPr>
        <w:pStyle w:val="Header"/>
        <w:tabs>
          <w:tab w:val="left" w:pos="2835"/>
          <w:tab w:val="left" w:pos="4820"/>
          <w:tab w:val="left" w:pos="6379"/>
          <w:tab w:val="left" w:pos="7371"/>
          <w:tab w:val="left" w:pos="9072"/>
        </w:tabs>
        <w:rPr>
          <w:sz w:val="22"/>
          <w:szCs w:val="22"/>
        </w:rPr>
      </w:pPr>
      <w:r w:rsidRPr="00DA5E13">
        <w:rPr>
          <w:sz w:val="22"/>
          <w:szCs w:val="22"/>
        </w:rPr>
        <w:tab/>
      </w:r>
      <w:r w:rsidRPr="00DA5E13">
        <w:rPr>
          <w:sz w:val="22"/>
          <w:szCs w:val="22"/>
        </w:rPr>
        <w:tab/>
        <w:t>not applicable – died in hospital</w:t>
      </w:r>
      <w:r w:rsidRPr="00DA5E13">
        <w:rPr>
          <w:sz w:val="22"/>
          <w:szCs w:val="22"/>
        </w:rPr>
        <w:tab/>
      </w:r>
      <w:r w:rsidRPr="00DA5E13">
        <w:rPr>
          <w:sz w:val="22"/>
          <w:szCs w:val="22"/>
        </w:rPr>
        <w:sym w:font="Monotype Sorts" w:char="F071"/>
      </w:r>
    </w:p>
    <w:p w14:paraId="071996B1" w14:textId="77777777" w:rsidR="000923BB" w:rsidRPr="00DA5E13" w:rsidRDefault="000923BB" w:rsidP="000923BB">
      <w:pPr>
        <w:pStyle w:val="Header"/>
        <w:tabs>
          <w:tab w:val="left" w:pos="2835"/>
          <w:tab w:val="left" w:pos="4820"/>
          <w:tab w:val="left" w:pos="6379"/>
          <w:tab w:val="left" w:pos="7371"/>
          <w:tab w:val="left" w:pos="9072"/>
        </w:tabs>
        <w:rPr>
          <w:sz w:val="22"/>
          <w:szCs w:val="22"/>
        </w:rPr>
      </w:pPr>
    </w:p>
    <w:p w14:paraId="7BB6A9C3" w14:textId="77777777" w:rsidR="000923BB" w:rsidRPr="00DA5E13" w:rsidRDefault="000923BB" w:rsidP="000923BB">
      <w:pPr>
        <w:pStyle w:val="Header"/>
        <w:pBdr>
          <w:top w:val="dotted" w:sz="4" w:space="10" w:color="auto"/>
        </w:pBdr>
        <w:tabs>
          <w:tab w:val="left" w:pos="2835"/>
          <w:tab w:val="left" w:pos="4820"/>
          <w:tab w:val="left" w:pos="6379"/>
          <w:tab w:val="left" w:pos="7371"/>
          <w:tab w:val="left" w:pos="9072"/>
        </w:tabs>
        <w:ind w:left="426" w:hanging="426"/>
        <w:rPr>
          <w:sz w:val="22"/>
          <w:szCs w:val="22"/>
        </w:rPr>
      </w:pPr>
      <w:r w:rsidRPr="00DA5E13">
        <w:rPr>
          <w:sz w:val="22"/>
          <w:szCs w:val="22"/>
        </w:rPr>
        <w:t>36. Is there a letter to the patient’s primary care team?</w:t>
      </w:r>
    </w:p>
    <w:p w14:paraId="299B9727" w14:textId="77777777" w:rsidR="000923BB" w:rsidRPr="00DA5E13" w:rsidRDefault="000923BB" w:rsidP="000923BB">
      <w:pPr>
        <w:pStyle w:val="Header"/>
        <w:tabs>
          <w:tab w:val="left" w:pos="2835"/>
          <w:tab w:val="left" w:pos="4820"/>
          <w:tab w:val="left" w:pos="6379"/>
          <w:tab w:val="left" w:pos="7371"/>
          <w:tab w:val="left" w:pos="9072"/>
        </w:tabs>
        <w:rPr>
          <w:sz w:val="22"/>
          <w:szCs w:val="22"/>
        </w:rPr>
      </w:pPr>
      <w:r w:rsidRPr="00DA5E13">
        <w:rPr>
          <w:sz w:val="22"/>
          <w:szCs w:val="22"/>
        </w:rPr>
        <w:tab/>
      </w:r>
      <w:r w:rsidRPr="00DA5E13">
        <w:rPr>
          <w:sz w:val="22"/>
          <w:szCs w:val="22"/>
        </w:rPr>
        <w:tab/>
      </w:r>
      <w:r w:rsidRPr="00DA5E13">
        <w:rPr>
          <w:sz w:val="22"/>
          <w:szCs w:val="22"/>
        </w:rPr>
        <w:tab/>
      </w:r>
      <w:r w:rsidRPr="00DA5E13">
        <w:rPr>
          <w:sz w:val="22"/>
          <w:szCs w:val="22"/>
        </w:rPr>
        <w:tab/>
        <w:t>yes</w:t>
      </w:r>
      <w:r w:rsidRPr="00DA5E13">
        <w:rPr>
          <w:sz w:val="22"/>
          <w:szCs w:val="22"/>
        </w:rPr>
        <w:tab/>
      </w:r>
      <w:r w:rsidRPr="00DA5E13">
        <w:rPr>
          <w:sz w:val="22"/>
          <w:szCs w:val="22"/>
        </w:rPr>
        <w:sym w:font="Monotype Sorts" w:char="F071"/>
      </w:r>
    </w:p>
    <w:p w14:paraId="510269A4" w14:textId="77777777" w:rsidR="000923BB" w:rsidRPr="00DA5E13" w:rsidRDefault="000923BB" w:rsidP="000923BB">
      <w:pPr>
        <w:pStyle w:val="Header"/>
        <w:tabs>
          <w:tab w:val="left" w:pos="2835"/>
          <w:tab w:val="left" w:pos="4820"/>
          <w:tab w:val="left" w:pos="6379"/>
          <w:tab w:val="left" w:pos="7371"/>
          <w:tab w:val="left" w:pos="9072"/>
        </w:tabs>
        <w:rPr>
          <w:sz w:val="22"/>
          <w:szCs w:val="22"/>
        </w:rPr>
      </w:pPr>
      <w:r w:rsidRPr="00DA5E13">
        <w:rPr>
          <w:sz w:val="22"/>
          <w:szCs w:val="22"/>
        </w:rPr>
        <w:tab/>
      </w:r>
      <w:r w:rsidRPr="00DA5E13">
        <w:rPr>
          <w:sz w:val="22"/>
          <w:szCs w:val="22"/>
        </w:rPr>
        <w:tab/>
      </w:r>
      <w:r w:rsidRPr="00DA5E13">
        <w:rPr>
          <w:sz w:val="22"/>
          <w:szCs w:val="22"/>
        </w:rPr>
        <w:tab/>
      </w:r>
      <w:r w:rsidRPr="00DA5E13">
        <w:rPr>
          <w:sz w:val="22"/>
          <w:szCs w:val="22"/>
        </w:rPr>
        <w:tab/>
        <w:t>no</w:t>
      </w:r>
      <w:r w:rsidRPr="00DA5E13">
        <w:rPr>
          <w:sz w:val="22"/>
          <w:szCs w:val="22"/>
        </w:rPr>
        <w:tab/>
      </w:r>
      <w:r w:rsidRPr="00DA5E13">
        <w:rPr>
          <w:sz w:val="22"/>
          <w:szCs w:val="22"/>
        </w:rPr>
        <w:sym w:font="Monotype Sorts" w:char="F071"/>
      </w:r>
    </w:p>
    <w:p w14:paraId="649B9470" w14:textId="77777777" w:rsidR="000923BB" w:rsidRPr="00DA5E13" w:rsidRDefault="006C4584" w:rsidP="000923BB">
      <w:pPr>
        <w:pStyle w:val="Header"/>
        <w:tabs>
          <w:tab w:val="left" w:pos="2835"/>
          <w:tab w:val="left" w:pos="4820"/>
          <w:tab w:val="left" w:pos="6379"/>
          <w:tab w:val="left" w:pos="7371"/>
          <w:tab w:val="left" w:pos="9072"/>
        </w:tabs>
        <w:rPr>
          <w:sz w:val="22"/>
          <w:szCs w:val="22"/>
        </w:rPr>
      </w:pPr>
      <w:r>
        <w:rPr>
          <w:sz w:val="22"/>
          <w:szCs w:val="22"/>
        </w:rPr>
        <w:tab/>
      </w:r>
      <w:r>
        <w:rPr>
          <w:sz w:val="22"/>
          <w:szCs w:val="22"/>
        </w:rPr>
        <w:tab/>
      </w:r>
      <w:r>
        <w:rPr>
          <w:sz w:val="22"/>
          <w:szCs w:val="22"/>
        </w:rPr>
        <w:tab/>
      </w:r>
      <w:r w:rsidR="000923BB" w:rsidRPr="00DA5E13">
        <w:rPr>
          <w:sz w:val="22"/>
          <w:szCs w:val="22"/>
        </w:rPr>
        <w:t>not recorded</w:t>
      </w:r>
      <w:r w:rsidR="000923BB" w:rsidRPr="00DA5E13">
        <w:rPr>
          <w:sz w:val="22"/>
          <w:szCs w:val="22"/>
        </w:rPr>
        <w:tab/>
      </w:r>
      <w:r w:rsidR="000923BB" w:rsidRPr="00DA5E13">
        <w:rPr>
          <w:sz w:val="22"/>
          <w:szCs w:val="22"/>
        </w:rPr>
        <w:sym w:font="Monotype Sorts" w:char="F071"/>
      </w:r>
    </w:p>
    <w:p w14:paraId="3F9A810D" w14:textId="77777777" w:rsidR="000923BB" w:rsidRPr="00DA5E13" w:rsidRDefault="000923BB" w:rsidP="000923BB">
      <w:pPr>
        <w:pStyle w:val="Header"/>
        <w:tabs>
          <w:tab w:val="left" w:pos="2835"/>
          <w:tab w:val="left" w:pos="4820"/>
          <w:tab w:val="left" w:pos="6379"/>
          <w:tab w:val="left" w:pos="7371"/>
          <w:tab w:val="left" w:pos="9072"/>
        </w:tabs>
        <w:rPr>
          <w:sz w:val="22"/>
          <w:szCs w:val="22"/>
        </w:rPr>
      </w:pPr>
    </w:p>
    <w:p w14:paraId="2555ACEF" w14:textId="77777777" w:rsidR="000923BB" w:rsidRPr="00DA5E13" w:rsidRDefault="000923BB" w:rsidP="000923BB">
      <w:pPr>
        <w:pStyle w:val="Header"/>
        <w:tabs>
          <w:tab w:val="left" w:pos="2835"/>
          <w:tab w:val="left" w:pos="4820"/>
          <w:tab w:val="left" w:pos="5245"/>
          <w:tab w:val="left" w:pos="6379"/>
          <w:tab w:val="left" w:pos="7371"/>
          <w:tab w:val="left" w:pos="9072"/>
        </w:tabs>
        <w:ind w:left="1440"/>
        <w:rPr>
          <w:sz w:val="22"/>
          <w:szCs w:val="22"/>
        </w:rPr>
      </w:pPr>
      <w:r w:rsidRPr="00DA5E13">
        <w:rPr>
          <w:sz w:val="22"/>
          <w:szCs w:val="22"/>
        </w:rPr>
        <w:t>If yes, did the letter include a clear list of the patient’s medication?</w:t>
      </w:r>
    </w:p>
    <w:p w14:paraId="62D8252A" w14:textId="77777777" w:rsidR="000923BB" w:rsidRPr="00DA5E13" w:rsidRDefault="000923BB" w:rsidP="000923BB">
      <w:pPr>
        <w:pStyle w:val="Header"/>
        <w:tabs>
          <w:tab w:val="left" w:pos="2835"/>
          <w:tab w:val="left" w:pos="4820"/>
          <w:tab w:val="left" w:pos="6379"/>
          <w:tab w:val="left" w:pos="9072"/>
        </w:tabs>
        <w:rPr>
          <w:sz w:val="22"/>
          <w:szCs w:val="22"/>
        </w:rPr>
      </w:pPr>
      <w:r w:rsidRPr="00DA5E13">
        <w:rPr>
          <w:sz w:val="22"/>
          <w:szCs w:val="22"/>
        </w:rPr>
        <w:tab/>
      </w:r>
      <w:r w:rsidRPr="00DA5E13">
        <w:rPr>
          <w:sz w:val="22"/>
          <w:szCs w:val="22"/>
        </w:rPr>
        <w:tab/>
      </w:r>
      <w:r w:rsidRPr="00DA5E13">
        <w:rPr>
          <w:sz w:val="22"/>
          <w:szCs w:val="22"/>
        </w:rPr>
        <w:tab/>
        <w:t>yes</w:t>
      </w:r>
      <w:r w:rsidRPr="00DA5E13">
        <w:rPr>
          <w:sz w:val="22"/>
          <w:szCs w:val="22"/>
        </w:rPr>
        <w:tab/>
      </w:r>
      <w:r w:rsidRPr="00DA5E13">
        <w:rPr>
          <w:sz w:val="22"/>
          <w:szCs w:val="22"/>
        </w:rPr>
        <w:sym w:font="Monotype Sorts" w:char="F071"/>
      </w:r>
    </w:p>
    <w:p w14:paraId="19169C05" w14:textId="77777777" w:rsidR="000923BB" w:rsidRPr="00DA5E13" w:rsidRDefault="000923BB" w:rsidP="000923BB">
      <w:pPr>
        <w:pStyle w:val="Header"/>
        <w:tabs>
          <w:tab w:val="left" w:pos="2835"/>
          <w:tab w:val="left" w:pos="4820"/>
          <w:tab w:val="left" w:pos="6379"/>
          <w:tab w:val="left" w:pos="9072"/>
        </w:tabs>
        <w:rPr>
          <w:sz w:val="22"/>
          <w:szCs w:val="22"/>
        </w:rPr>
      </w:pPr>
      <w:r w:rsidRPr="00DA5E13">
        <w:rPr>
          <w:sz w:val="22"/>
          <w:szCs w:val="22"/>
        </w:rPr>
        <w:tab/>
      </w:r>
      <w:r w:rsidRPr="00DA5E13">
        <w:rPr>
          <w:sz w:val="22"/>
          <w:szCs w:val="22"/>
        </w:rPr>
        <w:tab/>
      </w:r>
      <w:r w:rsidRPr="00DA5E13">
        <w:rPr>
          <w:sz w:val="22"/>
          <w:szCs w:val="22"/>
        </w:rPr>
        <w:tab/>
        <w:t>no</w:t>
      </w:r>
      <w:r w:rsidRPr="00DA5E13">
        <w:rPr>
          <w:sz w:val="22"/>
          <w:szCs w:val="22"/>
        </w:rPr>
        <w:tab/>
      </w:r>
      <w:r w:rsidRPr="00DA5E13">
        <w:rPr>
          <w:sz w:val="22"/>
          <w:szCs w:val="22"/>
        </w:rPr>
        <w:sym w:font="Monotype Sorts" w:char="F071"/>
      </w:r>
    </w:p>
    <w:p w14:paraId="136C248A" w14:textId="77777777" w:rsidR="000923BB" w:rsidRPr="00DA5E13" w:rsidRDefault="000923BB" w:rsidP="000923BB">
      <w:pPr>
        <w:pStyle w:val="Header"/>
        <w:tabs>
          <w:tab w:val="left" w:pos="2835"/>
          <w:tab w:val="left" w:pos="4820"/>
          <w:tab w:val="left" w:pos="6379"/>
          <w:tab w:val="left" w:pos="9072"/>
        </w:tabs>
        <w:rPr>
          <w:sz w:val="22"/>
          <w:szCs w:val="22"/>
        </w:rPr>
      </w:pPr>
      <w:r w:rsidRPr="00DA5E13">
        <w:rPr>
          <w:sz w:val="22"/>
          <w:szCs w:val="22"/>
        </w:rPr>
        <w:tab/>
      </w:r>
      <w:r w:rsidRPr="00DA5E13">
        <w:rPr>
          <w:sz w:val="22"/>
          <w:szCs w:val="22"/>
        </w:rPr>
        <w:tab/>
      </w:r>
      <w:r w:rsidRPr="00DA5E13">
        <w:rPr>
          <w:sz w:val="22"/>
          <w:szCs w:val="22"/>
        </w:rPr>
        <w:tab/>
        <w:t>not recorded</w:t>
      </w:r>
      <w:r w:rsidRPr="00DA5E13">
        <w:rPr>
          <w:sz w:val="22"/>
          <w:szCs w:val="22"/>
        </w:rPr>
        <w:tab/>
      </w:r>
      <w:r w:rsidRPr="00DA5E13">
        <w:rPr>
          <w:sz w:val="22"/>
          <w:szCs w:val="22"/>
        </w:rPr>
        <w:sym w:font="Monotype Sorts" w:char="F071"/>
      </w:r>
    </w:p>
    <w:p w14:paraId="36C288DE" w14:textId="77777777" w:rsidR="000923BB" w:rsidRPr="00DA5E13" w:rsidRDefault="000923BB" w:rsidP="000923BB">
      <w:pPr>
        <w:pStyle w:val="Header"/>
        <w:tabs>
          <w:tab w:val="left" w:pos="2835"/>
          <w:tab w:val="left" w:pos="4820"/>
          <w:tab w:val="left" w:pos="6379"/>
          <w:tab w:val="left" w:pos="7371"/>
          <w:tab w:val="left" w:pos="9072"/>
        </w:tabs>
        <w:rPr>
          <w:sz w:val="22"/>
          <w:szCs w:val="22"/>
        </w:rPr>
      </w:pPr>
    </w:p>
    <w:p w14:paraId="6009721B" w14:textId="77777777" w:rsidR="000923BB" w:rsidRPr="00DA5E13" w:rsidRDefault="000923BB" w:rsidP="000923BB">
      <w:pPr>
        <w:pStyle w:val="Header"/>
        <w:pBdr>
          <w:top w:val="dotted" w:sz="4" w:space="10" w:color="auto"/>
        </w:pBdr>
        <w:tabs>
          <w:tab w:val="left" w:pos="2835"/>
          <w:tab w:val="left" w:pos="4820"/>
          <w:tab w:val="left" w:pos="6379"/>
          <w:tab w:val="left" w:pos="7371"/>
          <w:tab w:val="left" w:pos="9072"/>
        </w:tabs>
        <w:ind w:left="426" w:hanging="426"/>
        <w:rPr>
          <w:sz w:val="22"/>
          <w:szCs w:val="22"/>
        </w:rPr>
      </w:pPr>
      <w:r w:rsidRPr="00DA5E13">
        <w:rPr>
          <w:sz w:val="22"/>
          <w:szCs w:val="22"/>
        </w:rPr>
        <w:t>37. Which type of consultant was the patient under at</w:t>
      </w:r>
      <w:r w:rsidRPr="00DA5E13">
        <w:rPr>
          <w:sz w:val="22"/>
          <w:szCs w:val="22"/>
        </w:rPr>
        <w:br/>
        <w:t>time of discharge?</w:t>
      </w:r>
    </w:p>
    <w:p w14:paraId="656B5E42" w14:textId="77777777" w:rsidR="000923BB" w:rsidRPr="00DA5E13" w:rsidRDefault="000923BB" w:rsidP="000923BB">
      <w:pPr>
        <w:pStyle w:val="Header"/>
        <w:pBdr>
          <w:top w:val="dotted" w:sz="4" w:space="10" w:color="auto"/>
        </w:pBdr>
        <w:tabs>
          <w:tab w:val="left" w:pos="2835"/>
          <w:tab w:val="left" w:pos="4820"/>
          <w:tab w:val="left" w:pos="6379"/>
          <w:tab w:val="left" w:pos="7371"/>
          <w:tab w:val="left" w:pos="9072"/>
        </w:tabs>
        <w:rPr>
          <w:sz w:val="22"/>
          <w:szCs w:val="22"/>
        </w:rPr>
      </w:pPr>
      <w:r w:rsidRPr="00DA5E13">
        <w:rPr>
          <w:sz w:val="22"/>
          <w:szCs w:val="22"/>
        </w:rPr>
        <w:tab/>
      </w:r>
      <w:r w:rsidRPr="00DA5E13">
        <w:rPr>
          <w:sz w:val="22"/>
          <w:szCs w:val="22"/>
        </w:rPr>
        <w:tab/>
      </w:r>
      <w:r w:rsidRPr="00DA5E13">
        <w:rPr>
          <w:sz w:val="22"/>
          <w:szCs w:val="22"/>
        </w:rPr>
        <w:tab/>
        <w:t>respiratory physician</w:t>
      </w:r>
      <w:r w:rsidRPr="00DA5E13">
        <w:rPr>
          <w:sz w:val="22"/>
          <w:szCs w:val="22"/>
        </w:rPr>
        <w:tab/>
      </w:r>
      <w:r w:rsidRPr="00DA5E13">
        <w:rPr>
          <w:sz w:val="22"/>
          <w:szCs w:val="22"/>
        </w:rPr>
        <w:sym w:font="Monotype Sorts" w:char="F071"/>
      </w:r>
    </w:p>
    <w:p w14:paraId="630BEBC2" w14:textId="77777777" w:rsidR="000923BB" w:rsidRPr="00DA5E13" w:rsidRDefault="000923BB" w:rsidP="000923BB">
      <w:pPr>
        <w:pStyle w:val="Header"/>
        <w:tabs>
          <w:tab w:val="left" w:pos="2835"/>
          <w:tab w:val="left" w:pos="4820"/>
          <w:tab w:val="left" w:pos="6379"/>
          <w:tab w:val="left" w:pos="7371"/>
          <w:tab w:val="left" w:pos="9072"/>
        </w:tabs>
        <w:rPr>
          <w:sz w:val="22"/>
          <w:szCs w:val="22"/>
        </w:rPr>
      </w:pPr>
      <w:r w:rsidRPr="00DA5E13">
        <w:rPr>
          <w:sz w:val="22"/>
          <w:szCs w:val="22"/>
        </w:rPr>
        <w:tab/>
      </w:r>
      <w:r w:rsidRPr="00DA5E13">
        <w:rPr>
          <w:sz w:val="22"/>
          <w:szCs w:val="22"/>
        </w:rPr>
        <w:tab/>
      </w:r>
      <w:r w:rsidRPr="00DA5E13">
        <w:rPr>
          <w:sz w:val="22"/>
          <w:szCs w:val="22"/>
        </w:rPr>
        <w:tab/>
        <w:t>care of elderly physician</w:t>
      </w:r>
      <w:r w:rsidRPr="00DA5E13">
        <w:rPr>
          <w:sz w:val="22"/>
          <w:szCs w:val="22"/>
        </w:rPr>
        <w:tab/>
      </w:r>
      <w:r w:rsidRPr="00DA5E13">
        <w:rPr>
          <w:sz w:val="22"/>
          <w:szCs w:val="22"/>
        </w:rPr>
        <w:sym w:font="Monotype Sorts" w:char="F071"/>
      </w:r>
    </w:p>
    <w:p w14:paraId="5B604CE3" w14:textId="77777777" w:rsidR="000923BB" w:rsidRPr="00DA5E13" w:rsidRDefault="000923BB" w:rsidP="000923BB">
      <w:pPr>
        <w:pStyle w:val="Header"/>
        <w:tabs>
          <w:tab w:val="left" w:pos="2835"/>
          <w:tab w:val="left" w:pos="4820"/>
          <w:tab w:val="left" w:pos="6379"/>
          <w:tab w:val="left" w:pos="7371"/>
          <w:tab w:val="left" w:pos="9072"/>
        </w:tabs>
        <w:rPr>
          <w:sz w:val="22"/>
          <w:szCs w:val="22"/>
        </w:rPr>
      </w:pPr>
      <w:r w:rsidRPr="00DA5E13">
        <w:rPr>
          <w:sz w:val="22"/>
          <w:szCs w:val="22"/>
        </w:rPr>
        <w:lastRenderedPageBreak/>
        <w:tab/>
      </w:r>
      <w:r w:rsidRPr="00DA5E13">
        <w:rPr>
          <w:sz w:val="22"/>
          <w:szCs w:val="22"/>
        </w:rPr>
        <w:tab/>
      </w:r>
      <w:r w:rsidRPr="00DA5E13">
        <w:rPr>
          <w:sz w:val="22"/>
          <w:szCs w:val="22"/>
        </w:rPr>
        <w:tab/>
        <w:t>general physician</w:t>
      </w:r>
      <w:r w:rsidRPr="00DA5E13">
        <w:rPr>
          <w:sz w:val="22"/>
          <w:szCs w:val="22"/>
        </w:rPr>
        <w:tab/>
      </w:r>
      <w:r w:rsidRPr="00DA5E13">
        <w:rPr>
          <w:sz w:val="22"/>
          <w:szCs w:val="22"/>
        </w:rPr>
        <w:sym w:font="Monotype Sorts" w:char="F071"/>
      </w:r>
    </w:p>
    <w:p w14:paraId="18729162" w14:textId="77777777" w:rsidR="000923BB" w:rsidRPr="00DA5E13" w:rsidRDefault="000923BB" w:rsidP="000923BB">
      <w:pPr>
        <w:pStyle w:val="Header"/>
        <w:tabs>
          <w:tab w:val="left" w:pos="2835"/>
          <w:tab w:val="left" w:pos="4820"/>
          <w:tab w:val="left" w:pos="6379"/>
          <w:tab w:val="left" w:pos="7371"/>
          <w:tab w:val="left" w:pos="9072"/>
        </w:tabs>
        <w:rPr>
          <w:sz w:val="22"/>
          <w:szCs w:val="22"/>
        </w:rPr>
      </w:pPr>
      <w:r w:rsidRPr="00DA5E13">
        <w:rPr>
          <w:sz w:val="22"/>
          <w:szCs w:val="22"/>
        </w:rPr>
        <w:tab/>
      </w:r>
      <w:r w:rsidRPr="00DA5E13">
        <w:rPr>
          <w:sz w:val="22"/>
          <w:szCs w:val="22"/>
        </w:rPr>
        <w:tab/>
      </w:r>
      <w:r w:rsidRPr="00DA5E13">
        <w:rPr>
          <w:sz w:val="22"/>
          <w:szCs w:val="22"/>
        </w:rPr>
        <w:tab/>
        <w:t>other</w:t>
      </w:r>
      <w:r w:rsidRPr="00DA5E13">
        <w:rPr>
          <w:sz w:val="22"/>
          <w:szCs w:val="22"/>
        </w:rPr>
        <w:tab/>
      </w:r>
      <w:r w:rsidRPr="00DA5E13">
        <w:rPr>
          <w:sz w:val="22"/>
          <w:szCs w:val="22"/>
        </w:rPr>
        <w:tab/>
      </w:r>
      <w:r w:rsidRPr="00DA5E13">
        <w:rPr>
          <w:sz w:val="22"/>
          <w:szCs w:val="22"/>
        </w:rPr>
        <w:sym w:font="Monotype Sorts" w:char="F071"/>
      </w:r>
    </w:p>
    <w:p w14:paraId="7E402C2C" w14:textId="77777777" w:rsidR="000923BB" w:rsidRPr="00DA5E13" w:rsidRDefault="000923BB" w:rsidP="000923BB">
      <w:pPr>
        <w:pStyle w:val="Header"/>
        <w:tabs>
          <w:tab w:val="left" w:pos="2835"/>
          <w:tab w:val="left" w:pos="4820"/>
          <w:tab w:val="left" w:pos="6379"/>
          <w:tab w:val="left" w:pos="7371"/>
          <w:tab w:val="left" w:pos="9072"/>
        </w:tabs>
        <w:rPr>
          <w:sz w:val="22"/>
          <w:szCs w:val="22"/>
        </w:rPr>
      </w:pPr>
      <w:r w:rsidRPr="00DA5E13">
        <w:rPr>
          <w:sz w:val="22"/>
          <w:szCs w:val="22"/>
        </w:rPr>
        <w:tab/>
      </w:r>
      <w:r w:rsidRPr="00DA5E13">
        <w:rPr>
          <w:sz w:val="22"/>
          <w:szCs w:val="22"/>
        </w:rPr>
        <w:tab/>
      </w:r>
      <w:r w:rsidRPr="00DA5E13">
        <w:rPr>
          <w:sz w:val="22"/>
          <w:szCs w:val="22"/>
        </w:rPr>
        <w:tab/>
        <w:t>not recorded</w:t>
      </w:r>
      <w:r w:rsidRPr="00DA5E13">
        <w:rPr>
          <w:sz w:val="22"/>
          <w:szCs w:val="22"/>
        </w:rPr>
        <w:tab/>
      </w:r>
      <w:r w:rsidRPr="00DA5E13">
        <w:rPr>
          <w:sz w:val="22"/>
          <w:szCs w:val="22"/>
        </w:rPr>
        <w:sym w:font="Monotype Sorts" w:char="F071"/>
      </w:r>
    </w:p>
    <w:p w14:paraId="7EEB9070" w14:textId="77777777" w:rsidR="000923BB" w:rsidRPr="005C4790" w:rsidRDefault="000923BB" w:rsidP="000923BB">
      <w:pPr>
        <w:pStyle w:val="Header"/>
        <w:jc w:val="center"/>
        <w:rPr>
          <w:rFonts w:cs="Arial"/>
          <w:b/>
          <w:sz w:val="28"/>
          <w:szCs w:val="28"/>
        </w:rPr>
      </w:pPr>
      <w:r>
        <w:rPr>
          <w:rFonts w:cs="Arial"/>
          <w:sz w:val="22"/>
          <w:szCs w:val="22"/>
        </w:rPr>
        <w:br w:type="page"/>
      </w:r>
      <w:r w:rsidRPr="005C4790">
        <w:rPr>
          <w:rFonts w:cs="Arial"/>
          <w:b/>
          <w:sz w:val="28"/>
          <w:szCs w:val="28"/>
        </w:rPr>
        <w:lastRenderedPageBreak/>
        <w:t xml:space="preserve">Appendix </w:t>
      </w:r>
      <w:r>
        <w:rPr>
          <w:rFonts w:cs="Arial"/>
          <w:b/>
          <w:sz w:val="28"/>
          <w:szCs w:val="28"/>
        </w:rPr>
        <w:t>2</w:t>
      </w:r>
    </w:p>
    <w:p w14:paraId="2E110DA7" w14:textId="77777777" w:rsidR="000923BB" w:rsidRPr="005C4790" w:rsidRDefault="000923BB" w:rsidP="000923BB">
      <w:pPr>
        <w:pStyle w:val="Header"/>
        <w:jc w:val="center"/>
        <w:rPr>
          <w:rFonts w:cs="Arial"/>
          <w:b/>
          <w:sz w:val="28"/>
          <w:szCs w:val="28"/>
        </w:rPr>
      </w:pPr>
    </w:p>
    <w:p w14:paraId="5F4587F9" w14:textId="77777777" w:rsidR="000923BB" w:rsidRPr="005C4790" w:rsidRDefault="000923BB" w:rsidP="000923BB">
      <w:pPr>
        <w:pStyle w:val="Header"/>
        <w:jc w:val="center"/>
        <w:rPr>
          <w:rFonts w:cs="Arial"/>
          <w:b/>
          <w:sz w:val="28"/>
          <w:szCs w:val="28"/>
        </w:rPr>
      </w:pPr>
      <w:r w:rsidRPr="005C4790">
        <w:rPr>
          <w:rFonts w:cs="Arial"/>
          <w:b/>
          <w:sz w:val="28"/>
          <w:szCs w:val="28"/>
        </w:rPr>
        <w:t>Heart failure review criteria</w:t>
      </w:r>
    </w:p>
    <w:p w14:paraId="097E402A" w14:textId="77777777" w:rsidR="000923BB" w:rsidRDefault="000923BB" w:rsidP="000923BB">
      <w:pPr>
        <w:pStyle w:val="Header"/>
        <w:rPr>
          <w:rFonts w:cs="Arial"/>
          <w:sz w:val="22"/>
          <w:szCs w:val="22"/>
        </w:rPr>
      </w:pPr>
    </w:p>
    <w:p w14:paraId="4B704387" w14:textId="77777777" w:rsidR="000923BB" w:rsidRDefault="000923BB" w:rsidP="000923BB">
      <w:pPr>
        <w:pStyle w:val="Header"/>
        <w:rPr>
          <w:b/>
          <w:i/>
          <w:sz w:val="32"/>
          <w:u w:val="single"/>
        </w:rPr>
      </w:pPr>
    </w:p>
    <w:p w14:paraId="2CDB7BB1" w14:textId="77777777" w:rsidR="000923BB" w:rsidRPr="004838D3" w:rsidRDefault="000923BB" w:rsidP="000923BB">
      <w:pPr>
        <w:autoSpaceDE w:val="0"/>
        <w:autoSpaceDN w:val="0"/>
        <w:adjustRightInd w:val="0"/>
        <w:spacing w:line="360" w:lineRule="auto"/>
        <w:rPr>
          <w:i/>
        </w:rPr>
      </w:pPr>
      <w:r w:rsidRPr="004838D3">
        <w:rPr>
          <w:i/>
          <w:noProof/>
        </w:rPr>
        <w:t xml:space="preserve">NICE  definition </w:t>
      </w:r>
      <w:r w:rsidRPr="004838D3">
        <w:rPr>
          <w:i/>
        </w:rPr>
        <w:t>of an exacerbation of Heart Failure: (Heart failure due to left ventricular systolic dysfunction)</w:t>
      </w:r>
    </w:p>
    <w:p w14:paraId="7B25137B" w14:textId="77777777" w:rsidR="000923BB" w:rsidRPr="004838D3" w:rsidRDefault="000923BB" w:rsidP="000923BB">
      <w:pPr>
        <w:pStyle w:val="Header"/>
        <w:rPr>
          <w:rFonts w:cs="Arial"/>
          <w:b/>
          <w:i/>
          <w:sz w:val="22"/>
          <w:szCs w:val="22"/>
          <w:u w:val="single"/>
        </w:rPr>
      </w:pPr>
    </w:p>
    <w:p w14:paraId="5869623F" w14:textId="77777777" w:rsidR="000923BB" w:rsidRPr="004838D3" w:rsidRDefault="000923BB" w:rsidP="000923BB">
      <w:pPr>
        <w:pStyle w:val="Header"/>
        <w:rPr>
          <w:rFonts w:cs="Arial"/>
          <w:i/>
          <w:noProof/>
          <w:sz w:val="22"/>
          <w:szCs w:val="22"/>
        </w:rPr>
      </w:pPr>
      <w:r w:rsidRPr="004838D3">
        <w:rPr>
          <w:rFonts w:cs="Arial"/>
          <w:i/>
          <w:noProof/>
          <w:sz w:val="22"/>
          <w:szCs w:val="22"/>
        </w:rPr>
        <w:t>ICD –10 -  I50.0, I50.1, I50.9, I11.0</w:t>
      </w:r>
    </w:p>
    <w:p w14:paraId="5DEB01CC" w14:textId="77777777" w:rsidR="000923BB" w:rsidRPr="004838D3" w:rsidRDefault="000923BB" w:rsidP="000923BB">
      <w:pPr>
        <w:autoSpaceDE w:val="0"/>
        <w:autoSpaceDN w:val="0"/>
        <w:adjustRightInd w:val="0"/>
        <w:spacing w:line="360" w:lineRule="auto"/>
        <w:rPr>
          <w:rFonts w:cs="Arial"/>
          <w:i/>
          <w:color w:val="000000"/>
          <w:sz w:val="22"/>
          <w:szCs w:val="22"/>
          <w:u w:val="single"/>
        </w:rPr>
      </w:pPr>
    </w:p>
    <w:p w14:paraId="1BB0D311" w14:textId="77777777" w:rsidR="000923BB" w:rsidRPr="00707CCD" w:rsidRDefault="000923BB" w:rsidP="000923BB">
      <w:pPr>
        <w:autoSpaceDE w:val="0"/>
        <w:autoSpaceDN w:val="0"/>
        <w:adjustRightInd w:val="0"/>
        <w:spacing w:line="360" w:lineRule="auto"/>
        <w:jc w:val="both"/>
        <w:rPr>
          <w:rFonts w:cs="Arial"/>
          <w:color w:val="000000"/>
          <w:sz w:val="22"/>
          <w:szCs w:val="22"/>
        </w:rPr>
      </w:pPr>
    </w:p>
    <w:p w14:paraId="699DF27D" w14:textId="77777777" w:rsidR="000923BB" w:rsidRPr="00707CCD" w:rsidRDefault="000923BB" w:rsidP="000923BB">
      <w:pPr>
        <w:autoSpaceDE w:val="0"/>
        <w:autoSpaceDN w:val="0"/>
        <w:adjustRightInd w:val="0"/>
        <w:spacing w:line="360" w:lineRule="auto"/>
        <w:jc w:val="both"/>
        <w:rPr>
          <w:rFonts w:cs="Arial"/>
          <w:sz w:val="22"/>
          <w:szCs w:val="22"/>
        </w:rPr>
      </w:pPr>
      <w:r w:rsidRPr="00707CCD">
        <w:rPr>
          <w:rFonts w:cs="Arial"/>
          <w:color w:val="000000"/>
          <w:sz w:val="22"/>
          <w:szCs w:val="22"/>
        </w:rPr>
        <w:t>"An exacerbation of heart failure is a sustained worsening of the patient's symptoms from their usual stable state which is beyond normal day-to-day variations, and is acute in onset. Commonly reported symptoms are worsening breathlessness, tiredness and swelling of the feet and/or ankles."</w:t>
      </w:r>
      <w:r>
        <w:rPr>
          <w:rFonts w:cs="Arial"/>
          <w:color w:val="000000"/>
          <w:sz w:val="22"/>
          <w:szCs w:val="22"/>
        </w:rPr>
        <w:t xml:space="preserve"> [23]</w:t>
      </w:r>
    </w:p>
    <w:p w14:paraId="6B6C91E7" w14:textId="77777777" w:rsidR="000923BB" w:rsidRDefault="000923BB" w:rsidP="000923BB">
      <w:pPr>
        <w:pStyle w:val="Header"/>
        <w:rPr>
          <w:noProof/>
        </w:rPr>
      </w:pPr>
    </w:p>
    <w:p w14:paraId="3F264BB8" w14:textId="77777777" w:rsidR="000923BB" w:rsidRPr="00DA5E13" w:rsidRDefault="000923BB" w:rsidP="000923BB">
      <w:pPr>
        <w:pStyle w:val="Header"/>
        <w:rPr>
          <w:b/>
          <w:u w:val="single"/>
        </w:rPr>
      </w:pPr>
      <w:r>
        <w:rPr>
          <w:noProof/>
        </w:rPr>
        <w:br w:type="page"/>
      </w:r>
      <w:r w:rsidRPr="00DA5E13">
        <w:rPr>
          <w:b/>
          <w:u w:val="single"/>
        </w:rPr>
        <w:lastRenderedPageBreak/>
        <w:t>Key data</w:t>
      </w:r>
    </w:p>
    <w:p w14:paraId="3B33B4F9" w14:textId="77777777" w:rsidR="000923BB" w:rsidRDefault="000923BB" w:rsidP="000923BB">
      <w:pPr>
        <w:pStyle w:val="Header"/>
        <w:tabs>
          <w:tab w:val="left" w:pos="2835"/>
          <w:tab w:val="left" w:pos="4820"/>
          <w:tab w:val="left" w:pos="6379"/>
          <w:tab w:val="left" w:pos="7371"/>
          <w:tab w:val="left" w:pos="9072"/>
        </w:tabs>
        <w:rPr>
          <w:sz w:val="28"/>
        </w:rPr>
      </w:pPr>
    </w:p>
    <w:p w14:paraId="49B29A36" w14:textId="77777777" w:rsidR="000923BB" w:rsidRDefault="000923BB" w:rsidP="000923BB">
      <w:pPr>
        <w:pStyle w:val="Header"/>
        <w:tabs>
          <w:tab w:val="left" w:pos="2835"/>
          <w:tab w:val="left" w:pos="4820"/>
          <w:tab w:val="left" w:pos="6379"/>
          <w:tab w:val="left" w:pos="7371"/>
          <w:tab w:val="left" w:pos="9072"/>
        </w:tabs>
        <w:rPr>
          <w:sz w:val="28"/>
        </w:rPr>
      </w:pPr>
    </w:p>
    <w:p w14:paraId="63D2D6B7" w14:textId="77777777" w:rsidR="000923BB" w:rsidRDefault="000923BB" w:rsidP="000923BB">
      <w:pPr>
        <w:pStyle w:val="Header"/>
        <w:tabs>
          <w:tab w:val="left" w:pos="2835"/>
          <w:tab w:val="left" w:pos="4820"/>
          <w:tab w:val="left" w:pos="6379"/>
          <w:tab w:val="left" w:pos="7371"/>
          <w:tab w:val="left" w:pos="9072"/>
        </w:tabs>
      </w:pPr>
    </w:p>
    <w:p w14:paraId="2A84272A" w14:textId="5ABC3F8E" w:rsidR="000923BB" w:rsidRDefault="00003011" w:rsidP="000923BB">
      <w:pPr>
        <w:pStyle w:val="Header"/>
        <w:pBdr>
          <w:top w:val="dotted" w:sz="4" w:space="10" w:color="auto"/>
        </w:pBdr>
        <w:tabs>
          <w:tab w:val="left" w:pos="2835"/>
          <w:tab w:val="left" w:pos="4820"/>
          <w:tab w:val="left" w:pos="6379"/>
          <w:tab w:val="left" w:pos="7371"/>
          <w:tab w:val="left" w:pos="9072"/>
        </w:tabs>
      </w:pPr>
      <w:r>
        <w:rPr>
          <w:noProof/>
        </w:rPr>
        <mc:AlternateContent>
          <mc:Choice Requires="wps">
            <w:drawing>
              <wp:anchor distT="0" distB="0" distL="114300" distR="114300" simplePos="0" relativeHeight="252643328" behindDoc="0" locked="0" layoutInCell="0" allowOverlap="1" wp14:anchorId="770AD5D1" wp14:editId="49AF076A">
                <wp:simplePos x="0" y="0"/>
                <wp:positionH relativeFrom="column">
                  <wp:posOffset>3117850</wp:posOffset>
                </wp:positionH>
                <wp:positionV relativeFrom="paragraph">
                  <wp:posOffset>121285</wp:posOffset>
                </wp:positionV>
                <wp:extent cx="1657350" cy="260985"/>
                <wp:effectExtent l="12700" t="13970" r="6350" b="10795"/>
                <wp:wrapNone/>
                <wp:docPr id="61" name="Rectangle 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60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729B8" id="Rectangle 1017" o:spid="_x0000_s1026" style="position:absolute;margin-left:245.5pt;margin-top:9.55pt;width:130.5pt;height:20.5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" o:allowincell="f"/>
            </w:pict>
          </mc:Fallback>
        </mc:AlternateContent>
      </w:r>
      <w:r w:rsidR="000923BB">
        <w:t>1. Audit record number</w:t>
      </w:r>
      <w:r w:rsidR="000923BB">
        <w:tab/>
      </w:r>
      <w:r w:rsidR="000923BB">
        <w:tab/>
      </w:r>
    </w:p>
    <w:p w14:paraId="2ADF3353" w14:textId="77777777" w:rsidR="000923BB" w:rsidRDefault="000923BB" w:rsidP="000923BB">
      <w:pPr>
        <w:pStyle w:val="Header"/>
        <w:tabs>
          <w:tab w:val="left" w:pos="2835"/>
          <w:tab w:val="left" w:pos="4820"/>
          <w:tab w:val="left" w:pos="6379"/>
          <w:tab w:val="left" w:pos="7371"/>
          <w:tab w:val="left" w:pos="9072"/>
        </w:tabs>
      </w:pPr>
      <w:r>
        <w:tab/>
      </w:r>
    </w:p>
    <w:p w14:paraId="4FC0D26A" w14:textId="549D485F" w:rsidR="000923BB" w:rsidRDefault="00003011" w:rsidP="000923BB">
      <w:pPr>
        <w:pStyle w:val="Header"/>
        <w:pBdr>
          <w:top w:val="dotted" w:sz="4" w:space="10" w:color="auto"/>
        </w:pBdr>
        <w:tabs>
          <w:tab w:val="left" w:pos="2835"/>
          <w:tab w:val="left" w:pos="4820"/>
          <w:tab w:val="left" w:pos="6379"/>
          <w:tab w:val="left" w:pos="7371"/>
          <w:tab w:val="left" w:pos="9072"/>
        </w:tabs>
      </w:pPr>
      <w:r>
        <w:rPr>
          <w:noProof/>
        </w:rPr>
        <mc:AlternateContent>
          <mc:Choice Requires="wps">
            <w:drawing>
              <wp:anchor distT="0" distB="0" distL="114300" distR="114300" simplePos="0" relativeHeight="252640256" behindDoc="0" locked="0" layoutInCell="0" allowOverlap="1" wp14:anchorId="75B9B213" wp14:editId="3C4F9894">
                <wp:simplePos x="0" y="0"/>
                <wp:positionH relativeFrom="column">
                  <wp:posOffset>3117850</wp:posOffset>
                </wp:positionH>
                <wp:positionV relativeFrom="paragraph">
                  <wp:posOffset>119380</wp:posOffset>
                </wp:positionV>
                <wp:extent cx="1657350" cy="260985"/>
                <wp:effectExtent l="12700" t="10160" r="6350" b="5080"/>
                <wp:wrapNone/>
                <wp:docPr id="60" name="Rectangle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60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3DAD9" id="Rectangle 1014" o:spid="_x0000_s1026" style="position:absolute;margin-left:245.5pt;margin-top:9.4pt;width:130.5pt;height:20.5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" o:allowincell="f"/>
            </w:pict>
          </mc:Fallback>
        </mc:AlternateContent>
      </w:r>
      <w:r w:rsidR="000923BB">
        <w:t>2. Hospital number</w:t>
      </w:r>
      <w:r w:rsidR="000923BB">
        <w:tab/>
      </w:r>
      <w:r w:rsidR="000923BB">
        <w:tab/>
      </w:r>
    </w:p>
    <w:p w14:paraId="33550F7D" w14:textId="77777777" w:rsidR="000923BB" w:rsidRDefault="000923BB" w:rsidP="000923BB">
      <w:pPr>
        <w:pStyle w:val="Header"/>
        <w:tabs>
          <w:tab w:val="left" w:pos="2835"/>
          <w:tab w:val="left" w:pos="4820"/>
          <w:tab w:val="left" w:pos="6379"/>
          <w:tab w:val="left" w:pos="7371"/>
          <w:tab w:val="left" w:pos="9072"/>
        </w:tabs>
      </w:pPr>
    </w:p>
    <w:p w14:paraId="61400639" w14:textId="5863A2A5" w:rsidR="000923BB" w:rsidRDefault="00003011" w:rsidP="000923BB">
      <w:pPr>
        <w:pStyle w:val="Header"/>
        <w:pBdr>
          <w:top w:val="dotted" w:sz="4" w:space="10" w:color="auto"/>
        </w:pBdr>
        <w:tabs>
          <w:tab w:val="left" w:pos="2835"/>
          <w:tab w:val="left" w:pos="4820"/>
          <w:tab w:val="left" w:pos="6379"/>
          <w:tab w:val="left" w:pos="7371"/>
          <w:tab w:val="left" w:pos="9072"/>
        </w:tabs>
      </w:pPr>
      <w:r>
        <w:rPr>
          <w:noProof/>
        </w:rPr>
        <mc:AlternateContent>
          <mc:Choice Requires="wps">
            <w:drawing>
              <wp:anchor distT="0" distB="0" distL="114300" distR="114300" simplePos="0" relativeHeight="252644352" behindDoc="0" locked="0" layoutInCell="0" allowOverlap="1" wp14:anchorId="6FF18C8B" wp14:editId="175CA647">
                <wp:simplePos x="0" y="0"/>
                <wp:positionH relativeFrom="column">
                  <wp:posOffset>3117850</wp:posOffset>
                </wp:positionH>
                <wp:positionV relativeFrom="paragraph">
                  <wp:posOffset>180975</wp:posOffset>
                </wp:positionV>
                <wp:extent cx="1657350" cy="260985"/>
                <wp:effectExtent l="12700" t="12700" r="6350" b="12065"/>
                <wp:wrapNone/>
                <wp:docPr id="59" name="Rectangle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60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80C99" id="Rectangle 1018" o:spid="_x0000_s1026" style="position:absolute;margin-left:245.5pt;margin-top:14.25pt;width:130.5pt;height:20.5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" o:allowincell="f"/>
            </w:pict>
          </mc:Fallback>
        </mc:AlternateContent>
      </w:r>
      <w:r w:rsidR="000923BB">
        <w:t>3. Date of birth</w:t>
      </w:r>
      <w:r w:rsidR="000923BB">
        <w:tab/>
      </w:r>
      <w:r w:rsidR="000923BB">
        <w:tab/>
      </w:r>
    </w:p>
    <w:p w14:paraId="703BB469" w14:textId="77777777" w:rsidR="000923BB" w:rsidRDefault="000923BB" w:rsidP="000923BB">
      <w:pPr>
        <w:pStyle w:val="Header"/>
        <w:pBdr>
          <w:top w:val="dotted" w:sz="4" w:space="10" w:color="auto"/>
        </w:pBdr>
        <w:tabs>
          <w:tab w:val="left" w:pos="2835"/>
          <w:tab w:val="left" w:pos="4820"/>
          <w:tab w:val="left" w:pos="6379"/>
          <w:tab w:val="left" w:pos="7371"/>
          <w:tab w:val="left" w:pos="9072"/>
        </w:tabs>
      </w:pPr>
      <w:r>
        <w:tab/>
      </w:r>
      <w:r>
        <w:tab/>
      </w:r>
    </w:p>
    <w:p w14:paraId="3D851C14" w14:textId="77777777" w:rsidR="000923BB" w:rsidRDefault="000923BB" w:rsidP="000923BB">
      <w:pPr>
        <w:pStyle w:val="Header"/>
        <w:tabs>
          <w:tab w:val="left" w:pos="2835"/>
          <w:tab w:val="left" w:pos="4820"/>
          <w:tab w:val="left" w:pos="6379"/>
          <w:tab w:val="left" w:pos="7371"/>
          <w:tab w:val="left" w:pos="9072"/>
        </w:tabs>
      </w:pPr>
    </w:p>
    <w:p w14:paraId="3692EF87" w14:textId="77777777" w:rsidR="000923BB" w:rsidRDefault="000923BB" w:rsidP="000923BB">
      <w:pPr>
        <w:pStyle w:val="Header"/>
        <w:pBdr>
          <w:top w:val="dotted" w:sz="4" w:space="10" w:color="auto"/>
        </w:pBdr>
        <w:tabs>
          <w:tab w:val="left" w:pos="2835"/>
          <w:tab w:val="left" w:pos="4820"/>
          <w:tab w:val="left" w:pos="6379"/>
          <w:tab w:val="left" w:pos="7371"/>
          <w:tab w:val="left" w:pos="9072"/>
        </w:tabs>
      </w:pPr>
      <w:r>
        <w:t>4. Gender</w:t>
      </w:r>
      <w:r>
        <w:tab/>
      </w:r>
    </w:p>
    <w:p w14:paraId="3DFBD3BA" w14:textId="77777777" w:rsidR="000923BB" w:rsidRDefault="000923BB" w:rsidP="000923BB">
      <w:pPr>
        <w:pStyle w:val="Header"/>
        <w:pBdr>
          <w:top w:val="dotted" w:sz="4" w:space="10" w:color="auto"/>
        </w:pBdr>
        <w:tabs>
          <w:tab w:val="left" w:pos="2835"/>
          <w:tab w:val="left" w:pos="4820"/>
          <w:tab w:val="left" w:pos="6379"/>
          <w:tab w:val="left" w:pos="7371"/>
          <w:tab w:val="left" w:pos="9072"/>
        </w:tabs>
      </w:pPr>
      <w:r>
        <w:tab/>
      </w:r>
      <w:r>
        <w:tab/>
      </w:r>
      <w:r>
        <w:tab/>
      </w:r>
      <w:r>
        <w:tab/>
        <w:t>male</w:t>
      </w:r>
      <w:r>
        <w:tab/>
      </w:r>
      <w:r>
        <w:sym w:font="Monotype Sorts" w:char="F071"/>
      </w:r>
    </w:p>
    <w:p w14:paraId="00F65D91" w14:textId="77777777" w:rsidR="000923BB" w:rsidRDefault="000923BB" w:rsidP="000923BB">
      <w:pPr>
        <w:pStyle w:val="Header"/>
        <w:pBdr>
          <w:top w:val="dotted" w:sz="4" w:space="10" w:color="auto"/>
        </w:pBdr>
        <w:tabs>
          <w:tab w:val="left" w:pos="2835"/>
          <w:tab w:val="left" w:pos="4820"/>
          <w:tab w:val="left" w:pos="6379"/>
          <w:tab w:val="left" w:pos="7371"/>
          <w:tab w:val="left" w:pos="9072"/>
        </w:tabs>
      </w:pPr>
      <w:r>
        <w:tab/>
      </w:r>
      <w:r>
        <w:tab/>
      </w:r>
      <w:r>
        <w:tab/>
      </w:r>
      <w:r>
        <w:tab/>
        <w:t>female</w:t>
      </w:r>
      <w:r>
        <w:tab/>
      </w:r>
      <w:r>
        <w:sym w:font="Monotype Sorts" w:char="F071"/>
      </w:r>
    </w:p>
    <w:p w14:paraId="067032BC" w14:textId="77777777" w:rsidR="000923BB" w:rsidRDefault="000923BB" w:rsidP="000923BB">
      <w:pPr>
        <w:pStyle w:val="Header"/>
        <w:tabs>
          <w:tab w:val="left" w:pos="2835"/>
          <w:tab w:val="left" w:pos="4820"/>
          <w:tab w:val="left" w:pos="6379"/>
          <w:tab w:val="left" w:pos="7371"/>
          <w:tab w:val="left" w:pos="9072"/>
        </w:tabs>
      </w:pPr>
    </w:p>
    <w:p w14:paraId="19570C79" w14:textId="76294DFC" w:rsidR="000923BB" w:rsidRDefault="00003011" w:rsidP="000923BB">
      <w:pPr>
        <w:pStyle w:val="Header"/>
        <w:pBdr>
          <w:top w:val="dotted" w:sz="4" w:space="10" w:color="auto"/>
        </w:pBdr>
        <w:tabs>
          <w:tab w:val="left" w:pos="2835"/>
          <w:tab w:val="left" w:pos="4820"/>
          <w:tab w:val="left" w:pos="6379"/>
          <w:tab w:val="left" w:pos="7371"/>
          <w:tab w:val="left" w:pos="9072"/>
        </w:tabs>
      </w:pPr>
      <w:r>
        <w:rPr>
          <w:noProof/>
        </w:rPr>
        <mc:AlternateContent>
          <mc:Choice Requires="wps">
            <w:drawing>
              <wp:anchor distT="0" distB="0" distL="114300" distR="114300" simplePos="0" relativeHeight="252641280" behindDoc="0" locked="0" layoutInCell="0" allowOverlap="1" wp14:anchorId="20A9A443" wp14:editId="2C849A89">
                <wp:simplePos x="0" y="0"/>
                <wp:positionH relativeFrom="column">
                  <wp:posOffset>3117850</wp:posOffset>
                </wp:positionH>
                <wp:positionV relativeFrom="paragraph">
                  <wp:posOffset>85090</wp:posOffset>
                </wp:positionV>
                <wp:extent cx="1657350" cy="260985"/>
                <wp:effectExtent l="12700" t="7620" r="6350" b="7620"/>
                <wp:wrapNone/>
                <wp:docPr id="58" name="Rectangle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60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B8BF7" id="Rectangle 1015" o:spid="_x0000_s1026" style="position:absolute;margin-left:245.5pt;margin-top:6.7pt;width:130.5pt;height:20.5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" o:allowincell="f"/>
            </w:pict>
          </mc:Fallback>
        </mc:AlternateContent>
      </w:r>
      <w:r w:rsidR="000923BB">
        <w:t>5. First part of patient’s postcode</w:t>
      </w:r>
      <w:r w:rsidR="000923BB">
        <w:tab/>
      </w:r>
    </w:p>
    <w:p w14:paraId="3B864971" w14:textId="77777777" w:rsidR="000923BB" w:rsidRDefault="000923BB" w:rsidP="000923BB">
      <w:pPr>
        <w:pStyle w:val="Header"/>
        <w:pBdr>
          <w:top w:val="dotted" w:sz="4" w:space="10" w:color="auto"/>
        </w:pBdr>
        <w:tabs>
          <w:tab w:val="left" w:pos="2835"/>
          <w:tab w:val="left" w:pos="4820"/>
          <w:tab w:val="left" w:pos="6379"/>
          <w:tab w:val="left" w:pos="7371"/>
          <w:tab w:val="left" w:pos="9072"/>
        </w:tabs>
      </w:pPr>
    </w:p>
    <w:p w14:paraId="29BC5990" w14:textId="77777777" w:rsidR="000923BB" w:rsidRDefault="000923BB" w:rsidP="000923BB">
      <w:pPr>
        <w:pStyle w:val="Header"/>
        <w:tabs>
          <w:tab w:val="left" w:pos="2835"/>
          <w:tab w:val="left" w:pos="4820"/>
          <w:tab w:val="left" w:pos="6379"/>
          <w:tab w:val="left" w:pos="7371"/>
          <w:tab w:val="left" w:pos="9072"/>
        </w:tabs>
      </w:pPr>
    </w:p>
    <w:p w14:paraId="39C4A960" w14:textId="75F6F067" w:rsidR="000923BB" w:rsidRDefault="00003011" w:rsidP="000923BB">
      <w:pPr>
        <w:pStyle w:val="Header"/>
        <w:pBdr>
          <w:top w:val="dotted" w:sz="4" w:space="10" w:color="auto"/>
        </w:pBdr>
        <w:tabs>
          <w:tab w:val="left" w:pos="2835"/>
          <w:tab w:val="left" w:pos="4820"/>
          <w:tab w:val="left" w:pos="6379"/>
          <w:tab w:val="left" w:pos="7371"/>
          <w:tab w:val="left" w:pos="9072"/>
        </w:tabs>
      </w:pPr>
      <w:r>
        <w:rPr>
          <w:noProof/>
        </w:rPr>
        <mc:AlternateContent>
          <mc:Choice Requires="wps">
            <w:drawing>
              <wp:anchor distT="0" distB="0" distL="114300" distR="114300" simplePos="0" relativeHeight="252642304" behindDoc="0" locked="0" layoutInCell="0" allowOverlap="1" wp14:anchorId="270F6A3E" wp14:editId="324E03DC">
                <wp:simplePos x="0" y="0"/>
                <wp:positionH relativeFrom="column">
                  <wp:posOffset>3171825</wp:posOffset>
                </wp:positionH>
                <wp:positionV relativeFrom="paragraph">
                  <wp:posOffset>71755</wp:posOffset>
                </wp:positionV>
                <wp:extent cx="1657350" cy="260985"/>
                <wp:effectExtent l="9525" t="5715" r="9525" b="9525"/>
                <wp:wrapNone/>
                <wp:docPr id="57" name="Rectangle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60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2435D" id="Rectangle 1016" o:spid="_x0000_s1026" style="position:absolute;margin-left:249.75pt;margin-top:5.65pt;width:130.5pt;height:20.5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" o:allowincell="f"/>
            </w:pict>
          </mc:Fallback>
        </mc:AlternateContent>
      </w:r>
      <w:r w:rsidR="000923BB">
        <w:t>6. Date of admission to hospital</w:t>
      </w:r>
      <w:r w:rsidR="000923BB">
        <w:tab/>
      </w:r>
      <w:r w:rsidR="000923BB">
        <w:tab/>
      </w:r>
    </w:p>
    <w:p w14:paraId="48A2AD54" w14:textId="77777777" w:rsidR="000923BB" w:rsidRDefault="000923BB" w:rsidP="000923BB">
      <w:pPr>
        <w:pStyle w:val="Header"/>
        <w:pBdr>
          <w:top w:val="dotted" w:sz="4" w:space="10" w:color="auto"/>
        </w:pBdr>
        <w:tabs>
          <w:tab w:val="left" w:pos="2835"/>
          <w:tab w:val="left" w:pos="4820"/>
          <w:tab w:val="left" w:pos="6379"/>
          <w:tab w:val="left" w:pos="7371"/>
          <w:tab w:val="left" w:pos="9072"/>
        </w:tabs>
      </w:pPr>
    </w:p>
    <w:p w14:paraId="23E0471C" w14:textId="77777777" w:rsidR="000923BB" w:rsidRDefault="000923BB" w:rsidP="000923BB">
      <w:pPr>
        <w:pStyle w:val="Header"/>
        <w:tabs>
          <w:tab w:val="left" w:pos="2835"/>
          <w:tab w:val="left" w:pos="4820"/>
          <w:tab w:val="left" w:pos="6379"/>
          <w:tab w:val="left" w:pos="7371"/>
          <w:tab w:val="left" w:pos="9072"/>
        </w:tabs>
      </w:pPr>
    </w:p>
    <w:p w14:paraId="6E14BD9C" w14:textId="77777777" w:rsidR="000923BB" w:rsidRDefault="000923BB" w:rsidP="000923BB">
      <w:pPr>
        <w:pStyle w:val="Header"/>
        <w:pBdr>
          <w:top w:val="dotted" w:sz="4" w:space="10" w:color="auto"/>
        </w:pBdr>
        <w:tabs>
          <w:tab w:val="left" w:pos="2835"/>
          <w:tab w:val="left" w:pos="4820"/>
          <w:tab w:val="left" w:pos="6379"/>
          <w:tab w:val="left" w:pos="7371"/>
          <w:tab w:val="left" w:pos="9072"/>
        </w:tabs>
      </w:pPr>
      <w:r>
        <w:t>7. Did the patient die during this admission</w:t>
      </w:r>
      <w:r>
        <w:tab/>
      </w:r>
    </w:p>
    <w:p w14:paraId="2CBAEB9B" w14:textId="77777777" w:rsidR="000923BB" w:rsidRDefault="000923BB" w:rsidP="000923BB">
      <w:pPr>
        <w:pStyle w:val="Header"/>
        <w:tabs>
          <w:tab w:val="left" w:pos="2835"/>
          <w:tab w:val="left" w:pos="4820"/>
          <w:tab w:val="left" w:pos="6379"/>
          <w:tab w:val="left" w:pos="7371"/>
          <w:tab w:val="left" w:pos="9072"/>
        </w:tabs>
        <w:ind w:left="720"/>
      </w:pPr>
      <w:r>
        <w:tab/>
      </w:r>
      <w:r>
        <w:tab/>
      </w:r>
      <w:r>
        <w:tab/>
      </w:r>
      <w:r>
        <w:tab/>
        <w:t>yes</w:t>
      </w:r>
      <w:r>
        <w:tab/>
      </w:r>
      <w:r>
        <w:sym w:font="Monotype Sorts" w:char="F071"/>
      </w:r>
    </w:p>
    <w:p w14:paraId="19ED5C5F" w14:textId="77777777" w:rsidR="000923BB" w:rsidRDefault="000923BB" w:rsidP="000923BB">
      <w:pPr>
        <w:pStyle w:val="Header"/>
        <w:tabs>
          <w:tab w:val="left" w:pos="2835"/>
          <w:tab w:val="left" w:pos="4820"/>
          <w:tab w:val="left" w:pos="6379"/>
          <w:tab w:val="left" w:pos="7371"/>
          <w:tab w:val="left" w:pos="9072"/>
        </w:tabs>
      </w:pPr>
      <w:r>
        <w:tab/>
      </w:r>
      <w:r>
        <w:tab/>
      </w:r>
      <w:r>
        <w:tab/>
      </w:r>
      <w:r>
        <w:tab/>
        <w:t>no</w:t>
      </w:r>
      <w:r>
        <w:tab/>
      </w:r>
      <w:r>
        <w:sym w:font="Monotype Sorts" w:char="F071"/>
      </w:r>
    </w:p>
    <w:p w14:paraId="41FD71CB" w14:textId="77777777" w:rsidR="000923BB" w:rsidRDefault="000923BB" w:rsidP="000923BB">
      <w:pPr>
        <w:pStyle w:val="Header"/>
        <w:tabs>
          <w:tab w:val="left" w:pos="2835"/>
          <w:tab w:val="left" w:pos="4820"/>
          <w:tab w:val="left" w:pos="6379"/>
          <w:tab w:val="left" w:pos="7371"/>
          <w:tab w:val="left" w:pos="9072"/>
        </w:tabs>
        <w:ind w:left="720"/>
      </w:pPr>
    </w:p>
    <w:p w14:paraId="330344F3" w14:textId="77777777" w:rsidR="000923BB" w:rsidRDefault="000923BB" w:rsidP="000923BB">
      <w:pPr>
        <w:pStyle w:val="Header"/>
        <w:tabs>
          <w:tab w:val="left" w:pos="2835"/>
          <w:tab w:val="left" w:pos="4820"/>
          <w:tab w:val="left" w:pos="6379"/>
          <w:tab w:val="left" w:pos="7371"/>
          <w:tab w:val="left" w:pos="9072"/>
        </w:tabs>
        <w:ind w:left="720"/>
      </w:pPr>
      <w:r>
        <w:t>If yes, was the recorded cause of death</w:t>
      </w:r>
      <w:r>
        <w:tab/>
      </w:r>
    </w:p>
    <w:p w14:paraId="1F78EDB4" w14:textId="77777777" w:rsidR="000923BB" w:rsidRDefault="000923BB" w:rsidP="000923BB">
      <w:pPr>
        <w:pStyle w:val="Header"/>
        <w:tabs>
          <w:tab w:val="left" w:pos="2835"/>
          <w:tab w:val="left" w:pos="4111"/>
          <w:tab w:val="left" w:pos="6379"/>
          <w:tab w:val="left" w:pos="7371"/>
          <w:tab w:val="left" w:pos="9072"/>
        </w:tabs>
        <w:ind w:left="720"/>
      </w:pPr>
      <w:r>
        <w:tab/>
      </w:r>
      <w:r>
        <w:tab/>
        <w:t>heart failure or complications of heart failure</w:t>
      </w:r>
      <w:r>
        <w:tab/>
      </w:r>
      <w:r>
        <w:sym w:font="Monotype Sorts" w:char="F071"/>
      </w:r>
    </w:p>
    <w:p w14:paraId="7D43DA8B" w14:textId="77777777" w:rsidR="000923BB" w:rsidRDefault="007D7C0C" w:rsidP="000923BB">
      <w:pPr>
        <w:pStyle w:val="Header"/>
        <w:tabs>
          <w:tab w:val="left" w:pos="2835"/>
          <w:tab w:val="left" w:pos="4111"/>
          <w:tab w:val="left" w:pos="6379"/>
          <w:tab w:val="left" w:pos="7371"/>
          <w:tab w:val="left" w:pos="9072"/>
        </w:tabs>
        <w:ind w:left="720"/>
      </w:pPr>
      <w:r>
        <w:tab/>
      </w:r>
      <w:r>
        <w:tab/>
        <w:t>other cause(s)</w:t>
      </w:r>
      <w:r>
        <w:tab/>
      </w:r>
      <w:r>
        <w:tab/>
      </w:r>
      <w:r w:rsidR="000923BB">
        <w:sym w:font="Monotype Sorts" w:char="F071"/>
      </w:r>
    </w:p>
    <w:p w14:paraId="2F2403A1" w14:textId="77777777" w:rsidR="000923BB" w:rsidRDefault="007D7C0C" w:rsidP="000923BB">
      <w:pPr>
        <w:pStyle w:val="Header"/>
        <w:tabs>
          <w:tab w:val="left" w:pos="2835"/>
          <w:tab w:val="left" w:pos="4111"/>
          <w:tab w:val="left" w:pos="6379"/>
          <w:tab w:val="left" w:pos="7371"/>
          <w:tab w:val="left" w:pos="9072"/>
        </w:tabs>
        <w:ind w:left="720"/>
      </w:pPr>
      <w:r>
        <w:tab/>
      </w:r>
      <w:r>
        <w:tab/>
        <w:t>not recorded</w:t>
      </w:r>
      <w:r>
        <w:tab/>
      </w:r>
      <w:r>
        <w:tab/>
      </w:r>
      <w:r w:rsidR="000923BB">
        <w:sym w:font="Monotype Sorts" w:char="F071"/>
      </w:r>
    </w:p>
    <w:p w14:paraId="13ABF828" w14:textId="77777777" w:rsidR="000923BB" w:rsidRDefault="000923BB" w:rsidP="000923BB">
      <w:pPr>
        <w:pStyle w:val="Header"/>
        <w:tabs>
          <w:tab w:val="left" w:pos="2835"/>
          <w:tab w:val="left" w:pos="4111"/>
          <w:tab w:val="left" w:pos="6379"/>
          <w:tab w:val="left" w:pos="7371"/>
          <w:tab w:val="left" w:pos="9072"/>
        </w:tabs>
        <w:ind w:left="720"/>
      </w:pPr>
    </w:p>
    <w:p w14:paraId="475BC0A4" w14:textId="77777777" w:rsidR="000923BB" w:rsidRDefault="000923BB" w:rsidP="000923BB">
      <w:pPr>
        <w:pStyle w:val="Header"/>
        <w:pBdr>
          <w:top w:val="dotted" w:sz="4" w:space="10" w:color="auto"/>
        </w:pBdr>
        <w:tabs>
          <w:tab w:val="left" w:pos="2835"/>
          <w:tab w:val="left" w:pos="4820"/>
          <w:tab w:val="left" w:pos="6379"/>
          <w:tab w:val="left" w:pos="7371"/>
          <w:tab w:val="left" w:pos="9072"/>
        </w:tabs>
      </w:pPr>
    </w:p>
    <w:p w14:paraId="25FA3091" w14:textId="77777777" w:rsidR="000923BB" w:rsidRDefault="000923BB" w:rsidP="000923BB">
      <w:pPr>
        <w:pStyle w:val="Header"/>
        <w:pBdr>
          <w:top w:val="dotted" w:sz="4" w:space="10" w:color="auto"/>
        </w:pBdr>
        <w:tabs>
          <w:tab w:val="left" w:pos="2835"/>
          <w:tab w:val="left" w:pos="4820"/>
          <w:tab w:val="left" w:pos="6379"/>
          <w:tab w:val="left" w:pos="7371"/>
          <w:tab w:val="left" w:pos="9072"/>
        </w:tabs>
      </w:pPr>
      <w:r>
        <w:t>8. Date of discharge from hospital (or death if applicable)</w:t>
      </w:r>
      <w:r>
        <w:tab/>
      </w:r>
      <w:r>
        <w:tab/>
      </w:r>
      <w:r>
        <w:tab/>
      </w:r>
    </w:p>
    <w:p w14:paraId="0A25EE1D" w14:textId="77777777" w:rsidR="000923BB" w:rsidRDefault="000923BB" w:rsidP="000923BB">
      <w:pPr>
        <w:pStyle w:val="Header"/>
        <w:tabs>
          <w:tab w:val="left" w:pos="2835"/>
          <w:tab w:val="left" w:pos="4820"/>
          <w:tab w:val="left" w:pos="6379"/>
          <w:tab w:val="left" w:pos="7371"/>
          <w:tab w:val="left" w:pos="9072"/>
        </w:tabs>
      </w:pPr>
    </w:p>
    <w:p w14:paraId="6C2C944B" w14:textId="47467465" w:rsidR="000923BB" w:rsidRDefault="00003011" w:rsidP="000923BB">
      <w:pPr>
        <w:pStyle w:val="Header"/>
        <w:tabs>
          <w:tab w:val="left" w:pos="2835"/>
          <w:tab w:val="left" w:pos="4820"/>
          <w:tab w:val="left" w:pos="6379"/>
          <w:tab w:val="left" w:pos="7371"/>
          <w:tab w:val="left" w:pos="9072"/>
        </w:tabs>
      </w:pPr>
      <w:r>
        <w:rPr>
          <w:noProof/>
        </w:rPr>
        <mc:AlternateContent>
          <mc:Choice Requires="wps">
            <w:drawing>
              <wp:anchor distT="0" distB="0" distL="114300" distR="114300" simplePos="0" relativeHeight="252647424" behindDoc="0" locked="0" layoutInCell="0" allowOverlap="1" wp14:anchorId="156BA671" wp14:editId="4DA17D08">
                <wp:simplePos x="0" y="0"/>
                <wp:positionH relativeFrom="column">
                  <wp:posOffset>1915795</wp:posOffset>
                </wp:positionH>
                <wp:positionV relativeFrom="paragraph">
                  <wp:posOffset>99695</wp:posOffset>
                </wp:positionV>
                <wp:extent cx="1657350" cy="260985"/>
                <wp:effectExtent l="10795" t="12700" r="8255" b="12065"/>
                <wp:wrapNone/>
                <wp:docPr id="56" name="Rectangle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60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9A3C4" id="Rectangle 1021" o:spid="_x0000_s1026" style="position:absolute;margin-left:150.85pt;margin-top:7.85pt;width:130.5pt;height:20.5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" o:allowincell="f"/>
            </w:pict>
          </mc:Fallback>
        </mc:AlternateContent>
      </w:r>
    </w:p>
    <w:p w14:paraId="0541DF36" w14:textId="77777777" w:rsidR="000923BB" w:rsidRDefault="000923BB" w:rsidP="000923BB">
      <w:pPr>
        <w:pStyle w:val="Header"/>
        <w:tabs>
          <w:tab w:val="left" w:pos="2835"/>
          <w:tab w:val="left" w:pos="4820"/>
          <w:tab w:val="left" w:pos="6379"/>
          <w:tab w:val="left" w:pos="7371"/>
          <w:tab w:val="left" w:pos="9072"/>
        </w:tabs>
      </w:pPr>
    </w:p>
    <w:p w14:paraId="4B1CC5B3" w14:textId="77777777" w:rsidR="000923BB" w:rsidRDefault="000923BB" w:rsidP="000923BB">
      <w:pPr>
        <w:pStyle w:val="Header"/>
        <w:tabs>
          <w:tab w:val="left" w:pos="2835"/>
          <w:tab w:val="left" w:pos="4820"/>
          <w:tab w:val="left" w:pos="6379"/>
          <w:tab w:val="left" w:pos="7371"/>
          <w:tab w:val="left" w:pos="9072"/>
        </w:tabs>
      </w:pPr>
    </w:p>
    <w:p w14:paraId="29D94EE0" w14:textId="77777777" w:rsidR="000923BB" w:rsidRDefault="000923BB" w:rsidP="000923BB">
      <w:pPr>
        <w:pStyle w:val="Header"/>
        <w:tabs>
          <w:tab w:val="left" w:pos="2835"/>
          <w:tab w:val="left" w:pos="4820"/>
          <w:tab w:val="left" w:pos="6379"/>
          <w:tab w:val="left" w:pos="7371"/>
          <w:tab w:val="left" w:pos="9072"/>
        </w:tabs>
      </w:pPr>
    </w:p>
    <w:p w14:paraId="10B3C1F7" w14:textId="77777777" w:rsidR="000923BB" w:rsidRDefault="000923BB" w:rsidP="000923BB">
      <w:pPr>
        <w:pStyle w:val="Header"/>
        <w:tabs>
          <w:tab w:val="left" w:pos="2835"/>
          <w:tab w:val="left" w:pos="4820"/>
          <w:tab w:val="left" w:pos="6379"/>
          <w:tab w:val="left" w:pos="7371"/>
          <w:tab w:val="left" w:pos="9072"/>
        </w:tabs>
      </w:pPr>
    </w:p>
    <w:p w14:paraId="5B24EB5C" w14:textId="77777777" w:rsidR="000923BB" w:rsidRDefault="000923BB" w:rsidP="000923BB">
      <w:pPr>
        <w:pStyle w:val="Header"/>
        <w:tabs>
          <w:tab w:val="left" w:pos="2835"/>
          <w:tab w:val="left" w:pos="4820"/>
          <w:tab w:val="left" w:pos="6379"/>
          <w:tab w:val="left" w:pos="7371"/>
          <w:tab w:val="left" w:pos="9072"/>
        </w:tabs>
      </w:pPr>
    </w:p>
    <w:p w14:paraId="3265FEF7" w14:textId="77777777" w:rsidR="000923BB" w:rsidRDefault="000923BB" w:rsidP="000923BB">
      <w:pPr>
        <w:pStyle w:val="Header"/>
        <w:keepNext/>
        <w:tabs>
          <w:tab w:val="left" w:pos="2835"/>
          <w:tab w:val="left" w:pos="4820"/>
          <w:tab w:val="left" w:pos="6379"/>
          <w:tab w:val="left" w:pos="7371"/>
          <w:tab w:val="left" w:pos="9072"/>
        </w:tabs>
        <w:rPr>
          <w:b/>
          <w:sz w:val="32"/>
          <w:u w:val="single"/>
        </w:rPr>
      </w:pPr>
      <w:r>
        <w:rPr>
          <w:b/>
          <w:sz w:val="32"/>
          <w:u w:val="single"/>
        </w:rPr>
        <w:br w:type="page"/>
      </w:r>
      <w:r>
        <w:rPr>
          <w:b/>
          <w:sz w:val="32"/>
          <w:u w:val="single"/>
        </w:rPr>
        <w:lastRenderedPageBreak/>
        <w:t>Patient history</w:t>
      </w:r>
    </w:p>
    <w:p w14:paraId="0DF31BB5" w14:textId="77777777" w:rsidR="000923BB" w:rsidRDefault="000923BB" w:rsidP="000923BB">
      <w:pPr>
        <w:pStyle w:val="Header"/>
        <w:tabs>
          <w:tab w:val="left" w:pos="2835"/>
          <w:tab w:val="left" w:pos="4253"/>
          <w:tab w:val="left" w:pos="6237"/>
          <w:tab w:val="left" w:pos="9072"/>
        </w:tabs>
      </w:pPr>
    </w:p>
    <w:p w14:paraId="427A974A" w14:textId="77777777" w:rsidR="000923BB" w:rsidRDefault="000923BB" w:rsidP="000923BB">
      <w:pPr>
        <w:pStyle w:val="Header"/>
        <w:pBdr>
          <w:top w:val="dotted" w:sz="4" w:space="10" w:color="auto"/>
        </w:pBdr>
        <w:tabs>
          <w:tab w:val="left" w:pos="2835"/>
          <w:tab w:val="left" w:pos="4820"/>
          <w:tab w:val="left" w:pos="5954"/>
          <w:tab w:val="left" w:pos="7371"/>
          <w:tab w:val="left" w:pos="9072"/>
        </w:tabs>
      </w:pPr>
      <w:r>
        <w:t>9. What is the patient’s smoking status</w:t>
      </w:r>
      <w:r>
        <w:tab/>
        <w:t xml:space="preserve">current smoker </w:t>
      </w:r>
      <w:r>
        <w:tab/>
      </w:r>
      <w:r>
        <w:tab/>
      </w:r>
      <w:r>
        <w:sym w:font="Monotype Sorts" w:char="F071"/>
      </w:r>
    </w:p>
    <w:p w14:paraId="740AD5FC" w14:textId="77777777" w:rsidR="000923BB" w:rsidRDefault="000923BB" w:rsidP="000923BB">
      <w:pPr>
        <w:pStyle w:val="Header"/>
        <w:tabs>
          <w:tab w:val="left" w:pos="2835"/>
          <w:tab w:val="left" w:pos="4820"/>
          <w:tab w:val="left" w:pos="5954"/>
          <w:tab w:val="left" w:pos="7371"/>
          <w:tab w:val="left" w:pos="9072"/>
        </w:tabs>
      </w:pPr>
      <w:r>
        <w:tab/>
      </w:r>
      <w:r>
        <w:tab/>
        <w:t>ex smoker (</w:t>
      </w:r>
      <w:r>
        <w:rPr>
          <w:sz w:val="22"/>
        </w:rPr>
        <w:t>stopped more than 3 months</w:t>
      </w:r>
      <w:r>
        <w:t>)</w:t>
      </w:r>
      <w:r>
        <w:tab/>
      </w:r>
      <w:r>
        <w:sym w:font="Monotype Sorts" w:char="F071"/>
      </w:r>
    </w:p>
    <w:p w14:paraId="5EC01829" w14:textId="77777777" w:rsidR="000923BB" w:rsidRDefault="000923BB" w:rsidP="000923BB">
      <w:pPr>
        <w:pStyle w:val="Header"/>
        <w:tabs>
          <w:tab w:val="left" w:pos="2835"/>
          <w:tab w:val="left" w:pos="4820"/>
          <w:tab w:val="left" w:pos="5954"/>
          <w:tab w:val="left" w:pos="7371"/>
          <w:tab w:val="left" w:pos="9072"/>
        </w:tabs>
      </w:pPr>
      <w:r>
        <w:tab/>
      </w:r>
      <w:r>
        <w:tab/>
      </w:r>
      <w:r>
        <w:tab/>
        <w:t>life long non-smoker</w:t>
      </w:r>
      <w:r>
        <w:tab/>
      </w:r>
      <w:r>
        <w:sym w:font="Monotype Sorts" w:char="F071"/>
      </w:r>
    </w:p>
    <w:p w14:paraId="0A6BC13A" w14:textId="77777777" w:rsidR="000923BB" w:rsidRDefault="007D7C0C" w:rsidP="000923BB">
      <w:pPr>
        <w:pStyle w:val="Header"/>
        <w:tabs>
          <w:tab w:val="left" w:pos="2835"/>
          <w:tab w:val="left" w:pos="4820"/>
          <w:tab w:val="left" w:pos="5954"/>
          <w:tab w:val="left" w:pos="7371"/>
          <w:tab w:val="left" w:pos="9072"/>
        </w:tabs>
      </w:pPr>
      <w:r>
        <w:tab/>
      </w:r>
      <w:r>
        <w:tab/>
      </w:r>
      <w:r w:rsidR="000923BB">
        <w:t>not recorded</w:t>
      </w:r>
      <w:r w:rsidR="000923BB">
        <w:tab/>
      </w:r>
      <w:r w:rsidR="000923BB">
        <w:tab/>
      </w:r>
      <w:r w:rsidR="000923BB">
        <w:sym w:font="Monotype Sorts" w:char="F071"/>
      </w:r>
    </w:p>
    <w:p w14:paraId="62E089DC" w14:textId="77777777" w:rsidR="000923BB" w:rsidRDefault="000923BB" w:rsidP="000923BB">
      <w:pPr>
        <w:pStyle w:val="Header"/>
        <w:tabs>
          <w:tab w:val="left" w:pos="2835"/>
          <w:tab w:val="left" w:pos="4820"/>
          <w:tab w:val="left" w:pos="6379"/>
          <w:tab w:val="left" w:pos="7371"/>
          <w:tab w:val="left" w:pos="9072"/>
        </w:tabs>
      </w:pPr>
    </w:p>
    <w:p w14:paraId="5B15BB2D" w14:textId="3F425840" w:rsidR="000923BB" w:rsidRDefault="00003011" w:rsidP="000923BB">
      <w:pPr>
        <w:pStyle w:val="Header"/>
        <w:tabs>
          <w:tab w:val="left" w:pos="2835"/>
          <w:tab w:val="left" w:pos="4820"/>
          <w:tab w:val="left" w:pos="6379"/>
          <w:tab w:val="left" w:pos="7371"/>
          <w:tab w:val="left" w:pos="9072"/>
        </w:tabs>
        <w:ind w:left="720"/>
      </w:pPr>
      <w:r>
        <w:rPr>
          <w:noProof/>
        </w:rPr>
        <mc:AlternateContent>
          <mc:Choice Requires="wps">
            <w:drawing>
              <wp:anchor distT="0" distB="0" distL="114300" distR="114300" simplePos="0" relativeHeight="252650496" behindDoc="0" locked="0" layoutInCell="0" allowOverlap="1" wp14:anchorId="5DDCEF54" wp14:editId="68131610">
                <wp:simplePos x="0" y="0"/>
                <wp:positionH relativeFrom="column">
                  <wp:posOffset>3571240</wp:posOffset>
                </wp:positionH>
                <wp:positionV relativeFrom="paragraph">
                  <wp:posOffset>144145</wp:posOffset>
                </wp:positionV>
                <wp:extent cx="1183005" cy="260985"/>
                <wp:effectExtent l="8890" t="5715" r="8255" b="9525"/>
                <wp:wrapNone/>
                <wp:docPr id="48" name="Rectangle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3005" cy="260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48D90" id="Rectangle 1024" o:spid="_x0000_s1026" style="position:absolute;margin-left:281.2pt;margin-top:11.35pt;width:93.15pt;height:20.5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" o:allowincell="f"/>
            </w:pict>
          </mc:Fallback>
        </mc:AlternateContent>
      </w:r>
      <w:r w:rsidR="000923BB">
        <w:t>If current or ex-smoker,</w:t>
      </w:r>
    </w:p>
    <w:p w14:paraId="6BBA89A8" w14:textId="77777777" w:rsidR="000923BB" w:rsidRDefault="000923BB" w:rsidP="000923BB">
      <w:pPr>
        <w:pStyle w:val="Header"/>
        <w:tabs>
          <w:tab w:val="left" w:pos="2835"/>
          <w:tab w:val="left" w:pos="4820"/>
          <w:tab w:val="left" w:pos="6379"/>
          <w:tab w:val="left" w:pos="7371"/>
          <w:tab w:val="left" w:pos="9072"/>
        </w:tabs>
        <w:ind w:left="1440"/>
      </w:pPr>
      <w:r>
        <w:t>how many cigarettes smoked per day?</w:t>
      </w:r>
      <w:r>
        <w:tab/>
      </w:r>
      <w:r>
        <w:tab/>
      </w:r>
      <w:r>
        <w:tab/>
      </w:r>
    </w:p>
    <w:p w14:paraId="6E3FE9D7" w14:textId="77777777" w:rsidR="000923BB" w:rsidRDefault="000923BB" w:rsidP="000923BB">
      <w:pPr>
        <w:pStyle w:val="Header"/>
        <w:tabs>
          <w:tab w:val="left" w:pos="2835"/>
          <w:tab w:val="left" w:pos="4820"/>
          <w:tab w:val="left" w:pos="6379"/>
          <w:tab w:val="left" w:pos="7371"/>
          <w:tab w:val="left" w:pos="9072"/>
        </w:tabs>
        <w:ind w:left="1440"/>
      </w:pPr>
      <w:r>
        <w:t>or</w:t>
      </w:r>
    </w:p>
    <w:p w14:paraId="24FAC808" w14:textId="2CD2F48C" w:rsidR="000923BB" w:rsidRDefault="00003011" w:rsidP="000923BB">
      <w:pPr>
        <w:pStyle w:val="Header"/>
        <w:tabs>
          <w:tab w:val="left" w:pos="2835"/>
          <w:tab w:val="left" w:pos="4820"/>
          <w:tab w:val="left" w:pos="6379"/>
          <w:tab w:val="left" w:pos="7371"/>
          <w:tab w:val="left" w:pos="9072"/>
        </w:tabs>
        <w:ind w:left="1440"/>
      </w:pPr>
      <w:r>
        <w:rPr>
          <w:noProof/>
        </w:rPr>
        <mc:AlternateContent>
          <mc:Choice Requires="wps">
            <w:drawing>
              <wp:anchor distT="0" distB="0" distL="114300" distR="114300" simplePos="0" relativeHeight="252651520" behindDoc="0" locked="0" layoutInCell="0" allowOverlap="1" wp14:anchorId="7FD63EC8" wp14:editId="542865B7">
                <wp:simplePos x="0" y="0"/>
                <wp:positionH relativeFrom="column">
                  <wp:posOffset>1913890</wp:posOffset>
                </wp:positionH>
                <wp:positionV relativeFrom="paragraph">
                  <wp:posOffset>52705</wp:posOffset>
                </wp:positionV>
                <wp:extent cx="1657350" cy="260985"/>
                <wp:effectExtent l="8890" t="11430" r="10160" b="13335"/>
                <wp:wrapNone/>
                <wp:docPr id="47" name="Rectangle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60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B921A" id="Rectangle 1025" o:spid="_x0000_s1026" style="position:absolute;margin-left:150.7pt;margin-top:4.15pt;width:130.5pt;height:20.5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" o:allowincell="f"/>
            </w:pict>
          </mc:Fallback>
        </mc:AlternateContent>
      </w:r>
      <w:r w:rsidR="000923BB">
        <w:t>pack years?</w:t>
      </w:r>
      <w:r w:rsidR="000923BB">
        <w:tab/>
      </w:r>
      <w:r w:rsidR="000923BB">
        <w:tab/>
      </w:r>
      <w:r w:rsidR="000923BB">
        <w:tab/>
      </w:r>
    </w:p>
    <w:p w14:paraId="43D8962D" w14:textId="77777777" w:rsidR="000923BB" w:rsidRDefault="000923BB" w:rsidP="000923BB">
      <w:pPr>
        <w:pStyle w:val="Header"/>
        <w:tabs>
          <w:tab w:val="left" w:pos="2835"/>
          <w:tab w:val="left" w:pos="4820"/>
          <w:tab w:val="left" w:pos="6379"/>
          <w:tab w:val="left" w:pos="7371"/>
          <w:tab w:val="left" w:pos="9072"/>
        </w:tabs>
      </w:pPr>
    </w:p>
    <w:p w14:paraId="670609D2" w14:textId="77777777" w:rsidR="007D7C0C" w:rsidRDefault="000923BB" w:rsidP="000923BB">
      <w:pPr>
        <w:pStyle w:val="Header"/>
        <w:tabs>
          <w:tab w:val="left" w:pos="2835"/>
          <w:tab w:val="left" w:pos="4820"/>
          <w:tab w:val="left" w:pos="6379"/>
          <w:tab w:val="left" w:pos="7371"/>
          <w:tab w:val="left" w:pos="9072"/>
        </w:tabs>
      </w:pPr>
      <w:r>
        <w:tab/>
      </w:r>
      <w:r>
        <w:tab/>
      </w:r>
      <w:r>
        <w:tab/>
      </w:r>
      <w:r>
        <w:tab/>
      </w:r>
    </w:p>
    <w:p w14:paraId="6DB3B672" w14:textId="77777777" w:rsidR="000923BB" w:rsidRDefault="000923BB" w:rsidP="000923BB">
      <w:pPr>
        <w:pStyle w:val="Header"/>
        <w:tabs>
          <w:tab w:val="left" w:pos="2835"/>
          <w:tab w:val="left" w:pos="4820"/>
          <w:tab w:val="left" w:pos="6379"/>
          <w:tab w:val="left" w:pos="7371"/>
          <w:tab w:val="left" w:pos="9072"/>
        </w:tabs>
      </w:pPr>
      <w:r>
        <w:t>don’t know</w:t>
      </w:r>
      <w:r>
        <w:tab/>
      </w:r>
      <w:r>
        <w:sym w:font="Monotype Sorts" w:char="F071"/>
      </w:r>
    </w:p>
    <w:p w14:paraId="226B289B" w14:textId="77777777" w:rsidR="000923BB" w:rsidRDefault="000923BB" w:rsidP="000923BB">
      <w:pPr>
        <w:pStyle w:val="Header"/>
        <w:tabs>
          <w:tab w:val="left" w:pos="2835"/>
          <w:tab w:val="left" w:pos="4820"/>
          <w:tab w:val="left" w:pos="6379"/>
          <w:tab w:val="left" w:pos="7371"/>
          <w:tab w:val="left" w:pos="9072"/>
        </w:tabs>
      </w:pPr>
    </w:p>
    <w:p w14:paraId="04017916" w14:textId="77777777" w:rsidR="000923BB" w:rsidRDefault="000923BB" w:rsidP="000923BB">
      <w:pPr>
        <w:pStyle w:val="Header"/>
        <w:tabs>
          <w:tab w:val="left" w:pos="2835"/>
          <w:tab w:val="left" w:pos="4820"/>
          <w:tab w:val="left" w:pos="6379"/>
          <w:tab w:val="left" w:pos="6946"/>
          <w:tab w:val="left" w:pos="7371"/>
          <w:tab w:val="left" w:pos="9072"/>
        </w:tabs>
      </w:pPr>
    </w:p>
    <w:p w14:paraId="478EEC00" w14:textId="77777777" w:rsidR="000923BB" w:rsidRDefault="000923BB" w:rsidP="000923BB">
      <w:pPr>
        <w:pStyle w:val="Header"/>
        <w:pBdr>
          <w:top w:val="dotted" w:sz="4" w:space="10" w:color="auto"/>
        </w:pBdr>
        <w:tabs>
          <w:tab w:val="left" w:pos="2835"/>
          <w:tab w:val="left" w:pos="4820"/>
          <w:tab w:val="left" w:pos="6379"/>
          <w:tab w:val="left" w:pos="6946"/>
          <w:tab w:val="left" w:pos="7371"/>
          <w:tab w:val="left" w:pos="9072"/>
        </w:tabs>
        <w:rPr>
          <w:noProof/>
        </w:rPr>
      </w:pPr>
      <w:r>
        <w:rPr>
          <w:noProof/>
        </w:rPr>
        <w:t>10. Is there a record of the patient’s weekly alcohol intake?</w:t>
      </w:r>
    </w:p>
    <w:p w14:paraId="51009FE1" w14:textId="0A37A13D" w:rsidR="000923BB" w:rsidRDefault="00003011" w:rsidP="000923BB">
      <w:pPr>
        <w:pStyle w:val="Header"/>
        <w:pBdr>
          <w:top w:val="dotted" w:sz="4" w:space="10" w:color="auto"/>
        </w:pBdr>
        <w:tabs>
          <w:tab w:val="left" w:pos="2835"/>
          <w:tab w:val="left" w:pos="4820"/>
          <w:tab w:val="left" w:pos="6379"/>
          <w:tab w:val="left" w:pos="6946"/>
          <w:tab w:val="left" w:pos="7371"/>
          <w:tab w:val="left" w:pos="9072"/>
        </w:tabs>
      </w:pPr>
      <w:r>
        <w:rPr>
          <w:noProof/>
        </w:rPr>
        <mc:AlternateContent>
          <mc:Choice Requires="wps">
            <w:drawing>
              <wp:anchor distT="0" distB="0" distL="114300" distR="114300" simplePos="0" relativeHeight="252649472" behindDoc="0" locked="0" layoutInCell="0" allowOverlap="1" wp14:anchorId="5933739E" wp14:editId="5A9B1313">
                <wp:simplePos x="0" y="0"/>
                <wp:positionH relativeFrom="column">
                  <wp:posOffset>2138045</wp:posOffset>
                </wp:positionH>
                <wp:positionV relativeFrom="paragraph">
                  <wp:posOffset>30480</wp:posOffset>
                </wp:positionV>
                <wp:extent cx="775970" cy="260985"/>
                <wp:effectExtent l="13970" t="5080" r="10160" b="10160"/>
                <wp:wrapNone/>
                <wp:docPr id="9" name="Rectangle 1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260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7D28B" id="Rectangle 1023" o:spid="_x0000_s1026" style="position:absolute;margin-left:168.35pt;margin-top:2.4pt;width:61.1pt;height:20.5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" o:allowincell="f"/>
            </w:pict>
          </mc:Fallback>
        </mc:AlternateContent>
      </w:r>
      <w:r w:rsidR="007D7C0C">
        <w:tab/>
      </w:r>
      <w:r w:rsidR="007D7C0C">
        <w:tab/>
      </w:r>
      <w:r w:rsidR="007D7C0C">
        <w:tab/>
      </w:r>
      <w:r w:rsidR="000923BB">
        <w:t>units per week</w:t>
      </w:r>
    </w:p>
    <w:p w14:paraId="20025973" w14:textId="77777777" w:rsidR="000923BB" w:rsidRDefault="000923BB" w:rsidP="000923BB">
      <w:pPr>
        <w:pStyle w:val="Header"/>
        <w:pBdr>
          <w:top w:val="dotted" w:sz="4" w:space="10" w:color="auto"/>
        </w:pBdr>
        <w:tabs>
          <w:tab w:val="left" w:pos="2835"/>
          <w:tab w:val="left" w:pos="4820"/>
          <w:tab w:val="left" w:pos="6379"/>
          <w:tab w:val="left" w:pos="6946"/>
          <w:tab w:val="left" w:pos="7371"/>
          <w:tab w:val="left" w:pos="9072"/>
        </w:tabs>
      </w:pPr>
    </w:p>
    <w:p w14:paraId="152E5B09" w14:textId="77777777" w:rsidR="000923BB" w:rsidRDefault="007D7C0C" w:rsidP="000923BB">
      <w:pPr>
        <w:pStyle w:val="Header"/>
        <w:pBdr>
          <w:top w:val="dotted" w:sz="4" w:space="10" w:color="auto"/>
        </w:pBdr>
        <w:tabs>
          <w:tab w:val="left" w:pos="2835"/>
          <w:tab w:val="left" w:pos="4820"/>
          <w:tab w:val="left" w:pos="6379"/>
          <w:tab w:val="left" w:pos="7371"/>
          <w:tab w:val="left" w:pos="9072"/>
        </w:tabs>
      </w:pPr>
      <w:r>
        <w:tab/>
      </w:r>
      <w:r>
        <w:tab/>
      </w:r>
      <w:r>
        <w:tab/>
      </w:r>
      <w:r w:rsidR="000923BB">
        <w:t>not recorded</w:t>
      </w:r>
      <w:r w:rsidR="000923BB">
        <w:tab/>
      </w:r>
      <w:r w:rsidR="000923BB">
        <w:sym w:font="Monotype Sorts" w:char="F071"/>
      </w:r>
    </w:p>
    <w:p w14:paraId="2E671BF9" w14:textId="77777777" w:rsidR="000923BB" w:rsidRDefault="000923BB" w:rsidP="000923BB">
      <w:pPr>
        <w:pStyle w:val="Header"/>
        <w:tabs>
          <w:tab w:val="left" w:pos="2835"/>
          <w:tab w:val="left" w:pos="4820"/>
          <w:tab w:val="left" w:pos="6379"/>
          <w:tab w:val="left" w:pos="7371"/>
          <w:tab w:val="left" w:pos="9072"/>
        </w:tabs>
      </w:pPr>
    </w:p>
    <w:p w14:paraId="44A8DFAC" w14:textId="77777777" w:rsidR="000923BB" w:rsidRDefault="000923BB" w:rsidP="000923BB">
      <w:pPr>
        <w:pStyle w:val="Header"/>
        <w:pBdr>
          <w:top w:val="dotted" w:sz="4" w:space="10" w:color="auto"/>
        </w:pBdr>
        <w:tabs>
          <w:tab w:val="left" w:pos="2835"/>
          <w:tab w:val="left" w:pos="4820"/>
          <w:tab w:val="left" w:pos="6379"/>
          <w:tab w:val="left" w:pos="7371"/>
          <w:tab w:val="left" w:pos="9072"/>
        </w:tabs>
        <w:rPr>
          <w:noProof/>
        </w:rPr>
      </w:pPr>
      <w:r>
        <w:rPr>
          <w:noProof/>
        </w:rPr>
        <w:t>11. Does the patient have any significant co-morbdities?</w:t>
      </w:r>
    </w:p>
    <w:p w14:paraId="1D999683" w14:textId="77777777" w:rsidR="000923BB" w:rsidRDefault="000923BB" w:rsidP="000923BB">
      <w:pPr>
        <w:pStyle w:val="Header"/>
        <w:pBdr>
          <w:top w:val="dotted" w:sz="4" w:space="10" w:color="auto"/>
        </w:pBdr>
        <w:tabs>
          <w:tab w:val="left" w:pos="2835"/>
          <w:tab w:val="left" w:pos="4820"/>
          <w:tab w:val="left" w:pos="6379"/>
          <w:tab w:val="left" w:pos="7371"/>
          <w:tab w:val="left" w:pos="9072"/>
        </w:tabs>
        <w:rPr>
          <w:noProof/>
        </w:rPr>
      </w:pPr>
    </w:p>
    <w:p w14:paraId="282FEEF1" w14:textId="77777777" w:rsidR="000923BB" w:rsidRDefault="000923BB" w:rsidP="007D7C0C">
      <w:pPr>
        <w:pStyle w:val="Header"/>
        <w:pBdr>
          <w:top w:val="dotted" w:sz="4" w:space="10" w:color="auto"/>
        </w:pBdr>
        <w:tabs>
          <w:tab w:val="left" w:pos="2835"/>
          <w:tab w:val="left" w:pos="4820"/>
          <w:tab w:val="left" w:pos="6379"/>
          <w:tab w:val="left" w:pos="7371"/>
          <w:tab w:val="left" w:pos="9072"/>
        </w:tabs>
        <w:rPr>
          <w:noProof/>
        </w:rPr>
      </w:pPr>
      <w:r>
        <w:rPr>
          <w:noProof/>
        </w:rPr>
        <w:tab/>
        <w:t>Please tick all that apply</w:t>
      </w:r>
    </w:p>
    <w:p w14:paraId="51EE54BD" w14:textId="77777777" w:rsidR="000923BB" w:rsidRDefault="007D7C0C" w:rsidP="007D7C0C">
      <w:pPr>
        <w:pStyle w:val="Header"/>
        <w:keepNext/>
        <w:tabs>
          <w:tab w:val="left" w:pos="3119"/>
          <w:tab w:val="left" w:pos="4253"/>
          <w:tab w:val="left" w:pos="6379"/>
          <w:tab w:val="left" w:pos="7371"/>
          <w:tab w:val="left" w:pos="9072"/>
        </w:tabs>
      </w:pPr>
      <w:r>
        <w:tab/>
      </w:r>
      <w:r w:rsidR="000923BB">
        <w:t>none</w:t>
      </w:r>
      <w:r w:rsidR="000923BB">
        <w:tab/>
      </w:r>
      <w:r w:rsidR="000923BB">
        <w:tab/>
      </w:r>
      <w:r w:rsidR="000923BB">
        <w:sym w:font="Monotype Sorts" w:char="F071"/>
      </w:r>
    </w:p>
    <w:p w14:paraId="3F35B18C" w14:textId="77777777" w:rsidR="000923BB" w:rsidRDefault="007D7C0C" w:rsidP="007D7C0C">
      <w:pPr>
        <w:pStyle w:val="Header"/>
        <w:keepNext/>
        <w:tabs>
          <w:tab w:val="left" w:pos="3119"/>
          <w:tab w:val="left" w:pos="4253"/>
          <w:tab w:val="left" w:pos="6379"/>
          <w:tab w:val="left" w:pos="7371"/>
          <w:tab w:val="left" w:pos="9072"/>
        </w:tabs>
        <w:ind w:left="3119" w:hanging="3119"/>
      </w:pPr>
      <w:r>
        <w:tab/>
      </w:r>
      <w:r w:rsidR="000923BB">
        <w:t>hypertension</w:t>
      </w:r>
      <w:r w:rsidR="000923BB">
        <w:tab/>
      </w:r>
      <w:r w:rsidR="000923BB">
        <w:sym w:font="Monotype Sorts" w:char="F071"/>
      </w:r>
    </w:p>
    <w:p w14:paraId="09E92E5D" w14:textId="77777777" w:rsidR="000923BB" w:rsidRDefault="007D7C0C" w:rsidP="007D7C0C">
      <w:pPr>
        <w:pStyle w:val="Header"/>
        <w:keepNext/>
        <w:tabs>
          <w:tab w:val="left" w:pos="3119"/>
          <w:tab w:val="left" w:pos="4253"/>
          <w:tab w:val="left" w:pos="6379"/>
          <w:tab w:val="left" w:pos="7371"/>
          <w:tab w:val="left" w:pos="9072"/>
        </w:tabs>
      </w:pPr>
      <w:r>
        <w:tab/>
      </w:r>
      <w:r w:rsidR="000923BB">
        <w:t>stroke</w:t>
      </w:r>
      <w:r w:rsidR="000923BB">
        <w:tab/>
      </w:r>
      <w:r w:rsidR="000923BB">
        <w:tab/>
      </w:r>
      <w:r w:rsidR="000923BB">
        <w:sym w:font="Monotype Sorts" w:char="F071"/>
      </w:r>
    </w:p>
    <w:p w14:paraId="51A46BD8" w14:textId="77777777" w:rsidR="000923BB" w:rsidRDefault="007D7C0C" w:rsidP="007D7C0C">
      <w:pPr>
        <w:pStyle w:val="Header"/>
        <w:keepNext/>
        <w:tabs>
          <w:tab w:val="left" w:pos="3119"/>
          <w:tab w:val="left" w:pos="4253"/>
          <w:tab w:val="left" w:pos="6379"/>
          <w:tab w:val="left" w:pos="7371"/>
          <w:tab w:val="left" w:pos="9072"/>
        </w:tabs>
      </w:pPr>
      <w:r>
        <w:tab/>
      </w:r>
      <w:r w:rsidR="000923BB">
        <w:t>respiratory disease</w:t>
      </w:r>
      <w:r w:rsidR="000923BB">
        <w:tab/>
      </w:r>
      <w:r w:rsidR="000923BB">
        <w:sym w:font="Monotype Sorts" w:char="F071"/>
      </w:r>
    </w:p>
    <w:p w14:paraId="2BCA10F1" w14:textId="77777777" w:rsidR="000923BB" w:rsidRDefault="007D7C0C" w:rsidP="007D7C0C">
      <w:pPr>
        <w:pStyle w:val="Header"/>
        <w:keepNext/>
        <w:tabs>
          <w:tab w:val="left" w:pos="3119"/>
          <w:tab w:val="left" w:pos="4253"/>
          <w:tab w:val="left" w:pos="6379"/>
          <w:tab w:val="left" w:pos="7371"/>
          <w:tab w:val="left" w:pos="9072"/>
        </w:tabs>
      </w:pPr>
      <w:r>
        <w:tab/>
      </w:r>
      <w:r w:rsidR="000923BB">
        <w:t>locomotor problems</w:t>
      </w:r>
      <w:r w:rsidR="000923BB">
        <w:tab/>
      </w:r>
      <w:r w:rsidR="000923BB">
        <w:sym w:font="Monotype Sorts" w:char="F071"/>
      </w:r>
    </w:p>
    <w:p w14:paraId="01F8AE5E" w14:textId="77777777" w:rsidR="000923BB" w:rsidRDefault="000923BB" w:rsidP="007D7C0C">
      <w:pPr>
        <w:pStyle w:val="Header"/>
        <w:keepNext/>
        <w:tabs>
          <w:tab w:val="left" w:pos="3119"/>
          <w:tab w:val="left" w:pos="4253"/>
          <w:tab w:val="left" w:pos="6379"/>
          <w:tab w:val="left" w:pos="7371"/>
          <w:tab w:val="left" w:pos="9072"/>
        </w:tabs>
      </w:pPr>
      <w:r>
        <w:tab/>
        <w:t>neurological problems</w:t>
      </w:r>
      <w:r>
        <w:tab/>
      </w:r>
      <w:r>
        <w:sym w:font="Monotype Sorts" w:char="F071"/>
      </w:r>
    </w:p>
    <w:p w14:paraId="3C460432" w14:textId="77777777" w:rsidR="000923BB" w:rsidRDefault="007D7C0C" w:rsidP="007D7C0C">
      <w:pPr>
        <w:pStyle w:val="Header"/>
        <w:keepNext/>
        <w:tabs>
          <w:tab w:val="left" w:pos="3119"/>
          <w:tab w:val="left" w:pos="4253"/>
          <w:tab w:val="left" w:pos="6379"/>
          <w:tab w:val="left" w:pos="7371"/>
          <w:tab w:val="left" w:pos="9072"/>
        </w:tabs>
      </w:pPr>
      <w:r>
        <w:tab/>
      </w:r>
      <w:r w:rsidR="000923BB">
        <w:t>visual impairment</w:t>
      </w:r>
      <w:r w:rsidR="000923BB">
        <w:tab/>
      </w:r>
      <w:r w:rsidR="000923BB">
        <w:sym w:font="Monotype Sorts" w:char="F071"/>
      </w:r>
    </w:p>
    <w:p w14:paraId="651BC6E9" w14:textId="77777777" w:rsidR="000923BB" w:rsidRDefault="000923BB" w:rsidP="007D7C0C">
      <w:pPr>
        <w:pStyle w:val="Header"/>
        <w:tabs>
          <w:tab w:val="left" w:pos="3119"/>
          <w:tab w:val="left" w:pos="4253"/>
          <w:tab w:val="left" w:pos="6379"/>
          <w:tab w:val="left" w:pos="7371"/>
          <w:tab w:val="left" w:pos="9072"/>
        </w:tabs>
      </w:pPr>
      <w:r>
        <w:tab/>
        <w:t>diabetes</w:t>
      </w:r>
      <w:r>
        <w:tab/>
      </w:r>
      <w:r>
        <w:tab/>
      </w:r>
      <w:r>
        <w:sym w:font="Monotype Sorts" w:char="F071"/>
      </w:r>
    </w:p>
    <w:p w14:paraId="75AAB3D4" w14:textId="77777777" w:rsidR="000923BB" w:rsidRDefault="000923BB" w:rsidP="007D7C0C">
      <w:pPr>
        <w:pStyle w:val="Header"/>
        <w:tabs>
          <w:tab w:val="left" w:pos="3119"/>
          <w:tab w:val="left" w:pos="4253"/>
          <w:tab w:val="left" w:pos="6379"/>
          <w:tab w:val="left" w:pos="7371"/>
          <w:tab w:val="left" w:pos="9072"/>
        </w:tabs>
      </w:pPr>
      <w:r>
        <w:tab/>
        <w:t>depression/anxiety</w:t>
      </w:r>
      <w:r>
        <w:tab/>
      </w:r>
      <w:r>
        <w:sym w:font="Monotype Sorts" w:char="F071"/>
      </w:r>
    </w:p>
    <w:p w14:paraId="30C1CE64" w14:textId="77777777" w:rsidR="000923BB" w:rsidRDefault="000923BB" w:rsidP="007D7C0C">
      <w:pPr>
        <w:pStyle w:val="Header"/>
        <w:tabs>
          <w:tab w:val="left" w:pos="3119"/>
          <w:tab w:val="left" w:pos="4253"/>
          <w:tab w:val="left" w:pos="6379"/>
          <w:tab w:val="left" w:pos="7371"/>
          <w:tab w:val="left" w:pos="9072"/>
        </w:tabs>
      </w:pPr>
      <w:r>
        <w:tab/>
        <w:t>other</w:t>
      </w:r>
      <w:r>
        <w:tab/>
      </w:r>
      <w:r>
        <w:tab/>
      </w:r>
      <w:r>
        <w:sym w:font="Monotype Sorts" w:char="F071"/>
      </w:r>
    </w:p>
    <w:p w14:paraId="1617AE45" w14:textId="77777777" w:rsidR="000923BB" w:rsidRDefault="000923BB" w:rsidP="007D7C0C">
      <w:pPr>
        <w:pStyle w:val="Header"/>
        <w:tabs>
          <w:tab w:val="left" w:pos="2835"/>
          <w:tab w:val="left" w:pos="4820"/>
          <w:tab w:val="left" w:pos="6379"/>
          <w:tab w:val="left" w:pos="7371"/>
          <w:tab w:val="left" w:pos="9072"/>
        </w:tabs>
      </w:pPr>
    </w:p>
    <w:p w14:paraId="25853BAC" w14:textId="77777777" w:rsidR="000923BB" w:rsidRDefault="000923BB" w:rsidP="000923BB">
      <w:pPr>
        <w:pStyle w:val="Header"/>
        <w:tabs>
          <w:tab w:val="left" w:pos="2835"/>
          <w:tab w:val="left" w:pos="4820"/>
          <w:tab w:val="left" w:pos="6379"/>
          <w:tab w:val="left" w:pos="7371"/>
          <w:tab w:val="left" w:pos="9072"/>
        </w:tabs>
      </w:pPr>
    </w:p>
    <w:p w14:paraId="034F0E94" w14:textId="77777777" w:rsidR="000923BB" w:rsidRDefault="000923BB" w:rsidP="000923BB">
      <w:pPr>
        <w:pStyle w:val="Header"/>
        <w:rPr>
          <w:b/>
          <w:sz w:val="32"/>
          <w:u w:val="single"/>
        </w:rPr>
      </w:pPr>
      <w:r>
        <w:rPr>
          <w:b/>
          <w:sz w:val="32"/>
          <w:u w:val="single"/>
        </w:rPr>
        <w:br w:type="page"/>
      </w:r>
      <w:r>
        <w:rPr>
          <w:b/>
          <w:sz w:val="32"/>
          <w:u w:val="single"/>
        </w:rPr>
        <w:lastRenderedPageBreak/>
        <w:t>Investigations/examination</w:t>
      </w:r>
    </w:p>
    <w:p w14:paraId="0AEEF61F" w14:textId="77777777" w:rsidR="000923BB" w:rsidRDefault="000923BB" w:rsidP="000923BB">
      <w:pPr>
        <w:pStyle w:val="Header"/>
        <w:tabs>
          <w:tab w:val="left" w:pos="2835"/>
          <w:tab w:val="left" w:pos="4820"/>
          <w:tab w:val="left" w:pos="6379"/>
          <w:tab w:val="left" w:pos="7371"/>
          <w:tab w:val="left" w:pos="9072"/>
        </w:tabs>
      </w:pPr>
    </w:p>
    <w:p w14:paraId="0C64B924" w14:textId="77777777" w:rsidR="000923BB" w:rsidRDefault="000923BB" w:rsidP="000923BB">
      <w:pPr>
        <w:pStyle w:val="Header"/>
        <w:tabs>
          <w:tab w:val="left" w:pos="2835"/>
          <w:tab w:val="left" w:pos="4820"/>
          <w:tab w:val="left" w:pos="6379"/>
          <w:tab w:val="left" w:pos="7371"/>
          <w:tab w:val="left" w:pos="9072"/>
        </w:tabs>
      </w:pPr>
    </w:p>
    <w:p w14:paraId="0F1F5531" w14:textId="77777777" w:rsidR="000923BB" w:rsidRDefault="000923BB" w:rsidP="000923BB">
      <w:pPr>
        <w:pStyle w:val="Header"/>
        <w:pBdr>
          <w:top w:val="dotted" w:sz="4" w:space="10" w:color="auto"/>
        </w:pBdr>
        <w:tabs>
          <w:tab w:val="left" w:pos="2835"/>
          <w:tab w:val="left" w:pos="4820"/>
          <w:tab w:val="left" w:pos="6379"/>
          <w:tab w:val="left" w:pos="9072"/>
        </w:tabs>
      </w:pPr>
      <w:r>
        <w:t>12. Was an electrocardiogram performed?</w:t>
      </w:r>
      <w:r>
        <w:tab/>
      </w:r>
      <w:r>
        <w:tab/>
        <w:t>yes</w:t>
      </w:r>
      <w:r>
        <w:tab/>
      </w:r>
      <w:r>
        <w:sym w:font="Monotype Sorts" w:char="F071"/>
      </w:r>
    </w:p>
    <w:p w14:paraId="4013E915" w14:textId="77777777" w:rsidR="000923BB" w:rsidRDefault="000923BB" w:rsidP="000923BB">
      <w:pPr>
        <w:pStyle w:val="Header"/>
        <w:pBdr>
          <w:top w:val="dotted" w:sz="4" w:space="10" w:color="auto"/>
        </w:pBdr>
        <w:tabs>
          <w:tab w:val="left" w:pos="2835"/>
          <w:tab w:val="left" w:pos="4820"/>
          <w:tab w:val="left" w:pos="6379"/>
          <w:tab w:val="left" w:pos="9072"/>
        </w:tabs>
      </w:pPr>
      <w:r>
        <w:tab/>
      </w:r>
      <w:r>
        <w:tab/>
      </w:r>
      <w:r>
        <w:tab/>
        <w:t>no</w:t>
      </w:r>
      <w:r>
        <w:tab/>
      </w:r>
      <w:r>
        <w:sym w:font="Monotype Sorts" w:char="F071"/>
      </w:r>
    </w:p>
    <w:p w14:paraId="56E1AAFC" w14:textId="77777777" w:rsidR="000923BB" w:rsidRDefault="000923BB" w:rsidP="000923BB">
      <w:pPr>
        <w:tabs>
          <w:tab w:val="left" w:pos="2835"/>
          <w:tab w:val="left" w:pos="3969"/>
          <w:tab w:val="left" w:pos="4820"/>
          <w:tab w:val="left" w:pos="6379"/>
          <w:tab w:val="left" w:pos="9072"/>
        </w:tabs>
      </w:pPr>
      <w:r>
        <w:tab/>
      </w:r>
    </w:p>
    <w:p w14:paraId="2A697604" w14:textId="77777777" w:rsidR="000923BB" w:rsidRDefault="000923BB" w:rsidP="000923BB">
      <w:pPr>
        <w:tabs>
          <w:tab w:val="left" w:pos="2835"/>
          <w:tab w:val="left" w:pos="3969"/>
          <w:tab w:val="left" w:pos="4820"/>
          <w:tab w:val="left" w:pos="6379"/>
          <w:tab w:val="left" w:pos="9072"/>
        </w:tabs>
      </w:pPr>
    </w:p>
    <w:p w14:paraId="2AE14395" w14:textId="77777777" w:rsidR="000923BB" w:rsidRDefault="000923BB" w:rsidP="000923BB">
      <w:pPr>
        <w:pStyle w:val="Header"/>
        <w:pBdr>
          <w:top w:val="dotted" w:sz="4" w:space="10" w:color="auto"/>
        </w:pBdr>
        <w:tabs>
          <w:tab w:val="left" w:pos="2835"/>
          <w:tab w:val="left" w:pos="4820"/>
          <w:tab w:val="left" w:pos="6379"/>
          <w:tab w:val="left" w:pos="9072"/>
        </w:tabs>
      </w:pPr>
      <w:r>
        <w:t xml:space="preserve">13. Was an echocardiogram </w:t>
      </w:r>
      <w:r w:rsidR="007D7C0C">
        <w:t>performed during this stay?</w:t>
      </w:r>
      <w:r w:rsidR="007D7C0C">
        <w:tab/>
        <w:t>yes</w:t>
      </w:r>
      <w:r>
        <w:sym w:font="Monotype Sorts" w:char="F071"/>
      </w:r>
    </w:p>
    <w:p w14:paraId="1EEA7396" w14:textId="77777777" w:rsidR="000923BB" w:rsidRDefault="000923BB" w:rsidP="000923BB">
      <w:pPr>
        <w:pStyle w:val="Header"/>
        <w:pBdr>
          <w:top w:val="dotted" w:sz="4" w:space="10" w:color="auto"/>
        </w:pBdr>
        <w:tabs>
          <w:tab w:val="left" w:pos="2835"/>
          <w:tab w:val="left" w:pos="4820"/>
          <w:tab w:val="left" w:pos="6379"/>
          <w:tab w:val="left" w:pos="9072"/>
        </w:tabs>
      </w:pPr>
      <w:r>
        <w:tab/>
      </w:r>
      <w:r>
        <w:tab/>
      </w:r>
      <w:r>
        <w:tab/>
        <w:t>no</w:t>
      </w:r>
      <w:r>
        <w:tab/>
      </w:r>
      <w:r>
        <w:sym w:font="Monotype Sorts" w:char="F071"/>
      </w:r>
    </w:p>
    <w:p w14:paraId="23610DC5" w14:textId="77777777" w:rsidR="000923BB" w:rsidRDefault="000923BB" w:rsidP="000923BB">
      <w:pPr>
        <w:tabs>
          <w:tab w:val="left" w:pos="2835"/>
          <w:tab w:val="left" w:pos="3969"/>
          <w:tab w:val="left" w:pos="4820"/>
          <w:tab w:val="left" w:pos="6379"/>
          <w:tab w:val="left" w:pos="9072"/>
        </w:tabs>
      </w:pPr>
      <w:r>
        <w:tab/>
      </w:r>
    </w:p>
    <w:p w14:paraId="5D5A14F5" w14:textId="77777777" w:rsidR="000923BB" w:rsidRDefault="000923BB" w:rsidP="000923BB">
      <w:pPr>
        <w:pStyle w:val="Header"/>
        <w:tabs>
          <w:tab w:val="left" w:pos="1418"/>
          <w:tab w:val="left" w:pos="4820"/>
          <w:tab w:val="left" w:pos="6379"/>
          <w:tab w:val="left" w:pos="7371"/>
          <w:tab w:val="left" w:pos="7797"/>
          <w:tab w:val="left" w:pos="9072"/>
        </w:tabs>
        <w:ind w:left="1418" w:hanging="698"/>
      </w:pPr>
      <w:r>
        <w:tab/>
        <w:t>Is it stated in the notes that an echocardiogram</w:t>
      </w:r>
      <w:r>
        <w:br/>
        <w:t>was previously performed</w:t>
      </w:r>
    </w:p>
    <w:p w14:paraId="63E2E566" w14:textId="77777777" w:rsidR="000923BB" w:rsidRDefault="007D7C0C" w:rsidP="000923BB">
      <w:pPr>
        <w:pStyle w:val="Header"/>
        <w:tabs>
          <w:tab w:val="left" w:pos="2835"/>
          <w:tab w:val="left" w:pos="3969"/>
          <w:tab w:val="left" w:pos="4820"/>
          <w:tab w:val="left" w:pos="6379"/>
          <w:tab w:val="left" w:pos="9072"/>
        </w:tabs>
      </w:pPr>
      <w:r>
        <w:tab/>
      </w:r>
      <w:r>
        <w:tab/>
      </w:r>
      <w:r>
        <w:tab/>
      </w:r>
      <w:r>
        <w:tab/>
        <w:t>in the past year</w:t>
      </w:r>
      <w:r w:rsidR="000923BB">
        <w:sym w:font="Monotype Sorts" w:char="F071"/>
      </w:r>
    </w:p>
    <w:p w14:paraId="12877790" w14:textId="77777777" w:rsidR="000923BB" w:rsidRDefault="000923BB" w:rsidP="000923BB">
      <w:pPr>
        <w:pStyle w:val="Header"/>
        <w:tabs>
          <w:tab w:val="left" w:pos="2835"/>
          <w:tab w:val="left" w:pos="3969"/>
          <w:tab w:val="left" w:pos="4820"/>
          <w:tab w:val="left" w:pos="6379"/>
          <w:tab w:val="left" w:pos="9072"/>
        </w:tabs>
      </w:pPr>
      <w:r>
        <w:tab/>
      </w:r>
      <w:r>
        <w:tab/>
      </w:r>
      <w:r>
        <w:tab/>
      </w:r>
      <w:r>
        <w:tab/>
        <w:t>ever</w:t>
      </w:r>
      <w:r>
        <w:tab/>
      </w:r>
      <w:r>
        <w:sym w:font="Monotype Sorts" w:char="F071"/>
      </w:r>
    </w:p>
    <w:p w14:paraId="72028C4D" w14:textId="77777777" w:rsidR="000923BB" w:rsidRDefault="000923BB" w:rsidP="000923BB">
      <w:pPr>
        <w:pStyle w:val="Header"/>
        <w:tabs>
          <w:tab w:val="left" w:pos="2835"/>
          <w:tab w:val="left" w:pos="3969"/>
          <w:tab w:val="left" w:pos="4820"/>
          <w:tab w:val="left" w:pos="6379"/>
          <w:tab w:val="left" w:pos="9072"/>
        </w:tabs>
      </w:pPr>
      <w:r>
        <w:tab/>
      </w:r>
      <w:r>
        <w:tab/>
      </w:r>
      <w:r>
        <w:tab/>
      </w:r>
      <w:r>
        <w:tab/>
        <w:t>not recorded</w:t>
      </w:r>
      <w:r>
        <w:tab/>
      </w:r>
      <w:r>
        <w:sym w:font="Monotype Sorts" w:char="F071"/>
      </w:r>
    </w:p>
    <w:p w14:paraId="66CD60A1" w14:textId="77777777" w:rsidR="000923BB" w:rsidRDefault="000923BB" w:rsidP="000923BB">
      <w:pPr>
        <w:pStyle w:val="Header"/>
        <w:tabs>
          <w:tab w:val="left" w:pos="1418"/>
          <w:tab w:val="left" w:pos="4820"/>
          <w:tab w:val="left" w:pos="6379"/>
          <w:tab w:val="left" w:pos="7371"/>
          <w:tab w:val="left" w:pos="7797"/>
          <w:tab w:val="left" w:pos="9072"/>
        </w:tabs>
        <w:ind w:left="1418"/>
      </w:pPr>
      <w:r>
        <w:t>Is it stated that an echocardiogram showed</w:t>
      </w:r>
    </w:p>
    <w:p w14:paraId="7000E7A9" w14:textId="77777777" w:rsidR="000923BB" w:rsidRDefault="000923BB" w:rsidP="000923BB">
      <w:pPr>
        <w:pStyle w:val="Header"/>
        <w:tabs>
          <w:tab w:val="left" w:pos="1418"/>
          <w:tab w:val="left" w:pos="4820"/>
          <w:tab w:val="left" w:pos="6379"/>
          <w:tab w:val="left" w:pos="7371"/>
          <w:tab w:val="left" w:pos="7797"/>
          <w:tab w:val="left" w:pos="9072"/>
        </w:tabs>
        <w:ind w:left="1418"/>
      </w:pPr>
    </w:p>
    <w:p w14:paraId="6DC4432A" w14:textId="77777777" w:rsidR="000923BB" w:rsidRDefault="007D7C0C" w:rsidP="007D7C0C">
      <w:pPr>
        <w:pStyle w:val="Header"/>
        <w:tabs>
          <w:tab w:val="left" w:pos="2835"/>
          <w:tab w:val="left" w:pos="3969"/>
          <w:tab w:val="left" w:pos="4820"/>
          <w:tab w:val="left" w:pos="6379"/>
          <w:tab w:val="left" w:pos="9072"/>
        </w:tabs>
      </w:pPr>
      <w:r>
        <w:tab/>
      </w:r>
      <w:r w:rsidR="000923BB">
        <w:t>normal left ventricular (LV</w:t>
      </w:r>
      <w:r>
        <w:t>) function</w:t>
      </w:r>
      <w:r w:rsidR="000923BB">
        <w:sym w:font="Monotype Sorts" w:char="F071"/>
      </w:r>
    </w:p>
    <w:p w14:paraId="1D519D5E" w14:textId="77777777" w:rsidR="000923BB" w:rsidRDefault="007D7C0C" w:rsidP="007D7C0C">
      <w:pPr>
        <w:pStyle w:val="Header"/>
        <w:tabs>
          <w:tab w:val="left" w:pos="2835"/>
          <w:tab w:val="left" w:pos="3969"/>
          <w:tab w:val="left" w:pos="4820"/>
          <w:tab w:val="left" w:pos="6379"/>
          <w:tab w:val="left" w:pos="9072"/>
        </w:tabs>
      </w:pPr>
      <w:r>
        <w:tab/>
      </w:r>
      <w:r w:rsidR="000923BB">
        <w:t>abnormal left ventricular (LV</w:t>
      </w:r>
      <w:r>
        <w:t>)function</w:t>
      </w:r>
      <w:r w:rsidR="000923BB">
        <w:sym w:font="Monotype Sorts" w:char="F071"/>
      </w:r>
    </w:p>
    <w:p w14:paraId="5F0EE368" w14:textId="77777777" w:rsidR="000923BB" w:rsidRDefault="007D7C0C" w:rsidP="007D7C0C">
      <w:pPr>
        <w:tabs>
          <w:tab w:val="left" w:pos="2835"/>
          <w:tab w:val="left" w:pos="3969"/>
          <w:tab w:val="left" w:pos="4820"/>
          <w:tab w:val="left" w:pos="6379"/>
          <w:tab w:val="left" w:pos="9072"/>
        </w:tabs>
      </w:pPr>
      <w:r>
        <w:tab/>
      </w:r>
      <w:r w:rsidR="000923BB">
        <w:t>not recorded</w:t>
      </w:r>
      <w:r w:rsidR="000923BB">
        <w:tab/>
      </w:r>
      <w:r w:rsidR="000923BB">
        <w:tab/>
      </w:r>
      <w:r w:rsidR="000923BB">
        <w:sym w:font="Monotype Sorts" w:char="F071"/>
      </w:r>
    </w:p>
    <w:p w14:paraId="5936F8D4" w14:textId="77777777" w:rsidR="000923BB" w:rsidRDefault="000923BB" w:rsidP="000923BB">
      <w:pPr>
        <w:pStyle w:val="Header"/>
        <w:tabs>
          <w:tab w:val="left" w:pos="2835"/>
          <w:tab w:val="left" w:pos="4820"/>
        </w:tabs>
      </w:pPr>
    </w:p>
    <w:p w14:paraId="2CF4B402" w14:textId="77777777" w:rsidR="000923BB" w:rsidRDefault="000923BB" w:rsidP="000923BB">
      <w:pPr>
        <w:pStyle w:val="Header"/>
        <w:keepNext/>
        <w:pBdr>
          <w:top w:val="dotted" w:sz="4" w:space="10" w:color="auto"/>
        </w:pBdr>
        <w:tabs>
          <w:tab w:val="left" w:pos="2835"/>
          <w:tab w:val="left" w:pos="4820"/>
          <w:tab w:val="left" w:pos="6379"/>
          <w:tab w:val="left" w:pos="7371"/>
          <w:tab w:val="left" w:pos="9072"/>
        </w:tabs>
      </w:pPr>
      <w:r>
        <w:t>14. Have peptide</w:t>
      </w:r>
      <w:r w:rsidR="007D7C0C">
        <w:t>s (ANP or BNP) been measured?</w:t>
      </w:r>
      <w:r w:rsidR="007D7C0C">
        <w:tab/>
      </w:r>
      <w:r>
        <w:t>Yes</w:t>
      </w:r>
      <w:r>
        <w:tab/>
      </w:r>
      <w:r>
        <w:sym w:font="Monotype Sorts" w:char="F071"/>
      </w:r>
    </w:p>
    <w:p w14:paraId="42AA8625" w14:textId="77777777" w:rsidR="000923BB" w:rsidRDefault="000923BB" w:rsidP="000923BB">
      <w:pPr>
        <w:pStyle w:val="Header"/>
        <w:keepNext/>
        <w:pBdr>
          <w:top w:val="dotted" w:sz="4" w:space="10" w:color="auto"/>
        </w:pBdr>
        <w:tabs>
          <w:tab w:val="left" w:pos="2835"/>
          <w:tab w:val="left" w:pos="4820"/>
          <w:tab w:val="left" w:pos="6379"/>
          <w:tab w:val="left" w:pos="7371"/>
          <w:tab w:val="left" w:pos="9072"/>
        </w:tabs>
      </w:pPr>
      <w:r>
        <w:tab/>
      </w:r>
      <w:r>
        <w:tab/>
      </w:r>
      <w:r>
        <w:tab/>
      </w:r>
      <w:r>
        <w:tab/>
        <w:t>No</w:t>
      </w:r>
      <w:r>
        <w:tab/>
      </w:r>
      <w:r>
        <w:sym w:font="Monotype Sorts" w:char="F071"/>
      </w:r>
    </w:p>
    <w:p w14:paraId="22E915FB" w14:textId="77777777" w:rsidR="000923BB" w:rsidRDefault="000923BB" w:rsidP="000923BB">
      <w:pPr>
        <w:pStyle w:val="Header"/>
        <w:tabs>
          <w:tab w:val="left" w:pos="2835"/>
          <w:tab w:val="left" w:pos="4820"/>
          <w:tab w:val="left" w:pos="6379"/>
          <w:tab w:val="left" w:pos="7371"/>
          <w:tab w:val="left" w:pos="9072"/>
        </w:tabs>
      </w:pPr>
    </w:p>
    <w:p w14:paraId="62FCFE2C" w14:textId="77777777" w:rsidR="000923BB" w:rsidRDefault="000923BB" w:rsidP="000923BB">
      <w:pPr>
        <w:pStyle w:val="Header"/>
        <w:keepNext/>
        <w:pBdr>
          <w:top w:val="dotted" w:sz="4" w:space="10" w:color="auto"/>
        </w:pBdr>
        <w:tabs>
          <w:tab w:val="left" w:pos="2835"/>
          <w:tab w:val="left" w:pos="4820"/>
          <w:tab w:val="left" w:pos="6379"/>
          <w:tab w:val="left" w:pos="7371"/>
          <w:tab w:val="left" w:pos="9072"/>
        </w:tabs>
      </w:pPr>
      <w:r>
        <w:t>15. Was a spirometry or other pulm</w:t>
      </w:r>
      <w:r w:rsidR="007D7C0C">
        <w:t>onary function reading taken? Yes</w:t>
      </w:r>
      <w:r>
        <w:sym w:font="Monotype Sorts" w:char="F071"/>
      </w:r>
    </w:p>
    <w:p w14:paraId="1EAFBC79" w14:textId="77777777" w:rsidR="000923BB" w:rsidRDefault="000923BB" w:rsidP="000923BB">
      <w:pPr>
        <w:pStyle w:val="Header"/>
        <w:keepNext/>
        <w:pBdr>
          <w:top w:val="dotted" w:sz="4" w:space="10" w:color="auto"/>
        </w:pBdr>
        <w:tabs>
          <w:tab w:val="left" w:pos="2835"/>
          <w:tab w:val="left" w:pos="4820"/>
          <w:tab w:val="left" w:pos="6379"/>
          <w:tab w:val="left" w:pos="7371"/>
          <w:tab w:val="left" w:pos="9072"/>
        </w:tabs>
      </w:pPr>
      <w:r>
        <w:tab/>
      </w:r>
      <w:r>
        <w:tab/>
      </w:r>
      <w:r>
        <w:tab/>
      </w:r>
      <w:r>
        <w:tab/>
        <w:t>No</w:t>
      </w:r>
      <w:r>
        <w:tab/>
      </w:r>
      <w:r>
        <w:sym w:font="Monotype Sorts" w:char="F071"/>
      </w:r>
    </w:p>
    <w:p w14:paraId="56DE234E" w14:textId="77777777" w:rsidR="000923BB" w:rsidRDefault="000923BB" w:rsidP="000923BB">
      <w:pPr>
        <w:pStyle w:val="Header"/>
        <w:tabs>
          <w:tab w:val="left" w:pos="2835"/>
          <w:tab w:val="left" w:pos="4820"/>
          <w:tab w:val="left" w:pos="6379"/>
          <w:tab w:val="left" w:pos="7371"/>
          <w:tab w:val="left" w:pos="9072"/>
        </w:tabs>
      </w:pPr>
    </w:p>
    <w:p w14:paraId="22FD4DC4" w14:textId="77777777" w:rsidR="000923BB" w:rsidRDefault="000923BB" w:rsidP="000923BB">
      <w:pPr>
        <w:pStyle w:val="Header"/>
        <w:pBdr>
          <w:top w:val="dotted" w:sz="4" w:space="10" w:color="auto"/>
        </w:pBdr>
        <w:tabs>
          <w:tab w:val="left" w:pos="2835"/>
          <w:tab w:val="left" w:pos="4820"/>
          <w:tab w:val="left" w:pos="6379"/>
          <w:tab w:val="left" w:pos="9072"/>
        </w:tabs>
      </w:pPr>
      <w:r>
        <w:t>16. Was a chest x-ray performed?</w:t>
      </w:r>
      <w:r>
        <w:tab/>
      </w:r>
      <w:r>
        <w:tab/>
        <w:t>yes</w:t>
      </w:r>
      <w:r>
        <w:tab/>
      </w:r>
      <w:r>
        <w:sym w:font="Monotype Sorts" w:char="F071"/>
      </w:r>
    </w:p>
    <w:p w14:paraId="6A9D174A" w14:textId="77777777" w:rsidR="000923BB" w:rsidRDefault="000923BB" w:rsidP="000923BB">
      <w:pPr>
        <w:pStyle w:val="Header"/>
        <w:pBdr>
          <w:top w:val="dotted" w:sz="4" w:space="10" w:color="auto"/>
        </w:pBdr>
        <w:tabs>
          <w:tab w:val="left" w:pos="2835"/>
          <w:tab w:val="left" w:pos="4820"/>
          <w:tab w:val="left" w:pos="6379"/>
          <w:tab w:val="left" w:pos="9072"/>
        </w:tabs>
      </w:pPr>
      <w:r>
        <w:tab/>
      </w:r>
      <w:r>
        <w:tab/>
      </w:r>
      <w:r>
        <w:tab/>
        <w:t>no</w:t>
      </w:r>
      <w:r>
        <w:tab/>
      </w:r>
      <w:r>
        <w:sym w:font="Monotype Sorts" w:char="F071"/>
      </w:r>
    </w:p>
    <w:p w14:paraId="27936FD7" w14:textId="77777777" w:rsidR="000923BB" w:rsidRDefault="000923BB" w:rsidP="000923BB">
      <w:pPr>
        <w:pStyle w:val="Header"/>
        <w:pBdr>
          <w:top w:val="dotted" w:sz="4" w:space="10" w:color="auto"/>
        </w:pBdr>
        <w:tabs>
          <w:tab w:val="left" w:pos="2835"/>
          <w:tab w:val="left" w:pos="4820"/>
          <w:tab w:val="left" w:pos="6379"/>
          <w:tab w:val="left" w:pos="9072"/>
        </w:tabs>
      </w:pPr>
      <w:r>
        <w:tab/>
      </w:r>
      <w:r>
        <w:tab/>
      </w:r>
      <w:r>
        <w:tab/>
        <w:t>not recorded</w:t>
      </w:r>
      <w:r>
        <w:tab/>
      </w:r>
      <w:r>
        <w:sym w:font="Monotype Sorts" w:char="F071"/>
      </w:r>
    </w:p>
    <w:p w14:paraId="5E364B8B" w14:textId="77777777" w:rsidR="000923BB" w:rsidRDefault="000923BB" w:rsidP="000923BB">
      <w:pPr>
        <w:pStyle w:val="Header"/>
        <w:tabs>
          <w:tab w:val="left" w:pos="2835"/>
          <w:tab w:val="left" w:pos="4820"/>
          <w:tab w:val="left" w:pos="6379"/>
          <w:tab w:val="left" w:pos="7371"/>
          <w:tab w:val="left" w:pos="9072"/>
        </w:tabs>
        <w:ind w:left="720"/>
      </w:pPr>
    </w:p>
    <w:p w14:paraId="63FCF56D" w14:textId="77777777" w:rsidR="000923BB" w:rsidRDefault="000923BB" w:rsidP="000923BB">
      <w:pPr>
        <w:pStyle w:val="Header"/>
        <w:tabs>
          <w:tab w:val="left" w:pos="2835"/>
          <w:tab w:val="left" w:pos="4820"/>
          <w:tab w:val="left" w:pos="6379"/>
          <w:tab w:val="left" w:pos="7371"/>
          <w:tab w:val="left" w:pos="9072"/>
        </w:tabs>
        <w:ind w:left="720"/>
      </w:pPr>
      <w:r>
        <w:t>If yes, is th</w:t>
      </w:r>
      <w:r w:rsidR="007D7C0C">
        <w:t xml:space="preserve">e x-ray report in the notes? </w:t>
      </w:r>
      <w:r w:rsidR="007D7C0C">
        <w:tab/>
      </w:r>
      <w:r w:rsidR="007D7C0C">
        <w:tab/>
      </w:r>
      <w:r>
        <w:t>yes</w:t>
      </w:r>
      <w:r>
        <w:tab/>
      </w:r>
      <w:r>
        <w:sym w:font="Monotype Sorts" w:char="F071"/>
      </w:r>
    </w:p>
    <w:p w14:paraId="7A603FF2" w14:textId="77777777" w:rsidR="000923BB" w:rsidRDefault="007D7C0C" w:rsidP="000923BB">
      <w:pPr>
        <w:tabs>
          <w:tab w:val="left" w:pos="2835"/>
          <w:tab w:val="left" w:pos="4820"/>
          <w:tab w:val="left" w:pos="7371"/>
          <w:tab w:val="left" w:pos="9072"/>
        </w:tabs>
      </w:pPr>
      <w:r>
        <w:tab/>
      </w:r>
      <w:r>
        <w:tab/>
      </w:r>
      <w:r w:rsidR="000923BB">
        <w:t>no</w:t>
      </w:r>
      <w:r w:rsidR="000923BB">
        <w:tab/>
      </w:r>
      <w:r w:rsidR="000923BB">
        <w:sym w:font="Monotype Sorts" w:char="F071"/>
      </w:r>
    </w:p>
    <w:p w14:paraId="59820F96" w14:textId="77777777" w:rsidR="000923BB" w:rsidRDefault="000923BB" w:rsidP="000923BB">
      <w:pPr>
        <w:pStyle w:val="Header"/>
        <w:tabs>
          <w:tab w:val="left" w:pos="2835"/>
          <w:tab w:val="left" w:pos="4820"/>
          <w:tab w:val="left" w:pos="7371"/>
          <w:tab w:val="left" w:pos="9072"/>
        </w:tabs>
      </w:pPr>
      <w:r>
        <w:tab/>
      </w:r>
      <w:r>
        <w:tab/>
      </w:r>
      <w:r>
        <w:tab/>
        <w:t>not recorded</w:t>
      </w:r>
      <w:r>
        <w:tab/>
      </w:r>
      <w:r>
        <w:sym w:font="Monotype Sorts" w:char="F071"/>
      </w:r>
    </w:p>
    <w:p w14:paraId="6D9CE440" w14:textId="77777777" w:rsidR="000923BB" w:rsidRDefault="000923BB" w:rsidP="000923BB">
      <w:pPr>
        <w:tabs>
          <w:tab w:val="left" w:pos="2835"/>
          <w:tab w:val="left" w:pos="3969"/>
          <w:tab w:val="left" w:pos="4820"/>
          <w:tab w:val="left" w:pos="6379"/>
          <w:tab w:val="left" w:pos="9072"/>
        </w:tabs>
      </w:pPr>
    </w:p>
    <w:p w14:paraId="36ED67A2" w14:textId="77777777" w:rsidR="000923BB" w:rsidRDefault="000923BB" w:rsidP="000923BB">
      <w:pPr>
        <w:pStyle w:val="Header"/>
        <w:keepNext/>
        <w:pBdr>
          <w:top w:val="dotted" w:sz="4" w:space="10" w:color="auto"/>
        </w:pBdr>
        <w:tabs>
          <w:tab w:val="left" w:pos="2835"/>
          <w:tab w:val="left" w:pos="4820"/>
          <w:tab w:val="left" w:pos="6379"/>
          <w:tab w:val="left" w:pos="7371"/>
          <w:tab w:val="left" w:pos="9072"/>
        </w:tabs>
      </w:pPr>
      <w:r>
        <w:t>17. What was the first recorded (after admission) value for</w:t>
      </w:r>
    </w:p>
    <w:p w14:paraId="4CAD7968" w14:textId="77777777" w:rsidR="000923BB" w:rsidRDefault="000923BB" w:rsidP="000923BB">
      <w:pPr>
        <w:pStyle w:val="Header"/>
        <w:tabs>
          <w:tab w:val="left" w:pos="1418"/>
          <w:tab w:val="left" w:pos="1985"/>
          <w:tab w:val="left" w:pos="2835"/>
          <w:tab w:val="left" w:pos="3544"/>
          <w:tab w:val="left" w:pos="4820"/>
          <w:tab w:val="left" w:pos="5387"/>
          <w:tab w:val="left" w:pos="6379"/>
          <w:tab w:val="left" w:pos="7371"/>
          <w:tab w:val="left" w:pos="9072"/>
        </w:tabs>
      </w:pPr>
    </w:p>
    <w:p w14:paraId="36177687" w14:textId="7433DC79" w:rsidR="000923BB" w:rsidRDefault="00003011" w:rsidP="000923BB">
      <w:pPr>
        <w:pStyle w:val="Header"/>
        <w:tabs>
          <w:tab w:val="left" w:pos="709"/>
          <w:tab w:val="left" w:pos="1985"/>
          <w:tab w:val="left" w:pos="2835"/>
          <w:tab w:val="left" w:pos="3969"/>
          <w:tab w:val="left" w:pos="5245"/>
          <w:tab w:val="left" w:pos="6379"/>
          <w:tab w:val="left" w:pos="7797"/>
          <w:tab w:val="left" w:pos="9214"/>
        </w:tabs>
        <w:ind w:firstLine="426"/>
      </w:pPr>
      <w:r>
        <w:rPr>
          <w:noProof/>
        </w:rPr>
        <w:lastRenderedPageBreak/>
        <mc:AlternateContent>
          <mc:Choice Requires="wps">
            <w:drawing>
              <wp:anchor distT="0" distB="0" distL="114300" distR="114300" simplePos="0" relativeHeight="252645376" behindDoc="0" locked="0" layoutInCell="0" allowOverlap="1" wp14:anchorId="25E76312" wp14:editId="4FBF2D26">
                <wp:simplePos x="0" y="0"/>
                <wp:positionH relativeFrom="column">
                  <wp:posOffset>1752600</wp:posOffset>
                </wp:positionH>
                <wp:positionV relativeFrom="paragraph">
                  <wp:posOffset>3175</wp:posOffset>
                </wp:positionV>
                <wp:extent cx="636905" cy="260985"/>
                <wp:effectExtent l="9525" t="12700" r="10795" b="12065"/>
                <wp:wrapNone/>
                <wp:docPr id="6" name="Rectangle 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905" cy="260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D9C2C" id="Rectangle 1019" o:spid="_x0000_s1026" style="position:absolute;margin-left:138pt;margin-top:.25pt;width:50.15pt;height:20.5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" o:allowincell="f"/>
            </w:pict>
          </mc:Fallback>
        </mc:AlternateContent>
      </w:r>
      <w:r w:rsidR="000923BB">
        <w:tab/>
      </w:r>
      <w:r w:rsidR="000923BB">
        <w:tab/>
        <w:t>urea</w:t>
      </w:r>
      <w:r w:rsidR="000923BB">
        <w:tab/>
      </w:r>
      <w:r w:rsidR="000923BB">
        <w:tab/>
      </w:r>
      <w:r w:rsidR="000923BB">
        <w:tab/>
        <w:t>mg/dl / mmol/l</w:t>
      </w:r>
      <w:r w:rsidR="000923BB">
        <w:tab/>
      </w:r>
    </w:p>
    <w:p w14:paraId="3D2AFA86" w14:textId="77777777" w:rsidR="00C335C2" w:rsidRDefault="000923BB" w:rsidP="000923BB">
      <w:pPr>
        <w:pStyle w:val="Header"/>
        <w:tabs>
          <w:tab w:val="left" w:pos="709"/>
          <w:tab w:val="left" w:pos="1985"/>
          <w:tab w:val="left" w:pos="2835"/>
          <w:tab w:val="left" w:pos="3969"/>
          <w:tab w:val="left" w:pos="5245"/>
          <w:tab w:val="left" w:pos="6379"/>
          <w:tab w:val="left" w:pos="7797"/>
          <w:tab w:val="left" w:pos="9214"/>
        </w:tabs>
        <w:ind w:firstLine="426"/>
      </w:pPr>
      <w:r>
        <w:t xml:space="preserve">                                                                                                       </w:t>
      </w:r>
    </w:p>
    <w:p w14:paraId="34D9CC95" w14:textId="77777777" w:rsidR="000923BB" w:rsidRDefault="00C335C2" w:rsidP="000923BB">
      <w:pPr>
        <w:pStyle w:val="Header"/>
        <w:tabs>
          <w:tab w:val="left" w:pos="709"/>
          <w:tab w:val="left" w:pos="1985"/>
          <w:tab w:val="left" w:pos="2835"/>
          <w:tab w:val="left" w:pos="3969"/>
          <w:tab w:val="left" w:pos="5245"/>
          <w:tab w:val="left" w:pos="6379"/>
          <w:tab w:val="left" w:pos="7797"/>
          <w:tab w:val="left" w:pos="9214"/>
        </w:tabs>
        <w:ind w:firstLine="426"/>
      </w:pPr>
      <w:r>
        <w:tab/>
      </w:r>
      <w:r>
        <w:tab/>
      </w:r>
      <w:r>
        <w:tab/>
      </w:r>
      <w:r>
        <w:tab/>
      </w:r>
      <w:r>
        <w:tab/>
      </w:r>
      <w:r>
        <w:tab/>
      </w:r>
      <w:r w:rsidR="000923BB">
        <w:t xml:space="preserve">not recorded           </w:t>
      </w:r>
      <w:r w:rsidR="000923BB">
        <w:sym w:font="Monotype Sorts" w:char="F071"/>
      </w:r>
    </w:p>
    <w:p w14:paraId="228A4B2B" w14:textId="77777777" w:rsidR="000923BB" w:rsidRDefault="000923BB" w:rsidP="000923BB">
      <w:pPr>
        <w:pStyle w:val="Header"/>
        <w:tabs>
          <w:tab w:val="left" w:pos="709"/>
          <w:tab w:val="left" w:pos="1985"/>
          <w:tab w:val="left" w:pos="2835"/>
          <w:tab w:val="left" w:pos="5245"/>
          <w:tab w:val="left" w:pos="6379"/>
          <w:tab w:val="left" w:pos="7797"/>
          <w:tab w:val="left" w:pos="9214"/>
        </w:tabs>
        <w:ind w:firstLine="426"/>
      </w:pPr>
    </w:p>
    <w:p w14:paraId="2E727EB3" w14:textId="28567511" w:rsidR="000923BB" w:rsidRDefault="00003011" w:rsidP="000923BB">
      <w:pPr>
        <w:pStyle w:val="Header"/>
        <w:tabs>
          <w:tab w:val="left" w:pos="709"/>
          <w:tab w:val="left" w:pos="1985"/>
          <w:tab w:val="left" w:pos="2835"/>
          <w:tab w:val="left" w:pos="3969"/>
          <w:tab w:val="left" w:pos="5245"/>
          <w:tab w:val="left" w:pos="6379"/>
          <w:tab w:val="left" w:pos="7797"/>
          <w:tab w:val="left" w:pos="9214"/>
        </w:tabs>
        <w:ind w:firstLine="426"/>
      </w:pPr>
      <w:r>
        <w:rPr>
          <w:noProof/>
        </w:rPr>
        <mc:AlternateContent>
          <mc:Choice Requires="wps">
            <w:drawing>
              <wp:anchor distT="0" distB="0" distL="114300" distR="114300" simplePos="0" relativeHeight="252646400" behindDoc="0" locked="0" layoutInCell="0" allowOverlap="1" wp14:anchorId="38D067E1" wp14:editId="657A853D">
                <wp:simplePos x="0" y="0"/>
                <wp:positionH relativeFrom="column">
                  <wp:posOffset>1837055</wp:posOffset>
                </wp:positionH>
                <wp:positionV relativeFrom="paragraph">
                  <wp:posOffset>28575</wp:posOffset>
                </wp:positionV>
                <wp:extent cx="651510" cy="260985"/>
                <wp:effectExtent l="8255" t="13970" r="6985" b="10795"/>
                <wp:wrapNone/>
                <wp:docPr id="5" name="Rectangle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260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F75E7" id="Rectangle 1020" o:spid="_x0000_s1026" style="position:absolute;margin-left:144.65pt;margin-top:2.25pt;width:51.3pt;height:20.55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" o:allowincell="f"/>
            </w:pict>
          </mc:Fallback>
        </mc:AlternateContent>
      </w:r>
      <w:r w:rsidR="000923BB">
        <w:tab/>
      </w:r>
      <w:r w:rsidR="000923BB">
        <w:tab/>
        <w:t>glucose</w:t>
      </w:r>
      <w:r w:rsidR="000923BB">
        <w:tab/>
      </w:r>
      <w:r w:rsidR="000923BB">
        <w:tab/>
      </w:r>
      <w:r w:rsidR="000923BB">
        <w:tab/>
        <w:t>mg/dl / mmol/l</w:t>
      </w:r>
      <w:r w:rsidR="000923BB">
        <w:tab/>
      </w:r>
    </w:p>
    <w:p w14:paraId="797356D7" w14:textId="77777777" w:rsidR="000923BB" w:rsidRDefault="000923BB" w:rsidP="000923BB">
      <w:pPr>
        <w:pStyle w:val="Header"/>
        <w:tabs>
          <w:tab w:val="left" w:pos="709"/>
          <w:tab w:val="left" w:pos="1985"/>
          <w:tab w:val="left" w:pos="2835"/>
          <w:tab w:val="left" w:pos="3969"/>
          <w:tab w:val="left" w:pos="5245"/>
          <w:tab w:val="left" w:pos="6379"/>
          <w:tab w:val="left" w:pos="7797"/>
          <w:tab w:val="left" w:pos="9214"/>
        </w:tabs>
        <w:ind w:firstLine="426"/>
      </w:pPr>
      <w:r>
        <w:t>not recorded</w:t>
      </w:r>
      <w:r>
        <w:tab/>
      </w:r>
      <w:r>
        <w:sym w:font="Monotype Sorts" w:char="F071"/>
      </w:r>
    </w:p>
    <w:p w14:paraId="58D770B0" w14:textId="77777777" w:rsidR="000923BB" w:rsidRDefault="000923BB" w:rsidP="000923BB">
      <w:pPr>
        <w:pStyle w:val="Header"/>
        <w:tabs>
          <w:tab w:val="left" w:pos="709"/>
          <w:tab w:val="left" w:pos="1985"/>
          <w:tab w:val="left" w:pos="2835"/>
          <w:tab w:val="left" w:pos="3969"/>
          <w:tab w:val="left" w:pos="4820"/>
          <w:tab w:val="left" w:pos="6379"/>
          <w:tab w:val="left" w:pos="7371"/>
          <w:tab w:val="left" w:pos="9072"/>
        </w:tabs>
      </w:pPr>
    </w:p>
    <w:p w14:paraId="5C0AF012" w14:textId="77777777" w:rsidR="000923BB" w:rsidRDefault="000923BB" w:rsidP="000923BB">
      <w:pPr>
        <w:pStyle w:val="Header"/>
        <w:keepNext/>
        <w:pBdr>
          <w:top w:val="dotted" w:sz="4" w:space="13" w:color="auto"/>
        </w:pBdr>
        <w:tabs>
          <w:tab w:val="left" w:pos="2835"/>
          <w:tab w:val="left" w:pos="4820"/>
          <w:tab w:val="left" w:pos="6379"/>
          <w:tab w:val="left" w:pos="7371"/>
          <w:tab w:val="left" w:pos="9072"/>
        </w:tabs>
        <w:rPr>
          <w:noProof/>
        </w:rPr>
      </w:pPr>
      <w:r>
        <w:rPr>
          <w:noProof/>
        </w:rPr>
        <w:t>18. Is there a record for any of the following used to assess functional capacity?</w:t>
      </w:r>
    </w:p>
    <w:p w14:paraId="2AA8BE1A" w14:textId="77777777" w:rsidR="000923BB" w:rsidRDefault="000923BB" w:rsidP="000923BB">
      <w:pPr>
        <w:pStyle w:val="Header"/>
        <w:tabs>
          <w:tab w:val="left" w:pos="2835"/>
          <w:tab w:val="left" w:pos="4820"/>
          <w:tab w:val="left" w:pos="6379"/>
          <w:tab w:val="left" w:pos="7371"/>
          <w:tab w:val="left" w:pos="9072"/>
        </w:tabs>
      </w:pPr>
    </w:p>
    <w:p w14:paraId="2691C3F0" w14:textId="77777777" w:rsidR="000923BB" w:rsidRDefault="000923BB" w:rsidP="000923BB">
      <w:pPr>
        <w:pStyle w:val="Header"/>
        <w:tabs>
          <w:tab w:val="left" w:pos="2835"/>
          <w:tab w:val="left" w:pos="4820"/>
          <w:tab w:val="left" w:pos="6379"/>
          <w:tab w:val="left" w:pos="7371"/>
          <w:tab w:val="left" w:pos="9072"/>
        </w:tabs>
        <w:ind w:left="720"/>
      </w:pPr>
      <w:r>
        <w:t>Tick all that apply:</w:t>
      </w:r>
    </w:p>
    <w:p w14:paraId="41169585" w14:textId="77777777" w:rsidR="000923BB" w:rsidRDefault="000923BB" w:rsidP="000923BB">
      <w:pPr>
        <w:pStyle w:val="Header"/>
        <w:tabs>
          <w:tab w:val="left" w:pos="2835"/>
          <w:tab w:val="left" w:pos="4820"/>
          <w:tab w:val="left" w:pos="6379"/>
          <w:tab w:val="left" w:pos="7371"/>
          <w:tab w:val="left" w:pos="9072"/>
        </w:tabs>
        <w:ind w:left="720"/>
      </w:pPr>
    </w:p>
    <w:p w14:paraId="1A72E629" w14:textId="77777777" w:rsidR="000923BB" w:rsidRDefault="000923BB" w:rsidP="000923BB">
      <w:pPr>
        <w:pStyle w:val="Header"/>
        <w:tabs>
          <w:tab w:val="left" w:pos="2127"/>
          <w:tab w:val="left" w:pos="4253"/>
          <w:tab w:val="left" w:pos="6237"/>
          <w:tab w:val="left" w:pos="7371"/>
          <w:tab w:val="left" w:pos="9072"/>
        </w:tabs>
        <w:ind w:left="720"/>
      </w:pPr>
      <w:r>
        <w:t>breathlessness scale (eg NYHA scal</w:t>
      </w:r>
      <w:r w:rsidR="007D7C0C">
        <w:t>e)</w:t>
      </w:r>
      <w:r>
        <w:sym w:font="Monotype Sorts" w:char="F071"/>
      </w:r>
    </w:p>
    <w:p w14:paraId="44F47A60" w14:textId="77777777" w:rsidR="000923BB" w:rsidRDefault="000923BB" w:rsidP="000923BB">
      <w:pPr>
        <w:pStyle w:val="Header"/>
        <w:tabs>
          <w:tab w:val="left" w:pos="2127"/>
          <w:tab w:val="left" w:pos="4253"/>
          <w:tab w:val="left" w:pos="6237"/>
          <w:tab w:val="left" w:pos="7371"/>
          <w:tab w:val="left" w:pos="9072"/>
        </w:tabs>
      </w:pPr>
      <w:r>
        <w:t>objective measure of O2 capacity</w:t>
      </w:r>
      <w:r>
        <w:tab/>
      </w:r>
    </w:p>
    <w:p w14:paraId="720799A7" w14:textId="77777777" w:rsidR="000923BB" w:rsidRDefault="000923BB" w:rsidP="000923BB">
      <w:pPr>
        <w:pStyle w:val="Header"/>
        <w:tabs>
          <w:tab w:val="left" w:pos="2127"/>
          <w:tab w:val="left" w:pos="3261"/>
          <w:tab w:val="left" w:pos="4678"/>
          <w:tab w:val="left" w:pos="7371"/>
          <w:tab w:val="left" w:pos="9072"/>
        </w:tabs>
      </w:pPr>
      <w:r>
        <w:t>treadmill tes</w:t>
      </w:r>
      <w:r w:rsidR="007D7C0C">
        <w:t>t without O2 consumption test</w:t>
      </w:r>
      <w:r w:rsidR="007D7C0C">
        <w:tab/>
      </w:r>
      <w:r w:rsidR="007D7C0C">
        <w:tab/>
      </w:r>
      <w:r>
        <w:sym w:font="Monotype Sorts" w:char="F071"/>
      </w:r>
    </w:p>
    <w:p w14:paraId="289E8146" w14:textId="77777777" w:rsidR="000923BB" w:rsidRDefault="000923BB" w:rsidP="000923BB">
      <w:pPr>
        <w:pStyle w:val="Header"/>
        <w:tabs>
          <w:tab w:val="left" w:pos="2835"/>
          <w:tab w:val="left" w:pos="3261"/>
          <w:tab w:val="left" w:pos="4678"/>
          <w:tab w:val="left" w:pos="7371"/>
          <w:tab w:val="left" w:pos="9072"/>
        </w:tabs>
      </w:pPr>
      <w:r>
        <w:t>cardiopulmonary exe</w:t>
      </w:r>
      <w:r w:rsidR="007D7C0C">
        <w:t>rcise test with Os consumption</w:t>
      </w:r>
      <w:r>
        <w:sym w:font="Monotype Sorts" w:char="F071"/>
      </w:r>
    </w:p>
    <w:p w14:paraId="63D21998" w14:textId="77777777" w:rsidR="000923BB" w:rsidRDefault="000923BB" w:rsidP="000923BB">
      <w:pPr>
        <w:pStyle w:val="Header"/>
        <w:tabs>
          <w:tab w:val="left" w:pos="2127"/>
          <w:tab w:val="left" w:pos="4253"/>
          <w:tab w:val="left" w:pos="6237"/>
          <w:tab w:val="left" w:pos="9072"/>
        </w:tabs>
      </w:pPr>
      <w:r>
        <w:t>none recorded</w:t>
      </w:r>
      <w:r>
        <w:tab/>
      </w:r>
      <w:r>
        <w:tab/>
      </w:r>
      <w:r>
        <w:tab/>
      </w:r>
      <w:r>
        <w:tab/>
      </w:r>
      <w:r>
        <w:sym w:font="Monotype Sorts" w:char="F071"/>
      </w:r>
    </w:p>
    <w:p w14:paraId="0E2CBAC8" w14:textId="77777777" w:rsidR="000923BB" w:rsidRDefault="000923BB" w:rsidP="000923BB">
      <w:pPr>
        <w:pStyle w:val="Header"/>
        <w:tabs>
          <w:tab w:val="left" w:pos="2127"/>
          <w:tab w:val="left" w:pos="4253"/>
          <w:tab w:val="left" w:pos="6237"/>
          <w:tab w:val="left" w:pos="9072"/>
        </w:tabs>
      </w:pPr>
    </w:p>
    <w:p w14:paraId="650646F9" w14:textId="77777777" w:rsidR="000923BB" w:rsidRDefault="000923BB" w:rsidP="000923BB">
      <w:pPr>
        <w:pStyle w:val="Header"/>
        <w:keepNext/>
        <w:pBdr>
          <w:top w:val="dotted" w:sz="4" w:space="10" w:color="auto"/>
        </w:pBdr>
        <w:tabs>
          <w:tab w:val="left" w:pos="2835"/>
          <w:tab w:val="left" w:pos="4820"/>
          <w:tab w:val="left" w:pos="6379"/>
          <w:tab w:val="left" w:pos="7371"/>
          <w:tab w:val="left" w:pos="9072"/>
        </w:tabs>
        <w:ind w:left="426" w:hanging="426"/>
      </w:pPr>
      <w:r>
        <w:t>19. Is there a record of raised jugular venous pressure</w:t>
      </w:r>
      <w:r>
        <w:br/>
        <w:t>(also called jugular venous distension)</w:t>
      </w:r>
    </w:p>
    <w:p w14:paraId="3CDDA0C3" w14:textId="77777777" w:rsidR="000923BB" w:rsidRDefault="000923BB" w:rsidP="000923BB">
      <w:pPr>
        <w:pStyle w:val="Header"/>
        <w:tabs>
          <w:tab w:val="left" w:pos="2835"/>
          <w:tab w:val="left" w:pos="4820"/>
          <w:tab w:val="left" w:pos="6379"/>
          <w:tab w:val="left" w:pos="9072"/>
        </w:tabs>
      </w:pPr>
      <w:r>
        <w:tab/>
      </w:r>
      <w:r>
        <w:tab/>
      </w:r>
      <w:r>
        <w:tab/>
        <w:t>yes – elevated</w:t>
      </w:r>
      <w:r>
        <w:tab/>
      </w:r>
      <w:r>
        <w:sym w:font="Monotype Sorts" w:char="F071"/>
      </w:r>
    </w:p>
    <w:p w14:paraId="1D6D3EAB" w14:textId="77777777" w:rsidR="000923BB" w:rsidRDefault="007D7C0C" w:rsidP="000923BB">
      <w:pPr>
        <w:pStyle w:val="Header"/>
        <w:tabs>
          <w:tab w:val="left" w:pos="2835"/>
          <w:tab w:val="left" w:pos="4820"/>
          <w:tab w:val="left" w:pos="6379"/>
          <w:tab w:val="left" w:pos="9072"/>
        </w:tabs>
      </w:pPr>
      <w:r>
        <w:tab/>
      </w:r>
      <w:r>
        <w:tab/>
      </w:r>
      <w:r>
        <w:tab/>
        <w:t>yes – not elevated</w:t>
      </w:r>
      <w:r w:rsidR="000923BB">
        <w:sym w:font="Monotype Sorts" w:char="F071"/>
      </w:r>
    </w:p>
    <w:p w14:paraId="0309FA32" w14:textId="77777777" w:rsidR="000923BB" w:rsidRDefault="000923BB" w:rsidP="000923BB">
      <w:pPr>
        <w:pStyle w:val="Header"/>
        <w:tabs>
          <w:tab w:val="left" w:pos="2835"/>
          <w:tab w:val="left" w:pos="4820"/>
          <w:tab w:val="left" w:pos="6379"/>
          <w:tab w:val="left" w:pos="9072"/>
        </w:tabs>
      </w:pPr>
      <w:r>
        <w:tab/>
      </w:r>
      <w:r>
        <w:tab/>
      </w:r>
      <w:r>
        <w:tab/>
        <w:t>not recorded</w:t>
      </w:r>
      <w:r>
        <w:tab/>
      </w:r>
      <w:r>
        <w:sym w:font="Monotype Sorts" w:char="F071"/>
      </w:r>
    </w:p>
    <w:p w14:paraId="30CFFC00" w14:textId="77777777" w:rsidR="000923BB" w:rsidRDefault="000923BB" w:rsidP="000923BB">
      <w:pPr>
        <w:pStyle w:val="Header"/>
        <w:tabs>
          <w:tab w:val="left" w:pos="2835"/>
          <w:tab w:val="left" w:pos="4820"/>
          <w:tab w:val="left" w:pos="6379"/>
          <w:tab w:val="left" w:pos="9072"/>
        </w:tabs>
      </w:pPr>
    </w:p>
    <w:p w14:paraId="36034972" w14:textId="77777777" w:rsidR="000923BB" w:rsidRDefault="000923BB" w:rsidP="000923BB">
      <w:pPr>
        <w:pStyle w:val="Header"/>
        <w:pBdr>
          <w:top w:val="dotted" w:sz="4" w:space="10" w:color="auto"/>
        </w:pBdr>
        <w:tabs>
          <w:tab w:val="left" w:pos="2835"/>
          <w:tab w:val="left" w:pos="4820"/>
          <w:tab w:val="left" w:pos="6379"/>
          <w:tab w:val="left" w:pos="9072"/>
        </w:tabs>
      </w:pPr>
      <w:r>
        <w:t xml:space="preserve">20. Is there </w:t>
      </w:r>
      <w:r w:rsidR="007D7C0C">
        <w:t>a record of peripheral oedema?</w:t>
      </w:r>
      <w:r w:rsidR="007D7C0C">
        <w:tab/>
      </w:r>
      <w:r>
        <w:t>yes - present</w:t>
      </w:r>
      <w:r>
        <w:tab/>
      </w:r>
      <w:r>
        <w:sym w:font="Monotype Sorts" w:char="F071"/>
      </w:r>
    </w:p>
    <w:p w14:paraId="372562CC" w14:textId="77777777" w:rsidR="000923BB" w:rsidRDefault="007D7C0C" w:rsidP="000923BB">
      <w:pPr>
        <w:pStyle w:val="Header"/>
        <w:pBdr>
          <w:top w:val="dotted" w:sz="4" w:space="10" w:color="auto"/>
        </w:pBdr>
        <w:tabs>
          <w:tab w:val="left" w:pos="2835"/>
          <w:tab w:val="left" w:pos="4820"/>
          <w:tab w:val="left" w:pos="6379"/>
          <w:tab w:val="left" w:pos="9072"/>
        </w:tabs>
      </w:pPr>
      <w:r>
        <w:tab/>
      </w:r>
      <w:r>
        <w:tab/>
      </w:r>
      <w:r>
        <w:tab/>
        <w:t>yes – not present</w:t>
      </w:r>
      <w:r w:rsidR="000923BB">
        <w:sym w:font="Monotype Sorts" w:char="F071"/>
      </w:r>
    </w:p>
    <w:p w14:paraId="304BF16B" w14:textId="77777777" w:rsidR="000923BB" w:rsidRDefault="000923BB" w:rsidP="000923BB">
      <w:pPr>
        <w:pStyle w:val="Header"/>
        <w:tabs>
          <w:tab w:val="left" w:pos="2835"/>
          <w:tab w:val="left" w:pos="4820"/>
          <w:tab w:val="left" w:pos="6379"/>
          <w:tab w:val="left" w:pos="9072"/>
        </w:tabs>
      </w:pPr>
      <w:r>
        <w:tab/>
      </w:r>
      <w:r>
        <w:tab/>
      </w:r>
      <w:r>
        <w:tab/>
        <w:t>not recorded</w:t>
      </w:r>
      <w:r>
        <w:tab/>
      </w:r>
      <w:r>
        <w:sym w:font="Monotype Sorts" w:char="F071"/>
      </w:r>
    </w:p>
    <w:p w14:paraId="6C797062" w14:textId="77777777" w:rsidR="000923BB" w:rsidRDefault="000923BB" w:rsidP="000923BB">
      <w:pPr>
        <w:pStyle w:val="Header"/>
        <w:tabs>
          <w:tab w:val="left" w:pos="2835"/>
          <w:tab w:val="left" w:pos="4820"/>
          <w:tab w:val="left" w:pos="5245"/>
          <w:tab w:val="left" w:pos="6379"/>
          <w:tab w:val="left" w:pos="7371"/>
          <w:tab w:val="left" w:pos="9072"/>
        </w:tabs>
        <w:ind w:left="720"/>
      </w:pPr>
      <w:r>
        <w:t>If present, was it?</w:t>
      </w:r>
    </w:p>
    <w:p w14:paraId="09D949A1" w14:textId="77777777" w:rsidR="000923BB" w:rsidRDefault="007D7C0C" w:rsidP="000923BB">
      <w:pPr>
        <w:pStyle w:val="Header"/>
        <w:tabs>
          <w:tab w:val="left" w:pos="2835"/>
          <w:tab w:val="left" w:pos="4820"/>
          <w:tab w:val="left" w:pos="6379"/>
          <w:tab w:val="left" w:pos="9072"/>
        </w:tabs>
      </w:pPr>
      <w:r>
        <w:tab/>
      </w:r>
      <w:r>
        <w:tab/>
      </w:r>
      <w:r>
        <w:tab/>
        <w:t>leg/swollen ankles</w:t>
      </w:r>
      <w:r w:rsidR="000923BB">
        <w:sym w:font="Monotype Sorts" w:char="F071"/>
      </w:r>
    </w:p>
    <w:p w14:paraId="6FEA59DC" w14:textId="77777777" w:rsidR="000923BB" w:rsidRDefault="000923BB" w:rsidP="000923BB">
      <w:pPr>
        <w:pStyle w:val="Header"/>
        <w:tabs>
          <w:tab w:val="left" w:pos="2835"/>
          <w:tab w:val="left" w:pos="4820"/>
          <w:tab w:val="left" w:pos="6379"/>
          <w:tab w:val="left" w:pos="9072"/>
        </w:tabs>
      </w:pPr>
      <w:r>
        <w:tab/>
      </w:r>
      <w:r>
        <w:tab/>
      </w:r>
      <w:r>
        <w:tab/>
        <w:t>sacral</w:t>
      </w:r>
      <w:r>
        <w:tab/>
      </w:r>
      <w:r>
        <w:sym w:font="Monotype Sorts" w:char="F071"/>
      </w:r>
    </w:p>
    <w:p w14:paraId="0C864BDB" w14:textId="77777777" w:rsidR="000923BB" w:rsidRDefault="000923BB" w:rsidP="000923BB">
      <w:pPr>
        <w:pStyle w:val="Header"/>
        <w:tabs>
          <w:tab w:val="left" w:pos="2835"/>
          <w:tab w:val="left" w:pos="4820"/>
          <w:tab w:val="left" w:pos="6379"/>
          <w:tab w:val="left" w:pos="9072"/>
        </w:tabs>
      </w:pPr>
      <w:r>
        <w:tab/>
      </w:r>
      <w:r>
        <w:tab/>
      </w:r>
      <w:r>
        <w:tab/>
        <w:t>not recorded</w:t>
      </w:r>
      <w:r>
        <w:tab/>
      </w:r>
      <w:r>
        <w:sym w:font="Monotype Sorts" w:char="F071"/>
      </w:r>
    </w:p>
    <w:p w14:paraId="1718B8A6" w14:textId="77777777" w:rsidR="000923BB" w:rsidRDefault="000923BB" w:rsidP="000923BB">
      <w:pPr>
        <w:pStyle w:val="Header"/>
        <w:tabs>
          <w:tab w:val="left" w:pos="2835"/>
          <w:tab w:val="left" w:pos="4820"/>
          <w:tab w:val="left" w:pos="5245"/>
          <w:tab w:val="left" w:pos="6379"/>
          <w:tab w:val="left" w:pos="7371"/>
          <w:tab w:val="left" w:pos="9072"/>
        </w:tabs>
        <w:ind w:left="720"/>
      </w:pPr>
    </w:p>
    <w:p w14:paraId="2A70729A" w14:textId="77777777" w:rsidR="000923BB" w:rsidRDefault="000923BB" w:rsidP="000923BB">
      <w:pPr>
        <w:pStyle w:val="Header"/>
        <w:keepNext/>
        <w:pBdr>
          <w:top w:val="dotted" w:sz="4" w:space="10" w:color="auto"/>
        </w:pBdr>
        <w:tabs>
          <w:tab w:val="left" w:pos="2835"/>
          <w:tab w:val="left" w:pos="4820"/>
          <w:tab w:val="left" w:pos="6379"/>
          <w:tab w:val="left" w:pos="7371"/>
          <w:tab w:val="left" w:pos="9072"/>
        </w:tabs>
        <w:rPr>
          <w:noProof/>
        </w:rPr>
      </w:pPr>
      <w:r>
        <w:t>21</w:t>
      </w:r>
      <w:r>
        <w:rPr>
          <w:noProof/>
        </w:rPr>
        <w:t>. What was first blood pressure (on arrival)?</w:t>
      </w:r>
    </w:p>
    <w:p w14:paraId="36E93D8F" w14:textId="77777777" w:rsidR="000923BB" w:rsidRDefault="000923BB" w:rsidP="000923BB">
      <w:pPr>
        <w:pStyle w:val="Header"/>
        <w:tabs>
          <w:tab w:val="left" w:pos="2835"/>
          <w:tab w:val="left" w:pos="4820"/>
          <w:tab w:val="left" w:pos="5245"/>
          <w:tab w:val="left" w:pos="6379"/>
          <w:tab w:val="left" w:pos="7371"/>
          <w:tab w:val="left" w:pos="9072"/>
        </w:tabs>
        <w:ind w:left="720"/>
      </w:pPr>
    </w:p>
    <w:p w14:paraId="2CEB78F5" w14:textId="7C70A70D" w:rsidR="000923BB" w:rsidRDefault="00003011" w:rsidP="000923BB">
      <w:pPr>
        <w:pStyle w:val="Header"/>
        <w:tabs>
          <w:tab w:val="left" w:pos="2835"/>
          <w:tab w:val="left" w:pos="4820"/>
          <w:tab w:val="left" w:pos="5103"/>
          <w:tab w:val="left" w:pos="6379"/>
          <w:tab w:val="left" w:pos="7371"/>
          <w:tab w:val="left" w:pos="9072"/>
        </w:tabs>
        <w:ind w:left="1134"/>
      </w:pPr>
      <w:r>
        <w:rPr>
          <w:noProof/>
        </w:rPr>
        <mc:AlternateContent>
          <mc:Choice Requires="wps">
            <w:drawing>
              <wp:anchor distT="0" distB="0" distL="114300" distR="114300" simplePos="0" relativeHeight="252648448" behindDoc="0" locked="0" layoutInCell="0" allowOverlap="1" wp14:anchorId="2E2E0160" wp14:editId="2F5F774E">
                <wp:simplePos x="0" y="0"/>
                <wp:positionH relativeFrom="column">
                  <wp:posOffset>1894205</wp:posOffset>
                </wp:positionH>
                <wp:positionV relativeFrom="paragraph">
                  <wp:posOffset>45720</wp:posOffset>
                </wp:positionV>
                <wp:extent cx="775970" cy="260985"/>
                <wp:effectExtent l="8255" t="5715" r="6350" b="9525"/>
                <wp:wrapNone/>
                <wp:docPr id="3" name="Rectangl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260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9126F" id="Rectangle 1022" o:spid="_x0000_s1026" style="position:absolute;margin-left:149.15pt;margin-top:3.6pt;width:61.1pt;height:20.5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" o:allowincell="f"/>
            </w:pict>
          </mc:Fallback>
        </mc:AlternateContent>
      </w:r>
      <w:r w:rsidR="000923BB">
        <w:tab/>
      </w:r>
      <w:r w:rsidR="000923BB">
        <w:tab/>
      </w:r>
      <w:r w:rsidR="000923BB">
        <w:tab/>
      </w:r>
      <w:r w:rsidR="000923BB">
        <w:tab/>
        <w:t>mmHg</w:t>
      </w:r>
    </w:p>
    <w:p w14:paraId="608C18F5" w14:textId="77777777" w:rsidR="000923BB" w:rsidRDefault="000923BB" w:rsidP="000923BB">
      <w:pPr>
        <w:pStyle w:val="Header"/>
        <w:tabs>
          <w:tab w:val="left" w:pos="2835"/>
          <w:tab w:val="left" w:pos="4820"/>
          <w:tab w:val="left" w:pos="5103"/>
          <w:tab w:val="left" w:pos="6379"/>
          <w:tab w:val="left" w:pos="7371"/>
          <w:tab w:val="left" w:pos="9072"/>
        </w:tabs>
        <w:ind w:left="1134"/>
      </w:pPr>
    </w:p>
    <w:p w14:paraId="79A6538E" w14:textId="77777777" w:rsidR="000923BB" w:rsidRDefault="007D7C0C" w:rsidP="000923BB">
      <w:pPr>
        <w:pStyle w:val="Header"/>
        <w:tabs>
          <w:tab w:val="left" w:pos="2835"/>
          <w:tab w:val="left" w:pos="4820"/>
          <w:tab w:val="left" w:pos="5103"/>
          <w:tab w:val="left" w:pos="6379"/>
          <w:tab w:val="left" w:pos="7371"/>
          <w:tab w:val="left" w:pos="9072"/>
        </w:tabs>
        <w:ind w:left="1134"/>
      </w:pPr>
      <w:r>
        <w:tab/>
      </w:r>
      <w:r>
        <w:tab/>
      </w:r>
      <w:r>
        <w:tab/>
      </w:r>
      <w:r w:rsidR="000923BB">
        <w:t>not recorded</w:t>
      </w:r>
      <w:r w:rsidR="000923BB">
        <w:tab/>
      </w:r>
      <w:r w:rsidR="000923BB">
        <w:sym w:font="Monotype Sorts" w:char="F071"/>
      </w:r>
    </w:p>
    <w:p w14:paraId="7CE065A5" w14:textId="77777777" w:rsidR="000923BB" w:rsidRDefault="000923BB" w:rsidP="000923BB">
      <w:pPr>
        <w:pStyle w:val="Header"/>
        <w:tabs>
          <w:tab w:val="left" w:pos="2835"/>
          <w:tab w:val="left" w:pos="4820"/>
          <w:tab w:val="left" w:pos="6379"/>
          <w:tab w:val="left" w:pos="9072"/>
        </w:tabs>
      </w:pPr>
    </w:p>
    <w:p w14:paraId="47A85CE8" w14:textId="77777777" w:rsidR="000923BB" w:rsidRDefault="000923BB" w:rsidP="000923BB">
      <w:pPr>
        <w:pStyle w:val="Header"/>
        <w:rPr>
          <w:b/>
          <w:sz w:val="32"/>
          <w:u w:val="single"/>
        </w:rPr>
      </w:pPr>
      <w:r>
        <w:br w:type="page"/>
      </w:r>
      <w:r>
        <w:rPr>
          <w:b/>
          <w:sz w:val="32"/>
          <w:u w:val="single"/>
        </w:rPr>
        <w:lastRenderedPageBreak/>
        <w:t>Initial management</w:t>
      </w:r>
    </w:p>
    <w:p w14:paraId="210114C3" w14:textId="77777777" w:rsidR="000923BB" w:rsidRDefault="000923BB" w:rsidP="000923BB">
      <w:pPr>
        <w:tabs>
          <w:tab w:val="left" w:pos="2835"/>
          <w:tab w:val="left" w:pos="4820"/>
          <w:tab w:val="left" w:pos="7371"/>
          <w:tab w:val="left" w:pos="9072"/>
        </w:tabs>
      </w:pPr>
    </w:p>
    <w:p w14:paraId="41864692" w14:textId="77777777" w:rsidR="000923BB" w:rsidRDefault="000923BB" w:rsidP="000923BB">
      <w:pPr>
        <w:pStyle w:val="Header"/>
        <w:pBdr>
          <w:top w:val="dotted" w:sz="4" w:space="10" w:color="auto"/>
        </w:pBdr>
        <w:tabs>
          <w:tab w:val="left" w:pos="2835"/>
          <w:tab w:val="left" w:pos="4820"/>
          <w:tab w:val="left" w:pos="6379"/>
          <w:tab w:val="left" w:pos="7371"/>
          <w:tab w:val="left" w:pos="9072"/>
        </w:tabs>
      </w:pPr>
      <w:r>
        <w:t>22. For each of the following medications, is it recorded if the patient was prescribed</w:t>
      </w:r>
    </w:p>
    <w:p w14:paraId="574E1EB0" w14:textId="77777777" w:rsidR="000923BB" w:rsidRDefault="000923BB" w:rsidP="000923BB">
      <w:pPr>
        <w:pStyle w:val="Header"/>
        <w:pBdr>
          <w:top w:val="dotted" w:sz="4" w:space="10" w:color="auto"/>
        </w:pBdr>
        <w:tabs>
          <w:tab w:val="left" w:pos="2835"/>
          <w:tab w:val="left" w:pos="4820"/>
          <w:tab w:val="left" w:pos="6379"/>
          <w:tab w:val="left" w:pos="7371"/>
          <w:tab w:val="left" w:pos="9072"/>
        </w:tabs>
      </w:pPr>
    </w:p>
    <w:p w14:paraId="6AFC22FF" w14:textId="77777777" w:rsidR="000923BB" w:rsidRDefault="000923BB" w:rsidP="000923BB">
      <w:pPr>
        <w:pStyle w:val="Header"/>
        <w:pBdr>
          <w:top w:val="dotted" w:sz="4" w:space="10" w:color="auto"/>
        </w:pBdr>
        <w:tabs>
          <w:tab w:val="left" w:pos="2835"/>
          <w:tab w:val="left" w:pos="4820"/>
          <w:tab w:val="left" w:pos="6379"/>
          <w:tab w:val="left" w:pos="7371"/>
          <w:tab w:val="left" w:pos="9072"/>
        </w:tabs>
      </w:pPr>
      <w:r>
        <w:tab/>
        <w:t>diuretic</w:t>
      </w:r>
    </w:p>
    <w:p w14:paraId="65D78167" w14:textId="77777777" w:rsidR="000923BB" w:rsidRDefault="007D7C0C" w:rsidP="000923BB">
      <w:pPr>
        <w:pStyle w:val="Header"/>
        <w:pBdr>
          <w:top w:val="dotted" w:sz="4" w:space="10" w:color="auto"/>
        </w:pBdr>
        <w:tabs>
          <w:tab w:val="left" w:pos="2835"/>
          <w:tab w:val="left" w:pos="4820"/>
          <w:tab w:val="left" w:pos="6379"/>
          <w:tab w:val="left" w:pos="7371"/>
          <w:tab w:val="left" w:pos="9072"/>
        </w:tabs>
      </w:pPr>
      <w:r>
        <w:tab/>
      </w:r>
      <w:r>
        <w:tab/>
      </w:r>
      <w:r>
        <w:tab/>
        <w:t>prior to admission</w:t>
      </w:r>
      <w:r>
        <w:tab/>
      </w:r>
      <w:r w:rsidR="000923BB">
        <w:sym w:font="Monotype Sorts" w:char="F071"/>
      </w:r>
    </w:p>
    <w:p w14:paraId="178C347F" w14:textId="77777777" w:rsidR="000923BB" w:rsidRDefault="007D7C0C" w:rsidP="000923BB">
      <w:pPr>
        <w:pStyle w:val="Header"/>
        <w:tabs>
          <w:tab w:val="left" w:pos="2835"/>
          <w:tab w:val="left" w:pos="4820"/>
          <w:tab w:val="left" w:pos="6379"/>
          <w:tab w:val="left" w:pos="6946"/>
          <w:tab w:val="left" w:pos="9072"/>
        </w:tabs>
      </w:pPr>
      <w:r>
        <w:tab/>
      </w:r>
      <w:r>
        <w:tab/>
      </w:r>
      <w:r>
        <w:tab/>
        <w:t xml:space="preserve">prescribed during stay </w:t>
      </w:r>
      <w:r w:rsidR="000923BB">
        <w:sym w:font="Monotype Sorts" w:char="F071"/>
      </w:r>
    </w:p>
    <w:p w14:paraId="78C6AB13" w14:textId="77777777" w:rsidR="000923BB" w:rsidRDefault="000923BB" w:rsidP="000923BB">
      <w:pPr>
        <w:pStyle w:val="Header"/>
        <w:tabs>
          <w:tab w:val="left" w:pos="2835"/>
          <w:tab w:val="left" w:pos="4820"/>
          <w:tab w:val="left" w:pos="6379"/>
          <w:tab w:val="left" w:pos="6946"/>
          <w:tab w:val="left" w:pos="9072"/>
        </w:tabs>
      </w:pPr>
      <w:r>
        <w:tab/>
      </w:r>
      <w:r>
        <w:tab/>
      </w:r>
      <w:r>
        <w:tab/>
        <w:t>on discharge</w:t>
      </w:r>
      <w:r>
        <w:tab/>
      </w:r>
      <w:r>
        <w:tab/>
      </w:r>
      <w:r>
        <w:sym w:font="Monotype Sorts" w:char="F071"/>
      </w:r>
    </w:p>
    <w:p w14:paraId="789DE7EB" w14:textId="77777777" w:rsidR="000923BB" w:rsidRDefault="000923BB" w:rsidP="000923BB">
      <w:pPr>
        <w:pStyle w:val="Header"/>
        <w:tabs>
          <w:tab w:val="left" w:pos="2835"/>
          <w:tab w:val="left" w:pos="4820"/>
          <w:tab w:val="left" w:pos="6379"/>
          <w:tab w:val="left" w:pos="6946"/>
          <w:tab w:val="left" w:pos="9072"/>
        </w:tabs>
      </w:pPr>
      <w:r>
        <w:tab/>
      </w:r>
      <w:r>
        <w:tab/>
      </w:r>
      <w:r>
        <w:tab/>
        <w:t>not prescribed</w:t>
      </w:r>
      <w:r>
        <w:tab/>
      </w:r>
      <w:r>
        <w:tab/>
      </w:r>
      <w:r>
        <w:sym w:font="Monotype Sorts" w:char="F071"/>
      </w:r>
    </w:p>
    <w:p w14:paraId="5CD7117D" w14:textId="77777777" w:rsidR="000923BB" w:rsidRDefault="000923BB" w:rsidP="000923BB">
      <w:pPr>
        <w:pStyle w:val="Header"/>
        <w:tabs>
          <w:tab w:val="left" w:pos="2835"/>
          <w:tab w:val="left" w:pos="4820"/>
          <w:tab w:val="left" w:pos="6379"/>
          <w:tab w:val="left" w:pos="6946"/>
          <w:tab w:val="left" w:pos="9072"/>
        </w:tabs>
      </w:pPr>
      <w:r>
        <w:tab/>
      </w:r>
      <w:r>
        <w:tab/>
      </w:r>
      <w:r>
        <w:tab/>
        <w:t>not recorded</w:t>
      </w:r>
      <w:r>
        <w:tab/>
      </w:r>
      <w:r>
        <w:tab/>
      </w:r>
      <w:r>
        <w:sym w:font="Monotype Sorts" w:char="F071"/>
      </w:r>
    </w:p>
    <w:p w14:paraId="41C6D0A3" w14:textId="77777777" w:rsidR="000923BB" w:rsidRDefault="000923BB" w:rsidP="000923BB">
      <w:pPr>
        <w:pStyle w:val="Header"/>
        <w:tabs>
          <w:tab w:val="left" w:pos="2835"/>
          <w:tab w:val="left" w:pos="4820"/>
          <w:tab w:val="left" w:pos="6379"/>
          <w:tab w:val="left" w:pos="7371"/>
          <w:tab w:val="left" w:pos="9072"/>
        </w:tabs>
      </w:pPr>
    </w:p>
    <w:p w14:paraId="033ECA18" w14:textId="77777777" w:rsidR="000923BB" w:rsidRDefault="000923BB" w:rsidP="000923BB">
      <w:pPr>
        <w:pStyle w:val="Header"/>
        <w:tabs>
          <w:tab w:val="left" w:pos="2835"/>
          <w:tab w:val="left" w:pos="4820"/>
          <w:tab w:val="left" w:pos="6379"/>
          <w:tab w:val="left" w:pos="7371"/>
          <w:tab w:val="left" w:pos="9072"/>
        </w:tabs>
      </w:pPr>
      <w:r>
        <w:tab/>
        <w:t>ACE inhibitor</w:t>
      </w:r>
    </w:p>
    <w:p w14:paraId="1ADBBC22" w14:textId="77777777" w:rsidR="000923BB" w:rsidRDefault="007D7C0C" w:rsidP="000923BB">
      <w:pPr>
        <w:pStyle w:val="Header"/>
        <w:tabs>
          <w:tab w:val="left" w:pos="2835"/>
          <w:tab w:val="left" w:pos="4820"/>
          <w:tab w:val="left" w:pos="6379"/>
          <w:tab w:val="left" w:pos="7371"/>
          <w:tab w:val="left" w:pos="9072"/>
        </w:tabs>
      </w:pPr>
      <w:r>
        <w:tab/>
      </w:r>
      <w:r>
        <w:tab/>
      </w:r>
      <w:r>
        <w:tab/>
        <w:t>prior to admission</w:t>
      </w:r>
      <w:r>
        <w:tab/>
      </w:r>
      <w:r w:rsidR="000923BB">
        <w:sym w:font="Monotype Sorts" w:char="F071"/>
      </w:r>
    </w:p>
    <w:p w14:paraId="7ACD2DC8" w14:textId="77777777" w:rsidR="000923BB" w:rsidRDefault="007D7C0C" w:rsidP="000923BB">
      <w:pPr>
        <w:pStyle w:val="Header"/>
        <w:tabs>
          <w:tab w:val="left" w:pos="2835"/>
          <w:tab w:val="left" w:pos="4820"/>
          <w:tab w:val="left" w:pos="6379"/>
          <w:tab w:val="left" w:pos="6946"/>
          <w:tab w:val="left" w:pos="9072"/>
        </w:tabs>
      </w:pPr>
      <w:r>
        <w:tab/>
      </w:r>
      <w:r>
        <w:tab/>
      </w:r>
      <w:r>
        <w:tab/>
        <w:t xml:space="preserve">prescribed during stay </w:t>
      </w:r>
      <w:r w:rsidR="000923BB">
        <w:sym w:font="Monotype Sorts" w:char="F071"/>
      </w:r>
    </w:p>
    <w:p w14:paraId="2C6242CD" w14:textId="77777777" w:rsidR="000923BB" w:rsidRDefault="000923BB" w:rsidP="000923BB">
      <w:pPr>
        <w:pStyle w:val="Header"/>
        <w:tabs>
          <w:tab w:val="left" w:pos="2835"/>
          <w:tab w:val="left" w:pos="4820"/>
          <w:tab w:val="left" w:pos="6379"/>
          <w:tab w:val="left" w:pos="6946"/>
          <w:tab w:val="left" w:pos="9072"/>
        </w:tabs>
      </w:pPr>
      <w:r>
        <w:tab/>
      </w:r>
      <w:r>
        <w:tab/>
      </w:r>
      <w:r>
        <w:tab/>
        <w:t>on discharge</w:t>
      </w:r>
      <w:r>
        <w:tab/>
      </w:r>
      <w:r>
        <w:tab/>
      </w:r>
      <w:r>
        <w:sym w:font="Monotype Sorts" w:char="F071"/>
      </w:r>
    </w:p>
    <w:p w14:paraId="50A970BD" w14:textId="77777777" w:rsidR="000923BB" w:rsidRDefault="000923BB" w:rsidP="000923BB">
      <w:pPr>
        <w:pStyle w:val="Header"/>
        <w:tabs>
          <w:tab w:val="left" w:pos="2835"/>
          <w:tab w:val="left" w:pos="4820"/>
          <w:tab w:val="left" w:pos="6379"/>
          <w:tab w:val="left" w:pos="6946"/>
          <w:tab w:val="left" w:pos="9072"/>
        </w:tabs>
      </w:pPr>
      <w:r>
        <w:tab/>
      </w:r>
      <w:r>
        <w:tab/>
      </w:r>
      <w:r>
        <w:tab/>
        <w:t>not prescribed</w:t>
      </w:r>
      <w:r>
        <w:tab/>
      </w:r>
      <w:r>
        <w:tab/>
      </w:r>
      <w:r>
        <w:sym w:font="Monotype Sorts" w:char="F071"/>
      </w:r>
    </w:p>
    <w:p w14:paraId="0F56DA54" w14:textId="77777777" w:rsidR="000923BB" w:rsidRDefault="000923BB" w:rsidP="000923BB">
      <w:pPr>
        <w:pStyle w:val="Header"/>
        <w:tabs>
          <w:tab w:val="left" w:pos="2835"/>
          <w:tab w:val="left" w:pos="4820"/>
          <w:tab w:val="left" w:pos="6379"/>
          <w:tab w:val="left" w:pos="6946"/>
          <w:tab w:val="left" w:pos="9072"/>
        </w:tabs>
      </w:pPr>
      <w:r>
        <w:tab/>
      </w:r>
      <w:r>
        <w:tab/>
      </w:r>
      <w:r>
        <w:tab/>
        <w:t>not recorded</w:t>
      </w:r>
      <w:r>
        <w:tab/>
      </w:r>
      <w:r>
        <w:tab/>
      </w:r>
      <w:r>
        <w:sym w:font="Monotype Sorts" w:char="F071"/>
      </w:r>
    </w:p>
    <w:p w14:paraId="12028FED" w14:textId="77777777" w:rsidR="000923BB" w:rsidRDefault="000923BB" w:rsidP="000923BB">
      <w:pPr>
        <w:pStyle w:val="Header"/>
        <w:tabs>
          <w:tab w:val="left" w:pos="2835"/>
          <w:tab w:val="left" w:pos="4820"/>
          <w:tab w:val="left" w:pos="6379"/>
          <w:tab w:val="left" w:pos="7371"/>
          <w:tab w:val="left" w:pos="9072"/>
        </w:tabs>
      </w:pPr>
    </w:p>
    <w:p w14:paraId="07582E8C" w14:textId="77777777" w:rsidR="000923BB" w:rsidRDefault="000923BB" w:rsidP="000923BB">
      <w:pPr>
        <w:pStyle w:val="Header"/>
        <w:tabs>
          <w:tab w:val="left" w:pos="2835"/>
          <w:tab w:val="left" w:pos="4820"/>
          <w:tab w:val="left" w:pos="6379"/>
          <w:tab w:val="left" w:pos="7371"/>
          <w:tab w:val="left" w:pos="9072"/>
        </w:tabs>
      </w:pPr>
      <w:r>
        <w:tab/>
        <w:t>beta blocker</w:t>
      </w:r>
    </w:p>
    <w:p w14:paraId="5CFE7438" w14:textId="77777777" w:rsidR="000923BB" w:rsidRDefault="007D7C0C" w:rsidP="000923BB">
      <w:pPr>
        <w:pStyle w:val="Header"/>
        <w:tabs>
          <w:tab w:val="left" w:pos="2835"/>
          <w:tab w:val="left" w:pos="4820"/>
          <w:tab w:val="left" w:pos="6379"/>
          <w:tab w:val="left" w:pos="7371"/>
          <w:tab w:val="left" w:pos="9072"/>
        </w:tabs>
      </w:pPr>
      <w:r>
        <w:tab/>
      </w:r>
      <w:r>
        <w:tab/>
      </w:r>
      <w:r>
        <w:tab/>
        <w:t>prior to admission</w:t>
      </w:r>
      <w:r>
        <w:tab/>
      </w:r>
      <w:r w:rsidR="000923BB">
        <w:sym w:font="Monotype Sorts" w:char="F071"/>
      </w:r>
    </w:p>
    <w:p w14:paraId="28BD6D80" w14:textId="77777777" w:rsidR="000923BB" w:rsidRDefault="007D7C0C" w:rsidP="000923BB">
      <w:pPr>
        <w:pStyle w:val="Header"/>
        <w:tabs>
          <w:tab w:val="left" w:pos="2835"/>
          <w:tab w:val="left" w:pos="4820"/>
          <w:tab w:val="left" w:pos="6379"/>
          <w:tab w:val="left" w:pos="6946"/>
          <w:tab w:val="left" w:pos="9072"/>
        </w:tabs>
      </w:pPr>
      <w:r>
        <w:tab/>
      </w:r>
      <w:r>
        <w:tab/>
      </w:r>
      <w:r>
        <w:tab/>
        <w:t xml:space="preserve">prescribed during stay </w:t>
      </w:r>
      <w:r w:rsidR="000923BB">
        <w:sym w:font="Monotype Sorts" w:char="F071"/>
      </w:r>
    </w:p>
    <w:p w14:paraId="061E8339" w14:textId="77777777" w:rsidR="000923BB" w:rsidRDefault="000923BB" w:rsidP="000923BB">
      <w:pPr>
        <w:pStyle w:val="Header"/>
        <w:tabs>
          <w:tab w:val="left" w:pos="2835"/>
          <w:tab w:val="left" w:pos="4820"/>
          <w:tab w:val="left" w:pos="6379"/>
          <w:tab w:val="left" w:pos="6946"/>
          <w:tab w:val="left" w:pos="9072"/>
        </w:tabs>
      </w:pPr>
      <w:r>
        <w:tab/>
      </w:r>
      <w:r>
        <w:tab/>
      </w:r>
      <w:r>
        <w:tab/>
        <w:t>on discharge</w:t>
      </w:r>
      <w:r>
        <w:tab/>
      </w:r>
      <w:r>
        <w:tab/>
      </w:r>
      <w:r>
        <w:sym w:font="Monotype Sorts" w:char="F071"/>
      </w:r>
    </w:p>
    <w:p w14:paraId="5B9CCC44" w14:textId="77777777" w:rsidR="000923BB" w:rsidRDefault="000923BB" w:rsidP="000923BB">
      <w:pPr>
        <w:pStyle w:val="Header"/>
        <w:tabs>
          <w:tab w:val="left" w:pos="2835"/>
          <w:tab w:val="left" w:pos="4820"/>
          <w:tab w:val="left" w:pos="6379"/>
          <w:tab w:val="left" w:pos="6946"/>
          <w:tab w:val="left" w:pos="9072"/>
        </w:tabs>
      </w:pPr>
      <w:r>
        <w:tab/>
      </w:r>
      <w:r>
        <w:tab/>
      </w:r>
      <w:r>
        <w:tab/>
        <w:t>not prescribed</w:t>
      </w:r>
      <w:r>
        <w:tab/>
      </w:r>
      <w:r>
        <w:tab/>
      </w:r>
      <w:r>
        <w:sym w:font="Monotype Sorts" w:char="F071"/>
      </w:r>
    </w:p>
    <w:p w14:paraId="29552D23" w14:textId="77777777" w:rsidR="000923BB" w:rsidRDefault="000923BB" w:rsidP="000923BB">
      <w:pPr>
        <w:pStyle w:val="Header"/>
        <w:tabs>
          <w:tab w:val="left" w:pos="2835"/>
          <w:tab w:val="left" w:pos="4820"/>
          <w:tab w:val="left" w:pos="6379"/>
          <w:tab w:val="left" w:pos="6946"/>
          <w:tab w:val="left" w:pos="9072"/>
        </w:tabs>
      </w:pPr>
      <w:r>
        <w:tab/>
      </w:r>
      <w:r>
        <w:tab/>
      </w:r>
      <w:r>
        <w:tab/>
        <w:t>not recorded</w:t>
      </w:r>
      <w:r>
        <w:tab/>
      </w:r>
      <w:r>
        <w:tab/>
      </w:r>
      <w:r>
        <w:sym w:font="Monotype Sorts" w:char="F071"/>
      </w:r>
    </w:p>
    <w:p w14:paraId="43B168CA" w14:textId="77777777" w:rsidR="000923BB" w:rsidRDefault="000923BB" w:rsidP="000923BB">
      <w:pPr>
        <w:pStyle w:val="Header"/>
        <w:tabs>
          <w:tab w:val="left" w:pos="2835"/>
          <w:tab w:val="left" w:pos="4820"/>
          <w:tab w:val="left" w:pos="6379"/>
          <w:tab w:val="left" w:pos="7371"/>
          <w:tab w:val="left" w:pos="9072"/>
        </w:tabs>
      </w:pPr>
    </w:p>
    <w:p w14:paraId="080DD565" w14:textId="77777777" w:rsidR="000923BB" w:rsidRDefault="000923BB" w:rsidP="000923BB">
      <w:pPr>
        <w:pStyle w:val="Header"/>
        <w:pBdr>
          <w:top w:val="dotted" w:sz="4" w:space="10" w:color="auto"/>
        </w:pBdr>
        <w:tabs>
          <w:tab w:val="left" w:pos="2835"/>
          <w:tab w:val="left" w:pos="4820"/>
          <w:tab w:val="left" w:pos="6379"/>
          <w:tab w:val="left" w:pos="7371"/>
          <w:tab w:val="left" w:pos="9072"/>
        </w:tabs>
      </w:pPr>
      <w:r>
        <w:t>23. Is it recorded that the patient received oxygen during this stay?</w:t>
      </w:r>
    </w:p>
    <w:p w14:paraId="15C02629" w14:textId="77777777" w:rsidR="000923BB" w:rsidRDefault="000923BB" w:rsidP="000923BB">
      <w:pPr>
        <w:pStyle w:val="Header"/>
        <w:tabs>
          <w:tab w:val="left" w:pos="2835"/>
          <w:tab w:val="left" w:pos="4820"/>
          <w:tab w:val="left" w:pos="6379"/>
          <w:tab w:val="left" w:pos="7371"/>
          <w:tab w:val="left" w:pos="9072"/>
        </w:tabs>
      </w:pPr>
      <w:r>
        <w:tab/>
      </w:r>
      <w:r>
        <w:tab/>
      </w:r>
      <w:r>
        <w:tab/>
      </w:r>
      <w:r>
        <w:tab/>
        <w:t>yes</w:t>
      </w:r>
      <w:r>
        <w:tab/>
      </w:r>
      <w:r>
        <w:sym w:font="Monotype Sorts" w:char="F071"/>
      </w:r>
    </w:p>
    <w:p w14:paraId="0784BBA7" w14:textId="77777777" w:rsidR="000923BB" w:rsidRDefault="000923BB" w:rsidP="000923BB">
      <w:pPr>
        <w:pStyle w:val="Header"/>
        <w:tabs>
          <w:tab w:val="left" w:pos="2835"/>
          <w:tab w:val="left" w:pos="4820"/>
          <w:tab w:val="left" w:pos="6379"/>
          <w:tab w:val="left" w:pos="7371"/>
          <w:tab w:val="left" w:pos="9072"/>
        </w:tabs>
      </w:pPr>
      <w:r>
        <w:tab/>
      </w:r>
      <w:r>
        <w:tab/>
      </w:r>
      <w:r>
        <w:tab/>
      </w:r>
      <w:r>
        <w:tab/>
        <w:t>no</w:t>
      </w:r>
      <w:r>
        <w:tab/>
      </w:r>
      <w:r>
        <w:sym w:font="Monotype Sorts" w:char="F071"/>
      </w:r>
    </w:p>
    <w:p w14:paraId="0A1FB775" w14:textId="77777777" w:rsidR="000923BB" w:rsidRDefault="000923BB" w:rsidP="000923BB">
      <w:pPr>
        <w:pStyle w:val="Header"/>
        <w:tabs>
          <w:tab w:val="left" w:pos="2835"/>
          <w:tab w:val="left" w:pos="4820"/>
          <w:tab w:val="left" w:pos="6379"/>
          <w:tab w:val="left" w:pos="7371"/>
          <w:tab w:val="left" w:pos="9072"/>
        </w:tabs>
      </w:pPr>
      <w:r>
        <w:tab/>
      </w:r>
    </w:p>
    <w:p w14:paraId="7DCDC969" w14:textId="77777777" w:rsidR="000923BB" w:rsidRDefault="000923BB" w:rsidP="000923BB">
      <w:pPr>
        <w:pStyle w:val="Header"/>
        <w:tabs>
          <w:tab w:val="left" w:pos="2835"/>
          <w:tab w:val="left" w:pos="4820"/>
          <w:tab w:val="left" w:pos="6379"/>
          <w:tab w:val="left" w:pos="7371"/>
          <w:tab w:val="left" w:pos="9072"/>
        </w:tabs>
        <w:ind w:left="720"/>
      </w:pPr>
    </w:p>
    <w:p w14:paraId="5AB4AD0A" w14:textId="77777777" w:rsidR="000923BB" w:rsidRDefault="000923BB" w:rsidP="000923BB">
      <w:pPr>
        <w:pStyle w:val="Header"/>
        <w:pBdr>
          <w:top w:val="dotted" w:sz="4" w:space="10" w:color="auto"/>
        </w:pBdr>
        <w:tabs>
          <w:tab w:val="left" w:pos="2835"/>
          <w:tab w:val="left" w:pos="4820"/>
          <w:tab w:val="left" w:pos="6379"/>
          <w:tab w:val="left" w:pos="7371"/>
          <w:tab w:val="left" w:pos="9072"/>
        </w:tabs>
      </w:pPr>
      <w:r>
        <w:t>24. Is there a record of the patient’s weight in the notes?</w:t>
      </w:r>
    </w:p>
    <w:p w14:paraId="605F480D" w14:textId="77777777" w:rsidR="000923BB" w:rsidRDefault="000923BB" w:rsidP="000923BB">
      <w:pPr>
        <w:pStyle w:val="Header"/>
        <w:tabs>
          <w:tab w:val="left" w:pos="2835"/>
          <w:tab w:val="left" w:pos="4820"/>
          <w:tab w:val="left" w:pos="6379"/>
          <w:tab w:val="left" w:pos="7371"/>
          <w:tab w:val="left" w:pos="9072"/>
        </w:tabs>
        <w:ind w:left="567" w:hanging="567"/>
      </w:pPr>
      <w:r>
        <w:tab/>
      </w:r>
      <w:r>
        <w:tab/>
      </w:r>
      <w:r>
        <w:tab/>
      </w:r>
      <w:r>
        <w:tab/>
      </w:r>
      <w:r>
        <w:tab/>
        <w:t>yes</w:t>
      </w:r>
      <w:r>
        <w:tab/>
      </w:r>
      <w:r>
        <w:sym w:font="Monotype Sorts" w:char="F071"/>
      </w:r>
    </w:p>
    <w:p w14:paraId="425BF862" w14:textId="77777777" w:rsidR="000923BB" w:rsidRDefault="007D7C0C" w:rsidP="000923BB">
      <w:pPr>
        <w:tabs>
          <w:tab w:val="left" w:pos="2835"/>
          <w:tab w:val="left" w:pos="4820"/>
          <w:tab w:val="left" w:pos="6379"/>
          <w:tab w:val="left" w:pos="7371"/>
          <w:tab w:val="left" w:pos="9072"/>
        </w:tabs>
      </w:pPr>
      <w:r>
        <w:tab/>
      </w:r>
      <w:r>
        <w:tab/>
      </w:r>
      <w:r>
        <w:tab/>
      </w:r>
      <w:r w:rsidR="000923BB">
        <w:t>no</w:t>
      </w:r>
      <w:r w:rsidR="000923BB">
        <w:tab/>
      </w:r>
      <w:r w:rsidR="000923BB">
        <w:sym w:font="Monotype Sorts" w:char="F071"/>
      </w:r>
    </w:p>
    <w:p w14:paraId="5D54A363" w14:textId="77777777" w:rsidR="000923BB" w:rsidRDefault="000923BB" w:rsidP="000923BB">
      <w:pPr>
        <w:pStyle w:val="Header"/>
        <w:tabs>
          <w:tab w:val="left" w:pos="2835"/>
          <w:tab w:val="left" w:pos="4820"/>
          <w:tab w:val="left" w:pos="6379"/>
          <w:tab w:val="left" w:pos="7371"/>
          <w:tab w:val="left" w:pos="9072"/>
        </w:tabs>
      </w:pPr>
    </w:p>
    <w:p w14:paraId="130CFA5D" w14:textId="77777777" w:rsidR="000923BB" w:rsidRDefault="000923BB" w:rsidP="000923BB">
      <w:pPr>
        <w:pStyle w:val="Header"/>
        <w:pBdr>
          <w:top w:val="dotted" w:sz="4" w:space="10" w:color="auto"/>
        </w:pBdr>
        <w:tabs>
          <w:tab w:val="left" w:pos="2835"/>
          <w:tab w:val="left" w:pos="4820"/>
          <w:tab w:val="left" w:pos="6379"/>
          <w:tab w:val="left" w:pos="7371"/>
          <w:tab w:val="left" w:pos="9072"/>
        </w:tabs>
        <w:ind w:left="567" w:hanging="567"/>
      </w:pPr>
      <w:r>
        <w:t>25. Is there a record of the patient’s blood pressure (daily) in the notes?</w:t>
      </w:r>
    </w:p>
    <w:p w14:paraId="73ED7CC0" w14:textId="77777777" w:rsidR="000923BB" w:rsidRDefault="000923BB" w:rsidP="000923BB">
      <w:pPr>
        <w:pStyle w:val="Header"/>
        <w:pBdr>
          <w:top w:val="dotted" w:sz="4" w:space="10" w:color="auto"/>
        </w:pBdr>
        <w:tabs>
          <w:tab w:val="left" w:pos="2835"/>
          <w:tab w:val="left" w:pos="4820"/>
          <w:tab w:val="left" w:pos="6379"/>
          <w:tab w:val="left" w:pos="7371"/>
          <w:tab w:val="left" w:pos="9072"/>
        </w:tabs>
        <w:ind w:left="567" w:hanging="567"/>
      </w:pPr>
      <w:r>
        <w:tab/>
      </w:r>
      <w:r>
        <w:tab/>
      </w:r>
      <w:r>
        <w:tab/>
      </w:r>
      <w:r>
        <w:tab/>
      </w:r>
      <w:r>
        <w:tab/>
        <w:t>yes</w:t>
      </w:r>
      <w:r>
        <w:tab/>
      </w:r>
      <w:r>
        <w:sym w:font="Monotype Sorts" w:char="F071"/>
      </w:r>
    </w:p>
    <w:p w14:paraId="78D7D013" w14:textId="77777777" w:rsidR="000923BB" w:rsidRDefault="007D7C0C" w:rsidP="000923BB">
      <w:pPr>
        <w:tabs>
          <w:tab w:val="left" w:pos="2835"/>
          <w:tab w:val="left" w:pos="4820"/>
          <w:tab w:val="left" w:pos="6379"/>
          <w:tab w:val="left" w:pos="7371"/>
          <w:tab w:val="left" w:pos="9072"/>
        </w:tabs>
      </w:pPr>
      <w:r>
        <w:tab/>
      </w:r>
      <w:r>
        <w:tab/>
      </w:r>
      <w:r>
        <w:tab/>
      </w:r>
      <w:r w:rsidR="000923BB">
        <w:t>no</w:t>
      </w:r>
      <w:r w:rsidR="000923BB">
        <w:tab/>
      </w:r>
      <w:r w:rsidR="000923BB">
        <w:sym w:font="Monotype Sorts" w:char="F071"/>
      </w:r>
    </w:p>
    <w:p w14:paraId="0A5672B3" w14:textId="77777777" w:rsidR="000923BB" w:rsidRDefault="000923BB" w:rsidP="000923BB">
      <w:pPr>
        <w:pStyle w:val="Header"/>
        <w:tabs>
          <w:tab w:val="left" w:pos="2835"/>
          <w:tab w:val="left" w:pos="4820"/>
          <w:tab w:val="left" w:pos="6379"/>
          <w:tab w:val="left" w:pos="7371"/>
          <w:tab w:val="left" w:pos="9072"/>
        </w:tabs>
      </w:pPr>
    </w:p>
    <w:p w14:paraId="317AF201" w14:textId="77777777" w:rsidR="000923BB" w:rsidRDefault="000923BB" w:rsidP="000923BB">
      <w:pPr>
        <w:pStyle w:val="Header"/>
        <w:pBdr>
          <w:top w:val="dotted" w:sz="4" w:space="10" w:color="auto"/>
        </w:pBdr>
        <w:tabs>
          <w:tab w:val="left" w:pos="2835"/>
          <w:tab w:val="left" w:pos="4820"/>
          <w:tab w:val="left" w:pos="6379"/>
          <w:tab w:val="left" w:pos="7371"/>
          <w:tab w:val="left" w:pos="9072"/>
        </w:tabs>
        <w:ind w:left="567" w:hanging="567"/>
      </w:pPr>
      <w:r>
        <w:t>26. Is there a record of the patient’s electrolytes in the notes?</w:t>
      </w:r>
    </w:p>
    <w:p w14:paraId="54A2D3F3" w14:textId="77777777" w:rsidR="000923BB" w:rsidRDefault="000923BB" w:rsidP="000923BB">
      <w:pPr>
        <w:pStyle w:val="Header"/>
        <w:pBdr>
          <w:top w:val="dotted" w:sz="4" w:space="10" w:color="auto"/>
        </w:pBdr>
        <w:tabs>
          <w:tab w:val="left" w:pos="2835"/>
          <w:tab w:val="left" w:pos="4820"/>
          <w:tab w:val="left" w:pos="6379"/>
          <w:tab w:val="left" w:pos="7371"/>
          <w:tab w:val="left" w:pos="9072"/>
        </w:tabs>
        <w:ind w:left="567" w:hanging="567"/>
      </w:pPr>
      <w:r>
        <w:lastRenderedPageBreak/>
        <w:tab/>
      </w:r>
      <w:r>
        <w:tab/>
      </w:r>
      <w:r>
        <w:tab/>
      </w:r>
      <w:r>
        <w:tab/>
      </w:r>
      <w:r>
        <w:tab/>
        <w:t>yes</w:t>
      </w:r>
      <w:r>
        <w:tab/>
      </w:r>
      <w:r>
        <w:sym w:font="Monotype Sorts" w:char="F071"/>
      </w:r>
    </w:p>
    <w:p w14:paraId="05A9E4FA" w14:textId="77777777" w:rsidR="000923BB" w:rsidRDefault="007D7C0C" w:rsidP="000923BB">
      <w:pPr>
        <w:tabs>
          <w:tab w:val="left" w:pos="2835"/>
          <w:tab w:val="left" w:pos="4820"/>
          <w:tab w:val="left" w:pos="6379"/>
          <w:tab w:val="left" w:pos="7371"/>
          <w:tab w:val="left" w:pos="9072"/>
        </w:tabs>
      </w:pPr>
      <w:r>
        <w:tab/>
      </w:r>
      <w:r>
        <w:tab/>
      </w:r>
      <w:r>
        <w:tab/>
      </w:r>
      <w:r w:rsidR="000923BB">
        <w:t>no</w:t>
      </w:r>
      <w:r w:rsidR="000923BB">
        <w:tab/>
      </w:r>
      <w:r w:rsidR="000923BB">
        <w:sym w:font="Monotype Sorts" w:char="F071"/>
      </w:r>
    </w:p>
    <w:p w14:paraId="61C1FA2C" w14:textId="77777777" w:rsidR="000923BB" w:rsidRDefault="000923BB" w:rsidP="000923BB">
      <w:pPr>
        <w:pStyle w:val="Header"/>
        <w:rPr>
          <w:b/>
          <w:sz w:val="32"/>
          <w:u w:val="single"/>
        </w:rPr>
      </w:pPr>
      <w:r>
        <w:br w:type="page"/>
      </w:r>
      <w:r>
        <w:rPr>
          <w:b/>
          <w:sz w:val="32"/>
          <w:u w:val="single"/>
        </w:rPr>
        <w:lastRenderedPageBreak/>
        <w:t>Pre-discharge phase</w:t>
      </w:r>
    </w:p>
    <w:p w14:paraId="69A76264" w14:textId="77777777" w:rsidR="000923BB" w:rsidRDefault="000923BB" w:rsidP="000923BB">
      <w:pPr>
        <w:pStyle w:val="Header"/>
        <w:tabs>
          <w:tab w:val="left" w:pos="2835"/>
          <w:tab w:val="left" w:pos="4820"/>
          <w:tab w:val="left" w:pos="6379"/>
          <w:tab w:val="left" w:pos="7371"/>
          <w:tab w:val="left" w:pos="9072"/>
        </w:tabs>
      </w:pPr>
    </w:p>
    <w:p w14:paraId="5576928F" w14:textId="77777777" w:rsidR="000923BB" w:rsidRDefault="000923BB" w:rsidP="000923BB">
      <w:pPr>
        <w:pStyle w:val="Header"/>
        <w:keepNext/>
        <w:pBdr>
          <w:top w:val="dotted" w:sz="4" w:space="10" w:color="auto"/>
        </w:pBdr>
        <w:tabs>
          <w:tab w:val="left" w:pos="2835"/>
          <w:tab w:val="left" w:pos="4820"/>
          <w:tab w:val="left" w:pos="6379"/>
          <w:tab w:val="left" w:pos="7371"/>
          <w:tab w:val="left" w:pos="9072"/>
        </w:tabs>
      </w:pPr>
      <w:r>
        <w:t>27. Pre-discharge assessments</w:t>
      </w:r>
    </w:p>
    <w:p w14:paraId="40E157EF" w14:textId="77777777" w:rsidR="000923BB" w:rsidRDefault="000923BB" w:rsidP="000923BB">
      <w:pPr>
        <w:pStyle w:val="Header"/>
        <w:keepNext/>
        <w:pBdr>
          <w:top w:val="dotted" w:sz="4" w:space="10" w:color="auto"/>
        </w:pBdr>
        <w:tabs>
          <w:tab w:val="left" w:pos="2835"/>
          <w:tab w:val="left" w:pos="4820"/>
          <w:tab w:val="left" w:pos="6379"/>
          <w:tab w:val="left" w:pos="7371"/>
          <w:tab w:val="left" w:pos="9072"/>
        </w:tabs>
      </w:pPr>
    </w:p>
    <w:p w14:paraId="1FF73974" w14:textId="77777777" w:rsidR="000923BB" w:rsidRDefault="000923BB" w:rsidP="000923BB">
      <w:pPr>
        <w:pStyle w:val="Header"/>
        <w:keepNext/>
        <w:pBdr>
          <w:top w:val="dotted" w:sz="4" w:space="10" w:color="auto"/>
        </w:pBdr>
        <w:tabs>
          <w:tab w:val="left" w:pos="1701"/>
          <w:tab w:val="left" w:pos="2835"/>
          <w:tab w:val="left" w:pos="4820"/>
          <w:tab w:val="left" w:pos="6379"/>
          <w:tab w:val="left" w:pos="7371"/>
          <w:tab w:val="left" w:pos="9072"/>
        </w:tabs>
        <w:rPr>
          <w:noProof/>
        </w:rPr>
      </w:pPr>
      <w:r>
        <w:tab/>
      </w:r>
      <w:r>
        <w:rPr>
          <w:noProof/>
        </w:rPr>
        <w:t xml:space="preserve">Was blood pressure taken prior to discharge </w:t>
      </w:r>
      <w:r w:rsidR="007D7C0C">
        <w:rPr>
          <w:noProof/>
        </w:rPr>
        <w:t xml:space="preserve">                     </w:t>
      </w:r>
      <w:r>
        <w:rPr>
          <w:noProof/>
        </w:rPr>
        <w:t>(within 48 hours of discharge)?</w:t>
      </w:r>
    </w:p>
    <w:p w14:paraId="6A63D182" w14:textId="77777777" w:rsidR="000923BB" w:rsidRDefault="007D7C0C" w:rsidP="000923BB">
      <w:pPr>
        <w:pStyle w:val="Header"/>
        <w:tabs>
          <w:tab w:val="left" w:pos="2835"/>
          <w:tab w:val="left" w:pos="4820"/>
          <w:tab w:val="left" w:pos="6379"/>
          <w:tab w:val="left" w:pos="9072"/>
        </w:tabs>
      </w:pPr>
      <w:r>
        <w:tab/>
      </w:r>
      <w:r>
        <w:tab/>
      </w:r>
      <w:r w:rsidR="000923BB">
        <w:t>yes</w:t>
      </w:r>
      <w:r w:rsidR="000923BB">
        <w:tab/>
      </w:r>
      <w:r w:rsidR="000923BB">
        <w:sym w:font="Monotype Sorts" w:char="F071"/>
      </w:r>
    </w:p>
    <w:p w14:paraId="1269552D" w14:textId="77777777" w:rsidR="000923BB" w:rsidRDefault="007D7C0C" w:rsidP="000923BB">
      <w:pPr>
        <w:pStyle w:val="Header"/>
        <w:tabs>
          <w:tab w:val="left" w:pos="2835"/>
          <w:tab w:val="left" w:pos="4820"/>
          <w:tab w:val="left" w:pos="6379"/>
          <w:tab w:val="left" w:pos="9072"/>
        </w:tabs>
      </w:pPr>
      <w:r>
        <w:tab/>
      </w:r>
      <w:r>
        <w:tab/>
      </w:r>
      <w:r w:rsidR="000923BB">
        <w:t>no</w:t>
      </w:r>
      <w:r w:rsidR="000923BB">
        <w:tab/>
      </w:r>
      <w:r w:rsidR="000923BB">
        <w:sym w:font="Monotype Sorts" w:char="F071"/>
      </w:r>
    </w:p>
    <w:p w14:paraId="6DF556DE" w14:textId="77777777" w:rsidR="000923BB" w:rsidRDefault="007D7C0C" w:rsidP="000923BB">
      <w:pPr>
        <w:pStyle w:val="Header"/>
        <w:tabs>
          <w:tab w:val="left" w:pos="2835"/>
          <w:tab w:val="left" w:pos="4820"/>
          <w:tab w:val="left" w:pos="6379"/>
          <w:tab w:val="left" w:pos="9072"/>
        </w:tabs>
      </w:pPr>
      <w:r>
        <w:tab/>
      </w:r>
      <w:r>
        <w:tab/>
      </w:r>
      <w:r w:rsidR="000923BB">
        <w:t>not recorded</w:t>
      </w:r>
      <w:r w:rsidR="000923BB">
        <w:tab/>
      </w:r>
      <w:r w:rsidR="000923BB">
        <w:sym w:font="Monotype Sorts" w:char="F071"/>
      </w:r>
    </w:p>
    <w:p w14:paraId="78127356" w14:textId="77777777" w:rsidR="000923BB" w:rsidRDefault="000923BB" w:rsidP="000923BB">
      <w:pPr>
        <w:pStyle w:val="Header"/>
        <w:tabs>
          <w:tab w:val="left" w:pos="2835"/>
          <w:tab w:val="left" w:pos="4820"/>
          <w:tab w:val="left" w:pos="6379"/>
          <w:tab w:val="left" w:pos="9072"/>
        </w:tabs>
      </w:pPr>
    </w:p>
    <w:p w14:paraId="76DFB1A2" w14:textId="77777777" w:rsidR="000923BB" w:rsidRDefault="000923BB" w:rsidP="000923BB">
      <w:pPr>
        <w:pStyle w:val="Header"/>
        <w:tabs>
          <w:tab w:val="left" w:pos="1701"/>
          <w:tab w:val="left" w:pos="2835"/>
          <w:tab w:val="left" w:pos="4820"/>
          <w:tab w:val="left" w:pos="6379"/>
          <w:tab w:val="left" w:pos="9072"/>
        </w:tabs>
        <w:ind w:left="1701" w:hanging="1701"/>
      </w:pPr>
      <w:r>
        <w:tab/>
        <w:t>Was the level of breathlessness prior to discharge</w:t>
      </w:r>
      <w:r w:rsidR="007D7C0C">
        <w:t xml:space="preserve">                 </w:t>
      </w:r>
      <w:r>
        <w:t xml:space="preserve"> (within 48 hours of discharge) documented?</w:t>
      </w:r>
    </w:p>
    <w:p w14:paraId="7EAE9CBE" w14:textId="77777777" w:rsidR="000923BB" w:rsidRDefault="000923BB" w:rsidP="000923BB">
      <w:pPr>
        <w:pStyle w:val="Header"/>
        <w:tabs>
          <w:tab w:val="left" w:pos="2835"/>
          <w:tab w:val="left" w:pos="5670"/>
          <w:tab w:val="left" w:pos="6379"/>
          <w:tab w:val="left" w:pos="9072"/>
        </w:tabs>
      </w:pPr>
      <w:r>
        <w:tab/>
      </w:r>
      <w:r>
        <w:tab/>
        <w:t>breathless at rest</w:t>
      </w:r>
      <w:r>
        <w:tab/>
      </w:r>
      <w:r>
        <w:sym w:font="Monotype Sorts" w:char="F071"/>
      </w:r>
    </w:p>
    <w:p w14:paraId="0BC01FD6" w14:textId="77777777" w:rsidR="000923BB" w:rsidRDefault="000923BB" w:rsidP="000923BB">
      <w:pPr>
        <w:pStyle w:val="Header"/>
        <w:tabs>
          <w:tab w:val="left" w:pos="2835"/>
          <w:tab w:val="left" w:pos="5670"/>
          <w:tab w:val="left" w:pos="6379"/>
          <w:tab w:val="left" w:pos="9072"/>
        </w:tabs>
      </w:pPr>
      <w:r>
        <w:tab/>
      </w:r>
      <w:r>
        <w:tab/>
        <w:t>breathless on minor exertion</w:t>
      </w:r>
      <w:r>
        <w:tab/>
      </w:r>
      <w:r>
        <w:sym w:font="Monotype Sorts" w:char="F071"/>
      </w:r>
    </w:p>
    <w:p w14:paraId="6491FD20" w14:textId="77777777" w:rsidR="000923BB" w:rsidRDefault="000923BB" w:rsidP="000923BB">
      <w:pPr>
        <w:pStyle w:val="Header"/>
        <w:tabs>
          <w:tab w:val="left" w:pos="2835"/>
          <w:tab w:val="left" w:pos="5670"/>
          <w:tab w:val="left" w:pos="6379"/>
          <w:tab w:val="left" w:pos="9072"/>
        </w:tabs>
      </w:pPr>
      <w:r>
        <w:tab/>
      </w:r>
      <w:r>
        <w:tab/>
        <w:t>breathless on strenuous exercise</w:t>
      </w:r>
      <w:r>
        <w:tab/>
      </w:r>
      <w:r>
        <w:sym w:font="Monotype Sorts" w:char="F071"/>
      </w:r>
    </w:p>
    <w:p w14:paraId="4FA8B128" w14:textId="77777777" w:rsidR="000923BB" w:rsidRDefault="000923BB" w:rsidP="000923BB">
      <w:pPr>
        <w:pStyle w:val="Header"/>
        <w:tabs>
          <w:tab w:val="left" w:pos="2835"/>
          <w:tab w:val="left" w:pos="5670"/>
          <w:tab w:val="left" w:pos="6379"/>
          <w:tab w:val="left" w:pos="9072"/>
        </w:tabs>
      </w:pPr>
      <w:r>
        <w:tab/>
      </w:r>
      <w:r>
        <w:tab/>
        <w:t>not recorded</w:t>
      </w:r>
      <w:r>
        <w:tab/>
      </w:r>
      <w:r>
        <w:sym w:font="Monotype Sorts" w:char="F071"/>
      </w:r>
    </w:p>
    <w:p w14:paraId="15A12107" w14:textId="77777777" w:rsidR="000923BB" w:rsidRDefault="000923BB" w:rsidP="000923BB">
      <w:pPr>
        <w:pStyle w:val="Header"/>
        <w:tabs>
          <w:tab w:val="left" w:pos="2835"/>
          <w:tab w:val="left" w:pos="5670"/>
          <w:tab w:val="left" w:pos="6379"/>
          <w:tab w:val="left" w:pos="9072"/>
        </w:tabs>
      </w:pPr>
    </w:p>
    <w:p w14:paraId="617CC6AF" w14:textId="77777777" w:rsidR="000923BB" w:rsidRDefault="000923BB" w:rsidP="000923BB">
      <w:pPr>
        <w:pStyle w:val="Header"/>
        <w:tabs>
          <w:tab w:val="left" w:pos="1701"/>
          <w:tab w:val="left" w:pos="2835"/>
          <w:tab w:val="left" w:pos="5670"/>
          <w:tab w:val="left" w:pos="6379"/>
          <w:tab w:val="left" w:pos="9072"/>
        </w:tabs>
      </w:pPr>
      <w:r>
        <w:tab/>
        <w:t xml:space="preserve">Was patient’s weight prior to discharge </w:t>
      </w:r>
      <w:r w:rsidR="007D7C0C">
        <w:t xml:space="preserve">                                   </w:t>
      </w:r>
      <w:r>
        <w:t>(within 48 hours of discharge) recorded?</w:t>
      </w:r>
    </w:p>
    <w:p w14:paraId="0ADF09CF" w14:textId="77777777" w:rsidR="000923BB" w:rsidRDefault="000923BB" w:rsidP="000923BB">
      <w:pPr>
        <w:pStyle w:val="Header"/>
        <w:tabs>
          <w:tab w:val="left" w:pos="1701"/>
          <w:tab w:val="left" w:pos="2835"/>
          <w:tab w:val="left" w:pos="5670"/>
          <w:tab w:val="left" w:pos="6379"/>
          <w:tab w:val="left" w:pos="9072"/>
        </w:tabs>
      </w:pPr>
      <w:r>
        <w:tab/>
      </w:r>
      <w:r>
        <w:tab/>
      </w:r>
      <w:r>
        <w:tab/>
      </w:r>
      <w:r>
        <w:tab/>
        <w:t>yes</w:t>
      </w:r>
      <w:r>
        <w:tab/>
      </w:r>
      <w:r>
        <w:sym w:font="Monotype Sorts" w:char="F071"/>
      </w:r>
    </w:p>
    <w:p w14:paraId="298802B2" w14:textId="77777777" w:rsidR="000923BB" w:rsidRDefault="000923BB" w:rsidP="000923BB">
      <w:pPr>
        <w:pStyle w:val="Header"/>
        <w:tabs>
          <w:tab w:val="left" w:pos="1701"/>
          <w:tab w:val="left" w:pos="2835"/>
          <w:tab w:val="left" w:pos="5670"/>
          <w:tab w:val="left" w:pos="6379"/>
          <w:tab w:val="left" w:pos="9072"/>
        </w:tabs>
      </w:pPr>
      <w:r>
        <w:tab/>
      </w:r>
      <w:r>
        <w:tab/>
      </w:r>
      <w:r>
        <w:tab/>
      </w:r>
      <w:r>
        <w:tab/>
        <w:t>no</w:t>
      </w:r>
      <w:r>
        <w:tab/>
      </w:r>
      <w:r>
        <w:sym w:font="Monotype Sorts" w:char="F071"/>
      </w:r>
    </w:p>
    <w:p w14:paraId="61DC3EDA" w14:textId="77777777" w:rsidR="000923BB" w:rsidRDefault="000923BB" w:rsidP="000923BB">
      <w:pPr>
        <w:pStyle w:val="Header"/>
        <w:tabs>
          <w:tab w:val="left" w:pos="1701"/>
          <w:tab w:val="left" w:pos="2835"/>
          <w:tab w:val="left" w:pos="5670"/>
          <w:tab w:val="left" w:pos="6379"/>
          <w:tab w:val="left" w:pos="9072"/>
        </w:tabs>
      </w:pPr>
      <w:r>
        <w:tab/>
      </w:r>
      <w:r>
        <w:tab/>
      </w:r>
      <w:r>
        <w:tab/>
      </w:r>
      <w:r>
        <w:tab/>
      </w:r>
    </w:p>
    <w:p w14:paraId="59642961" w14:textId="77777777" w:rsidR="000923BB" w:rsidRDefault="000923BB" w:rsidP="000923BB">
      <w:pPr>
        <w:pStyle w:val="Header"/>
        <w:tabs>
          <w:tab w:val="left" w:pos="1701"/>
          <w:tab w:val="left" w:pos="2835"/>
          <w:tab w:val="left" w:pos="5670"/>
          <w:tab w:val="left" w:pos="6379"/>
          <w:tab w:val="left" w:pos="9072"/>
        </w:tabs>
      </w:pPr>
    </w:p>
    <w:p w14:paraId="72945590" w14:textId="77777777" w:rsidR="000923BB" w:rsidRDefault="000923BB" w:rsidP="000923BB">
      <w:pPr>
        <w:pStyle w:val="Header"/>
        <w:tabs>
          <w:tab w:val="left" w:pos="1701"/>
          <w:tab w:val="left" w:pos="2835"/>
          <w:tab w:val="left" w:pos="5670"/>
          <w:tab w:val="left" w:pos="6379"/>
          <w:tab w:val="left" w:pos="9072"/>
        </w:tabs>
      </w:pPr>
      <w:r>
        <w:t>Was serum creatinine recorded within 48 hours of discharge</w:t>
      </w:r>
    </w:p>
    <w:p w14:paraId="3FA361A9" w14:textId="77777777" w:rsidR="000923BB" w:rsidRDefault="000923BB" w:rsidP="000923BB">
      <w:pPr>
        <w:pStyle w:val="Header"/>
        <w:tabs>
          <w:tab w:val="left" w:pos="1701"/>
          <w:tab w:val="left" w:pos="2835"/>
          <w:tab w:val="left" w:pos="5670"/>
          <w:tab w:val="left" w:pos="6379"/>
          <w:tab w:val="left" w:pos="9072"/>
        </w:tabs>
      </w:pPr>
      <w:r>
        <w:tab/>
      </w:r>
      <w:r>
        <w:tab/>
      </w:r>
      <w:r>
        <w:tab/>
      </w:r>
      <w:r>
        <w:tab/>
        <w:t>yes</w:t>
      </w:r>
      <w:r>
        <w:tab/>
      </w:r>
      <w:r>
        <w:sym w:font="Monotype Sorts" w:char="F071"/>
      </w:r>
    </w:p>
    <w:p w14:paraId="79E65D0B" w14:textId="77777777" w:rsidR="000923BB" w:rsidRDefault="000923BB" w:rsidP="000923BB">
      <w:pPr>
        <w:pStyle w:val="Header"/>
        <w:tabs>
          <w:tab w:val="left" w:pos="1701"/>
          <w:tab w:val="left" w:pos="2835"/>
          <w:tab w:val="left" w:pos="5670"/>
          <w:tab w:val="left" w:pos="6379"/>
          <w:tab w:val="left" w:pos="9072"/>
        </w:tabs>
      </w:pPr>
      <w:r>
        <w:tab/>
      </w:r>
      <w:r>
        <w:tab/>
      </w:r>
      <w:r>
        <w:tab/>
      </w:r>
      <w:r>
        <w:tab/>
        <w:t>no</w:t>
      </w:r>
      <w:r>
        <w:tab/>
      </w:r>
      <w:r>
        <w:sym w:font="Monotype Sorts" w:char="F071"/>
      </w:r>
    </w:p>
    <w:p w14:paraId="158C683C" w14:textId="77777777" w:rsidR="007D7C0C" w:rsidRDefault="007D7C0C" w:rsidP="007D7C0C">
      <w:pPr>
        <w:pStyle w:val="Header"/>
        <w:tabs>
          <w:tab w:val="left" w:pos="1701"/>
          <w:tab w:val="left" w:pos="2835"/>
          <w:tab w:val="left" w:pos="5670"/>
          <w:tab w:val="left" w:pos="6379"/>
          <w:tab w:val="left" w:pos="9072"/>
        </w:tabs>
      </w:pPr>
    </w:p>
    <w:p w14:paraId="46877560" w14:textId="77777777" w:rsidR="000923BB" w:rsidRDefault="000923BB" w:rsidP="000923BB">
      <w:pPr>
        <w:pStyle w:val="Header"/>
        <w:keepNext/>
        <w:pBdr>
          <w:top w:val="dotted" w:sz="4" w:space="10" w:color="auto"/>
        </w:pBdr>
        <w:tabs>
          <w:tab w:val="left" w:pos="1701"/>
          <w:tab w:val="left" w:pos="2835"/>
          <w:tab w:val="left" w:pos="4820"/>
          <w:tab w:val="left" w:pos="6379"/>
          <w:tab w:val="left" w:pos="7371"/>
          <w:tab w:val="left" w:pos="9072"/>
        </w:tabs>
      </w:pPr>
      <w:r>
        <w:tab/>
      </w:r>
    </w:p>
    <w:p w14:paraId="55AECAD3" w14:textId="77777777" w:rsidR="000923BB" w:rsidRDefault="000923BB" w:rsidP="000923BB">
      <w:pPr>
        <w:pBdr>
          <w:top w:val="dotted" w:sz="4" w:space="10" w:color="auto"/>
        </w:pBdr>
        <w:tabs>
          <w:tab w:val="left" w:pos="426"/>
          <w:tab w:val="left" w:pos="2835"/>
          <w:tab w:val="left" w:pos="4820"/>
          <w:tab w:val="left" w:pos="7371"/>
          <w:tab w:val="left" w:pos="9072"/>
        </w:tabs>
      </w:pPr>
      <w:r>
        <w:t>28. Is there a past record of/ or plan to refer for</w:t>
      </w:r>
    </w:p>
    <w:p w14:paraId="2DA7F086" w14:textId="77777777" w:rsidR="000923BB" w:rsidRDefault="000923BB" w:rsidP="000923BB">
      <w:pPr>
        <w:pBdr>
          <w:top w:val="dotted" w:sz="4" w:space="10" w:color="auto"/>
        </w:pBdr>
        <w:tabs>
          <w:tab w:val="left" w:pos="426"/>
          <w:tab w:val="left" w:pos="2835"/>
          <w:tab w:val="left" w:pos="4820"/>
          <w:tab w:val="left" w:pos="7371"/>
          <w:tab w:val="left" w:pos="9072"/>
        </w:tabs>
      </w:pPr>
      <w:r>
        <w:tab/>
        <w:t>an exercise/rehabilitation programme</w:t>
      </w:r>
    </w:p>
    <w:p w14:paraId="1EC2FF6D" w14:textId="77777777" w:rsidR="000923BB" w:rsidRDefault="000923BB" w:rsidP="000923BB">
      <w:pPr>
        <w:pStyle w:val="Header"/>
        <w:tabs>
          <w:tab w:val="left" w:pos="1701"/>
          <w:tab w:val="left" w:pos="2835"/>
          <w:tab w:val="left" w:pos="5670"/>
          <w:tab w:val="left" w:pos="6379"/>
          <w:tab w:val="left" w:pos="9072"/>
        </w:tabs>
      </w:pPr>
      <w:r>
        <w:tab/>
      </w:r>
      <w:r>
        <w:tab/>
      </w:r>
      <w:r>
        <w:tab/>
      </w:r>
      <w:r>
        <w:tab/>
        <w:t>yes</w:t>
      </w:r>
      <w:r>
        <w:tab/>
      </w:r>
      <w:r>
        <w:sym w:font="Monotype Sorts" w:char="F071"/>
      </w:r>
    </w:p>
    <w:p w14:paraId="39CDBBA9" w14:textId="77777777" w:rsidR="000923BB" w:rsidRDefault="000923BB" w:rsidP="000923BB">
      <w:pPr>
        <w:pStyle w:val="Header"/>
        <w:tabs>
          <w:tab w:val="left" w:pos="1701"/>
          <w:tab w:val="left" w:pos="2835"/>
          <w:tab w:val="left" w:pos="5670"/>
          <w:tab w:val="left" w:pos="6379"/>
          <w:tab w:val="left" w:pos="9072"/>
        </w:tabs>
      </w:pPr>
      <w:r>
        <w:tab/>
      </w:r>
      <w:r>
        <w:tab/>
      </w:r>
      <w:r>
        <w:tab/>
      </w:r>
      <w:r>
        <w:tab/>
        <w:t>no</w:t>
      </w:r>
      <w:r>
        <w:tab/>
      </w:r>
      <w:r>
        <w:sym w:font="Monotype Sorts" w:char="F071"/>
      </w:r>
    </w:p>
    <w:p w14:paraId="24A50BAD" w14:textId="77777777" w:rsidR="000923BB" w:rsidRDefault="000923BB" w:rsidP="000923BB">
      <w:pPr>
        <w:pStyle w:val="Header"/>
        <w:tabs>
          <w:tab w:val="left" w:pos="1701"/>
          <w:tab w:val="left" w:pos="2835"/>
          <w:tab w:val="left" w:pos="5670"/>
          <w:tab w:val="left" w:pos="6379"/>
          <w:tab w:val="left" w:pos="9072"/>
        </w:tabs>
      </w:pPr>
    </w:p>
    <w:p w14:paraId="6ABDB80C" w14:textId="77777777" w:rsidR="000923BB" w:rsidRDefault="000923BB" w:rsidP="000923BB">
      <w:pPr>
        <w:pStyle w:val="Header"/>
        <w:pBdr>
          <w:top w:val="dotted" w:sz="4" w:space="10" w:color="auto"/>
        </w:pBdr>
        <w:tabs>
          <w:tab w:val="left" w:pos="2835"/>
          <w:tab w:val="left" w:pos="4820"/>
          <w:tab w:val="left" w:pos="6379"/>
          <w:tab w:val="left" w:pos="7371"/>
          <w:tab w:val="left" w:pos="9072"/>
        </w:tabs>
      </w:pPr>
      <w:r>
        <w:t>29. If a current smoker, was help toward smoking cessation given</w:t>
      </w:r>
    </w:p>
    <w:p w14:paraId="0B4A9A26" w14:textId="77777777" w:rsidR="000923BB" w:rsidRDefault="000923BB" w:rsidP="000923BB">
      <w:pPr>
        <w:pStyle w:val="Header"/>
        <w:pBdr>
          <w:top w:val="dotted" w:sz="4" w:space="10" w:color="auto"/>
        </w:pBdr>
        <w:tabs>
          <w:tab w:val="left" w:pos="2835"/>
          <w:tab w:val="left" w:pos="4820"/>
          <w:tab w:val="left" w:pos="6379"/>
          <w:tab w:val="left" w:pos="7371"/>
          <w:tab w:val="left" w:pos="9072"/>
        </w:tabs>
      </w:pPr>
      <w:r>
        <w:t>referred to smoking cessation programme</w:t>
      </w:r>
      <w:r>
        <w:tab/>
      </w:r>
      <w:r>
        <w:sym w:font="Monotype Sorts" w:char="F071"/>
      </w:r>
    </w:p>
    <w:p w14:paraId="48086BF6" w14:textId="77777777" w:rsidR="000923BB" w:rsidRDefault="000923BB" w:rsidP="000923BB">
      <w:pPr>
        <w:pStyle w:val="Header"/>
        <w:pBdr>
          <w:top w:val="dotted" w:sz="4" w:space="10" w:color="auto"/>
        </w:pBdr>
        <w:tabs>
          <w:tab w:val="left" w:pos="2835"/>
          <w:tab w:val="left" w:pos="4820"/>
          <w:tab w:val="left" w:pos="6379"/>
          <w:tab w:val="left" w:pos="7371"/>
          <w:tab w:val="left" w:pos="9072"/>
        </w:tabs>
      </w:pPr>
      <w:r>
        <w:t>advice given and recorded</w:t>
      </w:r>
      <w:r>
        <w:tab/>
      </w:r>
      <w:r>
        <w:tab/>
      </w:r>
      <w:r>
        <w:sym w:font="Monotype Sorts" w:char="F071"/>
      </w:r>
    </w:p>
    <w:p w14:paraId="06229323" w14:textId="77777777" w:rsidR="000923BB" w:rsidRDefault="000923BB" w:rsidP="000923BB">
      <w:pPr>
        <w:pStyle w:val="Header"/>
        <w:pBdr>
          <w:top w:val="dotted" w:sz="4" w:space="10" w:color="auto"/>
        </w:pBdr>
        <w:tabs>
          <w:tab w:val="left" w:pos="2835"/>
          <w:tab w:val="left" w:pos="4820"/>
          <w:tab w:val="left" w:pos="6379"/>
          <w:tab w:val="left" w:pos="7371"/>
          <w:tab w:val="left" w:pos="9072"/>
        </w:tabs>
      </w:pPr>
      <w:r>
        <w:t>nothing recorded</w:t>
      </w:r>
      <w:r>
        <w:tab/>
      </w:r>
      <w:r>
        <w:tab/>
      </w:r>
      <w:r>
        <w:sym w:font="Monotype Sorts" w:char="F071"/>
      </w:r>
    </w:p>
    <w:p w14:paraId="7773663A" w14:textId="77777777" w:rsidR="000923BB" w:rsidRDefault="000923BB" w:rsidP="000923BB">
      <w:pPr>
        <w:pStyle w:val="Header"/>
        <w:pBdr>
          <w:top w:val="dotted" w:sz="4" w:space="10" w:color="auto"/>
        </w:pBdr>
        <w:tabs>
          <w:tab w:val="left" w:pos="2835"/>
          <w:tab w:val="left" w:pos="4820"/>
          <w:tab w:val="left" w:pos="6379"/>
          <w:tab w:val="left" w:pos="7371"/>
          <w:tab w:val="left" w:pos="9072"/>
        </w:tabs>
      </w:pPr>
      <w:r>
        <w:t>not applicable (because non-smoker)</w:t>
      </w:r>
      <w:r>
        <w:tab/>
      </w:r>
      <w:r>
        <w:sym w:font="Monotype Sorts" w:char="F071"/>
      </w:r>
    </w:p>
    <w:p w14:paraId="2125A7F9" w14:textId="77777777" w:rsidR="000923BB" w:rsidRDefault="000923BB" w:rsidP="000923BB">
      <w:pPr>
        <w:pStyle w:val="Header"/>
        <w:tabs>
          <w:tab w:val="left" w:pos="2835"/>
          <w:tab w:val="left" w:pos="4820"/>
          <w:tab w:val="left" w:pos="6379"/>
          <w:tab w:val="left" w:pos="7371"/>
          <w:tab w:val="left" w:pos="9072"/>
        </w:tabs>
      </w:pPr>
    </w:p>
    <w:p w14:paraId="3CA9BA53" w14:textId="77777777" w:rsidR="000923BB" w:rsidRDefault="000923BB" w:rsidP="000923BB">
      <w:pPr>
        <w:pBdr>
          <w:top w:val="dotted" w:sz="4" w:space="10" w:color="auto"/>
        </w:pBdr>
        <w:tabs>
          <w:tab w:val="left" w:pos="2835"/>
          <w:tab w:val="left" w:pos="4820"/>
          <w:tab w:val="left" w:pos="7371"/>
          <w:tab w:val="left" w:pos="9072"/>
        </w:tabs>
      </w:pPr>
      <w:r>
        <w:t xml:space="preserve">30. Was there an assessment of the patient’s home circumstances and </w:t>
      </w:r>
      <w:r w:rsidR="007D7C0C">
        <w:t xml:space="preserve">            </w:t>
      </w:r>
      <w:r>
        <w:t>their ability to cope?</w:t>
      </w:r>
    </w:p>
    <w:p w14:paraId="565DC4D6" w14:textId="77777777" w:rsidR="000923BB" w:rsidRDefault="000923BB" w:rsidP="000923BB">
      <w:pPr>
        <w:pStyle w:val="Header"/>
        <w:tabs>
          <w:tab w:val="left" w:pos="1701"/>
          <w:tab w:val="left" w:pos="2835"/>
          <w:tab w:val="left" w:pos="5670"/>
          <w:tab w:val="left" w:pos="6379"/>
          <w:tab w:val="left" w:pos="9072"/>
        </w:tabs>
      </w:pPr>
      <w:r>
        <w:lastRenderedPageBreak/>
        <w:tab/>
      </w:r>
      <w:r>
        <w:tab/>
      </w:r>
      <w:r>
        <w:tab/>
      </w:r>
      <w:r>
        <w:tab/>
        <w:t>yes</w:t>
      </w:r>
      <w:r>
        <w:tab/>
      </w:r>
      <w:r>
        <w:sym w:font="Monotype Sorts" w:char="F071"/>
      </w:r>
    </w:p>
    <w:p w14:paraId="665538E8" w14:textId="77777777" w:rsidR="000923BB" w:rsidRDefault="000923BB" w:rsidP="000923BB">
      <w:pPr>
        <w:pStyle w:val="Header"/>
        <w:tabs>
          <w:tab w:val="left" w:pos="1701"/>
          <w:tab w:val="left" w:pos="2835"/>
          <w:tab w:val="left" w:pos="5670"/>
          <w:tab w:val="left" w:pos="6379"/>
          <w:tab w:val="left" w:pos="9072"/>
        </w:tabs>
      </w:pPr>
      <w:r>
        <w:tab/>
      </w:r>
      <w:r>
        <w:tab/>
      </w:r>
      <w:r>
        <w:tab/>
      </w:r>
      <w:r>
        <w:tab/>
        <w:t>no</w:t>
      </w:r>
      <w:r>
        <w:tab/>
      </w:r>
      <w:r>
        <w:sym w:font="Monotype Sorts" w:char="F071"/>
      </w:r>
    </w:p>
    <w:p w14:paraId="6E74FD16" w14:textId="77777777" w:rsidR="000923BB" w:rsidRDefault="000923BB" w:rsidP="000923BB">
      <w:pPr>
        <w:pStyle w:val="Header"/>
        <w:tabs>
          <w:tab w:val="left" w:pos="1701"/>
          <w:tab w:val="left" w:pos="2835"/>
          <w:tab w:val="left" w:pos="5670"/>
          <w:tab w:val="left" w:pos="6379"/>
          <w:tab w:val="left" w:pos="9072"/>
        </w:tabs>
      </w:pPr>
    </w:p>
    <w:p w14:paraId="191E28E9" w14:textId="77777777" w:rsidR="000923BB" w:rsidRDefault="000923BB" w:rsidP="000923BB">
      <w:pPr>
        <w:pBdr>
          <w:top w:val="dotted" w:sz="4" w:space="10" w:color="auto"/>
        </w:pBdr>
        <w:tabs>
          <w:tab w:val="left" w:pos="2835"/>
          <w:tab w:val="left" w:pos="4820"/>
          <w:tab w:val="left" w:pos="7371"/>
          <w:tab w:val="left" w:pos="9072"/>
        </w:tabs>
      </w:pPr>
      <w:r>
        <w:t>31. Where was the patient discharged to?</w:t>
      </w:r>
    </w:p>
    <w:p w14:paraId="3514261F" w14:textId="77777777" w:rsidR="000923BB" w:rsidRDefault="000923BB" w:rsidP="000923BB">
      <w:pPr>
        <w:pStyle w:val="Header"/>
        <w:tabs>
          <w:tab w:val="left" w:pos="2835"/>
          <w:tab w:val="left" w:pos="4820"/>
          <w:tab w:val="left" w:pos="6379"/>
          <w:tab w:val="left" w:pos="7371"/>
          <w:tab w:val="left" w:pos="9072"/>
        </w:tabs>
      </w:pPr>
      <w:r>
        <w:tab/>
      </w:r>
      <w:r>
        <w:tab/>
        <w:t>own home – independent of help</w:t>
      </w:r>
      <w:r>
        <w:tab/>
      </w:r>
      <w:r>
        <w:sym w:font="Monotype Sorts" w:char="F071"/>
      </w:r>
    </w:p>
    <w:p w14:paraId="610744EF" w14:textId="77777777" w:rsidR="000923BB" w:rsidRDefault="000923BB" w:rsidP="000923BB">
      <w:pPr>
        <w:pStyle w:val="Header"/>
        <w:tabs>
          <w:tab w:val="left" w:pos="2835"/>
          <w:tab w:val="left" w:pos="4820"/>
          <w:tab w:val="left" w:pos="6379"/>
          <w:tab w:val="left" w:pos="7371"/>
          <w:tab w:val="left" w:pos="9072"/>
        </w:tabs>
      </w:pPr>
      <w:r>
        <w:tab/>
      </w:r>
      <w:r>
        <w:tab/>
        <w:t>own home – with additional social support</w:t>
      </w:r>
      <w:r>
        <w:tab/>
      </w:r>
      <w:r>
        <w:sym w:font="Monotype Sorts" w:char="F071"/>
      </w:r>
    </w:p>
    <w:p w14:paraId="6EEC5E36" w14:textId="77777777" w:rsidR="000923BB" w:rsidRDefault="000923BB" w:rsidP="000923BB">
      <w:pPr>
        <w:pStyle w:val="Header"/>
        <w:tabs>
          <w:tab w:val="left" w:pos="2835"/>
          <w:tab w:val="left" w:pos="4820"/>
          <w:tab w:val="left" w:pos="6379"/>
          <w:tab w:val="left" w:pos="7371"/>
          <w:tab w:val="left" w:pos="9072"/>
        </w:tabs>
      </w:pPr>
      <w:r>
        <w:tab/>
      </w:r>
      <w:r>
        <w:tab/>
        <w:t>sheltered housing or living with relative</w:t>
      </w:r>
      <w:r>
        <w:tab/>
      </w:r>
      <w:r>
        <w:sym w:font="Monotype Sorts" w:char="F071"/>
      </w:r>
    </w:p>
    <w:p w14:paraId="7CE73234" w14:textId="77777777" w:rsidR="000923BB" w:rsidRDefault="000923BB" w:rsidP="000923BB">
      <w:pPr>
        <w:pStyle w:val="Header"/>
        <w:tabs>
          <w:tab w:val="left" w:pos="2835"/>
          <w:tab w:val="left" w:pos="4820"/>
          <w:tab w:val="left" w:pos="6379"/>
          <w:tab w:val="left" w:pos="7371"/>
          <w:tab w:val="left" w:pos="9072"/>
        </w:tabs>
      </w:pPr>
      <w:r>
        <w:tab/>
      </w:r>
      <w:r>
        <w:tab/>
        <w:t>nursing or residential care</w:t>
      </w:r>
      <w:r>
        <w:tab/>
      </w:r>
      <w:r>
        <w:tab/>
      </w:r>
      <w:r>
        <w:sym w:font="Monotype Sorts" w:char="F071"/>
      </w:r>
    </w:p>
    <w:p w14:paraId="4C7DE702" w14:textId="77777777" w:rsidR="000923BB" w:rsidRDefault="000923BB" w:rsidP="000923BB">
      <w:pPr>
        <w:pStyle w:val="Header"/>
        <w:tabs>
          <w:tab w:val="left" w:pos="2835"/>
          <w:tab w:val="left" w:pos="4820"/>
          <w:tab w:val="left" w:pos="6379"/>
          <w:tab w:val="left" w:pos="7371"/>
          <w:tab w:val="left" w:pos="9072"/>
        </w:tabs>
      </w:pPr>
      <w:r>
        <w:tab/>
      </w:r>
      <w:r>
        <w:tab/>
        <w:t>not applicable – died in hospital</w:t>
      </w:r>
      <w:r>
        <w:tab/>
      </w:r>
      <w:r>
        <w:sym w:font="Monotype Sorts" w:char="F071"/>
      </w:r>
    </w:p>
    <w:p w14:paraId="151403C8" w14:textId="77777777" w:rsidR="000923BB" w:rsidRDefault="000923BB" w:rsidP="000923BB">
      <w:pPr>
        <w:pStyle w:val="Header"/>
        <w:tabs>
          <w:tab w:val="left" w:pos="2835"/>
          <w:tab w:val="left" w:pos="4820"/>
          <w:tab w:val="left" w:pos="6379"/>
          <w:tab w:val="left" w:pos="7371"/>
          <w:tab w:val="left" w:pos="9072"/>
        </w:tabs>
      </w:pPr>
    </w:p>
    <w:p w14:paraId="3BE1D125" w14:textId="77777777" w:rsidR="000923BB" w:rsidRDefault="000923BB" w:rsidP="000923BB">
      <w:pPr>
        <w:pStyle w:val="Header"/>
        <w:pBdr>
          <w:top w:val="dotted" w:sz="4" w:space="10" w:color="auto"/>
        </w:pBdr>
        <w:tabs>
          <w:tab w:val="left" w:pos="2835"/>
          <w:tab w:val="left" w:pos="4820"/>
          <w:tab w:val="left" w:pos="6379"/>
          <w:tab w:val="left" w:pos="7371"/>
          <w:tab w:val="left" w:pos="9072"/>
        </w:tabs>
        <w:ind w:left="426" w:hanging="426"/>
      </w:pPr>
      <w:r>
        <w:t>32. Is there a letter to the patient’s primary care team?</w:t>
      </w:r>
    </w:p>
    <w:p w14:paraId="612148D6" w14:textId="77777777" w:rsidR="000923BB" w:rsidRDefault="000923BB" w:rsidP="000923BB">
      <w:pPr>
        <w:pStyle w:val="Header"/>
        <w:tabs>
          <w:tab w:val="left" w:pos="2835"/>
          <w:tab w:val="left" w:pos="4820"/>
          <w:tab w:val="left" w:pos="6379"/>
          <w:tab w:val="left" w:pos="7371"/>
          <w:tab w:val="left" w:pos="9072"/>
        </w:tabs>
      </w:pPr>
      <w:r>
        <w:tab/>
      </w:r>
      <w:r>
        <w:tab/>
      </w:r>
      <w:r>
        <w:tab/>
      </w:r>
      <w:r>
        <w:tab/>
        <w:t>yes</w:t>
      </w:r>
      <w:r>
        <w:tab/>
      </w:r>
      <w:r>
        <w:sym w:font="Monotype Sorts" w:char="F071"/>
      </w:r>
    </w:p>
    <w:p w14:paraId="54F4361F" w14:textId="77777777" w:rsidR="000923BB" w:rsidRDefault="000923BB" w:rsidP="000923BB">
      <w:pPr>
        <w:pStyle w:val="Header"/>
        <w:tabs>
          <w:tab w:val="left" w:pos="2835"/>
          <w:tab w:val="left" w:pos="4820"/>
          <w:tab w:val="left" w:pos="6379"/>
          <w:tab w:val="left" w:pos="7371"/>
          <w:tab w:val="left" w:pos="9072"/>
        </w:tabs>
      </w:pPr>
      <w:r>
        <w:tab/>
      </w:r>
      <w:r>
        <w:tab/>
      </w:r>
      <w:r>
        <w:tab/>
      </w:r>
      <w:r>
        <w:tab/>
        <w:t>no</w:t>
      </w:r>
      <w:r>
        <w:tab/>
      </w:r>
      <w:r>
        <w:sym w:font="Monotype Sorts" w:char="F071"/>
      </w:r>
    </w:p>
    <w:p w14:paraId="37CD312F" w14:textId="77777777" w:rsidR="000923BB" w:rsidRDefault="000923BB" w:rsidP="000923BB">
      <w:pPr>
        <w:pStyle w:val="Header"/>
        <w:tabs>
          <w:tab w:val="left" w:pos="2835"/>
          <w:tab w:val="left" w:pos="4820"/>
          <w:tab w:val="left" w:pos="6379"/>
          <w:tab w:val="left" w:pos="7371"/>
          <w:tab w:val="left" w:pos="9072"/>
        </w:tabs>
      </w:pPr>
    </w:p>
    <w:p w14:paraId="55E49D75" w14:textId="77777777" w:rsidR="000923BB" w:rsidRDefault="000923BB" w:rsidP="000923BB">
      <w:pPr>
        <w:pStyle w:val="Header"/>
        <w:tabs>
          <w:tab w:val="left" w:pos="2835"/>
          <w:tab w:val="left" w:pos="4820"/>
          <w:tab w:val="left" w:pos="5245"/>
          <w:tab w:val="left" w:pos="6379"/>
          <w:tab w:val="left" w:pos="7371"/>
          <w:tab w:val="left" w:pos="9072"/>
        </w:tabs>
        <w:ind w:left="1440"/>
      </w:pPr>
      <w:r>
        <w:t>If yes, did the letter include a clear list of the patient’s medication?</w:t>
      </w:r>
    </w:p>
    <w:p w14:paraId="3E7972FC" w14:textId="77777777" w:rsidR="000923BB" w:rsidRDefault="000923BB" w:rsidP="000923BB">
      <w:pPr>
        <w:pStyle w:val="Header"/>
        <w:tabs>
          <w:tab w:val="left" w:pos="2835"/>
          <w:tab w:val="left" w:pos="4820"/>
          <w:tab w:val="left" w:pos="6379"/>
          <w:tab w:val="left" w:pos="9072"/>
        </w:tabs>
      </w:pPr>
      <w:r>
        <w:tab/>
      </w:r>
      <w:r>
        <w:tab/>
      </w:r>
      <w:r>
        <w:tab/>
        <w:t>yes</w:t>
      </w:r>
      <w:r>
        <w:tab/>
      </w:r>
      <w:r>
        <w:sym w:font="Monotype Sorts" w:char="F071"/>
      </w:r>
    </w:p>
    <w:p w14:paraId="543D1373" w14:textId="77777777" w:rsidR="000923BB" w:rsidRDefault="000923BB" w:rsidP="000923BB">
      <w:pPr>
        <w:pStyle w:val="Header"/>
        <w:tabs>
          <w:tab w:val="left" w:pos="2835"/>
          <w:tab w:val="left" w:pos="4820"/>
          <w:tab w:val="left" w:pos="6379"/>
          <w:tab w:val="left" w:pos="9072"/>
        </w:tabs>
      </w:pPr>
      <w:r>
        <w:tab/>
      </w:r>
      <w:r>
        <w:tab/>
      </w:r>
      <w:r>
        <w:tab/>
        <w:t>no</w:t>
      </w:r>
      <w:r>
        <w:tab/>
      </w:r>
      <w:r>
        <w:sym w:font="Monotype Sorts" w:char="F071"/>
      </w:r>
    </w:p>
    <w:p w14:paraId="461FFDD1" w14:textId="77777777" w:rsidR="000923BB" w:rsidRDefault="000923BB" w:rsidP="000923BB">
      <w:pPr>
        <w:pStyle w:val="Header"/>
        <w:tabs>
          <w:tab w:val="left" w:pos="2835"/>
          <w:tab w:val="left" w:pos="4820"/>
          <w:tab w:val="left" w:pos="6379"/>
          <w:tab w:val="left" w:pos="9072"/>
        </w:tabs>
      </w:pPr>
      <w:r>
        <w:tab/>
      </w:r>
      <w:r>
        <w:tab/>
      </w:r>
      <w:r>
        <w:tab/>
        <w:t>not recorded</w:t>
      </w:r>
      <w:r>
        <w:tab/>
      </w:r>
      <w:r>
        <w:sym w:font="Monotype Sorts" w:char="F071"/>
      </w:r>
    </w:p>
    <w:p w14:paraId="54590900" w14:textId="77777777" w:rsidR="000923BB" w:rsidRDefault="000923BB" w:rsidP="000923BB">
      <w:pPr>
        <w:pStyle w:val="Header"/>
        <w:tabs>
          <w:tab w:val="left" w:pos="2835"/>
          <w:tab w:val="left" w:pos="4820"/>
          <w:tab w:val="left" w:pos="6379"/>
          <w:tab w:val="left" w:pos="7371"/>
          <w:tab w:val="left" w:pos="9072"/>
        </w:tabs>
      </w:pPr>
    </w:p>
    <w:p w14:paraId="76BB292D" w14:textId="77777777" w:rsidR="000923BB" w:rsidRDefault="000923BB" w:rsidP="000923BB">
      <w:pPr>
        <w:pStyle w:val="Header"/>
        <w:pBdr>
          <w:top w:val="dotted" w:sz="4" w:space="10" w:color="auto"/>
        </w:pBdr>
        <w:tabs>
          <w:tab w:val="left" w:pos="2835"/>
          <w:tab w:val="left" w:pos="4820"/>
          <w:tab w:val="left" w:pos="6379"/>
          <w:tab w:val="left" w:pos="7371"/>
          <w:tab w:val="left" w:pos="9072"/>
        </w:tabs>
        <w:ind w:left="426" w:hanging="426"/>
      </w:pPr>
      <w:r>
        <w:t>33. Which type of consultant was the patient under at</w:t>
      </w:r>
      <w:r>
        <w:br/>
        <w:t>time of discharge?</w:t>
      </w:r>
    </w:p>
    <w:p w14:paraId="05279DEF" w14:textId="77777777" w:rsidR="000923BB" w:rsidRDefault="000923BB" w:rsidP="000923BB">
      <w:pPr>
        <w:pStyle w:val="Header"/>
        <w:pBdr>
          <w:top w:val="dotted" w:sz="4" w:space="10" w:color="auto"/>
        </w:pBdr>
        <w:tabs>
          <w:tab w:val="left" w:pos="2835"/>
          <w:tab w:val="left" w:pos="4820"/>
          <w:tab w:val="left" w:pos="6379"/>
          <w:tab w:val="left" w:pos="7371"/>
          <w:tab w:val="left" w:pos="9072"/>
        </w:tabs>
      </w:pPr>
      <w:r>
        <w:tab/>
      </w:r>
      <w:r>
        <w:tab/>
      </w:r>
      <w:r>
        <w:tab/>
        <w:t>cardiologist</w:t>
      </w:r>
      <w:r>
        <w:tab/>
      </w:r>
      <w:r>
        <w:sym w:font="Monotype Sorts" w:char="F071"/>
      </w:r>
    </w:p>
    <w:p w14:paraId="5BE29398" w14:textId="77777777" w:rsidR="000923BB" w:rsidRDefault="007D7C0C" w:rsidP="000923BB">
      <w:pPr>
        <w:pStyle w:val="Header"/>
        <w:tabs>
          <w:tab w:val="left" w:pos="2835"/>
          <w:tab w:val="left" w:pos="4820"/>
          <w:tab w:val="left" w:pos="6379"/>
          <w:tab w:val="left" w:pos="7371"/>
          <w:tab w:val="left" w:pos="9072"/>
        </w:tabs>
      </w:pPr>
      <w:r>
        <w:tab/>
      </w:r>
      <w:r>
        <w:tab/>
      </w:r>
      <w:r>
        <w:tab/>
        <w:t>care of elderly physician</w:t>
      </w:r>
      <w:r w:rsidR="000923BB">
        <w:sym w:font="Monotype Sorts" w:char="F071"/>
      </w:r>
    </w:p>
    <w:p w14:paraId="1E4509C9" w14:textId="77777777" w:rsidR="000923BB" w:rsidRDefault="000923BB" w:rsidP="000923BB">
      <w:pPr>
        <w:pStyle w:val="Header"/>
        <w:tabs>
          <w:tab w:val="left" w:pos="2835"/>
          <w:tab w:val="left" w:pos="4820"/>
          <w:tab w:val="left" w:pos="6379"/>
          <w:tab w:val="left" w:pos="7371"/>
          <w:tab w:val="left" w:pos="9072"/>
        </w:tabs>
      </w:pPr>
      <w:r>
        <w:tab/>
      </w:r>
      <w:r>
        <w:tab/>
      </w:r>
      <w:r>
        <w:tab/>
        <w:t>general physician</w:t>
      </w:r>
      <w:r>
        <w:tab/>
      </w:r>
      <w:r>
        <w:sym w:font="Monotype Sorts" w:char="F071"/>
      </w:r>
    </w:p>
    <w:p w14:paraId="59951625" w14:textId="77777777" w:rsidR="000923BB" w:rsidRDefault="000923BB" w:rsidP="000923BB">
      <w:pPr>
        <w:pStyle w:val="Header"/>
        <w:tabs>
          <w:tab w:val="left" w:pos="2835"/>
          <w:tab w:val="left" w:pos="4820"/>
          <w:tab w:val="left" w:pos="6379"/>
          <w:tab w:val="left" w:pos="7371"/>
          <w:tab w:val="left" w:pos="9072"/>
        </w:tabs>
      </w:pPr>
      <w:r>
        <w:tab/>
      </w:r>
      <w:r>
        <w:tab/>
      </w:r>
      <w:r>
        <w:tab/>
        <w:t>other</w:t>
      </w:r>
      <w:r>
        <w:tab/>
      </w:r>
      <w:r>
        <w:tab/>
      </w:r>
      <w:r>
        <w:sym w:font="Monotype Sorts" w:char="F071"/>
      </w:r>
    </w:p>
    <w:p w14:paraId="477F7723" w14:textId="77777777" w:rsidR="000923BB" w:rsidRDefault="000923BB" w:rsidP="000923BB">
      <w:pPr>
        <w:pStyle w:val="Header"/>
        <w:tabs>
          <w:tab w:val="left" w:pos="2835"/>
          <w:tab w:val="left" w:pos="4820"/>
          <w:tab w:val="left" w:pos="6379"/>
          <w:tab w:val="left" w:pos="7371"/>
          <w:tab w:val="left" w:pos="9072"/>
        </w:tabs>
      </w:pPr>
      <w:r>
        <w:tab/>
      </w:r>
      <w:r>
        <w:tab/>
      </w:r>
      <w:r>
        <w:tab/>
        <w:t>not recorded</w:t>
      </w:r>
      <w:r>
        <w:tab/>
      </w:r>
      <w:r>
        <w:sym w:font="Monotype Sorts" w:char="F071"/>
      </w:r>
    </w:p>
    <w:p w14:paraId="000A5090" w14:textId="77777777" w:rsidR="000923BB" w:rsidRDefault="000923BB" w:rsidP="000923BB">
      <w:pPr>
        <w:pStyle w:val="Header"/>
      </w:pPr>
    </w:p>
    <w:p w14:paraId="26C1456F" w14:textId="77777777" w:rsidR="000923BB" w:rsidRDefault="000923BB" w:rsidP="000923BB">
      <w:pPr>
        <w:pStyle w:val="Header"/>
        <w:pBdr>
          <w:bottom w:val="single" w:sz="18" w:space="6" w:color="auto"/>
        </w:pBdr>
        <w:jc w:val="center"/>
        <w:rPr>
          <w:rFonts w:cs="Arial"/>
          <w:b/>
          <w:sz w:val="28"/>
          <w:szCs w:val="28"/>
        </w:rPr>
      </w:pPr>
      <w:r>
        <w:rPr>
          <w:rFonts w:cs="Arial"/>
          <w:sz w:val="22"/>
          <w:szCs w:val="22"/>
        </w:rPr>
        <w:br w:type="page"/>
      </w:r>
      <w:r w:rsidRPr="00FB7CC2">
        <w:rPr>
          <w:rFonts w:cs="Arial"/>
          <w:b/>
          <w:sz w:val="28"/>
          <w:szCs w:val="28"/>
        </w:rPr>
        <w:lastRenderedPageBreak/>
        <w:t>Appendix</w:t>
      </w:r>
      <w:r>
        <w:rPr>
          <w:rFonts w:cs="Arial"/>
          <w:b/>
          <w:sz w:val="28"/>
          <w:szCs w:val="28"/>
        </w:rPr>
        <w:t xml:space="preserve"> 3</w:t>
      </w:r>
    </w:p>
    <w:p w14:paraId="5F9171BD" w14:textId="77777777" w:rsidR="000923BB" w:rsidRDefault="000923BB" w:rsidP="000923BB">
      <w:pPr>
        <w:pStyle w:val="Header"/>
        <w:pBdr>
          <w:bottom w:val="single" w:sz="18" w:space="6" w:color="auto"/>
        </w:pBdr>
        <w:jc w:val="center"/>
        <w:rPr>
          <w:rFonts w:cs="Arial"/>
          <w:b/>
          <w:sz w:val="28"/>
          <w:szCs w:val="28"/>
        </w:rPr>
      </w:pPr>
    </w:p>
    <w:p w14:paraId="69C552E6" w14:textId="77777777" w:rsidR="000923BB" w:rsidRPr="00FB7CC2" w:rsidRDefault="000923BB" w:rsidP="000923BB">
      <w:pPr>
        <w:pStyle w:val="Header"/>
        <w:pBdr>
          <w:bottom w:val="single" w:sz="18" w:space="6" w:color="auto"/>
        </w:pBdr>
        <w:jc w:val="center"/>
        <w:rPr>
          <w:rFonts w:cs="Arial"/>
          <w:b/>
          <w:sz w:val="28"/>
          <w:szCs w:val="28"/>
        </w:rPr>
      </w:pPr>
      <w:r w:rsidRPr="00FB7CC2">
        <w:rPr>
          <w:rFonts w:cs="Arial"/>
          <w:b/>
          <w:sz w:val="28"/>
          <w:szCs w:val="28"/>
        </w:rPr>
        <w:t xml:space="preserve"> Validity of review criterion questionnaire (COPD)</w:t>
      </w:r>
    </w:p>
    <w:p w14:paraId="520A2954" w14:textId="77777777" w:rsidR="000923BB" w:rsidRDefault="000923BB" w:rsidP="000923BB">
      <w:pPr>
        <w:pStyle w:val="Header"/>
        <w:pBdr>
          <w:bottom w:val="single" w:sz="18" w:space="6" w:color="auto"/>
        </w:pBdr>
        <w:rPr>
          <w:sz w:val="20"/>
          <w:szCs w:val="20"/>
        </w:rPr>
      </w:pPr>
    </w:p>
    <w:p w14:paraId="6AE06B4E" w14:textId="77777777" w:rsidR="000923BB" w:rsidRDefault="000923BB" w:rsidP="000923BB">
      <w:pPr>
        <w:pStyle w:val="Header"/>
        <w:pBdr>
          <w:bottom w:val="single" w:sz="18" w:space="6" w:color="auto"/>
        </w:pBdr>
        <w:rPr>
          <w:sz w:val="20"/>
          <w:szCs w:val="20"/>
        </w:rPr>
      </w:pPr>
    </w:p>
    <w:p w14:paraId="3E818FD7" w14:textId="77777777" w:rsidR="000923BB" w:rsidRPr="00B77A2A" w:rsidRDefault="000923BB" w:rsidP="000923BB">
      <w:pPr>
        <w:pStyle w:val="Header"/>
        <w:pBdr>
          <w:bottom w:val="single" w:sz="18" w:space="6" w:color="auto"/>
        </w:pBdr>
        <w:rPr>
          <w:b/>
          <w:sz w:val="28"/>
          <w:szCs w:val="28"/>
        </w:rPr>
      </w:pPr>
      <w:r w:rsidRPr="00B77A2A">
        <w:rPr>
          <w:b/>
          <w:sz w:val="28"/>
          <w:szCs w:val="28"/>
        </w:rPr>
        <w:t>Key data</w:t>
      </w:r>
    </w:p>
    <w:p w14:paraId="0B77F25E" w14:textId="77777777" w:rsidR="000923BB" w:rsidRDefault="000923BB" w:rsidP="000923BB">
      <w:pPr>
        <w:pStyle w:val="Header"/>
        <w:tabs>
          <w:tab w:val="left" w:pos="2835"/>
          <w:tab w:val="left" w:pos="4820"/>
          <w:tab w:val="left" w:pos="6379"/>
          <w:tab w:val="left" w:pos="7371"/>
          <w:tab w:val="left" w:pos="9072"/>
        </w:tabs>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4349"/>
        <w:gridCol w:w="604"/>
        <w:gridCol w:w="598"/>
        <w:gridCol w:w="763"/>
        <w:gridCol w:w="1457"/>
      </w:tblGrid>
      <w:tr w:rsidR="000923BB" w14:paraId="581FBE54" w14:textId="77777777" w:rsidTr="00513F76">
        <w:trPr>
          <w:cantSplit/>
          <w:trHeight w:val="1383"/>
        </w:trPr>
        <w:tc>
          <w:tcPr>
            <w:tcW w:w="536" w:type="dxa"/>
          </w:tcPr>
          <w:p w14:paraId="1399A9A9" w14:textId="77777777" w:rsidR="000923BB" w:rsidRPr="00DA5E13" w:rsidRDefault="000923BB" w:rsidP="003A385F">
            <w:pPr>
              <w:pStyle w:val="Header"/>
              <w:tabs>
                <w:tab w:val="left" w:pos="2835"/>
                <w:tab w:val="left" w:pos="4820"/>
                <w:tab w:val="left" w:pos="6379"/>
                <w:tab w:val="left" w:pos="7371"/>
                <w:tab w:val="left" w:pos="9072"/>
              </w:tabs>
              <w:rPr>
                <w:b/>
              </w:rPr>
            </w:pPr>
            <w:r w:rsidRPr="00DA5E13">
              <w:rPr>
                <w:b/>
              </w:rPr>
              <w:t>No</w:t>
            </w:r>
          </w:p>
        </w:tc>
        <w:tc>
          <w:tcPr>
            <w:tcW w:w="4349" w:type="dxa"/>
          </w:tcPr>
          <w:p w14:paraId="090E8400" w14:textId="77777777" w:rsidR="000923BB" w:rsidRPr="00DA5E13" w:rsidRDefault="000923BB" w:rsidP="003A385F">
            <w:pPr>
              <w:pStyle w:val="Header"/>
              <w:tabs>
                <w:tab w:val="left" w:pos="2835"/>
                <w:tab w:val="left" w:pos="4820"/>
                <w:tab w:val="left" w:pos="6379"/>
                <w:tab w:val="left" w:pos="7371"/>
                <w:tab w:val="left" w:pos="9072"/>
              </w:tabs>
              <w:rPr>
                <w:b/>
              </w:rPr>
            </w:pPr>
            <w:r w:rsidRPr="00DA5E13">
              <w:rPr>
                <w:b/>
              </w:rPr>
              <w:t>Criterion</w:t>
            </w:r>
          </w:p>
        </w:tc>
        <w:tc>
          <w:tcPr>
            <w:tcW w:w="604" w:type="dxa"/>
            <w:textDirection w:val="tbRl"/>
          </w:tcPr>
          <w:p w14:paraId="0CEAB20B" w14:textId="77777777" w:rsidR="000923BB" w:rsidRPr="00DA5E13" w:rsidRDefault="000923BB" w:rsidP="003A385F">
            <w:pPr>
              <w:pStyle w:val="Header"/>
              <w:tabs>
                <w:tab w:val="left" w:pos="2835"/>
                <w:tab w:val="left" w:pos="4820"/>
                <w:tab w:val="left" w:pos="6379"/>
                <w:tab w:val="left" w:pos="7371"/>
                <w:tab w:val="left" w:pos="9072"/>
              </w:tabs>
              <w:ind w:left="113" w:right="113"/>
              <w:rPr>
                <w:b/>
              </w:rPr>
            </w:pPr>
            <w:r w:rsidRPr="00DA5E13">
              <w:rPr>
                <w:b/>
              </w:rPr>
              <w:t>Essential</w:t>
            </w:r>
          </w:p>
        </w:tc>
        <w:tc>
          <w:tcPr>
            <w:tcW w:w="598" w:type="dxa"/>
            <w:textDirection w:val="tbRl"/>
          </w:tcPr>
          <w:p w14:paraId="22BD12C2" w14:textId="77777777" w:rsidR="000923BB" w:rsidRPr="00DA5E13" w:rsidRDefault="000923BB" w:rsidP="003A385F">
            <w:pPr>
              <w:pStyle w:val="Header"/>
              <w:tabs>
                <w:tab w:val="left" w:pos="2835"/>
                <w:tab w:val="left" w:pos="4820"/>
                <w:tab w:val="left" w:pos="6379"/>
                <w:tab w:val="left" w:pos="7371"/>
                <w:tab w:val="left" w:pos="9072"/>
              </w:tabs>
              <w:ind w:left="113" w:right="113"/>
              <w:rPr>
                <w:b/>
              </w:rPr>
            </w:pPr>
            <w:r w:rsidRPr="00DA5E13">
              <w:rPr>
                <w:b/>
              </w:rPr>
              <w:t>Desirable</w:t>
            </w:r>
          </w:p>
        </w:tc>
        <w:tc>
          <w:tcPr>
            <w:tcW w:w="763" w:type="dxa"/>
            <w:textDirection w:val="tbRl"/>
          </w:tcPr>
          <w:p w14:paraId="4A85703F" w14:textId="77777777" w:rsidR="000923BB" w:rsidRPr="00DA5E13" w:rsidRDefault="000923BB" w:rsidP="003A385F">
            <w:pPr>
              <w:pStyle w:val="Header"/>
              <w:tabs>
                <w:tab w:val="left" w:pos="2835"/>
                <w:tab w:val="left" w:pos="4820"/>
                <w:tab w:val="left" w:pos="6379"/>
                <w:tab w:val="left" w:pos="7371"/>
                <w:tab w:val="left" w:pos="9072"/>
              </w:tabs>
              <w:ind w:left="113" w:right="113"/>
              <w:rPr>
                <w:b/>
              </w:rPr>
            </w:pPr>
            <w:r w:rsidRPr="00DA5E13">
              <w:rPr>
                <w:b/>
              </w:rPr>
              <w:t>Non-Essential</w:t>
            </w:r>
          </w:p>
        </w:tc>
        <w:tc>
          <w:tcPr>
            <w:tcW w:w="1457" w:type="dxa"/>
          </w:tcPr>
          <w:p w14:paraId="7C2FFD92" w14:textId="77777777" w:rsidR="000923BB" w:rsidRPr="00DA5E13" w:rsidRDefault="000923BB" w:rsidP="003A385F">
            <w:pPr>
              <w:pStyle w:val="Header"/>
              <w:tabs>
                <w:tab w:val="left" w:pos="2835"/>
                <w:tab w:val="left" w:pos="4820"/>
                <w:tab w:val="left" w:pos="6379"/>
                <w:tab w:val="left" w:pos="7371"/>
                <w:tab w:val="left" w:pos="9072"/>
              </w:tabs>
              <w:rPr>
                <w:b/>
              </w:rPr>
            </w:pPr>
            <w:r w:rsidRPr="00DA5E13">
              <w:rPr>
                <w:b/>
              </w:rPr>
              <w:t>Comments</w:t>
            </w:r>
          </w:p>
        </w:tc>
      </w:tr>
      <w:tr w:rsidR="000923BB" w14:paraId="4ACEF574" w14:textId="77777777" w:rsidTr="00513F76">
        <w:trPr>
          <w:trHeight w:val="421"/>
        </w:trPr>
        <w:tc>
          <w:tcPr>
            <w:tcW w:w="536" w:type="dxa"/>
          </w:tcPr>
          <w:p w14:paraId="54D572C2" w14:textId="77777777" w:rsidR="000923BB" w:rsidRPr="00B66346" w:rsidRDefault="000923BB" w:rsidP="003A385F">
            <w:pPr>
              <w:pStyle w:val="Header"/>
              <w:tabs>
                <w:tab w:val="left" w:pos="2835"/>
                <w:tab w:val="left" w:pos="4820"/>
                <w:tab w:val="left" w:pos="6379"/>
                <w:tab w:val="left" w:pos="7371"/>
                <w:tab w:val="left" w:pos="9072"/>
              </w:tabs>
              <w:rPr>
                <w:sz w:val="20"/>
                <w:szCs w:val="20"/>
              </w:rPr>
            </w:pPr>
            <w:r w:rsidRPr="00B66346">
              <w:rPr>
                <w:sz w:val="20"/>
                <w:szCs w:val="20"/>
              </w:rPr>
              <w:t>1</w:t>
            </w:r>
          </w:p>
        </w:tc>
        <w:tc>
          <w:tcPr>
            <w:tcW w:w="4349" w:type="dxa"/>
          </w:tcPr>
          <w:p w14:paraId="1BA058F1" w14:textId="77777777" w:rsidR="000923BB" w:rsidRPr="00B66346" w:rsidRDefault="000923BB" w:rsidP="003A385F">
            <w:pPr>
              <w:pStyle w:val="Header"/>
              <w:tabs>
                <w:tab w:val="left" w:pos="2835"/>
                <w:tab w:val="left" w:pos="4820"/>
                <w:tab w:val="left" w:pos="6379"/>
                <w:tab w:val="left" w:pos="7371"/>
                <w:tab w:val="left" w:pos="9072"/>
              </w:tabs>
              <w:rPr>
                <w:sz w:val="20"/>
                <w:szCs w:val="20"/>
              </w:rPr>
            </w:pPr>
            <w:r w:rsidRPr="00B66346">
              <w:rPr>
                <w:sz w:val="20"/>
                <w:szCs w:val="20"/>
              </w:rPr>
              <w:t>Audit record number</w:t>
            </w:r>
          </w:p>
          <w:p w14:paraId="7180CE92" w14:textId="77777777" w:rsidR="000923BB" w:rsidRPr="00B66346" w:rsidRDefault="000923BB" w:rsidP="003A385F">
            <w:pPr>
              <w:pStyle w:val="Header"/>
              <w:tabs>
                <w:tab w:val="left" w:pos="2835"/>
                <w:tab w:val="left" w:pos="4820"/>
                <w:tab w:val="left" w:pos="6379"/>
                <w:tab w:val="left" w:pos="7371"/>
                <w:tab w:val="left" w:pos="9072"/>
              </w:tabs>
              <w:rPr>
                <w:sz w:val="20"/>
                <w:szCs w:val="20"/>
              </w:rPr>
            </w:pPr>
            <w:r w:rsidRPr="00B66346">
              <w:rPr>
                <w:sz w:val="20"/>
                <w:szCs w:val="20"/>
              </w:rPr>
              <w:t>(RReSQ Study Reference Number)</w:t>
            </w:r>
          </w:p>
        </w:tc>
        <w:tc>
          <w:tcPr>
            <w:tcW w:w="604" w:type="dxa"/>
          </w:tcPr>
          <w:p w14:paraId="758199A4" w14:textId="77777777" w:rsidR="000923BB" w:rsidRDefault="000923BB" w:rsidP="003A385F">
            <w:pPr>
              <w:pStyle w:val="Header"/>
              <w:tabs>
                <w:tab w:val="left" w:pos="2835"/>
                <w:tab w:val="left" w:pos="4820"/>
                <w:tab w:val="left" w:pos="6379"/>
                <w:tab w:val="left" w:pos="7371"/>
                <w:tab w:val="left" w:pos="9072"/>
              </w:tabs>
              <w:rPr>
                <w:sz w:val="22"/>
                <w:szCs w:val="22"/>
              </w:rPr>
            </w:pPr>
          </w:p>
        </w:tc>
        <w:tc>
          <w:tcPr>
            <w:tcW w:w="598" w:type="dxa"/>
          </w:tcPr>
          <w:p w14:paraId="07F02A48" w14:textId="77777777" w:rsidR="000923BB" w:rsidRDefault="000923BB" w:rsidP="003A385F">
            <w:pPr>
              <w:pStyle w:val="Header"/>
              <w:tabs>
                <w:tab w:val="left" w:pos="2835"/>
                <w:tab w:val="left" w:pos="4820"/>
                <w:tab w:val="left" w:pos="6379"/>
                <w:tab w:val="left" w:pos="7371"/>
                <w:tab w:val="left" w:pos="9072"/>
              </w:tabs>
              <w:rPr>
                <w:sz w:val="22"/>
                <w:szCs w:val="22"/>
              </w:rPr>
            </w:pPr>
          </w:p>
        </w:tc>
        <w:tc>
          <w:tcPr>
            <w:tcW w:w="763" w:type="dxa"/>
          </w:tcPr>
          <w:p w14:paraId="2392CFD2" w14:textId="77777777" w:rsidR="000923BB" w:rsidRDefault="000923BB" w:rsidP="003A385F">
            <w:pPr>
              <w:pStyle w:val="Header"/>
              <w:tabs>
                <w:tab w:val="left" w:pos="2835"/>
                <w:tab w:val="left" w:pos="4820"/>
                <w:tab w:val="left" w:pos="6379"/>
                <w:tab w:val="left" w:pos="7371"/>
                <w:tab w:val="left" w:pos="9072"/>
              </w:tabs>
              <w:rPr>
                <w:sz w:val="22"/>
                <w:szCs w:val="22"/>
              </w:rPr>
            </w:pPr>
          </w:p>
        </w:tc>
        <w:tc>
          <w:tcPr>
            <w:tcW w:w="1457" w:type="dxa"/>
          </w:tcPr>
          <w:p w14:paraId="523B5F97" w14:textId="77777777" w:rsidR="000923BB" w:rsidRDefault="000923BB" w:rsidP="003A385F">
            <w:pPr>
              <w:pStyle w:val="Header"/>
              <w:tabs>
                <w:tab w:val="left" w:pos="2835"/>
                <w:tab w:val="left" w:pos="4820"/>
                <w:tab w:val="left" w:pos="6379"/>
                <w:tab w:val="left" w:pos="7371"/>
                <w:tab w:val="left" w:pos="9072"/>
              </w:tabs>
              <w:rPr>
                <w:sz w:val="22"/>
                <w:szCs w:val="22"/>
              </w:rPr>
            </w:pPr>
          </w:p>
        </w:tc>
      </w:tr>
      <w:tr w:rsidR="000923BB" w14:paraId="70148C7D" w14:textId="77777777" w:rsidTr="00513F76">
        <w:trPr>
          <w:trHeight w:val="218"/>
        </w:trPr>
        <w:tc>
          <w:tcPr>
            <w:tcW w:w="536" w:type="dxa"/>
          </w:tcPr>
          <w:p w14:paraId="00AB3591" w14:textId="77777777" w:rsidR="000923BB" w:rsidRPr="00B66346" w:rsidRDefault="000923BB" w:rsidP="003A385F">
            <w:pPr>
              <w:pStyle w:val="Header"/>
              <w:tabs>
                <w:tab w:val="left" w:pos="2835"/>
                <w:tab w:val="left" w:pos="4820"/>
                <w:tab w:val="left" w:pos="6379"/>
                <w:tab w:val="left" w:pos="7371"/>
                <w:tab w:val="left" w:pos="9072"/>
              </w:tabs>
              <w:rPr>
                <w:sz w:val="20"/>
                <w:szCs w:val="20"/>
              </w:rPr>
            </w:pPr>
            <w:r w:rsidRPr="00B66346">
              <w:rPr>
                <w:sz w:val="20"/>
                <w:szCs w:val="20"/>
              </w:rPr>
              <w:t>2</w:t>
            </w:r>
          </w:p>
        </w:tc>
        <w:tc>
          <w:tcPr>
            <w:tcW w:w="4349" w:type="dxa"/>
          </w:tcPr>
          <w:p w14:paraId="4332A7A9" w14:textId="77777777" w:rsidR="000923BB" w:rsidRPr="00B66346" w:rsidRDefault="000923BB" w:rsidP="003A385F">
            <w:pPr>
              <w:pStyle w:val="Header"/>
              <w:tabs>
                <w:tab w:val="left" w:pos="2835"/>
                <w:tab w:val="left" w:pos="4820"/>
                <w:tab w:val="left" w:pos="6379"/>
                <w:tab w:val="left" w:pos="7371"/>
                <w:tab w:val="left" w:pos="9072"/>
              </w:tabs>
              <w:rPr>
                <w:sz w:val="20"/>
                <w:szCs w:val="20"/>
              </w:rPr>
            </w:pPr>
            <w:r w:rsidRPr="00B66346">
              <w:rPr>
                <w:i/>
                <w:sz w:val="20"/>
                <w:szCs w:val="20"/>
              </w:rPr>
              <w:t>Hospital number</w:t>
            </w:r>
          </w:p>
        </w:tc>
        <w:tc>
          <w:tcPr>
            <w:tcW w:w="604" w:type="dxa"/>
          </w:tcPr>
          <w:p w14:paraId="0956C9C7" w14:textId="77777777" w:rsidR="000923BB" w:rsidRDefault="000923BB" w:rsidP="003A385F">
            <w:pPr>
              <w:pStyle w:val="Header"/>
              <w:tabs>
                <w:tab w:val="left" w:pos="2835"/>
                <w:tab w:val="left" w:pos="4820"/>
                <w:tab w:val="left" w:pos="6379"/>
                <w:tab w:val="left" w:pos="7371"/>
                <w:tab w:val="left" w:pos="9072"/>
              </w:tabs>
              <w:rPr>
                <w:sz w:val="22"/>
                <w:szCs w:val="22"/>
              </w:rPr>
            </w:pPr>
          </w:p>
        </w:tc>
        <w:tc>
          <w:tcPr>
            <w:tcW w:w="598" w:type="dxa"/>
          </w:tcPr>
          <w:p w14:paraId="61878BE4" w14:textId="77777777" w:rsidR="000923BB" w:rsidRDefault="000923BB" w:rsidP="003A385F">
            <w:pPr>
              <w:pStyle w:val="Header"/>
              <w:tabs>
                <w:tab w:val="left" w:pos="2835"/>
                <w:tab w:val="left" w:pos="4820"/>
                <w:tab w:val="left" w:pos="6379"/>
                <w:tab w:val="left" w:pos="7371"/>
                <w:tab w:val="left" w:pos="9072"/>
              </w:tabs>
              <w:rPr>
                <w:sz w:val="22"/>
                <w:szCs w:val="22"/>
              </w:rPr>
            </w:pPr>
          </w:p>
        </w:tc>
        <w:tc>
          <w:tcPr>
            <w:tcW w:w="763" w:type="dxa"/>
          </w:tcPr>
          <w:p w14:paraId="280E974D" w14:textId="77777777" w:rsidR="000923BB" w:rsidRDefault="000923BB" w:rsidP="003A385F">
            <w:pPr>
              <w:pStyle w:val="Header"/>
              <w:tabs>
                <w:tab w:val="left" w:pos="2835"/>
                <w:tab w:val="left" w:pos="4820"/>
                <w:tab w:val="left" w:pos="6379"/>
                <w:tab w:val="left" w:pos="7371"/>
                <w:tab w:val="left" w:pos="9072"/>
              </w:tabs>
              <w:rPr>
                <w:sz w:val="22"/>
                <w:szCs w:val="22"/>
              </w:rPr>
            </w:pPr>
          </w:p>
        </w:tc>
        <w:tc>
          <w:tcPr>
            <w:tcW w:w="1457" w:type="dxa"/>
          </w:tcPr>
          <w:p w14:paraId="52CF26E9" w14:textId="77777777" w:rsidR="000923BB" w:rsidRDefault="000923BB" w:rsidP="003A385F">
            <w:pPr>
              <w:pStyle w:val="Header"/>
              <w:tabs>
                <w:tab w:val="left" w:pos="2835"/>
                <w:tab w:val="left" w:pos="4820"/>
                <w:tab w:val="left" w:pos="6379"/>
                <w:tab w:val="left" w:pos="7371"/>
                <w:tab w:val="left" w:pos="9072"/>
              </w:tabs>
              <w:rPr>
                <w:sz w:val="22"/>
                <w:szCs w:val="22"/>
              </w:rPr>
            </w:pPr>
          </w:p>
        </w:tc>
      </w:tr>
      <w:tr w:rsidR="000923BB" w14:paraId="1ABAF18C" w14:textId="77777777" w:rsidTr="00513F76">
        <w:trPr>
          <w:trHeight w:val="234"/>
        </w:trPr>
        <w:tc>
          <w:tcPr>
            <w:tcW w:w="536" w:type="dxa"/>
          </w:tcPr>
          <w:p w14:paraId="5F5E7B10" w14:textId="77777777" w:rsidR="000923BB" w:rsidRPr="00B66346" w:rsidRDefault="000923BB" w:rsidP="003A385F">
            <w:pPr>
              <w:pStyle w:val="Header"/>
              <w:tabs>
                <w:tab w:val="left" w:pos="2835"/>
                <w:tab w:val="left" w:pos="4820"/>
                <w:tab w:val="left" w:pos="6379"/>
                <w:tab w:val="left" w:pos="7371"/>
                <w:tab w:val="left" w:pos="9072"/>
              </w:tabs>
              <w:rPr>
                <w:sz w:val="20"/>
                <w:szCs w:val="20"/>
              </w:rPr>
            </w:pPr>
            <w:r w:rsidRPr="00B66346">
              <w:rPr>
                <w:sz w:val="20"/>
                <w:szCs w:val="20"/>
              </w:rPr>
              <w:t>3</w:t>
            </w:r>
          </w:p>
        </w:tc>
        <w:tc>
          <w:tcPr>
            <w:tcW w:w="4349" w:type="dxa"/>
          </w:tcPr>
          <w:p w14:paraId="46A40521" w14:textId="77777777" w:rsidR="000923BB" w:rsidRPr="00B66346" w:rsidRDefault="000923BB" w:rsidP="003A385F">
            <w:pPr>
              <w:pStyle w:val="Header"/>
              <w:tabs>
                <w:tab w:val="left" w:pos="2835"/>
                <w:tab w:val="left" w:pos="4820"/>
                <w:tab w:val="left" w:pos="6379"/>
                <w:tab w:val="left" w:pos="7371"/>
                <w:tab w:val="left" w:pos="9072"/>
              </w:tabs>
              <w:rPr>
                <w:sz w:val="20"/>
                <w:szCs w:val="20"/>
              </w:rPr>
            </w:pPr>
            <w:r w:rsidRPr="00B66346">
              <w:rPr>
                <w:sz w:val="20"/>
                <w:szCs w:val="20"/>
              </w:rPr>
              <w:t>Date of birth</w:t>
            </w:r>
          </w:p>
        </w:tc>
        <w:tc>
          <w:tcPr>
            <w:tcW w:w="604" w:type="dxa"/>
          </w:tcPr>
          <w:p w14:paraId="1D65A78B" w14:textId="77777777" w:rsidR="000923BB" w:rsidRDefault="000923BB" w:rsidP="003A385F">
            <w:pPr>
              <w:pStyle w:val="Header"/>
              <w:tabs>
                <w:tab w:val="left" w:pos="2835"/>
                <w:tab w:val="left" w:pos="4820"/>
                <w:tab w:val="left" w:pos="6379"/>
                <w:tab w:val="left" w:pos="7371"/>
                <w:tab w:val="left" w:pos="9072"/>
              </w:tabs>
              <w:rPr>
                <w:sz w:val="22"/>
                <w:szCs w:val="22"/>
              </w:rPr>
            </w:pPr>
          </w:p>
        </w:tc>
        <w:tc>
          <w:tcPr>
            <w:tcW w:w="598" w:type="dxa"/>
          </w:tcPr>
          <w:p w14:paraId="5FD95031" w14:textId="77777777" w:rsidR="000923BB" w:rsidRDefault="000923BB" w:rsidP="003A385F">
            <w:pPr>
              <w:pStyle w:val="Header"/>
              <w:tabs>
                <w:tab w:val="left" w:pos="2835"/>
                <w:tab w:val="left" w:pos="4820"/>
                <w:tab w:val="left" w:pos="6379"/>
                <w:tab w:val="left" w:pos="7371"/>
                <w:tab w:val="left" w:pos="9072"/>
              </w:tabs>
              <w:rPr>
                <w:sz w:val="22"/>
                <w:szCs w:val="22"/>
              </w:rPr>
            </w:pPr>
          </w:p>
        </w:tc>
        <w:tc>
          <w:tcPr>
            <w:tcW w:w="763" w:type="dxa"/>
          </w:tcPr>
          <w:p w14:paraId="2EE659B1" w14:textId="77777777" w:rsidR="000923BB" w:rsidRDefault="000923BB" w:rsidP="003A385F">
            <w:pPr>
              <w:pStyle w:val="Header"/>
              <w:tabs>
                <w:tab w:val="left" w:pos="2835"/>
                <w:tab w:val="left" w:pos="4820"/>
                <w:tab w:val="left" w:pos="6379"/>
                <w:tab w:val="left" w:pos="7371"/>
                <w:tab w:val="left" w:pos="9072"/>
              </w:tabs>
              <w:rPr>
                <w:sz w:val="22"/>
                <w:szCs w:val="22"/>
              </w:rPr>
            </w:pPr>
          </w:p>
        </w:tc>
        <w:tc>
          <w:tcPr>
            <w:tcW w:w="1457" w:type="dxa"/>
          </w:tcPr>
          <w:p w14:paraId="560BB8BC" w14:textId="77777777" w:rsidR="000923BB" w:rsidRDefault="000923BB" w:rsidP="003A385F">
            <w:pPr>
              <w:pStyle w:val="Header"/>
              <w:tabs>
                <w:tab w:val="left" w:pos="2835"/>
                <w:tab w:val="left" w:pos="4820"/>
                <w:tab w:val="left" w:pos="6379"/>
                <w:tab w:val="left" w:pos="7371"/>
                <w:tab w:val="left" w:pos="9072"/>
              </w:tabs>
              <w:rPr>
                <w:sz w:val="22"/>
                <w:szCs w:val="22"/>
              </w:rPr>
            </w:pPr>
          </w:p>
        </w:tc>
      </w:tr>
      <w:tr w:rsidR="000923BB" w14:paraId="5330064E" w14:textId="77777777" w:rsidTr="00513F76">
        <w:trPr>
          <w:trHeight w:val="234"/>
        </w:trPr>
        <w:tc>
          <w:tcPr>
            <w:tcW w:w="536" w:type="dxa"/>
          </w:tcPr>
          <w:p w14:paraId="10D134E5" w14:textId="77777777" w:rsidR="000923BB" w:rsidRPr="00B66346" w:rsidRDefault="000923BB" w:rsidP="003A385F">
            <w:pPr>
              <w:pStyle w:val="Header"/>
              <w:tabs>
                <w:tab w:val="left" w:pos="2835"/>
                <w:tab w:val="left" w:pos="4820"/>
                <w:tab w:val="left" w:pos="6379"/>
                <w:tab w:val="left" w:pos="7371"/>
                <w:tab w:val="left" w:pos="9072"/>
              </w:tabs>
              <w:rPr>
                <w:sz w:val="20"/>
                <w:szCs w:val="20"/>
              </w:rPr>
            </w:pPr>
            <w:r w:rsidRPr="00B66346">
              <w:rPr>
                <w:sz w:val="20"/>
                <w:szCs w:val="20"/>
              </w:rPr>
              <w:t>4</w:t>
            </w:r>
          </w:p>
        </w:tc>
        <w:tc>
          <w:tcPr>
            <w:tcW w:w="4349" w:type="dxa"/>
          </w:tcPr>
          <w:p w14:paraId="44E6EF09" w14:textId="77777777" w:rsidR="000923BB" w:rsidRPr="00B66346" w:rsidRDefault="000923BB" w:rsidP="003A385F">
            <w:pPr>
              <w:pStyle w:val="Header"/>
              <w:tabs>
                <w:tab w:val="left" w:pos="2835"/>
                <w:tab w:val="left" w:pos="4820"/>
                <w:tab w:val="left" w:pos="6379"/>
                <w:tab w:val="left" w:pos="7371"/>
                <w:tab w:val="left" w:pos="9072"/>
              </w:tabs>
              <w:rPr>
                <w:sz w:val="20"/>
                <w:szCs w:val="20"/>
              </w:rPr>
            </w:pPr>
            <w:r w:rsidRPr="00B66346">
              <w:rPr>
                <w:sz w:val="20"/>
                <w:szCs w:val="20"/>
              </w:rPr>
              <w:t>Gender</w:t>
            </w:r>
          </w:p>
        </w:tc>
        <w:tc>
          <w:tcPr>
            <w:tcW w:w="604" w:type="dxa"/>
          </w:tcPr>
          <w:p w14:paraId="6A6D0ECC" w14:textId="77777777" w:rsidR="000923BB" w:rsidRDefault="000923BB" w:rsidP="003A385F">
            <w:pPr>
              <w:pStyle w:val="Header"/>
              <w:tabs>
                <w:tab w:val="left" w:pos="2835"/>
                <w:tab w:val="left" w:pos="4820"/>
                <w:tab w:val="left" w:pos="6379"/>
                <w:tab w:val="left" w:pos="7371"/>
                <w:tab w:val="left" w:pos="9072"/>
              </w:tabs>
              <w:rPr>
                <w:sz w:val="22"/>
                <w:szCs w:val="22"/>
              </w:rPr>
            </w:pPr>
          </w:p>
        </w:tc>
        <w:tc>
          <w:tcPr>
            <w:tcW w:w="598" w:type="dxa"/>
          </w:tcPr>
          <w:p w14:paraId="74DDA2D7" w14:textId="77777777" w:rsidR="000923BB" w:rsidRDefault="000923BB" w:rsidP="003A385F">
            <w:pPr>
              <w:pStyle w:val="Header"/>
              <w:tabs>
                <w:tab w:val="left" w:pos="2835"/>
                <w:tab w:val="left" w:pos="4820"/>
                <w:tab w:val="left" w:pos="6379"/>
                <w:tab w:val="left" w:pos="7371"/>
                <w:tab w:val="left" w:pos="9072"/>
              </w:tabs>
              <w:rPr>
                <w:sz w:val="22"/>
                <w:szCs w:val="22"/>
              </w:rPr>
            </w:pPr>
          </w:p>
        </w:tc>
        <w:tc>
          <w:tcPr>
            <w:tcW w:w="763" w:type="dxa"/>
          </w:tcPr>
          <w:p w14:paraId="75BD002C" w14:textId="77777777" w:rsidR="000923BB" w:rsidRDefault="000923BB" w:rsidP="003A385F">
            <w:pPr>
              <w:pStyle w:val="Header"/>
              <w:tabs>
                <w:tab w:val="left" w:pos="2835"/>
                <w:tab w:val="left" w:pos="4820"/>
                <w:tab w:val="left" w:pos="6379"/>
                <w:tab w:val="left" w:pos="7371"/>
                <w:tab w:val="left" w:pos="9072"/>
              </w:tabs>
              <w:rPr>
                <w:sz w:val="22"/>
                <w:szCs w:val="22"/>
              </w:rPr>
            </w:pPr>
          </w:p>
        </w:tc>
        <w:tc>
          <w:tcPr>
            <w:tcW w:w="1457" w:type="dxa"/>
          </w:tcPr>
          <w:p w14:paraId="6EBC91BE" w14:textId="77777777" w:rsidR="000923BB" w:rsidRDefault="000923BB" w:rsidP="003A385F">
            <w:pPr>
              <w:pStyle w:val="Header"/>
              <w:tabs>
                <w:tab w:val="left" w:pos="2835"/>
                <w:tab w:val="left" w:pos="4820"/>
                <w:tab w:val="left" w:pos="6379"/>
                <w:tab w:val="left" w:pos="7371"/>
                <w:tab w:val="left" w:pos="9072"/>
              </w:tabs>
              <w:rPr>
                <w:sz w:val="22"/>
                <w:szCs w:val="22"/>
              </w:rPr>
            </w:pPr>
          </w:p>
        </w:tc>
      </w:tr>
      <w:tr w:rsidR="000923BB" w14:paraId="02AE3515" w14:textId="77777777" w:rsidTr="00513F76">
        <w:trPr>
          <w:trHeight w:val="234"/>
        </w:trPr>
        <w:tc>
          <w:tcPr>
            <w:tcW w:w="536" w:type="dxa"/>
          </w:tcPr>
          <w:p w14:paraId="746EC7E8" w14:textId="77777777" w:rsidR="000923BB" w:rsidRPr="00B66346" w:rsidRDefault="000923BB" w:rsidP="003A385F">
            <w:pPr>
              <w:pStyle w:val="Header"/>
              <w:tabs>
                <w:tab w:val="left" w:pos="2835"/>
                <w:tab w:val="left" w:pos="4820"/>
                <w:tab w:val="left" w:pos="6379"/>
                <w:tab w:val="left" w:pos="7371"/>
                <w:tab w:val="left" w:pos="9072"/>
              </w:tabs>
              <w:rPr>
                <w:sz w:val="20"/>
                <w:szCs w:val="20"/>
              </w:rPr>
            </w:pPr>
            <w:r w:rsidRPr="00B66346">
              <w:rPr>
                <w:sz w:val="20"/>
                <w:szCs w:val="20"/>
              </w:rPr>
              <w:t>5</w:t>
            </w:r>
          </w:p>
        </w:tc>
        <w:tc>
          <w:tcPr>
            <w:tcW w:w="4349" w:type="dxa"/>
          </w:tcPr>
          <w:p w14:paraId="58F80CDC" w14:textId="77777777" w:rsidR="000923BB" w:rsidRPr="00B66346" w:rsidRDefault="000923BB" w:rsidP="003A385F">
            <w:pPr>
              <w:pStyle w:val="Header"/>
              <w:tabs>
                <w:tab w:val="left" w:pos="2835"/>
                <w:tab w:val="left" w:pos="4820"/>
                <w:tab w:val="left" w:pos="6379"/>
                <w:tab w:val="left" w:pos="7371"/>
                <w:tab w:val="left" w:pos="9072"/>
              </w:tabs>
              <w:rPr>
                <w:sz w:val="20"/>
                <w:szCs w:val="20"/>
              </w:rPr>
            </w:pPr>
            <w:r w:rsidRPr="00B66346">
              <w:rPr>
                <w:i/>
                <w:sz w:val="20"/>
                <w:szCs w:val="20"/>
              </w:rPr>
              <w:t>First part of patient’s postcode</w:t>
            </w:r>
          </w:p>
        </w:tc>
        <w:tc>
          <w:tcPr>
            <w:tcW w:w="604" w:type="dxa"/>
          </w:tcPr>
          <w:p w14:paraId="3F123E3F" w14:textId="77777777" w:rsidR="000923BB" w:rsidRDefault="000923BB" w:rsidP="003A385F">
            <w:pPr>
              <w:pStyle w:val="Header"/>
              <w:tabs>
                <w:tab w:val="left" w:pos="2835"/>
                <w:tab w:val="left" w:pos="4820"/>
                <w:tab w:val="left" w:pos="6379"/>
                <w:tab w:val="left" w:pos="7371"/>
                <w:tab w:val="left" w:pos="9072"/>
              </w:tabs>
              <w:rPr>
                <w:sz w:val="22"/>
                <w:szCs w:val="22"/>
              </w:rPr>
            </w:pPr>
          </w:p>
        </w:tc>
        <w:tc>
          <w:tcPr>
            <w:tcW w:w="598" w:type="dxa"/>
          </w:tcPr>
          <w:p w14:paraId="39EAC710" w14:textId="77777777" w:rsidR="000923BB" w:rsidRDefault="000923BB" w:rsidP="003A385F">
            <w:pPr>
              <w:pStyle w:val="Header"/>
              <w:tabs>
                <w:tab w:val="left" w:pos="2835"/>
                <w:tab w:val="left" w:pos="4820"/>
                <w:tab w:val="left" w:pos="6379"/>
                <w:tab w:val="left" w:pos="7371"/>
                <w:tab w:val="left" w:pos="9072"/>
              </w:tabs>
              <w:rPr>
                <w:sz w:val="22"/>
                <w:szCs w:val="22"/>
              </w:rPr>
            </w:pPr>
          </w:p>
        </w:tc>
        <w:tc>
          <w:tcPr>
            <w:tcW w:w="763" w:type="dxa"/>
          </w:tcPr>
          <w:p w14:paraId="7EE371EC" w14:textId="77777777" w:rsidR="000923BB" w:rsidRDefault="000923BB" w:rsidP="003A385F">
            <w:pPr>
              <w:pStyle w:val="Header"/>
              <w:tabs>
                <w:tab w:val="left" w:pos="2835"/>
                <w:tab w:val="left" w:pos="4820"/>
                <w:tab w:val="left" w:pos="6379"/>
                <w:tab w:val="left" w:pos="7371"/>
                <w:tab w:val="left" w:pos="9072"/>
              </w:tabs>
              <w:rPr>
                <w:sz w:val="22"/>
                <w:szCs w:val="22"/>
              </w:rPr>
            </w:pPr>
          </w:p>
        </w:tc>
        <w:tc>
          <w:tcPr>
            <w:tcW w:w="1457" w:type="dxa"/>
          </w:tcPr>
          <w:p w14:paraId="76966504" w14:textId="77777777" w:rsidR="000923BB" w:rsidRDefault="000923BB" w:rsidP="003A385F">
            <w:pPr>
              <w:pStyle w:val="Header"/>
              <w:tabs>
                <w:tab w:val="left" w:pos="2835"/>
                <w:tab w:val="left" w:pos="4820"/>
                <w:tab w:val="left" w:pos="6379"/>
                <w:tab w:val="left" w:pos="7371"/>
                <w:tab w:val="left" w:pos="9072"/>
              </w:tabs>
              <w:rPr>
                <w:sz w:val="22"/>
                <w:szCs w:val="22"/>
              </w:rPr>
            </w:pPr>
          </w:p>
        </w:tc>
      </w:tr>
      <w:tr w:rsidR="000923BB" w14:paraId="1A3E5916" w14:textId="77777777" w:rsidTr="00513F76">
        <w:trPr>
          <w:trHeight w:val="421"/>
        </w:trPr>
        <w:tc>
          <w:tcPr>
            <w:tcW w:w="536" w:type="dxa"/>
          </w:tcPr>
          <w:p w14:paraId="70370605" w14:textId="77777777" w:rsidR="000923BB" w:rsidRPr="00B66346" w:rsidRDefault="000923BB" w:rsidP="003A385F">
            <w:pPr>
              <w:pStyle w:val="Header"/>
              <w:tabs>
                <w:tab w:val="left" w:pos="2835"/>
                <w:tab w:val="left" w:pos="4820"/>
                <w:tab w:val="left" w:pos="6379"/>
                <w:tab w:val="left" w:pos="7371"/>
                <w:tab w:val="left" w:pos="9072"/>
              </w:tabs>
              <w:rPr>
                <w:sz w:val="20"/>
                <w:szCs w:val="20"/>
              </w:rPr>
            </w:pPr>
            <w:r w:rsidRPr="00B66346">
              <w:rPr>
                <w:sz w:val="20"/>
                <w:szCs w:val="20"/>
              </w:rPr>
              <w:t>6</w:t>
            </w:r>
          </w:p>
        </w:tc>
        <w:tc>
          <w:tcPr>
            <w:tcW w:w="4349" w:type="dxa"/>
          </w:tcPr>
          <w:p w14:paraId="09EEF225" w14:textId="77777777" w:rsidR="000923BB" w:rsidRPr="00B66346" w:rsidRDefault="000923BB" w:rsidP="003A385F">
            <w:pPr>
              <w:pStyle w:val="Header"/>
              <w:tabs>
                <w:tab w:val="left" w:pos="2835"/>
                <w:tab w:val="left" w:pos="4820"/>
                <w:tab w:val="left" w:pos="6379"/>
                <w:tab w:val="left" w:pos="7371"/>
                <w:tab w:val="left" w:pos="9072"/>
              </w:tabs>
              <w:rPr>
                <w:sz w:val="20"/>
                <w:szCs w:val="20"/>
              </w:rPr>
            </w:pPr>
            <w:r w:rsidRPr="00B66346">
              <w:rPr>
                <w:sz w:val="20"/>
                <w:szCs w:val="20"/>
              </w:rPr>
              <w:t>Date of this admission to hospital (dd/mm/yyyy)</w:t>
            </w:r>
          </w:p>
        </w:tc>
        <w:tc>
          <w:tcPr>
            <w:tcW w:w="604" w:type="dxa"/>
          </w:tcPr>
          <w:p w14:paraId="2ECC3774" w14:textId="77777777" w:rsidR="000923BB" w:rsidRDefault="000923BB" w:rsidP="003A385F">
            <w:pPr>
              <w:pStyle w:val="Header"/>
              <w:tabs>
                <w:tab w:val="left" w:pos="2835"/>
                <w:tab w:val="left" w:pos="4820"/>
                <w:tab w:val="left" w:pos="6379"/>
                <w:tab w:val="left" w:pos="7371"/>
                <w:tab w:val="left" w:pos="9072"/>
              </w:tabs>
              <w:rPr>
                <w:sz w:val="22"/>
                <w:szCs w:val="22"/>
              </w:rPr>
            </w:pPr>
          </w:p>
        </w:tc>
        <w:tc>
          <w:tcPr>
            <w:tcW w:w="598" w:type="dxa"/>
          </w:tcPr>
          <w:p w14:paraId="6B7837F4" w14:textId="77777777" w:rsidR="000923BB" w:rsidRDefault="000923BB" w:rsidP="003A385F">
            <w:pPr>
              <w:pStyle w:val="Header"/>
              <w:tabs>
                <w:tab w:val="left" w:pos="2835"/>
                <w:tab w:val="left" w:pos="4820"/>
                <w:tab w:val="left" w:pos="6379"/>
                <w:tab w:val="left" w:pos="7371"/>
                <w:tab w:val="left" w:pos="9072"/>
              </w:tabs>
              <w:rPr>
                <w:sz w:val="22"/>
                <w:szCs w:val="22"/>
              </w:rPr>
            </w:pPr>
          </w:p>
        </w:tc>
        <w:tc>
          <w:tcPr>
            <w:tcW w:w="763" w:type="dxa"/>
          </w:tcPr>
          <w:p w14:paraId="7E076B2C" w14:textId="77777777" w:rsidR="000923BB" w:rsidRDefault="000923BB" w:rsidP="003A385F">
            <w:pPr>
              <w:pStyle w:val="Header"/>
              <w:tabs>
                <w:tab w:val="left" w:pos="2835"/>
                <w:tab w:val="left" w:pos="4820"/>
                <w:tab w:val="left" w:pos="6379"/>
                <w:tab w:val="left" w:pos="7371"/>
                <w:tab w:val="left" w:pos="9072"/>
              </w:tabs>
              <w:rPr>
                <w:sz w:val="22"/>
                <w:szCs w:val="22"/>
              </w:rPr>
            </w:pPr>
          </w:p>
        </w:tc>
        <w:tc>
          <w:tcPr>
            <w:tcW w:w="1457" w:type="dxa"/>
          </w:tcPr>
          <w:p w14:paraId="7DA76799" w14:textId="77777777" w:rsidR="000923BB" w:rsidRDefault="000923BB" w:rsidP="003A385F">
            <w:pPr>
              <w:pStyle w:val="Header"/>
              <w:tabs>
                <w:tab w:val="left" w:pos="2835"/>
                <w:tab w:val="left" w:pos="4820"/>
                <w:tab w:val="left" w:pos="6379"/>
                <w:tab w:val="left" w:pos="7371"/>
                <w:tab w:val="left" w:pos="9072"/>
              </w:tabs>
              <w:rPr>
                <w:sz w:val="22"/>
                <w:szCs w:val="22"/>
              </w:rPr>
            </w:pPr>
          </w:p>
        </w:tc>
      </w:tr>
      <w:tr w:rsidR="000923BB" w14:paraId="3002F274" w14:textId="77777777" w:rsidTr="00513F76">
        <w:trPr>
          <w:trHeight w:val="624"/>
        </w:trPr>
        <w:tc>
          <w:tcPr>
            <w:tcW w:w="536" w:type="dxa"/>
            <w:tcBorders>
              <w:bottom w:val="dashed" w:sz="4" w:space="0" w:color="auto"/>
            </w:tcBorders>
          </w:tcPr>
          <w:p w14:paraId="64EC683F" w14:textId="77777777" w:rsidR="000923BB" w:rsidRPr="00B66346" w:rsidRDefault="000923BB" w:rsidP="003A385F">
            <w:pPr>
              <w:pStyle w:val="Header"/>
              <w:tabs>
                <w:tab w:val="left" w:pos="2835"/>
                <w:tab w:val="left" w:pos="4820"/>
                <w:tab w:val="left" w:pos="6379"/>
                <w:tab w:val="left" w:pos="7371"/>
                <w:tab w:val="left" w:pos="9072"/>
              </w:tabs>
              <w:rPr>
                <w:sz w:val="20"/>
                <w:szCs w:val="20"/>
              </w:rPr>
            </w:pPr>
            <w:r w:rsidRPr="00B66346">
              <w:rPr>
                <w:sz w:val="20"/>
                <w:szCs w:val="20"/>
              </w:rPr>
              <w:t>7</w:t>
            </w:r>
          </w:p>
        </w:tc>
        <w:tc>
          <w:tcPr>
            <w:tcW w:w="4349" w:type="dxa"/>
            <w:tcBorders>
              <w:bottom w:val="dashed" w:sz="4" w:space="0" w:color="auto"/>
            </w:tcBorders>
          </w:tcPr>
          <w:p w14:paraId="5C682F1F" w14:textId="77777777" w:rsidR="000923BB" w:rsidRPr="00B66346" w:rsidRDefault="000923BB" w:rsidP="003A385F">
            <w:pPr>
              <w:pStyle w:val="Header"/>
              <w:tabs>
                <w:tab w:val="left" w:pos="2835"/>
                <w:tab w:val="left" w:pos="4820"/>
                <w:tab w:val="left" w:pos="6379"/>
                <w:tab w:val="left" w:pos="7371"/>
                <w:tab w:val="left" w:pos="9072"/>
              </w:tabs>
              <w:rPr>
                <w:sz w:val="20"/>
                <w:szCs w:val="20"/>
              </w:rPr>
            </w:pPr>
            <w:r w:rsidRPr="00B66346">
              <w:rPr>
                <w:sz w:val="20"/>
                <w:szCs w:val="20"/>
              </w:rPr>
              <w:t>Did the patient die during this admission?</w:t>
            </w:r>
          </w:p>
          <w:p w14:paraId="23E4AA3B" w14:textId="77777777" w:rsidR="000923BB" w:rsidRPr="00B66346" w:rsidRDefault="000923BB" w:rsidP="003A385F">
            <w:pPr>
              <w:pStyle w:val="Header"/>
              <w:tabs>
                <w:tab w:val="left" w:pos="2835"/>
                <w:tab w:val="left" w:pos="4820"/>
                <w:tab w:val="left" w:pos="6379"/>
                <w:tab w:val="left" w:pos="7371"/>
                <w:tab w:val="left" w:pos="9072"/>
              </w:tabs>
              <w:rPr>
                <w:sz w:val="20"/>
                <w:szCs w:val="20"/>
              </w:rPr>
            </w:pPr>
            <w:r w:rsidRPr="00B66346">
              <w:rPr>
                <w:sz w:val="20"/>
                <w:szCs w:val="20"/>
              </w:rPr>
              <w:tab/>
              <w:t>yes</w:t>
            </w:r>
          </w:p>
          <w:p w14:paraId="1663577A" w14:textId="77777777" w:rsidR="000923BB" w:rsidRPr="00B66346" w:rsidRDefault="000923BB" w:rsidP="003A385F">
            <w:pPr>
              <w:pStyle w:val="Header"/>
              <w:tabs>
                <w:tab w:val="left" w:pos="2835"/>
                <w:tab w:val="left" w:pos="4820"/>
                <w:tab w:val="left" w:pos="6379"/>
                <w:tab w:val="left" w:pos="7371"/>
                <w:tab w:val="left" w:pos="9072"/>
              </w:tabs>
              <w:rPr>
                <w:sz w:val="20"/>
                <w:szCs w:val="20"/>
              </w:rPr>
            </w:pPr>
            <w:r w:rsidRPr="00B66346">
              <w:rPr>
                <w:sz w:val="20"/>
                <w:szCs w:val="20"/>
              </w:rPr>
              <w:tab/>
              <w:t>no</w:t>
            </w:r>
          </w:p>
        </w:tc>
        <w:tc>
          <w:tcPr>
            <w:tcW w:w="604" w:type="dxa"/>
            <w:tcBorders>
              <w:bottom w:val="dashed" w:sz="4" w:space="0" w:color="auto"/>
            </w:tcBorders>
          </w:tcPr>
          <w:p w14:paraId="7C1FA614" w14:textId="77777777" w:rsidR="000923BB" w:rsidRDefault="000923BB" w:rsidP="003A385F">
            <w:pPr>
              <w:pStyle w:val="Header"/>
              <w:tabs>
                <w:tab w:val="left" w:pos="2835"/>
                <w:tab w:val="left" w:pos="4820"/>
                <w:tab w:val="left" w:pos="6379"/>
                <w:tab w:val="left" w:pos="7371"/>
                <w:tab w:val="left" w:pos="9072"/>
              </w:tabs>
              <w:rPr>
                <w:sz w:val="22"/>
                <w:szCs w:val="22"/>
              </w:rPr>
            </w:pPr>
          </w:p>
        </w:tc>
        <w:tc>
          <w:tcPr>
            <w:tcW w:w="598" w:type="dxa"/>
            <w:tcBorders>
              <w:bottom w:val="dashed" w:sz="4" w:space="0" w:color="auto"/>
            </w:tcBorders>
          </w:tcPr>
          <w:p w14:paraId="65334766" w14:textId="77777777" w:rsidR="000923BB" w:rsidRDefault="000923BB" w:rsidP="003A385F">
            <w:pPr>
              <w:pStyle w:val="Header"/>
              <w:tabs>
                <w:tab w:val="left" w:pos="2835"/>
                <w:tab w:val="left" w:pos="4820"/>
                <w:tab w:val="left" w:pos="6379"/>
                <w:tab w:val="left" w:pos="7371"/>
                <w:tab w:val="left" w:pos="9072"/>
              </w:tabs>
              <w:rPr>
                <w:sz w:val="22"/>
                <w:szCs w:val="22"/>
              </w:rPr>
            </w:pPr>
          </w:p>
        </w:tc>
        <w:tc>
          <w:tcPr>
            <w:tcW w:w="763" w:type="dxa"/>
            <w:tcBorders>
              <w:bottom w:val="dashed" w:sz="4" w:space="0" w:color="auto"/>
            </w:tcBorders>
          </w:tcPr>
          <w:p w14:paraId="7B46F0E3" w14:textId="77777777" w:rsidR="000923BB" w:rsidRDefault="000923BB" w:rsidP="003A385F">
            <w:pPr>
              <w:pStyle w:val="Header"/>
              <w:tabs>
                <w:tab w:val="left" w:pos="2835"/>
                <w:tab w:val="left" w:pos="4820"/>
                <w:tab w:val="left" w:pos="6379"/>
                <w:tab w:val="left" w:pos="7371"/>
                <w:tab w:val="left" w:pos="9072"/>
              </w:tabs>
              <w:rPr>
                <w:sz w:val="22"/>
                <w:szCs w:val="22"/>
              </w:rPr>
            </w:pPr>
          </w:p>
        </w:tc>
        <w:tc>
          <w:tcPr>
            <w:tcW w:w="1457" w:type="dxa"/>
            <w:tcBorders>
              <w:bottom w:val="dashed" w:sz="4" w:space="0" w:color="auto"/>
            </w:tcBorders>
          </w:tcPr>
          <w:p w14:paraId="6B9436B0" w14:textId="77777777" w:rsidR="000923BB" w:rsidRDefault="000923BB" w:rsidP="003A385F">
            <w:pPr>
              <w:pStyle w:val="Header"/>
              <w:tabs>
                <w:tab w:val="left" w:pos="2835"/>
                <w:tab w:val="left" w:pos="4820"/>
                <w:tab w:val="left" w:pos="6379"/>
                <w:tab w:val="left" w:pos="7371"/>
                <w:tab w:val="left" w:pos="9072"/>
              </w:tabs>
              <w:rPr>
                <w:sz w:val="22"/>
                <w:szCs w:val="22"/>
              </w:rPr>
            </w:pPr>
          </w:p>
        </w:tc>
      </w:tr>
      <w:tr w:rsidR="000923BB" w14:paraId="46D491A9" w14:textId="77777777" w:rsidTr="00513F76">
        <w:trPr>
          <w:trHeight w:val="1278"/>
        </w:trPr>
        <w:tc>
          <w:tcPr>
            <w:tcW w:w="536" w:type="dxa"/>
            <w:tcBorders>
              <w:top w:val="dashed" w:sz="4" w:space="0" w:color="auto"/>
            </w:tcBorders>
          </w:tcPr>
          <w:p w14:paraId="7C1C10FF" w14:textId="77777777" w:rsidR="000923BB" w:rsidRPr="00B66346" w:rsidRDefault="000923BB" w:rsidP="003A385F">
            <w:pPr>
              <w:pStyle w:val="Header"/>
              <w:tabs>
                <w:tab w:val="left" w:pos="2835"/>
                <w:tab w:val="left" w:pos="4820"/>
                <w:tab w:val="left" w:pos="6379"/>
                <w:tab w:val="left" w:pos="7371"/>
                <w:tab w:val="left" w:pos="9072"/>
              </w:tabs>
              <w:rPr>
                <w:sz w:val="20"/>
                <w:szCs w:val="20"/>
              </w:rPr>
            </w:pPr>
          </w:p>
        </w:tc>
        <w:tc>
          <w:tcPr>
            <w:tcW w:w="4349" w:type="dxa"/>
            <w:tcBorders>
              <w:top w:val="dashed" w:sz="4" w:space="0" w:color="auto"/>
            </w:tcBorders>
          </w:tcPr>
          <w:p w14:paraId="5BC50411" w14:textId="77777777" w:rsidR="000923BB" w:rsidRPr="00B66346" w:rsidRDefault="000923BB" w:rsidP="003A385F">
            <w:pPr>
              <w:pStyle w:val="Header"/>
              <w:tabs>
                <w:tab w:val="left" w:pos="2835"/>
                <w:tab w:val="left" w:pos="4820"/>
                <w:tab w:val="left" w:pos="6379"/>
                <w:tab w:val="left" w:pos="7371"/>
                <w:tab w:val="left" w:pos="9072"/>
              </w:tabs>
              <w:rPr>
                <w:sz w:val="20"/>
                <w:szCs w:val="20"/>
              </w:rPr>
            </w:pPr>
            <w:r w:rsidRPr="00B66346">
              <w:rPr>
                <w:sz w:val="20"/>
                <w:szCs w:val="20"/>
              </w:rPr>
              <w:t>If yes, was the recorded cause of death</w:t>
            </w:r>
            <w:r w:rsidRPr="00B66346">
              <w:rPr>
                <w:sz w:val="20"/>
                <w:szCs w:val="20"/>
              </w:rPr>
              <w:tab/>
            </w:r>
          </w:p>
          <w:p w14:paraId="3039DCB7" w14:textId="77777777" w:rsidR="000923BB" w:rsidRPr="00B66346" w:rsidRDefault="000923BB" w:rsidP="003A385F">
            <w:pPr>
              <w:pStyle w:val="Header"/>
              <w:tabs>
                <w:tab w:val="left" w:pos="2835"/>
                <w:tab w:val="left" w:pos="4680"/>
                <w:tab w:val="left" w:pos="8280"/>
                <w:tab w:val="left" w:pos="9180"/>
              </w:tabs>
              <w:ind w:left="720"/>
              <w:rPr>
                <w:sz w:val="20"/>
                <w:szCs w:val="20"/>
              </w:rPr>
            </w:pPr>
            <w:r w:rsidRPr="00B66346">
              <w:rPr>
                <w:sz w:val="20"/>
                <w:szCs w:val="20"/>
              </w:rPr>
              <w:tab/>
              <w:t>COPD or complications of COPD</w:t>
            </w:r>
          </w:p>
          <w:p w14:paraId="36D51878" w14:textId="77777777" w:rsidR="000923BB" w:rsidRPr="00B66346" w:rsidRDefault="000923BB" w:rsidP="003A385F">
            <w:pPr>
              <w:pStyle w:val="Header"/>
              <w:tabs>
                <w:tab w:val="left" w:pos="2835"/>
                <w:tab w:val="left" w:pos="4680"/>
                <w:tab w:val="left" w:pos="8280"/>
                <w:tab w:val="left" w:pos="9180"/>
              </w:tabs>
              <w:ind w:left="720"/>
              <w:rPr>
                <w:sz w:val="20"/>
                <w:szCs w:val="20"/>
              </w:rPr>
            </w:pPr>
            <w:r w:rsidRPr="00B66346">
              <w:rPr>
                <w:sz w:val="20"/>
                <w:szCs w:val="20"/>
              </w:rPr>
              <w:tab/>
              <w:t>other cause(s)</w:t>
            </w:r>
          </w:p>
          <w:p w14:paraId="28189215" w14:textId="77777777" w:rsidR="000923BB" w:rsidRPr="00B66346" w:rsidRDefault="000923BB" w:rsidP="003A385F">
            <w:pPr>
              <w:pStyle w:val="Header"/>
              <w:tabs>
                <w:tab w:val="left" w:pos="2835"/>
                <w:tab w:val="left" w:pos="4680"/>
                <w:tab w:val="left" w:pos="8280"/>
                <w:tab w:val="left" w:pos="9180"/>
              </w:tabs>
              <w:ind w:left="720"/>
              <w:rPr>
                <w:sz w:val="20"/>
                <w:szCs w:val="20"/>
              </w:rPr>
            </w:pPr>
            <w:r w:rsidRPr="00B66346">
              <w:rPr>
                <w:sz w:val="20"/>
                <w:szCs w:val="20"/>
              </w:rPr>
              <w:tab/>
              <w:t>not recorded</w:t>
            </w:r>
          </w:p>
          <w:p w14:paraId="51A8E4FA" w14:textId="77777777" w:rsidR="000923BB" w:rsidRPr="00B66346" w:rsidRDefault="000923BB" w:rsidP="003A385F">
            <w:pPr>
              <w:pStyle w:val="Header"/>
              <w:tabs>
                <w:tab w:val="left" w:pos="2835"/>
                <w:tab w:val="left" w:pos="4820"/>
                <w:tab w:val="left" w:pos="6379"/>
                <w:tab w:val="left" w:pos="7371"/>
                <w:tab w:val="left" w:pos="9072"/>
              </w:tabs>
              <w:rPr>
                <w:sz w:val="20"/>
                <w:szCs w:val="20"/>
              </w:rPr>
            </w:pPr>
          </w:p>
        </w:tc>
        <w:tc>
          <w:tcPr>
            <w:tcW w:w="604" w:type="dxa"/>
            <w:tcBorders>
              <w:top w:val="dashed" w:sz="4" w:space="0" w:color="auto"/>
            </w:tcBorders>
          </w:tcPr>
          <w:p w14:paraId="5765313F" w14:textId="77777777" w:rsidR="000923BB" w:rsidRDefault="000923BB" w:rsidP="003A385F">
            <w:pPr>
              <w:pStyle w:val="Header"/>
              <w:tabs>
                <w:tab w:val="left" w:pos="2835"/>
                <w:tab w:val="left" w:pos="4820"/>
                <w:tab w:val="left" w:pos="6379"/>
                <w:tab w:val="left" w:pos="7371"/>
                <w:tab w:val="left" w:pos="9072"/>
              </w:tabs>
              <w:rPr>
                <w:sz w:val="22"/>
                <w:szCs w:val="22"/>
              </w:rPr>
            </w:pPr>
          </w:p>
        </w:tc>
        <w:tc>
          <w:tcPr>
            <w:tcW w:w="598" w:type="dxa"/>
            <w:tcBorders>
              <w:top w:val="dashed" w:sz="4" w:space="0" w:color="auto"/>
            </w:tcBorders>
          </w:tcPr>
          <w:p w14:paraId="601F2357" w14:textId="77777777" w:rsidR="000923BB" w:rsidRDefault="000923BB" w:rsidP="003A385F">
            <w:pPr>
              <w:pStyle w:val="Header"/>
              <w:tabs>
                <w:tab w:val="left" w:pos="2835"/>
                <w:tab w:val="left" w:pos="4820"/>
                <w:tab w:val="left" w:pos="6379"/>
                <w:tab w:val="left" w:pos="7371"/>
                <w:tab w:val="left" w:pos="9072"/>
              </w:tabs>
              <w:rPr>
                <w:sz w:val="22"/>
                <w:szCs w:val="22"/>
              </w:rPr>
            </w:pPr>
          </w:p>
        </w:tc>
        <w:tc>
          <w:tcPr>
            <w:tcW w:w="763" w:type="dxa"/>
            <w:tcBorders>
              <w:top w:val="dashed" w:sz="4" w:space="0" w:color="auto"/>
            </w:tcBorders>
          </w:tcPr>
          <w:p w14:paraId="259B9833" w14:textId="77777777" w:rsidR="000923BB" w:rsidRDefault="000923BB" w:rsidP="003A385F">
            <w:pPr>
              <w:pStyle w:val="Header"/>
              <w:tabs>
                <w:tab w:val="left" w:pos="2835"/>
                <w:tab w:val="left" w:pos="4820"/>
                <w:tab w:val="left" w:pos="6379"/>
                <w:tab w:val="left" w:pos="7371"/>
                <w:tab w:val="left" w:pos="9072"/>
              </w:tabs>
              <w:rPr>
                <w:sz w:val="22"/>
                <w:szCs w:val="22"/>
              </w:rPr>
            </w:pPr>
          </w:p>
        </w:tc>
        <w:tc>
          <w:tcPr>
            <w:tcW w:w="1457" w:type="dxa"/>
            <w:tcBorders>
              <w:top w:val="dashed" w:sz="4" w:space="0" w:color="auto"/>
            </w:tcBorders>
          </w:tcPr>
          <w:p w14:paraId="5D2A9CF7" w14:textId="77777777" w:rsidR="000923BB" w:rsidRDefault="000923BB" w:rsidP="003A385F">
            <w:pPr>
              <w:pStyle w:val="Header"/>
              <w:tabs>
                <w:tab w:val="left" w:pos="2835"/>
                <w:tab w:val="left" w:pos="4820"/>
                <w:tab w:val="left" w:pos="6379"/>
                <w:tab w:val="left" w:pos="7371"/>
                <w:tab w:val="left" w:pos="9072"/>
              </w:tabs>
              <w:rPr>
                <w:sz w:val="22"/>
                <w:szCs w:val="22"/>
              </w:rPr>
            </w:pPr>
          </w:p>
        </w:tc>
      </w:tr>
      <w:tr w:rsidR="000923BB" w14:paraId="35AD14B7" w14:textId="77777777" w:rsidTr="00513F76">
        <w:trPr>
          <w:trHeight w:val="1044"/>
        </w:trPr>
        <w:tc>
          <w:tcPr>
            <w:tcW w:w="536" w:type="dxa"/>
          </w:tcPr>
          <w:p w14:paraId="63E4E9BE" w14:textId="77777777" w:rsidR="000923BB" w:rsidRPr="00B66346" w:rsidRDefault="000923BB" w:rsidP="003A385F">
            <w:pPr>
              <w:pStyle w:val="Header"/>
              <w:tabs>
                <w:tab w:val="left" w:pos="2835"/>
                <w:tab w:val="left" w:pos="4820"/>
                <w:tab w:val="left" w:pos="6379"/>
                <w:tab w:val="left" w:pos="7371"/>
                <w:tab w:val="left" w:pos="9072"/>
              </w:tabs>
              <w:rPr>
                <w:sz w:val="20"/>
                <w:szCs w:val="20"/>
              </w:rPr>
            </w:pPr>
            <w:r w:rsidRPr="00B66346">
              <w:rPr>
                <w:sz w:val="20"/>
                <w:szCs w:val="20"/>
              </w:rPr>
              <w:t>8</w:t>
            </w:r>
          </w:p>
        </w:tc>
        <w:tc>
          <w:tcPr>
            <w:tcW w:w="4349" w:type="dxa"/>
          </w:tcPr>
          <w:p w14:paraId="5FE806B2" w14:textId="77777777" w:rsidR="000923BB" w:rsidRPr="00B66346" w:rsidRDefault="000923BB" w:rsidP="003A385F">
            <w:pPr>
              <w:pStyle w:val="Header"/>
              <w:pBdr>
                <w:top w:val="dotted" w:sz="4" w:space="10" w:color="auto"/>
              </w:pBdr>
              <w:tabs>
                <w:tab w:val="left" w:pos="2835"/>
                <w:tab w:val="left" w:pos="4820"/>
                <w:tab w:val="left" w:pos="6379"/>
                <w:tab w:val="left" w:pos="7371"/>
                <w:tab w:val="left" w:pos="9072"/>
              </w:tabs>
              <w:rPr>
                <w:sz w:val="20"/>
                <w:szCs w:val="20"/>
              </w:rPr>
            </w:pPr>
            <w:r w:rsidRPr="00B66346">
              <w:rPr>
                <w:sz w:val="20"/>
                <w:szCs w:val="20"/>
              </w:rPr>
              <w:t>Date of discharge from hospital (or death if applicable)</w:t>
            </w:r>
          </w:p>
          <w:p w14:paraId="6355D159" w14:textId="77777777" w:rsidR="000923BB" w:rsidRPr="00B66346" w:rsidRDefault="000923BB" w:rsidP="003A385F">
            <w:pPr>
              <w:pStyle w:val="Header"/>
              <w:tabs>
                <w:tab w:val="left" w:pos="2232"/>
                <w:tab w:val="left" w:pos="4820"/>
                <w:tab w:val="left" w:pos="6379"/>
                <w:tab w:val="left" w:pos="6840"/>
                <w:tab w:val="left" w:pos="8280"/>
                <w:tab w:val="left" w:pos="9180"/>
                <w:tab w:val="right" w:pos="9540"/>
              </w:tabs>
              <w:ind w:left="270"/>
              <w:rPr>
                <w:color w:val="0000FF"/>
                <w:sz w:val="20"/>
                <w:szCs w:val="20"/>
              </w:rPr>
            </w:pPr>
            <w:r w:rsidRPr="00B66346">
              <w:rPr>
                <w:sz w:val="20"/>
                <w:szCs w:val="20"/>
              </w:rPr>
              <w:tab/>
              <w:t>discharge</w:t>
            </w:r>
          </w:p>
          <w:p w14:paraId="6E4D38BE" w14:textId="77777777" w:rsidR="000923BB" w:rsidRPr="00B66346" w:rsidRDefault="000923BB" w:rsidP="003A385F">
            <w:pPr>
              <w:pStyle w:val="Header"/>
              <w:tabs>
                <w:tab w:val="left" w:pos="2232"/>
                <w:tab w:val="left" w:pos="2835"/>
                <w:tab w:val="left" w:pos="4820"/>
                <w:tab w:val="left" w:pos="6379"/>
                <w:tab w:val="left" w:pos="7371"/>
                <w:tab w:val="left" w:pos="9072"/>
              </w:tabs>
              <w:rPr>
                <w:sz w:val="20"/>
                <w:szCs w:val="20"/>
              </w:rPr>
            </w:pPr>
            <w:r w:rsidRPr="00B66346">
              <w:rPr>
                <w:sz w:val="20"/>
                <w:szCs w:val="20"/>
              </w:rPr>
              <w:tab/>
              <w:t>death</w:t>
            </w:r>
          </w:p>
        </w:tc>
        <w:tc>
          <w:tcPr>
            <w:tcW w:w="604" w:type="dxa"/>
          </w:tcPr>
          <w:p w14:paraId="2386C311" w14:textId="77777777" w:rsidR="000923BB" w:rsidRDefault="000923BB" w:rsidP="003A385F">
            <w:pPr>
              <w:pStyle w:val="Header"/>
              <w:tabs>
                <w:tab w:val="left" w:pos="2835"/>
                <w:tab w:val="left" w:pos="4820"/>
                <w:tab w:val="left" w:pos="6379"/>
                <w:tab w:val="left" w:pos="7371"/>
                <w:tab w:val="left" w:pos="9072"/>
              </w:tabs>
              <w:rPr>
                <w:sz w:val="22"/>
                <w:szCs w:val="22"/>
              </w:rPr>
            </w:pPr>
          </w:p>
        </w:tc>
        <w:tc>
          <w:tcPr>
            <w:tcW w:w="598" w:type="dxa"/>
          </w:tcPr>
          <w:p w14:paraId="03F62857" w14:textId="77777777" w:rsidR="000923BB" w:rsidRDefault="000923BB" w:rsidP="003A385F">
            <w:pPr>
              <w:pStyle w:val="Header"/>
              <w:tabs>
                <w:tab w:val="left" w:pos="2835"/>
                <w:tab w:val="left" w:pos="4820"/>
                <w:tab w:val="left" w:pos="6379"/>
                <w:tab w:val="left" w:pos="7371"/>
                <w:tab w:val="left" w:pos="9072"/>
              </w:tabs>
              <w:rPr>
                <w:sz w:val="22"/>
                <w:szCs w:val="22"/>
              </w:rPr>
            </w:pPr>
          </w:p>
        </w:tc>
        <w:tc>
          <w:tcPr>
            <w:tcW w:w="763" w:type="dxa"/>
          </w:tcPr>
          <w:p w14:paraId="157637D2" w14:textId="77777777" w:rsidR="000923BB" w:rsidRDefault="000923BB" w:rsidP="003A385F">
            <w:pPr>
              <w:pStyle w:val="Header"/>
              <w:tabs>
                <w:tab w:val="left" w:pos="2835"/>
                <w:tab w:val="left" w:pos="4820"/>
                <w:tab w:val="left" w:pos="6379"/>
                <w:tab w:val="left" w:pos="7371"/>
                <w:tab w:val="left" w:pos="9072"/>
              </w:tabs>
              <w:rPr>
                <w:sz w:val="22"/>
                <w:szCs w:val="22"/>
              </w:rPr>
            </w:pPr>
          </w:p>
        </w:tc>
        <w:tc>
          <w:tcPr>
            <w:tcW w:w="1457" w:type="dxa"/>
          </w:tcPr>
          <w:p w14:paraId="73483F30" w14:textId="77777777" w:rsidR="000923BB" w:rsidRDefault="000923BB" w:rsidP="003A385F">
            <w:pPr>
              <w:pStyle w:val="Header"/>
              <w:tabs>
                <w:tab w:val="left" w:pos="2835"/>
                <w:tab w:val="left" w:pos="4820"/>
                <w:tab w:val="left" w:pos="6379"/>
                <w:tab w:val="left" w:pos="7371"/>
                <w:tab w:val="left" w:pos="9072"/>
              </w:tabs>
              <w:rPr>
                <w:sz w:val="22"/>
                <w:szCs w:val="22"/>
              </w:rPr>
            </w:pPr>
          </w:p>
        </w:tc>
      </w:tr>
      <w:tr w:rsidR="000923BB" w14:paraId="2DCD751A" w14:textId="77777777" w:rsidTr="00513F76">
        <w:trPr>
          <w:trHeight w:val="1449"/>
        </w:trPr>
        <w:tc>
          <w:tcPr>
            <w:tcW w:w="536" w:type="dxa"/>
          </w:tcPr>
          <w:p w14:paraId="4C00891F" w14:textId="77777777" w:rsidR="000923BB" w:rsidRPr="00B66346" w:rsidRDefault="000923BB" w:rsidP="003A385F">
            <w:pPr>
              <w:pStyle w:val="Header"/>
              <w:tabs>
                <w:tab w:val="left" w:pos="2835"/>
                <w:tab w:val="left" w:pos="4820"/>
                <w:tab w:val="left" w:pos="6379"/>
                <w:tab w:val="left" w:pos="7371"/>
                <w:tab w:val="left" w:pos="9072"/>
              </w:tabs>
              <w:rPr>
                <w:sz w:val="20"/>
                <w:szCs w:val="20"/>
              </w:rPr>
            </w:pPr>
            <w:r w:rsidRPr="00B66346">
              <w:rPr>
                <w:sz w:val="20"/>
                <w:szCs w:val="20"/>
              </w:rPr>
              <w:t>9</w:t>
            </w:r>
          </w:p>
        </w:tc>
        <w:tc>
          <w:tcPr>
            <w:tcW w:w="4349" w:type="dxa"/>
          </w:tcPr>
          <w:p w14:paraId="4B993F88" w14:textId="77777777" w:rsidR="000923BB" w:rsidRPr="00B66346" w:rsidRDefault="000923BB" w:rsidP="003A385F">
            <w:pPr>
              <w:pStyle w:val="Header"/>
              <w:pBdr>
                <w:top w:val="dotted" w:sz="4" w:space="10" w:color="auto"/>
              </w:pBdr>
              <w:tabs>
                <w:tab w:val="left" w:pos="2835"/>
                <w:tab w:val="left" w:pos="4820"/>
                <w:tab w:val="left" w:pos="6660"/>
                <w:tab w:val="left" w:pos="8280"/>
                <w:tab w:val="left" w:pos="9180"/>
              </w:tabs>
              <w:ind w:left="270" w:hanging="270"/>
              <w:rPr>
                <w:sz w:val="20"/>
                <w:szCs w:val="20"/>
              </w:rPr>
            </w:pPr>
            <w:r w:rsidRPr="00B66346">
              <w:rPr>
                <w:sz w:val="20"/>
                <w:szCs w:val="20"/>
              </w:rPr>
              <w:t>Was the patient accepted by an early discharge</w:t>
            </w:r>
            <w:r w:rsidRPr="00B66346">
              <w:rPr>
                <w:sz w:val="20"/>
                <w:szCs w:val="20"/>
              </w:rPr>
              <w:br/>
              <w:t>(or hospital at home) scheme?</w:t>
            </w:r>
            <w:r w:rsidRPr="00B66346">
              <w:rPr>
                <w:sz w:val="20"/>
                <w:szCs w:val="20"/>
              </w:rPr>
              <w:tab/>
              <w:t>yes</w:t>
            </w:r>
          </w:p>
          <w:p w14:paraId="51271301" w14:textId="77777777" w:rsidR="000923BB" w:rsidRPr="00B66346" w:rsidRDefault="000923BB" w:rsidP="003A385F">
            <w:pPr>
              <w:pStyle w:val="Header"/>
              <w:tabs>
                <w:tab w:val="left" w:pos="2835"/>
                <w:tab w:val="left" w:pos="4820"/>
                <w:tab w:val="left" w:pos="6660"/>
                <w:tab w:val="left" w:pos="8280"/>
                <w:tab w:val="left" w:pos="9180"/>
              </w:tabs>
              <w:rPr>
                <w:sz w:val="20"/>
                <w:szCs w:val="20"/>
              </w:rPr>
            </w:pPr>
            <w:r w:rsidRPr="00B66346">
              <w:rPr>
                <w:sz w:val="20"/>
                <w:szCs w:val="20"/>
              </w:rPr>
              <w:tab/>
            </w:r>
            <w:r w:rsidRPr="00B66346">
              <w:rPr>
                <w:sz w:val="20"/>
                <w:szCs w:val="20"/>
              </w:rPr>
              <w:tab/>
              <w:t>no</w:t>
            </w:r>
          </w:p>
          <w:p w14:paraId="6310FBF5" w14:textId="77777777" w:rsidR="000923BB" w:rsidRPr="00B66346" w:rsidRDefault="000923BB" w:rsidP="003A385F">
            <w:pPr>
              <w:pStyle w:val="Header"/>
              <w:pBdr>
                <w:top w:val="dotted" w:sz="4" w:space="10" w:color="auto"/>
              </w:pBdr>
              <w:tabs>
                <w:tab w:val="left" w:pos="2835"/>
                <w:tab w:val="left" w:pos="4820"/>
                <w:tab w:val="left" w:pos="6379"/>
                <w:tab w:val="left" w:pos="7371"/>
                <w:tab w:val="left" w:pos="9072"/>
              </w:tabs>
              <w:rPr>
                <w:sz w:val="20"/>
                <w:szCs w:val="20"/>
              </w:rPr>
            </w:pPr>
            <w:r w:rsidRPr="00B66346">
              <w:rPr>
                <w:sz w:val="20"/>
                <w:szCs w:val="20"/>
              </w:rPr>
              <w:tab/>
            </w:r>
            <w:r w:rsidRPr="00B66346">
              <w:rPr>
                <w:sz w:val="20"/>
                <w:szCs w:val="20"/>
              </w:rPr>
              <w:tab/>
            </w:r>
            <w:r w:rsidRPr="00B66346">
              <w:rPr>
                <w:sz w:val="20"/>
                <w:szCs w:val="20"/>
              </w:rPr>
              <w:tab/>
              <w:t>not applicable</w:t>
            </w:r>
          </w:p>
        </w:tc>
        <w:tc>
          <w:tcPr>
            <w:tcW w:w="604" w:type="dxa"/>
          </w:tcPr>
          <w:p w14:paraId="1D9EC3BE" w14:textId="77777777" w:rsidR="000923BB" w:rsidRDefault="000923BB" w:rsidP="003A385F">
            <w:pPr>
              <w:pStyle w:val="Header"/>
              <w:tabs>
                <w:tab w:val="left" w:pos="2835"/>
                <w:tab w:val="left" w:pos="4820"/>
                <w:tab w:val="left" w:pos="6379"/>
                <w:tab w:val="left" w:pos="7371"/>
                <w:tab w:val="left" w:pos="9072"/>
              </w:tabs>
              <w:rPr>
                <w:sz w:val="22"/>
                <w:szCs w:val="22"/>
              </w:rPr>
            </w:pPr>
          </w:p>
        </w:tc>
        <w:tc>
          <w:tcPr>
            <w:tcW w:w="598" w:type="dxa"/>
          </w:tcPr>
          <w:p w14:paraId="6EC80C6A" w14:textId="77777777" w:rsidR="000923BB" w:rsidRDefault="000923BB" w:rsidP="003A385F">
            <w:pPr>
              <w:pStyle w:val="Header"/>
              <w:tabs>
                <w:tab w:val="left" w:pos="2835"/>
                <w:tab w:val="left" w:pos="4820"/>
                <w:tab w:val="left" w:pos="6379"/>
                <w:tab w:val="left" w:pos="7371"/>
                <w:tab w:val="left" w:pos="9072"/>
              </w:tabs>
              <w:rPr>
                <w:sz w:val="22"/>
                <w:szCs w:val="22"/>
              </w:rPr>
            </w:pPr>
          </w:p>
        </w:tc>
        <w:tc>
          <w:tcPr>
            <w:tcW w:w="763" w:type="dxa"/>
          </w:tcPr>
          <w:p w14:paraId="0B9127C9" w14:textId="77777777" w:rsidR="000923BB" w:rsidRDefault="000923BB" w:rsidP="003A385F">
            <w:pPr>
              <w:pStyle w:val="Header"/>
              <w:tabs>
                <w:tab w:val="left" w:pos="2835"/>
                <w:tab w:val="left" w:pos="4820"/>
                <w:tab w:val="left" w:pos="6379"/>
                <w:tab w:val="left" w:pos="7371"/>
                <w:tab w:val="left" w:pos="9072"/>
              </w:tabs>
              <w:rPr>
                <w:sz w:val="22"/>
                <w:szCs w:val="22"/>
              </w:rPr>
            </w:pPr>
          </w:p>
        </w:tc>
        <w:tc>
          <w:tcPr>
            <w:tcW w:w="1457" w:type="dxa"/>
          </w:tcPr>
          <w:p w14:paraId="5AB00570" w14:textId="77777777" w:rsidR="000923BB" w:rsidRDefault="000923BB" w:rsidP="003A385F">
            <w:pPr>
              <w:pStyle w:val="Header"/>
              <w:tabs>
                <w:tab w:val="left" w:pos="2835"/>
                <w:tab w:val="left" w:pos="4820"/>
                <w:tab w:val="left" w:pos="6379"/>
                <w:tab w:val="left" w:pos="7371"/>
                <w:tab w:val="left" w:pos="9072"/>
              </w:tabs>
              <w:rPr>
                <w:sz w:val="22"/>
                <w:szCs w:val="22"/>
              </w:rPr>
            </w:pPr>
          </w:p>
        </w:tc>
      </w:tr>
      <w:tr w:rsidR="000923BB" w14:paraId="241CAB94" w14:textId="77777777" w:rsidTr="00513F76">
        <w:trPr>
          <w:trHeight w:val="1481"/>
        </w:trPr>
        <w:tc>
          <w:tcPr>
            <w:tcW w:w="536" w:type="dxa"/>
          </w:tcPr>
          <w:p w14:paraId="3E123100" w14:textId="77777777" w:rsidR="000923BB" w:rsidRPr="00B66346" w:rsidRDefault="000923BB" w:rsidP="003A385F">
            <w:pPr>
              <w:pStyle w:val="Header"/>
              <w:tabs>
                <w:tab w:val="left" w:pos="2835"/>
                <w:tab w:val="left" w:pos="4820"/>
                <w:tab w:val="left" w:pos="6379"/>
                <w:tab w:val="left" w:pos="7371"/>
                <w:tab w:val="left" w:pos="9072"/>
              </w:tabs>
              <w:rPr>
                <w:sz w:val="20"/>
                <w:szCs w:val="20"/>
              </w:rPr>
            </w:pPr>
            <w:r w:rsidRPr="00B66346">
              <w:rPr>
                <w:sz w:val="20"/>
                <w:szCs w:val="20"/>
              </w:rPr>
              <w:t>10</w:t>
            </w:r>
          </w:p>
        </w:tc>
        <w:tc>
          <w:tcPr>
            <w:tcW w:w="4349" w:type="dxa"/>
          </w:tcPr>
          <w:p w14:paraId="5AEE9C93" w14:textId="77777777" w:rsidR="000923BB" w:rsidRPr="00B66346" w:rsidRDefault="000923BB" w:rsidP="003A385F">
            <w:pPr>
              <w:pStyle w:val="Header"/>
              <w:pBdr>
                <w:top w:val="dotted" w:sz="4" w:space="10" w:color="auto"/>
              </w:pBdr>
              <w:tabs>
                <w:tab w:val="left" w:pos="2835"/>
                <w:tab w:val="left" w:pos="4820"/>
                <w:tab w:val="left" w:pos="6379"/>
                <w:tab w:val="left" w:pos="7371"/>
                <w:tab w:val="left" w:pos="9072"/>
              </w:tabs>
              <w:ind w:left="426" w:hanging="426"/>
              <w:rPr>
                <w:noProof/>
                <w:sz w:val="20"/>
                <w:szCs w:val="20"/>
              </w:rPr>
            </w:pPr>
            <w:r w:rsidRPr="00B66346">
              <w:rPr>
                <w:noProof/>
                <w:sz w:val="20"/>
                <w:szCs w:val="20"/>
              </w:rPr>
              <w:t>Prior to this admission, has the patient previously been admitted</w:t>
            </w:r>
            <w:r w:rsidRPr="00B66346">
              <w:rPr>
                <w:noProof/>
                <w:sz w:val="20"/>
                <w:szCs w:val="20"/>
              </w:rPr>
              <w:br/>
              <w:t>to hospital for COPD or accepted onto an early discharge scheme?</w:t>
            </w:r>
          </w:p>
          <w:p w14:paraId="0EF98980" w14:textId="77777777" w:rsidR="000923BB" w:rsidRPr="00B66346" w:rsidRDefault="000923BB" w:rsidP="003A385F">
            <w:pPr>
              <w:pStyle w:val="Header"/>
              <w:tabs>
                <w:tab w:val="left" w:pos="2835"/>
                <w:tab w:val="left" w:pos="4820"/>
                <w:tab w:val="left" w:pos="6660"/>
                <w:tab w:val="left" w:pos="8280"/>
                <w:tab w:val="left" w:pos="9180"/>
              </w:tabs>
              <w:ind w:left="720"/>
              <w:rPr>
                <w:sz w:val="20"/>
                <w:szCs w:val="20"/>
              </w:rPr>
            </w:pPr>
            <w:r w:rsidRPr="00B66346">
              <w:rPr>
                <w:sz w:val="20"/>
                <w:szCs w:val="20"/>
              </w:rPr>
              <w:tab/>
              <w:t>yes</w:t>
            </w:r>
          </w:p>
          <w:p w14:paraId="161C9BAA" w14:textId="77777777" w:rsidR="000923BB" w:rsidRPr="00B66346" w:rsidRDefault="000923BB" w:rsidP="003A385F">
            <w:pPr>
              <w:pStyle w:val="Header"/>
              <w:tabs>
                <w:tab w:val="left" w:pos="2835"/>
                <w:tab w:val="left" w:pos="4820"/>
                <w:tab w:val="left" w:pos="6660"/>
                <w:tab w:val="left" w:pos="8280"/>
                <w:tab w:val="left" w:pos="9180"/>
              </w:tabs>
              <w:ind w:left="720"/>
              <w:rPr>
                <w:sz w:val="20"/>
                <w:szCs w:val="20"/>
              </w:rPr>
            </w:pPr>
            <w:r w:rsidRPr="00B66346">
              <w:rPr>
                <w:sz w:val="20"/>
                <w:szCs w:val="20"/>
              </w:rPr>
              <w:tab/>
              <w:t>no</w:t>
            </w:r>
          </w:p>
        </w:tc>
        <w:tc>
          <w:tcPr>
            <w:tcW w:w="604" w:type="dxa"/>
          </w:tcPr>
          <w:p w14:paraId="628C8A05" w14:textId="77777777" w:rsidR="000923BB" w:rsidRDefault="000923BB" w:rsidP="003A385F">
            <w:pPr>
              <w:pStyle w:val="Header"/>
              <w:tabs>
                <w:tab w:val="left" w:pos="2835"/>
                <w:tab w:val="left" w:pos="4820"/>
                <w:tab w:val="left" w:pos="6379"/>
                <w:tab w:val="left" w:pos="7371"/>
                <w:tab w:val="left" w:pos="9072"/>
              </w:tabs>
              <w:rPr>
                <w:sz w:val="22"/>
                <w:szCs w:val="22"/>
              </w:rPr>
            </w:pPr>
          </w:p>
        </w:tc>
        <w:tc>
          <w:tcPr>
            <w:tcW w:w="598" w:type="dxa"/>
          </w:tcPr>
          <w:p w14:paraId="4497C3AC" w14:textId="77777777" w:rsidR="000923BB" w:rsidRDefault="000923BB" w:rsidP="003A385F">
            <w:pPr>
              <w:pStyle w:val="Header"/>
              <w:tabs>
                <w:tab w:val="left" w:pos="2835"/>
                <w:tab w:val="left" w:pos="4820"/>
                <w:tab w:val="left" w:pos="6379"/>
                <w:tab w:val="left" w:pos="7371"/>
                <w:tab w:val="left" w:pos="9072"/>
              </w:tabs>
              <w:rPr>
                <w:sz w:val="22"/>
                <w:szCs w:val="22"/>
              </w:rPr>
            </w:pPr>
          </w:p>
        </w:tc>
        <w:tc>
          <w:tcPr>
            <w:tcW w:w="763" w:type="dxa"/>
          </w:tcPr>
          <w:p w14:paraId="0D3A7FDE" w14:textId="77777777" w:rsidR="000923BB" w:rsidRDefault="000923BB" w:rsidP="003A385F">
            <w:pPr>
              <w:pStyle w:val="Header"/>
              <w:tabs>
                <w:tab w:val="left" w:pos="2835"/>
                <w:tab w:val="left" w:pos="4820"/>
                <w:tab w:val="left" w:pos="6379"/>
                <w:tab w:val="left" w:pos="7371"/>
                <w:tab w:val="left" w:pos="9072"/>
              </w:tabs>
              <w:rPr>
                <w:sz w:val="22"/>
                <w:szCs w:val="22"/>
              </w:rPr>
            </w:pPr>
          </w:p>
        </w:tc>
        <w:tc>
          <w:tcPr>
            <w:tcW w:w="1457" w:type="dxa"/>
          </w:tcPr>
          <w:p w14:paraId="18482E15" w14:textId="77777777" w:rsidR="000923BB" w:rsidRDefault="000923BB" w:rsidP="003A385F">
            <w:pPr>
              <w:pStyle w:val="Header"/>
              <w:tabs>
                <w:tab w:val="left" w:pos="2835"/>
                <w:tab w:val="left" w:pos="4820"/>
                <w:tab w:val="left" w:pos="6379"/>
                <w:tab w:val="left" w:pos="7371"/>
                <w:tab w:val="left" w:pos="9072"/>
              </w:tabs>
              <w:rPr>
                <w:sz w:val="22"/>
                <w:szCs w:val="22"/>
              </w:rPr>
            </w:pPr>
          </w:p>
        </w:tc>
      </w:tr>
    </w:tbl>
    <w:p w14:paraId="7AEF1F55" w14:textId="77777777" w:rsidR="000923BB" w:rsidRDefault="000923BB" w:rsidP="000923BB">
      <w:pPr>
        <w:pStyle w:val="Header"/>
        <w:tabs>
          <w:tab w:val="left" w:pos="2835"/>
          <w:tab w:val="left" w:pos="4820"/>
          <w:tab w:val="left" w:pos="6379"/>
          <w:tab w:val="left" w:pos="7371"/>
          <w:tab w:val="left" w:pos="9072"/>
        </w:tabs>
        <w:rPr>
          <w:sz w:val="28"/>
        </w:rPr>
      </w:pPr>
    </w:p>
    <w:p w14:paraId="42920686" w14:textId="77777777" w:rsidR="000923BB" w:rsidRDefault="000923BB" w:rsidP="000923BB">
      <w:pPr>
        <w:pStyle w:val="Header"/>
        <w:tabs>
          <w:tab w:val="left" w:pos="2835"/>
          <w:tab w:val="left" w:pos="4820"/>
          <w:tab w:val="left" w:pos="6379"/>
          <w:tab w:val="left" w:pos="7371"/>
          <w:tab w:val="left" w:pos="9072"/>
        </w:tabs>
        <w:rPr>
          <w:sz w:val="28"/>
        </w:rPr>
      </w:pPr>
    </w:p>
    <w:p w14:paraId="77112C40" w14:textId="77777777" w:rsidR="000923BB" w:rsidRDefault="000923BB" w:rsidP="000923BB">
      <w:pPr>
        <w:pStyle w:val="Header"/>
        <w:tabs>
          <w:tab w:val="left" w:pos="2835"/>
          <w:tab w:val="left" w:pos="4820"/>
          <w:tab w:val="left" w:pos="6379"/>
          <w:tab w:val="left" w:pos="7371"/>
          <w:tab w:val="left" w:pos="9072"/>
        </w:tabs>
        <w:rPr>
          <w:sz w:val="28"/>
        </w:rPr>
      </w:pPr>
    </w:p>
    <w:p w14:paraId="68DB90D4" w14:textId="77777777" w:rsidR="000923BB" w:rsidRDefault="000923BB" w:rsidP="000923BB">
      <w:pPr>
        <w:pStyle w:val="Header"/>
        <w:tabs>
          <w:tab w:val="left" w:pos="2835"/>
          <w:tab w:val="left" w:pos="4820"/>
          <w:tab w:val="left" w:pos="6379"/>
          <w:tab w:val="left" w:pos="7371"/>
          <w:tab w:val="left" w:pos="9072"/>
        </w:tabs>
        <w:rPr>
          <w:sz w:val="28"/>
        </w:rPr>
      </w:pPr>
    </w:p>
    <w:p w14:paraId="4A4FFF57" w14:textId="77777777" w:rsidR="000923BB" w:rsidRDefault="000923BB" w:rsidP="000923BB">
      <w:pPr>
        <w:pStyle w:val="Header"/>
        <w:tabs>
          <w:tab w:val="left" w:pos="2835"/>
          <w:tab w:val="left" w:pos="4820"/>
          <w:tab w:val="left" w:pos="6379"/>
          <w:tab w:val="left" w:pos="7371"/>
          <w:tab w:val="left" w:pos="9072"/>
        </w:tabs>
        <w:rPr>
          <w:sz w:val="28"/>
        </w:rPr>
      </w:pPr>
    </w:p>
    <w:p w14:paraId="7A037CC7" w14:textId="77777777" w:rsidR="000923BB" w:rsidRPr="00B77A2A" w:rsidRDefault="000923BB" w:rsidP="000923BB">
      <w:pPr>
        <w:pStyle w:val="Header"/>
        <w:pBdr>
          <w:bottom w:val="single" w:sz="18" w:space="6" w:color="auto"/>
        </w:pBdr>
        <w:rPr>
          <w:b/>
          <w:sz w:val="28"/>
          <w:szCs w:val="28"/>
        </w:rPr>
      </w:pPr>
      <w:r w:rsidRPr="00B77A2A">
        <w:rPr>
          <w:b/>
          <w:sz w:val="28"/>
          <w:szCs w:val="28"/>
        </w:rPr>
        <w:lastRenderedPageBreak/>
        <w:t>History/patient characteristics</w:t>
      </w:r>
    </w:p>
    <w:p w14:paraId="72D6C5C4" w14:textId="77777777" w:rsidR="000923BB" w:rsidRDefault="000923BB" w:rsidP="000923BB">
      <w:pPr>
        <w:pStyle w:val="Header"/>
        <w:tabs>
          <w:tab w:val="left" w:pos="2835"/>
          <w:tab w:val="left" w:pos="4820"/>
          <w:tab w:val="left" w:pos="6379"/>
          <w:tab w:val="left" w:pos="7371"/>
          <w:tab w:val="left" w:pos="9072"/>
        </w:tabs>
      </w:pPr>
    </w:p>
    <w:tbl>
      <w:tblPr>
        <w:tblW w:w="765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5814"/>
        <w:gridCol w:w="501"/>
        <w:gridCol w:w="501"/>
        <w:gridCol w:w="501"/>
      </w:tblGrid>
      <w:tr w:rsidR="00E51F88" w14:paraId="69DB39D2" w14:textId="77777777" w:rsidTr="00E51F88">
        <w:trPr>
          <w:cantSplit/>
          <w:trHeight w:val="1486"/>
        </w:trPr>
        <w:tc>
          <w:tcPr>
            <w:tcW w:w="850" w:type="dxa"/>
          </w:tcPr>
          <w:p w14:paraId="346DEA90" w14:textId="77777777" w:rsidR="00E51F88" w:rsidRPr="00DA5E13" w:rsidRDefault="00E51F88" w:rsidP="003A385F">
            <w:pPr>
              <w:pStyle w:val="Header"/>
              <w:tabs>
                <w:tab w:val="left" w:pos="2835"/>
                <w:tab w:val="left" w:pos="4820"/>
                <w:tab w:val="left" w:pos="6379"/>
                <w:tab w:val="left" w:pos="7371"/>
                <w:tab w:val="left" w:pos="9072"/>
              </w:tabs>
              <w:rPr>
                <w:b/>
              </w:rPr>
            </w:pPr>
            <w:r w:rsidRPr="00DA5E13">
              <w:rPr>
                <w:b/>
              </w:rPr>
              <w:t>No</w:t>
            </w:r>
          </w:p>
        </w:tc>
        <w:tc>
          <w:tcPr>
            <w:tcW w:w="4961" w:type="dxa"/>
          </w:tcPr>
          <w:p w14:paraId="77CC619D" w14:textId="77777777" w:rsidR="00E51F88" w:rsidRPr="00DA5E13" w:rsidRDefault="00E51F88" w:rsidP="003A385F">
            <w:pPr>
              <w:pStyle w:val="Header"/>
              <w:tabs>
                <w:tab w:val="left" w:pos="2835"/>
                <w:tab w:val="left" w:pos="4820"/>
                <w:tab w:val="left" w:pos="6379"/>
                <w:tab w:val="left" w:pos="7371"/>
                <w:tab w:val="left" w:pos="9072"/>
              </w:tabs>
              <w:rPr>
                <w:b/>
              </w:rPr>
            </w:pPr>
            <w:r w:rsidRPr="00DA5E13">
              <w:rPr>
                <w:b/>
              </w:rPr>
              <w:t>Criterion</w:t>
            </w:r>
          </w:p>
        </w:tc>
        <w:tc>
          <w:tcPr>
            <w:tcW w:w="567" w:type="dxa"/>
            <w:textDirection w:val="tbRl"/>
          </w:tcPr>
          <w:p w14:paraId="76C9B2ED" w14:textId="77777777" w:rsidR="00E51F88" w:rsidRPr="00DA5E13" w:rsidRDefault="00E51F88" w:rsidP="003A385F">
            <w:pPr>
              <w:pStyle w:val="Header"/>
              <w:tabs>
                <w:tab w:val="left" w:pos="2835"/>
                <w:tab w:val="left" w:pos="4820"/>
                <w:tab w:val="left" w:pos="6379"/>
                <w:tab w:val="left" w:pos="7371"/>
                <w:tab w:val="left" w:pos="9072"/>
              </w:tabs>
              <w:ind w:left="113" w:right="113"/>
              <w:rPr>
                <w:b/>
              </w:rPr>
            </w:pPr>
            <w:r w:rsidRPr="00DA5E13">
              <w:rPr>
                <w:b/>
              </w:rPr>
              <w:t>Essential</w:t>
            </w:r>
          </w:p>
        </w:tc>
        <w:tc>
          <w:tcPr>
            <w:tcW w:w="567" w:type="dxa"/>
            <w:textDirection w:val="tbRl"/>
          </w:tcPr>
          <w:p w14:paraId="32E227B5" w14:textId="77777777" w:rsidR="00E51F88" w:rsidRPr="00DA5E13" w:rsidRDefault="00E51F88" w:rsidP="003A385F">
            <w:pPr>
              <w:pStyle w:val="Header"/>
              <w:tabs>
                <w:tab w:val="left" w:pos="2835"/>
                <w:tab w:val="left" w:pos="4820"/>
                <w:tab w:val="left" w:pos="6379"/>
                <w:tab w:val="left" w:pos="7371"/>
                <w:tab w:val="left" w:pos="9072"/>
              </w:tabs>
              <w:ind w:left="113" w:right="113"/>
              <w:rPr>
                <w:b/>
              </w:rPr>
            </w:pPr>
            <w:r w:rsidRPr="00DA5E13">
              <w:rPr>
                <w:b/>
              </w:rPr>
              <w:t>Desirable</w:t>
            </w:r>
          </w:p>
        </w:tc>
        <w:tc>
          <w:tcPr>
            <w:tcW w:w="709" w:type="dxa"/>
            <w:textDirection w:val="tbRl"/>
          </w:tcPr>
          <w:p w14:paraId="291A1D1A" w14:textId="77777777" w:rsidR="00E51F88" w:rsidRPr="00DA5E13" w:rsidRDefault="00E51F88" w:rsidP="003A385F">
            <w:pPr>
              <w:pStyle w:val="Header"/>
              <w:tabs>
                <w:tab w:val="left" w:pos="2835"/>
                <w:tab w:val="left" w:pos="4820"/>
                <w:tab w:val="left" w:pos="6379"/>
                <w:tab w:val="left" w:pos="7371"/>
                <w:tab w:val="left" w:pos="9072"/>
              </w:tabs>
              <w:ind w:left="113" w:right="113"/>
              <w:rPr>
                <w:b/>
              </w:rPr>
            </w:pPr>
            <w:r w:rsidRPr="00DA5E13">
              <w:rPr>
                <w:b/>
              </w:rPr>
              <w:t>Non-Essential</w:t>
            </w:r>
          </w:p>
        </w:tc>
      </w:tr>
      <w:tr w:rsidR="00E51F88" w14:paraId="79D8E155" w14:textId="77777777" w:rsidTr="00E51F88">
        <w:tc>
          <w:tcPr>
            <w:tcW w:w="850" w:type="dxa"/>
            <w:tcBorders>
              <w:bottom w:val="dashed" w:sz="4" w:space="0" w:color="auto"/>
            </w:tcBorders>
          </w:tcPr>
          <w:p w14:paraId="1A462327" w14:textId="77777777" w:rsidR="00E51F88" w:rsidRPr="00B66346" w:rsidRDefault="00E51F88" w:rsidP="003A385F">
            <w:pPr>
              <w:pStyle w:val="Header"/>
              <w:tabs>
                <w:tab w:val="left" w:pos="2835"/>
                <w:tab w:val="left" w:pos="4820"/>
                <w:tab w:val="left" w:pos="6379"/>
                <w:tab w:val="left" w:pos="7371"/>
                <w:tab w:val="left" w:pos="9072"/>
              </w:tabs>
              <w:rPr>
                <w:sz w:val="20"/>
                <w:szCs w:val="20"/>
              </w:rPr>
            </w:pPr>
            <w:r w:rsidRPr="00B66346">
              <w:rPr>
                <w:sz w:val="20"/>
                <w:szCs w:val="20"/>
              </w:rPr>
              <w:t>11</w:t>
            </w:r>
          </w:p>
        </w:tc>
        <w:tc>
          <w:tcPr>
            <w:tcW w:w="4961" w:type="dxa"/>
            <w:tcBorders>
              <w:bottom w:val="dashed" w:sz="4" w:space="0" w:color="auto"/>
            </w:tcBorders>
          </w:tcPr>
          <w:p w14:paraId="0FBF5E4C" w14:textId="77777777" w:rsidR="00E51F88" w:rsidRPr="00B66346" w:rsidRDefault="00E51F88" w:rsidP="003A385F">
            <w:pPr>
              <w:pStyle w:val="Header"/>
              <w:tabs>
                <w:tab w:val="left" w:pos="2835"/>
                <w:tab w:val="left" w:pos="4820"/>
                <w:tab w:val="left" w:pos="5954"/>
                <w:tab w:val="left" w:pos="7371"/>
                <w:tab w:val="left" w:pos="9072"/>
              </w:tabs>
              <w:rPr>
                <w:sz w:val="20"/>
                <w:szCs w:val="20"/>
              </w:rPr>
            </w:pPr>
            <w:r w:rsidRPr="00B66346">
              <w:rPr>
                <w:sz w:val="20"/>
                <w:szCs w:val="20"/>
              </w:rPr>
              <w:t>What is the patient’s smoking status?</w:t>
            </w:r>
          </w:p>
          <w:p w14:paraId="3B9135E5" w14:textId="77777777" w:rsidR="00E51F88" w:rsidRPr="00B66346" w:rsidRDefault="00E51F88" w:rsidP="003A385F">
            <w:pPr>
              <w:pStyle w:val="Header"/>
              <w:tabs>
                <w:tab w:val="left" w:pos="2835"/>
                <w:tab w:val="left" w:pos="3476"/>
                <w:tab w:val="left" w:pos="3600"/>
                <w:tab w:val="left" w:pos="5954"/>
                <w:tab w:val="left" w:pos="8280"/>
                <w:tab w:val="left" w:pos="9072"/>
              </w:tabs>
              <w:rPr>
                <w:sz w:val="20"/>
                <w:szCs w:val="20"/>
              </w:rPr>
            </w:pPr>
            <w:r w:rsidRPr="00B66346">
              <w:rPr>
                <w:sz w:val="20"/>
                <w:szCs w:val="20"/>
              </w:rPr>
              <w:tab/>
            </w:r>
            <w:r w:rsidRPr="00B66346">
              <w:rPr>
                <w:sz w:val="20"/>
                <w:szCs w:val="20"/>
              </w:rPr>
              <w:tab/>
              <w:t>current smoker</w:t>
            </w:r>
          </w:p>
          <w:p w14:paraId="4CCD5314" w14:textId="77777777" w:rsidR="00E51F88" w:rsidRPr="00B66346" w:rsidRDefault="00E51F88" w:rsidP="003A385F">
            <w:pPr>
              <w:pStyle w:val="Header"/>
              <w:tabs>
                <w:tab w:val="left" w:pos="2835"/>
                <w:tab w:val="left" w:pos="3476"/>
                <w:tab w:val="left" w:pos="3600"/>
                <w:tab w:val="left" w:pos="5954"/>
                <w:tab w:val="left" w:pos="8280"/>
                <w:tab w:val="left" w:pos="9072"/>
              </w:tabs>
              <w:rPr>
                <w:sz w:val="20"/>
                <w:szCs w:val="20"/>
              </w:rPr>
            </w:pPr>
            <w:r w:rsidRPr="00B66346">
              <w:rPr>
                <w:sz w:val="20"/>
                <w:szCs w:val="20"/>
              </w:rPr>
              <w:tab/>
            </w:r>
            <w:r w:rsidRPr="00B66346">
              <w:rPr>
                <w:sz w:val="20"/>
                <w:szCs w:val="20"/>
              </w:rPr>
              <w:tab/>
              <w:t>ex smoker (stopped more than 3 months)</w:t>
            </w:r>
          </w:p>
          <w:p w14:paraId="7BF90BA4" w14:textId="77777777" w:rsidR="00E51F88" w:rsidRPr="00B66346" w:rsidRDefault="00E51F88" w:rsidP="003A385F">
            <w:pPr>
              <w:pStyle w:val="Header"/>
              <w:tabs>
                <w:tab w:val="left" w:pos="2835"/>
                <w:tab w:val="left" w:pos="3476"/>
                <w:tab w:val="left" w:pos="6379"/>
                <w:tab w:val="left" w:pos="7371"/>
                <w:tab w:val="left" w:pos="9072"/>
              </w:tabs>
              <w:rPr>
                <w:sz w:val="20"/>
                <w:szCs w:val="20"/>
              </w:rPr>
            </w:pPr>
            <w:r w:rsidRPr="00B66346">
              <w:rPr>
                <w:sz w:val="20"/>
                <w:szCs w:val="20"/>
              </w:rPr>
              <w:tab/>
            </w:r>
            <w:r w:rsidRPr="00B66346">
              <w:rPr>
                <w:sz w:val="20"/>
                <w:szCs w:val="20"/>
              </w:rPr>
              <w:tab/>
              <w:t>life long non-smoker</w:t>
            </w:r>
          </w:p>
          <w:p w14:paraId="1C408991" w14:textId="77777777" w:rsidR="00E51F88" w:rsidRPr="00B66346" w:rsidRDefault="00E51F88" w:rsidP="003A385F">
            <w:pPr>
              <w:pStyle w:val="Header"/>
              <w:tabs>
                <w:tab w:val="left" w:pos="3476"/>
                <w:tab w:val="left" w:pos="3582"/>
                <w:tab w:val="left" w:pos="4820"/>
                <w:tab w:val="left" w:pos="6379"/>
                <w:tab w:val="left" w:pos="7371"/>
                <w:tab w:val="left" w:pos="9072"/>
              </w:tabs>
              <w:rPr>
                <w:sz w:val="20"/>
                <w:szCs w:val="20"/>
              </w:rPr>
            </w:pPr>
            <w:r w:rsidRPr="00B66346">
              <w:rPr>
                <w:sz w:val="20"/>
                <w:szCs w:val="20"/>
              </w:rPr>
              <w:tab/>
              <w:t>not recorded</w:t>
            </w:r>
          </w:p>
        </w:tc>
        <w:tc>
          <w:tcPr>
            <w:tcW w:w="567" w:type="dxa"/>
            <w:tcBorders>
              <w:bottom w:val="dashed" w:sz="4" w:space="0" w:color="auto"/>
            </w:tcBorders>
          </w:tcPr>
          <w:p w14:paraId="72EA443B" w14:textId="77777777" w:rsidR="00E51F88" w:rsidRDefault="00E51F88" w:rsidP="003A385F">
            <w:pPr>
              <w:pStyle w:val="Header"/>
              <w:tabs>
                <w:tab w:val="left" w:pos="2835"/>
                <w:tab w:val="left" w:pos="4820"/>
                <w:tab w:val="left" w:pos="6379"/>
                <w:tab w:val="left" w:pos="7371"/>
                <w:tab w:val="left" w:pos="9072"/>
              </w:tabs>
              <w:rPr>
                <w:sz w:val="22"/>
                <w:szCs w:val="22"/>
              </w:rPr>
            </w:pPr>
          </w:p>
        </w:tc>
        <w:tc>
          <w:tcPr>
            <w:tcW w:w="567" w:type="dxa"/>
            <w:tcBorders>
              <w:bottom w:val="dashed" w:sz="4" w:space="0" w:color="auto"/>
            </w:tcBorders>
          </w:tcPr>
          <w:p w14:paraId="2048935B" w14:textId="77777777" w:rsidR="00E51F88" w:rsidRDefault="00E51F88" w:rsidP="003A385F">
            <w:pPr>
              <w:pStyle w:val="Header"/>
              <w:tabs>
                <w:tab w:val="left" w:pos="2835"/>
                <w:tab w:val="left" w:pos="4820"/>
                <w:tab w:val="left" w:pos="6379"/>
                <w:tab w:val="left" w:pos="7371"/>
                <w:tab w:val="left" w:pos="9072"/>
              </w:tabs>
              <w:rPr>
                <w:sz w:val="22"/>
                <w:szCs w:val="22"/>
              </w:rPr>
            </w:pPr>
          </w:p>
        </w:tc>
        <w:tc>
          <w:tcPr>
            <w:tcW w:w="709" w:type="dxa"/>
            <w:tcBorders>
              <w:bottom w:val="dashed" w:sz="4" w:space="0" w:color="auto"/>
            </w:tcBorders>
          </w:tcPr>
          <w:p w14:paraId="1B49D0B8" w14:textId="77777777" w:rsidR="00E51F88" w:rsidRDefault="00E51F88" w:rsidP="003A385F">
            <w:pPr>
              <w:pStyle w:val="Header"/>
              <w:tabs>
                <w:tab w:val="left" w:pos="2835"/>
                <w:tab w:val="left" w:pos="4820"/>
                <w:tab w:val="left" w:pos="6379"/>
                <w:tab w:val="left" w:pos="7371"/>
                <w:tab w:val="left" w:pos="9072"/>
              </w:tabs>
              <w:rPr>
                <w:sz w:val="22"/>
                <w:szCs w:val="22"/>
              </w:rPr>
            </w:pPr>
          </w:p>
        </w:tc>
      </w:tr>
      <w:tr w:rsidR="00E51F88" w14:paraId="204B21C7" w14:textId="77777777" w:rsidTr="00E51F88">
        <w:tc>
          <w:tcPr>
            <w:tcW w:w="850" w:type="dxa"/>
            <w:tcBorders>
              <w:top w:val="dashed" w:sz="4" w:space="0" w:color="auto"/>
            </w:tcBorders>
          </w:tcPr>
          <w:p w14:paraId="10496674" w14:textId="77777777" w:rsidR="00E51F88" w:rsidRPr="00B66346" w:rsidRDefault="00E51F88" w:rsidP="003A385F">
            <w:pPr>
              <w:pStyle w:val="Header"/>
              <w:tabs>
                <w:tab w:val="left" w:pos="2835"/>
                <w:tab w:val="left" w:pos="4820"/>
                <w:tab w:val="left" w:pos="6379"/>
                <w:tab w:val="left" w:pos="7371"/>
                <w:tab w:val="left" w:pos="9072"/>
              </w:tabs>
              <w:rPr>
                <w:sz w:val="20"/>
                <w:szCs w:val="20"/>
              </w:rPr>
            </w:pPr>
          </w:p>
        </w:tc>
        <w:tc>
          <w:tcPr>
            <w:tcW w:w="4961" w:type="dxa"/>
            <w:tcBorders>
              <w:top w:val="dashed" w:sz="4" w:space="0" w:color="auto"/>
            </w:tcBorders>
          </w:tcPr>
          <w:p w14:paraId="6AEC2B42" w14:textId="77777777" w:rsidR="00E51F88" w:rsidRPr="00B66346" w:rsidRDefault="00E51F88" w:rsidP="003A385F">
            <w:pPr>
              <w:pStyle w:val="Header"/>
              <w:tabs>
                <w:tab w:val="left" w:pos="2835"/>
                <w:tab w:val="left" w:pos="4820"/>
                <w:tab w:val="left" w:pos="6379"/>
                <w:tab w:val="left" w:pos="7371"/>
                <w:tab w:val="left" w:pos="9072"/>
              </w:tabs>
              <w:ind w:left="720"/>
              <w:rPr>
                <w:sz w:val="20"/>
                <w:szCs w:val="20"/>
              </w:rPr>
            </w:pPr>
            <w:r w:rsidRPr="00B66346">
              <w:rPr>
                <w:sz w:val="20"/>
                <w:szCs w:val="20"/>
              </w:rPr>
              <w:t>If current or ex- cigarette smoker,</w:t>
            </w:r>
          </w:p>
          <w:p w14:paraId="014468E2" w14:textId="77777777" w:rsidR="00E51F88" w:rsidRPr="00B66346" w:rsidRDefault="00E51F88" w:rsidP="003A385F">
            <w:pPr>
              <w:pStyle w:val="Header"/>
              <w:tabs>
                <w:tab w:val="left" w:pos="2835"/>
                <w:tab w:val="left" w:pos="4820"/>
                <w:tab w:val="left" w:pos="6379"/>
                <w:tab w:val="left" w:pos="7371"/>
                <w:tab w:val="left" w:pos="9072"/>
              </w:tabs>
              <w:ind w:left="720"/>
              <w:rPr>
                <w:sz w:val="20"/>
                <w:szCs w:val="20"/>
              </w:rPr>
            </w:pPr>
            <w:r w:rsidRPr="00B66346">
              <w:rPr>
                <w:sz w:val="20"/>
                <w:szCs w:val="20"/>
              </w:rPr>
              <w:tab/>
              <w:t>how many cigarettes smoked per day?</w:t>
            </w:r>
          </w:p>
          <w:p w14:paraId="38785AC7" w14:textId="77777777" w:rsidR="00E51F88" w:rsidRPr="00B66346" w:rsidRDefault="00E51F88" w:rsidP="003A385F">
            <w:pPr>
              <w:pStyle w:val="Header"/>
              <w:tabs>
                <w:tab w:val="left" w:pos="3600"/>
                <w:tab w:val="left" w:pos="4820"/>
                <w:tab w:val="left" w:pos="6379"/>
                <w:tab w:val="left" w:pos="7371"/>
                <w:tab w:val="left" w:pos="9180"/>
              </w:tabs>
              <w:ind w:firstLine="1440"/>
              <w:rPr>
                <w:b/>
                <w:i/>
                <w:sz w:val="20"/>
                <w:szCs w:val="20"/>
              </w:rPr>
            </w:pPr>
            <w:r w:rsidRPr="00B66346">
              <w:rPr>
                <w:b/>
                <w:i/>
                <w:sz w:val="20"/>
                <w:szCs w:val="20"/>
              </w:rPr>
              <w:tab/>
              <w:t>or</w:t>
            </w:r>
          </w:p>
          <w:p w14:paraId="7C3F525E" w14:textId="77777777" w:rsidR="00E51F88" w:rsidRPr="00B66346" w:rsidRDefault="00E51F88" w:rsidP="003A385F">
            <w:pPr>
              <w:pStyle w:val="Header"/>
              <w:tabs>
                <w:tab w:val="left" w:pos="2835"/>
                <w:tab w:val="left" w:pos="4320"/>
                <w:tab w:val="left" w:pos="6379"/>
                <w:tab w:val="left" w:pos="7371"/>
                <w:tab w:val="left" w:pos="9180"/>
              </w:tabs>
              <w:ind w:left="1440"/>
              <w:rPr>
                <w:color w:val="0000FF"/>
                <w:sz w:val="20"/>
                <w:szCs w:val="20"/>
              </w:rPr>
            </w:pPr>
            <w:r w:rsidRPr="00B66346">
              <w:rPr>
                <w:sz w:val="20"/>
                <w:szCs w:val="20"/>
              </w:rPr>
              <w:tab/>
              <w:t>pack years?</w:t>
            </w:r>
          </w:p>
          <w:p w14:paraId="2447CFCB" w14:textId="77777777" w:rsidR="00E51F88" w:rsidRPr="00B66346" w:rsidRDefault="00E51F88" w:rsidP="003A385F">
            <w:pPr>
              <w:pStyle w:val="Header"/>
              <w:tabs>
                <w:tab w:val="left" w:pos="2835"/>
                <w:tab w:val="left" w:pos="4820"/>
                <w:tab w:val="left" w:pos="6379"/>
                <w:tab w:val="left" w:pos="7371"/>
                <w:tab w:val="left" w:pos="9072"/>
              </w:tabs>
              <w:rPr>
                <w:sz w:val="20"/>
                <w:szCs w:val="20"/>
              </w:rPr>
            </w:pPr>
            <w:r w:rsidRPr="00B66346">
              <w:rPr>
                <w:sz w:val="20"/>
                <w:szCs w:val="20"/>
              </w:rPr>
              <w:tab/>
              <w:t>don’t know</w:t>
            </w:r>
          </w:p>
        </w:tc>
        <w:tc>
          <w:tcPr>
            <w:tcW w:w="567" w:type="dxa"/>
            <w:tcBorders>
              <w:top w:val="dashed" w:sz="4" w:space="0" w:color="auto"/>
            </w:tcBorders>
          </w:tcPr>
          <w:p w14:paraId="71FB6B18" w14:textId="77777777" w:rsidR="00E51F88" w:rsidRDefault="00E51F88" w:rsidP="003A385F">
            <w:pPr>
              <w:pStyle w:val="Header"/>
              <w:tabs>
                <w:tab w:val="left" w:pos="2835"/>
                <w:tab w:val="left" w:pos="4820"/>
                <w:tab w:val="left" w:pos="6379"/>
                <w:tab w:val="left" w:pos="7371"/>
                <w:tab w:val="left" w:pos="9072"/>
              </w:tabs>
              <w:rPr>
                <w:sz w:val="22"/>
                <w:szCs w:val="22"/>
              </w:rPr>
            </w:pPr>
          </w:p>
        </w:tc>
        <w:tc>
          <w:tcPr>
            <w:tcW w:w="567" w:type="dxa"/>
            <w:tcBorders>
              <w:top w:val="dashed" w:sz="4" w:space="0" w:color="auto"/>
            </w:tcBorders>
          </w:tcPr>
          <w:p w14:paraId="55487B71" w14:textId="77777777" w:rsidR="00E51F88" w:rsidRDefault="00E51F88" w:rsidP="003A385F">
            <w:pPr>
              <w:pStyle w:val="Header"/>
              <w:tabs>
                <w:tab w:val="left" w:pos="2835"/>
                <w:tab w:val="left" w:pos="4820"/>
                <w:tab w:val="left" w:pos="6379"/>
                <w:tab w:val="left" w:pos="7371"/>
                <w:tab w:val="left" w:pos="9072"/>
              </w:tabs>
              <w:rPr>
                <w:sz w:val="22"/>
                <w:szCs w:val="22"/>
              </w:rPr>
            </w:pPr>
          </w:p>
        </w:tc>
        <w:tc>
          <w:tcPr>
            <w:tcW w:w="709" w:type="dxa"/>
            <w:tcBorders>
              <w:top w:val="dashed" w:sz="4" w:space="0" w:color="auto"/>
            </w:tcBorders>
          </w:tcPr>
          <w:p w14:paraId="58B4847A" w14:textId="77777777" w:rsidR="00E51F88" w:rsidRDefault="00E51F88" w:rsidP="003A385F">
            <w:pPr>
              <w:pStyle w:val="Header"/>
              <w:tabs>
                <w:tab w:val="left" w:pos="2835"/>
                <w:tab w:val="left" w:pos="4820"/>
                <w:tab w:val="left" w:pos="6379"/>
                <w:tab w:val="left" w:pos="7371"/>
                <w:tab w:val="left" w:pos="9072"/>
              </w:tabs>
              <w:rPr>
                <w:sz w:val="22"/>
                <w:szCs w:val="22"/>
              </w:rPr>
            </w:pPr>
          </w:p>
        </w:tc>
      </w:tr>
      <w:tr w:rsidR="00E51F88" w14:paraId="6713C437" w14:textId="77777777" w:rsidTr="00E51F88">
        <w:tc>
          <w:tcPr>
            <w:tcW w:w="850" w:type="dxa"/>
          </w:tcPr>
          <w:p w14:paraId="7D5B8084" w14:textId="77777777" w:rsidR="00E51F88" w:rsidRPr="00B66346" w:rsidRDefault="00E51F88" w:rsidP="003A385F">
            <w:pPr>
              <w:pStyle w:val="Header"/>
              <w:tabs>
                <w:tab w:val="left" w:pos="2835"/>
                <w:tab w:val="left" w:pos="4820"/>
                <w:tab w:val="left" w:pos="6379"/>
                <w:tab w:val="left" w:pos="7371"/>
                <w:tab w:val="left" w:pos="9072"/>
              </w:tabs>
              <w:rPr>
                <w:sz w:val="20"/>
                <w:szCs w:val="20"/>
              </w:rPr>
            </w:pPr>
            <w:r w:rsidRPr="00B66346">
              <w:rPr>
                <w:sz w:val="20"/>
                <w:szCs w:val="20"/>
              </w:rPr>
              <w:t>12</w:t>
            </w:r>
          </w:p>
        </w:tc>
        <w:tc>
          <w:tcPr>
            <w:tcW w:w="4961" w:type="dxa"/>
          </w:tcPr>
          <w:p w14:paraId="3A5E551E" w14:textId="77777777" w:rsidR="00E51F88" w:rsidRPr="00B66346" w:rsidRDefault="00E51F88" w:rsidP="003A385F">
            <w:pPr>
              <w:pStyle w:val="Header"/>
              <w:pBdr>
                <w:top w:val="dotted" w:sz="4" w:space="10" w:color="auto"/>
              </w:pBdr>
              <w:tabs>
                <w:tab w:val="left" w:pos="2835"/>
                <w:tab w:val="left" w:pos="4820"/>
                <w:tab w:val="left" w:pos="6379"/>
                <w:tab w:val="left" w:pos="7371"/>
                <w:tab w:val="left" w:pos="9072"/>
              </w:tabs>
              <w:rPr>
                <w:noProof/>
                <w:sz w:val="20"/>
                <w:szCs w:val="20"/>
              </w:rPr>
            </w:pPr>
            <w:r w:rsidRPr="00B66346">
              <w:rPr>
                <w:noProof/>
                <w:sz w:val="20"/>
                <w:szCs w:val="20"/>
              </w:rPr>
              <w:t>Does the patient have any co-morbidities?</w:t>
            </w:r>
          </w:p>
          <w:p w14:paraId="4FF441D4" w14:textId="77777777" w:rsidR="00E51F88" w:rsidRPr="00B66346" w:rsidRDefault="00E51F88" w:rsidP="003A385F">
            <w:pPr>
              <w:pStyle w:val="Header"/>
              <w:pBdr>
                <w:top w:val="dotted" w:sz="4" w:space="10" w:color="auto"/>
              </w:pBdr>
              <w:tabs>
                <w:tab w:val="left" w:pos="792"/>
                <w:tab w:val="left" w:pos="4820"/>
                <w:tab w:val="left" w:pos="6379"/>
                <w:tab w:val="left" w:pos="7371"/>
                <w:tab w:val="left" w:pos="9072"/>
              </w:tabs>
              <w:rPr>
                <w:noProof/>
                <w:sz w:val="20"/>
                <w:szCs w:val="20"/>
              </w:rPr>
            </w:pPr>
            <w:r w:rsidRPr="00B66346">
              <w:rPr>
                <w:noProof/>
                <w:sz w:val="20"/>
                <w:szCs w:val="20"/>
              </w:rPr>
              <w:tab/>
              <w:t>Please tick all that apply</w:t>
            </w:r>
          </w:p>
          <w:p w14:paraId="688E4B5D" w14:textId="77777777" w:rsidR="00E51F88" w:rsidRPr="00B66346" w:rsidRDefault="00E51F88" w:rsidP="003A385F">
            <w:pPr>
              <w:pStyle w:val="Header"/>
              <w:keepNext/>
              <w:tabs>
                <w:tab w:val="left" w:pos="792"/>
                <w:tab w:val="left" w:pos="2232"/>
                <w:tab w:val="left" w:pos="5040"/>
                <w:tab w:val="left" w:pos="8280"/>
                <w:tab w:val="left" w:pos="9180"/>
              </w:tabs>
              <w:rPr>
                <w:sz w:val="20"/>
                <w:szCs w:val="20"/>
              </w:rPr>
            </w:pPr>
            <w:r w:rsidRPr="00B66346">
              <w:rPr>
                <w:sz w:val="20"/>
                <w:szCs w:val="20"/>
              </w:rPr>
              <w:tab/>
            </w:r>
            <w:r w:rsidRPr="00B66346">
              <w:rPr>
                <w:sz w:val="20"/>
                <w:szCs w:val="20"/>
              </w:rPr>
              <w:tab/>
              <w:t>none</w:t>
            </w:r>
          </w:p>
          <w:p w14:paraId="35EE1776" w14:textId="77777777" w:rsidR="00E51F88" w:rsidRPr="00B66346" w:rsidRDefault="00E51F88" w:rsidP="003A385F">
            <w:pPr>
              <w:pStyle w:val="Header"/>
              <w:keepNext/>
              <w:tabs>
                <w:tab w:val="left" w:pos="792"/>
                <w:tab w:val="left" w:pos="2232"/>
                <w:tab w:val="left" w:pos="5040"/>
                <w:tab w:val="left" w:pos="8280"/>
                <w:tab w:val="left" w:pos="9180"/>
              </w:tabs>
              <w:ind w:left="3119" w:hanging="3119"/>
              <w:rPr>
                <w:sz w:val="20"/>
                <w:szCs w:val="20"/>
              </w:rPr>
            </w:pPr>
            <w:r w:rsidRPr="00B66346">
              <w:rPr>
                <w:sz w:val="20"/>
                <w:szCs w:val="20"/>
              </w:rPr>
              <w:tab/>
            </w:r>
            <w:r w:rsidRPr="00B66346">
              <w:rPr>
                <w:sz w:val="20"/>
                <w:szCs w:val="20"/>
              </w:rPr>
              <w:tab/>
              <w:t>heart disease</w:t>
            </w:r>
          </w:p>
          <w:p w14:paraId="0A06DA32" w14:textId="77777777" w:rsidR="00E51F88" w:rsidRPr="00B66346" w:rsidRDefault="00E51F88" w:rsidP="003A385F">
            <w:pPr>
              <w:pStyle w:val="Header"/>
              <w:keepNext/>
              <w:tabs>
                <w:tab w:val="left" w:pos="792"/>
                <w:tab w:val="left" w:pos="2232"/>
                <w:tab w:val="left" w:pos="5040"/>
                <w:tab w:val="left" w:pos="8280"/>
                <w:tab w:val="left" w:pos="9180"/>
              </w:tabs>
              <w:ind w:left="3119" w:hanging="3119"/>
              <w:rPr>
                <w:sz w:val="20"/>
                <w:szCs w:val="20"/>
              </w:rPr>
            </w:pPr>
            <w:r w:rsidRPr="00B66346">
              <w:rPr>
                <w:sz w:val="20"/>
                <w:szCs w:val="20"/>
              </w:rPr>
              <w:tab/>
            </w:r>
            <w:r w:rsidRPr="00B66346">
              <w:rPr>
                <w:sz w:val="20"/>
                <w:szCs w:val="20"/>
              </w:rPr>
              <w:tab/>
              <w:t>hypertension</w:t>
            </w:r>
          </w:p>
          <w:p w14:paraId="43ED58DA" w14:textId="77777777" w:rsidR="00E51F88" w:rsidRPr="00B66346" w:rsidRDefault="00E51F88" w:rsidP="003A385F">
            <w:pPr>
              <w:pStyle w:val="Header"/>
              <w:keepNext/>
              <w:tabs>
                <w:tab w:val="left" w:pos="792"/>
                <w:tab w:val="left" w:pos="2232"/>
                <w:tab w:val="left" w:pos="5040"/>
                <w:tab w:val="left" w:pos="8280"/>
                <w:tab w:val="left" w:pos="9180"/>
              </w:tabs>
              <w:rPr>
                <w:sz w:val="20"/>
                <w:szCs w:val="20"/>
              </w:rPr>
            </w:pPr>
            <w:r w:rsidRPr="00B66346">
              <w:rPr>
                <w:sz w:val="20"/>
                <w:szCs w:val="20"/>
              </w:rPr>
              <w:tab/>
            </w:r>
            <w:r w:rsidRPr="00B66346">
              <w:rPr>
                <w:sz w:val="20"/>
                <w:szCs w:val="20"/>
              </w:rPr>
              <w:tab/>
              <w:t>stroke</w:t>
            </w:r>
          </w:p>
          <w:p w14:paraId="03766EE0" w14:textId="77777777" w:rsidR="00E51F88" w:rsidRPr="00B66346" w:rsidRDefault="00E51F88" w:rsidP="003A385F">
            <w:pPr>
              <w:pStyle w:val="Header"/>
              <w:keepNext/>
              <w:tabs>
                <w:tab w:val="left" w:pos="792"/>
                <w:tab w:val="left" w:pos="2232"/>
                <w:tab w:val="left" w:pos="5040"/>
                <w:tab w:val="left" w:pos="8280"/>
                <w:tab w:val="left" w:pos="9180"/>
              </w:tabs>
              <w:rPr>
                <w:sz w:val="20"/>
                <w:szCs w:val="20"/>
              </w:rPr>
            </w:pPr>
            <w:r w:rsidRPr="00B66346">
              <w:rPr>
                <w:sz w:val="20"/>
                <w:szCs w:val="20"/>
              </w:rPr>
              <w:tab/>
            </w:r>
            <w:r w:rsidRPr="00B66346">
              <w:rPr>
                <w:sz w:val="20"/>
                <w:szCs w:val="20"/>
              </w:rPr>
              <w:tab/>
              <w:t>locomotor problems</w:t>
            </w:r>
          </w:p>
          <w:p w14:paraId="71884C62" w14:textId="77777777" w:rsidR="00E51F88" w:rsidRPr="00B66346" w:rsidRDefault="00E51F88" w:rsidP="003A385F">
            <w:pPr>
              <w:pStyle w:val="Header"/>
              <w:keepNext/>
              <w:tabs>
                <w:tab w:val="left" w:pos="792"/>
                <w:tab w:val="left" w:pos="2232"/>
                <w:tab w:val="left" w:pos="5040"/>
                <w:tab w:val="left" w:pos="8280"/>
                <w:tab w:val="left" w:pos="9180"/>
              </w:tabs>
              <w:rPr>
                <w:sz w:val="20"/>
                <w:szCs w:val="20"/>
              </w:rPr>
            </w:pPr>
            <w:r w:rsidRPr="00B66346">
              <w:rPr>
                <w:sz w:val="20"/>
                <w:szCs w:val="20"/>
              </w:rPr>
              <w:tab/>
            </w:r>
            <w:r w:rsidRPr="00B66346">
              <w:rPr>
                <w:sz w:val="20"/>
                <w:szCs w:val="20"/>
              </w:rPr>
              <w:tab/>
              <w:t>neurological problems</w:t>
            </w:r>
          </w:p>
          <w:p w14:paraId="14E7309C" w14:textId="77777777" w:rsidR="00E51F88" w:rsidRPr="00B66346" w:rsidRDefault="00E51F88" w:rsidP="003A385F">
            <w:pPr>
              <w:pStyle w:val="Header"/>
              <w:tabs>
                <w:tab w:val="left" w:pos="792"/>
                <w:tab w:val="left" w:pos="2232"/>
                <w:tab w:val="left" w:pos="5040"/>
                <w:tab w:val="left" w:pos="8280"/>
                <w:tab w:val="left" w:pos="9180"/>
              </w:tabs>
              <w:rPr>
                <w:sz w:val="20"/>
                <w:szCs w:val="20"/>
              </w:rPr>
            </w:pPr>
            <w:r w:rsidRPr="00B66346">
              <w:rPr>
                <w:sz w:val="20"/>
                <w:szCs w:val="20"/>
              </w:rPr>
              <w:tab/>
            </w:r>
            <w:r w:rsidRPr="00B66346">
              <w:rPr>
                <w:sz w:val="20"/>
                <w:szCs w:val="20"/>
              </w:rPr>
              <w:tab/>
              <w:t>diabetes</w:t>
            </w:r>
          </w:p>
          <w:p w14:paraId="04407E75" w14:textId="77777777" w:rsidR="00E51F88" w:rsidRPr="00B66346" w:rsidRDefault="00E51F88" w:rsidP="003A385F">
            <w:pPr>
              <w:pStyle w:val="Header"/>
              <w:tabs>
                <w:tab w:val="left" w:pos="792"/>
                <w:tab w:val="left" w:pos="2232"/>
                <w:tab w:val="left" w:pos="5040"/>
                <w:tab w:val="left" w:pos="8280"/>
                <w:tab w:val="left" w:pos="9180"/>
              </w:tabs>
              <w:rPr>
                <w:sz w:val="20"/>
                <w:szCs w:val="20"/>
              </w:rPr>
            </w:pPr>
            <w:r w:rsidRPr="00B66346">
              <w:rPr>
                <w:sz w:val="20"/>
                <w:szCs w:val="20"/>
              </w:rPr>
              <w:tab/>
            </w:r>
            <w:r w:rsidRPr="00B66346">
              <w:rPr>
                <w:sz w:val="20"/>
                <w:szCs w:val="20"/>
              </w:rPr>
              <w:tab/>
              <w:t>visual impairment</w:t>
            </w:r>
          </w:p>
          <w:p w14:paraId="3940014E" w14:textId="77777777" w:rsidR="00E51F88" w:rsidRPr="00B66346" w:rsidRDefault="00E51F88" w:rsidP="003A385F">
            <w:pPr>
              <w:pStyle w:val="Header"/>
              <w:tabs>
                <w:tab w:val="left" w:pos="792"/>
                <w:tab w:val="left" w:pos="2232"/>
                <w:tab w:val="left" w:pos="5040"/>
                <w:tab w:val="left" w:pos="8280"/>
                <w:tab w:val="left" w:pos="9180"/>
              </w:tabs>
              <w:rPr>
                <w:sz w:val="20"/>
                <w:szCs w:val="20"/>
              </w:rPr>
            </w:pPr>
            <w:r w:rsidRPr="00B66346">
              <w:rPr>
                <w:sz w:val="20"/>
                <w:szCs w:val="20"/>
              </w:rPr>
              <w:tab/>
            </w:r>
            <w:r w:rsidRPr="00B66346">
              <w:rPr>
                <w:sz w:val="20"/>
                <w:szCs w:val="20"/>
              </w:rPr>
              <w:tab/>
              <w:t>depression/anxiety</w:t>
            </w:r>
          </w:p>
          <w:p w14:paraId="677EED04" w14:textId="77777777" w:rsidR="00E51F88" w:rsidRPr="00B66346" w:rsidRDefault="00E51F88" w:rsidP="003A385F">
            <w:pPr>
              <w:pStyle w:val="Header"/>
              <w:tabs>
                <w:tab w:val="left" w:pos="792"/>
                <w:tab w:val="left" w:pos="2232"/>
                <w:tab w:val="left" w:pos="4820"/>
                <w:tab w:val="left" w:pos="6379"/>
                <w:tab w:val="left" w:pos="7371"/>
                <w:tab w:val="left" w:pos="9072"/>
              </w:tabs>
              <w:rPr>
                <w:sz w:val="20"/>
                <w:szCs w:val="20"/>
              </w:rPr>
            </w:pPr>
            <w:r w:rsidRPr="00B66346">
              <w:rPr>
                <w:sz w:val="20"/>
                <w:szCs w:val="20"/>
              </w:rPr>
              <w:tab/>
            </w:r>
            <w:r w:rsidRPr="00B66346">
              <w:rPr>
                <w:sz w:val="20"/>
                <w:szCs w:val="20"/>
              </w:rPr>
              <w:tab/>
              <w:t>other</w:t>
            </w:r>
          </w:p>
        </w:tc>
        <w:tc>
          <w:tcPr>
            <w:tcW w:w="567" w:type="dxa"/>
          </w:tcPr>
          <w:p w14:paraId="0B57B0F0" w14:textId="77777777" w:rsidR="00E51F88" w:rsidRDefault="00E51F88" w:rsidP="003A385F">
            <w:pPr>
              <w:pStyle w:val="Header"/>
              <w:tabs>
                <w:tab w:val="left" w:pos="2835"/>
                <w:tab w:val="left" w:pos="4820"/>
                <w:tab w:val="left" w:pos="6379"/>
                <w:tab w:val="left" w:pos="7371"/>
                <w:tab w:val="left" w:pos="9072"/>
              </w:tabs>
              <w:rPr>
                <w:sz w:val="22"/>
                <w:szCs w:val="22"/>
              </w:rPr>
            </w:pPr>
          </w:p>
        </w:tc>
        <w:tc>
          <w:tcPr>
            <w:tcW w:w="567" w:type="dxa"/>
          </w:tcPr>
          <w:p w14:paraId="3E2B8BAE" w14:textId="77777777" w:rsidR="00E51F88" w:rsidRDefault="00E51F88" w:rsidP="003A385F">
            <w:pPr>
              <w:pStyle w:val="Header"/>
              <w:tabs>
                <w:tab w:val="left" w:pos="2835"/>
                <w:tab w:val="left" w:pos="4820"/>
                <w:tab w:val="left" w:pos="6379"/>
                <w:tab w:val="left" w:pos="7371"/>
                <w:tab w:val="left" w:pos="9072"/>
              </w:tabs>
              <w:rPr>
                <w:sz w:val="22"/>
                <w:szCs w:val="22"/>
              </w:rPr>
            </w:pPr>
          </w:p>
        </w:tc>
        <w:tc>
          <w:tcPr>
            <w:tcW w:w="709" w:type="dxa"/>
          </w:tcPr>
          <w:p w14:paraId="279A574C" w14:textId="77777777" w:rsidR="00E51F88" w:rsidRDefault="00E51F88" w:rsidP="003A385F">
            <w:pPr>
              <w:pStyle w:val="Header"/>
              <w:tabs>
                <w:tab w:val="left" w:pos="2835"/>
                <w:tab w:val="left" w:pos="4820"/>
                <w:tab w:val="left" w:pos="6379"/>
                <w:tab w:val="left" w:pos="7371"/>
                <w:tab w:val="left" w:pos="9072"/>
              </w:tabs>
              <w:rPr>
                <w:sz w:val="22"/>
                <w:szCs w:val="22"/>
              </w:rPr>
            </w:pPr>
          </w:p>
        </w:tc>
      </w:tr>
      <w:tr w:rsidR="00E51F88" w14:paraId="4EC9F176" w14:textId="77777777" w:rsidTr="00E51F88">
        <w:tc>
          <w:tcPr>
            <w:tcW w:w="850" w:type="dxa"/>
          </w:tcPr>
          <w:p w14:paraId="7C5B685D" w14:textId="77777777" w:rsidR="00E51F88" w:rsidRPr="00B66346" w:rsidRDefault="00E51F88" w:rsidP="003A385F">
            <w:pPr>
              <w:pStyle w:val="Header"/>
              <w:tabs>
                <w:tab w:val="left" w:pos="2835"/>
                <w:tab w:val="left" w:pos="4820"/>
                <w:tab w:val="left" w:pos="6379"/>
                <w:tab w:val="left" w:pos="7371"/>
                <w:tab w:val="left" w:pos="9072"/>
              </w:tabs>
              <w:rPr>
                <w:sz w:val="20"/>
                <w:szCs w:val="20"/>
              </w:rPr>
            </w:pPr>
            <w:r w:rsidRPr="00B66346">
              <w:rPr>
                <w:sz w:val="20"/>
                <w:szCs w:val="20"/>
              </w:rPr>
              <w:t>13</w:t>
            </w:r>
          </w:p>
        </w:tc>
        <w:tc>
          <w:tcPr>
            <w:tcW w:w="4961" w:type="dxa"/>
          </w:tcPr>
          <w:p w14:paraId="59BFB7B0" w14:textId="77777777" w:rsidR="00E51F88" w:rsidRPr="00B66346" w:rsidRDefault="00E51F88" w:rsidP="003A385F">
            <w:pPr>
              <w:pStyle w:val="Header"/>
              <w:pBdr>
                <w:top w:val="dotted" w:sz="4" w:space="10" w:color="auto"/>
              </w:pBdr>
              <w:tabs>
                <w:tab w:val="left" w:pos="2835"/>
                <w:tab w:val="left" w:pos="4820"/>
                <w:tab w:val="left" w:pos="6379"/>
                <w:tab w:val="left" w:pos="7371"/>
                <w:tab w:val="left" w:pos="9072"/>
              </w:tabs>
              <w:rPr>
                <w:sz w:val="20"/>
                <w:szCs w:val="20"/>
              </w:rPr>
            </w:pPr>
            <w:r w:rsidRPr="00B66346">
              <w:rPr>
                <w:sz w:val="20"/>
                <w:szCs w:val="20"/>
              </w:rPr>
              <w:t>What are the patient’s social circumstances?</w:t>
            </w:r>
          </w:p>
          <w:p w14:paraId="2AF6B72D" w14:textId="77777777" w:rsidR="00E51F88" w:rsidRPr="00B66346" w:rsidRDefault="00E51F88" w:rsidP="003A385F">
            <w:pPr>
              <w:pStyle w:val="Header"/>
              <w:tabs>
                <w:tab w:val="left" w:pos="2232"/>
                <w:tab w:val="left" w:pos="8280"/>
                <w:tab w:val="left" w:pos="9180"/>
              </w:tabs>
              <w:rPr>
                <w:sz w:val="20"/>
                <w:szCs w:val="20"/>
              </w:rPr>
            </w:pPr>
            <w:r w:rsidRPr="00B66346">
              <w:rPr>
                <w:sz w:val="20"/>
                <w:szCs w:val="20"/>
              </w:rPr>
              <w:tab/>
              <w:t>lives alone, no support</w:t>
            </w:r>
          </w:p>
          <w:p w14:paraId="55DE03D3" w14:textId="77777777" w:rsidR="00E51F88" w:rsidRPr="00B66346" w:rsidRDefault="00E51F88" w:rsidP="003A385F">
            <w:pPr>
              <w:pStyle w:val="Header"/>
              <w:tabs>
                <w:tab w:val="left" w:pos="2232"/>
                <w:tab w:val="left" w:pos="8280"/>
                <w:tab w:val="left" w:pos="9180"/>
              </w:tabs>
              <w:rPr>
                <w:sz w:val="20"/>
                <w:szCs w:val="20"/>
              </w:rPr>
            </w:pPr>
            <w:r w:rsidRPr="00B66346">
              <w:rPr>
                <w:sz w:val="20"/>
                <w:szCs w:val="20"/>
              </w:rPr>
              <w:tab/>
              <w:t>lives alone with social service support</w:t>
            </w:r>
          </w:p>
          <w:p w14:paraId="4145A49F" w14:textId="77777777" w:rsidR="00E51F88" w:rsidRPr="00B66346" w:rsidRDefault="00E51F88" w:rsidP="003A385F">
            <w:pPr>
              <w:pStyle w:val="Header"/>
              <w:tabs>
                <w:tab w:val="left" w:pos="2232"/>
                <w:tab w:val="left" w:pos="8280"/>
                <w:tab w:val="left" w:pos="9180"/>
              </w:tabs>
              <w:rPr>
                <w:sz w:val="20"/>
                <w:szCs w:val="20"/>
              </w:rPr>
            </w:pPr>
            <w:r w:rsidRPr="00B66346">
              <w:rPr>
                <w:sz w:val="20"/>
                <w:szCs w:val="20"/>
              </w:rPr>
              <w:tab/>
              <w:t>lives with spouse, close relative or carer</w:t>
            </w:r>
          </w:p>
          <w:p w14:paraId="27C941FA" w14:textId="77777777" w:rsidR="00E51F88" w:rsidRPr="00B66346" w:rsidRDefault="00E51F88" w:rsidP="003A385F">
            <w:pPr>
              <w:pStyle w:val="Header"/>
              <w:tabs>
                <w:tab w:val="left" w:pos="2232"/>
                <w:tab w:val="left" w:pos="8280"/>
                <w:tab w:val="left" w:pos="9180"/>
              </w:tabs>
              <w:rPr>
                <w:sz w:val="20"/>
                <w:szCs w:val="20"/>
              </w:rPr>
            </w:pPr>
            <w:r w:rsidRPr="00B66346">
              <w:rPr>
                <w:sz w:val="20"/>
                <w:szCs w:val="20"/>
              </w:rPr>
              <w:tab/>
              <w:t>lives in nursing/residential home</w:t>
            </w:r>
          </w:p>
          <w:p w14:paraId="6EF4E1F8" w14:textId="77777777" w:rsidR="00E51F88" w:rsidRPr="00B66346" w:rsidRDefault="00E51F88" w:rsidP="003A385F">
            <w:pPr>
              <w:pStyle w:val="Header"/>
              <w:tabs>
                <w:tab w:val="left" w:pos="2232"/>
                <w:tab w:val="left" w:pos="8280"/>
                <w:tab w:val="left" w:pos="9180"/>
              </w:tabs>
              <w:rPr>
                <w:color w:val="0000FF"/>
                <w:sz w:val="20"/>
                <w:szCs w:val="20"/>
              </w:rPr>
            </w:pPr>
            <w:r w:rsidRPr="00B66346">
              <w:rPr>
                <w:sz w:val="20"/>
                <w:szCs w:val="20"/>
              </w:rPr>
              <w:tab/>
              <w:t>lives in warden controlled (sheltered) housing</w:t>
            </w:r>
          </w:p>
          <w:p w14:paraId="438DD23E" w14:textId="77777777" w:rsidR="00E51F88" w:rsidRPr="00B66346" w:rsidRDefault="00E51F88" w:rsidP="003A385F">
            <w:pPr>
              <w:pStyle w:val="Header"/>
              <w:tabs>
                <w:tab w:val="left" w:pos="2232"/>
                <w:tab w:val="left" w:pos="2835"/>
                <w:tab w:val="left" w:pos="4820"/>
                <w:tab w:val="left" w:pos="6379"/>
                <w:tab w:val="left" w:pos="7371"/>
                <w:tab w:val="left" w:pos="9072"/>
              </w:tabs>
              <w:rPr>
                <w:sz w:val="20"/>
                <w:szCs w:val="20"/>
              </w:rPr>
            </w:pPr>
            <w:r w:rsidRPr="00B66346">
              <w:rPr>
                <w:sz w:val="20"/>
                <w:szCs w:val="20"/>
              </w:rPr>
              <w:tab/>
              <w:t>not known</w:t>
            </w:r>
          </w:p>
        </w:tc>
        <w:tc>
          <w:tcPr>
            <w:tcW w:w="567" w:type="dxa"/>
          </w:tcPr>
          <w:p w14:paraId="32C764C6" w14:textId="77777777" w:rsidR="00E51F88" w:rsidRDefault="00E51F88" w:rsidP="003A385F">
            <w:pPr>
              <w:pStyle w:val="Header"/>
              <w:tabs>
                <w:tab w:val="left" w:pos="2835"/>
                <w:tab w:val="left" w:pos="4820"/>
                <w:tab w:val="left" w:pos="6379"/>
                <w:tab w:val="left" w:pos="7371"/>
                <w:tab w:val="left" w:pos="9072"/>
              </w:tabs>
              <w:rPr>
                <w:sz w:val="22"/>
                <w:szCs w:val="22"/>
              </w:rPr>
            </w:pPr>
          </w:p>
        </w:tc>
        <w:tc>
          <w:tcPr>
            <w:tcW w:w="567" w:type="dxa"/>
          </w:tcPr>
          <w:p w14:paraId="2671C803" w14:textId="77777777" w:rsidR="00E51F88" w:rsidRDefault="00E51F88" w:rsidP="003A385F">
            <w:pPr>
              <w:pStyle w:val="Header"/>
              <w:tabs>
                <w:tab w:val="left" w:pos="2835"/>
                <w:tab w:val="left" w:pos="4820"/>
                <w:tab w:val="left" w:pos="6379"/>
                <w:tab w:val="left" w:pos="7371"/>
                <w:tab w:val="left" w:pos="9072"/>
              </w:tabs>
              <w:rPr>
                <w:sz w:val="22"/>
                <w:szCs w:val="22"/>
              </w:rPr>
            </w:pPr>
          </w:p>
        </w:tc>
        <w:tc>
          <w:tcPr>
            <w:tcW w:w="709" w:type="dxa"/>
          </w:tcPr>
          <w:p w14:paraId="7612EAE3" w14:textId="77777777" w:rsidR="00E51F88" w:rsidRDefault="00E51F88" w:rsidP="003A385F">
            <w:pPr>
              <w:pStyle w:val="Header"/>
              <w:tabs>
                <w:tab w:val="left" w:pos="2835"/>
                <w:tab w:val="left" w:pos="4820"/>
                <w:tab w:val="left" w:pos="6379"/>
                <w:tab w:val="left" w:pos="7371"/>
                <w:tab w:val="left" w:pos="9072"/>
              </w:tabs>
              <w:rPr>
                <w:sz w:val="22"/>
                <w:szCs w:val="22"/>
              </w:rPr>
            </w:pPr>
          </w:p>
        </w:tc>
      </w:tr>
    </w:tbl>
    <w:p w14:paraId="34412465" w14:textId="77777777" w:rsidR="000923BB" w:rsidRPr="00B77A2A" w:rsidRDefault="000923BB" w:rsidP="00E51F88">
      <w:pPr>
        <w:pStyle w:val="Header"/>
        <w:pBdr>
          <w:bottom w:val="single" w:sz="18" w:space="8" w:color="auto"/>
        </w:pBdr>
        <w:rPr>
          <w:b/>
          <w:sz w:val="28"/>
          <w:szCs w:val="28"/>
        </w:rPr>
      </w:pPr>
      <w:r>
        <w:br w:type="page"/>
      </w:r>
      <w:r w:rsidRPr="00B77A2A">
        <w:rPr>
          <w:b/>
          <w:sz w:val="28"/>
          <w:szCs w:val="28"/>
        </w:rPr>
        <w:lastRenderedPageBreak/>
        <w:t>Admission</w:t>
      </w:r>
    </w:p>
    <w:p w14:paraId="421DF914" w14:textId="77777777" w:rsidR="000923BB" w:rsidRDefault="000923BB" w:rsidP="000923BB">
      <w:pPr>
        <w:pStyle w:val="Head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5532"/>
        <w:gridCol w:w="743"/>
        <w:gridCol w:w="674"/>
        <w:gridCol w:w="851"/>
      </w:tblGrid>
      <w:tr w:rsidR="007D7C0C" w14:paraId="087A352F" w14:textId="77777777" w:rsidTr="004817D3">
        <w:trPr>
          <w:cantSplit/>
          <w:trHeight w:val="778"/>
          <w:tblHeader/>
        </w:trPr>
        <w:tc>
          <w:tcPr>
            <w:tcW w:w="530" w:type="dxa"/>
          </w:tcPr>
          <w:p w14:paraId="12E94B8F" w14:textId="77777777" w:rsidR="007D7C0C" w:rsidRPr="00DA5E13" w:rsidRDefault="007D7C0C" w:rsidP="003A385F">
            <w:pPr>
              <w:pStyle w:val="Header"/>
              <w:tabs>
                <w:tab w:val="left" w:pos="2835"/>
                <w:tab w:val="left" w:pos="4820"/>
                <w:tab w:val="left" w:pos="6379"/>
                <w:tab w:val="left" w:pos="7371"/>
                <w:tab w:val="left" w:pos="9072"/>
              </w:tabs>
              <w:rPr>
                <w:b/>
              </w:rPr>
            </w:pPr>
            <w:r w:rsidRPr="00DA5E13">
              <w:rPr>
                <w:b/>
              </w:rPr>
              <w:t>No</w:t>
            </w:r>
          </w:p>
        </w:tc>
        <w:tc>
          <w:tcPr>
            <w:tcW w:w="5532" w:type="dxa"/>
          </w:tcPr>
          <w:p w14:paraId="1B0477E1" w14:textId="77777777" w:rsidR="007D7C0C" w:rsidRPr="00DA5E13" w:rsidRDefault="007D7C0C" w:rsidP="003A385F">
            <w:pPr>
              <w:pStyle w:val="Header"/>
              <w:tabs>
                <w:tab w:val="left" w:pos="2835"/>
                <w:tab w:val="left" w:pos="4820"/>
                <w:tab w:val="left" w:pos="6379"/>
                <w:tab w:val="left" w:pos="7371"/>
                <w:tab w:val="left" w:pos="9072"/>
              </w:tabs>
              <w:rPr>
                <w:b/>
              </w:rPr>
            </w:pPr>
            <w:r w:rsidRPr="00DA5E13">
              <w:rPr>
                <w:b/>
              </w:rPr>
              <w:t>Criterion</w:t>
            </w:r>
          </w:p>
        </w:tc>
        <w:tc>
          <w:tcPr>
            <w:tcW w:w="743" w:type="dxa"/>
            <w:textDirection w:val="tbRl"/>
          </w:tcPr>
          <w:p w14:paraId="1577BECB" w14:textId="77777777" w:rsidR="007D7C0C" w:rsidRPr="00C335C2" w:rsidRDefault="007D7C0C" w:rsidP="00C335C2">
            <w:pPr>
              <w:pStyle w:val="Header"/>
              <w:tabs>
                <w:tab w:val="left" w:pos="2835"/>
                <w:tab w:val="left" w:pos="4820"/>
                <w:tab w:val="left" w:pos="6379"/>
                <w:tab w:val="left" w:pos="7371"/>
                <w:tab w:val="left" w:pos="9072"/>
              </w:tabs>
              <w:ind w:left="113" w:right="113"/>
              <w:rPr>
                <w:b/>
                <w:sz w:val="20"/>
                <w:szCs w:val="20"/>
              </w:rPr>
            </w:pPr>
            <w:r w:rsidRPr="00C335C2">
              <w:rPr>
                <w:b/>
                <w:sz w:val="20"/>
                <w:szCs w:val="20"/>
              </w:rPr>
              <w:t>Essenti</w:t>
            </w:r>
            <w:r w:rsidR="00C335C2" w:rsidRPr="00C335C2">
              <w:rPr>
                <w:b/>
                <w:sz w:val="20"/>
                <w:szCs w:val="20"/>
              </w:rPr>
              <w:t>a</w:t>
            </w:r>
            <w:r w:rsidRPr="00C335C2">
              <w:rPr>
                <w:b/>
                <w:sz w:val="20"/>
                <w:szCs w:val="20"/>
              </w:rPr>
              <w:t>l</w:t>
            </w:r>
          </w:p>
        </w:tc>
        <w:tc>
          <w:tcPr>
            <w:tcW w:w="674" w:type="dxa"/>
            <w:textDirection w:val="tbRl"/>
          </w:tcPr>
          <w:p w14:paraId="2DDF333C" w14:textId="77777777" w:rsidR="007D7C0C" w:rsidRPr="004817D3" w:rsidRDefault="007D7C0C" w:rsidP="003A385F">
            <w:pPr>
              <w:pStyle w:val="Header"/>
              <w:tabs>
                <w:tab w:val="left" w:pos="2835"/>
                <w:tab w:val="left" w:pos="4820"/>
                <w:tab w:val="left" w:pos="6379"/>
                <w:tab w:val="left" w:pos="7371"/>
                <w:tab w:val="left" w:pos="9072"/>
              </w:tabs>
              <w:ind w:left="113" w:right="113"/>
              <w:rPr>
                <w:b/>
                <w:sz w:val="20"/>
                <w:szCs w:val="20"/>
              </w:rPr>
            </w:pPr>
            <w:r w:rsidRPr="004817D3">
              <w:rPr>
                <w:b/>
                <w:sz w:val="20"/>
                <w:szCs w:val="20"/>
              </w:rPr>
              <w:t>Desirable</w:t>
            </w:r>
          </w:p>
        </w:tc>
        <w:tc>
          <w:tcPr>
            <w:tcW w:w="851" w:type="dxa"/>
            <w:textDirection w:val="tbRl"/>
          </w:tcPr>
          <w:p w14:paraId="66BD5531" w14:textId="77777777" w:rsidR="007D7C0C" w:rsidRPr="004817D3" w:rsidRDefault="007D7C0C" w:rsidP="003A385F">
            <w:pPr>
              <w:pStyle w:val="Header"/>
              <w:tabs>
                <w:tab w:val="left" w:pos="2835"/>
                <w:tab w:val="left" w:pos="4820"/>
                <w:tab w:val="left" w:pos="6379"/>
                <w:tab w:val="left" w:pos="7371"/>
                <w:tab w:val="left" w:pos="9072"/>
              </w:tabs>
              <w:ind w:left="113" w:right="113"/>
              <w:rPr>
                <w:b/>
                <w:sz w:val="20"/>
                <w:szCs w:val="20"/>
              </w:rPr>
            </w:pPr>
            <w:r w:rsidRPr="004817D3">
              <w:rPr>
                <w:b/>
                <w:sz w:val="20"/>
                <w:szCs w:val="20"/>
              </w:rPr>
              <w:t>Non-Essential</w:t>
            </w:r>
          </w:p>
        </w:tc>
      </w:tr>
      <w:tr w:rsidR="007D7C0C" w:rsidRPr="00B66346" w14:paraId="1B3DE403" w14:textId="77777777" w:rsidTr="004817D3">
        <w:trPr>
          <w:trHeight w:val="596"/>
        </w:trPr>
        <w:tc>
          <w:tcPr>
            <w:tcW w:w="530" w:type="dxa"/>
            <w:tcBorders>
              <w:bottom w:val="dashed" w:sz="4" w:space="0" w:color="auto"/>
            </w:tcBorders>
          </w:tcPr>
          <w:p w14:paraId="535713A1" w14:textId="77777777" w:rsidR="007D7C0C" w:rsidRPr="00B66346" w:rsidRDefault="007D7C0C" w:rsidP="003A385F">
            <w:pPr>
              <w:pStyle w:val="Header"/>
              <w:rPr>
                <w:sz w:val="20"/>
                <w:szCs w:val="20"/>
              </w:rPr>
            </w:pPr>
            <w:r w:rsidRPr="00B66346">
              <w:rPr>
                <w:sz w:val="20"/>
                <w:szCs w:val="20"/>
              </w:rPr>
              <w:t>14</w:t>
            </w:r>
          </w:p>
        </w:tc>
        <w:tc>
          <w:tcPr>
            <w:tcW w:w="5532" w:type="dxa"/>
            <w:tcBorders>
              <w:bottom w:val="dashed" w:sz="4" w:space="0" w:color="auto"/>
            </w:tcBorders>
          </w:tcPr>
          <w:p w14:paraId="4E98F33C" w14:textId="77777777" w:rsidR="007D7C0C" w:rsidRPr="00B66346" w:rsidRDefault="007D7C0C" w:rsidP="003A385F">
            <w:pPr>
              <w:pStyle w:val="Header"/>
              <w:tabs>
                <w:tab w:val="left" w:pos="2835"/>
                <w:tab w:val="left" w:pos="4820"/>
                <w:tab w:val="left" w:pos="6379"/>
                <w:tab w:val="left" w:pos="7371"/>
                <w:tab w:val="left" w:pos="9072"/>
              </w:tabs>
              <w:rPr>
                <w:sz w:val="20"/>
                <w:szCs w:val="20"/>
              </w:rPr>
            </w:pPr>
            <w:r w:rsidRPr="00B66346">
              <w:rPr>
                <w:sz w:val="20"/>
                <w:szCs w:val="20"/>
              </w:rPr>
              <w:t>At admission, was there a record of</w:t>
            </w:r>
          </w:p>
          <w:p w14:paraId="5CB82647" w14:textId="77777777" w:rsidR="007D7C0C" w:rsidRPr="00B66346" w:rsidRDefault="007D7C0C" w:rsidP="003A385F">
            <w:pPr>
              <w:pStyle w:val="Header"/>
              <w:tabs>
                <w:tab w:val="clear" w:pos="4513"/>
                <w:tab w:val="left" w:pos="2835"/>
                <w:tab w:val="left" w:pos="4500"/>
                <w:tab w:val="left" w:pos="6379"/>
                <w:tab w:val="left" w:pos="7371"/>
                <w:tab w:val="left" w:pos="9072"/>
              </w:tabs>
              <w:ind w:left="720"/>
              <w:rPr>
                <w:sz w:val="20"/>
                <w:szCs w:val="20"/>
              </w:rPr>
            </w:pPr>
            <w:r w:rsidRPr="00B66346">
              <w:rPr>
                <w:sz w:val="20"/>
                <w:szCs w:val="20"/>
              </w:rPr>
              <w:tab/>
              <w:t>level of breathlessness</w:t>
            </w:r>
          </w:p>
          <w:p w14:paraId="1FA157B3" w14:textId="77777777" w:rsidR="007D7C0C" w:rsidRPr="00B66346" w:rsidRDefault="007D7C0C" w:rsidP="003A385F">
            <w:pPr>
              <w:pStyle w:val="Header"/>
              <w:tabs>
                <w:tab w:val="left" w:pos="3672"/>
                <w:tab w:val="left" w:pos="6480"/>
                <w:tab w:val="left" w:pos="8280"/>
                <w:tab w:val="left" w:pos="9180"/>
              </w:tabs>
              <w:ind w:left="720"/>
              <w:rPr>
                <w:sz w:val="20"/>
                <w:szCs w:val="20"/>
              </w:rPr>
            </w:pPr>
            <w:r w:rsidRPr="00B66346">
              <w:rPr>
                <w:sz w:val="20"/>
                <w:szCs w:val="20"/>
              </w:rPr>
              <w:tab/>
              <w:t>increased</w:t>
            </w:r>
          </w:p>
          <w:p w14:paraId="0BAE22B5" w14:textId="77777777" w:rsidR="007D7C0C" w:rsidRPr="00B66346" w:rsidRDefault="007D7C0C" w:rsidP="003A385F">
            <w:pPr>
              <w:pStyle w:val="Header"/>
              <w:tabs>
                <w:tab w:val="left" w:pos="3672"/>
                <w:tab w:val="left" w:pos="6480"/>
                <w:tab w:val="left" w:pos="8280"/>
                <w:tab w:val="left" w:pos="9180"/>
              </w:tabs>
              <w:rPr>
                <w:sz w:val="20"/>
                <w:szCs w:val="20"/>
              </w:rPr>
            </w:pPr>
            <w:r w:rsidRPr="00B66346">
              <w:rPr>
                <w:sz w:val="20"/>
                <w:szCs w:val="20"/>
              </w:rPr>
              <w:tab/>
              <w:t>not increased</w:t>
            </w:r>
          </w:p>
          <w:p w14:paraId="32762178" w14:textId="77777777" w:rsidR="007D7C0C" w:rsidRPr="00B66346" w:rsidRDefault="007D7C0C" w:rsidP="003A385F">
            <w:pPr>
              <w:pStyle w:val="Header"/>
              <w:tabs>
                <w:tab w:val="left" w:pos="3672"/>
                <w:tab w:val="left" w:pos="6480"/>
                <w:tab w:val="left" w:pos="8280"/>
                <w:tab w:val="left" w:pos="9180"/>
              </w:tabs>
              <w:rPr>
                <w:sz w:val="20"/>
                <w:szCs w:val="20"/>
              </w:rPr>
            </w:pPr>
            <w:r w:rsidRPr="00B66346">
              <w:rPr>
                <w:sz w:val="20"/>
                <w:szCs w:val="20"/>
              </w:rPr>
              <w:tab/>
              <w:t>not recorded</w:t>
            </w:r>
          </w:p>
        </w:tc>
        <w:tc>
          <w:tcPr>
            <w:tcW w:w="743" w:type="dxa"/>
            <w:tcBorders>
              <w:bottom w:val="dashed" w:sz="4" w:space="0" w:color="auto"/>
            </w:tcBorders>
          </w:tcPr>
          <w:p w14:paraId="78EEB668" w14:textId="77777777" w:rsidR="007D7C0C" w:rsidRPr="00B66346" w:rsidRDefault="007D7C0C" w:rsidP="003A385F">
            <w:pPr>
              <w:pStyle w:val="Header"/>
              <w:rPr>
                <w:sz w:val="20"/>
                <w:szCs w:val="20"/>
              </w:rPr>
            </w:pPr>
          </w:p>
        </w:tc>
        <w:tc>
          <w:tcPr>
            <w:tcW w:w="674" w:type="dxa"/>
            <w:tcBorders>
              <w:bottom w:val="dashed" w:sz="4" w:space="0" w:color="auto"/>
            </w:tcBorders>
          </w:tcPr>
          <w:p w14:paraId="78D8AE5C" w14:textId="77777777" w:rsidR="007D7C0C" w:rsidRPr="004817D3" w:rsidRDefault="007D7C0C" w:rsidP="003A385F">
            <w:pPr>
              <w:pStyle w:val="Header"/>
              <w:rPr>
                <w:sz w:val="20"/>
                <w:szCs w:val="20"/>
              </w:rPr>
            </w:pPr>
          </w:p>
        </w:tc>
        <w:tc>
          <w:tcPr>
            <w:tcW w:w="851" w:type="dxa"/>
            <w:tcBorders>
              <w:bottom w:val="dashed" w:sz="4" w:space="0" w:color="auto"/>
            </w:tcBorders>
          </w:tcPr>
          <w:p w14:paraId="2BA605EB" w14:textId="77777777" w:rsidR="007D7C0C" w:rsidRPr="00B66346" w:rsidRDefault="007D7C0C" w:rsidP="003A385F">
            <w:pPr>
              <w:pStyle w:val="Header"/>
              <w:rPr>
                <w:sz w:val="20"/>
                <w:szCs w:val="20"/>
              </w:rPr>
            </w:pPr>
          </w:p>
        </w:tc>
      </w:tr>
      <w:tr w:rsidR="007D7C0C" w:rsidRPr="00B66346" w14:paraId="75AEF379" w14:textId="77777777" w:rsidTr="004817D3">
        <w:trPr>
          <w:trHeight w:val="482"/>
        </w:trPr>
        <w:tc>
          <w:tcPr>
            <w:tcW w:w="530" w:type="dxa"/>
            <w:tcBorders>
              <w:top w:val="dashed" w:sz="4" w:space="0" w:color="auto"/>
              <w:bottom w:val="dashed" w:sz="4" w:space="0" w:color="auto"/>
            </w:tcBorders>
          </w:tcPr>
          <w:p w14:paraId="30610030" w14:textId="77777777" w:rsidR="007D7C0C" w:rsidRPr="00B66346" w:rsidRDefault="007D7C0C" w:rsidP="003A385F">
            <w:pPr>
              <w:pStyle w:val="Header"/>
              <w:rPr>
                <w:sz w:val="20"/>
                <w:szCs w:val="20"/>
              </w:rPr>
            </w:pPr>
          </w:p>
        </w:tc>
        <w:tc>
          <w:tcPr>
            <w:tcW w:w="5532" w:type="dxa"/>
            <w:tcBorders>
              <w:top w:val="dashed" w:sz="4" w:space="0" w:color="auto"/>
              <w:bottom w:val="dashed" w:sz="4" w:space="0" w:color="auto"/>
            </w:tcBorders>
          </w:tcPr>
          <w:p w14:paraId="1450F4A7" w14:textId="77777777" w:rsidR="007D7C0C" w:rsidRPr="00B66346" w:rsidRDefault="007D7C0C" w:rsidP="003A385F">
            <w:pPr>
              <w:pStyle w:val="Header"/>
              <w:tabs>
                <w:tab w:val="clear" w:pos="4513"/>
                <w:tab w:val="left" w:pos="2835"/>
                <w:tab w:val="left" w:pos="4500"/>
                <w:tab w:val="left" w:pos="6379"/>
                <w:tab w:val="left" w:pos="7371"/>
                <w:tab w:val="left" w:pos="9072"/>
              </w:tabs>
              <w:ind w:left="720"/>
              <w:rPr>
                <w:sz w:val="20"/>
                <w:szCs w:val="20"/>
              </w:rPr>
            </w:pPr>
            <w:r w:rsidRPr="00B66346">
              <w:rPr>
                <w:sz w:val="20"/>
                <w:szCs w:val="20"/>
              </w:rPr>
              <w:tab/>
              <w:t>level of sputum</w:t>
            </w:r>
          </w:p>
          <w:p w14:paraId="00C65B87" w14:textId="77777777" w:rsidR="007D7C0C" w:rsidRPr="00B66346" w:rsidRDefault="007D7C0C" w:rsidP="003A385F">
            <w:pPr>
              <w:pStyle w:val="Header"/>
              <w:tabs>
                <w:tab w:val="left" w:pos="3672"/>
                <w:tab w:val="left" w:pos="4820"/>
                <w:tab w:val="left" w:pos="6480"/>
                <w:tab w:val="left" w:pos="8280"/>
                <w:tab w:val="left" w:pos="9180"/>
              </w:tabs>
              <w:ind w:left="720"/>
              <w:rPr>
                <w:sz w:val="20"/>
                <w:szCs w:val="20"/>
              </w:rPr>
            </w:pPr>
            <w:r w:rsidRPr="00B66346">
              <w:rPr>
                <w:sz w:val="20"/>
                <w:szCs w:val="20"/>
              </w:rPr>
              <w:tab/>
              <w:t>increased</w:t>
            </w:r>
          </w:p>
          <w:p w14:paraId="54B1E7A4" w14:textId="77777777" w:rsidR="007D7C0C" w:rsidRPr="00B66346" w:rsidRDefault="007D7C0C" w:rsidP="003A385F">
            <w:pPr>
              <w:pStyle w:val="Header"/>
              <w:tabs>
                <w:tab w:val="left" w:pos="3672"/>
                <w:tab w:val="left" w:pos="4820"/>
                <w:tab w:val="left" w:pos="6480"/>
                <w:tab w:val="left" w:pos="8280"/>
                <w:tab w:val="left" w:pos="9180"/>
              </w:tabs>
              <w:rPr>
                <w:sz w:val="20"/>
                <w:szCs w:val="20"/>
              </w:rPr>
            </w:pPr>
            <w:r w:rsidRPr="00B66346">
              <w:rPr>
                <w:sz w:val="20"/>
                <w:szCs w:val="20"/>
              </w:rPr>
              <w:tab/>
              <w:t>not increased</w:t>
            </w:r>
          </w:p>
          <w:p w14:paraId="48104EC1" w14:textId="77777777" w:rsidR="007D7C0C" w:rsidRPr="00B66346" w:rsidRDefault="007D7C0C" w:rsidP="003A385F">
            <w:pPr>
              <w:pStyle w:val="Header"/>
              <w:tabs>
                <w:tab w:val="left" w:pos="3672"/>
              </w:tabs>
              <w:rPr>
                <w:sz w:val="20"/>
                <w:szCs w:val="20"/>
              </w:rPr>
            </w:pPr>
            <w:r w:rsidRPr="00B66346">
              <w:rPr>
                <w:sz w:val="20"/>
                <w:szCs w:val="20"/>
              </w:rPr>
              <w:tab/>
              <w:t>not recorded</w:t>
            </w:r>
          </w:p>
        </w:tc>
        <w:tc>
          <w:tcPr>
            <w:tcW w:w="743" w:type="dxa"/>
            <w:tcBorders>
              <w:top w:val="dashed" w:sz="4" w:space="0" w:color="auto"/>
              <w:bottom w:val="dashed" w:sz="4" w:space="0" w:color="auto"/>
            </w:tcBorders>
          </w:tcPr>
          <w:p w14:paraId="34AA0EB1" w14:textId="77777777" w:rsidR="007D7C0C" w:rsidRPr="00B66346" w:rsidRDefault="007D7C0C" w:rsidP="003A385F">
            <w:pPr>
              <w:pStyle w:val="Header"/>
              <w:rPr>
                <w:sz w:val="20"/>
                <w:szCs w:val="20"/>
              </w:rPr>
            </w:pPr>
          </w:p>
        </w:tc>
        <w:tc>
          <w:tcPr>
            <w:tcW w:w="674" w:type="dxa"/>
            <w:tcBorders>
              <w:top w:val="dashed" w:sz="4" w:space="0" w:color="auto"/>
              <w:bottom w:val="dashed" w:sz="4" w:space="0" w:color="auto"/>
            </w:tcBorders>
          </w:tcPr>
          <w:p w14:paraId="7B026833" w14:textId="77777777" w:rsidR="007D7C0C" w:rsidRPr="00B66346" w:rsidRDefault="007D7C0C" w:rsidP="003A385F">
            <w:pPr>
              <w:pStyle w:val="Header"/>
              <w:rPr>
                <w:sz w:val="20"/>
                <w:szCs w:val="20"/>
              </w:rPr>
            </w:pPr>
          </w:p>
        </w:tc>
        <w:tc>
          <w:tcPr>
            <w:tcW w:w="851" w:type="dxa"/>
            <w:tcBorders>
              <w:top w:val="dashed" w:sz="4" w:space="0" w:color="auto"/>
              <w:bottom w:val="dashed" w:sz="4" w:space="0" w:color="auto"/>
            </w:tcBorders>
          </w:tcPr>
          <w:p w14:paraId="26646CCE" w14:textId="77777777" w:rsidR="007D7C0C" w:rsidRPr="00B66346" w:rsidRDefault="007D7C0C" w:rsidP="003A385F">
            <w:pPr>
              <w:pStyle w:val="Header"/>
              <w:rPr>
                <w:sz w:val="20"/>
                <w:szCs w:val="20"/>
              </w:rPr>
            </w:pPr>
          </w:p>
        </w:tc>
      </w:tr>
      <w:tr w:rsidR="007D7C0C" w:rsidRPr="00B66346" w14:paraId="7930B433" w14:textId="77777777" w:rsidTr="004817D3">
        <w:trPr>
          <w:trHeight w:val="473"/>
        </w:trPr>
        <w:tc>
          <w:tcPr>
            <w:tcW w:w="530" w:type="dxa"/>
            <w:tcBorders>
              <w:top w:val="dashed" w:sz="4" w:space="0" w:color="auto"/>
              <w:bottom w:val="dashed" w:sz="4" w:space="0" w:color="auto"/>
            </w:tcBorders>
          </w:tcPr>
          <w:p w14:paraId="53BF6496" w14:textId="77777777" w:rsidR="007D7C0C" w:rsidRPr="00B66346" w:rsidRDefault="007D7C0C" w:rsidP="003A385F">
            <w:pPr>
              <w:pStyle w:val="Header"/>
              <w:rPr>
                <w:sz w:val="20"/>
                <w:szCs w:val="20"/>
              </w:rPr>
            </w:pPr>
          </w:p>
        </w:tc>
        <w:tc>
          <w:tcPr>
            <w:tcW w:w="5532" w:type="dxa"/>
            <w:tcBorders>
              <w:top w:val="dashed" w:sz="4" w:space="0" w:color="auto"/>
              <w:bottom w:val="dashed" w:sz="4" w:space="0" w:color="auto"/>
            </w:tcBorders>
          </w:tcPr>
          <w:p w14:paraId="7082C39A" w14:textId="77777777" w:rsidR="007D7C0C" w:rsidRPr="00B66346" w:rsidRDefault="007D7C0C" w:rsidP="003A385F">
            <w:pPr>
              <w:pStyle w:val="Header"/>
              <w:tabs>
                <w:tab w:val="clear" w:pos="4513"/>
                <w:tab w:val="left" w:pos="2835"/>
                <w:tab w:val="left" w:pos="4500"/>
                <w:tab w:val="left" w:pos="6379"/>
                <w:tab w:val="left" w:pos="7371"/>
                <w:tab w:val="left" w:pos="9072"/>
              </w:tabs>
              <w:ind w:left="720"/>
              <w:rPr>
                <w:sz w:val="20"/>
                <w:szCs w:val="20"/>
              </w:rPr>
            </w:pPr>
            <w:r w:rsidRPr="00B66346">
              <w:rPr>
                <w:sz w:val="20"/>
                <w:szCs w:val="20"/>
              </w:rPr>
              <w:tab/>
              <w:t>changes in colour of sputum</w:t>
            </w:r>
          </w:p>
          <w:p w14:paraId="6396E779" w14:textId="77777777" w:rsidR="007D7C0C" w:rsidRPr="00B66346" w:rsidRDefault="007D7C0C" w:rsidP="003A385F">
            <w:pPr>
              <w:pStyle w:val="Header"/>
              <w:tabs>
                <w:tab w:val="left" w:pos="2835"/>
                <w:tab w:val="left" w:pos="3636"/>
                <w:tab w:val="left" w:pos="4820"/>
                <w:tab w:val="left" w:pos="6480"/>
                <w:tab w:val="left" w:pos="8280"/>
                <w:tab w:val="left" w:pos="9180"/>
              </w:tabs>
              <w:ind w:left="720"/>
              <w:rPr>
                <w:sz w:val="20"/>
                <w:szCs w:val="20"/>
              </w:rPr>
            </w:pPr>
            <w:r w:rsidRPr="00B66346">
              <w:rPr>
                <w:sz w:val="20"/>
                <w:szCs w:val="20"/>
              </w:rPr>
              <w:tab/>
            </w:r>
            <w:r w:rsidRPr="00B66346">
              <w:rPr>
                <w:sz w:val="20"/>
                <w:szCs w:val="20"/>
              </w:rPr>
              <w:tab/>
              <w:t>changed</w:t>
            </w:r>
          </w:p>
          <w:p w14:paraId="2F3B08F7" w14:textId="77777777" w:rsidR="007D7C0C" w:rsidRPr="00B66346" w:rsidRDefault="007D7C0C" w:rsidP="003A385F">
            <w:pPr>
              <w:pStyle w:val="Header"/>
              <w:tabs>
                <w:tab w:val="left" w:pos="2835"/>
                <w:tab w:val="left" w:pos="3636"/>
                <w:tab w:val="left" w:pos="4820"/>
                <w:tab w:val="left" w:pos="6480"/>
                <w:tab w:val="left" w:pos="8280"/>
                <w:tab w:val="left" w:pos="9180"/>
              </w:tabs>
              <w:rPr>
                <w:sz w:val="20"/>
                <w:szCs w:val="20"/>
              </w:rPr>
            </w:pPr>
            <w:r w:rsidRPr="00B66346">
              <w:rPr>
                <w:sz w:val="20"/>
                <w:szCs w:val="20"/>
              </w:rPr>
              <w:tab/>
            </w:r>
            <w:r w:rsidRPr="00B66346">
              <w:rPr>
                <w:sz w:val="20"/>
                <w:szCs w:val="20"/>
              </w:rPr>
              <w:tab/>
              <w:t>not changed</w:t>
            </w:r>
          </w:p>
          <w:p w14:paraId="06D3B6D0" w14:textId="77777777" w:rsidR="007D7C0C" w:rsidRPr="00B66346" w:rsidRDefault="007D7C0C" w:rsidP="003A385F">
            <w:pPr>
              <w:pStyle w:val="Header"/>
              <w:tabs>
                <w:tab w:val="left" w:pos="3636"/>
              </w:tabs>
              <w:rPr>
                <w:sz w:val="20"/>
                <w:szCs w:val="20"/>
              </w:rPr>
            </w:pPr>
            <w:r w:rsidRPr="00B66346">
              <w:rPr>
                <w:sz w:val="20"/>
                <w:szCs w:val="20"/>
              </w:rPr>
              <w:tab/>
              <w:t>not recorded</w:t>
            </w:r>
          </w:p>
        </w:tc>
        <w:tc>
          <w:tcPr>
            <w:tcW w:w="743" w:type="dxa"/>
            <w:tcBorders>
              <w:top w:val="dashed" w:sz="4" w:space="0" w:color="auto"/>
              <w:bottom w:val="dashed" w:sz="4" w:space="0" w:color="auto"/>
            </w:tcBorders>
          </w:tcPr>
          <w:p w14:paraId="0318FD31" w14:textId="77777777" w:rsidR="007D7C0C" w:rsidRPr="00B66346" w:rsidRDefault="007D7C0C" w:rsidP="003A385F">
            <w:pPr>
              <w:pStyle w:val="Header"/>
              <w:rPr>
                <w:sz w:val="20"/>
                <w:szCs w:val="20"/>
              </w:rPr>
            </w:pPr>
          </w:p>
        </w:tc>
        <w:tc>
          <w:tcPr>
            <w:tcW w:w="674" w:type="dxa"/>
            <w:tcBorders>
              <w:top w:val="dashed" w:sz="4" w:space="0" w:color="auto"/>
              <w:bottom w:val="dashed" w:sz="4" w:space="0" w:color="auto"/>
            </w:tcBorders>
          </w:tcPr>
          <w:p w14:paraId="70B5FA0B" w14:textId="77777777" w:rsidR="007D7C0C" w:rsidRPr="00B66346" w:rsidRDefault="007D7C0C" w:rsidP="003A385F">
            <w:pPr>
              <w:pStyle w:val="Header"/>
              <w:rPr>
                <w:sz w:val="20"/>
                <w:szCs w:val="20"/>
              </w:rPr>
            </w:pPr>
          </w:p>
        </w:tc>
        <w:tc>
          <w:tcPr>
            <w:tcW w:w="851" w:type="dxa"/>
            <w:tcBorders>
              <w:top w:val="dashed" w:sz="4" w:space="0" w:color="auto"/>
              <w:bottom w:val="dashed" w:sz="4" w:space="0" w:color="auto"/>
            </w:tcBorders>
          </w:tcPr>
          <w:p w14:paraId="10466F83" w14:textId="77777777" w:rsidR="007D7C0C" w:rsidRPr="00B66346" w:rsidRDefault="007D7C0C" w:rsidP="003A385F">
            <w:pPr>
              <w:pStyle w:val="Header"/>
              <w:rPr>
                <w:sz w:val="20"/>
                <w:szCs w:val="20"/>
              </w:rPr>
            </w:pPr>
          </w:p>
        </w:tc>
      </w:tr>
      <w:tr w:rsidR="007D7C0C" w:rsidRPr="00B66346" w14:paraId="0421DEDB" w14:textId="77777777" w:rsidTr="004817D3">
        <w:trPr>
          <w:trHeight w:val="604"/>
        </w:trPr>
        <w:tc>
          <w:tcPr>
            <w:tcW w:w="530" w:type="dxa"/>
            <w:tcBorders>
              <w:top w:val="dashed" w:sz="4" w:space="0" w:color="auto"/>
            </w:tcBorders>
          </w:tcPr>
          <w:p w14:paraId="5C7E10E5" w14:textId="77777777" w:rsidR="007D7C0C" w:rsidRPr="00B66346" w:rsidRDefault="007D7C0C" w:rsidP="003A385F">
            <w:pPr>
              <w:pStyle w:val="Header"/>
              <w:rPr>
                <w:sz w:val="20"/>
                <w:szCs w:val="20"/>
              </w:rPr>
            </w:pPr>
          </w:p>
        </w:tc>
        <w:tc>
          <w:tcPr>
            <w:tcW w:w="5532" w:type="dxa"/>
            <w:tcBorders>
              <w:top w:val="dashed" w:sz="4" w:space="0" w:color="auto"/>
            </w:tcBorders>
          </w:tcPr>
          <w:p w14:paraId="6B5B1182" w14:textId="77777777" w:rsidR="007D7C0C" w:rsidRPr="00B66346" w:rsidRDefault="007D7C0C" w:rsidP="003A385F">
            <w:pPr>
              <w:pStyle w:val="Header"/>
              <w:tabs>
                <w:tab w:val="clear" w:pos="4513"/>
                <w:tab w:val="left" w:pos="2835"/>
                <w:tab w:val="left" w:pos="4500"/>
                <w:tab w:val="left" w:pos="6379"/>
                <w:tab w:val="left" w:pos="7371"/>
                <w:tab w:val="left" w:pos="9072"/>
              </w:tabs>
              <w:ind w:left="720"/>
              <w:rPr>
                <w:sz w:val="20"/>
                <w:szCs w:val="20"/>
              </w:rPr>
            </w:pPr>
            <w:r w:rsidRPr="00B66346">
              <w:rPr>
                <w:sz w:val="20"/>
                <w:szCs w:val="20"/>
              </w:rPr>
              <w:tab/>
              <w:t>sputum colour</w:t>
            </w:r>
          </w:p>
          <w:p w14:paraId="1FBB8CC8" w14:textId="77777777" w:rsidR="007D7C0C" w:rsidRPr="00B66346" w:rsidRDefault="007D7C0C" w:rsidP="003A385F">
            <w:pPr>
              <w:pStyle w:val="Header"/>
              <w:tabs>
                <w:tab w:val="left" w:pos="2835"/>
                <w:tab w:val="left" w:pos="3672"/>
                <w:tab w:val="left" w:pos="4820"/>
                <w:tab w:val="left" w:pos="6480"/>
                <w:tab w:val="left" w:pos="8280"/>
                <w:tab w:val="left" w:pos="9180"/>
              </w:tabs>
              <w:ind w:left="720"/>
              <w:rPr>
                <w:sz w:val="20"/>
                <w:szCs w:val="20"/>
              </w:rPr>
            </w:pPr>
            <w:r w:rsidRPr="00B66346">
              <w:rPr>
                <w:sz w:val="20"/>
                <w:szCs w:val="20"/>
              </w:rPr>
              <w:tab/>
            </w:r>
            <w:r w:rsidRPr="00B66346">
              <w:rPr>
                <w:sz w:val="20"/>
                <w:szCs w:val="20"/>
              </w:rPr>
              <w:tab/>
              <w:t>white or grey</w:t>
            </w:r>
          </w:p>
          <w:p w14:paraId="7914A580" w14:textId="77777777" w:rsidR="007D7C0C" w:rsidRPr="00B66346" w:rsidRDefault="007D7C0C" w:rsidP="003A385F">
            <w:pPr>
              <w:pStyle w:val="Header"/>
              <w:tabs>
                <w:tab w:val="left" w:pos="2835"/>
                <w:tab w:val="left" w:pos="3672"/>
                <w:tab w:val="left" w:pos="4820"/>
                <w:tab w:val="left" w:pos="6480"/>
                <w:tab w:val="left" w:pos="8280"/>
                <w:tab w:val="left" w:pos="9180"/>
              </w:tabs>
              <w:rPr>
                <w:sz w:val="20"/>
                <w:szCs w:val="20"/>
              </w:rPr>
            </w:pPr>
            <w:r w:rsidRPr="00B66346">
              <w:rPr>
                <w:sz w:val="20"/>
                <w:szCs w:val="20"/>
              </w:rPr>
              <w:tab/>
            </w:r>
            <w:r w:rsidRPr="00B66346">
              <w:rPr>
                <w:sz w:val="20"/>
                <w:szCs w:val="20"/>
              </w:rPr>
              <w:tab/>
              <w:t>yellow or green</w:t>
            </w:r>
          </w:p>
          <w:p w14:paraId="281E1F54" w14:textId="77777777" w:rsidR="007D7C0C" w:rsidRPr="00B66346" w:rsidRDefault="007D7C0C" w:rsidP="003A385F">
            <w:pPr>
              <w:pStyle w:val="Header"/>
              <w:tabs>
                <w:tab w:val="left" w:pos="2835"/>
                <w:tab w:val="left" w:pos="3672"/>
                <w:tab w:val="left" w:pos="4820"/>
                <w:tab w:val="left" w:pos="6480"/>
                <w:tab w:val="left" w:pos="8280"/>
                <w:tab w:val="left" w:pos="9180"/>
              </w:tabs>
              <w:rPr>
                <w:sz w:val="20"/>
                <w:szCs w:val="20"/>
              </w:rPr>
            </w:pPr>
            <w:r w:rsidRPr="00B66346">
              <w:rPr>
                <w:sz w:val="20"/>
                <w:szCs w:val="20"/>
              </w:rPr>
              <w:tab/>
            </w:r>
            <w:r w:rsidRPr="00B66346">
              <w:rPr>
                <w:sz w:val="20"/>
                <w:szCs w:val="20"/>
              </w:rPr>
              <w:tab/>
              <w:t>no sputum</w:t>
            </w:r>
          </w:p>
          <w:p w14:paraId="26A4AEDC" w14:textId="77777777" w:rsidR="007D7C0C" w:rsidRPr="00B66346" w:rsidRDefault="007D7C0C" w:rsidP="003A385F">
            <w:pPr>
              <w:pStyle w:val="Header"/>
              <w:tabs>
                <w:tab w:val="left" w:pos="3672"/>
              </w:tabs>
              <w:rPr>
                <w:sz w:val="20"/>
                <w:szCs w:val="20"/>
              </w:rPr>
            </w:pPr>
            <w:r w:rsidRPr="00B66346">
              <w:rPr>
                <w:sz w:val="20"/>
                <w:szCs w:val="20"/>
              </w:rPr>
              <w:tab/>
              <w:t>not recorded</w:t>
            </w:r>
          </w:p>
        </w:tc>
        <w:tc>
          <w:tcPr>
            <w:tcW w:w="743" w:type="dxa"/>
            <w:tcBorders>
              <w:top w:val="dashed" w:sz="4" w:space="0" w:color="auto"/>
            </w:tcBorders>
          </w:tcPr>
          <w:p w14:paraId="16D5037E" w14:textId="77777777" w:rsidR="007D7C0C" w:rsidRPr="00B66346" w:rsidRDefault="007D7C0C" w:rsidP="003A385F">
            <w:pPr>
              <w:pStyle w:val="Header"/>
              <w:rPr>
                <w:sz w:val="20"/>
                <w:szCs w:val="20"/>
              </w:rPr>
            </w:pPr>
          </w:p>
        </w:tc>
        <w:tc>
          <w:tcPr>
            <w:tcW w:w="674" w:type="dxa"/>
            <w:tcBorders>
              <w:top w:val="dashed" w:sz="4" w:space="0" w:color="auto"/>
            </w:tcBorders>
          </w:tcPr>
          <w:p w14:paraId="04F3BCE3" w14:textId="77777777" w:rsidR="007D7C0C" w:rsidRPr="00B66346" w:rsidRDefault="007D7C0C" w:rsidP="003A385F">
            <w:pPr>
              <w:pStyle w:val="Header"/>
              <w:rPr>
                <w:sz w:val="20"/>
                <w:szCs w:val="20"/>
              </w:rPr>
            </w:pPr>
          </w:p>
        </w:tc>
        <w:tc>
          <w:tcPr>
            <w:tcW w:w="851" w:type="dxa"/>
            <w:tcBorders>
              <w:top w:val="dashed" w:sz="4" w:space="0" w:color="auto"/>
            </w:tcBorders>
          </w:tcPr>
          <w:p w14:paraId="15A20837" w14:textId="77777777" w:rsidR="007D7C0C" w:rsidRPr="00B66346" w:rsidRDefault="007D7C0C" w:rsidP="003A385F">
            <w:pPr>
              <w:pStyle w:val="Header"/>
              <w:rPr>
                <w:sz w:val="20"/>
                <w:szCs w:val="20"/>
              </w:rPr>
            </w:pPr>
          </w:p>
        </w:tc>
      </w:tr>
      <w:tr w:rsidR="007D7C0C" w:rsidRPr="00B66346" w14:paraId="1DB7E977" w14:textId="77777777" w:rsidTr="004817D3">
        <w:trPr>
          <w:trHeight w:val="587"/>
        </w:trPr>
        <w:tc>
          <w:tcPr>
            <w:tcW w:w="530" w:type="dxa"/>
          </w:tcPr>
          <w:p w14:paraId="226F25DE" w14:textId="77777777" w:rsidR="007D7C0C" w:rsidRPr="00B66346" w:rsidRDefault="007D7C0C" w:rsidP="003A385F">
            <w:pPr>
              <w:pStyle w:val="Header"/>
              <w:rPr>
                <w:sz w:val="20"/>
                <w:szCs w:val="20"/>
              </w:rPr>
            </w:pPr>
            <w:r w:rsidRPr="00B66346">
              <w:rPr>
                <w:sz w:val="20"/>
                <w:szCs w:val="20"/>
              </w:rPr>
              <w:t>15</w:t>
            </w:r>
          </w:p>
        </w:tc>
        <w:tc>
          <w:tcPr>
            <w:tcW w:w="5532" w:type="dxa"/>
          </w:tcPr>
          <w:p w14:paraId="1D0C72DE" w14:textId="77777777" w:rsidR="007D7C0C" w:rsidRPr="00B66346" w:rsidRDefault="007D7C0C" w:rsidP="003A385F">
            <w:pPr>
              <w:pStyle w:val="Header"/>
              <w:pBdr>
                <w:top w:val="dotted" w:sz="4" w:space="10" w:color="auto"/>
              </w:pBdr>
              <w:tabs>
                <w:tab w:val="left" w:pos="2835"/>
                <w:tab w:val="left" w:pos="4820"/>
                <w:tab w:val="left" w:pos="6379"/>
                <w:tab w:val="left" w:pos="7371"/>
                <w:tab w:val="left" w:pos="9072"/>
              </w:tabs>
              <w:rPr>
                <w:sz w:val="20"/>
                <w:szCs w:val="20"/>
              </w:rPr>
            </w:pPr>
            <w:r w:rsidRPr="00B66346">
              <w:rPr>
                <w:sz w:val="20"/>
                <w:szCs w:val="20"/>
              </w:rPr>
              <w:t>Was the patient’s dyspnoea rating (e.g. on the MRC dyspnoea scale) recorded</w:t>
            </w:r>
          </w:p>
          <w:p w14:paraId="019F717D" w14:textId="77777777" w:rsidR="007D7C0C" w:rsidRPr="00B66346" w:rsidRDefault="007D7C0C" w:rsidP="003A385F">
            <w:pPr>
              <w:pStyle w:val="Header"/>
              <w:pBdr>
                <w:top w:val="dotted" w:sz="4" w:space="10" w:color="auto"/>
              </w:pBdr>
              <w:tabs>
                <w:tab w:val="left" w:pos="2952"/>
                <w:tab w:val="left" w:pos="4820"/>
                <w:tab w:val="left" w:pos="6480"/>
                <w:tab w:val="left" w:pos="8280"/>
                <w:tab w:val="left" w:pos="9180"/>
              </w:tabs>
              <w:rPr>
                <w:sz w:val="20"/>
                <w:szCs w:val="20"/>
              </w:rPr>
            </w:pPr>
            <w:r w:rsidRPr="00B66346">
              <w:rPr>
                <w:sz w:val="20"/>
                <w:szCs w:val="20"/>
              </w:rPr>
              <w:tab/>
              <w:t>yes</w:t>
            </w:r>
          </w:p>
          <w:p w14:paraId="5CD17CC9" w14:textId="77777777" w:rsidR="007D7C0C" w:rsidRPr="00B66346" w:rsidRDefault="007D7C0C" w:rsidP="003A385F">
            <w:pPr>
              <w:pStyle w:val="Header"/>
              <w:tabs>
                <w:tab w:val="left" w:pos="2952"/>
              </w:tabs>
              <w:rPr>
                <w:sz w:val="20"/>
                <w:szCs w:val="20"/>
              </w:rPr>
            </w:pPr>
            <w:r w:rsidRPr="00B66346">
              <w:rPr>
                <w:sz w:val="20"/>
                <w:szCs w:val="20"/>
              </w:rPr>
              <w:tab/>
              <w:t>no</w:t>
            </w:r>
          </w:p>
        </w:tc>
        <w:tc>
          <w:tcPr>
            <w:tcW w:w="743" w:type="dxa"/>
          </w:tcPr>
          <w:p w14:paraId="6BAD0395" w14:textId="77777777" w:rsidR="007D7C0C" w:rsidRPr="00B66346" w:rsidRDefault="007D7C0C" w:rsidP="003A385F">
            <w:pPr>
              <w:pStyle w:val="Header"/>
              <w:rPr>
                <w:sz w:val="20"/>
                <w:szCs w:val="20"/>
              </w:rPr>
            </w:pPr>
          </w:p>
        </w:tc>
        <w:tc>
          <w:tcPr>
            <w:tcW w:w="674" w:type="dxa"/>
          </w:tcPr>
          <w:p w14:paraId="676F6B41" w14:textId="77777777" w:rsidR="007D7C0C" w:rsidRPr="00B66346" w:rsidRDefault="007D7C0C" w:rsidP="003A385F">
            <w:pPr>
              <w:pStyle w:val="Header"/>
              <w:rPr>
                <w:sz w:val="20"/>
                <w:szCs w:val="20"/>
              </w:rPr>
            </w:pPr>
          </w:p>
        </w:tc>
        <w:tc>
          <w:tcPr>
            <w:tcW w:w="851" w:type="dxa"/>
          </w:tcPr>
          <w:p w14:paraId="38728DD5" w14:textId="77777777" w:rsidR="007D7C0C" w:rsidRPr="00B66346" w:rsidRDefault="007D7C0C" w:rsidP="003A385F">
            <w:pPr>
              <w:pStyle w:val="Header"/>
              <w:rPr>
                <w:sz w:val="20"/>
                <w:szCs w:val="20"/>
              </w:rPr>
            </w:pPr>
          </w:p>
        </w:tc>
      </w:tr>
      <w:tr w:rsidR="007D7C0C" w:rsidRPr="00B66346" w14:paraId="491AE208" w14:textId="77777777" w:rsidTr="004817D3">
        <w:trPr>
          <w:trHeight w:val="946"/>
        </w:trPr>
        <w:tc>
          <w:tcPr>
            <w:tcW w:w="530" w:type="dxa"/>
          </w:tcPr>
          <w:p w14:paraId="33843FD7" w14:textId="77777777" w:rsidR="007D7C0C" w:rsidRPr="00B66346" w:rsidRDefault="007D7C0C" w:rsidP="003A385F">
            <w:pPr>
              <w:pStyle w:val="Header"/>
              <w:rPr>
                <w:sz w:val="20"/>
                <w:szCs w:val="20"/>
              </w:rPr>
            </w:pPr>
            <w:r w:rsidRPr="00B66346">
              <w:rPr>
                <w:sz w:val="20"/>
                <w:szCs w:val="20"/>
              </w:rPr>
              <w:t>16</w:t>
            </w:r>
          </w:p>
        </w:tc>
        <w:tc>
          <w:tcPr>
            <w:tcW w:w="5532" w:type="dxa"/>
          </w:tcPr>
          <w:p w14:paraId="7391EB20" w14:textId="77777777" w:rsidR="007D7C0C" w:rsidRPr="00B66346" w:rsidRDefault="007D7C0C" w:rsidP="003A385F">
            <w:pPr>
              <w:pStyle w:val="Header"/>
              <w:pBdr>
                <w:top w:val="dotted" w:sz="4" w:space="10" w:color="auto"/>
              </w:pBdr>
              <w:tabs>
                <w:tab w:val="left" w:pos="2835"/>
                <w:tab w:val="left" w:pos="4820"/>
                <w:tab w:val="left" w:pos="6379"/>
                <w:tab w:val="left" w:pos="7371"/>
                <w:tab w:val="left" w:pos="9072"/>
              </w:tabs>
              <w:rPr>
                <w:sz w:val="20"/>
                <w:szCs w:val="20"/>
              </w:rPr>
            </w:pPr>
            <w:r w:rsidRPr="00B66346">
              <w:rPr>
                <w:sz w:val="20"/>
                <w:szCs w:val="20"/>
              </w:rPr>
              <w:t>What is the patient’s performance status, prior to admission?</w:t>
            </w:r>
          </w:p>
          <w:p w14:paraId="3FF62A87" w14:textId="77777777" w:rsidR="007D7C0C" w:rsidRPr="00B66346" w:rsidRDefault="007D7C0C" w:rsidP="003A385F">
            <w:pPr>
              <w:pStyle w:val="Header"/>
              <w:pBdr>
                <w:top w:val="dotted" w:sz="4" w:space="10" w:color="auto"/>
              </w:pBdr>
              <w:tabs>
                <w:tab w:val="left" w:pos="2961"/>
                <w:tab w:val="left" w:pos="5220"/>
                <w:tab w:val="left" w:pos="8280"/>
                <w:tab w:val="left" w:pos="9180"/>
              </w:tabs>
              <w:rPr>
                <w:sz w:val="20"/>
                <w:szCs w:val="20"/>
              </w:rPr>
            </w:pPr>
            <w:r w:rsidRPr="00B66346">
              <w:rPr>
                <w:sz w:val="20"/>
                <w:szCs w:val="20"/>
              </w:rPr>
              <w:tab/>
              <w:t>normal activity</w:t>
            </w:r>
          </w:p>
          <w:p w14:paraId="61CA5947" w14:textId="77777777" w:rsidR="007D7C0C" w:rsidRPr="00B66346" w:rsidRDefault="007D7C0C" w:rsidP="003A385F">
            <w:pPr>
              <w:pStyle w:val="Header"/>
              <w:tabs>
                <w:tab w:val="clear" w:pos="4513"/>
                <w:tab w:val="left" w:pos="2961"/>
                <w:tab w:val="left" w:pos="3828"/>
                <w:tab w:val="left" w:pos="4536"/>
                <w:tab w:val="left" w:pos="5220"/>
                <w:tab w:val="left" w:pos="5940"/>
                <w:tab w:val="left" w:pos="8280"/>
                <w:tab w:val="left" w:pos="9180"/>
              </w:tabs>
              <w:rPr>
                <w:sz w:val="20"/>
                <w:szCs w:val="20"/>
              </w:rPr>
            </w:pPr>
            <w:r w:rsidRPr="00B66346">
              <w:rPr>
                <w:sz w:val="20"/>
                <w:szCs w:val="20"/>
              </w:rPr>
              <w:tab/>
              <w:t>strenuous activity limited</w:t>
            </w:r>
          </w:p>
          <w:p w14:paraId="2ACFE9A3" w14:textId="77777777" w:rsidR="007D7C0C" w:rsidRPr="00B66346" w:rsidRDefault="007D7C0C" w:rsidP="003A385F">
            <w:pPr>
              <w:pStyle w:val="Header"/>
              <w:tabs>
                <w:tab w:val="clear" w:pos="4513"/>
                <w:tab w:val="left" w:pos="2961"/>
                <w:tab w:val="left" w:pos="3828"/>
                <w:tab w:val="left" w:pos="4536"/>
                <w:tab w:val="left" w:pos="5220"/>
                <w:tab w:val="left" w:pos="5940"/>
                <w:tab w:val="left" w:pos="6379"/>
                <w:tab w:val="left" w:pos="8280"/>
                <w:tab w:val="left" w:pos="9180"/>
              </w:tabs>
              <w:rPr>
                <w:sz w:val="20"/>
                <w:szCs w:val="20"/>
              </w:rPr>
            </w:pPr>
            <w:r w:rsidRPr="00B66346">
              <w:rPr>
                <w:sz w:val="20"/>
                <w:szCs w:val="20"/>
              </w:rPr>
              <w:tab/>
              <w:t>limited activity but self care</w:t>
            </w:r>
          </w:p>
          <w:p w14:paraId="0542DAD3" w14:textId="77777777" w:rsidR="007D7C0C" w:rsidRPr="00B66346" w:rsidRDefault="007D7C0C" w:rsidP="003A385F">
            <w:pPr>
              <w:pStyle w:val="Header"/>
              <w:tabs>
                <w:tab w:val="clear" w:pos="4513"/>
                <w:tab w:val="left" w:pos="2961"/>
                <w:tab w:val="left" w:pos="3828"/>
                <w:tab w:val="left" w:pos="4536"/>
                <w:tab w:val="left" w:pos="5220"/>
                <w:tab w:val="left" w:pos="5940"/>
                <w:tab w:val="left" w:pos="6379"/>
                <w:tab w:val="left" w:pos="8280"/>
                <w:tab w:val="left" w:pos="9180"/>
              </w:tabs>
              <w:rPr>
                <w:sz w:val="20"/>
                <w:szCs w:val="20"/>
              </w:rPr>
            </w:pPr>
            <w:r w:rsidRPr="00B66346">
              <w:rPr>
                <w:sz w:val="20"/>
                <w:szCs w:val="20"/>
              </w:rPr>
              <w:tab/>
              <w:t>limited self care</w:t>
            </w:r>
            <w:r w:rsidRPr="00B66346">
              <w:rPr>
                <w:sz w:val="20"/>
                <w:szCs w:val="20"/>
              </w:rPr>
              <w:tab/>
            </w:r>
          </w:p>
          <w:p w14:paraId="70D18480" w14:textId="77777777" w:rsidR="007D7C0C" w:rsidRPr="00B66346" w:rsidRDefault="007D7C0C" w:rsidP="003A385F">
            <w:pPr>
              <w:pStyle w:val="Header"/>
              <w:tabs>
                <w:tab w:val="clear" w:pos="4513"/>
                <w:tab w:val="left" w:pos="2961"/>
                <w:tab w:val="left" w:pos="3828"/>
                <w:tab w:val="left" w:pos="4536"/>
                <w:tab w:val="left" w:pos="5220"/>
                <w:tab w:val="left" w:pos="5940"/>
                <w:tab w:val="left" w:pos="6379"/>
                <w:tab w:val="left" w:pos="8280"/>
                <w:tab w:val="left" w:pos="9180"/>
              </w:tabs>
              <w:rPr>
                <w:sz w:val="20"/>
                <w:szCs w:val="20"/>
              </w:rPr>
            </w:pPr>
            <w:r w:rsidRPr="00B66346">
              <w:rPr>
                <w:sz w:val="20"/>
                <w:szCs w:val="20"/>
              </w:rPr>
              <w:tab/>
              <w:t>bed/chair bound, no self care</w:t>
            </w:r>
          </w:p>
          <w:p w14:paraId="30D51704" w14:textId="77777777" w:rsidR="007D7C0C" w:rsidRPr="00B66346" w:rsidRDefault="007D7C0C" w:rsidP="003A385F">
            <w:pPr>
              <w:pStyle w:val="Header"/>
              <w:tabs>
                <w:tab w:val="left" w:pos="2961"/>
              </w:tabs>
              <w:rPr>
                <w:sz w:val="20"/>
                <w:szCs w:val="20"/>
              </w:rPr>
            </w:pPr>
            <w:r w:rsidRPr="00B66346">
              <w:rPr>
                <w:sz w:val="20"/>
                <w:szCs w:val="20"/>
              </w:rPr>
              <w:tab/>
              <w:t>not known</w:t>
            </w:r>
          </w:p>
        </w:tc>
        <w:tc>
          <w:tcPr>
            <w:tcW w:w="743" w:type="dxa"/>
          </w:tcPr>
          <w:p w14:paraId="79E0B94F" w14:textId="77777777" w:rsidR="007D7C0C" w:rsidRPr="00B66346" w:rsidRDefault="007D7C0C" w:rsidP="003A385F">
            <w:pPr>
              <w:pStyle w:val="Header"/>
              <w:rPr>
                <w:sz w:val="20"/>
                <w:szCs w:val="20"/>
              </w:rPr>
            </w:pPr>
          </w:p>
        </w:tc>
        <w:tc>
          <w:tcPr>
            <w:tcW w:w="674" w:type="dxa"/>
          </w:tcPr>
          <w:p w14:paraId="3D320921" w14:textId="77777777" w:rsidR="007D7C0C" w:rsidRPr="00B66346" w:rsidRDefault="007D7C0C" w:rsidP="003A385F">
            <w:pPr>
              <w:pStyle w:val="Header"/>
              <w:rPr>
                <w:sz w:val="20"/>
                <w:szCs w:val="20"/>
              </w:rPr>
            </w:pPr>
          </w:p>
        </w:tc>
        <w:tc>
          <w:tcPr>
            <w:tcW w:w="851" w:type="dxa"/>
          </w:tcPr>
          <w:p w14:paraId="43951386" w14:textId="77777777" w:rsidR="007D7C0C" w:rsidRPr="00B66346" w:rsidRDefault="007D7C0C" w:rsidP="003A385F">
            <w:pPr>
              <w:pStyle w:val="Header"/>
              <w:rPr>
                <w:sz w:val="20"/>
                <w:szCs w:val="20"/>
              </w:rPr>
            </w:pPr>
          </w:p>
        </w:tc>
      </w:tr>
      <w:tr w:rsidR="007D7C0C" w:rsidRPr="00B66346" w14:paraId="46EA2D4E" w14:textId="77777777" w:rsidTr="004817D3">
        <w:trPr>
          <w:trHeight w:val="464"/>
        </w:trPr>
        <w:tc>
          <w:tcPr>
            <w:tcW w:w="530" w:type="dxa"/>
            <w:tcBorders>
              <w:bottom w:val="dashed" w:sz="4" w:space="0" w:color="auto"/>
            </w:tcBorders>
          </w:tcPr>
          <w:p w14:paraId="275E2B65" w14:textId="77777777" w:rsidR="007D7C0C" w:rsidRPr="00B66346" w:rsidRDefault="007D7C0C" w:rsidP="003A385F">
            <w:pPr>
              <w:pStyle w:val="Header"/>
              <w:rPr>
                <w:sz w:val="20"/>
                <w:szCs w:val="20"/>
              </w:rPr>
            </w:pPr>
            <w:r w:rsidRPr="00B66346">
              <w:rPr>
                <w:sz w:val="20"/>
                <w:szCs w:val="20"/>
              </w:rPr>
              <w:t>17</w:t>
            </w:r>
          </w:p>
        </w:tc>
        <w:tc>
          <w:tcPr>
            <w:tcW w:w="5532" w:type="dxa"/>
            <w:tcBorders>
              <w:bottom w:val="dashed" w:sz="4" w:space="0" w:color="auto"/>
            </w:tcBorders>
          </w:tcPr>
          <w:p w14:paraId="62B3770A" w14:textId="77777777" w:rsidR="007D7C0C" w:rsidRPr="00B66346" w:rsidRDefault="007D7C0C" w:rsidP="003A385F">
            <w:pPr>
              <w:pStyle w:val="Header"/>
              <w:pBdr>
                <w:top w:val="dotted" w:sz="4" w:space="10" w:color="auto"/>
              </w:pBdr>
              <w:tabs>
                <w:tab w:val="left" w:pos="7200"/>
                <w:tab w:val="left" w:pos="8280"/>
                <w:tab w:val="left" w:pos="9072"/>
              </w:tabs>
              <w:rPr>
                <w:sz w:val="20"/>
                <w:szCs w:val="20"/>
              </w:rPr>
            </w:pPr>
            <w:r w:rsidRPr="00B66346">
              <w:rPr>
                <w:sz w:val="20"/>
                <w:szCs w:val="20"/>
              </w:rPr>
              <w:t>Was a chest x-ray taken within 24 hours?</w:t>
            </w:r>
          </w:p>
          <w:p w14:paraId="19EAA110" w14:textId="77777777" w:rsidR="007D7C0C" w:rsidRPr="00B66346" w:rsidRDefault="007D7C0C" w:rsidP="003A385F">
            <w:pPr>
              <w:pStyle w:val="Header"/>
              <w:pBdr>
                <w:top w:val="dotted" w:sz="4" w:space="10" w:color="auto"/>
              </w:pBdr>
              <w:tabs>
                <w:tab w:val="left" w:pos="2978"/>
                <w:tab w:val="left" w:pos="7200"/>
                <w:tab w:val="left" w:pos="8280"/>
                <w:tab w:val="left" w:pos="9072"/>
              </w:tabs>
              <w:rPr>
                <w:sz w:val="20"/>
                <w:szCs w:val="20"/>
              </w:rPr>
            </w:pPr>
            <w:r w:rsidRPr="00B66346">
              <w:rPr>
                <w:sz w:val="20"/>
                <w:szCs w:val="20"/>
              </w:rPr>
              <w:tab/>
              <w:t>yes</w:t>
            </w:r>
          </w:p>
          <w:p w14:paraId="5931A1E7" w14:textId="77777777" w:rsidR="007D7C0C" w:rsidRPr="00B66346" w:rsidRDefault="007D7C0C" w:rsidP="003A385F">
            <w:pPr>
              <w:pStyle w:val="Header"/>
              <w:tabs>
                <w:tab w:val="left" w:pos="2978"/>
              </w:tabs>
              <w:rPr>
                <w:sz w:val="20"/>
                <w:szCs w:val="20"/>
              </w:rPr>
            </w:pPr>
            <w:r w:rsidRPr="00B66346">
              <w:rPr>
                <w:sz w:val="20"/>
                <w:szCs w:val="20"/>
              </w:rPr>
              <w:tab/>
              <w:t>no</w:t>
            </w:r>
          </w:p>
        </w:tc>
        <w:tc>
          <w:tcPr>
            <w:tcW w:w="743" w:type="dxa"/>
            <w:tcBorders>
              <w:bottom w:val="dashed" w:sz="4" w:space="0" w:color="auto"/>
            </w:tcBorders>
          </w:tcPr>
          <w:p w14:paraId="601CF282" w14:textId="77777777" w:rsidR="007D7C0C" w:rsidRPr="00B66346" w:rsidRDefault="007D7C0C" w:rsidP="003A385F">
            <w:pPr>
              <w:pStyle w:val="Header"/>
              <w:rPr>
                <w:sz w:val="20"/>
                <w:szCs w:val="20"/>
              </w:rPr>
            </w:pPr>
          </w:p>
        </w:tc>
        <w:tc>
          <w:tcPr>
            <w:tcW w:w="674" w:type="dxa"/>
            <w:tcBorders>
              <w:bottom w:val="dashed" w:sz="4" w:space="0" w:color="auto"/>
            </w:tcBorders>
          </w:tcPr>
          <w:p w14:paraId="51904C07" w14:textId="77777777" w:rsidR="007D7C0C" w:rsidRPr="00B66346" w:rsidRDefault="007D7C0C" w:rsidP="003A385F">
            <w:pPr>
              <w:pStyle w:val="Header"/>
              <w:rPr>
                <w:sz w:val="20"/>
                <w:szCs w:val="20"/>
              </w:rPr>
            </w:pPr>
          </w:p>
        </w:tc>
        <w:tc>
          <w:tcPr>
            <w:tcW w:w="851" w:type="dxa"/>
            <w:tcBorders>
              <w:bottom w:val="dashed" w:sz="4" w:space="0" w:color="auto"/>
            </w:tcBorders>
          </w:tcPr>
          <w:p w14:paraId="27C18A7A" w14:textId="77777777" w:rsidR="007D7C0C" w:rsidRPr="00B66346" w:rsidRDefault="007D7C0C" w:rsidP="003A385F">
            <w:pPr>
              <w:pStyle w:val="Header"/>
              <w:rPr>
                <w:sz w:val="20"/>
                <w:szCs w:val="20"/>
              </w:rPr>
            </w:pPr>
          </w:p>
        </w:tc>
      </w:tr>
      <w:tr w:rsidR="007D7C0C" w:rsidRPr="00B66346" w14:paraId="537571DF" w14:textId="77777777" w:rsidTr="004817D3">
        <w:trPr>
          <w:trHeight w:val="360"/>
        </w:trPr>
        <w:tc>
          <w:tcPr>
            <w:tcW w:w="530" w:type="dxa"/>
            <w:tcBorders>
              <w:top w:val="dashed" w:sz="4" w:space="0" w:color="auto"/>
            </w:tcBorders>
          </w:tcPr>
          <w:p w14:paraId="20D8F203" w14:textId="77777777" w:rsidR="007D7C0C" w:rsidRPr="00B66346" w:rsidRDefault="007D7C0C" w:rsidP="003A385F">
            <w:pPr>
              <w:pStyle w:val="Header"/>
              <w:rPr>
                <w:sz w:val="20"/>
                <w:szCs w:val="20"/>
              </w:rPr>
            </w:pPr>
          </w:p>
        </w:tc>
        <w:tc>
          <w:tcPr>
            <w:tcW w:w="5532" w:type="dxa"/>
            <w:tcBorders>
              <w:top w:val="dashed" w:sz="4" w:space="0" w:color="auto"/>
            </w:tcBorders>
          </w:tcPr>
          <w:p w14:paraId="3DC92D6A" w14:textId="77777777" w:rsidR="007D7C0C" w:rsidRPr="00B66346" w:rsidRDefault="007D7C0C" w:rsidP="003A385F">
            <w:pPr>
              <w:pStyle w:val="Header"/>
              <w:tabs>
                <w:tab w:val="left" w:pos="7200"/>
                <w:tab w:val="left" w:pos="8280"/>
                <w:tab w:val="left" w:pos="9072"/>
              </w:tabs>
              <w:rPr>
                <w:sz w:val="20"/>
                <w:szCs w:val="20"/>
              </w:rPr>
            </w:pPr>
            <w:r w:rsidRPr="00B66346">
              <w:rPr>
                <w:sz w:val="20"/>
                <w:szCs w:val="20"/>
              </w:rPr>
              <w:t>If yes, is the x-ray report in the notes?</w:t>
            </w:r>
          </w:p>
          <w:p w14:paraId="69E00A8E" w14:textId="77777777" w:rsidR="007D7C0C" w:rsidRPr="00B66346" w:rsidRDefault="007D7C0C" w:rsidP="003A385F">
            <w:pPr>
              <w:pStyle w:val="Header"/>
              <w:tabs>
                <w:tab w:val="left" w:pos="2952"/>
                <w:tab w:val="left" w:pos="7200"/>
                <w:tab w:val="left" w:pos="8280"/>
                <w:tab w:val="left" w:pos="9072"/>
              </w:tabs>
              <w:rPr>
                <w:sz w:val="20"/>
                <w:szCs w:val="20"/>
              </w:rPr>
            </w:pPr>
            <w:r w:rsidRPr="00B66346">
              <w:rPr>
                <w:sz w:val="20"/>
                <w:szCs w:val="20"/>
              </w:rPr>
              <w:tab/>
              <w:t>yes</w:t>
            </w:r>
          </w:p>
          <w:p w14:paraId="5301DBA0" w14:textId="77777777" w:rsidR="007D7C0C" w:rsidRPr="00B66346" w:rsidRDefault="007D7C0C" w:rsidP="003A385F">
            <w:pPr>
              <w:pStyle w:val="Header"/>
              <w:tabs>
                <w:tab w:val="left" w:pos="2952"/>
              </w:tabs>
              <w:rPr>
                <w:sz w:val="20"/>
                <w:szCs w:val="20"/>
              </w:rPr>
            </w:pPr>
            <w:r w:rsidRPr="00B66346">
              <w:rPr>
                <w:sz w:val="20"/>
                <w:szCs w:val="20"/>
              </w:rPr>
              <w:tab/>
              <w:t>no</w:t>
            </w:r>
          </w:p>
        </w:tc>
        <w:tc>
          <w:tcPr>
            <w:tcW w:w="743" w:type="dxa"/>
            <w:tcBorders>
              <w:top w:val="dashed" w:sz="4" w:space="0" w:color="auto"/>
            </w:tcBorders>
          </w:tcPr>
          <w:p w14:paraId="09537480" w14:textId="77777777" w:rsidR="007D7C0C" w:rsidRPr="00B66346" w:rsidRDefault="007D7C0C" w:rsidP="003A385F">
            <w:pPr>
              <w:pStyle w:val="Header"/>
              <w:rPr>
                <w:sz w:val="20"/>
                <w:szCs w:val="20"/>
              </w:rPr>
            </w:pPr>
          </w:p>
        </w:tc>
        <w:tc>
          <w:tcPr>
            <w:tcW w:w="674" w:type="dxa"/>
            <w:tcBorders>
              <w:top w:val="dashed" w:sz="4" w:space="0" w:color="auto"/>
            </w:tcBorders>
          </w:tcPr>
          <w:p w14:paraId="61A91123" w14:textId="77777777" w:rsidR="007D7C0C" w:rsidRPr="00B66346" w:rsidRDefault="007D7C0C" w:rsidP="003A385F">
            <w:pPr>
              <w:pStyle w:val="Header"/>
              <w:rPr>
                <w:sz w:val="20"/>
                <w:szCs w:val="20"/>
              </w:rPr>
            </w:pPr>
          </w:p>
        </w:tc>
        <w:tc>
          <w:tcPr>
            <w:tcW w:w="851" w:type="dxa"/>
            <w:tcBorders>
              <w:top w:val="dashed" w:sz="4" w:space="0" w:color="auto"/>
            </w:tcBorders>
          </w:tcPr>
          <w:p w14:paraId="2E036639" w14:textId="77777777" w:rsidR="007D7C0C" w:rsidRPr="00B66346" w:rsidRDefault="007D7C0C" w:rsidP="003A385F">
            <w:pPr>
              <w:pStyle w:val="Header"/>
              <w:rPr>
                <w:sz w:val="20"/>
                <w:szCs w:val="20"/>
              </w:rPr>
            </w:pPr>
          </w:p>
        </w:tc>
      </w:tr>
      <w:tr w:rsidR="007D7C0C" w:rsidRPr="00B66346" w14:paraId="711DC188" w14:textId="77777777" w:rsidTr="004817D3">
        <w:trPr>
          <w:trHeight w:val="710"/>
        </w:trPr>
        <w:tc>
          <w:tcPr>
            <w:tcW w:w="530" w:type="dxa"/>
            <w:tcBorders>
              <w:bottom w:val="dashed" w:sz="4" w:space="0" w:color="auto"/>
            </w:tcBorders>
          </w:tcPr>
          <w:p w14:paraId="5B9E57B2" w14:textId="77777777" w:rsidR="007D7C0C" w:rsidRPr="00B66346" w:rsidRDefault="007D7C0C" w:rsidP="003A385F">
            <w:pPr>
              <w:pStyle w:val="Header"/>
              <w:rPr>
                <w:sz w:val="20"/>
                <w:szCs w:val="20"/>
              </w:rPr>
            </w:pPr>
            <w:r w:rsidRPr="00B66346">
              <w:rPr>
                <w:sz w:val="20"/>
                <w:szCs w:val="20"/>
              </w:rPr>
              <w:t>18</w:t>
            </w:r>
          </w:p>
        </w:tc>
        <w:tc>
          <w:tcPr>
            <w:tcW w:w="5532" w:type="dxa"/>
            <w:tcBorders>
              <w:bottom w:val="dashed" w:sz="4" w:space="0" w:color="auto"/>
            </w:tcBorders>
          </w:tcPr>
          <w:p w14:paraId="64971FC7" w14:textId="77777777" w:rsidR="007D7C0C" w:rsidRPr="00B66346" w:rsidRDefault="007D7C0C" w:rsidP="003A385F">
            <w:pPr>
              <w:pBdr>
                <w:top w:val="dotted" w:sz="4" w:space="10" w:color="auto"/>
              </w:pBdr>
              <w:tabs>
                <w:tab w:val="left" w:pos="2835"/>
                <w:tab w:val="left" w:pos="4820"/>
                <w:tab w:val="left" w:pos="7371"/>
                <w:tab w:val="left" w:pos="9072"/>
              </w:tabs>
              <w:rPr>
                <w:sz w:val="20"/>
                <w:szCs w:val="20"/>
              </w:rPr>
            </w:pPr>
            <w:r w:rsidRPr="00B66346">
              <w:rPr>
                <w:sz w:val="20"/>
                <w:szCs w:val="20"/>
              </w:rPr>
              <w:t>Was respiratory rate measured within 24 hours?</w:t>
            </w:r>
          </w:p>
          <w:p w14:paraId="14AB0683" w14:textId="77777777" w:rsidR="007D7C0C" w:rsidRPr="00B66346" w:rsidRDefault="007D7C0C" w:rsidP="003A385F">
            <w:pPr>
              <w:tabs>
                <w:tab w:val="left" w:pos="2961"/>
                <w:tab w:val="left" w:pos="7200"/>
                <w:tab w:val="left" w:pos="8280"/>
                <w:tab w:val="left" w:pos="9072"/>
              </w:tabs>
              <w:rPr>
                <w:sz w:val="20"/>
                <w:szCs w:val="20"/>
              </w:rPr>
            </w:pPr>
            <w:r w:rsidRPr="00B66346">
              <w:rPr>
                <w:sz w:val="20"/>
                <w:szCs w:val="20"/>
              </w:rPr>
              <w:tab/>
              <w:t>yes</w:t>
            </w:r>
          </w:p>
          <w:p w14:paraId="002594AE" w14:textId="77777777" w:rsidR="007D7C0C" w:rsidRPr="00B66346" w:rsidRDefault="007D7C0C" w:rsidP="003A385F">
            <w:pPr>
              <w:pStyle w:val="Header"/>
              <w:tabs>
                <w:tab w:val="left" w:pos="2961"/>
              </w:tabs>
              <w:rPr>
                <w:sz w:val="20"/>
                <w:szCs w:val="20"/>
              </w:rPr>
            </w:pPr>
            <w:r w:rsidRPr="00B66346">
              <w:rPr>
                <w:sz w:val="20"/>
                <w:szCs w:val="20"/>
              </w:rPr>
              <w:tab/>
              <w:t>no</w:t>
            </w:r>
          </w:p>
        </w:tc>
        <w:tc>
          <w:tcPr>
            <w:tcW w:w="743" w:type="dxa"/>
            <w:tcBorders>
              <w:bottom w:val="dashed" w:sz="4" w:space="0" w:color="auto"/>
            </w:tcBorders>
          </w:tcPr>
          <w:p w14:paraId="3CC57675" w14:textId="77777777" w:rsidR="007D7C0C" w:rsidRPr="00B66346" w:rsidRDefault="007D7C0C" w:rsidP="003A385F">
            <w:pPr>
              <w:pStyle w:val="Header"/>
              <w:rPr>
                <w:sz w:val="20"/>
                <w:szCs w:val="20"/>
              </w:rPr>
            </w:pPr>
          </w:p>
        </w:tc>
        <w:tc>
          <w:tcPr>
            <w:tcW w:w="674" w:type="dxa"/>
            <w:tcBorders>
              <w:bottom w:val="dashed" w:sz="4" w:space="0" w:color="auto"/>
            </w:tcBorders>
          </w:tcPr>
          <w:p w14:paraId="7E5E3686" w14:textId="77777777" w:rsidR="007D7C0C" w:rsidRPr="00B66346" w:rsidRDefault="007D7C0C" w:rsidP="003A385F">
            <w:pPr>
              <w:pStyle w:val="Header"/>
              <w:rPr>
                <w:sz w:val="20"/>
                <w:szCs w:val="20"/>
              </w:rPr>
            </w:pPr>
          </w:p>
        </w:tc>
        <w:tc>
          <w:tcPr>
            <w:tcW w:w="851" w:type="dxa"/>
            <w:tcBorders>
              <w:bottom w:val="dashed" w:sz="4" w:space="0" w:color="auto"/>
            </w:tcBorders>
          </w:tcPr>
          <w:p w14:paraId="7F5EC0F7" w14:textId="77777777" w:rsidR="007D7C0C" w:rsidRPr="00B66346" w:rsidRDefault="007D7C0C" w:rsidP="003A385F">
            <w:pPr>
              <w:pStyle w:val="Header"/>
              <w:rPr>
                <w:sz w:val="20"/>
                <w:szCs w:val="20"/>
              </w:rPr>
            </w:pPr>
          </w:p>
        </w:tc>
      </w:tr>
      <w:tr w:rsidR="007D7C0C" w:rsidRPr="00B66346" w14:paraId="12876FEC" w14:textId="77777777" w:rsidTr="004817D3">
        <w:trPr>
          <w:trHeight w:val="237"/>
        </w:trPr>
        <w:tc>
          <w:tcPr>
            <w:tcW w:w="530" w:type="dxa"/>
            <w:tcBorders>
              <w:top w:val="dashed" w:sz="4" w:space="0" w:color="auto"/>
            </w:tcBorders>
          </w:tcPr>
          <w:p w14:paraId="1D967DB6" w14:textId="77777777" w:rsidR="007D7C0C" w:rsidRPr="00B66346" w:rsidRDefault="007D7C0C" w:rsidP="003A385F">
            <w:pPr>
              <w:pStyle w:val="Header"/>
              <w:rPr>
                <w:sz w:val="20"/>
                <w:szCs w:val="20"/>
              </w:rPr>
            </w:pPr>
          </w:p>
        </w:tc>
        <w:tc>
          <w:tcPr>
            <w:tcW w:w="5532" w:type="dxa"/>
            <w:tcBorders>
              <w:top w:val="dashed" w:sz="4" w:space="0" w:color="auto"/>
            </w:tcBorders>
          </w:tcPr>
          <w:p w14:paraId="316179F9" w14:textId="77777777" w:rsidR="007D7C0C" w:rsidRPr="00B66346" w:rsidRDefault="007D7C0C" w:rsidP="003A385F">
            <w:pPr>
              <w:pStyle w:val="Header"/>
              <w:ind w:left="702"/>
              <w:rPr>
                <w:sz w:val="20"/>
                <w:szCs w:val="20"/>
              </w:rPr>
            </w:pPr>
            <w:r w:rsidRPr="00B66346">
              <w:rPr>
                <w:sz w:val="20"/>
                <w:szCs w:val="20"/>
              </w:rPr>
              <w:t>If yes, what was the first reading after admission (per minute)</w:t>
            </w:r>
          </w:p>
        </w:tc>
        <w:tc>
          <w:tcPr>
            <w:tcW w:w="743" w:type="dxa"/>
            <w:tcBorders>
              <w:top w:val="dashed" w:sz="4" w:space="0" w:color="auto"/>
            </w:tcBorders>
          </w:tcPr>
          <w:p w14:paraId="03910A8C" w14:textId="77777777" w:rsidR="007D7C0C" w:rsidRPr="00B66346" w:rsidRDefault="007D7C0C" w:rsidP="003A385F">
            <w:pPr>
              <w:pStyle w:val="Header"/>
              <w:rPr>
                <w:sz w:val="20"/>
                <w:szCs w:val="20"/>
              </w:rPr>
            </w:pPr>
          </w:p>
        </w:tc>
        <w:tc>
          <w:tcPr>
            <w:tcW w:w="674" w:type="dxa"/>
            <w:tcBorders>
              <w:top w:val="dashed" w:sz="4" w:space="0" w:color="auto"/>
            </w:tcBorders>
          </w:tcPr>
          <w:p w14:paraId="6E4E3C1A" w14:textId="77777777" w:rsidR="007D7C0C" w:rsidRPr="00B66346" w:rsidRDefault="007D7C0C" w:rsidP="003A385F">
            <w:pPr>
              <w:pStyle w:val="Header"/>
              <w:rPr>
                <w:sz w:val="20"/>
                <w:szCs w:val="20"/>
              </w:rPr>
            </w:pPr>
          </w:p>
        </w:tc>
        <w:tc>
          <w:tcPr>
            <w:tcW w:w="851" w:type="dxa"/>
            <w:tcBorders>
              <w:top w:val="dashed" w:sz="4" w:space="0" w:color="auto"/>
            </w:tcBorders>
          </w:tcPr>
          <w:p w14:paraId="4A64A7D5" w14:textId="77777777" w:rsidR="007D7C0C" w:rsidRPr="00B66346" w:rsidRDefault="007D7C0C" w:rsidP="003A385F">
            <w:pPr>
              <w:pStyle w:val="Header"/>
              <w:rPr>
                <w:sz w:val="20"/>
                <w:szCs w:val="20"/>
              </w:rPr>
            </w:pPr>
          </w:p>
        </w:tc>
      </w:tr>
      <w:tr w:rsidR="007D7C0C" w:rsidRPr="00B66346" w14:paraId="14F31AE1" w14:textId="77777777" w:rsidTr="004817D3">
        <w:trPr>
          <w:trHeight w:val="360"/>
        </w:trPr>
        <w:tc>
          <w:tcPr>
            <w:tcW w:w="530" w:type="dxa"/>
            <w:tcBorders>
              <w:bottom w:val="dashed" w:sz="4" w:space="0" w:color="auto"/>
            </w:tcBorders>
          </w:tcPr>
          <w:p w14:paraId="70DD6688" w14:textId="77777777" w:rsidR="007D7C0C" w:rsidRPr="00B66346" w:rsidRDefault="007D7C0C" w:rsidP="003A385F">
            <w:pPr>
              <w:pStyle w:val="Header"/>
              <w:rPr>
                <w:sz w:val="20"/>
                <w:szCs w:val="20"/>
              </w:rPr>
            </w:pPr>
            <w:r w:rsidRPr="00B66346">
              <w:rPr>
                <w:sz w:val="20"/>
                <w:szCs w:val="20"/>
              </w:rPr>
              <w:t>19</w:t>
            </w:r>
          </w:p>
        </w:tc>
        <w:tc>
          <w:tcPr>
            <w:tcW w:w="5532" w:type="dxa"/>
            <w:tcBorders>
              <w:bottom w:val="dashed" w:sz="4" w:space="0" w:color="auto"/>
            </w:tcBorders>
          </w:tcPr>
          <w:p w14:paraId="78B35947" w14:textId="77777777" w:rsidR="007D7C0C" w:rsidRPr="00B66346" w:rsidRDefault="007D7C0C" w:rsidP="003A385F">
            <w:pPr>
              <w:pBdr>
                <w:top w:val="dotted" w:sz="4" w:space="10" w:color="auto"/>
              </w:pBdr>
              <w:tabs>
                <w:tab w:val="left" w:pos="7200"/>
                <w:tab w:val="left" w:pos="8280"/>
                <w:tab w:val="left" w:pos="9180"/>
              </w:tabs>
              <w:rPr>
                <w:sz w:val="20"/>
                <w:szCs w:val="20"/>
              </w:rPr>
            </w:pPr>
            <w:r w:rsidRPr="00B66346">
              <w:rPr>
                <w:sz w:val="20"/>
                <w:szCs w:val="20"/>
              </w:rPr>
              <w:t>Were blood gases taken within 24 hours?</w:t>
            </w:r>
          </w:p>
          <w:p w14:paraId="1374EBF6" w14:textId="77777777" w:rsidR="007D7C0C" w:rsidRPr="00B66346" w:rsidRDefault="007D7C0C" w:rsidP="003A385F">
            <w:pPr>
              <w:pBdr>
                <w:top w:val="dotted" w:sz="4" w:space="10" w:color="auto"/>
              </w:pBdr>
              <w:tabs>
                <w:tab w:val="left" w:pos="2961"/>
                <w:tab w:val="left" w:pos="7200"/>
                <w:tab w:val="left" w:pos="8280"/>
                <w:tab w:val="left" w:pos="9180"/>
              </w:tabs>
              <w:rPr>
                <w:sz w:val="20"/>
                <w:szCs w:val="20"/>
              </w:rPr>
            </w:pPr>
            <w:r w:rsidRPr="00B66346">
              <w:rPr>
                <w:sz w:val="20"/>
                <w:szCs w:val="20"/>
              </w:rPr>
              <w:lastRenderedPageBreak/>
              <w:tab/>
              <w:t>yes</w:t>
            </w:r>
          </w:p>
          <w:p w14:paraId="078CF6E4" w14:textId="77777777" w:rsidR="007D7C0C" w:rsidRPr="00B66346" w:rsidRDefault="007D7C0C" w:rsidP="003A385F">
            <w:pPr>
              <w:pStyle w:val="Header"/>
              <w:tabs>
                <w:tab w:val="left" w:pos="2961"/>
              </w:tabs>
              <w:rPr>
                <w:sz w:val="20"/>
                <w:szCs w:val="20"/>
              </w:rPr>
            </w:pPr>
            <w:r w:rsidRPr="00B66346">
              <w:rPr>
                <w:sz w:val="20"/>
                <w:szCs w:val="20"/>
              </w:rPr>
              <w:tab/>
              <w:t>no</w:t>
            </w:r>
          </w:p>
        </w:tc>
        <w:tc>
          <w:tcPr>
            <w:tcW w:w="743" w:type="dxa"/>
            <w:tcBorders>
              <w:bottom w:val="dashed" w:sz="4" w:space="0" w:color="auto"/>
            </w:tcBorders>
          </w:tcPr>
          <w:p w14:paraId="45E836FC" w14:textId="77777777" w:rsidR="007D7C0C" w:rsidRPr="00B66346" w:rsidRDefault="007D7C0C" w:rsidP="003A385F">
            <w:pPr>
              <w:pStyle w:val="Header"/>
              <w:rPr>
                <w:sz w:val="20"/>
                <w:szCs w:val="20"/>
              </w:rPr>
            </w:pPr>
          </w:p>
        </w:tc>
        <w:tc>
          <w:tcPr>
            <w:tcW w:w="674" w:type="dxa"/>
            <w:tcBorders>
              <w:bottom w:val="dashed" w:sz="4" w:space="0" w:color="auto"/>
            </w:tcBorders>
          </w:tcPr>
          <w:p w14:paraId="78923730" w14:textId="77777777" w:rsidR="007D7C0C" w:rsidRPr="00B66346" w:rsidRDefault="007D7C0C" w:rsidP="003A385F">
            <w:pPr>
              <w:pStyle w:val="Header"/>
              <w:rPr>
                <w:sz w:val="20"/>
                <w:szCs w:val="20"/>
              </w:rPr>
            </w:pPr>
          </w:p>
        </w:tc>
        <w:tc>
          <w:tcPr>
            <w:tcW w:w="851" w:type="dxa"/>
            <w:tcBorders>
              <w:bottom w:val="dashed" w:sz="4" w:space="0" w:color="auto"/>
            </w:tcBorders>
          </w:tcPr>
          <w:p w14:paraId="1C5C1DE2" w14:textId="77777777" w:rsidR="007D7C0C" w:rsidRPr="00B66346" w:rsidRDefault="007D7C0C" w:rsidP="003A385F">
            <w:pPr>
              <w:pStyle w:val="Header"/>
              <w:rPr>
                <w:sz w:val="20"/>
                <w:szCs w:val="20"/>
              </w:rPr>
            </w:pPr>
          </w:p>
        </w:tc>
      </w:tr>
      <w:tr w:rsidR="007D7C0C" w:rsidRPr="00B66346" w14:paraId="621538FC" w14:textId="77777777" w:rsidTr="004817D3">
        <w:trPr>
          <w:trHeight w:val="75"/>
        </w:trPr>
        <w:tc>
          <w:tcPr>
            <w:tcW w:w="530" w:type="dxa"/>
            <w:tcBorders>
              <w:top w:val="dashed" w:sz="4" w:space="0" w:color="auto"/>
              <w:bottom w:val="dashed" w:sz="4" w:space="0" w:color="auto"/>
            </w:tcBorders>
          </w:tcPr>
          <w:p w14:paraId="4D5AF0EB" w14:textId="77777777" w:rsidR="007D7C0C" w:rsidRPr="00B66346" w:rsidRDefault="007D7C0C" w:rsidP="003A385F">
            <w:pPr>
              <w:pStyle w:val="Header"/>
              <w:rPr>
                <w:sz w:val="20"/>
                <w:szCs w:val="20"/>
              </w:rPr>
            </w:pPr>
          </w:p>
        </w:tc>
        <w:tc>
          <w:tcPr>
            <w:tcW w:w="5532" w:type="dxa"/>
            <w:tcBorders>
              <w:top w:val="dashed" w:sz="4" w:space="0" w:color="auto"/>
              <w:bottom w:val="dashed" w:sz="4" w:space="0" w:color="auto"/>
            </w:tcBorders>
          </w:tcPr>
          <w:p w14:paraId="34D956A4" w14:textId="77777777" w:rsidR="007D7C0C" w:rsidRPr="00B66346" w:rsidRDefault="007D7C0C" w:rsidP="003A385F">
            <w:pPr>
              <w:pStyle w:val="Header"/>
              <w:tabs>
                <w:tab w:val="left" w:pos="2835"/>
                <w:tab w:val="left" w:pos="3261"/>
                <w:tab w:val="left" w:pos="6379"/>
                <w:tab w:val="left" w:pos="7371"/>
                <w:tab w:val="left" w:pos="9072"/>
              </w:tabs>
              <w:ind w:left="720"/>
              <w:rPr>
                <w:sz w:val="20"/>
                <w:szCs w:val="20"/>
              </w:rPr>
            </w:pPr>
            <w:r w:rsidRPr="00B66346">
              <w:rPr>
                <w:sz w:val="20"/>
                <w:szCs w:val="20"/>
              </w:rPr>
              <w:t>If yes, what was the first recorded (after admission) value for?</w:t>
            </w:r>
          </w:p>
          <w:p w14:paraId="10DDA14E" w14:textId="77777777" w:rsidR="007D7C0C" w:rsidRPr="00B66346" w:rsidRDefault="007D7C0C" w:rsidP="003A385F">
            <w:pPr>
              <w:pStyle w:val="Header"/>
              <w:tabs>
                <w:tab w:val="left" w:pos="1276"/>
                <w:tab w:val="left" w:pos="4140"/>
                <w:tab w:val="left" w:pos="7020"/>
                <w:tab w:val="left" w:pos="7380"/>
                <w:tab w:val="left" w:pos="8820"/>
                <w:tab w:val="left" w:pos="9180"/>
              </w:tabs>
              <w:ind w:left="720"/>
              <w:rPr>
                <w:sz w:val="20"/>
                <w:szCs w:val="20"/>
              </w:rPr>
            </w:pPr>
            <w:r w:rsidRPr="00B66346">
              <w:rPr>
                <w:sz w:val="20"/>
                <w:szCs w:val="20"/>
              </w:rPr>
              <w:tab/>
              <w:t>pH or: H+ (mmol/l)</w:t>
            </w:r>
          </w:p>
          <w:p w14:paraId="2181EB01" w14:textId="77777777" w:rsidR="007D7C0C" w:rsidRPr="00B66346" w:rsidRDefault="007D7C0C" w:rsidP="003A385F">
            <w:pPr>
              <w:pStyle w:val="Header"/>
              <w:tabs>
                <w:tab w:val="left" w:pos="1276"/>
                <w:tab w:val="left" w:pos="4140"/>
                <w:tab w:val="left" w:pos="7020"/>
                <w:tab w:val="left" w:pos="7380"/>
                <w:tab w:val="left" w:pos="8820"/>
                <w:tab w:val="left" w:pos="9180"/>
              </w:tabs>
              <w:ind w:left="720"/>
              <w:rPr>
                <w:sz w:val="20"/>
                <w:szCs w:val="20"/>
              </w:rPr>
            </w:pPr>
            <w:r w:rsidRPr="00B66346">
              <w:rPr>
                <w:sz w:val="20"/>
                <w:szCs w:val="20"/>
              </w:rPr>
              <w:tab/>
              <w:t>not recorded</w:t>
            </w:r>
          </w:p>
          <w:p w14:paraId="10214BA6" w14:textId="77777777" w:rsidR="007D7C0C" w:rsidRPr="00B66346" w:rsidRDefault="007D7C0C" w:rsidP="003A385F">
            <w:pPr>
              <w:pStyle w:val="Header"/>
              <w:tabs>
                <w:tab w:val="left" w:pos="1276"/>
                <w:tab w:val="left" w:pos="4140"/>
                <w:tab w:val="left" w:pos="7020"/>
                <w:tab w:val="left" w:pos="7380"/>
                <w:tab w:val="left" w:pos="8820"/>
                <w:tab w:val="left" w:pos="9180"/>
              </w:tabs>
              <w:ind w:left="720"/>
              <w:rPr>
                <w:sz w:val="20"/>
                <w:szCs w:val="20"/>
              </w:rPr>
            </w:pPr>
          </w:p>
          <w:p w14:paraId="685FE150" w14:textId="77777777" w:rsidR="007D7C0C" w:rsidRPr="00B66346" w:rsidRDefault="007D7C0C" w:rsidP="003A385F">
            <w:pPr>
              <w:pStyle w:val="Header"/>
              <w:tabs>
                <w:tab w:val="left" w:pos="1276"/>
                <w:tab w:val="left" w:pos="4140"/>
                <w:tab w:val="left" w:pos="7020"/>
                <w:tab w:val="left" w:pos="7380"/>
                <w:tab w:val="left" w:pos="8820"/>
                <w:tab w:val="left" w:pos="9180"/>
              </w:tabs>
              <w:ind w:left="720"/>
              <w:rPr>
                <w:sz w:val="20"/>
                <w:szCs w:val="20"/>
              </w:rPr>
            </w:pPr>
            <w:r w:rsidRPr="00B66346">
              <w:rPr>
                <w:sz w:val="20"/>
                <w:szCs w:val="20"/>
              </w:rPr>
              <w:tab/>
              <w:t>PCO</w:t>
            </w:r>
            <w:r w:rsidRPr="00B66346">
              <w:rPr>
                <w:position w:val="-6"/>
                <w:sz w:val="20"/>
                <w:szCs w:val="20"/>
              </w:rPr>
              <w:t>2</w:t>
            </w:r>
            <w:r w:rsidRPr="00B66346">
              <w:rPr>
                <w:sz w:val="20"/>
                <w:szCs w:val="20"/>
              </w:rPr>
              <w:t xml:space="preserve"> (kPa) or: mmHg</w:t>
            </w:r>
          </w:p>
          <w:p w14:paraId="4153BB3D" w14:textId="77777777" w:rsidR="007D7C0C" w:rsidRPr="00B66346" w:rsidRDefault="007D7C0C" w:rsidP="003A385F">
            <w:pPr>
              <w:pStyle w:val="Header"/>
              <w:tabs>
                <w:tab w:val="left" w:pos="1276"/>
                <w:tab w:val="left" w:pos="4140"/>
                <w:tab w:val="left" w:pos="7020"/>
                <w:tab w:val="left" w:pos="7380"/>
                <w:tab w:val="left" w:pos="8820"/>
                <w:tab w:val="left" w:pos="9180"/>
              </w:tabs>
              <w:ind w:left="720"/>
              <w:rPr>
                <w:sz w:val="20"/>
                <w:szCs w:val="20"/>
              </w:rPr>
            </w:pPr>
            <w:r w:rsidRPr="00B66346">
              <w:rPr>
                <w:sz w:val="20"/>
                <w:szCs w:val="20"/>
              </w:rPr>
              <w:tab/>
              <w:t>not recorded</w:t>
            </w:r>
          </w:p>
          <w:p w14:paraId="4442F2B2" w14:textId="77777777" w:rsidR="007D7C0C" w:rsidRPr="00B66346" w:rsidRDefault="007D7C0C" w:rsidP="003A385F">
            <w:pPr>
              <w:pStyle w:val="Header"/>
              <w:tabs>
                <w:tab w:val="left" w:pos="1276"/>
                <w:tab w:val="left" w:pos="4140"/>
                <w:tab w:val="left" w:pos="7020"/>
                <w:tab w:val="left" w:pos="7380"/>
                <w:tab w:val="left" w:pos="8820"/>
                <w:tab w:val="left" w:pos="9180"/>
              </w:tabs>
              <w:ind w:left="720"/>
              <w:rPr>
                <w:sz w:val="20"/>
                <w:szCs w:val="20"/>
              </w:rPr>
            </w:pPr>
          </w:p>
          <w:p w14:paraId="576560D8" w14:textId="77777777" w:rsidR="007D7C0C" w:rsidRPr="00B66346" w:rsidRDefault="007D7C0C" w:rsidP="003A385F">
            <w:pPr>
              <w:tabs>
                <w:tab w:val="left" w:pos="1332"/>
                <w:tab w:val="left" w:pos="7200"/>
                <w:tab w:val="left" w:pos="8280"/>
                <w:tab w:val="left" w:pos="9180"/>
              </w:tabs>
              <w:rPr>
                <w:sz w:val="20"/>
                <w:szCs w:val="20"/>
              </w:rPr>
            </w:pPr>
            <w:r w:rsidRPr="00B66346">
              <w:rPr>
                <w:sz w:val="20"/>
                <w:szCs w:val="20"/>
              </w:rPr>
              <w:tab/>
              <w:t>PO</w:t>
            </w:r>
            <w:r w:rsidRPr="00B66346">
              <w:rPr>
                <w:position w:val="-6"/>
                <w:sz w:val="20"/>
                <w:szCs w:val="20"/>
              </w:rPr>
              <w:t>2</w:t>
            </w:r>
            <w:r w:rsidRPr="00B66346">
              <w:rPr>
                <w:sz w:val="20"/>
                <w:szCs w:val="20"/>
              </w:rPr>
              <w:t xml:space="preserve"> (kPa) or: mmHg</w:t>
            </w:r>
          </w:p>
          <w:p w14:paraId="67411190" w14:textId="77777777" w:rsidR="007D7C0C" w:rsidRPr="00B66346" w:rsidRDefault="007D7C0C" w:rsidP="003A385F">
            <w:pPr>
              <w:tabs>
                <w:tab w:val="left" w:pos="1332"/>
                <w:tab w:val="left" w:pos="7200"/>
                <w:tab w:val="left" w:pos="8280"/>
                <w:tab w:val="left" w:pos="9180"/>
              </w:tabs>
              <w:rPr>
                <w:sz w:val="20"/>
                <w:szCs w:val="20"/>
              </w:rPr>
            </w:pPr>
            <w:r w:rsidRPr="00B66346">
              <w:rPr>
                <w:sz w:val="20"/>
                <w:szCs w:val="20"/>
              </w:rPr>
              <w:tab/>
              <w:t>not recorded</w:t>
            </w:r>
          </w:p>
        </w:tc>
        <w:tc>
          <w:tcPr>
            <w:tcW w:w="743" w:type="dxa"/>
            <w:tcBorders>
              <w:top w:val="dashed" w:sz="4" w:space="0" w:color="auto"/>
              <w:bottom w:val="dashed" w:sz="4" w:space="0" w:color="auto"/>
            </w:tcBorders>
          </w:tcPr>
          <w:p w14:paraId="464BAC03" w14:textId="77777777" w:rsidR="007D7C0C" w:rsidRPr="00B66346" w:rsidRDefault="007D7C0C" w:rsidP="003A385F">
            <w:pPr>
              <w:pStyle w:val="Header"/>
              <w:rPr>
                <w:sz w:val="20"/>
                <w:szCs w:val="20"/>
              </w:rPr>
            </w:pPr>
          </w:p>
        </w:tc>
        <w:tc>
          <w:tcPr>
            <w:tcW w:w="674" w:type="dxa"/>
            <w:tcBorders>
              <w:top w:val="dashed" w:sz="4" w:space="0" w:color="auto"/>
              <w:bottom w:val="dashed" w:sz="4" w:space="0" w:color="auto"/>
            </w:tcBorders>
          </w:tcPr>
          <w:p w14:paraId="6012BBBD" w14:textId="77777777" w:rsidR="007D7C0C" w:rsidRPr="00B66346" w:rsidRDefault="007D7C0C" w:rsidP="003A385F">
            <w:pPr>
              <w:pStyle w:val="Header"/>
              <w:rPr>
                <w:sz w:val="20"/>
                <w:szCs w:val="20"/>
              </w:rPr>
            </w:pPr>
          </w:p>
        </w:tc>
        <w:tc>
          <w:tcPr>
            <w:tcW w:w="851" w:type="dxa"/>
            <w:tcBorders>
              <w:top w:val="dashed" w:sz="4" w:space="0" w:color="auto"/>
              <w:bottom w:val="dashed" w:sz="4" w:space="0" w:color="auto"/>
            </w:tcBorders>
          </w:tcPr>
          <w:p w14:paraId="49B93AE5" w14:textId="77777777" w:rsidR="007D7C0C" w:rsidRPr="00B66346" w:rsidRDefault="007D7C0C" w:rsidP="003A385F">
            <w:pPr>
              <w:pStyle w:val="Header"/>
              <w:rPr>
                <w:sz w:val="20"/>
                <w:szCs w:val="20"/>
              </w:rPr>
            </w:pPr>
          </w:p>
        </w:tc>
      </w:tr>
      <w:tr w:rsidR="007D7C0C" w:rsidRPr="00B66346" w14:paraId="22563331" w14:textId="77777777" w:rsidTr="004817D3">
        <w:trPr>
          <w:trHeight w:val="75"/>
        </w:trPr>
        <w:tc>
          <w:tcPr>
            <w:tcW w:w="530" w:type="dxa"/>
            <w:tcBorders>
              <w:top w:val="dashed" w:sz="4" w:space="0" w:color="auto"/>
            </w:tcBorders>
          </w:tcPr>
          <w:p w14:paraId="6337F48F" w14:textId="77777777" w:rsidR="007D7C0C" w:rsidRPr="00B66346" w:rsidRDefault="007D7C0C" w:rsidP="003A385F">
            <w:pPr>
              <w:pStyle w:val="Header"/>
              <w:rPr>
                <w:sz w:val="20"/>
                <w:szCs w:val="20"/>
              </w:rPr>
            </w:pPr>
          </w:p>
        </w:tc>
        <w:tc>
          <w:tcPr>
            <w:tcW w:w="5532" w:type="dxa"/>
            <w:tcBorders>
              <w:top w:val="dashed" w:sz="4" w:space="0" w:color="auto"/>
            </w:tcBorders>
          </w:tcPr>
          <w:p w14:paraId="74AE0A0E" w14:textId="77777777" w:rsidR="007D7C0C" w:rsidRPr="00B66346" w:rsidRDefault="007D7C0C" w:rsidP="003A385F">
            <w:pPr>
              <w:pStyle w:val="Header"/>
              <w:tabs>
                <w:tab w:val="left" w:pos="2835"/>
                <w:tab w:val="left" w:pos="4820"/>
                <w:tab w:val="left" w:pos="7200"/>
                <w:tab w:val="left" w:pos="8280"/>
                <w:tab w:val="left" w:pos="9072"/>
              </w:tabs>
              <w:ind w:left="720"/>
              <w:rPr>
                <w:sz w:val="20"/>
                <w:szCs w:val="20"/>
              </w:rPr>
            </w:pPr>
            <w:r w:rsidRPr="00B66346">
              <w:rPr>
                <w:sz w:val="20"/>
                <w:szCs w:val="20"/>
              </w:rPr>
              <w:t>Was level of O</w:t>
            </w:r>
            <w:r w:rsidRPr="00B66346">
              <w:rPr>
                <w:position w:val="-6"/>
                <w:sz w:val="20"/>
                <w:szCs w:val="20"/>
              </w:rPr>
              <w:t>2</w:t>
            </w:r>
            <w:r w:rsidRPr="00B66346">
              <w:rPr>
                <w:sz w:val="20"/>
                <w:szCs w:val="20"/>
              </w:rPr>
              <w:t xml:space="preserve"> to be given stipulated in notes/on chart?</w:t>
            </w:r>
          </w:p>
          <w:p w14:paraId="53C4C1CE" w14:textId="77777777" w:rsidR="007D7C0C" w:rsidRPr="00B66346" w:rsidRDefault="007D7C0C" w:rsidP="003A385F">
            <w:pPr>
              <w:pStyle w:val="Header"/>
              <w:tabs>
                <w:tab w:val="left" w:pos="2952"/>
                <w:tab w:val="left" w:pos="4820"/>
                <w:tab w:val="left" w:pos="7200"/>
                <w:tab w:val="left" w:pos="8280"/>
                <w:tab w:val="left" w:pos="9072"/>
              </w:tabs>
              <w:ind w:left="720"/>
              <w:rPr>
                <w:sz w:val="20"/>
                <w:szCs w:val="20"/>
              </w:rPr>
            </w:pPr>
            <w:r w:rsidRPr="00B66346">
              <w:rPr>
                <w:sz w:val="20"/>
                <w:szCs w:val="20"/>
              </w:rPr>
              <w:tab/>
              <w:t>yes</w:t>
            </w:r>
          </w:p>
          <w:p w14:paraId="3E4BEC74" w14:textId="77777777" w:rsidR="007D7C0C" w:rsidRPr="00B66346" w:rsidRDefault="007D7C0C" w:rsidP="003A385F">
            <w:pPr>
              <w:pStyle w:val="Header"/>
              <w:tabs>
                <w:tab w:val="left" w:pos="2952"/>
                <w:tab w:val="left" w:pos="3261"/>
                <w:tab w:val="left" w:pos="6379"/>
                <w:tab w:val="left" w:pos="7371"/>
                <w:tab w:val="left" w:pos="9072"/>
              </w:tabs>
              <w:rPr>
                <w:sz w:val="20"/>
                <w:szCs w:val="20"/>
              </w:rPr>
            </w:pPr>
            <w:r w:rsidRPr="00B66346">
              <w:rPr>
                <w:sz w:val="20"/>
                <w:szCs w:val="20"/>
              </w:rPr>
              <w:tab/>
              <w:t>no</w:t>
            </w:r>
          </w:p>
        </w:tc>
        <w:tc>
          <w:tcPr>
            <w:tcW w:w="743" w:type="dxa"/>
            <w:tcBorders>
              <w:top w:val="dashed" w:sz="4" w:space="0" w:color="auto"/>
            </w:tcBorders>
          </w:tcPr>
          <w:p w14:paraId="01BAF835" w14:textId="77777777" w:rsidR="007D7C0C" w:rsidRPr="00B66346" w:rsidRDefault="007D7C0C" w:rsidP="003A385F">
            <w:pPr>
              <w:pStyle w:val="Header"/>
              <w:rPr>
                <w:sz w:val="20"/>
                <w:szCs w:val="20"/>
              </w:rPr>
            </w:pPr>
          </w:p>
        </w:tc>
        <w:tc>
          <w:tcPr>
            <w:tcW w:w="674" w:type="dxa"/>
            <w:tcBorders>
              <w:top w:val="dashed" w:sz="4" w:space="0" w:color="auto"/>
            </w:tcBorders>
          </w:tcPr>
          <w:p w14:paraId="7CD0C977" w14:textId="77777777" w:rsidR="007D7C0C" w:rsidRPr="00B66346" w:rsidRDefault="007D7C0C" w:rsidP="003A385F">
            <w:pPr>
              <w:pStyle w:val="Header"/>
              <w:rPr>
                <w:sz w:val="20"/>
                <w:szCs w:val="20"/>
              </w:rPr>
            </w:pPr>
          </w:p>
        </w:tc>
        <w:tc>
          <w:tcPr>
            <w:tcW w:w="851" w:type="dxa"/>
            <w:tcBorders>
              <w:top w:val="dashed" w:sz="4" w:space="0" w:color="auto"/>
            </w:tcBorders>
          </w:tcPr>
          <w:p w14:paraId="70CDCD9F" w14:textId="77777777" w:rsidR="007D7C0C" w:rsidRPr="00B66346" w:rsidRDefault="007D7C0C" w:rsidP="003A385F">
            <w:pPr>
              <w:pStyle w:val="Header"/>
              <w:rPr>
                <w:sz w:val="20"/>
                <w:szCs w:val="20"/>
              </w:rPr>
            </w:pPr>
          </w:p>
        </w:tc>
      </w:tr>
      <w:tr w:rsidR="007D7C0C" w:rsidRPr="00B66346" w14:paraId="105B763D" w14:textId="77777777" w:rsidTr="004817D3">
        <w:trPr>
          <w:trHeight w:val="75"/>
        </w:trPr>
        <w:tc>
          <w:tcPr>
            <w:tcW w:w="530" w:type="dxa"/>
          </w:tcPr>
          <w:p w14:paraId="5FF69DF7" w14:textId="77777777" w:rsidR="007D7C0C" w:rsidRPr="00B66346" w:rsidRDefault="007D7C0C" w:rsidP="003A385F">
            <w:pPr>
              <w:pStyle w:val="Header"/>
              <w:rPr>
                <w:sz w:val="20"/>
                <w:szCs w:val="20"/>
              </w:rPr>
            </w:pPr>
            <w:r w:rsidRPr="00B66346">
              <w:rPr>
                <w:sz w:val="20"/>
                <w:szCs w:val="20"/>
              </w:rPr>
              <w:t>20</w:t>
            </w:r>
          </w:p>
        </w:tc>
        <w:tc>
          <w:tcPr>
            <w:tcW w:w="5532" w:type="dxa"/>
          </w:tcPr>
          <w:p w14:paraId="1316EB4B" w14:textId="77777777" w:rsidR="007D7C0C" w:rsidRPr="00B66346" w:rsidRDefault="007D7C0C" w:rsidP="003A385F">
            <w:pPr>
              <w:pBdr>
                <w:top w:val="dotted" w:sz="4" w:space="10" w:color="auto"/>
              </w:pBdr>
              <w:tabs>
                <w:tab w:val="left" w:pos="2835"/>
                <w:tab w:val="left" w:pos="4820"/>
                <w:tab w:val="left" w:pos="7200"/>
                <w:tab w:val="left" w:pos="8280"/>
                <w:tab w:val="left" w:pos="9180"/>
              </w:tabs>
              <w:rPr>
                <w:sz w:val="20"/>
                <w:szCs w:val="20"/>
              </w:rPr>
            </w:pPr>
            <w:r w:rsidRPr="00B66346">
              <w:rPr>
                <w:sz w:val="20"/>
                <w:szCs w:val="20"/>
              </w:rPr>
              <w:t>Was an ECG performed?</w:t>
            </w:r>
          </w:p>
          <w:p w14:paraId="714D5890" w14:textId="77777777" w:rsidR="007D7C0C" w:rsidRPr="00B66346" w:rsidRDefault="007D7C0C" w:rsidP="003A385F">
            <w:pPr>
              <w:pBdr>
                <w:top w:val="dotted" w:sz="4" w:space="10" w:color="auto"/>
              </w:pBdr>
              <w:tabs>
                <w:tab w:val="left" w:pos="2952"/>
                <w:tab w:val="left" w:pos="4820"/>
                <w:tab w:val="left" w:pos="7200"/>
                <w:tab w:val="left" w:pos="8280"/>
                <w:tab w:val="left" w:pos="9180"/>
              </w:tabs>
              <w:rPr>
                <w:sz w:val="20"/>
                <w:szCs w:val="20"/>
              </w:rPr>
            </w:pPr>
            <w:r w:rsidRPr="00B66346">
              <w:rPr>
                <w:sz w:val="20"/>
                <w:szCs w:val="20"/>
              </w:rPr>
              <w:tab/>
              <w:t>yes</w:t>
            </w:r>
          </w:p>
          <w:p w14:paraId="3F4B6E9E" w14:textId="77777777" w:rsidR="007D7C0C" w:rsidRPr="00B66346" w:rsidRDefault="007D7C0C" w:rsidP="003A385F">
            <w:pPr>
              <w:pStyle w:val="Header"/>
              <w:tabs>
                <w:tab w:val="left" w:pos="2952"/>
                <w:tab w:val="left" w:pos="4820"/>
                <w:tab w:val="left" w:pos="7200"/>
                <w:tab w:val="left" w:pos="8280"/>
                <w:tab w:val="left" w:pos="9072"/>
              </w:tabs>
              <w:ind w:left="720"/>
              <w:rPr>
                <w:sz w:val="20"/>
                <w:szCs w:val="20"/>
              </w:rPr>
            </w:pPr>
            <w:r w:rsidRPr="00B66346">
              <w:rPr>
                <w:sz w:val="20"/>
                <w:szCs w:val="20"/>
              </w:rPr>
              <w:tab/>
              <w:t>no</w:t>
            </w:r>
          </w:p>
        </w:tc>
        <w:tc>
          <w:tcPr>
            <w:tcW w:w="743" w:type="dxa"/>
          </w:tcPr>
          <w:p w14:paraId="4BDF893A" w14:textId="77777777" w:rsidR="007D7C0C" w:rsidRPr="00B66346" w:rsidRDefault="007D7C0C" w:rsidP="003A385F">
            <w:pPr>
              <w:pStyle w:val="Header"/>
              <w:rPr>
                <w:sz w:val="20"/>
                <w:szCs w:val="20"/>
              </w:rPr>
            </w:pPr>
          </w:p>
        </w:tc>
        <w:tc>
          <w:tcPr>
            <w:tcW w:w="674" w:type="dxa"/>
          </w:tcPr>
          <w:p w14:paraId="59A04A23" w14:textId="77777777" w:rsidR="007D7C0C" w:rsidRPr="00B66346" w:rsidRDefault="007D7C0C" w:rsidP="003A385F">
            <w:pPr>
              <w:pStyle w:val="Header"/>
              <w:rPr>
                <w:sz w:val="20"/>
                <w:szCs w:val="20"/>
              </w:rPr>
            </w:pPr>
          </w:p>
        </w:tc>
        <w:tc>
          <w:tcPr>
            <w:tcW w:w="851" w:type="dxa"/>
          </w:tcPr>
          <w:p w14:paraId="75491946" w14:textId="77777777" w:rsidR="007D7C0C" w:rsidRPr="00B66346" w:rsidRDefault="007D7C0C" w:rsidP="003A385F">
            <w:pPr>
              <w:pStyle w:val="Header"/>
              <w:rPr>
                <w:sz w:val="20"/>
                <w:szCs w:val="20"/>
              </w:rPr>
            </w:pPr>
          </w:p>
        </w:tc>
      </w:tr>
      <w:tr w:rsidR="007D7C0C" w:rsidRPr="00B66346" w14:paraId="022476EF" w14:textId="77777777" w:rsidTr="004817D3">
        <w:trPr>
          <w:trHeight w:val="75"/>
        </w:trPr>
        <w:tc>
          <w:tcPr>
            <w:tcW w:w="530" w:type="dxa"/>
            <w:tcBorders>
              <w:bottom w:val="dashed" w:sz="4" w:space="0" w:color="auto"/>
            </w:tcBorders>
          </w:tcPr>
          <w:p w14:paraId="1FD3B38A" w14:textId="77777777" w:rsidR="007D7C0C" w:rsidRPr="00B66346" w:rsidRDefault="007D7C0C" w:rsidP="003A385F">
            <w:pPr>
              <w:pStyle w:val="Header"/>
              <w:rPr>
                <w:sz w:val="20"/>
                <w:szCs w:val="20"/>
              </w:rPr>
            </w:pPr>
            <w:r w:rsidRPr="00B66346">
              <w:rPr>
                <w:sz w:val="20"/>
                <w:szCs w:val="20"/>
              </w:rPr>
              <w:t>21</w:t>
            </w:r>
          </w:p>
        </w:tc>
        <w:tc>
          <w:tcPr>
            <w:tcW w:w="5532" w:type="dxa"/>
            <w:tcBorders>
              <w:bottom w:val="dashed" w:sz="4" w:space="0" w:color="auto"/>
            </w:tcBorders>
          </w:tcPr>
          <w:p w14:paraId="179B8383" w14:textId="77777777" w:rsidR="007D7C0C" w:rsidRPr="00B66346" w:rsidRDefault="007D7C0C" w:rsidP="003A385F">
            <w:pPr>
              <w:pBdr>
                <w:top w:val="dotted" w:sz="4" w:space="10" w:color="auto"/>
              </w:pBdr>
              <w:tabs>
                <w:tab w:val="left" w:pos="7200"/>
                <w:tab w:val="left" w:pos="8280"/>
                <w:tab w:val="left" w:pos="9180"/>
              </w:tabs>
              <w:rPr>
                <w:sz w:val="20"/>
                <w:szCs w:val="20"/>
              </w:rPr>
            </w:pPr>
            <w:r w:rsidRPr="00B66346">
              <w:rPr>
                <w:sz w:val="20"/>
                <w:szCs w:val="20"/>
              </w:rPr>
              <w:t xml:space="preserve">Was urea recorded? </w:t>
            </w:r>
          </w:p>
          <w:p w14:paraId="4410EBEA" w14:textId="77777777" w:rsidR="007D7C0C" w:rsidRPr="00B66346" w:rsidRDefault="007D7C0C" w:rsidP="003A385F">
            <w:pPr>
              <w:pBdr>
                <w:top w:val="dotted" w:sz="4" w:space="10" w:color="auto"/>
              </w:pBdr>
              <w:tabs>
                <w:tab w:val="left" w:pos="2961"/>
                <w:tab w:val="left" w:pos="7200"/>
                <w:tab w:val="left" w:pos="8280"/>
                <w:tab w:val="left" w:pos="9180"/>
              </w:tabs>
              <w:rPr>
                <w:sz w:val="20"/>
                <w:szCs w:val="20"/>
              </w:rPr>
            </w:pPr>
            <w:r w:rsidRPr="00B66346">
              <w:rPr>
                <w:sz w:val="20"/>
                <w:szCs w:val="20"/>
              </w:rPr>
              <w:tab/>
              <w:t>yes</w:t>
            </w:r>
          </w:p>
          <w:p w14:paraId="58375A1B" w14:textId="77777777" w:rsidR="007D7C0C" w:rsidRPr="00B66346" w:rsidRDefault="007D7C0C" w:rsidP="003A385F">
            <w:pPr>
              <w:pBdr>
                <w:top w:val="dotted" w:sz="4" w:space="10" w:color="auto"/>
              </w:pBdr>
              <w:tabs>
                <w:tab w:val="left" w:pos="2961"/>
                <w:tab w:val="left" w:pos="4820"/>
                <w:tab w:val="left" w:pos="7200"/>
                <w:tab w:val="left" w:pos="8280"/>
                <w:tab w:val="left" w:pos="9180"/>
              </w:tabs>
              <w:rPr>
                <w:sz w:val="20"/>
                <w:szCs w:val="20"/>
              </w:rPr>
            </w:pPr>
            <w:r w:rsidRPr="00B66346">
              <w:rPr>
                <w:sz w:val="20"/>
                <w:szCs w:val="20"/>
              </w:rPr>
              <w:tab/>
              <w:t>no</w:t>
            </w:r>
          </w:p>
        </w:tc>
        <w:tc>
          <w:tcPr>
            <w:tcW w:w="743" w:type="dxa"/>
            <w:tcBorders>
              <w:bottom w:val="dashed" w:sz="4" w:space="0" w:color="auto"/>
            </w:tcBorders>
          </w:tcPr>
          <w:p w14:paraId="5E889F70" w14:textId="77777777" w:rsidR="007D7C0C" w:rsidRPr="00B66346" w:rsidRDefault="007D7C0C" w:rsidP="003A385F">
            <w:pPr>
              <w:pStyle w:val="Header"/>
              <w:rPr>
                <w:sz w:val="20"/>
                <w:szCs w:val="20"/>
              </w:rPr>
            </w:pPr>
          </w:p>
        </w:tc>
        <w:tc>
          <w:tcPr>
            <w:tcW w:w="674" w:type="dxa"/>
            <w:tcBorders>
              <w:bottom w:val="dashed" w:sz="4" w:space="0" w:color="auto"/>
            </w:tcBorders>
          </w:tcPr>
          <w:p w14:paraId="3A597F87" w14:textId="77777777" w:rsidR="007D7C0C" w:rsidRPr="00B66346" w:rsidRDefault="007D7C0C" w:rsidP="003A385F">
            <w:pPr>
              <w:pStyle w:val="Header"/>
              <w:rPr>
                <w:sz w:val="20"/>
                <w:szCs w:val="20"/>
              </w:rPr>
            </w:pPr>
          </w:p>
        </w:tc>
        <w:tc>
          <w:tcPr>
            <w:tcW w:w="851" w:type="dxa"/>
            <w:tcBorders>
              <w:bottom w:val="dashed" w:sz="4" w:space="0" w:color="auto"/>
            </w:tcBorders>
          </w:tcPr>
          <w:p w14:paraId="167E30D7" w14:textId="77777777" w:rsidR="007D7C0C" w:rsidRPr="00B66346" w:rsidRDefault="007D7C0C" w:rsidP="003A385F">
            <w:pPr>
              <w:pStyle w:val="Header"/>
              <w:rPr>
                <w:sz w:val="20"/>
                <w:szCs w:val="20"/>
              </w:rPr>
            </w:pPr>
          </w:p>
        </w:tc>
      </w:tr>
      <w:tr w:rsidR="007D7C0C" w:rsidRPr="00B66346" w14:paraId="685D45D1" w14:textId="77777777" w:rsidTr="004817D3">
        <w:trPr>
          <w:trHeight w:val="75"/>
        </w:trPr>
        <w:tc>
          <w:tcPr>
            <w:tcW w:w="530" w:type="dxa"/>
            <w:tcBorders>
              <w:top w:val="dashed" w:sz="4" w:space="0" w:color="auto"/>
            </w:tcBorders>
          </w:tcPr>
          <w:p w14:paraId="4BF36599" w14:textId="77777777" w:rsidR="007D7C0C" w:rsidRPr="00B66346" w:rsidRDefault="007D7C0C" w:rsidP="003A385F">
            <w:pPr>
              <w:pStyle w:val="Header"/>
              <w:rPr>
                <w:sz w:val="20"/>
                <w:szCs w:val="20"/>
              </w:rPr>
            </w:pPr>
          </w:p>
        </w:tc>
        <w:tc>
          <w:tcPr>
            <w:tcW w:w="5532" w:type="dxa"/>
            <w:tcBorders>
              <w:top w:val="dashed" w:sz="4" w:space="0" w:color="auto"/>
            </w:tcBorders>
          </w:tcPr>
          <w:p w14:paraId="538D6FF5" w14:textId="77777777" w:rsidR="007D7C0C" w:rsidRPr="00B66346" w:rsidRDefault="007D7C0C" w:rsidP="003A385F">
            <w:pPr>
              <w:pStyle w:val="Header"/>
              <w:tabs>
                <w:tab w:val="left" w:pos="2835"/>
                <w:tab w:val="left" w:pos="4820"/>
                <w:tab w:val="left" w:pos="6379"/>
                <w:tab w:val="left" w:pos="7088"/>
                <w:tab w:val="left" w:pos="9072"/>
              </w:tabs>
              <w:ind w:left="720"/>
              <w:rPr>
                <w:sz w:val="20"/>
                <w:szCs w:val="20"/>
              </w:rPr>
            </w:pPr>
            <w:r w:rsidRPr="00B66346">
              <w:rPr>
                <w:sz w:val="20"/>
                <w:szCs w:val="20"/>
              </w:rPr>
              <w:t>If yes, what was the first recorded (after admission) value?</w:t>
            </w:r>
          </w:p>
          <w:p w14:paraId="740CDE85" w14:textId="77777777" w:rsidR="007D7C0C" w:rsidRPr="00B66346" w:rsidRDefault="007D7C0C" w:rsidP="003A385F">
            <w:pPr>
              <w:pStyle w:val="Header"/>
              <w:tabs>
                <w:tab w:val="left" w:pos="2961"/>
                <w:tab w:val="left" w:pos="7200"/>
                <w:tab w:val="left" w:pos="9180"/>
              </w:tabs>
              <w:ind w:left="720"/>
              <w:rPr>
                <w:sz w:val="20"/>
                <w:szCs w:val="20"/>
              </w:rPr>
            </w:pPr>
            <w:r w:rsidRPr="00B66346">
              <w:rPr>
                <w:sz w:val="20"/>
                <w:szCs w:val="20"/>
              </w:rPr>
              <w:tab/>
              <w:t>mmol/l</w:t>
            </w:r>
          </w:p>
          <w:p w14:paraId="2CC19053" w14:textId="77777777" w:rsidR="007D7C0C" w:rsidRPr="00B66346" w:rsidRDefault="007D7C0C" w:rsidP="003A385F">
            <w:pPr>
              <w:tabs>
                <w:tab w:val="left" w:pos="2961"/>
                <w:tab w:val="left" w:pos="7200"/>
                <w:tab w:val="left" w:pos="8280"/>
                <w:tab w:val="left" w:pos="9180"/>
              </w:tabs>
              <w:ind w:left="792"/>
              <w:rPr>
                <w:sz w:val="20"/>
                <w:szCs w:val="20"/>
              </w:rPr>
            </w:pPr>
            <w:r w:rsidRPr="00B66346">
              <w:rPr>
                <w:sz w:val="20"/>
                <w:szCs w:val="20"/>
              </w:rPr>
              <w:tab/>
              <w:t>not recorded</w:t>
            </w:r>
          </w:p>
        </w:tc>
        <w:tc>
          <w:tcPr>
            <w:tcW w:w="743" w:type="dxa"/>
            <w:tcBorders>
              <w:top w:val="dashed" w:sz="4" w:space="0" w:color="auto"/>
            </w:tcBorders>
          </w:tcPr>
          <w:p w14:paraId="18CA8B4F" w14:textId="77777777" w:rsidR="007D7C0C" w:rsidRPr="00B66346" w:rsidRDefault="007D7C0C" w:rsidP="003A385F">
            <w:pPr>
              <w:pStyle w:val="Header"/>
              <w:rPr>
                <w:sz w:val="20"/>
                <w:szCs w:val="20"/>
              </w:rPr>
            </w:pPr>
          </w:p>
        </w:tc>
        <w:tc>
          <w:tcPr>
            <w:tcW w:w="674" w:type="dxa"/>
            <w:tcBorders>
              <w:top w:val="dashed" w:sz="4" w:space="0" w:color="auto"/>
            </w:tcBorders>
          </w:tcPr>
          <w:p w14:paraId="2D4F104B" w14:textId="77777777" w:rsidR="007D7C0C" w:rsidRPr="00B66346" w:rsidRDefault="007D7C0C" w:rsidP="003A385F">
            <w:pPr>
              <w:pStyle w:val="Header"/>
              <w:rPr>
                <w:sz w:val="20"/>
                <w:szCs w:val="20"/>
              </w:rPr>
            </w:pPr>
          </w:p>
        </w:tc>
        <w:tc>
          <w:tcPr>
            <w:tcW w:w="851" w:type="dxa"/>
            <w:tcBorders>
              <w:top w:val="dashed" w:sz="4" w:space="0" w:color="auto"/>
            </w:tcBorders>
          </w:tcPr>
          <w:p w14:paraId="4D30E8BC" w14:textId="77777777" w:rsidR="007D7C0C" w:rsidRPr="00B66346" w:rsidRDefault="007D7C0C" w:rsidP="003A385F">
            <w:pPr>
              <w:pStyle w:val="Header"/>
              <w:rPr>
                <w:sz w:val="20"/>
                <w:szCs w:val="20"/>
              </w:rPr>
            </w:pPr>
          </w:p>
        </w:tc>
      </w:tr>
      <w:tr w:rsidR="007D7C0C" w:rsidRPr="00B66346" w14:paraId="2189CCE1" w14:textId="77777777" w:rsidTr="004817D3">
        <w:trPr>
          <w:trHeight w:val="75"/>
        </w:trPr>
        <w:tc>
          <w:tcPr>
            <w:tcW w:w="530" w:type="dxa"/>
            <w:tcBorders>
              <w:bottom w:val="dashed" w:sz="4" w:space="0" w:color="auto"/>
            </w:tcBorders>
          </w:tcPr>
          <w:p w14:paraId="5D4C54BE" w14:textId="77777777" w:rsidR="007D7C0C" w:rsidRPr="00B66346" w:rsidRDefault="007D7C0C" w:rsidP="003A385F">
            <w:pPr>
              <w:pStyle w:val="Header"/>
              <w:rPr>
                <w:sz w:val="20"/>
                <w:szCs w:val="20"/>
              </w:rPr>
            </w:pPr>
            <w:r w:rsidRPr="00B66346">
              <w:rPr>
                <w:sz w:val="20"/>
                <w:szCs w:val="20"/>
              </w:rPr>
              <w:t>22</w:t>
            </w:r>
          </w:p>
        </w:tc>
        <w:tc>
          <w:tcPr>
            <w:tcW w:w="5532" w:type="dxa"/>
            <w:tcBorders>
              <w:bottom w:val="dashed" w:sz="4" w:space="0" w:color="auto"/>
            </w:tcBorders>
          </w:tcPr>
          <w:p w14:paraId="545BD37D" w14:textId="77777777" w:rsidR="007D7C0C" w:rsidRPr="00B66346" w:rsidRDefault="007D7C0C" w:rsidP="003A385F">
            <w:pPr>
              <w:pBdr>
                <w:top w:val="dotted" w:sz="4" w:space="10" w:color="auto"/>
              </w:pBdr>
              <w:tabs>
                <w:tab w:val="left" w:pos="7200"/>
                <w:tab w:val="left" w:pos="8280"/>
                <w:tab w:val="left" w:pos="9180"/>
              </w:tabs>
              <w:rPr>
                <w:sz w:val="20"/>
                <w:szCs w:val="20"/>
              </w:rPr>
            </w:pPr>
            <w:r w:rsidRPr="00B66346">
              <w:rPr>
                <w:sz w:val="20"/>
                <w:szCs w:val="20"/>
              </w:rPr>
              <w:t>Was serum albumin recorded?</w:t>
            </w:r>
          </w:p>
          <w:p w14:paraId="61CD53C6" w14:textId="77777777" w:rsidR="007D7C0C" w:rsidRPr="00B66346" w:rsidRDefault="007D7C0C" w:rsidP="003A385F">
            <w:pPr>
              <w:pBdr>
                <w:top w:val="dotted" w:sz="4" w:space="10" w:color="auto"/>
              </w:pBdr>
              <w:tabs>
                <w:tab w:val="left" w:pos="2961"/>
                <w:tab w:val="left" w:pos="7200"/>
                <w:tab w:val="left" w:pos="8280"/>
                <w:tab w:val="left" w:pos="9180"/>
              </w:tabs>
              <w:rPr>
                <w:sz w:val="20"/>
                <w:szCs w:val="20"/>
              </w:rPr>
            </w:pPr>
            <w:r w:rsidRPr="00B66346">
              <w:rPr>
                <w:sz w:val="20"/>
                <w:szCs w:val="20"/>
              </w:rPr>
              <w:tab/>
              <w:t>Yes</w:t>
            </w:r>
          </w:p>
          <w:p w14:paraId="1D13CC51" w14:textId="77777777" w:rsidR="007D7C0C" w:rsidRPr="00B66346" w:rsidRDefault="007D7C0C" w:rsidP="003A385F">
            <w:pPr>
              <w:pStyle w:val="Header"/>
              <w:tabs>
                <w:tab w:val="left" w:pos="2961"/>
                <w:tab w:val="left" w:pos="4820"/>
                <w:tab w:val="left" w:pos="6379"/>
                <w:tab w:val="left" w:pos="7088"/>
                <w:tab w:val="left" w:pos="9072"/>
              </w:tabs>
              <w:rPr>
                <w:sz w:val="20"/>
                <w:szCs w:val="20"/>
              </w:rPr>
            </w:pPr>
            <w:r w:rsidRPr="00B66346">
              <w:rPr>
                <w:sz w:val="20"/>
                <w:szCs w:val="20"/>
              </w:rPr>
              <w:tab/>
              <w:t>no</w:t>
            </w:r>
          </w:p>
        </w:tc>
        <w:tc>
          <w:tcPr>
            <w:tcW w:w="743" w:type="dxa"/>
            <w:tcBorders>
              <w:bottom w:val="dashed" w:sz="4" w:space="0" w:color="auto"/>
            </w:tcBorders>
          </w:tcPr>
          <w:p w14:paraId="1B91FCCB" w14:textId="77777777" w:rsidR="007D7C0C" w:rsidRPr="00B66346" w:rsidRDefault="007D7C0C" w:rsidP="003A385F">
            <w:pPr>
              <w:pStyle w:val="Header"/>
              <w:rPr>
                <w:sz w:val="20"/>
                <w:szCs w:val="20"/>
              </w:rPr>
            </w:pPr>
          </w:p>
        </w:tc>
        <w:tc>
          <w:tcPr>
            <w:tcW w:w="674" w:type="dxa"/>
            <w:tcBorders>
              <w:bottom w:val="dashed" w:sz="4" w:space="0" w:color="auto"/>
            </w:tcBorders>
          </w:tcPr>
          <w:p w14:paraId="4A9BC885" w14:textId="77777777" w:rsidR="007D7C0C" w:rsidRPr="00B66346" w:rsidRDefault="007D7C0C" w:rsidP="003A385F">
            <w:pPr>
              <w:pStyle w:val="Header"/>
              <w:rPr>
                <w:sz w:val="20"/>
                <w:szCs w:val="20"/>
              </w:rPr>
            </w:pPr>
          </w:p>
        </w:tc>
        <w:tc>
          <w:tcPr>
            <w:tcW w:w="851" w:type="dxa"/>
            <w:tcBorders>
              <w:bottom w:val="dashed" w:sz="4" w:space="0" w:color="auto"/>
            </w:tcBorders>
          </w:tcPr>
          <w:p w14:paraId="556868D0" w14:textId="77777777" w:rsidR="007D7C0C" w:rsidRPr="00B66346" w:rsidRDefault="007D7C0C" w:rsidP="003A385F">
            <w:pPr>
              <w:pStyle w:val="Header"/>
              <w:rPr>
                <w:sz w:val="20"/>
                <w:szCs w:val="20"/>
              </w:rPr>
            </w:pPr>
          </w:p>
        </w:tc>
      </w:tr>
      <w:tr w:rsidR="007D7C0C" w:rsidRPr="00B66346" w14:paraId="0248919F" w14:textId="77777777" w:rsidTr="004817D3">
        <w:trPr>
          <w:trHeight w:val="75"/>
        </w:trPr>
        <w:tc>
          <w:tcPr>
            <w:tcW w:w="530" w:type="dxa"/>
            <w:tcBorders>
              <w:top w:val="dashed" w:sz="4" w:space="0" w:color="auto"/>
            </w:tcBorders>
          </w:tcPr>
          <w:p w14:paraId="3E859AFF" w14:textId="77777777" w:rsidR="007D7C0C" w:rsidRPr="00B66346" w:rsidRDefault="007D7C0C" w:rsidP="003A385F">
            <w:pPr>
              <w:pStyle w:val="Header"/>
              <w:rPr>
                <w:sz w:val="20"/>
                <w:szCs w:val="20"/>
              </w:rPr>
            </w:pPr>
          </w:p>
        </w:tc>
        <w:tc>
          <w:tcPr>
            <w:tcW w:w="5532" w:type="dxa"/>
            <w:tcBorders>
              <w:top w:val="dashed" w:sz="4" w:space="0" w:color="auto"/>
            </w:tcBorders>
          </w:tcPr>
          <w:p w14:paraId="2697F883" w14:textId="77777777" w:rsidR="007D7C0C" w:rsidRPr="00B66346" w:rsidRDefault="007D7C0C" w:rsidP="003A385F">
            <w:pPr>
              <w:pStyle w:val="Header"/>
              <w:tabs>
                <w:tab w:val="left" w:pos="2835"/>
                <w:tab w:val="left" w:pos="4820"/>
                <w:tab w:val="left" w:pos="6379"/>
                <w:tab w:val="left" w:pos="7088"/>
                <w:tab w:val="left" w:pos="9072"/>
              </w:tabs>
              <w:ind w:left="720"/>
              <w:rPr>
                <w:sz w:val="20"/>
                <w:szCs w:val="20"/>
              </w:rPr>
            </w:pPr>
            <w:r w:rsidRPr="00B66346">
              <w:rPr>
                <w:sz w:val="20"/>
                <w:szCs w:val="20"/>
              </w:rPr>
              <w:t>If yes, what was the first recorded (after admission) value?</w:t>
            </w:r>
          </w:p>
          <w:p w14:paraId="2F258532" w14:textId="77777777" w:rsidR="007D7C0C" w:rsidRPr="00B66346" w:rsidRDefault="007D7C0C" w:rsidP="003A385F">
            <w:pPr>
              <w:pStyle w:val="Header"/>
              <w:tabs>
                <w:tab w:val="left" w:pos="6480"/>
                <w:tab w:val="left" w:pos="8100"/>
                <w:tab w:val="left" w:pos="9180"/>
              </w:tabs>
              <w:ind w:left="720"/>
              <w:rPr>
                <w:sz w:val="20"/>
                <w:szCs w:val="20"/>
              </w:rPr>
            </w:pPr>
            <w:r w:rsidRPr="00B66346">
              <w:rPr>
                <w:sz w:val="20"/>
                <w:szCs w:val="20"/>
              </w:rPr>
              <w:t>mmol/l</w:t>
            </w:r>
          </w:p>
          <w:p w14:paraId="4D738D34" w14:textId="77777777" w:rsidR="007D7C0C" w:rsidRPr="00B66346" w:rsidRDefault="007D7C0C" w:rsidP="003A385F">
            <w:pPr>
              <w:tabs>
                <w:tab w:val="left" w:pos="7200"/>
                <w:tab w:val="left" w:pos="8280"/>
                <w:tab w:val="left" w:pos="9180"/>
              </w:tabs>
              <w:ind w:left="720"/>
              <w:rPr>
                <w:sz w:val="20"/>
                <w:szCs w:val="20"/>
              </w:rPr>
            </w:pPr>
            <w:r w:rsidRPr="00B66346">
              <w:rPr>
                <w:sz w:val="20"/>
                <w:szCs w:val="20"/>
              </w:rPr>
              <w:t>not recorded</w:t>
            </w:r>
          </w:p>
        </w:tc>
        <w:tc>
          <w:tcPr>
            <w:tcW w:w="743" w:type="dxa"/>
            <w:tcBorders>
              <w:top w:val="dashed" w:sz="4" w:space="0" w:color="auto"/>
            </w:tcBorders>
          </w:tcPr>
          <w:p w14:paraId="64FCED03" w14:textId="77777777" w:rsidR="007D7C0C" w:rsidRPr="00B66346" w:rsidRDefault="007D7C0C" w:rsidP="003A385F">
            <w:pPr>
              <w:pStyle w:val="Header"/>
              <w:rPr>
                <w:sz w:val="20"/>
                <w:szCs w:val="20"/>
              </w:rPr>
            </w:pPr>
          </w:p>
        </w:tc>
        <w:tc>
          <w:tcPr>
            <w:tcW w:w="674" w:type="dxa"/>
            <w:tcBorders>
              <w:top w:val="dashed" w:sz="4" w:space="0" w:color="auto"/>
            </w:tcBorders>
          </w:tcPr>
          <w:p w14:paraId="561D8639" w14:textId="77777777" w:rsidR="007D7C0C" w:rsidRPr="00B66346" w:rsidRDefault="007D7C0C" w:rsidP="003A385F">
            <w:pPr>
              <w:pStyle w:val="Header"/>
              <w:rPr>
                <w:sz w:val="20"/>
                <w:szCs w:val="20"/>
              </w:rPr>
            </w:pPr>
          </w:p>
        </w:tc>
        <w:tc>
          <w:tcPr>
            <w:tcW w:w="851" w:type="dxa"/>
            <w:tcBorders>
              <w:top w:val="dashed" w:sz="4" w:space="0" w:color="auto"/>
            </w:tcBorders>
          </w:tcPr>
          <w:p w14:paraId="45B31565" w14:textId="77777777" w:rsidR="007D7C0C" w:rsidRPr="00B66346" w:rsidRDefault="007D7C0C" w:rsidP="003A385F">
            <w:pPr>
              <w:pStyle w:val="Header"/>
              <w:rPr>
                <w:sz w:val="20"/>
                <w:szCs w:val="20"/>
              </w:rPr>
            </w:pPr>
          </w:p>
        </w:tc>
      </w:tr>
      <w:tr w:rsidR="007D7C0C" w:rsidRPr="00B66346" w14:paraId="0FD81962" w14:textId="77777777" w:rsidTr="004817D3">
        <w:trPr>
          <w:trHeight w:val="75"/>
        </w:trPr>
        <w:tc>
          <w:tcPr>
            <w:tcW w:w="530" w:type="dxa"/>
            <w:tcBorders>
              <w:bottom w:val="dashed" w:sz="4" w:space="0" w:color="auto"/>
            </w:tcBorders>
          </w:tcPr>
          <w:p w14:paraId="350730A4" w14:textId="77777777" w:rsidR="007D7C0C" w:rsidRPr="00B66346" w:rsidRDefault="007D7C0C" w:rsidP="003A385F">
            <w:pPr>
              <w:pStyle w:val="Header"/>
              <w:rPr>
                <w:sz w:val="20"/>
                <w:szCs w:val="20"/>
              </w:rPr>
            </w:pPr>
            <w:r w:rsidRPr="00B66346">
              <w:rPr>
                <w:sz w:val="20"/>
                <w:szCs w:val="20"/>
              </w:rPr>
              <w:t>23</w:t>
            </w:r>
          </w:p>
        </w:tc>
        <w:tc>
          <w:tcPr>
            <w:tcW w:w="5532" w:type="dxa"/>
            <w:tcBorders>
              <w:bottom w:val="dashed" w:sz="4" w:space="0" w:color="auto"/>
            </w:tcBorders>
          </w:tcPr>
          <w:p w14:paraId="6FE1E00A" w14:textId="77777777" w:rsidR="007D7C0C" w:rsidRPr="00B66346" w:rsidRDefault="007D7C0C" w:rsidP="003A385F">
            <w:pPr>
              <w:pStyle w:val="Header"/>
              <w:pBdr>
                <w:top w:val="dotted" w:sz="4" w:space="10" w:color="auto"/>
              </w:pBdr>
              <w:tabs>
                <w:tab w:val="left" w:pos="2835"/>
                <w:tab w:val="left" w:pos="4820"/>
                <w:tab w:val="left" w:pos="6379"/>
                <w:tab w:val="left" w:pos="7371"/>
                <w:tab w:val="left" w:pos="9072"/>
              </w:tabs>
              <w:rPr>
                <w:sz w:val="20"/>
                <w:szCs w:val="20"/>
              </w:rPr>
            </w:pPr>
            <w:r w:rsidRPr="00B66346">
              <w:rPr>
                <w:sz w:val="20"/>
                <w:szCs w:val="20"/>
              </w:rPr>
              <w:t>Was there a record of medications being taken at time of admission (within 24 hours)?</w:t>
            </w:r>
          </w:p>
          <w:p w14:paraId="475CD605" w14:textId="77777777" w:rsidR="007D7C0C" w:rsidRPr="00B66346" w:rsidRDefault="007D7C0C" w:rsidP="003A385F">
            <w:pPr>
              <w:pStyle w:val="Header"/>
              <w:pBdr>
                <w:top w:val="dotted" w:sz="4" w:space="10" w:color="auto"/>
              </w:pBdr>
              <w:tabs>
                <w:tab w:val="left" w:pos="2943"/>
                <w:tab w:val="left" w:pos="7200"/>
                <w:tab w:val="left" w:pos="8280"/>
                <w:tab w:val="left" w:pos="9180"/>
              </w:tabs>
              <w:rPr>
                <w:sz w:val="20"/>
                <w:szCs w:val="20"/>
              </w:rPr>
            </w:pPr>
            <w:r w:rsidRPr="00B66346">
              <w:rPr>
                <w:sz w:val="20"/>
                <w:szCs w:val="20"/>
              </w:rPr>
              <w:tab/>
              <w:t>yes</w:t>
            </w:r>
          </w:p>
          <w:p w14:paraId="4F8B575B" w14:textId="77777777" w:rsidR="007D7C0C" w:rsidRPr="00B66346" w:rsidRDefault="007D7C0C" w:rsidP="003A385F">
            <w:pPr>
              <w:pStyle w:val="Header"/>
              <w:tabs>
                <w:tab w:val="left" w:pos="2943"/>
                <w:tab w:val="left" w:pos="4820"/>
                <w:tab w:val="left" w:pos="6379"/>
                <w:tab w:val="left" w:pos="7088"/>
                <w:tab w:val="left" w:pos="9072"/>
              </w:tabs>
              <w:ind w:left="720"/>
              <w:rPr>
                <w:sz w:val="20"/>
                <w:szCs w:val="20"/>
              </w:rPr>
            </w:pPr>
            <w:r w:rsidRPr="00B66346">
              <w:rPr>
                <w:sz w:val="20"/>
                <w:szCs w:val="20"/>
              </w:rPr>
              <w:tab/>
              <w:t>no</w:t>
            </w:r>
          </w:p>
        </w:tc>
        <w:tc>
          <w:tcPr>
            <w:tcW w:w="743" w:type="dxa"/>
            <w:tcBorders>
              <w:bottom w:val="dashed" w:sz="4" w:space="0" w:color="auto"/>
            </w:tcBorders>
          </w:tcPr>
          <w:p w14:paraId="2FA31A39" w14:textId="77777777" w:rsidR="007D7C0C" w:rsidRPr="00B66346" w:rsidRDefault="007D7C0C" w:rsidP="003A385F">
            <w:pPr>
              <w:pStyle w:val="Header"/>
              <w:rPr>
                <w:sz w:val="20"/>
                <w:szCs w:val="20"/>
              </w:rPr>
            </w:pPr>
          </w:p>
        </w:tc>
        <w:tc>
          <w:tcPr>
            <w:tcW w:w="674" w:type="dxa"/>
            <w:tcBorders>
              <w:bottom w:val="dashed" w:sz="4" w:space="0" w:color="auto"/>
            </w:tcBorders>
          </w:tcPr>
          <w:p w14:paraId="1F31C038" w14:textId="77777777" w:rsidR="007D7C0C" w:rsidRPr="00B66346" w:rsidRDefault="007D7C0C" w:rsidP="003A385F">
            <w:pPr>
              <w:pStyle w:val="Header"/>
              <w:rPr>
                <w:sz w:val="20"/>
                <w:szCs w:val="20"/>
              </w:rPr>
            </w:pPr>
          </w:p>
        </w:tc>
        <w:tc>
          <w:tcPr>
            <w:tcW w:w="851" w:type="dxa"/>
            <w:tcBorders>
              <w:bottom w:val="dashed" w:sz="4" w:space="0" w:color="auto"/>
            </w:tcBorders>
          </w:tcPr>
          <w:p w14:paraId="52A7F112" w14:textId="77777777" w:rsidR="007D7C0C" w:rsidRPr="00B66346" w:rsidRDefault="007D7C0C" w:rsidP="003A385F">
            <w:pPr>
              <w:pStyle w:val="Header"/>
              <w:rPr>
                <w:sz w:val="20"/>
                <w:szCs w:val="20"/>
              </w:rPr>
            </w:pPr>
          </w:p>
        </w:tc>
      </w:tr>
      <w:tr w:rsidR="007D7C0C" w:rsidRPr="00B66346" w14:paraId="02C23F3B" w14:textId="77777777" w:rsidTr="004817D3">
        <w:trPr>
          <w:trHeight w:val="75"/>
        </w:trPr>
        <w:tc>
          <w:tcPr>
            <w:tcW w:w="530" w:type="dxa"/>
            <w:tcBorders>
              <w:top w:val="dashed" w:sz="4" w:space="0" w:color="auto"/>
            </w:tcBorders>
          </w:tcPr>
          <w:p w14:paraId="70526FE8" w14:textId="77777777" w:rsidR="007D7C0C" w:rsidRPr="00B66346" w:rsidRDefault="007D7C0C" w:rsidP="003A385F">
            <w:pPr>
              <w:pStyle w:val="Header"/>
              <w:rPr>
                <w:sz w:val="20"/>
                <w:szCs w:val="20"/>
              </w:rPr>
            </w:pPr>
          </w:p>
        </w:tc>
        <w:tc>
          <w:tcPr>
            <w:tcW w:w="5532" w:type="dxa"/>
            <w:tcBorders>
              <w:top w:val="dashed" w:sz="4" w:space="0" w:color="auto"/>
            </w:tcBorders>
          </w:tcPr>
          <w:p w14:paraId="259C1709" w14:textId="77777777" w:rsidR="007D7C0C" w:rsidRPr="00B66346" w:rsidRDefault="007D7C0C" w:rsidP="003A385F">
            <w:pPr>
              <w:pStyle w:val="Header"/>
              <w:tabs>
                <w:tab w:val="left" w:pos="2835"/>
                <w:tab w:val="left" w:pos="4820"/>
                <w:tab w:val="left" w:pos="6379"/>
                <w:tab w:val="left" w:pos="7371"/>
                <w:tab w:val="left" w:pos="9072"/>
              </w:tabs>
              <w:ind w:left="720"/>
              <w:rPr>
                <w:sz w:val="20"/>
                <w:szCs w:val="20"/>
              </w:rPr>
            </w:pPr>
            <w:r w:rsidRPr="00B66346">
              <w:rPr>
                <w:sz w:val="20"/>
                <w:szCs w:val="20"/>
              </w:rPr>
              <w:t>If yes, were there 5 or more medications recorded?</w:t>
            </w:r>
          </w:p>
          <w:p w14:paraId="702C8291" w14:textId="77777777" w:rsidR="007D7C0C" w:rsidRPr="00B66346" w:rsidRDefault="007D7C0C" w:rsidP="003A385F">
            <w:pPr>
              <w:pStyle w:val="Header"/>
              <w:tabs>
                <w:tab w:val="left" w:pos="2952"/>
                <w:tab w:val="left" w:pos="7200"/>
                <w:tab w:val="left" w:pos="8280"/>
                <w:tab w:val="left" w:pos="9180"/>
              </w:tabs>
              <w:rPr>
                <w:sz w:val="20"/>
                <w:szCs w:val="20"/>
              </w:rPr>
            </w:pPr>
            <w:r w:rsidRPr="00B66346">
              <w:rPr>
                <w:color w:val="0000FF"/>
                <w:sz w:val="20"/>
                <w:szCs w:val="20"/>
              </w:rPr>
              <w:tab/>
            </w:r>
            <w:r w:rsidRPr="00B66346">
              <w:rPr>
                <w:sz w:val="20"/>
                <w:szCs w:val="20"/>
              </w:rPr>
              <w:t>Yes</w:t>
            </w:r>
          </w:p>
          <w:p w14:paraId="7699EDC2" w14:textId="77777777" w:rsidR="007D7C0C" w:rsidRPr="00B66346" w:rsidRDefault="007D7C0C" w:rsidP="003A385F">
            <w:pPr>
              <w:pStyle w:val="Header"/>
              <w:tabs>
                <w:tab w:val="left" w:pos="2952"/>
                <w:tab w:val="left" w:pos="4820"/>
                <w:tab w:val="left" w:pos="6379"/>
                <w:tab w:val="left" w:pos="7371"/>
                <w:tab w:val="left" w:pos="9072"/>
              </w:tabs>
              <w:rPr>
                <w:sz w:val="20"/>
                <w:szCs w:val="20"/>
              </w:rPr>
            </w:pPr>
            <w:r w:rsidRPr="00B66346">
              <w:rPr>
                <w:sz w:val="20"/>
                <w:szCs w:val="20"/>
              </w:rPr>
              <w:tab/>
              <w:t>no</w:t>
            </w:r>
          </w:p>
        </w:tc>
        <w:tc>
          <w:tcPr>
            <w:tcW w:w="743" w:type="dxa"/>
            <w:tcBorders>
              <w:top w:val="dashed" w:sz="4" w:space="0" w:color="auto"/>
            </w:tcBorders>
          </w:tcPr>
          <w:p w14:paraId="0A4319B3" w14:textId="77777777" w:rsidR="007D7C0C" w:rsidRPr="00B66346" w:rsidRDefault="007D7C0C" w:rsidP="003A385F">
            <w:pPr>
              <w:pStyle w:val="Header"/>
              <w:rPr>
                <w:sz w:val="20"/>
                <w:szCs w:val="20"/>
              </w:rPr>
            </w:pPr>
          </w:p>
        </w:tc>
        <w:tc>
          <w:tcPr>
            <w:tcW w:w="674" w:type="dxa"/>
            <w:tcBorders>
              <w:top w:val="dashed" w:sz="4" w:space="0" w:color="auto"/>
            </w:tcBorders>
          </w:tcPr>
          <w:p w14:paraId="4B3DA2FF" w14:textId="77777777" w:rsidR="007D7C0C" w:rsidRPr="00B66346" w:rsidRDefault="007D7C0C" w:rsidP="003A385F">
            <w:pPr>
              <w:pStyle w:val="Header"/>
              <w:rPr>
                <w:sz w:val="20"/>
                <w:szCs w:val="20"/>
              </w:rPr>
            </w:pPr>
          </w:p>
        </w:tc>
        <w:tc>
          <w:tcPr>
            <w:tcW w:w="851" w:type="dxa"/>
            <w:tcBorders>
              <w:top w:val="dashed" w:sz="4" w:space="0" w:color="auto"/>
            </w:tcBorders>
          </w:tcPr>
          <w:p w14:paraId="16A2E89B" w14:textId="77777777" w:rsidR="007D7C0C" w:rsidRPr="00B66346" w:rsidRDefault="007D7C0C" w:rsidP="003A385F">
            <w:pPr>
              <w:pStyle w:val="Header"/>
              <w:rPr>
                <w:sz w:val="20"/>
                <w:szCs w:val="20"/>
              </w:rPr>
            </w:pPr>
          </w:p>
        </w:tc>
      </w:tr>
      <w:tr w:rsidR="007D7C0C" w:rsidRPr="00B66346" w14:paraId="7C91007C" w14:textId="77777777" w:rsidTr="004817D3">
        <w:trPr>
          <w:trHeight w:val="75"/>
        </w:trPr>
        <w:tc>
          <w:tcPr>
            <w:tcW w:w="530" w:type="dxa"/>
          </w:tcPr>
          <w:p w14:paraId="71006165" w14:textId="77777777" w:rsidR="007D7C0C" w:rsidRPr="00B66346" w:rsidRDefault="007D7C0C" w:rsidP="003A385F">
            <w:pPr>
              <w:pStyle w:val="Header"/>
              <w:rPr>
                <w:sz w:val="20"/>
                <w:szCs w:val="20"/>
              </w:rPr>
            </w:pPr>
            <w:r w:rsidRPr="00B66346">
              <w:rPr>
                <w:sz w:val="20"/>
                <w:szCs w:val="20"/>
              </w:rPr>
              <w:lastRenderedPageBreak/>
              <w:t>24</w:t>
            </w:r>
          </w:p>
        </w:tc>
        <w:tc>
          <w:tcPr>
            <w:tcW w:w="5532" w:type="dxa"/>
          </w:tcPr>
          <w:p w14:paraId="36A54AEB" w14:textId="77777777" w:rsidR="007D7C0C" w:rsidRPr="00B66346" w:rsidRDefault="007D7C0C" w:rsidP="003A385F">
            <w:pPr>
              <w:pStyle w:val="Header"/>
              <w:pBdr>
                <w:top w:val="dotted" w:sz="4" w:space="10" w:color="auto"/>
              </w:pBdr>
              <w:tabs>
                <w:tab w:val="left" w:pos="2835"/>
                <w:tab w:val="left" w:pos="4820"/>
                <w:tab w:val="left" w:pos="6379"/>
                <w:tab w:val="left" w:pos="8280"/>
                <w:tab w:val="left" w:pos="9180"/>
              </w:tabs>
              <w:rPr>
                <w:sz w:val="20"/>
                <w:szCs w:val="20"/>
              </w:rPr>
            </w:pPr>
            <w:r w:rsidRPr="00B66346">
              <w:rPr>
                <w:sz w:val="20"/>
                <w:szCs w:val="20"/>
              </w:rPr>
              <w:t>What was the patient’s temperature at admission? (</w:t>
            </w:r>
            <w:r w:rsidRPr="00B66346">
              <w:rPr>
                <w:sz w:val="20"/>
                <w:szCs w:val="20"/>
                <w:vertAlign w:val="superscript"/>
              </w:rPr>
              <w:t>o</w:t>
            </w:r>
            <w:r w:rsidRPr="00B66346">
              <w:rPr>
                <w:sz w:val="20"/>
                <w:szCs w:val="20"/>
              </w:rPr>
              <w:t>C)</w:t>
            </w:r>
          </w:p>
          <w:p w14:paraId="7E37E113" w14:textId="77777777" w:rsidR="007D7C0C" w:rsidRPr="00B66346" w:rsidRDefault="007D7C0C" w:rsidP="003A385F">
            <w:pPr>
              <w:pStyle w:val="Header"/>
              <w:tabs>
                <w:tab w:val="left" w:pos="2835"/>
                <w:tab w:val="left" w:pos="4820"/>
                <w:tab w:val="left" w:pos="6379"/>
                <w:tab w:val="left" w:pos="7371"/>
                <w:tab w:val="left" w:pos="9072"/>
              </w:tabs>
              <w:ind w:left="720"/>
              <w:rPr>
                <w:sz w:val="20"/>
                <w:szCs w:val="20"/>
              </w:rPr>
            </w:pPr>
            <w:r w:rsidRPr="00B66346">
              <w:rPr>
                <w:sz w:val="20"/>
                <w:szCs w:val="20"/>
              </w:rPr>
              <w:tab/>
              <w:t>not recorded</w:t>
            </w:r>
          </w:p>
        </w:tc>
        <w:tc>
          <w:tcPr>
            <w:tcW w:w="743" w:type="dxa"/>
          </w:tcPr>
          <w:p w14:paraId="40C28F96" w14:textId="77777777" w:rsidR="007D7C0C" w:rsidRPr="00B66346" w:rsidRDefault="007D7C0C" w:rsidP="003A385F">
            <w:pPr>
              <w:pStyle w:val="Header"/>
              <w:rPr>
                <w:sz w:val="20"/>
                <w:szCs w:val="20"/>
              </w:rPr>
            </w:pPr>
          </w:p>
        </w:tc>
        <w:tc>
          <w:tcPr>
            <w:tcW w:w="674" w:type="dxa"/>
          </w:tcPr>
          <w:p w14:paraId="030B46BC" w14:textId="77777777" w:rsidR="007D7C0C" w:rsidRPr="00B66346" w:rsidRDefault="007D7C0C" w:rsidP="003A385F">
            <w:pPr>
              <w:pStyle w:val="Header"/>
              <w:rPr>
                <w:sz w:val="20"/>
                <w:szCs w:val="20"/>
              </w:rPr>
            </w:pPr>
          </w:p>
        </w:tc>
        <w:tc>
          <w:tcPr>
            <w:tcW w:w="851" w:type="dxa"/>
          </w:tcPr>
          <w:p w14:paraId="62A55A95" w14:textId="77777777" w:rsidR="007D7C0C" w:rsidRPr="00B66346" w:rsidRDefault="007D7C0C" w:rsidP="003A385F">
            <w:pPr>
              <w:pStyle w:val="Header"/>
              <w:rPr>
                <w:sz w:val="20"/>
                <w:szCs w:val="20"/>
              </w:rPr>
            </w:pPr>
          </w:p>
        </w:tc>
      </w:tr>
      <w:tr w:rsidR="007D7C0C" w:rsidRPr="00B66346" w14:paraId="19A31258" w14:textId="77777777" w:rsidTr="004817D3">
        <w:trPr>
          <w:trHeight w:val="75"/>
        </w:trPr>
        <w:tc>
          <w:tcPr>
            <w:tcW w:w="530" w:type="dxa"/>
            <w:tcBorders>
              <w:bottom w:val="dashed" w:sz="4" w:space="0" w:color="auto"/>
            </w:tcBorders>
          </w:tcPr>
          <w:p w14:paraId="61CC9DA4" w14:textId="77777777" w:rsidR="007D7C0C" w:rsidRPr="00B66346" w:rsidRDefault="007D7C0C" w:rsidP="003A385F">
            <w:pPr>
              <w:pStyle w:val="Header"/>
              <w:rPr>
                <w:sz w:val="20"/>
                <w:szCs w:val="20"/>
              </w:rPr>
            </w:pPr>
            <w:r w:rsidRPr="00B66346">
              <w:rPr>
                <w:sz w:val="20"/>
                <w:szCs w:val="20"/>
              </w:rPr>
              <w:t>25</w:t>
            </w:r>
          </w:p>
        </w:tc>
        <w:tc>
          <w:tcPr>
            <w:tcW w:w="5532" w:type="dxa"/>
            <w:tcBorders>
              <w:bottom w:val="dashed" w:sz="4" w:space="0" w:color="auto"/>
            </w:tcBorders>
          </w:tcPr>
          <w:p w14:paraId="01C87B84" w14:textId="77777777" w:rsidR="007D7C0C" w:rsidRPr="00B66346" w:rsidRDefault="007D7C0C" w:rsidP="003A385F">
            <w:pPr>
              <w:pBdr>
                <w:top w:val="dotted" w:sz="4" w:space="10" w:color="auto"/>
              </w:pBdr>
              <w:tabs>
                <w:tab w:val="left" w:pos="2835"/>
                <w:tab w:val="left" w:pos="4820"/>
                <w:tab w:val="left" w:pos="7371"/>
                <w:tab w:val="left" w:pos="9072"/>
              </w:tabs>
              <w:rPr>
                <w:sz w:val="20"/>
                <w:szCs w:val="20"/>
              </w:rPr>
            </w:pPr>
            <w:r w:rsidRPr="00B66346">
              <w:rPr>
                <w:sz w:val="20"/>
                <w:szCs w:val="20"/>
              </w:rPr>
              <w:t>Is there a spirometry reading in the notes for this admission?</w:t>
            </w:r>
          </w:p>
          <w:p w14:paraId="03372FC1" w14:textId="77777777" w:rsidR="007D7C0C" w:rsidRPr="00B66346" w:rsidRDefault="007D7C0C" w:rsidP="003A385F">
            <w:pPr>
              <w:pStyle w:val="Header"/>
              <w:pBdr>
                <w:top w:val="dotted" w:sz="4" w:space="10" w:color="auto"/>
              </w:pBdr>
              <w:tabs>
                <w:tab w:val="left" w:pos="2961"/>
                <w:tab w:val="left" w:pos="7200"/>
                <w:tab w:val="left" w:pos="8280"/>
                <w:tab w:val="left" w:pos="9180"/>
              </w:tabs>
              <w:rPr>
                <w:sz w:val="20"/>
                <w:szCs w:val="20"/>
              </w:rPr>
            </w:pPr>
            <w:r w:rsidRPr="00B66346">
              <w:rPr>
                <w:sz w:val="20"/>
                <w:szCs w:val="20"/>
              </w:rPr>
              <w:tab/>
              <w:t>Yes</w:t>
            </w:r>
          </w:p>
          <w:p w14:paraId="772FA673" w14:textId="77777777" w:rsidR="007D7C0C" w:rsidRPr="00B66346" w:rsidRDefault="007D7C0C" w:rsidP="003A385F">
            <w:pPr>
              <w:pStyle w:val="Header"/>
              <w:pBdr>
                <w:top w:val="dotted" w:sz="4" w:space="10" w:color="auto"/>
              </w:pBdr>
              <w:tabs>
                <w:tab w:val="left" w:pos="2961"/>
                <w:tab w:val="left" w:pos="4820"/>
                <w:tab w:val="left" w:pos="6379"/>
                <w:tab w:val="left" w:pos="8280"/>
                <w:tab w:val="left" w:pos="9180"/>
              </w:tabs>
              <w:rPr>
                <w:sz w:val="20"/>
                <w:szCs w:val="20"/>
              </w:rPr>
            </w:pPr>
            <w:r w:rsidRPr="00B66346">
              <w:rPr>
                <w:sz w:val="20"/>
                <w:szCs w:val="20"/>
              </w:rPr>
              <w:tab/>
              <w:t>no</w:t>
            </w:r>
          </w:p>
        </w:tc>
        <w:tc>
          <w:tcPr>
            <w:tcW w:w="743" w:type="dxa"/>
            <w:tcBorders>
              <w:bottom w:val="dashed" w:sz="4" w:space="0" w:color="auto"/>
            </w:tcBorders>
          </w:tcPr>
          <w:p w14:paraId="7A118879" w14:textId="77777777" w:rsidR="007D7C0C" w:rsidRPr="00B66346" w:rsidRDefault="007D7C0C" w:rsidP="003A385F">
            <w:pPr>
              <w:pStyle w:val="Header"/>
              <w:rPr>
                <w:sz w:val="20"/>
                <w:szCs w:val="20"/>
              </w:rPr>
            </w:pPr>
          </w:p>
        </w:tc>
        <w:tc>
          <w:tcPr>
            <w:tcW w:w="674" w:type="dxa"/>
            <w:tcBorders>
              <w:bottom w:val="dashed" w:sz="4" w:space="0" w:color="auto"/>
            </w:tcBorders>
          </w:tcPr>
          <w:p w14:paraId="0DAD8884" w14:textId="77777777" w:rsidR="007D7C0C" w:rsidRPr="00B66346" w:rsidRDefault="007D7C0C" w:rsidP="003A385F">
            <w:pPr>
              <w:pStyle w:val="Header"/>
              <w:rPr>
                <w:sz w:val="20"/>
                <w:szCs w:val="20"/>
              </w:rPr>
            </w:pPr>
          </w:p>
        </w:tc>
        <w:tc>
          <w:tcPr>
            <w:tcW w:w="851" w:type="dxa"/>
            <w:tcBorders>
              <w:bottom w:val="dashed" w:sz="4" w:space="0" w:color="auto"/>
            </w:tcBorders>
          </w:tcPr>
          <w:p w14:paraId="555ADB7C" w14:textId="77777777" w:rsidR="007D7C0C" w:rsidRPr="00B66346" w:rsidRDefault="007D7C0C" w:rsidP="003A385F">
            <w:pPr>
              <w:pStyle w:val="Header"/>
              <w:rPr>
                <w:sz w:val="20"/>
                <w:szCs w:val="20"/>
              </w:rPr>
            </w:pPr>
          </w:p>
        </w:tc>
      </w:tr>
      <w:tr w:rsidR="007D7C0C" w:rsidRPr="00B66346" w14:paraId="18DF7609" w14:textId="77777777" w:rsidTr="004817D3">
        <w:trPr>
          <w:trHeight w:val="75"/>
        </w:trPr>
        <w:tc>
          <w:tcPr>
            <w:tcW w:w="530" w:type="dxa"/>
            <w:tcBorders>
              <w:top w:val="dashed" w:sz="4" w:space="0" w:color="auto"/>
            </w:tcBorders>
          </w:tcPr>
          <w:p w14:paraId="20037BD5" w14:textId="77777777" w:rsidR="007D7C0C" w:rsidRPr="00B66346" w:rsidRDefault="007D7C0C" w:rsidP="003A385F">
            <w:pPr>
              <w:pStyle w:val="Header"/>
              <w:rPr>
                <w:sz w:val="20"/>
                <w:szCs w:val="20"/>
              </w:rPr>
            </w:pPr>
          </w:p>
        </w:tc>
        <w:tc>
          <w:tcPr>
            <w:tcW w:w="5532" w:type="dxa"/>
            <w:tcBorders>
              <w:top w:val="dashed" w:sz="4" w:space="0" w:color="auto"/>
            </w:tcBorders>
          </w:tcPr>
          <w:p w14:paraId="40B26741" w14:textId="77777777" w:rsidR="007D7C0C" w:rsidRPr="00B66346" w:rsidRDefault="007D7C0C" w:rsidP="003A385F">
            <w:pPr>
              <w:pStyle w:val="Header"/>
              <w:pBdr>
                <w:top w:val="dotted" w:sz="4" w:space="10" w:color="auto"/>
              </w:pBdr>
              <w:tabs>
                <w:tab w:val="left" w:pos="720"/>
                <w:tab w:val="left" w:pos="9180"/>
              </w:tabs>
              <w:ind w:left="792"/>
              <w:rPr>
                <w:color w:val="0000FF"/>
                <w:sz w:val="20"/>
                <w:szCs w:val="20"/>
              </w:rPr>
            </w:pPr>
            <w:r w:rsidRPr="00B66346">
              <w:rPr>
                <w:sz w:val="20"/>
                <w:szCs w:val="20"/>
              </w:rPr>
              <w:t>If yes what is the FEV</w:t>
            </w:r>
            <w:r w:rsidRPr="00B66346">
              <w:rPr>
                <w:position w:val="-6"/>
                <w:sz w:val="20"/>
                <w:szCs w:val="20"/>
              </w:rPr>
              <w:t>1</w:t>
            </w:r>
            <w:r w:rsidRPr="00B66346">
              <w:rPr>
                <w:sz w:val="20"/>
                <w:szCs w:val="20"/>
              </w:rPr>
              <w:t xml:space="preserve"> level (if more than one, give most recent)</w:t>
            </w:r>
          </w:p>
          <w:p w14:paraId="17301064" w14:textId="77777777" w:rsidR="007D7C0C" w:rsidRPr="00B66346" w:rsidRDefault="007D7C0C" w:rsidP="003A385F">
            <w:pPr>
              <w:tabs>
                <w:tab w:val="left" w:pos="2835"/>
                <w:tab w:val="left" w:pos="4820"/>
                <w:tab w:val="left" w:pos="7371"/>
                <w:tab w:val="left" w:pos="9072"/>
              </w:tabs>
              <w:rPr>
                <w:sz w:val="20"/>
                <w:szCs w:val="20"/>
              </w:rPr>
            </w:pPr>
            <w:r w:rsidRPr="00B66346">
              <w:rPr>
                <w:sz w:val="20"/>
                <w:szCs w:val="20"/>
              </w:rPr>
              <w:tab/>
              <w:t>not recorded</w:t>
            </w:r>
          </w:p>
        </w:tc>
        <w:tc>
          <w:tcPr>
            <w:tcW w:w="743" w:type="dxa"/>
            <w:tcBorders>
              <w:top w:val="dashed" w:sz="4" w:space="0" w:color="auto"/>
            </w:tcBorders>
          </w:tcPr>
          <w:p w14:paraId="29F195C2" w14:textId="77777777" w:rsidR="007D7C0C" w:rsidRPr="00B66346" w:rsidRDefault="007D7C0C" w:rsidP="003A385F">
            <w:pPr>
              <w:pStyle w:val="Header"/>
              <w:rPr>
                <w:sz w:val="20"/>
                <w:szCs w:val="20"/>
              </w:rPr>
            </w:pPr>
          </w:p>
        </w:tc>
        <w:tc>
          <w:tcPr>
            <w:tcW w:w="674" w:type="dxa"/>
            <w:tcBorders>
              <w:top w:val="dashed" w:sz="4" w:space="0" w:color="auto"/>
            </w:tcBorders>
          </w:tcPr>
          <w:p w14:paraId="340B0D9E" w14:textId="77777777" w:rsidR="007D7C0C" w:rsidRPr="00B66346" w:rsidRDefault="007D7C0C" w:rsidP="003A385F">
            <w:pPr>
              <w:pStyle w:val="Header"/>
              <w:rPr>
                <w:sz w:val="20"/>
                <w:szCs w:val="20"/>
              </w:rPr>
            </w:pPr>
          </w:p>
        </w:tc>
        <w:tc>
          <w:tcPr>
            <w:tcW w:w="851" w:type="dxa"/>
            <w:tcBorders>
              <w:top w:val="dashed" w:sz="4" w:space="0" w:color="auto"/>
            </w:tcBorders>
          </w:tcPr>
          <w:p w14:paraId="27162D95" w14:textId="77777777" w:rsidR="007D7C0C" w:rsidRPr="00B66346" w:rsidRDefault="007D7C0C" w:rsidP="003A385F">
            <w:pPr>
              <w:pStyle w:val="Header"/>
              <w:rPr>
                <w:sz w:val="20"/>
                <w:szCs w:val="20"/>
              </w:rPr>
            </w:pPr>
          </w:p>
        </w:tc>
      </w:tr>
      <w:tr w:rsidR="007D7C0C" w:rsidRPr="00B66346" w14:paraId="2203F854" w14:textId="77777777" w:rsidTr="004817D3">
        <w:trPr>
          <w:trHeight w:val="75"/>
        </w:trPr>
        <w:tc>
          <w:tcPr>
            <w:tcW w:w="530" w:type="dxa"/>
            <w:tcBorders>
              <w:bottom w:val="dashed" w:sz="4" w:space="0" w:color="auto"/>
            </w:tcBorders>
          </w:tcPr>
          <w:p w14:paraId="4FC006FE" w14:textId="77777777" w:rsidR="007D7C0C" w:rsidRPr="00B66346" w:rsidRDefault="007D7C0C" w:rsidP="003A385F">
            <w:pPr>
              <w:pStyle w:val="Header"/>
              <w:rPr>
                <w:sz w:val="20"/>
                <w:szCs w:val="20"/>
              </w:rPr>
            </w:pPr>
            <w:r w:rsidRPr="00B66346">
              <w:rPr>
                <w:sz w:val="20"/>
                <w:szCs w:val="20"/>
              </w:rPr>
              <w:t>26</w:t>
            </w:r>
          </w:p>
        </w:tc>
        <w:tc>
          <w:tcPr>
            <w:tcW w:w="5532" w:type="dxa"/>
            <w:tcBorders>
              <w:bottom w:val="dashed" w:sz="4" w:space="0" w:color="auto"/>
            </w:tcBorders>
          </w:tcPr>
          <w:p w14:paraId="14D9224E" w14:textId="77777777" w:rsidR="007D7C0C" w:rsidRPr="00B66346" w:rsidRDefault="007D7C0C" w:rsidP="003A385F">
            <w:pPr>
              <w:pStyle w:val="Header"/>
              <w:pBdr>
                <w:top w:val="dotted" w:sz="4" w:space="10" w:color="auto"/>
              </w:pBdr>
              <w:tabs>
                <w:tab w:val="left" w:pos="6480"/>
                <w:tab w:val="left" w:pos="8280"/>
                <w:tab w:val="left" w:pos="9180"/>
              </w:tabs>
              <w:rPr>
                <w:sz w:val="20"/>
                <w:szCs w:val="20"/>
              </w:rPr>
            </w:pPr>
            <w:r w:rsidRPr="00B66346">
              <w:rPr>
                <w:sz w:val="20"/>
                <w:szCs w:val="20"/>
              </w:rPr>
              <w:t>Is there a record of peripheral oedema?</w:t>
            </w:r>
          </w:p>
          <w:p w14:paraId="6905D09E" w14:textId="77777777" w:rsidR="007D7C0C" w:rsidRPr="00B66346" w:rsidRDefault="007D7C0C" w:rsidP="003A385F">
            <w:pPr>
              <w:pStyle w:val="Header"/>
              <w:pBdr>
                <w:top w:val="dotted" w:sz="4" w:space="10" w:color="auto"/>
              </w:pBdr>
              <w:tabs>
                <w:tab w:val="left" w:pos="2961"/>
                <w:tab w:val="left" w:pos="6480"/>
                <w:tab w:val="left" w:pos="8280"/>
                <w:tab w:val="left" w:pos="9180"/>
              </w:tabs>
              <w:rPr>
                <w:color w:val="0000FF"/>
                <w:sz w:val="20"/>
                <w:szCs w:val="20"/>
              </w:rPr>
            </w:pPr>
            <w:r w:rsidRPr="00B66346">
              <w:rPr>
                <w:sz w:val="20"/>
                <w:szCs w:val="20"/>
              </w:rPr>
              <w:tab/>
              <w:t>yes - present</w:t>
            </w:r>
          </w:p>
          <w:p w14:paraId="1F2125C7" w14:textId="77777777" w:rsidR="007D7C0C" w:rsidRPr="00B66346" w:rsidRDefault="007D7C0C" w:rsidP="003A385F">
            <w:pPr>
              <w:pStyle w:val="Header"/>
              <w:pBdr>
                <w:top w:val="dotted" w:sz="4" w:space="10" w:color="auto"/>
              </w:pBdr>
              <w:tabs>
                <w:tab w:val="left" w:pos="2961"/>
                <w:tab w:val="left" w:pos="6480"/>
                <w:tab w:val="left" w:pos="8280"/>
                <w:tab w:val="left" w:pos="9180"/>
              </w:tabs>
              <w:rPr>
                <w:sz w:val="20"/>
                <w:szCs w:val="20"/>
              </w:rPr>
            </w:pPr>
            <w:r w:rsidRPr="00B66346">
              <w:rPr>
                <w:sz w:val="20"/>
                <w:szCs w:val="20"/>
              </w:rPr>
              <w:tab/>
              <w:t>yes - not present</w:t>
            </w:r>
          </w:p>
          <w:p w14:paraId="55B2F7BE" w14:textId="77777777" w:rsidR="007D7C0C" w:rsidRPr="00B66346" w:rsidRDefault="007D7C0C" w:rsidP="003A385F">
            <w:pPr>
              <w:pStyle w:val="Header"/>
              <w:tabs>
                <w:tab w:val="left" w:pos="720"/>
                <w:tab w:val="left" w:pos="2961"/>
                <w:tab w:val="left" w:pos="9180"/>
              </w:tabs>
              <w:ind w:left="792"/>
              <w:rPr>
                <w:sz w:val="20"/>
                <w:szCs w:val="20"/>
              </w:rPr>
            </w:pPr>
            <w:r w:rsidRPr="00B66346">
              <w:rPr>
                <w:sz w:val="20"/>
                <w:szCs w:val="20"/>
              </w:rPr>
              <w:tab/>
              <w:t>not recorded</w:t>
            </w:r>
          </w:p>
        </w:tc>
        <w:tc>
          <w:tcPr>
            <w:tcW w:w="743" w:type="dxa"/>
            <w:tcBorders>
              <w:bottom w:val="dashed" w:sz="4" w:space="0" w:color="auto"/>
            </w:tcBorders>
          </w:tcPr>
          <w:p w14:paraId="4DD7138E" w14:textId="77777777" w:rsidR="007D7C0C" w:rsidRPr="00B66346" w:rsidRDefault="007D7C0C" w:rsidP="003A385F">
            <w:pPr>
              <w:pStyle w:val="Header"/>
              <w:rPr>
                <w:sz w:val="20"/>
                <w:szCs w:val="20"/>
              </w:rPr>
            </w:pPr>
          </w:p>
        </w:tc>
        <w:tc>
          <w:tcPr>
            <w:tcW w:w="674" w:type="dxa"/>
            <w:tcBorders>
              <w:bottom w:val="dashed" w:sz="4" w:space="0" w:color="auto"/>
            </w:tcBorders>
          </w:tcPr>
          <w:p w14:paraId="4F161F21" w14:textId="77777777" w:rsidR="007D7C0C" w:rsidRPr="00B66346" w:rsidRDefault="007D7C0C" w:rsidP="003A385F">
            <w:pPr>
              <w:pStyle w:val="Header"/>
              <w:rPr>
                <w:sz w:val="20"/>
                <w:szCs w:val="20"/>
              </w:rPr>
            </w:pPr>
          </w:p>
        </w:tc>
        <w:tc>
          <w:tcPr>
            <w:tcW w:w="851" w:type="dxa"/>
            <w:tcBorders>
              <w:bottom w:val="dashed" w:sz="4" w:space="0" w:color="auto"/>
            </w:tcBorders>
          </w:tcPr>
          <w:p w14:paraId="1EB50816" w14:textId="77777777" w:rsidR="007D7C0C" w:rsidRPr="00B66346" w:rsidRDefault="007D7C0C" w:rsidP="003A385F">
            <w:pPr>
              <w:pStyle w:val="Header"/>
              <w:rPr>
                <w:sz w:val="20"/>
                <w:szCs w:val="20"/>
              </w:rPr>
            </w:pPr>
          </w:p>
        </w:tc>
      </w:tr>
      <w:tr w:rsidR="007D7C0C" w:rsidRPr="00B66346" w14:paraId="63CC513C" w14:textId="77777777" w:rsidTr="004817D3">
        <w:trPr>
          <w:trHeight w:val="75"/>
        </w:trPr>
        <w:tc>
          <w:tcPr>
            <w:tcW w:w="530" w:type="dxa"/>
            <w:tcBorders>
              <w:top w:val="dashed" w:sz="4" w:space="0" w:color="auto"/>
            </w:tcBorders>
          </w:tcPr>
          <w:p w14:paraId="0D5A7B2C" w14:textId="77777777" w:rsidR="007D7C0C" w:rsidRPr="00B66346" w:rsidRDefault="007D7C0C" w:rsidP="003A385F">
            <w:pPr>
              <w:pStyle w:val="Header"/>
              <w:rPr>
                <w:sz w:val="20"/>
                <w:szCs w:val="20"/>
              </w:rPr>
            </w:pPr>
          </w:p>
        </w:tc>
        <w:tc>
          <w:tcPr>
            <w:tcW w:w="5532" w:type="dxa"/>
            <w:tcBorders>
              <w:top w:val="dashed" w:sz="4" w:space="0" w:color="auto"/>
            </w:tcBorders>
          </w:tcPr>
          <w:p w14:paraId="6333F37D" w14:textId="77777777" w:rsidR="007D7C0C" w:rsidRPr="00B66346" w:rsidRDefault="007D7C0C" w:rsidP="003A385F">
            <w:pPr>
              <w:pStyle w:val="Header"/>
              <w:tabs>
                <w:tab w:val="left" w:pos="2835"/>
                <w:tab w:val="left" w:pos="4820"/>
                <w:tab w:val="left" w:pos="5245"/>
                <w:tab w:val="left" w:pos="7200"/>
                <w:tab w:val="left" w:pos="7371"/>
                <w:tab w:val="left" w:pos="9072"/>
              </w:tabs>
              <w:ind w:left="720"/>
              <w:rPr>
                <w:sz w:val="20"/>
                <w:szCs w:val="20"/>
              </w:rPr>
            </w:pPr>
            <w:r w:rsidRPr="00B66346">
              <w:rPr>
                <w:sz w:val="20"/>
                <w:szCs w:val="20"/>
              </w:rPr>
              <w:t>If peripheral oedema was present, was it?</w:t>
            </w:r>
          </w:p>
          <w:p w14:paraId="5B10FE91" w14:textId="77777777" w:rsidR="007D7C0C" w:rsidRPr="00B66346" w:rsidRDefault="007D7C0C" w:rsidP="003A385F">
            <w:pPr>
              <w:pStyle w:val="Header"/>
              <w:tabs>
                <w:tab w:val="left" w:pos="2961"/>
                <w:tab w:val="left" w:pos="6480"/>
                <w:tab w:val="left" w:pos="8280"/>
                <w:tab w:val="left" w:pos="9180"/>
              </w:tabs>
              <w:rPr>
                <w:sz w:val="20"/>
                <w:szCs w:val="20"/>
              </w:rPr>
            </w:pPr>
            <w:r w:rsidRPr="00B66346">
              <w:rPr>
                <w:sz w:val="20"/>
                <w:szCs w:val="20"/>
              </w:rPr>
              <w:tab/>
              <w:t>leg/ankles</w:t>
            </w:r>
          </w:p>
          <w:p w14:paraId="3602D9B1" w14:textId="77777777" w:rsidR="007D7C0C" w:rsidRPr="00B66346" w:rsidRDefault="007D7C0C" w:rsidP="003A385F">
            <w:pPr>
              <w:pStyle w:val="Header"/>
              <w:tabs>
                <w:tab w:val="left" w:pos="2961"/>
                <w:tab w:val="left" w:pos="6480"/>
                <w:tab w:val="left" w:pos="8280"/>
                <w:tab w:val="left" w:pos="9180"/>
              </w:tabs>
              <w:rPr>
                <w:sz w:val="20"/>
                <w:szCs w:val="20"/>
              </w:rPr>
            </w:pPr>
            <w:r w:rsidRPr="00B66346">
              <w:rPr>
                <w:sz w:val="20"/>
                <w:szCs w:val="20"/>
              </w:rPr>
              <w:tab/>
              <w:t>sacral</w:t>
            </w:r>
          </w:p>
          <w:p w14:paraId="26662D0D" w14:textId="77777777" w:rsidR="007D7C0C" w:rsidRPr="00B66346" w:rsidRDefault="007D7C0C" w:rsidP="003A385F">
            <w:pPr>
              <w:pStyle w:val="Header"/>
              <w:tabs>
                <w:tab w:val="left" w:pos="2961"/>
                <w:tab w:val="left" w:pos="6480"/>
                <w:tab w:val="left" w:pos="8280"/>
                <w:tab w:val="left" w:pos="9180"/>
              </w:tabs>
              <w:rPr>
                <w:sz w:val="20"/>
                <w:szCs w:val="20"/>
              </w:rPr>
            </w:pPr>
            <w:r w:rsidRPr="00B66346">
              <w:rPr>
                <w:sz w:val="20"/>
                <w:szCs w:val="20"/>
              </w:rPr>
              <w:tab/>
              <w:t>not recorded</w:t>
            </w:r>
          </w:p>
        </w:tc>
        <w:tc>
          <w:tcPr>
            <w:tcW w:w="743" w:type="dxa"/>
            <w:tcBorders>
              <w:top w:val="dashed" w:sz="4" w:space="0" w:color="auto"/>
            </w:tcBorders>
          </w:tcPr>
          <w:p w14:paraId="38DB05B8" w14:textId="77777777" w:rsidR="007D7C0C" w:rsidRPr="00B66346" w:rsidRDefault="007D7C0C" w:rsidP="003A385F">
            <w:pPr>
              <w:pStyle w:val="Header"/>
              <w:rPr>
                <w:sz w:val="20"/>
                <w:szCs w:val="20"/>
              </w:rPr>
            </w:pPr>
          </w:p>
        </w:tc>
        <w:tc>
          <w:tcPr>
            <w:tcW w:w="674" w:type="dxa"/>
            <w:tcBorders>
              <w:top w:val="dashed" w:sz="4" w:space="0" w:color="auto"/>
            </w:tcBorders>
          </w:tcPr>
          <w:p w14:paraId="45772DF3" w14:textId="77777777" w:rsidR="007D7C0C" w:rsidRPr="00B66346" w:rsidRDefault="007D7C0C" w:rsidP="003A385F">
            <w:pPr>
              <w:pStyle w:val="Header"/>
              <w:rPr>
                <w:sz w:val="20"/>
                <w:szCs w:val="20"/>
              </w:rPr>
            </w:pPr>
          </w:p>
        </w:tc>
        <w:tc>
          <w:tcPr>
            <w:tcW w:w="851" w:type="dxa"/>
            <w:tcBorders>
              <w:top w:val="dashed" w:sz="4" w:space="0" w:color="auto"/>
            </w:tcBorders>
          </w:tcPr>
          <w:p w14:paraId="082A8F69" w14:textId="77777777" w:rsidR="007D7C0C" w:rsidRPr="00B66346" w:rsidRDefault="007D7C0C" w:rsidP="003A385F">
            <w:pPr>
              <w:pStyle w:val="Header"/>
              <w:rPr>
                <w:sz w:val="20"/>
                <w:szCs w:val="20"/>
              </w:rPr>
            </w:pPr>
          </w:p>
        </w:tc>
      </w:tr>
    </w:tbl>
    <w:p w14:paraId="30555D70" w14:textId="77777777" w:rsidR="000923BB" w:rsidRPr="00B66346" w:rsidRDefault="000923BB" w:rsidP="000923BB">
      <w:pPr>
        <w:pStyle w:val="Header"/>
        <w:tabs>
          <w:tab w:val="left" w:pos="2835"/>
          <w:tab w:val="left" w:pos="4820"/>
          <w:tab w:val="left" w:pos="6379"/>
          <w:tab w:val="left" w:pos="7371"/>
          <w:tab w:val="left" w:pos="9072"/>
        </w:tabs>
        <w:rPr>
          <w:sz w:val="20"/>
          <w:szCs w:val="20"/>
        </w:rPr>
      </w:pPr>
    </w:p>
    <w:p w14:paraId="55EE6814" w14:textId="77777777" w:rsidR="000923BB" w:rsidRPr="00B77A2A" w:rsidRDefault="000923BB" w:rsidP="000923BB">
      <w:pPr>
        <w:pStyle w:val="Header"/>
        <w:pBdr>
          <w:bottom w:val="single" w:sz="18" w:space="6" w:color="auto"/>
        </w:pBdr>
        <w:rPr>
          <w:b/>
          <w:sz w:val="28"/>
          <w:szCs w:val="28"/>
        </w:rPr>
      </w:pPr>
      <w:r w:rsidRPr="00B77A2A">
        <w:rPr>
          <w:b/>
          <w:sz w:val="28"/>
          <w:szCs w:val="28"/>
        </w:rPr>
        <w:t>Initial management</w:t>
      </w:r>
    </w:p>
    <w:p w14:paraId="361BB1AA" w14:textId="77777777" w:rsidR="000923BB" w:rsidRDefault="000923BB" w:rsidP="000923BB"/>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961"/>
        <w:gridCol w:w="567"/>
        <w:gridCol w:w="709"/>
        <w:gridCol w:w="708"/>
      </w:tblGrid>
      <w:tr w:rsidR="00E51F88" w14:paraId="5F5C9604" w14:textId="77777777" w:rsidTr="00E51F88">
        <w:trPr>
          <w:cantSplit/>
          <w:trHeight w:val="1486"/>
        </w:trPr>
        <w:tc>
          <w:tcPr>
            <w:tcW w:w="567" w:type="dxa"/>
          </w:tcPr>
          <w:p w14:paraId="5F7B9DE6" w14:textId="77777777" w:rsidR="00E51F88" w:rsidRPr="00DA5E13" w:rsidRDefault="00E51F88" w:rsidP="003A385F">
            <w:pPr>
              <w:pStyle w:val="Header"/>
              <w:tabs>
                <w:tab w:val="left" w:pos="2835"/>
                <w:tab w:val="left" w:pos="4820"/>
                <w:tab w:val="left" w:pos="6379"/>
                <w:tab w:val="left" w:pos="7371"/>
                <w:tab w:val="left" w:pos="9072"/>
              </w:tabs>
              <w:rPr>
                <w:b/>
              </w:rPr>
            </w:pPr>
            <w:r w:rsidRPr="00DA5E13">
              <w:rPr>
                <w:b/>
              </w:rPr>
              <w:t>No</w:t>
            </w:r>
          </w:p>
        </w:tc>
        <w:tc>
          <w:tcPr>
            <w:tcW w:w="4961" w:type="dxa"/>
          </w:tcPr>
          <w:p w14:paraId="246563E9" w14:textId="77777777" w:rsidR="00E51F88" w:rsidRPr="00DA5E13" w:rsidRDefault="00E51F88" w:rsidP="003A385F">
            <w:pPr>
              <w:pStyle w:val="Header"/>
              <w:tabs>
                <w:tab w:val="left" w:pos="2835"/>
                <w:tab w:val="left" w:pos="4820"/>
                <w:tab w:val="left" w:pos="6379"/>
                <w:tab w:val="left" w:pos="7371"/>
                <w:tab w:val="left" w:pos="9072"/>
              </w:tabs>
              <w:rPr>
                <w:b/>
              </w:rPr>
            </w:pPr>
            <w:r w:rsidRPr="00DA5E13">
              <w:rPr>
                <w:b/>
              </w:rPr>
              <w:t>Criterion</w:t>
            </w:r>
          </w:p>
        </w:tc>
        <w:tc>
          <w:tcPr>
            <w:tcW w:w="567" w:type="dxa"/>
            <w:textDirection w:val="tbRl"/>
          </w:tcPr>
          <w:p w14:paraId="60B6B5F0" w14:textId="77777777" w:rsidR="00E51F88" w:rsidRPr="00DA5E13" w:rsidRDefault="00E51F88" w:rsidP="003A385F">
            <w:pPr>
              <w:pStyle w:val="Header"/>
              <w:tabs>
                <w:tab w:val="left" w:pos="2835"/>
                <w:tab w:val="left" w:pos="4820"/>
                <w:tab w:val="left" w:pos="6379"/>
                <w:tab w:val="left" w:pos="7371"/>
                <w:tab w:val="left" w:pos="9072"/>
              </w:tabs>
              <w:ind w:left="113" w:right="113"/>
              <w:rPr>
                <w:b/>
              </w:rPr>
            </w:pPr>
            <w:r w:rsidRPr="00DA5E13">
              <w:rPr>
                <w:b/>
              </w:rPr>
              <w:t>Essential</w:t>
            </w:r>
          </w:p>
        </w:tc>
        <w:tc>
          <w:tcPr>
            <w:tcW w:w="709" w:type="dxa"/>
            <w:textDirection w:val="tbRl"/>
          </w:tcPr>
          <w:p w14:paraId="5C6E9F4A" w14:textId="77777777" w:rsidR="00E51F88" w:rsidRPr="00DA5E13" w:rsidRDefault="00E51F88" w:rsidP="003A385F">
            <w:pPr>
              <w:pStyle w:val="Header"/>
              <w:tabs>
                <w:tab w:val="left" w:pos="2835"/>
                <w:tab w:val="left" w:pos="4820"/>
                <w:tab w:val="left" w:pos="6379"/>
                <w:tab w:val="left" w:pos="7371"/>
                <w:tab w:val="left" w:pos="9072"/>
              </w:tabs>
              <w:ind w:left="113" w:right="113"/>
              <w:rPr>
                <w:b/>
              </w:rPr>
            </w:pPr>
            <w:r w:rsidRPr="00DA5E13">
              <w:rPr>
                <w:b/>
              </w:rPr>
              <w:t>Desirable</w:t>
            </w:r>
          </w:p>
        </w:tc>
        <w:tc>
          <w:tcPr>
            <w:tcW w:w="708" w:type="dxa"/>
            <w:textDirection w:val="tbRl"/>
          </w:tcPr>
          <w:p w14:paraId="1AE1B154" w14:textId="77777777" w:rsidR="00E51F88" w:rsidRPr="00DA5E13" w:rsidRDefault="00E51F88" w:rsidP="003A385F">
            <w:pPr>
              <w:pStyle w:val="Header"/>
              <w:tabs>
                <w:tab w:val="left" w:pos="2835"/>
                <w:tab w:val="left" w:pos="4820"/>
                <w:tab w:val="left" w:pos="6379"/>
                <w:tab w:val="left" w:pos="7371"/>
                <w:tab w:val="left" w:pos="9072"/>
              </w:tabs>
              <w:ind w:left="113" w:right="113"/>
              <w:rPr>
                <w:b/>
              </w:rPr>
            </w:pPr>
            <w:r w:rsidRPr="00DA5E13">
              <w:rPr>
                <w:b/>
              </w:rPr>
              <w:t>Non-Essential</w:t>
            </w:r>
          </w:p>
        </w:tc>
      </w:tr>
      <w:tr w:rsidR="00E51F88" w14:paraId="0A425ECC" w14:textId="77777777" w:rsidTr="00E51F88">
        <w:tc>
          <w:tcPr>
            <w:tcW w:w="567" w:type="dxa"/>
          </w:tcPr>
          <w:p w14:paraId="7DF401A0" w14:textId="77777777" w:rsidR="00E51F88" w:rsidRDefault="00E51F88" w:rsidP="003A385F">
            <w:pPr>
              <w:rPr>
                <w:sz w:val="22"/>
                <w:szCs w:val="22"/>
              </w:rPr>
            </w:pPr>
            <w:r>
              <w:rPr>
                <w:sz w:val="22"/>
                <w:szCs w:val="22"/>
              </w:rPr>
              <w:t>27</w:t>
            </w:r>
          </w:p>
        </w:tc>
        <w:tc>
          <w:tcPr>
            <w:tcW w:w="4961" w:type="dxa"/>
          </w:tcPr>
          <w:p w14:paraId="14EF3FBA" w14:textId="77777777" w:rsidR="00E51F88" w:rsidRPr="00B66346" w:rsidRDefault="00E51F88" w:rsidP="003A385F">
            <w:pPr>
              <w:pStyle w:val="Header"/>
              <w:tabs>
                <w:tab w:val="left" w:pos="2835"/>
                <w:tab w:val="left" w:pos="4820"/>
                <w:tab w:val="left" w:pos="6379"/>
                <w:tab w:val="left" w:pos="7371"/>
                <w:tab w:val="left" w:pos="9072"/>
              </w:tabs>
              <w:rPr>
                <w:sz w:val="20"/>
                <w:szCs w:val="20"/>
              </w:rPr>
            </w:pPr>
            <w:r w:rsidRPr="00B66346">
              <w:rPr>
                <w:sz w:val="20"/>
                <w:szCs w:val="20"/>
              </w:rPr>
              <w:t>Was a course of antibiotics prescribed?</w:t>
            </w:r>
          </w:p>
          <w:p w14:paraId="396C8BED" w14:textId="77777777" w:rsidR="00E51F88" w:rsidRPr="00B66346" w:rsidRDefault="00E51F88" w:rsidP="003A385F">
            <w:pPr>
              <w:pStyle w:val="Header"/>
              <w:tabs>
                <w:tab w:val="left" w:pos="2952"/>
                <w:tab w:val="left" w:pos="4820"/>
                <w:tab w:val="left" w:pos="6379"/>
                <w:tab w:val="left" w:pos="8280"/>
                <w:tab w:val="left" w:pos="9072"/>
              </w:tabs>
              <w:ind w:left="720"/>
              <w:rPr>
                <w:sz w:val="20"/>
                <w:szCs w:val="20"/>
              </w:rPr>
            </w:pPr>
            <w:r w:rsidRPr="00B66346">
              <w:rPr>
                <w:sz w:val="20"/>
                <w:szCs w:val="20"/>
              </w:rPr>
              <w:tab/>
              <w:t>yes</w:t>
            </w:r>
          </w:p>
          <w:p w14:paraId="1440D645" w14:textId="77777777" w:rsidR="00E51F88" w:rsidRPr="00B66346" w:rsidRDefault="00E51F88" w:rsidP="003A385F">
            <w:pPr>
              <w:tabs>
                <w:tab w:val="left" w:pos="2943"/>
              </w:tabs>
              <w:rPr>
                <w:sz w:val="20"/>
                <w:szCs w:val="20"/>
              </w:rPr>
            </w:pPr>
            <w:r w:rsidRPr="00B66346">
              <w:rPr>
                <w:sz w:val="20"/>
                <w:szCs w:val="20"/>
              </w:rPr>
              <w:tab/>
              <w:t>no</w:t>
            </w:r>
          </w:p>
        </w:tc>
        <w:tc>
          <w:tcPr>
            <w:tcW w:w="567" w:type="dxa"/>
          </w:tcPr>
          <w:p w14:paraId="1668E05F" w14:textId="77777777" w:rsidR="00E51F88" w:rsidRDefault="00E51F88" w:rsidP="003A385F">
            <w:pPr>
              <w:rPr>
                <w:sz w:val="22"/>
                <w:szCs w:val="22"/>
              </w:rPr>
            </w:pPr>
          </w:p>
        </w:tc>
        <w:tc>
          <w:tcPr>
            <w:tcW w:w="709" w:type="dxa"/>
          </w:tcPr>
          <w:p w14:paraId="5074650B" w14:textId="77777777" w:rsidR="00E51F88" w:rsidRDefault="00E51F88" w:rsidP="003A385F">
            <w:pPr>
              <w:rPr>
                <w:sz w:val="22"/>
                <w:szCs w:val="22"/>
              </w:rPr>
            </w:pPr>
          </w:p>
        </w:tc>
        <w:tc>
          <w:tcPr>
            <w:tcW w:w="708" w:type="dxa"/>
          </w:tcPr>
          <w:p w14:paraId="1C552A3E" w14:textId="77777777" w:rsidR="00E51F88" w:rsidRDefault="00E51F88" w:rsidP="003A385F">
            <w:pPr>
              <w:rPr>
                <w:sz w:val="22"/>
                <w:szCs w:val="22"/>
              </w:rPr>
            </w:pPr>
          </w:p>
        </w:tc>
      </w:tr>
      <w:tr w:rsidR="00E51F88" w14:paraId="24D9F355" w14:textId="77777777" w:rsidTr="00E51F88">
        <w:tc>
          <w:tcPr>
            <w:tcW w:w="567" w:type="dxa"/>
          </w:tcPr>
          <w:p w14:paraId="2F3B7C85" w14:textId="77777777" w:rsidR="00E51F88" w:rsidRDefault="00E51F88" w:rsidP="003A385F">
            <w:pPr>
              <w:rPr>
                <w:sz w:val="22"/>
                <w:szCs w:val="22"/>
              </w:rPr>
            </w:pPr>
            <w:r>
              <w:rPr>
                <w:sz w:val="22"/>
                <w:szCs w:val="22"/>
              </w:rPr>
              <w:t>28</w:t>
            </w:r>
          </w:p>
        </w:tc>
        <w:tc>
          <w:tcPr>
            <w:tcW w:w="4961" w:type="dxa"/>
          </w:tcPr>
          <w:p w14:paraId="1824CDF0" w14:textId="77777777" w:rsidR="00E51F88" w:rsidRPr="00B66346" w:rsidRDefault="00E51F88" w:rsidP="003A385F">
            <w:pPr>
              <w:pStyle w:val="Header"/>
              <w:pBdr>
                <w:top w:val="dotted" w:sz="4" w:space="10" w:color="auto"/>
              </w:pBdr>
              <w:tabs>
                <w:tab w:val="left" w:pos="2835"/>
                <w:tab w:val="left" w:pos="4820"/>
                <w:tab w:val="left" w:pos="7200"/>
                <w:tab w:val="left" w:pos="8280"/>
                <w:tab w:val="left" w:pos="9180"/>
              </w:tabs>
              <w:rPr>
                <w:sz w:val="20"/>
                <w:szCs w:val="20"/>
              </w:rPr>
            </w:pPr>
            <w:r w:rsidRPr="00B66346">
              <w:rPr>
                <w:sz w:val="20"/>
                <w:szCs w:val="20"/>
              </w:rPr>
              <w:t>Were nebulised bronchodilators prescribed?</w:t>
            </w:r>
          </w:p>
          <w:p w14:paraId="56FD3EF0" w14:textId="77777777" w:rsidR="00E51F88" w:rsidRPr="00B66346" w:rsidRDefault="00E51F88" w:rsidP="003A385F">
            <w:pPr>
              <w:pStyle w:val="Header"/>
              <w:pBdr>
                <w:top w:val="dotted" w:sz="4" w:space="10" w:color="auto"/>
              </w:pBdr>
              <w:tabs>
                <w:tab w:val="left" w:pos="2952"/>
                <w:tab w:val="left" w:pos="8280"/>
                <w:tab w:val="left" w:pos="9180"/>
              </w:tabs>
              <w:rPr>
                <w:sz w:val="20"/>
                <w:szCs w:val="20"/>
              </w:rPr>
            </w:pPr>
            <w:r w:rsidRPr="00B66346">
              <w:rPr>
                <w:sz w:val="20"/>
                <w:szCs w:val="20"/>
              </w:rPr>
              <w:tab/>
              <w:t>yes</w:t>
            </w:r>
          </w:p>
          <w:p w14:paraId="4C64535B" w14:textId="77777777" w:rsidR="00E51F88" w:rsidRPr="00B66346" w:rsidRDefault="00E51F88" w:rsidP="003A385F">
            <w:pPr>
              <w:tabs>
                <w:tab w:val="left" w:pos="2961"/>
              </w:tabs>
              <w:rPr>
                <w:sz w:val="20"/>
                <w:szCs w:val="20"/>
              </w:rPr>
            </w:pPr>
            <w:r w:rsidRPr="00B66346">
              <w:rPr>
                <w:sz w:val="20"/>
                <w:szCs w:val="20"/>
              </w:rPr>
              <w:tab/>
              <w:t>no</w:t>
            </w:r>
          </w:p>
        </w:tc>
        <w:tc>
          <w:tcPr>
            <w:tcW w:w="567" w:type="dxa"/>
          </w:tcPr>
          <w:p w14:paraId="3FDE9F8D" w14:textId="77777777" w:rsidR="00E51F88" w:rsidRDefault="00E51F88" w:rsidP="003A385F">
            <w:pPr>
              <w:rPr>
                <w:sz w:val="22"/>
                <w:szCs w:val="22"/>
              </w:rPr>
            </w:pPr>
          </w:p>
        </w:tc>
        <w:tc>
          <w:tcPr>
            <w:tcW w:w="709" w:type="dxa"/>
          </w:tcPr>
          <w:p w14:paraId="5A9BC7BA" w14:textId="77777777" w:rsidR="00E51F88" w:rsidRDefault="00E51F88" w:rsidP="003A385F">
            <w:pPr>
              <w:rPr>
                <w:sz w:val="22"/>
                <w:szCs w:val="22"/>
              </w:rPr>
            </w:pPr>
          </w:p>
        </w:tc>
        <w:tc>
          <w:tcPr>
            <w:tcW w:w="708" w:type="dxa"/>
          </w:tcPr>
          <w:p w14:paraId="254A0CCE" w14:textId="77777777" w:rsidR="00E51F88" w:rsidRDefault="00E51F88" w:rsidP="003A385F">
            <w:pPr>
              <w:rPr>
                <w:sz w:val="22"/>
                <w:szCs w:val="22"/>
              </w:rPr>
            </w:pPr>
          </w:p>
        </w:tc>
      </w:tr>
      <w:tr w:rsidR="00E51F88" w14:paraId="664D4930" w14:textId="77777777" w:rsidTr="00E51F88">
        <w:tc>
          <w:tcPr>
            <w:tcW w:w="567" w:type="dxa"/>
          </w:tcPr>
          <w:p w14:paraId="5858DC11" w14:textId="77777777" w:rsidR="00E51F88" w:rsidRDefault="00E51F88" w:rsidP="003A385F">
            <w:pPr>
              <w:rPr>
                <w:sz w:val="22"/>
                <w:szCs w:val="22"/>
              </w:rPr>
            </w:pPr>
            <w:r>
              <w:rPr>
                <w:sz w:val="22"/>
                <w:szCs w:val="22"/>
              </w:rPr>
              <w:t>29</w:t>
            </w:r>
          </w:p>
        </w:tc>
        <w:tc>
          <w:tcPr>
            <w:tcW w:w="4961" w:type="dxa"/>
          </w:tcPr>
          <w:p w14:paraId="63FF705C" w14:textId="77777777" w:rsidR="00E51F88" w:rsidRPr="00B66346" w:rsidRDefault="00E51F88" w:rsidP="003A385F">
            <w:pPr>
              <w:pStyle w:val="Header"/>
              <w:pBdr>
                <w:top w:val="dotted" w:sz="4" w:space="10" w:color="auto"/>
              </w:pBdr>
              <w:tabs>
                <w:tab w:val="left" w:pos="2835"/>
                <w:tab w:val="left" w:pos="4820"/>
                <w:tab w:val="left" w:pos="6379"/>
                <w:tab w:val="left" w:pos="7371"/>
                <w:tab w:val="left" w:pos="9072"/>
              </w:tabs>
              <w:rPr>
                <w:sz w:val="20"/>
                <w:szCs w:val="20"/>
              </w:rPr>
            </w:pPr>
            <w:r w:rsidRPr="00B66346">
              <w:rPr>
                <w:sz w:val="20"/>
                <w:szCs w:val="20"/>
              </w:rPr>
              <w:t>Did the patient receive systemic corticosteroids?</w:t>
            </w:r>
          </w:p>
          <w:p w14:paraId="598660BF" w14:textId="77777777" w:rsidR="00E51F88" w:rsidRPr="00B66346" w:rsidRDefault="00E51F88" w:rsidP="003A385F">
            <w:pPr>
              <w:pStyle w:val="Header"/>
              <w:pBdr>
                <w:top w:val="dotted" w:sz="4" w:space="10" w:color="auto"/>
              </w:pBdr>
              <w:tabs>
                <w:tab w:val="left" w:pos="2961"/>
                <w:tab w:val="left" w:pos="7200"/>
                <w:tab w:val="left" w:pos="8280"/>
                <w:tab w:val="left" w:pos="9180"/>
              </w:tabs>
              <w:rPr>
                <w:sz w:val="20"/>
                <w:szCs w:val="20"/>
              </w:rPr>
            </w:pPr>
            <w:r w:rsidRPr="00B66346">
              <w:rPr>
                <w:sz w:val="20"/>
                <w:szCs w:val="20"/>
              </w:rPr>
              <w:tab/>
              <w:t>yes</w:t>
            </w:r>
          </w:p>
          <w:p w14:paraId="133A6BBC" w14:textId="77777777" w:rsidR="00E51F88" w:rsidRPr="00B66346" w:rsidRDefault="00E51F88" w:rsidP="003A385F">
            <w:pPr>
              <w:tabs>
                <w:tab w:val="left" w:pos="2961"/>
              </w:tabs>
              <w:rPr>
                <w:sz w:val="20"/>
                <w:szCs w:val="20"/>
              </w:rPr>
            </w:pPr>
            <w:r w:rsidRPr="00B66346">
              <w:rPr>
                <w:sz w:val="20"/>
                <w:szCs w:val="20"/>
              </w:rPr>
              <w:tab/>
              <w:t>no</w:t>
            </w:r>
          </w:p>
        </w:tc>
        <w:tc>
          <w:tcPr>
            <w:tcW w:w="567" w:type="dxa"/>
          </w:tcPr>
          <w:p w14:paraId="4343D7CC" w14:textId="77777777" w:rsidR="00E51F88" w:rsidRDefault="00E51F88" w:rsidP="003A385F">
            <w:pPr>
              <w:rPr>
                <w:sz w:val="22"/>
                <w:szCs w:val="22"/>
              </w:rPr>
            </w:pPr>
          </w:p>
        </w:tc>
        <w:tc>
          <w:tcPr>
            <w:tcW w:w="709" w:type="dxa"/>
          </w:tcPr>
          <w:p w14:paraId="1CBA9869" w14:textId="77777777" w:rsidR="00E51F88" w:rsidRDefault="00E51F88" w:rsidP="003A385F">
            <w:pPr>
              <w:rPr>
                <w:sz w:val="22"/>
                <w:szCs w:val="22"/>
              </w:rPr>
            </w:pPr>
          </w:p>
        </w:tc>
        <w:tc>
          <w:tcPr>
            <w:tcW w:w="708" w:type="dxa"/>
          </w:tcPr>
          <w:p w14:paraId="3D75ABD1" w14:textId="77777777" w:rsidR="00E51F88" w:rsidRDefault="00E51F88" w:rsidP="003A385F">
            <w:pPr>
              <w:rPr>
                <w:sz w:val="22"/>
                <w:szCs w:val="22"/>
              </w:rPr>
            </w:pPr>
          </w:p>
        </w:tc>
      </w:tr>
      <w:tr w:rsidR="00E51F88" w14:paraId="653ED224" w14:textId="77777777" w:rsidTr="00E51F88">
        <w:tc>
          <w:tcPr>
            <w:tcW w:w="567" w:type="dxa"/>
          </w:tcPr>
          <w:p w14:paraId="3DFDB597" w14:textId="77777777" w:rsidR="00E51F88" w:rsidRDefault="00E51F88" w:rsidP="003A385F">
            <w:pPr>
              <w:rPr>
                <w:sz w:val="22"/>
                <w:szCs w:val="22"/>
              </w:rPr>
            </w:pPr>
            <w:r>
              <w:rPr>
                <w:sz w:val="22"/>
                <w:szCs w:val="22"/>
              </w:rPr>
              <w:t>30</w:t>
            </w:r>
          </w:p>
        </w:tc>
        <w:tc>
          <w:tcPr>
            <w:tcW w:w="4961" w:type="dxa"/>
          </w:tcPr>
          <w:p w14:paraId="492C450F" w14:textId="77777777" w:rsidR="00E51F88" w:rsidRPr="00B66346" w:rsidRDefault="00E51F88" w:rsidP="003A385F">
            <w:pPr>
              <w:rPr>
                <w:sz w:val="20"/>
                <w:szCs w:val="20"/>
              </w:rPr>
            </w:pPr>
            <w:r w:rsidRPr="00B66346">
              <w:rPr>
                <w:sz w:val="20"/>
                <w:szCs w:val="20"/>
              </w:rPr>
              <w:t>How many sets of arterial blood gases results are in the records for this stay?</w:t>
            </w:r>
          </w:p>
        </w:tc>
        <w:tc>
          <w:tcPr>
            <w:tcW w:w="567" w:type="dxa"/>
          </w:tcPr>
          <w:p w14:paraId="42623D2C" w14:textId="77777777" w:rsidR="00E51F88" w:rsidRDefault="00E51F88" w:rsidP="003A385F">
            <w:pPr>
              <w:rPr>
                <w:sz w:val="22"/>
                <w:szCs w:val="22"/>
              </w:rPr>
            </w:pPr>
          </w:p>
        </w:tc>
        <w:tc>
          <w:tcPr>
            <w:tcW w:w="709" w:type="dxa"/>
          </w:tcPr>
          <w:p w14:paraId="4DD189F7" w14:textId="77777777" w:rsidR="00E51F88" w:rsidRDefault="00E51F88" w:rsidP="003A385F">
            <w:pPr>
              <w:rPr>
                <w:sz w:val="22"/>
                <w:szCs w:val="22"/>
              </w:rPr>
            </w:pPr>
          </w:p>
        </w:tc>
        <w:tc>
          <w:tcPr>
            <w:tcW w:w="708" w:type="dxa"/>
          </w:tcPr>
          <w:p w14:paraId="7AA69F6B" w14:textId="77777777" w:rsidR="00E51F88" w:rsidRDefault="00E51F88" w:rsidP="003A385F">
            <w:pPr>
              <w:rPr>
                <w:sz w:val="22"/>
                <w:szCs w:val="22"/>
              </w:rPr>
            </w:pPr>
          </w:p>
        </w:tc>
      </w:tr>
      <w:tr w:rsidR="00E51F88" w14:paraId="4A29D66E" w14:textId="77777777" w:rsidTr="00E51F88">
        <w:tc>
          <w:tcPr>
            <w:tcW w:w="567" w:type="dxa"/>
            <w:tcBorders>
              <w:bottom w:val="dashed" w:sz="4" w:space="0" w:color="auto"/>
            </w:tcBorders>
          </w:tcPr>
          <w:p w14:paraId="36109C1A" w14:textId="77777777" w:rsidR="00E51F88" w:rsidRDefault="00E51F88" w:rsidP="003A385F">
            <w:pPr>
              <w:rPr>
                <w:sz w:val="22"/>
                <w:szCs w:val="22"/>
              </w:rPr>
            </w:pPr>
            <w:r>
              <w:rPr>
                <w:sz w:val="22"/>
                <w:szCs w:val="22"/>
              </w:rPr>
              <w:t>31</w:t>
            </w:r>
          </w:p>
        </w:tc>
        <w:tc>
          <w:tcPr>
            <w:tcW w:w="4961" w:type="dxa"/>
            <w:tcBorders>
              <w:bottom w:val="dashed" w:sz="4" w:space="0" w:color="auto"/>
            </w:tcBorders>
          </w:tcPr>
          <w:p w14:paraId="36414FF0" w14:textId="77777777" w:rsidR="00E51F88" w:rsidRPr="00B66346" w:rsidRDefault="00E51F88" w:rsidP="003A385F">
            <w:pPr>
              <w:pStyle w:val="Header"/>
              <w:pBdr>
                <w:top w:val="dotted" w:sz="4" w:space="10" w:color="auto"/>
              </w:pBdr>
              <w:tabs>
                <w:tab w:val="left" w:pos="2835"/>
                <w:tab w:val="left" w:pos="4820"/>
                <w:tab w:val="left" w:pos="6379"/>
                <w:tab w:val="left" w:pos="7371"/>
                <w:tab w:val="left" w:pos="9072"/>
              </w:tabs>
              <w:rPr>
                <w:sz w:val="20"/>
                <w:szCs w:val="20"/>
              </w:rPr>
            </w:pPr>
            <w:r w:rsidRPr="00B66346">
              <w:rPr>
                <w:sz w:val="20"/>
                <w:szCs w:val="20"/>
              </w:rPr>
              <w:t>Did the patient have a pH less than 7.35 at any time during this stay?</w:t>
            </w:r>
          </w:p>
          <w:p w14:paraId="02A47066" w14:textId="77777777" w:rsidR="00E51F88" w:rsidRPr="00B66346" w:rsidRDefault="00E51F88" w:rsidP="003A385F">
            <w:pPr>
              <w:pStyle w:val="Header"/>
              <w:pBdr>
                <w:top w:val="dotted" w:sz="4" w:space="10" w:color="auto"/>
              </w:pBdr>
              <w:tabs>
                <w:tab w:val="left" w:pos="2961"/>
                <w:tab w:val="left" w:pos="7200"/>
                <w:tab w:val="left" w:pos="8280"/>
                <w:tab w:val="left" w:pos="9180"/>
              </w:tabs>
              <w:rPr>
                <w:sz w:val="20"/>
                <w:szCs w:val="20"/>
              </w:rPr>
            </w:pPr>
            <w:r w:rsidRPr="00B66346">
              <w:rPr>
                <w:sz w:val="20"/>
                <w:szCs w:val="20"/>
              </w:rPr>
              <w:tab/>
              <w:t>yes</w:t>
            </w:r>
          </w:p>
          <w:p w14:paraId="7978B418" w14:textId="77777777" w:rsidR="00E51F88" w:rsidRPr="00B66346" w:rsidRDefault="00E51F88" w:rsidP="003A385F">
            <w:pPr>
              <w:tabs>
                <w:tab w:val="left" w:pos="2961"/>
              </w:tabs>
              <w:rPr>
                <w:sz w:val="20"/>
                <w:szCs w:val="20"/>
              </w:rPr>
            </w:pPr>
            <w:r w:rsidRPr="00B66346">
              <w:rPr>
                <w:sz w:val="20"/>
                <w:szCs w:val="20"/>
              </w:rPr>
              <w:lastRenderedPageBreak/>
              <w:tab/>
              <w:t>no</w:t>
            </w:r>
          </w:p>
        </w:tc>
        <w:tc>
          <w:tcPr>
            <w:tcW w:w="567" w:type="dxa"/>
            <w:tcBorders>
              <w:bottom w:val="dashed" w:sz="4" w:space="0" w:color="auto"/>
            </w:tcBorders>
          </w:tcPr>
          <w:p w14:paraId="26A20205" w14:textId="77777777" w:rsidR="00E51F88" w:rsidRDefault="00E51F88" w:rsidP="003A385F">
            <w:pPr>
              <w:rPr>
                <w:sz w:val="22"/>
                <w:szCs w:val="22"/>
              </w:rPr>
            </w:pPr>
          </w:p>
        </w:tc>
        <w:tc>
          <w:tcPr>
            <w:tcW w:w="709" w:type="dxa"/>
            <w:tcBorders>
              <w:bottom w:val="dashed" w:sz="4" w:space="0" w:color="auto"/>
            </w:tcBorders>
          </w:tcPr>
          <w:p w14:paraId="3034499E" w14:textId="77777777" w:rsidR="00E51F88" w:rsidRDefault="00E51F88" w:rsidP="003A385F">
            <w:pPr>
              <w:rPr>
                <w:sz w:val="22"/>
                <w:szCs w:val="22"/>
              </w:rPr>
            </w:pPr>
          </w:p>
        </w:tc>
        <w:tc>
          <w:tcPr>
            <w:tcW w:w="708" w:type="dxa"/>
            <w:tcBorders>
              <w:bottom w:val="dashed" w:sz="4" w:space="0" w:color="auto"/>
            </w:tcBorders>
          </w:tcPr>
          <w:p w14:paraId="60F8F708" w14:textId="77777777" w:rsidR="00E51F88" w:rsidRDefault="00E51F88" w:rsidP="003A385F">
            <w:pPr>
              <w:rPr>
                <w:sz w:val="22"/>
                <w:szCs w:val="22"/>
              </w:rPr>
            </w:pPr>
          </w:p>
        </w:tc>
      </w:tr>
      <w:tr w:rsidR="00E51F88" w14:paraId="4B4D3124" w14:textId="77777777" w:rsidTr="00E51F88">
        <w:tc>
          <w:tcPr>
            <w:tcW w:w="567" w:type="dxa"/>
            <w:tcBorders>
              <w:top w:val="dashed" w:sz="4" w:space="0" w:color="auto"/>
              <w:bottom w:val="dashed" w:sz="4" w:space="0" w:color="auto"/>
            </w:tcBorders>
          </w:tcPr>
          <w:p w14:paraId="421422B6" w14:textId="77777777" w:rsidR="00E51F88" w:rsidRDefault="00E51F88" w:rsidP="003A385F">
            <w:pPr>
              <w:rPr>
                <w:sz w:val="22"/>
                <w:szCs w:val="22"/>
              </w:rPr>
            </w:pPr>
          </w:p>
        </w:tc>
        <w:tc>
          <w:tcPr>
            <w:tcW w:w="4961" w:type="dxa"/>
            <w:tcBorders>
              <w:top w:val="dashed" w:sz="4" w:space="0" w:color="auto"/>
              <w:bottom w:val="dashed" w:sz="4" w:space="0" w:color="auto"/>
            </w:tcBorders>
          </w:tcPr>
          <w:p w14:paraId="19847769" w14:textId="77777777" w:rsidR="00E51F88" w:rsidRPr="00B66346" w:rsidRDefault="00E51F88" w:rsidP="003A385F">
            <w:pPr>
              <w:pStyle w:val="Header"/>
              <w:tabs>
                <w:tab w:val="left" w:pos="1701"/>
                <w:tab w:val="left" w:pos="4820"/>
                <w:tab w:val="left" w:pos="6379"/>
                <w:tab w:val="left" w:pos="7371"/>
                <w:tab w:val="left" w:pos="9072"/>
              </w:tabs>
              <w:rPr>
                <w:sz w:val="20"/>
                <w:szCs w:val="20"/>
              </w:rPr>
            </w:pPr>
            <w:r w:rsidRPr="00B66346">
              <w:rPr>
                <w:sz w:val="20"/>
                <w:szCs w:val="20"/>
              </w:rPr>
              <w:t>If yes, did they receive ventilatory support?</w:t>
            </w:r>
          </w:p>
          <w:p w14:paraId="09E5C214" w14:textId="77777777" w:rsidR="00E51F88" w:rsidRPr="00B66346" w:rsidRDefault="00E51F88" w:rsidP="003A385F">
            <w:pPr>
              <w:pStyle w:val="Header"/>
              <w:tabs>
                <w:tab w:val="left" w:pos="1701"/>
                <w:tab w:val="left" w:pos="4820"/>
                <w:tab w:val="left" w:pos="6379"/>
                <w:tab w:val="left" w:pos="7371"/>
                <w:tab w:val="left" w:pos="9072"/>
              </w:tabs>
              <w:ind w:left="1710"/>
              <w:rPr>
                <w:sz w:val="20"/>
                <w:szCs w:val="20"/>
              </w:rPr>
            </w:pPr>
            <w:r w:rsidRPr="00B66346">
              <w:rPr>
                <w:sz w:val="20"/>
                <w:szCs w:val="20"/>
              </w:rPr>
              <w:t>Please tick all that apply</w:t>
            </w:r>
          </w:p>
          <w:p w14:paraId="4E531EF4" w14:textId="77777777" w:rsidR="00E51F88" w:rsidRPr="00B66346" w:rsidRDefault="00E51F88" w:rsidP="003A385F">
            <w:pPr>
              <w:pStyle w:val="Header"/>
              <w:tabs>
                <w:tab w:val="left" w:pos="2961"/>
                <w:tab w:val="left" w:pos="4320"/>
                <w:tab w:val="left" w:pos="8280"/>
                <w:tab w:val="left" w:pos="9180"/>
              </w:tabs>
              <w:rPr>
                <w:sz w:val="20"/>
                <w:szCs w:val="20"/>
              </w:rPr>
            </w:pPr>
            <w:r w:rsidRPr="00B66346">
              <w:rPr>
                <w:sz w:val="20"/>
                <w:szCs w:val="20"/>
              </w:rPr>
              <w:tab/>
              <w:t>respiratory stimulant (e.g. doxapram)</w:t>
            </w:r>
          </w:p>
          <w:p w14:paraId="65D75E7D" w14:textId="77777777" w:rsidR="00E51F88" w:rsidRPr="00B66346" w:rsidRDefault="00E51F88" w:rsidP="003A385F">
            <w:pPr>
              <w:pStyle w:val="Header"/>
              <w:tabs>
                <w:tab w:val="left" w:pos="2961"/>
                <w:tab w:val="left" w:pos="4320"/>
                <w:tab w:val="left" w:pos="8280"/>
                <w:tab w:val="left" w:pos="9180"/>
              </w:tabs>
              <w:rPr>
                <w:sz w:val="20"/>
                <w:szCs w:val="20"/>
              </w:rPr>
            </w:pPr>
            <w:r w:rsidRPr="00B66346">
              <w:rPr>
                <w:sz w:val="20"/>
                <w:szCs w:val="20"/>
              </w:rPr>
              <w:tab/>
              <w:t>non-invasive</w:t>
            </w:r>
          </w:p>
          <w:p w14:paraId="1250D82D" w14:textId="77777777" w:rsidR="00E51F88" w:rsidRPr="00B66346" w:rsidRDefault="00E51F88" w:rsidP="003A385F">
            <w:pPr>
              <w:pStyle w:val="Header"/>
              <w:tabs>
                <w:tab w:val="clear" w:pos="4513"/>
                <w:tab w:val="left" w:pos="2961"/>
                <w:tab w:val="left" w:pos="4320"/>
                <w:tab w:val="left" w:pos="4536"/>
                <w:tab w:val="left" w:pos="8280"/>
                <w:tab w:val="left" w:pos="9180"/>
              </w:tabs>
              <w:rPr>
                <w:sz w:val="20"/>
                <w:szCs w:val="20"/>
              </w:rPr>
            </w:pPr>
            <w:r w:rsidRPr="00B66346">
              <w:rPr>
                <w:sz w:val="20"/>
                <w:szCs w:val="20"/>
              </w:rPr>
              <w:tab/>
              <w:t>invasive</w:t>
            </w:r>
          </w:p>
          <w:p w14:paraId="4281E601" w14:textId="77777777" w:rsidR="00E51F88" w:rsidRPr="00B66346" w:rsidRDefault="00E51F88" w:rsidP="003A385F">
            <w:pPr>
              <w:tabs>
                <w:tab w:val="left" w:pos="2961"/>
              </w:tabs>
              <w:rPr>
                <w:sz w:val="20"/>
                <w:szCs w:val="20"/>
              </w:rPr>
            </w:pPr>
            <w:r w:rsidRPr="00B66346">
              <w:rPr>
                <w:sz w:val="20"/>
                <w:szCs w:val="20"/>
              </w:rPr>
              <w:tab/>
              <w:t>none</w:t>
            </w:r>
          </w:p>
        </w:tc>
        <w:tc>
          <w:tcPr>
            <w:tcW w:w="567" w:type="dxa"/>
            <w:tcBorders>
              <w:top w:val="dashed" w:sz="4" w:space="0" w:color="auto"/>
              <w:bottom w:val="dashed" w:sz="4" w:space="0" w:color="auto"/>
            </w:tcBorders>
          </w:tcPr>
          <w:p w14:paraId="0C617BEC" w14:textId="77777777" w:rsidR="00E51F88" w:rsidRDefault="00E51F88" w:rsidP="003A385F">
            <w:pPr>
              <w:rPr>
                <w:sz w:val="22"/>
                <w:szCs w:val="22"/>
              </w:rPr>
            </w:pPr>
          </w:p>
        </w:tc>
        <w:tc>
          <w:tcPr>
            <w:tcW w:w="709" w:type="dxa"/>
            <w:tcBorders>
              <w:top w:val="dashed" w:sz="4" w:space="0" w:color="auto"/>
              <w:bottom w:val="dashed" w:sz="4" w:space="0" w:color="auto"/>
            </w:tcBorders>
          </w:tcPr>
          <w:p w14:paraId="12DBD21F" w14:textId="77777777" w:rsidR="00E51F88" w:rsidRDefault="00E51F88" w:rsidP="003A385F">
            <w:pPr>
              <w:rPr>
                <w:sz w:val="22"/>
                <w:szCs w:val="22"/>
              </w:rPr>
            </w:pPr>
          </w:p>
        </w:tc>
        <w:tc>
          <w:tcPr>
            <w:tcW w:w="708" w:type="dxa"/>
            <w:tcBorders>
              <w:top w:val="dashed" w:sz="4" w:space="0" w:color="auto"/>
              <w:bottom w:val="dashed" w:sz="4" w:space="0" w:color="auto"/>
            </w:tcBorders>
          </w:tcPr>
          <w:p w14:paraId="1618AA62" w14:textId="77777777" w:rsidR="00E51F88" w:rsidRDefault="00E51F88" w:rsidP="003A385F">
            <w:pPr>
              <w:rPr>
                <w:sz w:val="22"/>
                <w:szCs w:val="22"/>
              </w:rPr>
            </w:pPr>
          </w:p>
        </w:tc>
      </w:tr>
      <w:tr w:rsidR="00E51F88" w14:paraId="2EE5FB58" w14:textId="77777777" w:rsidTr="00E51F88">
        <w:tc>
          <w:tcPr>
            <w:tcW w:w="567" w:type="dxa"/>
            <w:tcBorders>
              <w:top w:val="dashed" w:sz="4" w:space="0" w:color="auto"/>
            </w:tcBorders>
          </w:tcPr>
          <w:p w14:paraId="6B630D1D" w14:textId="77777777" w:rsidR="00E51F88" w:rsidRDefault="00E51F88" w:rsidP="003A385F">
            <w:pPr>
              <w:rPr>
                <w:sz w:val="22"/>
                <w:szCs w:val="22"/>
              </w:rPr>
            </w:pPr>
          </w:p>
        </w:tc>
        <w:tc>
          <w:tcPr>
            <w:tcW w:w="4961" w:type="dxa"/>
            <w:tcBorders>
              <w:top w:val="dashed" w:sz="4" w:space="0" w:color="auto"/>
            </w:tcBorders>
          </w:tcPr>
          <w:p w14:paraId="51FB05F9" w14:textId="77777777" w:rsidR="00E51F88" w:rsidRPr="00B66346" w:rsidRDefault="00E51F88" w:rsidP="003A385F">
            <w:pPr>
              <w:pStyle w:val="Header"/>
              <w:tabs>
                <w:tab w:val="left" w:pos="1701"/>
                <w:tab w:val="left" w:pos="4820"/>
                <w:tab w:val="left" w:pos="6379"/>
                <w:tab w:val="left" w:pos="7371"/>
                <w:tab w:val="left" w:pos="9072"/>
              </w:tabs>
              <w:ind w:left="720"/>
              <w:rPr>
                <w:sz w:val="20"/>
                <w:szCs w:val="20"/>
              </w:rPr>
            </w:pPr>
            <w:r w:rsidRPr="00B66346">
              <w:rPr>
                <w:sz w:val="20"/>
                <w:szCs w:val="20"/>
              </w:rPr>
              <w:t>If the patient had a pH of less than 7.35 and did not receive ventilatory support,</w:t>
            </w:r>
            <w:r w:rsidRPr="00B66346">
              <w:rPr>
                <w:sz w:val="20"/>
                <w:szCs w:val="20"/>
              </w:rPr>
              <w:br/>
              <w:t>is it noted why not?</w:t>
            </w:r>
          </w:p>
          <w:p w14:paraId="262105CA" w14:textId="77777777" w:rsidR="00E51F88" w:rsidRPr="00B66346" w:rsidRDefault="00E51F88" w:rsidP="003A385F">
            <w:pPr>
              <w:pStyle w:val="Header"/>
              <w:tabs>
                <w:tab w:val="left" w:pos="2961"/>
                <w:tab w:val="left" w:pos="6480"/>
                <w:tab w:val="left" w:pos="8280"/>
                <w:tab w:val="left" w:pos="9180"/>
              </w:tabs>
              <w:rPr>
                <w:sz w:val="20"/>
                <w:szCs w:val="20"/>
              </w:rPr>
            </w:pPr>
            <w:r w:rsidRPr="00B66346">
              <w:rPr>
                <w:sz w:val="20"/>
                <w:szCs w:val="20"/>
              </w:rPr>
              <w:tab/>
              <w:t>patient refused</w:t>
            </w:r>
          </w:p>
          <w:p w14:paraId="5BE7D22D" w14:textId="77777777" w:rsidR="00E51F88" w:rsidRPr="00B66346" w:rsidRDefault="00E51F88" w:rsidP="003A385F">
            <w:pPr>
              <w:pStyle w:val="Header"/>
              <w:tabs>
                <w:tab w:val="left" w:pos="2961"/>
                <w:tab w:val="left" w:pos="6480"/>
                <w:tab w:val="left" w:pos="8280"/>
                <w:tab w:val="left" w:pos="9180"/>
              </w:tabs>
              <w:rPr>
                <w:sz w:val="20"/>
                <w:szCs w:val="20"/>
              </w:rPr>
            </w:pPr>
            <w:r w:rsidRPr="00B66346">
              <w:rPr>
                <w:sz w:val="20"/>
                <w:szCs w:val="20"/>
              </w:rPr>
              <w:tab/>
              <w:t>no facilities</w:t>
            </w:r>
          </w:p>
          <w:p w14:paraId="6776E03D" w14:textId="77777777" w:rsidR="00E51F88" w:rsidRPr="00B66346" w:rsidRDefault="00E51F88" w:rsidP="003A385F">
            <w:pPr>
              <w:pStyle w:val="Header"/>
              <w:tabs>
                <w:tab w:val="left" w:pos="2961"/>
                <w:tab w:val="left" w:pos="6480"/>
                <w:tab w:val="left" w:pos="8280"/>
                <w:tab w:val="left" w:pos="9180"/>
              </w:tabs>
              <w:rPr>
                <w:sz w:val="20"/>
                <w:szCs w:val="20"/>
              </w:rPr>
            </w:pPr>
            <w:r w:rsidRPr="00B66346">
              <w:rPr>
                <w:sz w:val="20"/>
                <w:szCs w:val="20"/>
              </w:rPr>
              <w:tab/>
              <w:t>not appropriate</w:t>
            </w:r>
          </w:p>
          <w:p w14:paraId="56856079" w14:textId="77777777" w:rsidR="00E51F88" w:rsidRPr="00B66346" w:rsidRDefault="00E51F88" w:rsidP="003A385F">
            <w:pPr>
              <w:pStyle w:val="Header"/>
              <w:tabs>
                <w:tab w:val="left" w:pos="2961"/>
                <w:tab w:val="left" w:pos="6480"/>
                <w:tab w:val="left" w:pos="8280"/>
                <w:tab w:val="left" w:pos="9180"/>
              </w:tabs>
              <w:rPr>
                <w:sz w:val="20"/>
                <w:szCs w:val="20"/>
              </w:rPr>
            </w:pPr>
            <w:r w:rsidRPr="00B66346">
              <w:rPr>
                <w:sz w:val="20"/>
                <w:szCs w:val="20"/>
              </w:rPr>
              <w:tab/>
              <w:t>failed</w:t>
            </w:r>
          </w:p>
          <w:p w14:paraId="55D2D367" w14:textId="77777777" w:rsidR="00E51F88" w:rsidRPr="00B66346" w:rsidRDefault="00E51F88" w:rsidP="003A385F">
            <w:pPr>
              <w:pStyle w:val="Header"/>
              <w:tabs>
                <w:tab w:val="left" w:pos="2961"/>
                <w:tab w:val="left" w:pos="6480"/>
                <w:tab w:val="left" w:pos="8280"/>
                <w:tab w:val="left" w:pos="9180"/>
              </w:tabs>
              <w:rPr>
                <w:sz w:val="20"/>
                <w:szCs w:val="20"/>
              </w:rPr>
            </w:pPr>
            <w:r w:rsidRPr="00B66346">
              <w:rPr>
                <w:sz w:val="20"/>
                <w:szCs w:val="20"/>
              </w:rPr>
              <w:tab/>
              <w:t>other</w:t>
            </w:r>
          </w:p>
          <w:p w14:paraId="14050145" w14:textId="77777777" w:rsidR="00E51F88" w:rsidRPr="00B66346" w:rsidRDefault="00E51F88" w:rsidP="003A385F">
            <w:pPr>
              <w:tabs>
                <w:tab w:val="left" w:pos="2961"/>
              </w:tabs>
              <w:rPr>
                <w:sz w:val="20"/>
                <w:szCs w:val="20"/>
              </w:rPr>
            </w:pPr>
            <w:r w:rsidRPr="00B66346">
              <w:rPr>
                <w:sz w:val="20"/>
                <w:szCs w:val="20"/>
              </w:rPr>
              <w:tab/>
              <w:t>not recorded</w:t>
            </w:r>
          </w:p>
        </w:tc>
        <w:tc>
          <w:tcPr>
            <w:tcW w:w="567" w:type="dxa"/>
            <w:tcBorders>
              <w:top w:val="dashed" w:sz="4" w:space="0" w:color="auto"/>
            </w:tcBorders>
          </w:tcPr>
          <w:p w14:paraId="1F0E684B" w14:textId="77777777" w:rsidR="00E51F88" w:rsidRDefault="00E51F88" w:rsidP="003A385F">
            <w:pPr>
              <w:rPr>
                <w:sz w:val="22"/>
                <w:szCs w:val="22"/>
              </w:rPr>
            </w:pPr>
          </w:p>
        </w:tc>
        <w:tc>
          <w:tcPr>
            <w:tcW w:w="709" w:type="dxa"/>
            <w:tcBorders>
              <w:top w:val="dashed" w:sz="4" w:space="0" w:color="auto"/>
            </w:tcBorders>
          </w:tcPr>
          <w:p w14:paraId="06C3CFE1" w14:textId="77777777" w:rsidR="00E51F88" w:rsidRDefault="00E51F88" w:rsidP="003A385F">
            <w:pPr>
              <w:rPr>
                <w:sz w:val="22"/>
                <w:szCs w:val="22"/>
              </w:rPr>
            </w:pPr>
          </w:p>
        </w:tc>
        <w:tc>
          <w:tcPr>
            <w:tcW w:w="708" w:type="dxa"/>
            <w:tcBorders>
              <w:top w:val="dashed" w:sz="4" w:space="0" w:color="auto"/>
            </w:tcBorders>
          </w:tcPr>
          <w:p w14:paraId="210A9AEB" w14:textId="77777777" w:rsidR="00E51F88" w:rsidRDefault="00E51F88" w:rsidP="003A385F">
            <w:pPr>
              <w:rPr>
                <w:sz w:val="22"/>
                <w:szCs w:val="22"/>
              </w:rPr>
            </w:pPr>
          </w:p>
        </w:tc>
      </w:tr>
    </w:tbl>
    <w:p w14:paraId="47E82DDE" w14:textId="77777777" w:rsidR="000923BB" w:rsidRDefault="000923BB" w:rsidP="000923BB">
      <w:pPr>
        <w:pStyle w:val="Header"/>
        <w:pBdr>
          <w:bottom w:val="single" w:sz="18" w:space="6" w:color="auto"/>
        </w:pBdr>
        <w:rPr>
          <w:b/>
          <w:sz w:val="28"/>
          <w:szCs w:val="28"/>
        </w:rPr>
      </w:pPr>
    </w:p>
    <w:p w14:paraId="313481C1" w14:textId="77777777" w:rsidR="000923BB" w:rsidRDefault="000923BB" w:rsidP="000923BB">
      <w:pPr>
        <w:pStyle w:val="Header"/>
        <w:pBdr>
          <w:bottom w:val="single" w:sz="18" w:space="6" w:color="auto"/>
        </w:pBdr>
        <w:rPr>
          <w:b/>
          <w:sz w:val="28"/>
          <w:szCs w:val="28"/>
        </w:rPr>
      </w:pPr>
    </w:p>
    <w:p w14:paraId="4662965D" w14:textId="77777777" w:rsidR="000923BB" w:rsidRPr="00B77A2A" w:rsidRDefault="000923BB" w:rsidP="000923BB">
      <w:pPr>
        <w:pStyle w:val="Header"/>
        <w:pBdr>
          <w:bottom w:val="single" w:sz="18" w:space="6" w:color="auto"/>
        </w:pBdr>
        <w:rPr>
          <w:b/>
          <w:sz w:val="28"/>
          <w:szCs w:val="28"/>
        </w:rPr>
      </w:pPr>
      <w:r w:rsidRPr="00B77A2A">
        <w:rPr>
          <w:b/>
          <w:sz w:val="28"/>
          <w:szCs w:val="28"/>
        </w:rPr>
        <w:t>Pre-discharge phase</w:t>
      </w:r>
    </w:p>
    <w:p w14:paraId="4F2F520A" w14:textId="77777777" w:rsidR="000923BB" w:rsidRDefault="000923BB" w:rsidP="000923BB"/>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961"/>
        <w:gridCol w:w="567"/>
        <w:gridCol w:w="709"/>
        <w:gridCol w:w="708"/>
      </w:tblGrid>
      <w:tr w:rsidR="00E51F88" w14:paraId="5C075C57" w14:textId="77777777" w:rsidTr="00E51F88">
        <w:trPr>
          <w:cantSplit/>
          <w:trHeight w:val="1486"/>
          <w:tblHeader/>
        </w:trPr>
        <w:tc>
          <w:tcPr>
            <w:tcW w:w="567" w:type="dxa"/>
          </w:tcPr>
          <w:p w14:paraId="656B24D2" w14:textId="77777777" w:rsidR="00E51F88" w:rsidRPr="00DA5E13" w:rsidRDefault="00E51F88" w:rsidP="003A385F">
            <w:pPr>
              <w:pStyle w:val="Header"/>
              <w:tabs>
                <w:tab w:val="left" w:pos="2835"/>
                <w:tab w:val="left" w:pos="4820"/>
                <w:tab w:val="left" w:pos="6379"/>
                <w:tab w:val="left" w:pos="7371"/>
                <w:tab w:val="left" w:pos="9072"/>
              </w:tabs>
              <w:rPr>
                <w:b/>
              </w:rPr>
            </w:pPr>
            <w:r w:rsidRPr="00DA5E13">
              <w:rPr>
                <w:b/>
              </w:rPr>
              <w:t>No</w:t>
            </w:r>
          </w:p>
        </w:tc>
        <w:tc>
          <w:tcPr>
            <w:tcW w:w="4961" w:type="dxa"/>
          </w:tcPr>
          <w:p w14:paraId="5A70684D" w14:textId="77777777" w:rsidR="00E51F88" w:rsidRPr="00DA5E13" w:rsidRDefault="00E51F88" w:rsidP="003A385F">
            <w:pPr>
              <w:pStyle w:val="Header"/>
              <w:tabs>
                <w:tab w:val="left" w:pos="2835"/>
                <w:tab w:val="left" w:pos="4820"/>
                <w:tab w:val="left" w:pos="6379"/>
                <w:tab w:val="left" w:pos="7371"/>
                <w:tab w:val="left" w:pos="9072"/>
              </w:tabs>
              <w:rPr>
                <w:b/>
              </w:rPr>
            </w:pPr>
            <w:r w:rsidRPr="00DA5E13">
              <w:rPr>
                <w:b/>
              </w:rPr>
              <w:t>Criterion</w:t>
            </w:r>
          </w:p>
        </w:tc>
        <w:tc>
          <w:tcPr>
            <w:tcW w:w="567" w:type="dxa"/>
            <w:textDirection w:val="tbRl"/>
          </w:tcPr>
          <w:p w14:paraId="255E2DE9" w14:textId="77777777" w:rsidR="00E51F88" w:rsidRPr="00DA5E13" w:rsidRDefault="00E51F88" w:rsidP="003A385F">
            <w:pPr>
              <w:pStyle w:val="Header"/>
              <w:tabs>
                <w:tab w:val="left" w:pos="2835"/>
                <w:tab w:val="left" w:pos="4820"/>
                <w:tab w:val="left" w:pos="6379"/>
                <w:tab w:val="left" w:pos="7371"/>
                <w:tab w:val="left" w:pos="9072"/>
              </w:tabs>
              <w:ind w:left="113" w:right="113"/>
              <w:rPr>
                <w:b/>
              </w:rPr>
            </w:pPr>
            <w:r w:rsidRPr="00DA5E13">
              <w:rPr>
                <w:b/>
              </w:rPr>
              <w:t>Essential</w:t>
            </w:r>
          </w:p>
        </w:tc>
        <w:tc>
          <w:tcPr>
            <w:tcW w:w="709" w:type="dxa"/>
            <w:textDirection w:val="tbRl"/>
          </w:tcPr>
          <w:p w14:paraId="2914189D" w14:textId="77777777" w:rsidR="00E51F88" w:rsidRPr="00DA5E13" w:rsidRDefault="00E51F88" w:rsidP="003A385F">
            <w:pPr>
              <w:pStyle w:val="Header"/>
              <w:tabs>
                <w:tab w:val="left" w:pos="2835"/>
                <w:tab w:val="left" w:pos="4820"/>
                <w:tab w:val="left" w:pos="6379"/>
                <w:tab w:val="left" w:pos="7371"/>
                <w:tab w:val="left" w:pos="9072"/>
              </w:tabs>
              <w:ind w:left="113" w:right="113"/>
              <w:rPr>
                <w:b/>
              </w:rPr>
            </w:pPr>
            <w:r w:rsidRPr="00DA5E13">
              <w:rPr>
                <w:b/>
              </w:rPr>
              <w:t>Desirable</w:t>
            </w:r>
          </w:p>
        </w:tc>
        <w:tc>
          <w:tcPr>
            <w:tcW w:w="708" w:type="dxa"/>
            <w:textDirection w:val="tbRl"/>
          </w:tcPr>
          <w:p w14:paraId="03011821" w14:textId="77777777" w:rsidR="00E51F88" w:rsidRPr="00DA5E13" w:rsidRDefault="00E51F88" w:rsidP="003A385F">
            <w:pPr>
              <w:pStyle w:val="Header"/>
              <w:tabs>
                <w:tab w:val="left" w:pos="2835"/>
                <w:tab w:val="left" w:pos="4820"/>
                <w:tab w:val="left" w:pos="6379"/>
                <w:tab w:val="left" w:pos="7371"/>
                <w:tab w:val="left" w:pos="9072"/>
              </w:tabs>
              <w:ind w:left="113" w:right="113"/>
              <w:rPr>
                <w:b/>
              </w:rPr>
            </w:pPr>
            <w:r w:rsidRPr="00DA5E13">
              <w:rPr>
                <w:b/>
              </w:rPr>
              <w:t>Non-Essential</w:t>
            </w:r>
          </w:p>
        </w:tc>
      </w:tr>
      <w:tr w:rsidR="00E51F88" w14:paraId="17BA42B1" w14:textId="77777777" w:rsidTr="00E51F88">
        <w:tc>
          <w:tcPr>
            <w:tcW w:w="567" w:type="dxa"/>
            <w:tcBorders>
              <w:bottom w:val="dashed" w:sz="4" w:space="0" w:color="auto"/>
            </w:tcBorders>
          </w:tcPr>
          <w:p w14:paraId="216E51D9" w14:textId="77777777" w:rsidR="00E51F88" w:rsidRDefault="00E51F88" w:rsidP="003A385F">
            <w:pPr>
              <w:rPr>
                <w:sz w:val="22"/>
                <w:szCs w:val="22"/>
              </w:rPr>
            </w:pPr>
            <w:r>
              <w:rPr>
                <w:sz w:val="22"/>
                <w:szCs w:val="22"/>
              </w:rPr>
              <w:t>32</w:t>
            </w:r>
          </w:p>
        </w:tc>
        <w:tc>
          <w:tcPr>
            <w:tcW w:w="4961" w:type="dxa"/>
            <w:tcBorders>
              <w:bottom w:val="dashed" w:sz="4" w:space="0" w:color="auto"/>
            </w:tcBorders>
          </w:tcPr>
          <w:p w14:paraId="2046ACF4" w14:textId="77777777" w:rsidR="00E51F88" w:rsidRPr="00B66346" w:rsidRDefault="00E51F88" w:rsidP="003A385F">
            <w:pPr>
              <w:pStyle w:val="Header"/>
              <w:tabs>
                <w:tab w:val="left" w:pos="2835"/>
                <w:tab w:val="left" w:pos="4820"/>
                <w:tab w:val="left" w:pos="6379"/>
                <w:tab w:val="left" w:pos="7371"/>
                <w:tab w:val="left" w:pos="9072"/>
              </w:tabs>
              <w:ind w:left="426" w:hanging="426"/>
              <w:rPr>
                <w:sz w:val="20"/>
                <w:szCs w:val="20"/>
              </w:rPr>
            </w:pPr>
          </w:p>
          <w:p w14:paraId="5265CC2E" w14:textId="77777777" w:rsidR="00E51F88" w:rsidRPr="00B66346" w:rsidRDefault="00E51F88" w:rsidP="003A385F">
            <w:pPr>
              <w:pStyle w:val="Header"/>
              <w:tabs>
                <w:tab w:val="left" w:pos="2835"/>
                <w:tab w:val="left" w:pos="4820"/>
                <w:tab w:val="left" w:pos="6379"/>
                <w:tab w:val="left" w:pos="7371"/>
                <w:tab w:val="left" w:pos="9072"/>
              </w:tabs>
              <w:ind w:left="426" w:hanging="426"/>
              <w:rPr>
                <w:sz w:val="20"/>
                <w:szCs w:val="20"/>
              </w:rPr>
            </w:pPr>
            <w:r w:rsidRPr="00B66346">
              <w:rPr>
                <w:sz w:val="20"/>
                <w:szCs w:val="20"/>
              </w:rPr>
              <w:t>Was oximetry (O</w:t>
            </w:r>
            <w:r w:rsidRPr="00B66346">
              <w:rPr>
                <w:position w:val="-6"/>
                <w:sz w:val="20"/>
                <w:szCs w:val="20"/>
              </w:rPr>
              <w:t>2</w:t>
            </w:r>
            <w:r w:rsidRPr="00B66346">
              <w:rPr>
                <w:sz w:val="20"/>
                <w:szCs w:val="20"/>
              </w:rPr>
              <w:t xml:space="preserve"> saturation levels) undertaken, after acute phase but prior to discharge </w:t>
            </w:r>
          </w:p>
          <w:p w14:paraId="2656DBC0" w14:textId="77777777" w:rsidR="00E51F88" w:rsidRPr="00B66346" w:rsidRDefault="00E51F88" w:rsidP="003A385F">
            <w:pPr>
              <w:pStyle w:val="Header"/>
              <w:tabs>
                <w:tab w:val="left" w:pos="2835"/>
                <w:tab w:val="left" w:pos="4820"/>
                <w:tab w:val="left" w:pos="6379"/>
                <w:tab w:val="left" w:pos="7371"/>
                <w:tab w:val="left" w:pos="9072"/>
              </w:tabs>
              <w:ind w:left="426" w:hanging="66"/>
              <w:rPr>
                <w:sz w:val="20"/>
                <w:szCs w:val="20"/>
              </w:rPr>
            </w:pPr>
            <w:r w:rsidRPr="00B66346">
              <w:rPr>
                <w:sz w:val="20"/>
                <w:szCs w:val="20"/>
              </w:rPr>
              <w:t>(within 48 hours of discharge)?</w:t>
            </w:r>
          </w:p>
          <w:p w14:paraId="6D3922D3" w14:textId="77777777" w:rsidR="00E51F88" w:rsidRPr="00B66346" w:rsidRDefault="00E51F88" w:rsidP="003A385F">
            <w:pPr>
              <w:pStyle w:val="Header"/>
              <w:tabs>
                <w:tab w:val="left" w:pos="2952"/>
                <w:tab w:val="left" w:pos="7200"/>
                <w:tab w:val="left" w:pos="8280"/>
                <w:tab w:val="left" w:pos="9180"/>
              </w:tabs>
              <w:rPr>
                <w:sz w:val="20"/>
                <w:szCs w:val="20"/>
              </w:rPr>
            </w:pPr>
            <w:r w:rsidRPr="00B66346">
              <w:rPr>
                <w:sz w:val="20"/>
                <w:szCs w:val="20"/>
              </w:rPr>
              <w:tab/>
              <w:t>yes</w:t>
            </w:r>
          </w:p>
          <w:p w14:paraId="43F9DCD5" w14:textId="77777777" w:rsidR="00E51F88" w:rsidRPr="00B66346" w:rsidRDefault="00E51F88" w:rsidP="003A385F">
            <w:pPr>
              <w:tabs>
                <w:tab w:val="left" w:pos="2952"/>
              </w:tabs>
              <w:rPr>
                <w:sz w:val="20"/>
                <w:szCs w:val="20"/>
              </w:rPr>
            </w:pPr>
            <w:r w:rsidRPr="00B66346">
              <w:rPr>
                <w:sz w:val="20"/>
                <w:szCs w:val="20"/>
              </w:rPr>
              <w:tab/>
              <w:t>no</w:t>
            </w:r>
          </w:p>
        </w:tc>
        <w:tc>
          <w:tcPr>
            <w:tcW w:w="567" w:type="dxa"/>
            <w:tcBorders>
              <w:bottom w:val="dashed" w:sz="4" w:space="0" w:color="auto"/>
            </w:tcBorders>
          </w:tcPr>
          <w:p w14:paraId="6399ABAC" w14:textId="77777777" w:rsidR="00E51F88" w:rsidRDefault="00E51F88" w:rsidP="003A385F">
            <w:pPr>
              <w:rPr>
                <w:sz w:val="22"/>
                <w:szCs w:val="22"/>
              </w:rPr>
            </w:pPr>
          </w:p>
        </w:tc>
        <w:tc>
          <w:tcPr>
            <w:tcW w:w="709" w:type="dxa"/>
            <w:tcBorders>
              <w:bottom w:val="dashed" w:sz="4" w:space="0" w:color="auto"/>
            </w:tcBorders>
          </w:tcPr>
          <w:p w14:paraId="195BCC97" w14:textId="77777777" w:rsidR="00E51F88" w:rsidRDefault="00E51F88" w:rsidP="003A385F">
            <w:pPr>
              <w:rPr>
                <w:sz w:val="22"/>
                <w:szCs w:val="22"/>
              </w:rPr>
            </w:pPr>
          </w:p>
        </w:tc>
        <w:tc>
          <w:tcPr>
            <w:tcW w:w="708" w:type="dxa"/>
            <w:tcBorders>
              <w:bottom w:val="dashed" w:sz="4" w:space="0" w:color="auto"/>
            </w:tcBorders>
          </w:tcPr>
          <w:p w14:paraId="71C46DEE" w14:textId="77777777" w:rsidR="00E51F88" w:rsidRDefault="00E51F88" w:rsidP="003A385F">
            <w:pPr>
              <w:rPr>
                <w:sz w:val="22"/>
                <w:szCs w:val="22"/>
              </w:rPr>
            </w:pPr>
          </w:p>
        </w:tc>
      </w:tr>
      <w:tr w:rsidR="00E51F88" w14:paraId="78C870CF" w14:textId="77777777" w:rsidTr="00E51F88">
        <w:tc>
          <w:tcPr>
            <w:tcW w:w="567" w:type="dxa"/>
            <w:tcBorders>
              <w:top w:val="dashed" w:sz="4" w:space="0" w:color="auto"/>
            </w:tcBorders>
          </w:tcPr>
          <w:p w14:paraId="5F9D4442" w14:textId="77777777" w:rsidR="00E51F88" w:rsidRDefault="00E51F88" w:rsidP="003A385F">
            <w:pPr>
              <w:rPr>
                <w:sz w:val="22"/>
                <w:szCs w:val="22"/>
              </w:rPr>
            </w:pPr>
          </w:p>
        </w:tc>
        <w:tc>
          <w:tcPr>
            <w:tcW w:w="4961" w:type="dxa"/>
            <w:tcBorders>
              <w:top w:val="dashed" w:sz="4" w:space="0" w:color="auto"/>
            </w:tcBorders>
          </w:tcPr>
          <w:p w14:paraId="2F508E84" w14:textId="77777777" w:rsidR="00E51F88" w:rsidRPr="00B66346" w:rsidRDefault="00E51F88" w:rsidP="003A385F">
            <w:pPr>
              <w:pStyle w:val="Header"/>
              <w:tabs>
                <w:tab w:val="left" w:pos="2835"/>
                <w:tab w:val="left" w:pos="8280"/>
                <w:tab w:val="left" w:pos="9180"/>
              </w:tabs>
              <w:ind w:left="720"/>
              <w:rPr>
                <w:sz w:val="20"/>
                <w:szCs w:val="20"/>
              </w:rPr>
            </w:pPr>
          </w:p>
          <w:p w14:paraId="40781F11" w14:textId="77777777" w:rsidR="00E51F88" w:rsidRPr="00B66346" w:rsidRDefault="00E51F88" w:rsidP="003A385F">
            <w:pPr>
              <w:pStyle w:val="Header"/>
              <w:tabs>
                <w:tab w:val="left" w:pos="2835"/>
                <w:tab w:val="left" w:pos="8280"/>
                <w:tab w:val="left" w:pos="9180"/>
              </w:tabs>
              <w:ind w:left="720"/>
              <w:rPr>
                <w:color w:val="0000FF"/>
                <w:sz w:val="20"/>
                <w:szCs w:val="20"/>
              </w:rPr>
            </w:pPr>
            <w:r w:rsidRPr="00B66346">
              <w:rPr>
                <w:sz w:val="20"/>
                <w:szCs w:val="20"/>
              </w:rPr>
              <w:t>If yes, what were the results?</w:t>
            </w:r>
          </w:p>
          <w:p w14:paraId="5B4CA318" w14:textId="77777777" w:rsidR="00E51F88" w:rsidRPr="00B66346" w:rsidRDefault="00E51F88" w:rsidP="003A385F">
            <w:pPr>
              <w:rPr>
                <w:sz w:val="20"/>
                <w:szCs w:val="20"/>
              </w:rPr>
            </w:pPr>
            <w:r w:rsidRPr="00B66346">
              <w:rPr>
                <w:sz w:val="20"/>
                <w:szCs w:val="20"/>
              </w:rPr>
              <w:tab/>
              <w:t>not recorded</w:t>
            </w:r>
          </w:p>
        </w:tc>
        <w:tc>
          <w:tcPr>
            <w:tcW w:w="567" w:type="dxa"/>
            <w:tcBorders>
              <w:top w:val="dashed" w:sz="4" w:space="0" w:color="auto"/>
            </w:tcBorders>
          </w:tcPr>
          <w:p w14:paraId="2619BA58" w14:textId="77777777" w:rsidR="00E51F88" w:rsidRDefault="00E51F88" w:rsidP="003A385F">
            <w:pPr>
              <w:rPr>
                <w:sz w:val="22"/>
                <w:szCs w:val="22"/>
              </w:rPr>
            </w:pPr>
          </w:p>
        </w:tc>
        <w:tc>
          <w:tcPr>
            <w:tcW w:w="709" w:type="dxa"/>
            <w:tcBorders>
              <w:top w:val="dashed" w:sz="4" w:space="0" w:color="auto"/>
            </w:tcBorders>
          </w:tcPr>
          <w:p w14:paraId="440E87A7" w14:textId="77777777" w:rsidR="00E51F88" w:rsidRDefault="00E51F88" w:rsidP="003A385F">
            <w:pPr>
              <w:rPr>
                <w:sz w:val="22"/>
                <w:szCs w:val="22"/>
              </w:rPr>
            </w:pPr>
          </w:p>
        </w:tc>
        <w:tc>
          <w:tcPr>
            <w:tcW w:w="708" w:type="dxa"/>
            <w:tcBorders>
              <w:top w:val="dashed" w:sz="4" w:space="0" w:color="auto"/>
            </w:tcBorders>
          </w:tcPr>
          <w:p w14:paraId="7C76E8A8" w14:textId="77777777" w:rsidR="00E51F88" w:rsidRDefault="00E51F88" w:rsidP="003A385F">
            <w:pPr>
              <w:rPr>
                <w:sz w:val="22"/>
                <w:szCs w:val="22"/>
              </w:rPr>
            </w:pPr>
          </w:p>
        </w:tc>
      </w:tr>
      <w:tr w:rsidR="00E51F88" w14:paraId="05B0F9DE" w14:textId="77777777" w:rsidTr="00E51F88">
        <w:tc>
          <w:tcPr>
            <w:tcW w:w="567" w:type="dxa"/>
          </w:tcPr>
          <w:p w14:paraId="3C9CB819" w14:textId="77777777" w:rsidR="00E51F88" w:rsidRDefault="00E51F88" w:rsidP="003A385F">
            <w:pPr>
              <w:rPr>
                <w:sz w:val="22"/>
                <w:szCs w:val="22"/>
              </w:rPr>
            </w:pPr>
            <w:r>
              <w:rPr>
                <w:sz w:val="22"/>
                <w:szCs w:val="22"/>
              </w:rPr>
              <w:t>33</w:t>
            </w:r>
          </w:p>
        </w:tc>
        <w:tc>
          <w:tcPr>
            <w:tcW w:w="4961" w:type="dxa"/>
          </w:tcPr>
          <w:p w14:paraId="634F7D82" w14:textId="77777777" w:rsidR="00E51F88" w:rsidRPr="00B66346" w:rsidRDefault="00E51F88" w:rsidP="003A385F">
            <w:pPr>
              <w:pStyle w:val="Header"/>
              <w:pBdr>
                <w:top w:val="dotted" w:sz="4" w:space="10" w:color="auto"/>
              </w:pBdr>
              <w:tabs>
                <w:tab w:val="left" w:pos="2835"/>
                <w:tab w:val="left" w:pos="4820"/>
                <w:tab w:val="left" w:pos="6379"/>
                <w:tab w:val="left" w:pos="7371"/>
                <w:tab w:val="left" w:pos="9072"/>
              </w:tabs>
              <w:rPr>
                <w:sz w:val="20"/>
                <w:szCs w:val="20"/>
              </w:rPr>
            </w:pPr>
            <w:r w:rsidRPr="00B66346">
              <w:rPr>
                <w:sz w:val="20"/>
                <w:szCs w:val="20"/>
              </w:rPr>
              <w:t>If a current smoker, was help toward smoking cessation given</w:t>
            </w:r>
          </w:p>
          <w:p w14:paraId="7B8EC9AD" w14:textId="77777777" w:rsidR="00E51F88" w:rsidRPr="00B66346" w:rsidRDefault="00E51F88" w:rsidP="003A385F">
            <w:pPr>
              <w:pStyle w:val="Header"/>
              <w:pBdr>
                <w:top w:val="dotted" w:sz="4" w:space="10" w:color="auto"/>
              </w:pBdr>
              <w:tabs>
                <w:tab w:val="left" w:pos="2943"/>
                <w:tab w:val="left" w:pos="3600"/>
                <w:tab w:val="left" w:pos="8280"/>
                <w:tab w:val="left" w:pos="9180"/>
              </w:tabs>
              <w:rPr>
                <w:sz w:val="20"/>
                <w:szCs w:val="20"/>
              </w:rPr>
            </w:pPr>
            <w:r w:rsidRPr="00B66346">
              <w:rPr>
                <w:sz w:val="20"/>
                <w:szCs w:val="20"/>
              </w:rPr>
              <w:tab/>
              <w:t>referred to smoking cessation programme</w:t>
            </w:r>
          </w:p>
          <w:p w14:paraId="2FDBEFCE" w14:textId="77777777" w:rsidR="00E51F88" w:rsidRPr="00B66346" w:rsidRDefault="00E51F88" w:rsidP="003A385F">
            <w:pPr>
              <w:pStyle w:val="Header"/>
              <w:pBdr>
                <w:top w:val="dotted" w:sz="4" w:space="10" w:color="auto"/>
              </w:pBdr>
              <w:tabs>
                <w:tab w:val="left" w:pos="2943"/>
                <w:tab w:val="left" w:pos="3600"/>
                <w:tab w:val="left" w:pos="8280"/>
                <w:tab w:val="left" w:pos="9180"/>
              </w:tabs>
              <w:rPr>
                <w:sz w:val="20"/>
                <w:szCs w:val="20"/>
              </w:rPr>
            </w:pPr>
            <w:r w:rsidRPr="00B66346">
              <w:rPr>
                <w:sz w:val="20"/>
                <w:szCs w:val="20"/>
              </w:rPr>
              <w:tab/>
              <w:t>advice given and recorded</w:t>
            </w:r>
          </w:p>
          <w:p w14:paraId="238B725A" w14:textId="77777777" w:rsidR="00E51F88" w:rsidRPr="00B66346" w:rsidRDefault="00E51F88" w:rsidP="003A385F">
            <w:pPr>
              <w:pStyle w:val="Header"/>
              <w:pBdr>
                <w:top w:val="dotted" w:sz="4" w:space="10" w:color="auto"/>
              </w:pBdr>
              <w:tabs>
                <w:tab w:val="left" w:pos="2943"/>
                <w:tab w:val="left" w:pos="3600"/>
                <w:tab w:val="left" w:pos="8280"/>
                <w:tab w:val="left" w:pos="9180"/>
              </w:tabs>
              <w:rPr>
                <w:sz w:val="20"/>
                <w:szCs w:val="20"/>
              </w:rPr>
            </w:pPr>
            <w:r w:rsidRPr="00B66346">
              <w:rPr>
                <w:sz w:val="20"/>
                <w:szCs w:val="20"/>
              </w:rPr>
              <w:tab/>
              <w:t>nothing recorded</w:t>
            </w:r>
          </w:p>
          <w:p w14:paraId="37AEA93C" w14:textId="77777777" w:rsidR="00E51F88" w:rsidRPr="00B66346" w:rsidRDefault="00E51F88" w:rsidP="003A385F">
            <w:pPr>
              <w:tabs>
                <w:tab w:val="left" w:pos="2943"/>
              </w:tabs>
              <w:rPr>
                <w:sz w:val="20"/>
                <w:szCs w:val="20"/>
              </w:rPr>
            </w:pPr>
            <w:r w:rsidRPr="00B66346">
              <w:rPr>
                <w:sz w:val="20"/>
                <w:szCs w:val="20"/>
              </w:rPr>
              <w:tab/>
              <w:t>not applicable (because non-smoker)</w:t>
            </w:r>
          </w:p>
        </w:tc>
        <w:tc>
          <w:tcPr>
            <w:tcW w:w="567" w:type="dxa"/>
          </w:tcPr>
          <w:p w14:paraId="429F21A9" w14:textId="77777777" w:rsidR="00E51F88" w:rsidRDefault="00E51F88" w:rsidP="003A385F">
            <w:pPr>
              <w:rPr>
                <w:sz w:val="22"/>
                <w:szCs w:val="22"/>
              </w:rPr>
            </w:pPr>
          </w:p>
        </w:tc>
        <w:tc>
          <w:tcPr>
            <w:tcW w:w="709" w:type="dxa"/>
          </w:tcPr>
          <w:p w14:paraId="6DDB3971" w14:textId="77777777" w:rsidR="00E51F88" w:rsidRDefault="00E51F88" w:rsidP="003A385F">
            <w:pPr>
              <w:rPr>
                <w:sz w:val="22"/>
                <w:szCs w:val="22"/>
              </w:rPr>
            </w:pPr>
          </w:p>
        </w:tc>
        <w:tc>
          <w:tcPr>
            <w:tcW w:w="708" w:type="dxa"/>
          </w:tcPr>
          <w:p w14:paraId="0E379738" w14:textId="77777777" w:rsidR="00E51F88" w:rsidRDefault="00E51F88" w:rsidP="003A385F">
            <w:pPr>
              <w:rPr>
                <w:sz w:val="22"/>
                <w:szCs w:val="22"/>
              </w:rPr>
            </w:pPr>
          </w:p>
        </w:tc>
      </w:tr>
      <w:tr w:rsidR="00E51F88" w14:paraId="62B94E65" w14:textId="77777777" w:rsidTr="00E51F88">
        <w:tc>
          <w:tcPr>
            <w:tcW w:w="567" w:type="dxa"/>
          </w:tcPr>
          <w:p w14:paraId="716E67CD" w14:textId="77777777" w:rsidR="00E51F88" w:rsidRDefault="00E51F88" w:rsidP="003A385F">
            <w:pPr>
              <w:rPr>
                <w:sz w:val="22"/>
                <w:szCs w:val="22"/>
              </w:rPr>
            </w:pPr>
            <w:r>
              <w:rPr>
                <w:sz w:val="22"/>
                <w:szCs w:val="22"/>
              </w:rPr>
              <w:t>34</w:t>
            </w:r>
          </w:p>
        </w:tc>
        <w:tc>
          <w:tcPr>
            <w:tcW w:w="4961" w:type="dxa"/>
          </w:tcPr>
          <w:p w14:paraId="33911F7B" w14:textId="77777777" w:rsidR="00E51F88" w:rsidRPr="00B66346" w:rsidRDefault="00E51F88" w:rsidP="003A385F">
            <w:pPr>
              <w:pBdr>
                <w:top w:val="dotted" w:sz="4" w:space="10" w:color="auto"/>
              </w:pBdr>
              <w:tabs>
                <w:tab w:val="left" w:pos="2835"/>
                <w:tab w:val="left" w:pos="4820"/>
                <w:tab w:val="left" w:pos="7371"/>
                <w:tab w:val="left" w:pos="9072"/>
              </w:tabs>
              <w:rPr>
                <w:sz w:val="20"/>
                <w:szCs w:val="20"/>
              </w:rPr>
            </w:pPr>
            <w:r w:rsidRPr="00B66346">
              <w:rPr>
                <w:sz w:val="20"/>
                <w:szCs w:val="20"/>
              </w:rPr>
              <w:t>Was there an assessment of the patient’s home circumstances and their ability to cope?</w:t>
            </w:r>
          </w:p>
          <w:p w14:paraId="61717CD6" w14:textId="77777777" w:rsidR="00E51F88" w:rsidRPr="00B66346" w:rsidRDefault="00E51F88" w:rsidP="003A385F">
            <w:pPr>
              <w:pStyle w:val="Header"/>
              <w:tabs>
                <w:tab w:val="left" w:pos="2943"/>
                <w:tab w:val="left" w:pos="7200"/>
                <w:tab w:val="left" w:pos="8280"/>
                <w:tab w:val="left" w:pos="9072"/>
              </w:tabs>
              <w:rPr>
                <w:sz w:val="20"/>
                <w:szCs w:val="20"/>
              </w:rPr>
            </w:pPr>
            <w:r w:rsidRPr="00B66346">
              <w:rPr>
                <w:sz w:val="20"/>
                <w:szCs w:val="20"/>
              </w:rPr>
              <w:lastRenderedPageBreak/>
              <w:tab/>
              <w:t>yes</w:t>
            </w:r>
          </w:p>
          <w:p w14:paraId="59CEFEB3" w14:textId="77777777" w:rsidR="00E51F88" w:rsidRPr="00B66346" w:rsidRDefault="00E51F88" w:rsidP="003A385F">
            <w:pPr>
              <w:tabs>
                <w:tab w:val="left" w:pos="2943"/>
              </w:tabs>
              <w:rPr>
                <w:sz w:val="20"/>
                <w:szCs w:val="20"/>
              </w:rPr>
            </w:pPr>
            <w:r w:rsidRPr="00B66346">
              <w:rPr>
                <w:sz w:val="20"/>
                <w:szCs w:val="20"/>
              </w:rPr>
              <w:tab/>
              <w:t>no</w:t>
            </w:r>
          </w:p>
        </w:tc>
        <w:tc>
          <w:tcPr>
            <w:tcW w:w="567" w:type="dxa"/>
          </w:tcPr>
          <w:p w14:paraId="750DF483" w14:textId="77777777" w:rsidR="00E51F88" w:rsidRDefault="00E51F88" w:rsidP="003A385F">
            <w:pPr>
              <w:rPr>
                <w:sz w:val="22"/>
                <w:szCs w:val="22"/>
              </w:rPr>
            </w:pPr>
          </w:p>
        </w:tc>
        <w:tc>
          <w:tcPr>
            <w:tcW w:w="709" w:type="dxa"/>
          </w:tcPr>
          <w:p w14:paraId="336A3D7A" w14:textId="77777777" w:rsidR="00E51F88" w:rsidRDefault="00E51F88" w:rsidP="003A385F">
            <w:pPr>
              <w:rPr>
                <w:sz w:val="22"/>
                <w:szCs w:val="22"/>
              </w:rPr>
            </w:pPr>
          </w:p>
        </w:tc>
        <w:tc>
          <w:tcPr>
            <w:tcW w:w="708" w:type="dxa"/>
          </w:tcPr>
          <w:p w14:paraId="0DC53CC7" w14:textId="77777777" w:rsidR="00E51F88" w:rsidRDefault="00E51F88" w:rsidP="003A385F">
            <w:pPr>
              <w:rPr>
                <w:sz w:val="22"/>
                <w:szCs w:val="22"/>
              </w:rPr>
            </w:pPr>
          </w:p>
        </w:tc>
      </w:tr>
      <w:tr w:rsidR="00E51F88" w14:paraId="785A7B52" w14:textId="77777777" w:rsidTr="00E51F88">
        <w:tc>
          <w:tcPr>
            <w:tcW w:w="567" w:type="dxa"/>
          </w:tcPr>
          <w:p w14:paraId="7A016A0E" w14:textId="77777777" w:rsidR="00E51F88" w:rsidRDefault="00E51F88" w:rsidP="003A385F">
            <w:pPr>
              <w:rPr>
                <w:sz w:val="22"/>
                <w:szCs w:val="22"/>
              </w:rPr>
            </w:pPr>
            <w:r>
              <w:rPr>
                <w:sz w:val="22"/>
                <w:szCs w:val="22"/>
              </w:rPr>
              <w:t>35</w:t>
            </w:r>
          </w:p>
        </w:tc>
        <w:tc>
          <w:tcPr>
            <w:tcW w:w="4961" w:type="dxa"/>
          </w:tcPr>
          <w:p w14:paraId="234E9479" w14:textId="77777777" w:rsidR="00E51F88" w:rsidRPr="00B66346" w:rsidRDefault="00E51F88" w:rsidP="003A385F">
            <w:pPr>
              <w:pBdr>
                <w:top w:val="dotted" w:sz="4" w:space="10" w:color="auto"/>
              </w:pBdr>
              <w:tabs>
                <w:tab w:val="left" w:pos="2835"/>
                <w:tab w:val="left" w:pos="4820"/>
                <w:tab w:val="left" w:pos="7371"/>
                <w:tab w:val="left" w:pos="9072"/>
              </w:tabs>
              <w:rPr>
                <w:sz w:val="20"/>
                <w:szCs w:val="20"/>
              </w:rPr>
            </w:pPr>
            <w:r w:rsidRPr="00B66346">
              <w:rPr>
                <w:sz w:val="20"/>
                <w:szCs w:val="20"/>
              </w:rPr>
              <w:t>Where was the patient discharged to?</w:t>
            </w:r>
          </w:p>
          <w:p w14:paraId="18A2A353" w14:textId="77777777" w:rsidR="00E51F88" w:rsidRPr="00B66346" w:rsidRDefault="00E51F88" w:rsidP="003A385F">
            <w:pPr>
              <w:pStyle w:val="Header"/>
              <w:tabs>
                <w:tab w:val="left" w:pos="2961"/>
                <w:tab w:val="left" w:pos="3600"/>
                <w:tab w:val="left" w:pos="8280"/>
                <w:tab w:val="left" w:pos="9180"/>
              </w:tabs>
              <w:rPr>
                <w:sz w:val="20"/>
                <w:szCs w:val="20"/>
              </w:rPr>
            </w:pPr>
            <w:r w:rsidRPr="00B66346">
              <w:rPr>
                <w:sz w:val="20"/>
                <w:szCs w:val="20"/>
              </w:rPr>
              <w:tab/>
              <w:t>own home – independent of help</w:t>
            </w:r>
          </w:p>
          <w:p w14:paraId="326077ED" w14:textId="77777777" w:rsidR="00E51F88" w:rsidRPr="00B66346" w:rsidRDefault="00E51F88" w:rsidP="003A385F">
            <w:pPr>
              <w:pStyle w:val="Header"/>
              <w:tabs>
                <w:tab w:val="left" w:pos="2961"/>
                <w:tab w:val="left" w:pos="3600"/>
                <w:tab w:val="left" w:pos="8280"/>
                <w:tab w:val="left" w:pos="9180"/>
              </w:tabs>
              <w:rPr>
                <w:sz w:val="20"/>
                <w:szCs w:val="20"/>
              </w:rPr>
            </w:pPr>
            <w:r w:rsidRPr="00B66346">
              <w:rPr>
                <w:sz w:val="20"/>
                <w:szCs w:val="20"/>
              </w:rPr>
              <w:tab/>
              <w:t>own home – with additional social support</w:t>
            </w:r>
          </w:p>
          <w:p w14:paraId="39E59198" w14:textId="77777777" w:rsidR="00E51F88" w:rsidRPr="00B66346" w:rsidRDefault="00E51F88" w:rsidP="003A385F">
            <w:pPr>
              <w:pStyle w:val="Header"/>
              <w:tabs>
                <w:tab w:val="left" w:pos="2961"/>
                <w:tab w:val="left" w:pos="3600"/>
                <w:tab w:val="left" w:pos="8280"/>
                <w:tab w:val="left" w:pos="9180"/>
              </w:tabs>
              <w:rPr>
                <w:sz w:val="20"/>
                <w:szCs w:val="20"/>
              </w:rPr>
            </w:pPr>
            <w:r w:rsidRPr="00B66346">
              <w:rPr>
                <w:sz w:val="20"/>
                <w:szCs w:val="20"/>
              </w:rPr>
              <w:tab/>
              <w:t>sheltered housing or living with relative/carer</w:t>
            </w:r>
          </w:p>
          <w:p w14:paraId="370F4D89" w14:textId="77777777" w:rsidR="00E51F88" w:rsidRPr="00B66346" w:rsidRDefault="00E51F88" w:rsidP="003A385F">
            <w:pPr>
              <w:pStyle w:val="Header"/>
              <w:tabs>
                <w:tab w:val="left" w:pos="2961"/>
                <w:tab w:val="left" w:pos="3600"/>
                <w:tab w:val="left" w:pos="8280"/>
                <w:tab w:val="left" w:pos="9180"/>
              </w:tabs>
              <w:rPr>
                <w:sz w:val="20"/>
                <w:szCs w:val="20"/>
              </w:rPr>
            </w:pPr>
            <w:r w:rsidRPr="00B66346">
              <w:rPr>
                <w:sz w:val="20"/>
                <w:szCs w:val="20"/>
              </w:rPr>
              <w:tab/>
              <w:t>nursing or residential care</w:t>
            </w:r>
          </w:p>
          <w:p w14:paraId="611E4806" w14:textId="77777777" w:rsidR="00E51F88" w:rsidRPr="00B66346" w:rsidRDefault="00E51F88" w:rsidP="003A385F">
            <w:pPr>
              <w:pStyle w:val="Header"/>
              <w:tabs>
                <w:tab w:val="left" w:pos="2961"/>
                <w:tab w:val="left" w:pos="3600"/>
                <w:tab w:val="left" w:pos="8280"/>
                <w:tab w:val="left" w:pos="9180"/>
              </w:tabs>
              <w:rPr>
                <w:color w:val="0000FF"/>
                <w:sz w:val="20"/>
                <w:szCs w:val="20"/>
              </w:rPr>
            </w:pPr>
            <w:r w:rsidRPr="00B66346">
              <w:rPr>
                <w:sz w:val="20"/>
                <w:szCs w:val="20"/>
              </w:rPr>
              <w:tab/>
              <w:t>other hospital</w:t>
            </w:r>
          </w:p>
          <w:p w14:paraId="61BE046A" w14:textId="77777777" w:rsidR="00E51F88" w:rsidRPr="00B66346" w:rsidRDefault="00E51F88" w:rsidP="003A385F">
            <w:pPr>
              <w:pStyle w:val="Header"/>
              <w:tabs>
                <w:tab w:val="left" w:pos="2961"/>
                <w:tab w:val="left" w:pos="3600"/>
                <w:tab w:val="left" w:pos="8280"/>
                <w:tab w:val="left" w:pos="9180"/>
              </w:tabs>
              <w:rPr>
                <w:color w:val="0000FF"/>
                <w:sz w:val="20"/>
                <w:szCs w:val="20"/>
              </w:rPr>
            </w:pPr>
            <w:r w:rsidRPr="00B66346">
              <w:rPr>
                <w:sz w:val="20"/>
                <w:szCs w:val="20"/>
              </w:rPr>
              <w:tab/>
              <w:t>not applicable – died in hospital</w:t>
            </w:r>
          </w:p>
          <w:p w14:paraId="51BC4879" w14:textId="77777777" w:rsidR="00E51F88" w:rsidRPr="00B66346" w:rsidRDefault="00E51F88" w:rsidP="003A385F">
            <w:pPr>
              <w:tabs>
                <w:tab w:val="left" w:pos="2961"/>
              </w:tabs>
              <w:rPr>
                <w:sz w:val="20"/>
                <w:szCs w:val="20"/>
              </w:rPr>
            </w:pPr>
            <w:r w:rsidRPr="00B66346">
              <w:rPr>
                <w:sz w:val="20"/>
                <w:szCs w:val="20"/>
              </w:rPr>
              <w:tab/>
              <w:t>not recorded</w:t>
            </w:r>
          </w:p>
        </w:tc>
        <w:tc>
          <w:tcPr>
            <w:tcW w:w="567" w:type="dxa"/>
          </w:tcPr>
          <w:p w14:paraId="3F352E5C" w14:textId="77777777" w:rsidR="00E51F88" w:rsidRDefault="00E51F88" w:rsidP="003A385F">
            <w:pPr>
              <w:rPr>
                <w:sz w:val="22"/>
                <w:szCs w:val="22"/>
              </w:rPr>
            </w:pPr>
          </w:p>
        </w:tc>
        <w:tc>
          <w:tcPr>
            <w:tcW w:w="709" w:type="dxa"/>
          </w:tcPr>
          <w:p w14:paraId="7640688B" w14:textId="77777777" w:rsidR="00E51F88" w:rsidRDefault="00E51F88" w:rsidP="003A385F">
            <w:pPr>
              <w:rPr>
                <w:sz w:val="22"/>
                <w:szCs w:val="22"/>
              </w:rPr>
            </w:pPr>
          </w:p>
        </w:tc>
        <w:tc>
          <w:tcPr>
            <w:tcW w:w="708" w:type="dxa"/>
          </w:tcPr>
          <w:p w14:paraId="1FF796A2" w14:textId="77777777" w:rsidR="00E51F88" w:rsidRDefault="00E51F88" w:rsidP="003A385F">
            <w:pPr>
              <w:rPr>
                <w:sz w:val="22"/>
                <w:szCs w:val="22"/>
              </w:rPr>
            </w:pPr>
          </w:p>
        </w:tc>
      </w:tr>
      <w:tr w:rsidR="00E51F88" w14:paraId="3DA509AD" w14:textId="77777777" w:rsidTr="00E51F88">
        <w:tc>
          <w:tcPr>
            <w:tcW w:w="567" w:type="dxa"/>
            <w:tcBorders>
              <w:bottom w:val="dashed" w:sz="4" w:space="0" w:color="auto"/>
            </w:tcBorders>
          </w:tcPr>
          <w:p w14:paraId="4239FB04" w14:textId="77777777" w:rsidR="00E51F88" w:rsidRDefault="00E51F88" w:rsidP="003A385F">
            <w:pPr>
              <w:rPr>
                <w:sz w:val="22"/>
                <w:szCs w:val="22"/>
              </w:rPr>
            </w:pPr>
            <w:r>
              <w:rPr>
                <w:sz w:val="22"/>
                <w:szCs w:val="22"/>
              </w:rPr>
              <w:t>36</w:t>
            </w:r>
          </w:p>
        </w:tc>
        <w:tc>
          <w:tcPr>
            <w:tcW w:w="4961" w:type="dxa"/>
            <w:tcBorders>
              <w:bottom w:val="dashed" w:sz="4" w:space="0" w:color="auto"/>
            </w:tcBorders>
          </w:tcPr>
          <w:p w14:paraId="455F969A" w14:textId="77777777" w:rsidR="00E51F88" w:rsidRPr="00B66346" w:rsidRDefault="00E51F88" w:rsidP="003A385F">
            <w:pPr>
              <w:pStyle w:val="Header"/>
              <w:pBdr>
                <w:top w:val="dotted" w:sz="4" w:space="10" w:color="auto"/>
              </w:pBdr>
              <w:tabs>
                <w:tab w:val="left" w:pos="2952"/>
                <w:tab w:val="left" w:pos="4820"/>
                <w:tab w:val="left" w:pos="6379"/>
                <w:tab w:val="left" w:pos="7371"/>
                <w:tab w:val="left" w:pos="9072"/>
              </w:tabs>
              <w:ind w:left="426" w:hanging="426"/>
              <w:rPr>
                <w:sz w:val="20"/>
                <w:szCs w:val="20"/>
              </w:rPr>
            </w:pPr>
            <w:r w:rsidRPr="00B66346">
              <w:rPr>
                <w:sz w:val="20"/>
                <w:szCs w:val="20"/>
              </w:rPr>
              <w:t>Is there a letter to the patient’s primary care team?</w:t>
            </w:r>
          </w:p>
          <w:p w14:paraId="7F217D17" w14:textId="77777777" w:rsidR="00E51F88" w:rsidRPr="00B66346" w:rsidRDefault="00E51F88" w:rsidP="003A385F">
            <w:pPr>
              <w:pStyle w:val="Header"/>
              <w:tabs>
                <w:tab w:val="left" w:pos="2952"/>
                <w:tab w:val="left" w:pos="7200"/>
                <w:tab w:val="left" w:pos="8280"/>
                <w:tab w:val="left" w:pos="9180"/>
              </w:tabs>
              <w:rPr>
                <w:sz w:val="20"/>
                <w:szCs w:val="20"/>
              </w:rPr>
            </w:pPr>
            <w:r w:rsidRPr="00B66346">
              <w:rPr>
                <w:sz w:val="20"/>
                <w:szCs w:val="20"/>
              </w:rPr>
              <w:tab/>
              <w:t>yes</w:t>
            </w:r>
          </w:p>
          <w:p w14:paraId="42C8D1D1" w14:textId="77777777" w:rsidR="00E51F88" w:rsidRPr="00B66346" w:rsidRDefault="00E51F88" w:rsidP="003A385F">
            <w:pPr>
              <w:tabs>
                <w:tab w:val="left" w:pos="2952"/>
              </w:tabs>
              <w:rPr>
                <w:sz w:val="20"/>
                <w:szCs w:val="20"/>
              </w:rPr>
            </w:pPr>
            <w:r w:rsidRPr="00B66346">
              <w:rPr>
                <w:sz w:val="20"/>
                <w:szCs w:val="20"/>
              </w:rPr>
              <w:tab/>
              <w:t>no</w:t>
            </w:r>
          </w:p>
        </w:tc>
        <w:tc>
          <w:tcPr>
            <w:tcW w:w="567" w:type="dxa"/>
            <w:tcBorders>
              <w:bottom w:val="dashed" w:sz="4" w:space="0" w:color="auto"/>
            </w:tcBorders>
          </w:tcPr>
          <w:p w14:paraId="2D261F83" w14:textId="77777777" w:rsidR="00E51F88" w:rsidRDefault="00E51F88" w:rsidP="003A385F">
            <w:pPr>
              <w:rPr>
                <w:sz w:val="22"/>
                <w:szCs w:val="22"/>
              </w:rPr>
            </w:pPr>
          </w:p>
        </w:tc>
        <w:tc>
          <w:tcPr>
            <w:tcW w:w="709" w:type="dxa"/>
            <w:tcBorders>
              <w:bottom w:val="dashed" w:sz="4" w:space="0" w:color="auto"/>
            </w:tcBorders>
          </w:tcPr>
          <w:p w14:paraId="2A939D3D" w14:textId="77777777" w:rsidR="00E51F88" w:rsidRDefault="00E51F88" w:rsidP="003A385F">
            <w:pPr>
              <w:rPr>
                <w:sz w:val="22"/>
                <w:szCs w:val="22"/>
              </w:rPr>
            </w:pPr>
          </w:p>
        </w:tc>
        <w:tc>
          <w:tcPr>
            <w:tcW w:w="708" w:type="dxa"/>
            <w:tcBorders>
              <w:bottom w:val="dashed" w:sz="4" w:space="0" w:color="auto"/>
            </w:tcBorders>
          </w:tcPr>
          <w:p w14:paraId="7C03ECEC" w14:textId="77777777" w:rsidR="00E51F88" w:rsidRDefault="00E51F88" w:rsidP="003A385F">
            <w:pPr>
              <w:rPr>
                <w:sz w:val="22"/>
                <w:szCs w:val="22"/>
              </w:rPr>
            </w:pPr>
          </w:p>
        </w:tc>
      </w:tr>
      <w:tr w:rsidR="00E51F88" w14:paraId="03A613C9" w14:textId="77777777" w:rsidTr="00E51F88">
        <w:tc>
          <w:tcPr>
            <w:tcW w:w="567" w:type="dxa"/>
            <w:tcBorders>
              <w:top w:val="dashed" w:sz="4" w:space="0" w:color="auto"/>
            </w:tcBorders>
          </w:tcPr>
          <w:p w14:paraId="7F711A12" w14:textId="77777777" w:rsidR="00E51F88" w:rsidRDefault="00E51F88" w:rsidP="003A385F">
            <w:pPr>
              <w:rPr>
                <w:sz w:val="22"/>
                <w:szCs w:val="22"/>
              </w:rPr>
            </w:pPr>
          </w:p>
        </w:tc>
        <w:tc>
          <w:tcPr>
            <w:tcW w:w="4961" w:type="dxa"/>
            <w:tcBorders>
              <w:top w:val="dashed" w:sz="4" w:space="0" w:color="auto"/>
            </w:tcBorders>
          </w:tcPr>
          <w:p w14:paraId="310217C8" w14:textId="77777777" w:rsidR="00E51F88" w:rsidRPr="00B66346" w:rsidRDefault="00E51F88" w:rsidP="003A385F">
            <w:pPr>
              <w:pStyle w:val="Header"/>
              <w:tabs>
                <w:tab w:val="left" w:pos="2835"/>
                <w:tab w:val="left" w:pos="4820"/>
                <w:tab w:val="left" w:pos="5245"/>
                <w:tab w:val="left" w:pos="7371"/>
                <w:tab w:val="left" w:pos="8280"/>
                <w:tab w:val="left" w:pos="9072"/>
              </w:tabs>
              <w:ind w:left="1440"/>
              <w:rPr>
                <w:sz w:val="20"/>
                <w:szCs w:val="20"/>
              </w:rPr>
            </w:pPr>
            <w:r w:rsidRPr="00B66346">
              <w:rPr>
                <w:sz w:val="20"/>
                <w:szCs w:val="20"/>
              </w:rPr>
              <w:t>If yes, did the letter include a clear list of the patient’s medication?</w:t>
            </w:r>
          </w:p>
          <w:p w14:paraId="38571538" w14:textId="77777777" w:rsidR="00E51F88" w:rsidRPr="00B66346" w:rsidRDefault="00E51F88" w:rsidP="003A385F">
            <w:pPr>
              <w:pStyle w:val="Header"/>
              <w:tabs>
                <w:tab w:val="left" w:pos="2961"/>
                <w:tab w:val="left" w:pos="7200"/>
                <w:tab w:val="left" w:pos="8280"/>
                <w:tab w:val="left" w:pos="9180"/>
              </w:tabs>
              <w:rPr>
                <w:sz w:val="20"/>
                <w:szCs w:val="20"/>
              </w:rPr>
            </w:pPr>
            <w:r w:rsidRPr="00B66346">
              <w:rPr>
                <w:sz w:val="20"/>
                <w:szCs w:val="20"/>
              </w:rPr>
              <w:tab/>
              <w:t>yes</w:t>
            </w:r>
          </w:p>
          <w:p w14:paraId="7FD5DCB5" w14:textId="77777777" w:rsidR="00E51F88" w:rsidRPr="00B66346" w:rsidRDefault="00E51F88" w:rsidP="003A385F">
            <w:pPr>
              <w:tabs>
                <w:tab w:val="left" w:pos="2961"/>
              </w:tabs>
              <w:rPr>
                <w:sz w:val="20"/>
                <w:szCs w:val="20"/>
              </w:rPr>
            </w:pPr>
            <w:r w:rsidRPr="00B66346">
              <w:rPr>
                <w:sz w:val="20"/>
                <w:szCs w:val="20"/>
              </w:rPr>
              <w:tab/>
              <w:t>no</w:t>
            </w:r>
          </w:p>
        </w:tc>
        <w:tc>
          <w:tcPr>
            <w:tcW w:w="567" w:type="dxa"/>
            <w:tcBorders>
              <w:top w:val="dashed" w:sz="4" w:space="0" w:color="auto"/>
            </w:tcBorders>
          </w:tcPr>
          <w:p w14:paraId="4A810403" w14:textId="77777777" w:rsidR="00E51F88" w:rsidRDefault="00E51F88" w:rsidP="003A385F">
            <w:pPr>
              <w:rPr>
                <w:sz w:val="22"/>
                <w:szCs w:val="22"/>
              </w:rPr>
            </w:pPr>
          </w:p>
        </w:tc>
        <w:tc>
          <w:tcPr>
            <w:tcW w:w="709" w:type="dxa"/>
            <w:tcBorders>
              <w:top w:val="dashed" w:sz="4" w:space="0" w:color="auto"/>
            </w:tcBorders>
          </w:tcPr>
          <w:p w14:paraId="5283D575" w14:textId="77777777" w:rsidR="00E51F88" w:rsidRDefault="00E51F88" w:rsidP="003A385F">
            <w:pPr>
              <w:rPr>
                <w:sz w:val="22"/>
                <w:szCs w:val="22"/>
              </w:rPr>
            </w:pPr>
          </w:p>
        </w:tc>
        <w:tc>
          <w:tcPr>
            <w:tcW w:w="708" w:type="dxa"/>
            <w:tcBorders>
              <w:top w:val="dashed" w:sz="4" w:space="0" w:color="auto"/>
            </w:tcBorders>
          </w:tcPr>
          <w:p w14:paraId="26A0D8B3" w14:textId="77777777" w:rsidR="00E51F88" w:rsidRDefault="00E51F88" w:rsidP="003A385F">
            <w:pPr>
              <w:rPr>
                <w:sz w:val="22"/>
                <w:szCs w:val="22"/>
              </w:rPr>
            </w:pPr>
          </w:p>
        </w:tc>
      </w:tr>
      <w:tr w:rsidR="00E51F88" w14:paraId="59F35519" w14:textId="77777777" w:rsidTr="00E51F88">
        <w:tc>
          <w:tcPr>
            <w:tcW w:w="567" w:type="dxa"/>
          </w:tcPr>
          <w:p w14:paraId="1551C7CF" w14:textId="77777777" w:rsidR="00E51F88" w:rsidRDefault="00E51F88" w:rsidP="003A385F">
            <w:pPr>
              <w:rPr>
                <w:sz w:val="22"/>
                <w:szCs w:val="22"/>
              </w:rPr>
            </w:pPr>
            <w:r>
              <w:rPr>
                <w:sz w:val="22"/>
                <w:szCs w:val="22"/>
              </w:rPr>
              <w:t>37</w:t>
            </w:r>
          </w:p>
        </w:tc>
        <w:tc>
          <w:tcPr>
            <w:tcW w:w="4961" w:type="dxa"/>
          </w:tcPr>
          <w:p w14:paraId="7D6B161B" w14:textId="77777777" w:rsidR="00E51F88" w:rsidRPr="00B66346" w:rsidRDefault="00E51F88" w:rsidP="003A385F">
            <w:pPr>
              <w:pStyle w:val="Header"/>
              <w:pBdr>
                <w:top w:val="dotted" w:sz="4" w:space="10" w:color="auto"/>
              </w:pBdr>
              <w:tabs>
                <w:tab w:val="left" w:pos="2835"/>
                <w:tab w:val="left" w:pos="4820"/>
                <w:tab w:val="left" w:pos="6379"/>
                <w:tab w:val="left" w:pos="7371"/>
                <w:tab w:val="left" w:pos="9072"/>
              </w:tabs>
              <w:ind w:left="426" w:hanging="426"/>
              <w:rPr>
                <w:sz w:val="20"/>
                <w:szCs w:val="20"/>
              </w:rPr>
            </w:pPr>
            <w:r w:rsidRPr="00B66346">
              <w:rPr>
                <w:sz w:val="20"/>
                <w:szCs w:val="20"/>
              </w:rPr>
              <w:t>Which type of consultant was the patient under at</w:t>
            </w:r>
            <w:r w:rsidRPr="00B66346">
              <w:rPr>
                <w:sz w:val="20"/>
                <w:szCs w:val="20"/>
              </w:rPr>
              <w:br/>
              <w:t>time of discharge?</w:t>
            </w:r>
          </w:p>
          <w:p w14:paraId="103BF5B5" w14:textId="77777777" w:rsidR="00E51F88" w:rsidRPr="00B66346" w:rsidRDefault="00E51F88" w:rsidP="003A385F">
            <w:pPr>
              <w:pStyle w:val="Header"/>
              <w:pBdr>
                <w:top w:val="dotted" w:sz="4" w:space="10" w:color="auto"/>
              </w:pBdr>
              <w:tabs>
                <w:tab w:val="left" w:pos="360"/>
                <w:tab w:val="left" w:pos="2952"/>
                <w:tab w:val="left" w:pos="5400"/>
                <w:tab w:val="left" w:pos="8280"/>
                <w:tab w:val="left" w:pos="9180"/>
              </w:tabs>
              <w:rPr>
                <w:sz w:val="20"/>
                <w:szCs w:val="20"/>
              </w:rPr>
            </w:pPr>
            <w:r w:rsidRPr="00B66346">
              <w:rPr>
                <w:sz w:val="20"/>
                <w:szCs w:val="20"/>
              </w:rPr>
              <w:tab/>
            </w:r>
            <w:r w:rsidRPr="00B66346">
              <w:rPr>
                <w:sz w:val="20"/>
                <w:szCs w:val="20"/>
              </w:rPr>
              <w:tab/>
              <w:t>respiratory physician</w:t>
            </w:r>
          </w:p>
          <w:p w14:paraId="674DE9CF" w14:textId="77777777" w:rsidR="00E51F88" w:rsidRPr="00B66346" w:rsidRDefault="00E51F88" w:rsidP="003A385F">
            <w:pPr>
              <w:pStyle w:val="Header"/>
              <w:tabs>
                <w:tab w:val="left" w:pos="2952"/>
                <w:tab w:val="left" w:pos="5400"/>
                <w:tab w:val="left" w:pos="8280"/>
                <w:tab w:val="left" w:pos="9180"/>
              </w:tabs>
              <w:rPr>
                <w:sz w:val="20"/>
                <w:szCs w:val="20"/>
              </w:rPr>
            </w:pPr>
            <w:r w:rsidRPr="00B66346">
              <w:rPr>
                <w:sz w:val="20"/>
                <w:szCs w:val="20"/>
              </w:rPr>
              <w:tab/>
              <w:t>care of elderly physician</w:t>
            </w:r>
          </w:p>
          <w:p w14:paraId="330F87DC" w14:textId="77777777" w:rsidR="00E51F88" w:rsidRPr="00B66346" w:rsidRDefault="00E51F88" w:rsidP="003A385F">
            <w:pPr>
              <w:pStyle w:val="Header"/>
              <w:tabs>
                <w:tab w:val="left" w:pos="2952"/>
                <w:tab w:val="left" w:pos="5400"/>
                <w:tab w:val="left" w:pos="8280"/>
                <w:tab w:val="left" w:pos="9180"/>
              </w:tabs>
              <w:rPr>
                <w:sz w:val="20"/>
                <w:szCs w:val="20"/>
              </w:rPr>
            </w:pPr>
            <w:r w:rsidRPr="00B66346">
              <w:rPr>
                <w:sz w:val="20"/>
                <w:szCs w:val="20"/>
              </w:rPr>
              <w:tab/>
              <w:t>general physician</w:t>
            </w:r>
          </w:p>
          <w:p w14:paraId="75DBDEB5" w14:textId="77777777" w:rsidR="00E51F88" w:rsidRPr="00B66346" w:rsidRDefault="00E51F88" w:rsidP="003A385F">
            <w:pPr>
              <w:pStyle w:val="Header"/>
              <w:tabs>
                <w:tab w:val="left" w:pos="2952"/>
                <w:tab w:val="left" w:pos="5400"/>
                <w:tab w:val="left" w:pos="8280"/>
                <w:tab w:val="left" w:pos="9180"/>
              </w:tabs>
              <w:rPr>
                <w:sz w:val="20"/>
                <w:szCs w:val="20"/>
              </w:rPr>
            </w:pPr>
            <w:r w:rsidRPr="00B66346">
              <w:rPr>
                <w:sz w:val="20"/>
                <w:szCs w:val="20"/>
              </w:rPr>
              <w:tab/>
              <w:t>other</w:t>
            </w:r>
          </w:p>
          <w:p w14:paraId="0EFBB327" w14:textId="77777777" w:rsidR="00E51F88" w:rsidRPr="00B66346" w:rsidRDefault="00E51F88" w:rsidP="003A385F">
            <w:pPr>
              <w:tabs>
                <w:tab w:val="left" w:pos="2952"/>
              </w:tabs>
              <w:rPr>
                <w:sz w:val="20"/>
                <w:szCs w:val="20"/>
              </w:rPr>
            </w:pPr>
            <w:r w:rsidRPr="00B66346">
              <w:rPr>
                <w:sz w:val="20"/>
                <w:szCs w:val="20"/>
              </w:rPr>
              <w:tab/>
              <w:t>not recorded</w:t>
            </w:r>
          </w:p>
        </w:tc>
        <w:tc>
          <w:tcPr>
            <w:tcW w:w="567" w:type="dxa"/>
          </w:tcPr>
          <w:p w14:paraId="69149A22" w14:textId="77777777" w:rsidR="00E51F88" w:rsidRDefault="00E51F88" w:rsidP="003A385F">
            <w:pPr>
              <w:rPr>
                <w:sz w:val="22"/>
                <w:szCs w:val="22"/>
              </w:rPr>
            </w:pPr>
          </w:p>
        </w:tc>
        <w:tc>
          <w:tcPr>
            <w:tcW w:w="709" w:type="dxa"/>
          </w:tcPr>
          <w:p w14:paraId="566A08AE" w14:textId="77777777" w:rsidR="00E51F88" w:rsidRDefault="00E51F88" w:rsidP="003A385F">
            <w:pPr>
              <w:rPr>
                <w:sz w:val="22"/>
                <w:szCs w:val="22"/>
              </w:rPr>
            </w:pPr>
          </w:p>
        </w:tc>
        <w:tc>
          <w:tcPr>
            <w:tcW w:w="708" w:type="dxa"/>
          </w:tcPr>
          <w:p w14:paraId="3CDBDE7E" w14:textId="77777777" w:rsidR="00E51F88" w:rsidRDefault="00E51F88" w:rsidP="003A385F">
            <w:pPr>
              <w:rPr>
                <w:sz w:val="22"/>
                <w:szCs w:val="22"/>
              </w:rPr>
            </w:pPr>
          </w:p>
        </w:tc>
      </w:tr>
      <w:tr w:rsidR="00E51F88" w14:paraId="3BEEC6C9" w14:textId="77777777" w:rsidTr="00E51F88">
        <w:tc>
          <w:tcPr>
            <w:tcW w:w="567" w:type="dxa"/>
          </w:tcPr>
          <w:p w14:paraId="67148B4D" w14:textId="77777777" w:rsidR="00E51F88" w:rsidRDefault="00E51F88" w:rsidP="003A385F">
            <w:pPr>
              <w:rPr>
                <w:sz w:val="22"/>
                <w:szCs w:val="22"/>
              </w:rPr>
            </w:pPr>
            <w:r>
              <w:rPr>
                <w:sz w:val="22"/>
                <w:szCs w:val="22"/>
              </w:rPr>
              <w:t>38</w:t>
            </w:r>
          </w:p>
        </w:tc>
        <w:tc>
          <w:tcPr>
            <w:tcW w:w="4961" w:type="dxa"/>
          </w:tcPr>
          <w:p w14:paraId="1A310668" w14:textId="77777777" w:rsidR="00E51F88" w:rsidRPr="00B66346" w:rsidRDefault="00E51F88" w:rsidP="003A385F">
            <w:pPr>
              <w:rPr>
                <w:sz w:val="20"/>
                <w:szCs w:val="20"/>
              </w:rPr>
            </w:pPr>
            <w:r w:rsidRPr="00B66346">
              <w:rPr>
                <w:sz w:val="20"/>
                <w:szCs w:val="20"/>
              </w:rPr>
              <w:t>Time taken to complete (in hours and minutes)</w:t>
            </w:r>
          </w:p>
        </w:tc>
        <w:tc>
          <w:tcPr>
            <w:tcW w:w="567" w:type="dxa"/>
          </w:tcPr>
          <w:p w14:paraId="65CF79CD" w14:textId="77777777" w:rsidR="00E51F88" w:rsidRDefault="00E51F88" w:rsidP="003A385F">
            <w:pPr>
              <w:rPr>
                <w:sz w:val="22"/>
                <w:szCs w:val="22"/>
              </w:rPr>
            </w:pPr>
          </w:p>
        </w:tc>
        <w:tc>
          <w:tcPr>
            <w:tcW w:w="709" w:type="dxa"/>
          </w:tcPr>
          <w:p w14:paraId="6380AC40" w14:textId="77777777" w:rsidR="00E51F88" w:rsidRDefault="00E51F88" w:rsidP="003A385F">
            <w:pPr>
              <w:rPr>
                <w:sz w:val="22"/>
                <w:szCs w:val="22"/>
              </w:rPr>
            </w:pPr>
          </w:p>
        </w:tc>
        <w:tc>
          <w:tcPr>
            <w:tcW w:w="708" w:type="dxa"/>
          </w:tcPr>
          <w:p w14:paraId="5A5CF9FA" w14:textId="77777777" w:rsidR="00E51F88" w:rsidRDefault="00E51F88" w:rsidP="003A385F">
            <w:pPr>
              <w:rPr>
                <w:sz w:val="22"/>
                <w:szCs w:val="22"/>
              </w:rPr>
            </w:pPr>
          </w:p>
        </w:tc>
      </w:tr>
    </w:tbl>
    <w:p w14:paraId="524CD420" w14:textId="77777777" w:rsidR="000923BB" w:rsidRDefault="000923BB" w:rsidP="000923BB">
      <w:pPr>
        <w:pStyle w:val="Header"/>
        <w:tabs>
          <w:tab w:val="left" w:pos="2835"/>
          <w:tab w:val="left" w:pos="4820"/>
          <w:tab w:val="left" w:pos="6379"/>
          <w:tab w:val="left" w:pos="7371"/>
          <w:tab w:val="left" w:pos="9072"/>
        </w:tabs>
        <w:ind w:left="426" w:hanging="426"/>
        <w:jc w:val="center"/>
      </w:pPr>
    </w:p>
    <w:p w14:paraId="6872B7EC" w14:textId="77777777" w:rsidR="000923BB" w:rsidRDefault="000923BB" w:rsidP="000923BB">
      <w:pPr>
        <w:jc w:val="both"/>
        <w:rPr>
          <w:sz w:val="20"/>
          <w:szCs w:val="20"/>
        </w:rPr>
      </w:pPr>
    </w:p>
    <w:p w14:paraId="1406D2F2" w14:textId="77777777" w:rsidR="000923BB" w:rsidRDefault="000923BB" w:rsidP="000923BB">
      <w:pPr>
        <w:jc w:val="center"/>
        <w:rPr>
          <w:rFonts w:cs="Arial"/>
          <w:b/>
          <w:sz w:val="28"/>
          <w:szCs w:val="28"/>
        </w:rPr>
      </w:pPr>
      <w:r>
        <w:rPr>
          <w:sz w:val="20"/>
          <w:szCs w:val="20"/>
        </w:rPr>
        <w:br w:type="page"/>
      </w:r>
    </w:p>
    <w:p w14:paraId="64D74B34" w14:textId="77777777" w:rsidR="000923BB" w:rsidRPr="009077CE" w:rsidRDefault="000923BB" w:rsidP="000923BB">
      <w:pPr>
        <w:spacing w:line="360" w:lineRule="auto"/>
        <w:ind w:left="720"/>
        <w:jc w:val="center"/>
        <w:rPr>
          <w:rFonts w:cs="Arial"/>
          <w:b/>
          <w:sz w:val="28"/>
          <w:szCs w:val="28"/>
        </w:rPr>
      </w:pPr>
      <w:r w:rsidRPr="009077CE">
        <w:rPr>
          <w:rFonts w:cs="Arial"/>
          <w:b/>
          <w:sz w:val="28"/>
          <w:szCs w:val="28"/>
        </w:rPr>
        <w:lastRenderedPageBreak/>
        <w:t>A</w:t>
      </w:r>
      <w:r>
        <w:rPr>
          <w:rFonts w:cs="Arial"/>
          <w:b/>
          <w:sz w:val="28"/>
          <w:szCs w:val="28"/>
        </w:rPr>
        <w:t>ppendix 4</w:t>
      </w:r>
    </w:p>
    <w:p w14:paraId="326CFA0F" w14:textId="77777777" w:rsidR="000923BB" w:rsidRDefault="000923BB" w:rsidP="000923BB">
      <w:pPr>
        <w:spacing w:line="360" w:lineRule="auto"/>
        <w:jc w:val="both"/>
        <w:rPr>
          <w:rFonts w:cs="Arial"/>
          <w:sz w:val="22"/>
          <w:szCs w:val="22"/>
        </w:rPr>
      </w:pPr>
    </w:p>
    <w:p w14:paraId="19C1E812" w14:textId="77777777" w:rsidR="000923BB" w:rsidRDefault="000923BB" w:rsidP="000923BB">
      <w:pPr>
        <w:jc w:val="center"/>
        <w:rPr>
          <w:b/>
        </w:rPr>
      </w:pPr>
      <w:r w:rsidRPr="006E4995">
        <w:rPr>
          <w:rFonts w:cs="Arial"/>
          <w:b/>
        </w:rPr>
        <w:t>Screen shot of a holistic review data collection page</w:t>
      </w:r>
      <w:r w:rsidRPr="006E4995">
        <w:rPr>
          <w:b/>
        </w:rPr>
        <w:t xml:space="preserve"> </w:t>
      </w:r>
    </w:p>
    <w:p w14:paraId="3EF0AD1E" w14:textId="77777777" w:rsidR="000923BB" w:rsidRDefault="000923BB" w:rsidP="000923BB">
      <w:pPr>
        <w:jc w:val="center"/>
        <w:rPr>
          <w:b/>
        </w:rPr>
      </w:pPr>
    </w:p>
    <w:p w14:paraId="322E22AE" w14:textId="77777777" w:rsidR="000923BB" w:rsidRDefault="000923BB" w:rsidP="000923BB">
      <w:pPr>
        <w:jc w:val="center"/>
        <w:rPr>
          <w:b/>
        </w:rPr>
      </w:pPr>
    </w:p>
    <w:p w14:paraId="2EF52B54" w14:textId="77777777" w:rsidR="000923BB" w:rsidRDefault="000923BB" w:rsidP="000923BB">
      <w:pPr>
        <w:jc w:val="center"/>
        <w:rPr>
          <w:b/>
        </w:rPr>
      </w:pPr>
    </w:p>
    <w:p w14:paraId="0E8BFF40" w14:textId="77777777" w:rsidR="000923BB" w:rsidRDefault="000923BB" w:rsidP="000923BB">
      <w:pPr>
        <w:jc w:val="center"/>
        <w:rPr>
          <w:rFonts w:cs="Arial"/>
          <w:color w:val="000000"/>
        </w:rPr>
      </w:pPr>
      <w:r>
        <w:rPr>
          <w:rFonts w:cs="Arial"/>
          <w:noProof/>
          <w:color w:val="000000"/>
          <w:lang w:eastAsia="en-GB" w:bidi="ar-SA"/>
        </w:rPr>
        <w:drawing>
          <wp:inline distT="0" distB="0" distL="0" distR="0" wp14:anchorId="35F78329" wp14:editId="736F9A14">
            <wp:extent cx="4675505" cy="3514725"/>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0" cstate="print"/>
                    <a:srcRect/>
                    <a:stretch>
                      <a:fillRect/>
                    </a:stretch>
                  </pic:blipFill>
                  <pic:spPr bwMode="auto">
                    <a:xfrm>
                      <a:off x="0" y="0"/>
                      <a:ext cx="4675505" cy="3514725"/>
                    </a:xfrm>
                    <a:prstGeom prst="rect">
                      <a:avLst/>
                    </a:prstGeom>
                    <a:noFill/>
                    <a:ln w="9525">
                      <a:noFill/>
                      <a:miter lim="800000"/>
                      <a:headEnd/>
                      <a:tailEnd/>
                    </a:ln>
                  </pic:spPr>
                </pic:pic>
              </a:graphicData>
            </a:graphic>
          </wp:inline>
        </w:drawing>
      </w:r>
    </w:p>
    <w:p w14:paraId="2BCBE389" w14:textId="77777777" w:rsidR="000923BB" w:rsidRDefault="000923BB" w:rsidP="000923BB">
      <w:pPr>
        <w:rPr>
          <w:rFonts w:cs="Arial"/>
          <w:color w:val="000000"/>
        </w:rPr>
      </w:pPr>
    </w:p>
    <w:p w14:paraId="47E4DBD5" w14:textId="77777777" w:rsidR="000923BB" w:rsidRPr="006E4995" w:rsidRDefault="00E51F88" w:rsidP="000923BB">
      <w:pPr>
        <w:rPr>
          <w:rFonts w:cs="Arial"/>
          <w:b/>
        </w:rPr>
      </w:pPr>
      <w:r>
        <w:rPr>
          <w:rFonts w:cs="Arial"/>
          <w:b/>
          <w:color w:val="000000"/>
        </w:rPr>
        <w:t xml:space="preserve">                         </w:t>
      </w:r>
      <w:r w:rsidR="000923BB" w:rsidRPr="006E4995">
        <w:rPr>
          <w:rFonts w:cs="Arial"/>
          <w:b/>
          <w:color w:val="000000"/>
        </w:rPr>
        <w:t>Microsoft Access ©</w:t>
      </w:r>
      <w:r w:rsidR="000923BB" w:rsidRPr="006E4995">
        <w:rPr>
          <w:rFonts w:cs="Arial"/>
          <w:b/>
        </w:rPr>
        <w:br w:type="page"/>
      </w:r>
    </w:p>
    <w:p w14:paraId="31D244C9" w14:textId="77777777" w:rsidR="000923BB" w:rsidRDefault="000923BB" w:rsidP="000923BB">
      <w:pPr>
        <w:jc w:val="both"/>
        <w:rPr>
          <w:sz w:val="20"/>
          <w:szCs w:val="20"/>
        </w:rPr>
      </w:pPr>
    </w:p>
    <w:p w14:paraId="6AA594A8" w14:textId="77777777" w:rsidR="000923BB" w:rsidRPr="008913C1" w:rsidRDefault="000923BB" w:rsidP="000923BB">
      <w:pPr>
        <w:spacing w:line="360" w:lineRule="auto"/>
        <w:jc w:val="center"/>
        <w:rPr>
          <w:rFonts w:cs="Arial"/>
          <w:b/>
          <w:bCs/>
          <w:sz w:val="28"/>
          <w:szCs w:val="28"/>
        </w:rPr>
      </w:pPr>
      <w:r w:rsidRPr="008913C1">
        <w:rPr>
          <w:rFonts w:cs="Arial"/>
          <w:b/>
          <w:sz w:val="28"/>
          <w:szCs w:val="28"/>
        </w:rPr>
        <w:t>Appendix</w:t>
      </w:r>
      <w:r>
        <w:rPr>
          <w:rFonts w:cs="Arial"/>
          <w:b/>
          <w:bCs/>
          <w:sz w:val="28"/>
          <w:szCs w:val="28"/>
        </w:rPr>
        <w:t xml:space="preserve"> </w:t>
      </w:r>
      <w:r w:rsidRPr="008913C1">
        <w:rPr>
          <w:rFonts w:cs="Arial"/>
          <w:b/>
          <w:bCs/>
          <w:sz w:val="28"/>
          <w:szCs w:val="28"/>
        </w:rPr>
        <w:t>5</w:t>
      </w:r>
    </w:p>
    <w:p w14:paraId="6D44CF5D" w14:textId="77777777" w:rsidR="000923BB" w:rsidRDefault="000923BB" w:rsidP="000923BB">
      <w:pPr>
        <w:spacing w:line="360" w:lineRule="auto"/>
        <w:jc w:val="center"/>
        <w:rPr>
          <w:rFonts w:cs="Arial"/>
          <w:b/>
          <w:bCs/>
          <w:sz w:val="22"/>
          <w:szCs w:val="22"/>
        </w:rPr>
      </w:pPr>
    </w:p>
    <w:p w14:paraId="03D416EE" w14:textId="77777777" w:rsidR="000923BB" w:rsidRPr="008913C1" w:rsidRDefault="000923BB" w:rsidP="000923BB">
      <w:pPr>
        <w:jc w:val="center"/>
        <w:rPr>
          <w:rFonts w:cs="Arial"/>
          <w:b/>
          <w:bCs/>
          <w:sz w:val="28"/>
          <w:szCs w:val="28"/>
        </w:rPr>
      </w:pPr>
      <w:r w:rsidRPr="008913C1">
        <w:rPr>
          <w:rFonts w:cs="Arial"/>
          <w:b/>
          <w:bCs/>
          <w:sz w:val="28"/>
          <w:szCs w:val="28"/>
        </w:rPr>
        <w:t>Reviewer training scenarios to assist in recognising variation in care quality using holistic review</w:t>
      </w:r>
    </w:p>
    <w:p w14:paraId="7A804A8D" w14:textId="77777777" w:rsidR="000923BB" w:rsidRDefault="000923BB" w:rsidP="000923BB">
      <w:pPr>
        <w:spacing w:line="360" w:lineRule="auto"/>
        <w:jc w:val="both"/>
        <w:rPr>
          <w:rFonts w:cs="Arial"/>
          <w:b/>
          <w:bCs/>
          <w:sz w:val="22"/>
          <w:szCs w:val="22"/>
        </w:rPr>
      </w:pPr>
    </w:p>
    <w:p w14:paraId="26B8F5DD" w14:textId="77777777" w:rsidR="000923BB" w:rsidRPr="00B310BD" w:rsidRDefault="000923BB" w:rsidP="000923BB">
      <w:pPr>
        <w:jc w:val="both"/>
        <w:rPr>
          <w:rFonts w:cs="Arial"/>
          <w:b/>
          <w:bCs/>
          <w:sz w:val="20"/>
          <w:szCs w:val="20"/>
        </w:rPr>
      </w:pPr>
      <w:r w:rsidRPr="008913C1">
        <w:rPr>
          <w:rFonts w:cs="Arial"/>
          <w:bCs/>
          <w:sz w:val="20"/>
          <w:szCs w:val="20"/>
        </w:rPr>
        <w:t xml:space="preserve">The scenarios </w:t>
      </w:r>
      <w:r>
        <w:rPr>
          <w:rFonts w:cs="Arial"/>
          <w:bCs/>
          <w:sz w:val="20"/>
          <w:szCs w:val="20"/>
        </w:rPr>
        <w:t>used stroke care as exemplars in order not to influence the views of the reviewers on what they might perceive as appropriate care for either of the two tracer conditions, COPD or heart failure.</w:t>
      </w:r>
    </w:p>
    <w:p w14:paraId="20BCF5D4" w14:textId="77777777" w:rsidR="000923BB" w:rsidRPr="00B310BD" w:rsidRDefault="000923BB" w:rsidP="000923BB">
      <w:pPr>
        <w:jc w:val="both"/>
        <w:rPr>
          <w:rFonts w:cs="Arial"/>
          <w:b/>
          <w:bCs/>
          <w:sz w:val="20"/>
          <w:szCs w:val="20"/>
        </w:rPr>
      </w:pPr>
    </w:p>
    <w:p w14:paraId="0C2F97FE" w14:textId="77777777" w:rsidR="000923BB" w:rsidRPr="00B310BD" w:rsidRDefault="000923BB" w:rsidP="000923BB">
      <w:pPr>
        <w:jc w:val="both"/>
        <w:rPr>
          <w:rFonts w:cs="Arial"/>
          <w:sz w:val="20"/>
          <w:szCs w:val="20"/>
        </w:rPr>
      </w:pPr>
      <w:r w:rsidRPr="00B310BD">
        <w:rPr>
          <w:rFonts w:cs="Arial"/>
          <w:b/>
          <w:bCs/>
          <w:sz w:val="20"/>
          <w:szCs w:val="20"/>
          <w:u w:val="single"/>
        </w:rPr>
        <w:t>Mrs X scenario 1</w:t>
      </w:r>
      <w:r w:rsidRPr="00B310BD">
        <w:rPr>
          <w:rFonts w:cs="Arial"/>
          <w:sz w:val="20"/>
          <w:szCs w:val="20"/>
        </w:rPr>
        <w:t xml:space="preserve">:  Mrs X, a 78 year old lively lady, has a dizzy turn and for an hour looses the use of her right arm and feels weakness in her right leg. She has had a TIA and goes to her GP very concerned. He gets her an outpatient appointment at her local hospital for two months’ time. A week after she has seen him she suffers a completed stroke (involving her right side and speech) and is taken to hospital where she is admitted to a general medical ward. It is a Friday. She is seen by a consultant on the following Tuesday. She has a CT scan on the Thursday. She develops pneumonia on the Friday, which is treated. She is referred the following week to a geriatrician. She is eventually sent home very disabled, no information is sent to her GP, and there proves to be a long wait for community rehabilitation, so after 2 weeks she is sent to a nursing home where she dies after 3 months.  </w:t>
      </w:r>
    </w:p>
    <w:p w14:paraId="18E693D0" w14:textId="77777777" w:rsidR="000923BB" w:rsidRPr="00B310BD" w:rsidRDefault="000923BB" w:rsidP="000923BB">
      <w:pPr>
        <w:jc w:val="both"/>
        <w:rPr>
          <w:rFonts w:cs="Arial"/>
          <w:sz w:val="20"/>
          <w:szCs w:val="20"/>
        </w:rPr>
      </w:pPr>
    </w:p>
    <w:p w14:paraId="60C1504D" w14:textId="77777777" w:rsidR="000923BB" w:rsidRPr="00B310BD" w:rsidRDefault="000923BB" w:rsidP="000923BB">
      <w:pPr>
        <w:jc w:val="both"/>
        <w:rPr>
          <w:rFonts w:cs="Arial"/>
          <w:sz w:val="20"/>
          <w:szCs w:val="20"/>
          <w:u w:val="single"/>
        </w:rPr>
      </w:pPr>
      <w:r w:rsidRPr="00B310BD">
        <w:rPr>
          <w:rFonts w:cs="Arial"/>
          <w:sz w:val="20"/>
          <w:szCs w:val="20"/>
          <w:u w:val="single"/>
        </w:rPr>
        <w:t>Quality comments:</w:t>
      </w:r>
    </w:p>
    <w:p w14:paraId="73328D96" w14:textId="77777777" w:rsidR="000923BB" w:rsidRPr="00B310BD" w:rsidRDefault="000923BB" w:rsidP="000923BB">
      <w:pPr>
        <w:jc w:val="both"/>
        <w:rPr>
          <w:rFonts w:cs="Arial"/>
          <w:sz w:val="20"/>
          <w:szCs w:val="20"/>
        </w:rPr>
      </w:pPr>
      <w:r w:rsidRPr="00B310BD">
        <w:rPr>
          <w:rFonts w:cs="Arial"/>
          <w:sz w:val="20"/>
          <w:szCs w:val="20"/>
        </w:rPr>
        <w:t>This lady showed early signs of a pending stroke, which could have been prevented.</w:t>
      </w:r>
    </w:p>
    <w:p w14:paraId="756E97BE" w14:textId="77777777" w:rsidR="000923BB" w:rsidRPr="00B310BD" w:rsidRDefault="000923BB" w:rsidP="008A6C6D">
      <w:pPr>
        <w:numPr>
          <w:ilvl w:val="0"/>
          <w:numId w:val="11"/>
        </w:numPr>
        <w:spacing w:after="0" w:line="240" w:lineRule="auto"/>
        <w:jc w:val="both"/>
        <w:rPr>
          <w:rFonts w:cs="Arial"/>
          <w:sz w:val="20"/>
          <w:szCs w:val="20"/>
        </w:rPr>
      </w:pPr>
      <w:r w:rsidRPr="00B310BD">
        <w:rPr>
          <w:rFonts w:cs="Arial"/>
          <w:sz w:val="20"/>
          <w:szCs w:val="20"/>
        </w:rPr>
        <w:t>No early diagnosis is made and no rapid referral to a specialist service is provided</w:t>
      </w:r>
    </w:p>
    <w:p w14:paraId="2EC055BA" w14:textId="77777777" w:rsidR="000923BB" w:rsidRPr="00B310BD" w:rsidRDefault="000923BB" w:rsidP="008A6C6D">
      <w:pPr>
        <w:numPr>
          <w:ilvl w:val="0"/>
          <w:numId w:val="11"/>
        </w:numPr>
        <w:spacing w:after="0" w:line="240" w:lineRule="auto"/>
        <w:jc w:val="both"/>
        <w:rPr>
          <w:rFonts w:cs="Arial"/>
          <w:sz w:val="20"/>
          <w:szCs w:val="20"/>
        </w:rPr>
      </w:pPr>
      <w:r w:rsidRPr="00B310BD">
        <w:rPr>
          <w:rFonts w:cs="Arial"/>
          <w:sz w:val="20"/>
          <w:szCs w:val="20"/>
        </w:rPr>
        <w:t xml:space="preserve">No aspirin is prescribed to prevent the stroke. </w:t>
      </w:r>
    </w:p>
    <w:p w14:paraId="23A5843C" w14:textId="77777777" w:rsidR="000923BB" w:rsidRPr="00B310BD" w:rsidRDefault="000923BB" w:rsidP="008A6C6D">
      <w:pPr>
        <w:numPr>
          <w:ilvl w:val="0"/>
          <w:numId w:val="12"/>
        </w:numPr>
        <w:spacing w:after="0" w:line="240" w:lineRule="auto"/>
        <w:jc w:val="both"/>
        <w:rPr>
          <w:rFonts w:cs="Arial"/>
          <w:sz w:val="20"/>
          <w:szCs w:val="20"/>
        </w:rPr>
      </w:pPr>
      <w:r w:rsidRPr="00B310BD">
        <w:rPr>
          <w:rFonts w:cs="Arial"/>
          <w:sz w:val="20"/>
          <w:szCs w:val="20"/>
        </w:rPr>
        <w:t>No specialist care in a stroke unit</w:t>
      </w:r>
    </w:p>
    <w:p w14:paraId="1FCEA619" w14:textId="77777777" w:rsidR="000923BB" w:rsidRPr="00B310BD" w:rsidRDefault="000923BB" w:rsidP="008A6C6D">
      <w:pPr>
        <w:numPr>
          <w:ilvl w:val="0"/>
          <w:numId w:val="12"/>
        </w:numPr>
        <w:spacing w:after="0" w:line="240" w:lineRule="auto"/>
        <w:jc w:val="both"/>
        <w:rPr>
          <w:rFonts w:cs="Arial"/>
          <w:sz w:val="20"/>
          <w:szCs w:val="20"/>
        </w:rPr>
      </w:pPr>
      <w:r w:rsidRPr="00B310BD">
        <w:rPr>
          <w:rFonts w:cs="Arial"/>
          <w:sz w:val="20"/>
          <w:szCs w:val="20"/>
        </w:rPr>
        <w:t>There is a delay in providing a CT scan</w:t>
      </w:r>
    </w:p>
    <w:p w14:paraId="55C6DEAE" w14:textId="77777777" w:rsidR="000923BB" w:rsidRPr="00B310BD" w:rsidRDefault="000923BB" w:rsidP="008A6C6D">
      <w:pPr>
        <w:numPr>
          <w:ilvl w:val="0"/>
          <w:numId w:val="12"/>
        </w:numPr>
        <w:spacing w:after="0" w:line="240" w:lineRule="auto"/>
        <w:jc w:val="both"/>
        <w:rPr>
          <w:rFonts w:cs="Arial"/>
          <w:sz w:val="20"/>
          <w:szCs w:val="20"/>
        </w:rPr>
      </w:pPr>
      <w:r w:rsidRPr="00B310BD">
        <w:rPr>
          <w:rFonts w:cs="Arial"/>
          <w:sz w:val="20"/>
          <w:szCs w:val="20"/>
        </w:rPr>
        <w:t>Dysphagia (difficulty swallowing) is not picked up by early screening, leading to pneumonia</w:t>
      </w:r>
    </w:p>
    <w:p w14:paraId="49598BA2" w14:textId="77777777" w:rsidR="000923BB" w:rsidRPr="00B310BD" w:rsidRDefault="000923BB" w:rsidP="008A6C6D">
      <w:pPr>
        <w:numPr>
          <w:ilvl w:val="0"/>
          <w:numId w:val="12"/>
        </w:numPr>
        <w:spacing w:after="0" w:line="240" w:lineRule="auto"/>
        <w:jc w:val="both"/>
        <w:rPr>
          <w:rFonts w:cs="Arial"/>
          <w:sz w:val="20"/>
          <w:szCs w:val="20"/>
        </w:rPr>
      </w:pPr>
      <w:r w:rsidRPr="00B310BD">
        <w:rPr>
          <w:rFonts w:cs="Arial"/>
          <w:sz w:val="20"/>
          <w:szCs w:val="20"/>
        </w:rPr>
        <w:t>She does not receive early therapy input to begin rehabilitation and mobilisation</w:t>
      </w:r>
    </w:p>
    <w:p w14:paraId="0B4E9834" w14:textId="77777777" w:rsidR="000923BB" w:rsidRPr="00B310BD" w:rsidRDefault="000923BB" w:rsidP="008A6C6D">
      <w:pPr>
        <w:numPr>
          <w:ilvl w:val="0"/>
          <w:numId w:val="12"/>
        </w:numPr>
        <w:spacing w:after="0" w:line="240" w:lineRule="auto"/>
        <w:jc w:val="both"/>
        <w:rPr>
          <w:rFonts w:cs="Arial"/>
          <w:sz w:val="20"/>
          <w:szCs w:val="20"/>
        </w:rPr>
      </w:pPr>
      <w:r w:rsidRPr="00B310BD">
        <w:rPr>
          <w:rFonts w:cs="Arial"/>
          <w:sz w:val="20"/>
          <w:szCs w:val="20"/>
        </w:rPr>
        <w:t>The communication systems between hospital and community fail.</w:t>
      </w:r>
    </w:p>
    <w:p w14:paraId="6131A7E7" w14:textId="77777777" w:rsidR="000923BB" w:rsidRPr="00B310BD" w:rsidRDefault="000923BB" w:rsidP="008A6C6D">
      <w:pPr>
        <w:numPr>
          <w:ilvl w:val="1"/>
          <w:numId w:val="14"/>
        </w:numPr>
        <w:spacing w:after="0" w:line="240" w:lineRule="auto"/>
        <w:jc w:val="both"/>
        <w:rPr>
          <w:rFonts w:cs="Arial"/>
          <w:sz w:val="20"/>
          <w:szCs w:val="20"/>
        </w:rPr>
      </w:pPr>
      <w:r w:rsidRPr="00B310BD">
        <w:rPr>
          <w:rFonts w:cs="Arial"/>
          <w:sz w:val="20"/>
          <w:szCs w:val="20"/>
        </w:rPr>
        <w:t>The community services are unable to provide the rehabilitation she needs.</w:t>
      </w:r>
    </w:p>
    <w:p w14:paraId="49033EC8" w14:textId="77777777" w:rsidR="000923BB" w:rsidRPr="00B310BD" w:rsidRDefault="000923BB" w:rsidP="000923BB">
      <w:pPr>
        <w:jc w:val="both"/>
        <w:rPr>
          <w:rFonts w:cs="Arial"/>
          <w:sz w:val="20"/>
          <w:szCs w:val="20"/>
        </w:rPr>
      </w:pPr>
    </w:p>
    <w:p w14:paraId="1C8C4DC8" w14:textId="77777777" w:rsidR="000923BB" w:rsidRPr="00B310BD" w:rsidRDefault="000923BB" w:rsidP="000923BB">
      <w:pPr>
        <w:jc w:val="both"/>
        <w:rPr>
          <w:rFonts w:cs="Arial"/>
          <w:sz w:val="20"/>
          <w:szCs w:val="20"/>
        </w:rPr>
      </w:pPr>
    </w:p>
    <w:p w14:paraId="4D90C44D" w14:textId="77777777" w:rsidR="000923BB" w:rsidRPr="00B310BD" w:rsidRDefault="000923BB" w:rsidP="000923BB">
      <w:pPr>
        <w:jc w:val="both"/>
        <w:rPr>
          <w:rFonts w:cs="Arial"/>
          <w:sz w:val="20"/>
          <w:szCs w:val="20"/>
        </w:rPr>
      </w:pPr>
      <w:r w:rsidRPr="00B310BD">
        <w:rPr>
          <w:rFonts w:cs="Arial"/>
          <w:b/>
          <w:bCs/>
          <w:sz w:val="20"/>
          <w:szCs w:val="20"/>
          <w:u w:val="single"/>
        </w:rPr>
        <w:t>Mrs X scenario 2</w:t>
      </w:r>
      <w:r w:rsidRPr="00B310BD">
        <w:rPr>
          <w:rFonts w:cs="Arial"/>
          <w:sz w:val="20"/>
          <w:szCs w:val="20"/>
        </w:rPr>
        <w:t xml:space="preserve">: Mrs X, a 78 year old lively lady, has a dizzy turn and for an hour looses the use of her right arm and feels weakness in her right leg. She has had a TIA and goes to her GP very concerned. He gets her an appointment for the TIA clinic in 2 days’ time and starts her on aspirin. At the TIA one-stop clinic she is duplex scanned and referred for early carotid endarterectomy, which she has within 10 days. She returns home on appropriate secondary prevention, having received dietary advice to eat more healthily. She was a life-long smoker so </w:t>
      </w:r>
      <w:r w:rsidRPr="00B310BD">
        <w:rPr>
          <w:rFonts w:cs="Arial"/>
          <w:sz w:val="20"/>
          <w:szCs w:val="20"/>
        </w:rPr>
        <w:lastRenderedPageBreak/>
        <w:t xml:space="preserve">has been given cessation advice and nicotine replacement therapy. She continues with her active life, with regular follow-up visits to her GP.  </w:t>
      </w:r>
    </w:p>
    <w:p w14:paraId="45C7A539" w14:textId="77777777" w:rsidR="000923BB" w:rsidRPr="00B310BD" w:rsidRDefault="000923BB" w:rsidP="000923BB">
      <w:pPr>
        <w:jc w:val="both"/>
        <w:rPr>
          <w:rFonts w:cs="Arial"/>
          <w:sz w:val="20"/>
          <w:szCs w:val="20"/>
        </w:rPr>
      </w:pPr>
    </w:p>
    <w:p w14:paraId="171A6116" w14:textId="77777777" w:rsidR="000923BB" w:rsidRPr="00B310BD" w:rsidRDefault="000923BB" w:rsidP="000923BB">
      <w:pPr>
        <w:jc w:val="both"/>
        <w:rPr>
          <w:rFonts w:cs="Arial"/>
          <w:bCs/>
          <w:sz w:val="20"/>
          <w:szCs w:val="20"/>
          <w:u w:val="single"/>
        </w:rPr>
      </w:pPr>
      <w:r w:rsidRPr="00B310BD">
        <w:rPr>
          <w:rFonts w:cs="Arial"/>
          <w:bCs/>
          <w:sz w:val="20"/>
          <w:szCs w:val="20"/>
          <w:u w:val="single"/>
        </w:rPr>
        <w:t>Quality comments:</w:t>
      </w:r>
    </w:p>
    <w:p w14:paraId="6A0B599D" w14:textId="77777777" w:rsidR="000923BB" w:rsidRPr="00B310BD" w:rsidRDefault="000923BB" w:rsidP="000923BB">
      <w:pPr>
        <w:jc w:val="both"/>
        <w:rPr>
          <w:rFonts w:cs="Arial"/>
          <w:sz w:val="20"/>
          <w:szCs w:val="20"/>
        </w:rPr>
      </w:pPr>
      <w:r w:rsidRPr="00B310BD">
        <w:rPr>
          <w:rFonts w:cs="Arial"/>
          <w:sz w:val="20"/>
          <w:szCs w:val="20"/>
        </w:rPr>
        <w:t xml:space="preserve">Evidence shows the danger of stroke is high after a TIA. </w:t>
      </w:r>
    </w:p>
    <w:p w14:paraId="5079C6F5" w14:textId="77777777" w:rsidR="000923BB" w:rsidRPr="00B310BD" w:rsidRDefault="000923BB" w:rsidP="008A6C6D">
      <w:pPr>
        <w:numPr>
          <w:ilvl w:val="1"/>
          <w:numId w:val="14"/>
        </w:numPr>
        <w:spacing w:after="0" w:line="240" w:lineRule="auto"/>
        <w:jc w:val="both"/>
        <w:rPr>
          <w:rFonts w:cs="Arial"/>
          <w:sz w:val="20"/>
          <w:szCs w:val="20"/>
        </w:rPr>
      </w:pPr>
      <w:r w:rsidRPr="00B310BD">
        <w:rPr>
          <w:rFonts w:cs="Arial"/>
          <w:sz w:val="20"/>
          <w:szCs w:val="20"/>
        </w:rPr>
        <w:t>She receives appropriate rapid referral to a specialist service</w:t>
      </w:r>
    </w:p>
    <w:p w14:paraId="6AD2868F" w14:textId="77777777" w:rsidR="000923BB" w:rsidRPr="00B310BD" w:rsidRDefault="000923BB" w:rsidP="008A6C6D">
      <w:pPr>
        <w:numPr>
          <w:ilvl w:val="1"/>
          <w:numId w:val="14"/>
        </w:numPr>
        <w:spacing w:after="0" w:line="240" w:lineRule="auto"/>
        <w:jc w:val="both"/>
        <w:rPr>
          <w:rFonts w:cs="Arial"/>
          <w:sz w:val="20"/>
          <w:szCs w:val="20"/>
        </w:rPr>
      </w:pPr>
      <w:r w:rsidRPr="00B310BD">
        <w:rPr>
          <w:rFonts w:cs="Arial"/>
          <w:sz w:val="20"/>
          <w:szCs w:val="20"/>
        </w:rPr>
        <w:t>Secondary prevention with aspirin is commenced immediately.</w:t>
      </w:r>
    </w:p>
    <w:p w14:paraId="298108D2" w14:textId="77777777" w:rsidR="000923BB" w:rsidRPr="00B310BD" w:rsidRDefault="000923BB" w:rsidP="008A6C6D">
      <w:pPr>
        <w:numPr>
          <w:ilvl w:val="1"/>
          <w:numId w:val="14"/>
        </w:numPr>
        <w:spacing w:after="0" w:line="240" w:lineRule="auto"/>
        <w:jc w:val="both"/>
        <w:rPr>
          <w:rFonts w:cs="Arial"/>
          <w:sz w:val="20"/>
          <w:szCs w:val="20"/>
        </w:rPr>
      </w:pPr>
      <w:r w:rsidRPr="00B310BD">
        <w:rPr>
          <w:rFonts w:cs="Arial"/>
          <w:sz w:val="20"/>
          <w:szCs w:val="20"/>
        </w:rPr>
        <w:t>Early investigations are carried out</w:t>
      </w:r>
    </w:p>
    <w:p w14:paraId="563C3748" w14:textId="77777777" w:rsidR="000923BB" w:rsidRPr="00B310BD" w:rsidRDefault="000923BB" w:rsidP="008A6C6D">
      <w:pPr>
        <w:numPr>
          <w:ilvl w:val="1"/>
          <w:numId w:val="14"/>
        </w:numPr>
        <w:spacing w:after="0" w:line="240" w:lineRule="auto"/>
        <w:jc w:val="both"/>
        <w:rPr>
          <w:rFonts w:cs="Arial"/>
          <w:sz w:val="20"/>
          <w:szCs w:val="20"/>
        </w:rPr>
      </w:pPr>
      <w:r w:rsidRPr="00B310BD">
        <w:rPr>
          <w:rFonts w:cs="Arial"/>
          <w:sz w:val="20"/>
          <w:szCs w:val="20"/>
        </w:rPr>
        <w:t>Appropriate surgical treatment is provided quickly</w:t>
      </w:r>
    </w:p>
    <w:p w14:paraId="5F219A93" w14:textId="77777777" w:rsidR="000923BB" w:rsidRPr="00B310BD" w:rsidRDefault="000923BB" w:rsidP="008A6C6D">
      <w:pPr>
        <w:numPr>
          <w:ilvl w:val="1"/>
          <w:numId w:val="14"/>
        </w:numPr>
        <w:spacing w:after="0" w:line="240" w:lineRule="auto"/>
        <w:jc w:val="both"/>
        <w:rPr>
          <w:rFonts w:cs="Arial"/>
          <w:sz w:val="20"/>
          <w:szCs w:val="20"/>
        </w:rPr>
      </w:pPr>
      <w:r w:rsidRPr="00B310BD">
        <w:rPr>
          <w:rFonts w:cs="Arial"/>
          <w:sz w:val="20"/>
          <w:szCs w:val="20"/>
        </w:rPr>
        <w:t>Secondary prevention and lifestyle advice are provided prior to discharge.</w:t>
      </w:r>
    </w:p>
    <w:p w14:paraId="2733D5F1" w14:textId="77777777" w:rsidR="000923BB" w:rsidRDefault="000923BB" w:rsidP="008A6C6D">
      <w:pPr>
        <w:numPr>
          <w:ilvl w:val="0"/>
          <w:numId w:val="15"/>
        </w:numPr>
        <w:spacing w:after="0" w:line="240" w:lineRule="auto"/>
        <w:jc w:val="both"/>
        <w:rPr>
          <w:rFonts w:cs="Arial"/>
          <w:sz w:val="20"/>
          <w:szCs w:val="20"/>
        </w:rPr>
      </w:pPr>
      <w:r w:rsidRPr="00B310BD">
        <w:rPr>
          <w:rFonts w:cs="Arial"/>
          <w:sz w:val="20"/>
          <w:szCs w:val="20"/>
        </w:rPr>
        <w:t>Her health is monitored regularly by her GP.</w:t>
      </w:r>
    </w:p>
    <w:p w14:paraId="0AA33E8B" w14:textId="77777777" w:rsidR="000923BB" w:rsidRPr="00B310BD" w:rsidRDefault="000923BB" w:rsidP="000923BB">
      <w:pPr>
        <w:jc w:val="both"/>
        <w:rPr>
          <w:rFonts w:cs="Arial"/>
          <w:sz w:val="20"/>
          <w:szCs w:val="20"/>
        </w:rPr>
      </w:pPr>
      <w:r w:rsidRPr="00B310BD">
        <w:rPr>
          <w:rFonts w:cs="Arial"/>
          <w:b/>
          <w:bCs/>
          <w:sz w:val="20"/>
          <w:szCs w:val="20"/>
          <w:u w:val="single"/>
        </w:rPr>
        <w:t>Mr Y scenario 3</w:t>
      </w:r>
      <w:r w:rsidRPr="00B310BD">
        <w:rPr>
          <w:rFonts w:cs="Arial"/>
          <w:sz w:val="20"/>
          <w:szCs w:val="20"/>
        </w:rPr>
        <w:t>: Mr Y is a 60 year old man. He has a rapid onset stroke on a Saturday and is taken to his local hospital. Because the hospital CT scanner does not work over the weekend, he is booked for a scan later in the week but this is cancelled for emergency admissions and somehow never gets re-booked. There is no acute stroke unit and, the rehab stroke unit being full, he is sent to the acute medical admissions ward. There he is not screened for dysphagia so his problems with swallowing are not picked up and no protocol begins. He also develops pneumonia after a week. Because of his incontinence he is catheterised in the AMU and the catheter remains in situ when he is sent to the general medical ward and somehow gets left there. He is visited by the physiotherapist for his pneumonia and begins mobilising half an hour a day when his pneumonia has resolved. Mobilising is also made more difficult by his catheter and the fact he feels so weak from not eating properly and following the pneumonia. Other complications arise from his catheter. He spends many weeks in hospital and eventually is sent home, catheter still in situ because he has persisting incontinence from poor bladder tone he developed from prolonged catheterisation. He remains weak and increasingly disabled. No rehabilitation continues at home and after a year he suffers a second stroke from which he does not recover. The family feel he had poor care and are making a complaint through the Healthcare Commission.</w:t>
      </w:r>
    </w:p>
    <w:p w14:paraId="33A3129E" w14:textId="77777777" w:rsidR="000923BB" w:rsidRPr="00B310BD" w:rsidRDefault="000923BB" w:rsidP="000923BB">
      <w:pPr>
        <w:jc w:val="both"/>
        <w:rPr>
          <w:rFonts w:cs="Arial"/>
          <w:sz w:val="20"/>
          <w:szCs w:val="20"/>
        </w:rPr>
      </w:pPr>
    </w:p>
    <w:p w14:paraId="120E131D" w14:textId="77777777" w:rsidR="000923BB" w:rsidRPr="00B310BD" w:rsidRDefault="000923BB" w:rsidP="000923BB">
      <w:pPr>
        <w:jc w:val="both"/>
        <w:rPr>
          <w:rFonts w:cs="Arial"/>
          <w:bCs/>
          <w:sz w:val="20"/>
          <w:szCs w:val="20"/>
          <w:u w:val="single"/>
        </w:rPr>
      </w:pPr>
      <w:r w:rsidRPr="00B310BD">
        <w:rPr>
          <w:rFonts w:cs="Arial"/>
          <w:bCs/>
          <w:sz w:val="20"/>
          <w:szCs w:val="20"/>
          <w:u w:val="single"/>
        </w:rPr>
        <w:t>Quality comments:</w:t>
      </w:r>
    </w:p>
    <w:p w14:paraId="40FFFF99" w14:textId="77777777" w:rsidR="000923BB" w:rsidRPr="00B310BD" w:rsidRDefault="000923BB" w:rsidP="008A6C6D">
      <w:pPr>
        <w:numPr>
          <w:ilvl w:val="0"/>
          <w:numId w:val="13"/>
        </w:numPr>
        <w:spacing w:after="0" w:line="240" w:lineRule="auto"/>
        <w:jc w:val="both"/>
        <w:rPr>
          <w:rFonts w:cs="Arial"/>
          <w:sz w:val="20"/>
          <w:szCs w:val="20"/>
        </w:rPr>
      </w:pPr>
      <w:smartTag w:uri="urn:schemas-microsoft-com:office:smarttags" w:element="address">
        <w:smartTag w:uri="urn:schemas-microsoft-com:office:smarttags" w:element="Street">
          <w:r w:rsidRPr="00B310BD">
            <w:rPr>
              <w:rFonts w:cs="Arial"/>
              <w:sz w:val="20"/>
              <w:szCs w:val="20"/>
            </w:rPr>
            <w:t>A CT</w:t>
          </w:r>
        </w:smartTag>
      </w:smartTag>
      <w:r w:rsidRPr="00B310BD">
        <w:rPr>
          <w:rFonts w:cs="Arial"/>
          <w:sz w:val="20"/>
          <w:szCs w:val="20"/>
        </w:rPr>
        <w:t xml:space="preserve"> scan is never carried out</w:t>
      </w:r>
    </w:p>
    <w:p w14:paraId="37FD7609" w14:textId="77777777" w:rsidR="000923BB" w:rsidRPr="00B310BD" w:rsidRDefault="000923BB" w:rsidP="008A6C6D">
      <w:pPr>
        <w:numPr>
          <w:ilvl w:val="0"/>
          <w:numId w:val="13"/>
        </w:numPr>
        <w:spacing w:after="0" w:line="240" w:lineRule="auto"/>
        <w:jc w:val="both"/>
        <w:rPr>
          <w:rFonts w:cs="Arial"/>
          <w:sz w:val="20"/>
          <w:szCs w:val="20"/>
        </w:rPr>
      </w:pPr>
      <w:r w:rsidRPr="00B310BD">
        <w:rPr>
          <w:rFonts w:cs="Arial"/>
          <w:sz w:val="20"/>
          <w:szCs w:val="20"/>
        </w:rPr>
        <w:t>He does not receive specialist care in a stroke unit</w:t>
      </w:r>
    </w:p>
    <w:p w14:paraId="11A60EDD" w14:textId="77777777" w:rsidR="000923BB" w:rsidRPr="00B310BD" w:rsidRDefault="000923BB" w:rsidP="008A6C6D">
      <w:pPr>
        <w:numPr>
          <w:ilvl w:val="0"/>
          <w:numId w:val="13"/>
        </w:numPr>
        <w:spacing w:after="0" w:line="240" w:lineRule="auto"/>
        <w:jc w:val="both"/>
        <w:rPr>
          <w:rFonts w:cs="Arial"/>
          <w:sz w:val="20"/>
          <w:szCs w:val="20"/>
        </w:rPr>
      </w:pPr>
      <w:r w:rsidRPr="00B310BD">
        <w:rPr>
          <w:rFonts w:cs="Arial"/>
          <w:sz w:val="20"/>
          <w:szCs w:val="20"/>
        </w:rPr>
        <w:t>His dysphagia (difficulty swallowing) is not picked up, leading to pneumonia and malnutrition</w:t>
      </w:r>
    </w:p>
    <w:p w14:paraId="2A94F4BA" w14:textId="77777777" w:rsidR="000923BB" w:rsidRPr="00B310BD" w:rsidRDefault="000923BB" w:rsidP="008A6C6D">
      <w:pPr>
        <w:numPr>
          <w:ilvl w:val="0"/>
          <w:numId w:val="13"/>
        </w:numPr>
        <w:spacing w:after="0" w:line="240" w:lineRule="auto"/>
        <w:jc w:val="both"/>
        <w:rPr>
          <w:rFonts w:cs="Arial"/>
          <w:sz w:val="20"/>
          <w:szCs w:val="20"/>
        </w:rPr>
      </w:pPr>
      <w:r w:rsidRPr="00B310BD">
        <w:rPr>
          <w:rFonts w:cs="Arial"/>
          <w:sz w:val="20"/>
          <w:szCs w:val="20"/>
        </w:rPr>
        <w:t>Prolonged, possibly unnecessary, use of a catheter leads to complications</w:t>
      </w:r>
    </w:p>
    <w:p w14:paraId="2F7D3F24" w14:textId="77777777" w:rsidR="000923BB" w:rsidRPr="00B310BD" w:rsidRDefault="000923BB" w:rsidP="008A6C6D">
      <w:pPr>
        <w:numPr>
          <w:ilvl w:val="0"/>
          <w:numId w:val="13"/>
        </w:numPr>
        <w:spacing w:after="0" w:line="240" w:lineRule="auto"/>
        <w:jc w:val="both"/>
        <w:rPr>
          <w:rFonts w:cs="Arial"/>
          <w:sz w:val="20"/>
          <w:szCs w:val="20"/>
        </w:rPr>
      </w:pPr>
      <w:r w:rsidRPr="00B310BD">
        <w:rPr>
          <w:rFonts w:cs="Arial"/>
          <w:sz w:val="20"/>
          <w:szCs w:val="20"/>
        </w:rPr>
        <w:t>No early supported discharge from hospital is offered</w:t>
      </w:r>
    </w:p>
    <w:p w14:paraId="72EC0B10" w14:textId="77777777" w:rsidR="000923BB" w:rsidRPr="00B310BD" w:rsidRDefault="000923BB" w:rsidP="008A6C6D">
      <w:pPr>
        <w:numPr>
          <w:ilvl w:val="0"/>
          <w:numId w:val="13"/>
        </w:numPr>
        <w:spacing w:after="0" w:line="240" w:lineRule="auto"/>
        <w:jc w:val="both"/>
        <w:rPr>
          <w:rFonts w:cs="Arial"/>
          <w:sz w:val="20"/>
          <w:szCs w:val="20"/>
        </w:rPr>
      </w:pPr>
      <w:r w:rsidRPr="00B310BD">
        <w:rPr>
          <w:rFonts w:cs="Arial"/>
          <w:sz w:val="20"/>
          <w:szCs w:val="20"/>
        </w:rPr>
        <w:t>No rehabilitation is provided on his return to primary care.</w:t>
      </w:r>
    </w:p>
    <w:p w14:paraId="64714D7C" w14:textId="77777777" w:rsidR="000923BB" w:rsidRPr="00B310BD" w:rsidRDefault="000923BB" w:rsidP="000923BB">
      <w:pPr>
        <w:jc w:val="both"/>
        <w:rPr>
          <w:rFonts w:cs="Arial"/>
          <w:sz w:val="20"/>
          <w:szCs w:val="20"/>
        </w:rPr>
      </w:pPr>
    </w:p>
    <w:p w14:paraId="69B684CE" w14:textId="77777777" w:rsidR="000923BB" w:rsidRPr="00B310BD" w:rsidRDefault="000923BB" w:rsidP="000923BB">
      <w:pPr>
        <w:jc w:val="both"/>
        <w:rPr>
          <w:rFonts w:cs="Arial"/>
          <w:sz w:val="20"/>
          <w:szCs w:val="20"/>
        </w:rPr>
      </w:pPr>
    </w:p>
    <w:p w14:paraId="1A11CF38" w14:textId="77777777" w:rsidR="000923BB" w:rsidRPr="00B310BD" w:rsidRDefault="000923BB" w:rsidP="000923BB">
      <w:pPr>
        <w:jc w:val="both"/>
        <w:rPr>
          <w:rFonts w:cs="Arial"/>
          <w:sz w:val="20"/>
          <w:szCs w:val="20"/>
        </w:rPr>
      </w:pPr>
      <w:r w:rsidRPr="00B310BD">
        <w:rPr>
          <w:rFonts w:cs="Arial"/>
          <w:b/>
          <w:bCs/>
          <w:sz w:val="20"/>
          <w:szCs w:val="20"/>
          <w:u w:val="single"/>
        </w:rPr>
        <w:t>Mr Y scenario 4</w:t>
      </w:r>
      <w:r w:rsidRPr="00B310BD">
        <w:rPr>
          <w:rFonts w:cs="Arial"/>
          <w:sz w:val="20"/>
          <w:szCs w:val="20"/>
        </w:rPr>
        <w:t xml:space="preserve">: Mr Y is a 60 year old man. He has a rapid onset stroke on a Saturday and is taken to his local hospital. There, despite it being a weekend, he has a CT scan where ischaemic stroke is confirmed. He is admitted directly to the acute stroke unit. He is attached to monitoring systems (oxygen levels and ECG) by specialist nurses who take regular observations of his vital signs (blood sugars, temperature, etc). His clinical assessment on arrival in the unit, which includes a swallow screen, identifies he has dysphagia. He is made nil by mouth and tube feeding is begun by the nurses using the protocol agreed with the stroke team. The speech and language therapist sees him on the Monday to begin treatment and his </w:t>
      </w:r>
      <w:r w:rsidRPr="00B310BD">
        <w:rPr>
          <w:rFonts w:cs="Arial"/>
          <w:sz w:val="20"/>
          <w:szCs w:val="20"/>
        </w:rPr>
        <w:lastRenderedPageBreak/>
        <w:t>dietary regime comes under the guidance of the specialist dietician. He is incontinent of urine in the first 48 hours which is conservatively managed without catheterisation and resolves spontaneously. The physiotherapist begins his early mobilisation regime which the nurses practice with him. An OT referral is made and therapy begins within one week of referral. After a fortnight the secondary prevention regime is established (aspirin having been started on the second day) using a protocol based on the national clinical guidelines for stroke. Because Mr Y is anxious to get home by this stage he has been referred to the specialist stroke Early Supported Discharge team and, once it is clear he can safely get himself out of bed, he goes home under their care for continuing rehabilitation at home.</w:t>
      </w:r>
    </w:p>
    <w:p w14:paraId="38475EE7" w14:textId="77777777" w:rsidR="000923BB" w:rsidRPr="00B310BD" w:rsidRDefault="000923BB" w:rsidP="000923BB">
      <w:pPr>
        <w:jc w:val="both"/>
        <w:rPr>
          <w:rFonts w:cs="Arial"/>
          <w:sz w:val="20"/>
          <w:szCs w:val="20"/>
        </w:rPr>
      </w:pPr>
    </w:p>
    <w:p w14:paraId="2510894E" w14:textId="77777777" w:rsidR="000923BB" w:rsidRPr="00B310BD" w:rsidRDefault="000923BB" w:rsidP="000923BB">
      <w:pPr>
        <w:jc w:val="both"/>
        <w:rPr>
          <w:rFonts w:cs="Arial"/>
          <w:bCs/>
          <w:sz w:val="20"/>
          <w:szCs w:val="20"/>
          <w:u w:val="single"/>
        </w:rPr>
      </w:pPr>
      <w:r w:rsidRPr="00B310BD">
        <w:rPr>
          <w:rFonts w:cs="Arial"/>
          <w:bCs/>
          <w:sz w:val="20"/>
          <w:szCs w:val="20"/>
          <w:u w:val="single"/>
        </w:rPr>
        <w:t>Quality comments:</w:t>
      </w:r>
    </w:p>
    <w:p w14:paraId="06703075" w14:textId="77777777" w:rsidR="000923BB" w:rsidRPr="00B310BD" w:rsidRDefault="000923BB" w:rsidP="008A6C6D">
      <w:pPr>
        <w:numPr>
          <w:ilvl w:val="0"/>
          <w:numId w:val="13"/>
        </w:numPr>
        <w:spacing w:after="0" w:line="240" w:lineRule="auto"/>
        <w:jc w:val="both"/>
        <w:rPr>
          <w:rFonts w:cs="Arial"/>
          <w:sz w:val="20"/>
          <w:szCs w:val="20"/>
        </w:rPr>
      </w:pPr>
      <w:smartTag w:uri="urn:schemas-microsoft-com:office:smarttags" w:element="address">
        <w:smartTag w:uri="urn:schemas-microsoft-com:office:smarttags" w:element="Street">
          <w:r w:rsidRPr="00B310BD">
            <w:rPr>
              <w:rFonts w:cs="Arial"/>
              <w:sz w:val="20"/>
              <w:szCs w:val="20"/>
            </w:rPr>
            <w:t>A CT</w:t>
          </w:r>
        </w:smartTag>
      </w:smartTag>
      <w:r w:rsidRPr="00B310BD">
        <w:rPr>
          <w:rFonts w:cs="Arial"/>
          <w:sz w:val="20"/>
          <w:szCs w:val="20"/>
        </w:rPr>
        <w:t xml:space="preserve"> scan is carried out early, confirming the diagnosis</w:t>
      </w:r>
    </w:p>
    <w:p w14:paraId="18FFB80C" w14:textId="77777777" w:rsidR="000923BB" w:rsidRPr="00B310BD" w:rsidRDefault="000923BB" w:rsidP="008A6C6D">
      <w:pPr>
        <w:numPr>
          <w:ilvl w:val="0"/>
          <w:numId w:val="13"/>
        </w:numPr>
        <w:spacing w:after="0" w:line="240" w:lineRule="auto"/>
        <w:jc w:val="both"/>
        <w:rPr>
          <w:rFonts w:cs="Arial"/>
          <w:sz w:val="20"/>
          <w:szCs w:val="20"/>
        </w:rPr>
      </w:pPr>
      <w:r w:rsidRPr="00B310BD">
        <w:rPr>
          <w:rFonts w:cs="Arial"/>
          <w:sz w:val="20"/>
          <w:szCs w:val="20"/>
        </w:rPr>
        <w:t>Secondary prevention with aspirin is commenced early</w:t>
      </w:r>
    </w:p>
    <w:p w14:paraId="25445909" w14:textId="77777777" w:rsidR="000923BB" w:rsidRPr="00B310BD" w:rsidRDefault="000923BB" w:rsidP="008A6C6D">
      <w:pPr>
        <w:numPr>
          <w:ilvl w:val="0"/>
          <w:numId w:val="13"/>
        </w:numPr>
        <w:spacing w:after="0" w:line="240" w:lineRule="auto"/>
        <w:jc w:val="both"/>
        <w:rPr>
          <w:rFonts w:cs="Arial"/>
          <w:sz w:val="20"/>
          <w:szCs w:val="20"/>
        </w:rPr>
      </w:pPr>
      <w:r w:rsidRPr="00B310BD">
        <w:rPr>
          <w:rFonts w:cs="Arial"/>
          <w:sz w:val="20"/>
          <w:szCs w:val="20"/>
        </w:rPr>
        <w:t>Hospital care is provided in a specialised stroke unit</w:t>
      </w:r>
    </w:p>
    <w:p w14:paraId="4A187C58" w14:textId="77777777" w:rsidR="000923BB" w:rsidRPr="00B310BD" w:rsidRDefault="000923BB" w:rsidP="008A6C6D">
      <w:pPr>
        <w:numPr>
          <w:ilvl w:val="0"/>
          <w:numId w:val="13"/>
        </w:numPr>
        <w:spacing w:after="0" w:line="240" w:lineRule="auto"/>
        <w:jc w:val="both"/>
        <w:rPr>
          <w:rFonts w:cs="Arial"/>
          <w:sz w:val="20"/>
          <w:szCs w:val="20"/>
        </w:rPr>
      </w:pPr>
      <w:r w:rsidRPr="00B310BD">
        <w:rPr>
          <w:rFonts w:cs="Arial"/>
          <w:sz w:val="20"/>
          <w:szCs w:val="20"/>
        </w:rPr>
        <w:t>He receives regular monitoring of physiological indicators while in hospital</w:t>
      </w:r>
    </w:p>
    <w:p w14:paraId="28672026" w14:textId="77777777" w:rsidR="000923BB" w:rsidRPr="00B310BD" w:rsidRDefault="000923BB" w:rsidP="008A6C6D">
      <w:pPr>
        <w:numPr>
          <w:ilvl w:val="0"/>
          <w:numId w:val="13"/>
        </w:numPr>
        <w:spacing w:after="0" w:line="240" w:lineRule="auto"/>
        <w:jc w:val="both"/>
        <w:rPr>
          <w:rFonts w:cs="Arial"/>
          <w:sz w:val="20"/>
          <w:szCs w:val="20"/>
        </w:rPr>
      </w:pPr>
      <w:r w:rsidRPr="00B310BD">
        <w:rPr>
          <w:rFonts w:cs="Arial"/>
          <w:sz w:val="20"/>
          <w:szCs w:val="20"/>
        </w:rPr>
        <w:t>Dysphagia is identified early and managed, reducing the risk of pneumonia and malnutrition</w:t>
      </w:r>
    </w:p>
    <w:p w14:paraId="17492607" w14:textId="77777777" w:rsidR="000923BB" w:rsidRPr="00B310BD" w:rsidRDefault="000923BB" w:rsidP="008A6C6D">
      <w:pPr>
        <w:numPr>
          <w:ilvl w:val="0"/>
          <w:numId w:val="13"/>
        </w:numPr>
        <w:spacing w:after="0" w:line="240" w:lineRule="auto"/>
        <w:jc w:val="both"/>
        <w:rPr>
          <w:rFonts w:cs="Arial"/>
          <w:sz w:val="20"/>
          <w:szCs w:val="20"/>
        </w:rPr>
      </w:pPr>
      <w:r w:rsidRPr="00B310BD">
        <w:rPr>
          <w:rFonts w:cs="Arial"/>
          <w:sz w:val="20"/>
          <w:szCs w:val="20"/>
        </w:rPr>
        <w:t>Urinary incontinence is managed without the need for a catheter (this is associated with better clinical outcome)</w:t>
      </w:r>
    </w:p>
    <w:p w14:paraId="6C44944F" w14:textId="77777777" w:rsidR="000923BB" w:rsidRPr="00B310BD" w:rsidRDefault="000923BB" w:rsidP="008A6C6D">
      <w:pPr>
        <w:numPr>
          <w:ilvl w:val="0"/>
          <w:numId w:val="13"/>
        </w:numPr>
        <w:spacing w:after="0" w:line="240" w:lineRule="auto"/>
        <w:jc w:val="both"/>
        <w:rPr>
          <w:rFonts w:cs="Arial"/>
          <w:sz w:val="20"/>
          <w:szCs w:val="20"/>
        </w:rPr>
      </w:pPr>
      <w:r w:rsidRPr="00B310BD">
        <w:rPr>
          <w:rFonts w:cs="Arial"/>
          <w:sz w:val="20"/>
          <w:szCs w:val="20"/>
        </w:rPr>
        <w:t>Mobilisation therapy is begun early and monitored (this is one of the key features of stroke units associated with better clinical outcome)</w:t>
      </w:r>
    </w:p>
    <w:p w14:paraId="1DFA9CA1" w14:textId="77777777" w:rsidR="000923BB" w:rsidRPr="00B310BD" w:rsidRDefault="000923BB" w:rsidP="008A6C6D">
      <w:pPr>
        <w:numPr>
          <w:ilvl w:val="0"/>
          <w:numId w:val="13"/>
        </w:numPr>
        <w:spacing w:after="0" w:line="240" w:lineRule="auto"/>
        <w:jc w:val="both"/>
        <w:rPr>
          <w:rFonts w:cs="Arial"/>
          <w:sz w:val="20"/>
          <w:szCs w:val="20"/>
        </w:rPr>
      </w:pPr>
      <w:r w:rsidRPr="00B310BD">
        <w:rPr>
          <w:rFonts w:cs="Arial"/>
          <w:sz w:val="20"/>
          <w:szCs w:val="20"/>
        </w:rPr>
        <w:t>Early supported discharge by a specialist team is deemed suitable and is provided (this is proven to result in the same outcomes as hospital rehabilitation and is liked by patients).</w:t>
      </w:r>
    </w:p>
    <w:p w14:paraId="32577EC4" w14:textId="77777777" w:rsidR="000923BB" w:rsidRPr="00B310BD" w:rsidRDefault="000923BB" w:rsidP="000923BB">
      <w:pPr>
        <w:rPr>
          <w:sz w:val="20"/>
          <w:szCs w:val="20"/>
        </w:rPr>
      </w:pPr>
    </w:p>
    <w:p w14:paraId="61A6FA78" w14:textId="77777777" w:rsidR="000923BB" w:rsidRDefault="000923BB" w:rsidP="000923BB">
      <w:pPr>
        <w:spacing w:line="360" w:lineRule="auto"/>
        <w:jc w:val="both"/>
        <w:rPr>
          <w:rFonts w:cs="Arial"/>
          <w:b/>
          <w:sz w:val="22"/>
          <w:szCs w:val="22"/>
        </w:rPr>
      </w:pPr>
    </w:p>
    <w:p w14:paraId="5DE3C28E" w14:textId="77777777" w:rsidR="000923BB" w:rsidRDefault="000923BB" w:rsidP="000923BB">
      <w:pPr>
        <w:spacing w:line="360" w:lineRule="auto"/>
        <w:ind w:left="720"/>
        <w:jc w:val="both"/>
        <w:rPr>
          <w:rFonts w:cs="Arial"/>
          <w:sz w:val="22"/>
          <w:szCs w:val="22"/>
        </w:rPr>
      </w:pPr>
    </w:p>
    <w:p w14:paraId="05ABB02F" w14:textId="77777777" w:rsidR="000923BB" w:rsidRPr="00566CA2" w:rsidRDefault="000923BB" w:rsidP="000923BB">
      <w:pPr>
        <w:jc w:val="center"/>
        <w:rPr>
          <w:rFonts w:cs="Arial"/>
          <w:b/>
          <w:sz w:val="28"/>
          <w:szCs w:val="28"/>
        </w:rPr>
      </w:pPr>
      <w:r>
        <w:br w:type="page"/>
      </w:r>
      <w:r w:rsidRPr="00566CA2">
        <w:rPr>
          <w:rFonts w:cs="Arial"/>
          <w:b/>
          <w:sz w:val="28"/>
          <w:szCs w:val="28"/>
        </w:rPr>
        <w:lastRenderedPageBreak/>
        <w:t>Appendix 6</w:t>
      </w:r>
    </w:p>
    <w:p w14:paraId="2692B273" w14:textId="77777777" w:rsidR="000923BB" w:rsidRPr="00FB3AC0" w:rsidRDefault="000923BB" w:rsidP="000923BB">
      <w:pPr>
        <w:rPr>
          <w:rFonts w:cs="Arial"/>
        </w:rPr>
      </w:pPr>
    </w:p>
    <w:p w14:paraId="64D4A22B" w14:textId="77777777" w:rsidR="000923BB" w:rsidRPr="00FB3AC0" w:rsidRDefault="000923BB" w:rsidP="000923BB">
      <w:pPr>
        <w:rPr>
          <w:rFonts w:cs="Arial"/>
        </w:rPr>
      </w:pPr>
    </w:p>
    <w:p w14:paraId="4C5E34E5" w14:textId="77777777" w:rsidR="000923BB" w:rsidRPr="00FB3AC0" w:rsidRDefault="000923BB" w:rsidP="000923BB">
      <w:pPr>
        <w:rPr>
          <w:rFonts w:cs="Arial"/>
        </w:rPr>
      </w:pPr>
    </w:p>
    <w:p w14:paraId="552016E6" w14:textId="77777777" w:rsidR="000923BB" w:rsidRPr="00566CA2" w:rsidRDefault="000923BB" w:rsidP="000923BB">
      <w:pPr>
        <w:pStyle w:val="Heading1"/>
        <w:jc w:val="center"/>
        <w:rPr>
          <w:sz w:val="28"/>
          <w:szCs w:val="28"/>
        </w:rPr>
      </w:pPr>
      <w:r w:rsidRPr="00566CA2">
        <w:rPr>
          <w:sz w:val="28"/>
          <w:szCs w:val="28"/>
        </w:rPr>
        <w:t>Record Review for Safety and Quality Study</w:t>
      </w:r>
    </w:p>
    <w:p w14:paraId="4B1B4A00" w14:textId="77777777" w:rsidR="000923BB" w:rsidRPr="00FB3AC0" w:rsidRDefault="000923BB" w:rsidP="000923BB">
      <w:pPr>
        <w:rPr>
          <w:rFonts w:cs="Arial"/>
        </w:rPr>
      </w:pPr>
    </w:p>
    <w:p w14:paraId="70F2B0AC" w14:textId="77777777" w:rsidR="000923BB" w:rsidRPr="00FB3AC0" w:rsidRDefault="000923BB" w:rsidP="000923BB">
      <w:pPr>
        <w:rPr>
          <w:rFonts w:cs="Arial"/>
        </w:rPr>
      </w:pPr>
    </w:p>
    <w:p w14:paraId="2970AC0C" w14:textId="77777777" w:rsidR="000923BB" w:rsidRPr="00FB3AC0" w:rsidRDefault="000923BB" w:rsidP="000923BB">
      <w:pPr>
        <w:jc w:val="center"/>
        <w:rPr>
          <w:rFonts w:cs="Arial"/>
        </w:rPr>
      </w:pPr>
    </w:p>
    <w:p w14:paraId="6285220C" w14:textId="77777777" w:rsidR="000923BB" w:rsidRPr="00FB3AC0" w:rsidRDefault="000923BB" w:rsidP="000923BB">
      <w:pPr>
        <w:jc w:val="center"/>
        <w:rPr>
          <w:rFonts w:cs="Arial"/>
        </w:rPr>
      </w:pPr>
    </w:p>
    <w:p w14:paraId="28781076" w14:textId="77777777" w:rsidR="000923BB" w:rsidRPr="00566CA2" w:rsidRDefault="000923BB" w:rsidP="000923BB">
      <w:pPr>
        <w:jc w:val="center"/>
        <w:rPr>
          <w:rFonts w:cs="Arial"/>
          <w:i/>
        </w:rPr>
      </w:pPr>
      <w:r w:rsidRPr="00566CA2">
        <w:rPr>
          <w:rFonts w:cs="Arial"/>
          <w:i/>
        </w:rPr>
        <w:t xml:space="preserve">A report of the </w:t>
      </w:r>
      <w:r>
        <w:rPr>
          <w:rFonts w:cs="Arial"/>
          <w:i/>
        </w:rPr>
        <w:t>case note</w:t>
      </w:r>
      <w:r w:rsidRPr="00566CA2">
        <w:rPr>
          <w:rFonts w:cs="Arial"/>
          <w:i/>
        </w:rPr>
        <w:t xml:space="preserve"> reviews undertaken  </w:t>
      </w:r>
    </w:p>
    <w:p w14:paraId="211C3A23" w14:textId="77777777" w:rsidR="000923BB" w:rsidRPr="00566CA2" w:rsidRDefault="000923BB" w:rsidP="000923BB">
      <w:pPr>
        <w:jc w:val="center"/>
        <w:rPr>
          <w:rFonts w:cs="Arial"/>
          <w:i/>
        </w:rPr>
      </w:pPr>
      <w:r w:rsidRPr="00566CA2">
        <w:rPr>
          <w:rFonts w:cs="Arial"/>
          <w:i/>
        </w:rPr>
        <w:t>by reviewer xxxx</w:t>
      </w:r>
    </w:p>
    <w:p w14:paraId="52EF1E31" w14:textId="77777777" w:rsidR="000923BB" w:rsidRPr="00FB3AC0" w:rsidRDefault="000923BB" w:rsidP="000923BB">
      <w:pPr>
        <w:rPr>
          <w:rFonts w:cs="Arial"/>
        </w:rPr>
      </w:pPr>
    </w:p>
    <w:p w14:paraId="3A661099" w14:textId="77777777" w:rsidR="000923BB" w:rsidRPr="00FB3AC0" w:rsidRDefault="000923BB" w:rsidP="000923BB">
      <w:pPr>
        <w:rPr>
          <w:rFonts w:cs="Arial"/>
        </w:rPr>
      </w:pPr>
    </w:p>
    <w:p w14:paraId="78978C67" w14:textId="77777777" w:rsidR="000923BB" w:rsidRPr="00FB3AC0" w:rsidRDefault="000923BB" w:rsidP="000923BB">
      <w:pPr>
        <w:rPr>
          <w:rFonts w:cs="Arial"/>
        </w:rPr>
      </w:pPr>
    </w:p>
    <w:p w14:paraId="68F24EEA" w14:textId="77777777" w:rsidR="000923BB" w:rsidRPr="00FB3AC0" w:rsidRDefault="000923BB" w:rsidP="000923BB">
      <w:pPr>
        <w:rPr>
          <w:rFonts w:cs="Arial"/>
        </w:rPr>
      </w:pPr>
    </w:p>
    <w:p w14:paraId="32CA5ED2" w14:textId="77777777" w:rsidR="000923BB" w:rsidRPr="00FB3AC0" w:rsidRDefault="000923BB" w:rsidP="000923BB">
      <w:pPr>
        <w:rPr>
          <w:rFonts w:cs="Arial"/>
        </w:rPr>
      </w:pPr>
    </w:p>
    <w:p w14:paraId="18A462C7" w14:textId="77777777" w:rsidR="000923BB" w:rsidRPr="00566CA2" w:rsidRDefault="00E51F88" w:rsidP="000923BB">
      <w:pPr>
        <w:jc w:val="center"/>
        <w:rPr>
          <w:rFonts w:cs="Arial"/>
          <w:b/>
          <w:sz w:val="28"/>
          <w:szCs w:val="28"/>
        </w:rPr>
      </w:pPr>
      <w:r>
        <w:rPr>
          <w:rFonts w:cs="Arial"/>
          <w:b/>
          <w:sz w:val="28"/>
          <w:szCs w:val="28"/>
        </w:rPr>
        <w:t xml:space="preserve">   </w:t>
      </w:r>
      <w:r w:rsidR="000923BB" w:rsidRPr="00566CA2">
        <w:rPr>
          <w:rFonts w:cs="Arial"/>
          <w:b/>
          <w:sz w:val="28"/>
          <w:szCs w:val="28"/>
        </w:rPr>
        <w:t>A collaborative project by the Royal College of Physicians and the University of Sheffield</w:t>
      </w:r>
    </w:p>
    <w:p w14:paraId="756E2084" w14:textId="77777777" w:rsidR="000923BB" w:rsidRPr="00FB3AC0" w:rsidRDefault="000923BB" w:rsidP="000923BB">
      <w:pPr>
        <w:jc w:val="center"/>
        <w:rPr>
          <w:rFonts w:cs="Arial"/>
        </w:rPr>
      </w:pPr>
    </w:p>
    <w:p w14:paraId="1CE258F3" w14:textId="77777777" w:rsidR="000923BB" w:rsidRPr="00FB3AC0" w:rsidRDefault="000923BB" w:rsidP="000923BB">
      <w:pPr>
        <w:rPr>
          <w:rFonts w:cs="Arial"/>
          <w:b/>
        </w:rPr>
      </w:pPr>
    </w:p>
    <w:p w14:paraId="327B1275" w14:textId="77777777" w:rsidR="000923BB" w:rsidRPr="00FB3AC0" w:rsidRDefault="000923BB" w:rsidP="000923BB">
      <w:pPr>
        <w:rPr>
          <w:rFonts w:cs="Arial"/>
          <w:b/>
        </w:rPr>
      </w:pPr>
    </w:p>
    <w:p w14:paraId="367FE47A" w14:textId="77777777" w:rsidR="000923BB" w:rsidRPr="00FB3AC0" w:rsidRDefault="000923BB" w:rsidP="000923BB">
      <w:pPr>
        <w:rPr>
          <w:rFonts w:cs="Arial"/>
          <w:b/>
        </w:rPr>
      </w:pPr>
    </w:p>
    <w:p w14:paraId="636CEB38" w14:textId="77777777" w:rsidR="000923BB" w:rsidRPr="00FB3AC0" w:rsidRDefault="000923BB" w:rsidP="000923BB">
      <w:pPr>
        <w:rPr>
          <w:rFonts w:cs="Arial"/>
          <w:b/>
        </w:rPr>
      </w:pPr>
    </w:p>
    <w:p w14:paraId="6488A772" w14:textId="77777777" w:rsidR="000923BB" w:rsidRPr="00FB3AC0" w:rsidRDefault="000923BB" w:rsidP="000923BB">
      <w:pPr>
        <w:rPr>
          <w:rFonts w:cs="Arial"/>
          <w:b/>
        </w:rPr>
      </w:pPr>
    </w:p>
    <w:p w14:paraId="698CB407" w14:textId="77777777" w:rsidR="000923BB" w:rsidRPr="00FB3AC0" w:rsidRDefault="000923BB" w:rsidP="000923BB">
      <w:pPr>
        <w:rPr>
          <w:rFonts w:cs="Arial"/>
          <w:b/>
        </w:rPr>
      </w:pPr>
    </w:p>
    <w:p w14:paraId="55E354CC" w14:textId="77777777" w:rsidR="000923BB" w:rsidRPr="00FB3AC0" w:rsidRDefault="000923BB" w:rsidP="000923BB">
      <w:pPr>
        <w:rPr>
          <w:rFonts w:cs="Arial"/>
          <w:b/>
        </w:rPr>
      </w:pPr>
    </w:p>
    <w:p w14:paraId="0D38F14D" w14:textId="77777777" w:rsidR="000923BB" w:rsidRPr="00FB3AC0" w:rsidRDefault="000923BB" w:rsidP="000923BB">
      <w:pPr>
        <w:rPr>
          <w:rFonts w:cs="Arial"/>
          <w:b/>
        </w:rPr>
      </w:pPr>
    </w:p>
    <w:p w14:paraId="5C8DCC9F" w14:textId="77777777" w:rsidR="000923BB" w:rsidRPr="00FB3AC0" w:rsidRDefault="000923BB" w:rsidP="000923BB">
      <w:pPr>
        <w:rPr>
          <w:rFonts w:cs="Arial"/>
          <w:b/>
          <w:sz w:val="28"/>
        </w:rPr>
      </w:pPr>
      <w:r w:rsidRPr="00FB3AC0">
        <w:rPr>
          <w:rFonts w:cs="Arial"/>
          <w:b/>
          <w:sz w:val="28"/>
        </w:rPr>
        <w:lastRenderedPageBreak/>
        <w:t>FOREWORD</w:t>
      </w:r>
    </w:p>
    <w:p w14:paraId="46EFCBB3" w14:textId="77777777" w:rsidR="000923BB" w:rsidRPr="00FB3AC0" w:rsidRDefault="000923BB" w:rsidP="000923BB">
      <w:pPr>
        <w:rPr>
          <w:rFonts w:cs="Arial"/>
          <w:b/>
          <w:sz w:val="28"/>
        </w:rPr>
      </w:pPr>
    </w:p>
    <w:p w14:paraId="786666FE" w14:textId="77777777" w:rsidR="000923BB" w:rsidRPr="00FB3AC0" w:rsidRDefault="000923BB" w:rsidP="000923BB">
      <w:pPr>
        <w:jc w:val="both"/>
        <w:rPr>
          <w:rFonts w:cs="Arial"/>
        </w:rPr>
      </w:pPr>
    </w:p>
    <w:p w14:paraId="0B8A1DBB" w14:textId="77777777" w:rsidR="000923BB" w:rsidRPr="008D0A20" w:rsidRDefault="000923BB" w:rsidP="000923BB">
      <w:pPr>
        <w:spacing w:line="360" w:lineRule="auto"/>
        <w:ind w:firstLine="720"/>
        <w:jc w:val="both"/>
        <w:rPr>
          <w:rFonts w:cs="Arial"/>
          <w:sz w:val="22"/>
          <w:szCs w:val="22"/>
        </w:rPr>
      </w:pPr>
      <w:r w:rsidRPr="008D0A20">
        <w:rPr>
          <w:rFonts w:cs="Arial"/>
          <w:sz w:val="22"/>
          <w:szCs w:val="22"/>
        </w:rPr>
        <w:t>Medical record review has become a standard means of assessing variations in quality of care. This is despite uncertainty about which methods of record review are most effective and reliable. The aim of this audit was to assess which are the most effective and appropriate methods of reviewing quality of care from medical records. Further work is currently being undertaken to test out the conclusions and to assess whether it is possible to demonstrate a linkage between quality of care and outcomes.</w:t>
      </w:r>
    </w:p>
    <w:p w14:paraId="4CA3415C" w14:textId="77777777" w:rsidR="000923BB" w:rsidRPr="008D0A20" w:rsidRDefault="000923BB" w:rsidP="000923BB">
      <w:pPr>
        <w:spacing w:line="360" w:lineRule="auto"/>
        <w:ind w:firstLine="720"/>
        <w:jc w:val="both"/>
        <w:rPr>
          <w:rFonts w:cs="Arial"/>
          <w:sz w:val="22"/>
          <w:szCs w:val="22"/>
        </w:rPr>
      </w:pPr>
    </w:p>
    <w:p w14:paraId="2E0F49A1" w14:textId="77777777" w:rsidR="000923BB" w:rsidRPr="008D0A20" w:rsidRDefault="000923BB" w:rsidP="000923BB">
      <w:pPr>
        <w:spacing w:line="360" w:lineRule="auto"/>
        <w:ind w:firstLine="720"/>
        <w:jc w:val="both"/>
        <w:rPr>
          <w:rFonts w:cs="Arial"/>
          <w:sz w:val="22"/>
          <w:szCs w:val="22"/>
        </w:rPr>
      </w:pPr>
      <w:r w:rsidRPr="008D0A20">
        <w:rPr>
          <w:rFonts w:cs="Arial"/>
          <w:sz w:val="22"/>
          <w:szCs w:val="22"/>
        </w:rPr>
        <w:t xml:space="preserve">All possible safeguards to preserve the quality of the data collected have been made by the University of Sheffield. Nevertheless it is important to interpret your results in this report using your knowledge of your own service and any difficulties you experienced in collecting your audit data that may have affected your own outcomes. </w:t>
      </w:r>
    </w:p>
    <w:p w14:paraId="1B886BD9" w14:textId="77777777" w:rsidR="000923BB" w:rsidRPr="008D0A20" w:rsidRDefault="000923BB" w:rsidP="000923BB">
      <w:pPr>
        <w:spacing w:line="360" w:lineRule="auto"/>
        <w:ind w:firstLine="720"/>
        <w:jc w:val="both"/>
        <w:rPr>
          <w:rFonts w:cs="Arial"/>
          <w:sz w:val="22"/>
          <w:szCs w:val="22"/>
        </w:rPr>
      </w:pPr>
    </w:p>
    <w:p w14:paraId="5B9E2CD0" w14:textId="77777777" w:rsidR="000923BB" w:rsidRPr="008D0A20" w:rsidRDefault="000923BB" w:rsidP="000923BB">
      <w:pPr>
        <w:spacing w:line="360" w:lineRule="auto"/>
        <w:ind w:firstLine="720"/>
        <w:jc w:val="both"/>
        <w:rPr>
          <w:rFonts w:cs="Arial"/>
          <w:sz w:val="22"/>
          <w:szCs w:val="22"/>
        </w:rPr>
      </w:pPr>
      <w:r w:rsidRPr="008D0A20">
        <w:rPr>
          <w:rFonts w:cs="Arial"/>
          <w:sz w:val="22"/>
          <w:szCs w:val="22"/>
        </w:rPr>
        <w:t xml:space="preserve">We are grateful to everyone who has helped with the project and appreciate the very considerable amount of time and effort that has gone into obtaining local data. We very much hope that this information will be useful for local audit purposes. </w:t>
      </w:r>
    </w:p>
    <w:p w14:paraId="5E29FE41" w14:textId="77777777" w:rsidR="000923BB" w:rsidRPr="00FB3AC0" w:rsidRDefault="000923BB" w:rsidP="000923BB">
      <w:pPr>
        <w:spacing w:line="360" w:lineRule="auto"/>
        <w:ind w:firstLine="720"/>
        <w:jc w:val="both"/>
        <w:rPr>
          <w:rFonts w:cs="Arial"/>
        </w:rPr>
      </w:pPr>
    </w:p>
    <w:p w14:paraId="0C0BE386" w14:textId="77777777" w:rsidR="000923BB" w:rsidRPr="00FB3AC0" w:rsidRDefault="000923BB" w:rsidP="000923BB">
      <w:pPr>
        <w:spacing w:line="360" w:lineRule="auto"/>
        <w:jc w:val="both"/>
        <w:rPr>
          <w:rFonts w:cs="Arial"/>
          <w:b/>
        </w:rPr>
      </w:pPr>
    </w:p>
    <w:p w14:paraId="3F245256" w14:textId="77777777" w:rsidR="000923BB" w:rsidRPr="00FB3AC0" w:rsidRDefault="000923BB" w:rsidP="000923BB">
      <w:pPr>
        <w:spacing w:line="360" w:lineRule="auto"/>
        <w:rPr>
          <w:rFonts w:cs="Arial"/>
          <w:b/>
        </w:rPr>
      </w:pPr>
    </w:p>
    <w:p w14:paraId="6F779218" w14:textId="77777777" w:rsidR="000923BB" w:rsidRPr="00FB3AC0" w:rsidRDefault="000923BB" w:rsidP="000923BB">
      <w:pPr>
        <w:spacing w:line="360" w:lineRule="auto"/>
        <w:rPr>
          <w:rFonts w:cs="Arial"/>
          <w:b/>
        </w:rPr>
      </w:pPr>
    </w:p>
    <w:p w14:paraId="592C8F4A" w14:textId="77777777" w:rsidR="000923BB" w:rsidRPr="00FB3AC0" w:rsidRDefault="000923BB" w:rsidP="000923BB">
      <w:pPr>
        <w:spacing w:line="360" w:lineRule="auto"/>
        <w:rPr>
          <w:rFonts w:cs="Arial"/>
          <w:b/>
        </w:rPr>
      </w:pPr>
    </w:p>
    <w:p w14:paraId="1D81EB5E" w14:textId="77777777" w:rsidR="000923BB" w:rsidRPr="00FB3AC0" w:rsidRDefault="000923BB" w:rsidP="000923BB">
      <w:pPr>
        <w:spacing w:line="360" w:lineRule="auto"/>
        <w:rPr>
          <w:rFonts w:cs="Arial"/>
          <w:b/>
        </w:rPr>
      </w:pPr>
    </w:p>
    <w:p w14:paraId="1C2F34B1" w14:textId="77777777" w:rsidR="000923BB" w:rsidRPr="00FB3AC0" w:rsidRDefault="000923BB" w:rsidP="000923BB">
      <w:pPr>
        <w:spacing w:line="360" w:lineRule="auto"/>
        <w:rPr>
          <w:rFonts w:cs="Arial"/>
          <w:b/>
        </w:rPr>
      </w:pPr>
    </w:p>
    <w:p w14:paraId="5A051EF9" w14:textId="77777777" w:rsidR="008D0A20" w:rsidRDefault="008D0A20" w:rsidP="000923BB">
      <w:pPr>
        <w:spacing w:line="360" w:lineRule="auto"/>
        <w:rPr>
          <w:rFonts w:cs="Arial"/>
          <w:b/>
          <w:sz w:val="28"/>
          <w:szCs w:val="28"/>
        </w:rPr>
      </w:pPr>
    </w:p>
    <w:p w14:paraId="11822AE6" w14:textId="77777777" w:rsidR="008D0A20" w:rsidRDefault="008D0A20" w:rsidP="000923BB">
      <w:pPr>
        <w:spacing w:line="360" w:lineRule="auto"/>
        <w:rPr>
          <w:rFonts w:cs="Arial"/>
          <w:b/>
          <w:sz w:val="28"/>
          <w:szCs w:val="28"/>
        </w:rPr>
      </w:pPr>
    </w:p>
    <w:p w14:paraId="49B4775F" w14:textId="77777777" w:rsidR="000923BB" w:rsidRPr="00DA5E13" w:rsidRDefault="000923BB" w:rsidP="000923BB">
      <w:pPr>
        <w:spacing w:line="360" w:lineRule="auto"/>
        <w:rPr>
          <w:rFonts w:cs="Arial"/>
          <w:b/>
          <w:sz w:val="28"/>
          <w:szCs w:val="28"/>
        </w:rPr>
      </w:pPr>
      <w:r w:rsidRPr="00DA5E13">
        <w:rPr>
          <w:rFonts w:cs="Arial"/>
          <w:b/>
          <w:sz w:val="28"/>
          <w:szCs w:val="28"/>
        </w:rPr>
        <w:lastRenderedPageBreak/>
        <w:t>Introduction</w:t>
      </w:r>
    </w:p>
    <w:p w14:paraId="2B544BBC" w14:textId="77777777" w:rsidR="000923BB" w:rsidRPr="008D0A20" w:rsidRDefault="000923BB" w:rsidP="000923BB">
      <w:pPr>
        <w:spacing w:line="360" w:lineRule="auto"/>
        <w:ind w:firstLine="720"/>
        <w:jc w:val="both"/>
        <w:rPr>
          <w:rFonts w:cs="Arial"/>
          <w:sz w:val="22"/>
          <w:szCs w:val="22"/>
        </w:rPr>
      </w:pPr>
      <w:r w:rsidRPr="008D0A20">
        <w:rPr>
          <w:rFonts w:cs="Arial"/>
          <w:sz w:val="22"/>
          <w:szCs w:val="22"/>
        </w:rPr>
        <w:t xml:space="preserve">Nine hospitals took part in this first phase of the audit. 1484 textual record reviews and 1400 criterion based record reviews were returned to the study team. Records were reviewed from two specialties; COPD and Heart Failure. Reviewers were either Nurses, Non-clinical audit staff, SpRs or other clinical staff. </w:t>
      </w:r>
    </w:p>
    <w:p w14:paraId="5BEA2511" w14:textId="77777777" w:rsidR="000923BB" w:rsidRPr="008D0A20" w:rsidRDefault="000923BB" w:rsidP="000923BB">
      <w:pPr>
        <w:spacing w:line="360" w:lineRule="auto"/>
        <w:ind w:firstLine="720"/>
        <w:jc w:val="both"/>
        <w:rPr>
          <w:rFonts w:cs="Arial"/>
          <w:sz w:val="22"/>
          <w:szCs w:val="22"/>
        </w:rPr>
      </w:pPr>
      <w:r w:rsidRPr="008D0A20">
        <w:rPr>
          <w:rFonts w:cs="Arial"/>
          <w:sz w:val="22"/>
          <w:szCs w:val="22"/>
        </w:rPr>
        <w:t>This report presents the results of the audit of COPD records undertaken by reviewer 5732. Textual reviews were undertaken on 38 out of 50 records and criterion based reviews were undertaken on 36 out of the same 50 records. Reviews are of patients admitted with an exacerbation of COPD and who had a primary diagnosis of COPD during the time period 1</w:t>
      </w:r>
      <w:r w:rsidRPr="008D0A20">
        <w:rPr>
          <w:rFonts w:cs="Arial"/>
          <w:sz w:val="22"/>
          <w:szCs w:val="22"/>
          <w:vertAlign w:val="superscript"/>
        </w:rPr>
        <w:t>st</w:t>
      </w:r>
      <w:r w:rsidRPr="008D0A20">
        <w:rPr>
          <w:rFonts w:cs="Arial"/>
          <w:sz w:val="22"/>
          <w:szCs w:val="22"/>
        </w:rPr>
        <w:t xml:space="preserve"> September 2004 - 28</w:t>
      </w:r>
      <w:r w:rsidRPr="008D0A20">
        <w:rPr>
          <w:rFonts w:cs="Arial"/>
          <w:sz w:val="22"/>
          <w:szCs w:val="22"/>
          <w:vertAlign w:val="superscript"/>
        </w:rPr>
        <w:t>th</w:t>
      </w:r>
      <w:r w:rsidRPr="008D0A20">
        <w:rPr>
          <w:rFonts w:cs="Arial"/>
          <w:sz w:val="22"/>
          <w:szCs w:val="22"/>
        </w:rPr>
        <w:t xml:space="preserve"> February 2005. </w:t>
      </w:r>
    </w:p>
    <w:p w14:paraId="409CD8BD" w14:textId="77777777" w:rsidR="000923BB" w:rsidRPr="00DA5E13" w:rsidRDefault="000923BB" w:rsidP="000923BB">
      <w:pPr>
        <w:spacing w:line="360" w:lineRule="auto"/>
        <w:rPr>
          <w:rFonts w:cs="Arial"/>
          <w:b/>
          <w:sz w:val="28"/>
          <w:szCs w:val="28"/>
        </w:rPr>
      </w:pPr>
      <w:r w:rsidRPr="00DA5E13">
        <w:rPr>
          <w:rFonts w:cs="Arial"/>
          <w:b/>
          <w:sz w:val="28"/>
          <w:szCs w:val="28"/>
        </w:rPr>
        <w:t>Methods</w:t>
      </w:r>
    </w:p>
    <w:p w14:paraId="5C33A326" w14:textId="77777777" w:rsidR="000923BB" w:rsidRPr="008D0A20" w:rsidRDefault="000923BB" w:rsidP="008A6C6D">
      <w:pPr>
        <w:numPr>
          <w:ilvl w:val="0"/>
          <w:numId w:val="19"/>
        </w:numPr>
        <w:spacing w:after="0" w:line="360" w:lineRule="auto"/>
        <w:rPr>
          <w:rFonts w:cs="Arial"/>
          <w:sz w:val="22"/>
          <w:szCs w:val="22"/>
        </w:rPr>
      </w:pPr>
      <w:r w:rsidRPr="008D0A20">
        <w:rPr>
          <w:rFonts w:cs="Arial"/>
          <w:sz w:val="22"/>
          <w:szCs w:val="22"/>
        </w:rPr>
        <w:t>Textual review: quality of care is assessed using the reviewer’s own professional opinion</w:t>
      </w:r>
    </w:p>
    <w:p w14:paraId="4406D680" w14:textId="77777777" w:rsidR="000923BB" w:rsidRPr="008D0A20" w:rsidRDefault="000923BB" w:rsidP="000923BB">
      <w:pPr>
        <w:spacing w:line="360" w:lineRule="auto"/>
        <w:ind w:left="360"/>
        <w:rPr>
          <w:rFonts w:cs="Arial"/>
          <w:sz w:val="22"/>
          <w:szCs w:val="22"/>
        </w:rPr>
      </w:pPr>
    </w:p>
    <w:p w14:paraId="555FC357" w14:textId="77777777" w:rsidR="000923BB" w:rsidRPr="008D0A20" w:rsidRDefault="000923BB" w:rsidP="008A6C6D">
      <w:pPr>
        <w:numPr>
          <w:ilvl w:val="0"/>
          <w:numId w:val="19"/>
        </w:numPr>
        <w:tabs>
          <w:tab w:val="left" w:pos="90"/>
          <w:tab w:val="left" w:pos="6360"/>
        </w:tabs>
        <w:overflowPunct w:val="0"/>
        <w:autoSpaceDE w:val="0"/>
        <w:autoSpaceDN w:val="0"/>
        <w:adjustRightInd w:val="0"/>
        <w:spacing w:after="60" w:line="360" w:lineRule="auto"/>
        <w:jc w:val="both"/>
        <w:textAlignment w:val="baseline"/>
        <w:rPr>
          <w:rFonts w:cs="Arial"/>
          <w:sz w:val="22"/>
          <w:szCs w:val="22"/>
        </w:rPr>
      </w:pPr>
      <w:r w:rsidRPr="008D0A20">
        <w:rPr>
          <w:rFonts w:cs="Arial"/>
          <w:sz w:val="22"/>
          <w:szCs w:val="22"/>
        </w:rPr>
        <w:t>Criterion based review: quality of care is assessed using a set of specific criteria</w:t>
      </w:r>
    </w:p>
    <w:p w14:paraId="55D5CE73" w14:textId="77777777" w:rsidR="000923BB" w:rsidRPr="008D0A20" w:rsidRDefault="000923BB" w:rsidP="000923BB">
      <w:pPr>
        <w:tabs>
          <w:tab w:val="left" w:pos="90"/>
          <w:tab w:val="left" w:pos="6360"/>
        </w:tabs>
        <w:overflowPunct w:val="0"/>
        <w:autoSpaceDE w:val="0"/>
        <w:autoSpaceDN w:val="0"/>
        <w:adjustRightInd w:val="0"/>
        <w:spacing w:after="60" w:line="360" w:lineRule="auto"/>
        <w:jc w:val="both"/>
        <w:textAlignment w:val="baseline"/>
        <w:rPr>
          <w:rFonts w:cs="Arial"/>
          <w:sz w:val="22"/>
          <w:szCs w:val="22"/>
        </w:rPr>
      </w:pPr>
    </w:p>
    <w:p w14:paraId="065DF68F" w14:textId="77777777" w:rsidR="000923BB" w:rsidRPr="008D0A20" w:rsidRDefault="000923BB" w:rsidP="000923BB">
      <w:pPr>
        <w:tabs>
          <w:tab w:val="left" w:pos="90"/>
          <w:tab w:val="left" w:pos="720"/>
        </w:tabs>
        <w:overflowPunct w:val="0"/>
        <w:autoSpaceDE w:val="0"/>
        <w:autoSpaceDN w:val="0"/>
        <w:adjustRightInd w:val="0"/>
        <w:spacing w:after="60" w:line="360" w:lineRule="auto"/>
        <w:jc w:val="both"/>
        <w:textAlignment w:val="baseline"/>
        <w:rPr>
          <w:rFonts w:cs="Arial"/>
          <w:sz w:val="22"/>
          <w:szCs w:val="22"/>
        </w:rPr>
      </w:pPr>
      <w:r w:rsidRPr="008D0A20">
        <w:rPr>
          <w:rFonts w:cs="Arial"/>
          <w:sz w:val="22"/>
          <w:szCs w:val="22"/>
        </w:rPr>
        <w:tab/>
      </w:r>
      <w:r w:rsidRPr="008D0A20">
        <w:rPr>
          <w:rFonts w:cs="Arial"/>
          <w:sz w:val="22"/>
          <w:szCs w:val="22"/>
        </w:rPr>
        <w:tab/>
        <w:t xml:space="preserve">A phases of care approach was adopted for both review methods. For textual review, reviewers were asked to comment on the care received by the patient in the admission, initial management and pre-discharge phases. They were then asked to make a final overall comment. Reviewers were also asked to rate each the quality of care in phase on a 6 point scale and to rate the quality of the overall care on a 10 point scale. </w:t>
      </w:r>
    </w:p>
    <w:p w14:paraId="5DC88B30" w14:textId="77777777" w:rsidR="000923BB" w:rsidRPr="008D0A20" w:rsidRDefault="000923BB" w:rsidP="000923BB">
      <w:pPr>
        <w:tabs>
          <w:tab w:val="left" w:pos="90"/>
          <w:tab w:val="left" w:pos="6360"/>
        </w:tabs>
        <w:overflowPunct w:val="0"/>
        <w:autoSpaceDE w:val="0"/>
        <w:autoSpaceDN w:val="0"/>
        <w:adjustRightInd w:val="0"/>
        <w:spacing w:after="60" w:line="360" w:lineRule="auto"/>
        <w:jc w:val="both"/>
        <w:textAlignment w:val="baseline"/>
        <w:rPr>
          <w:rFonts w:cs="Arial"/>
          <w:sz w:val="22"/>
          <w:szCs w:val="22"/>
        </w:rPr>
      </w:pPr>
    </w:p>
    <w:p w14:paraId="719095F6" w14:textId="77777777" w:rsidR="000923BB" w:rsidRPr="008D0A20" w:rsidRDefault="000923BB" w:rsidP="000923BB">
      <w:pPr>
        <w:tabs>
          <w:tab w:val="left" w:pos="90"/>
          <w:tab w:val="left" w:pos="720"/>
        </w:tabs>
        <w:overflowPunct w:val="0"/>
        <w:autoSpaceDE w:val="0"/>
        <w:autoSpaceDN w:val="0"/>
        <w:adjustRightInd w:val="0"/>
        <w:spacing w:after="60" w:line="360" w:lineRule="auto"/>
        <w:jc w:val="both"/>
        <w:textAlignment w:val="baseline"/>
        <w:rPr>
          <w:rFonts w:cs="Arial"/>
          <w:sz w:val="22"/>
          <w:szCs w:val="22"/>
        </w:rPr>
      </w:pPr>
      <w:r w:rsidRPr="008D0A20">
        <w:rPr>
          <w:rFonts w:cs="Arial"/>
          <w:sz w:val="22"/>
          <w:szCs w:val="22"/>
        </w:rPr>
        <w:tab/>
      </w:r>
      <w:r w:rsidRPr="008D0A20">
        <w:rPr>
          <w:rFonts w:cs="Arial"/>
          <w:sz w:val="22"/>
          <w:szCs w:val="22"/>
        </w:rPr>
        <w:tab/>
        <w:t>For criterion based review, criteria were grouped under the phase of care headings used in the holistic review. Reviewers were asked to answer the questions using information from the patient record.</w:t>
      </w:r>
    </w:p>
    <w:p w14:paraId="52D6034A" w14:textId="77777777" w:rsidR="00DA5E13" w:rsidRDefault="00DA5E13" w:rsidP="000923BB">
      <w:pPr>
        <w:tabs>
          <w:tab w:val="left" w:pos="90"/>
          <w:tab w:val="left" w:pos="720"/>
        </w:tabs>
        <w:overflowPunct w:val="0"/>
        <w:autoSpaceDE w:val="0"/>
        <w:autoSpaceDN w:val="0"/>
        <w:adjustRightInd w:val="0"/>
        <w:spacing w:after="60" w:line="360" w:lineRule="auto"/>
        <w:jc w:val="both"/>
        <w:textAlignment w:val="baseline"/>
        <w:rPr>
          <w:rFonts w:cs="Arial"/>
        </w:rPr>
      </w:pPr>
    </w:p>
    <w:p w14:paraId="774910B6" w14:textId="77777777" w:rsidR="00DA5E13" w:rsidRDefault="00DA5E13" w:rsidP="000923BB">
      <w:pPr>
        <w:tabs>
          <w:tab w:val="left" w:pos="90"/>
          <w:tab w:val="left" w:pos="720"/>
        </w:tabs>
        <w:overflowPunct w:val="0"/>
        <w:autoSpaceDE w:val="0"/>
        <w:autoSpaceDN w:val="0"/>
        <w:adjustRightInd w:val="0"/>
        <w:spacing w:after="60" w:line="360" w:lineRule="auto"/>
        <w:jc w:val="both"/>
        <w:textAlignment w:val="baseline"/>
        <w:rPr>
          <w:rFonts w:cs="Arial"/>
        </w:rPr>
      </w:pPr>
    </w:p>
    <w:p w14:paraId="4913065C" w14:textId="77777777" w:rsidR="008D0A20" w:rsidRPr="00FB3AC0" w:rsidRDefault="008D0A20" w:rsidP="000923BB">
      <w:pPr>
        <w:tabs>
          <w:tab w:val="left" w:pos="90"/>
          <w:tab w:val="left" w:pos="720"/>
        </w:tabs>
        <w:overflowPunct w:val="0"/>
        <w:autoSpaceDE w:val="0"/>
        <w:autoSpaceDN w:val="0"/>
        <w:adjustRightInd w:val="0"/>
        <w:spacing w:after="60" w:line="360" w:lineRule="auto"/>
        <w:jc w:val="both"/>
        <w:textAlignment w:val="baseline"/>
        <w:rPr>
          <w:rFonts w:cs="Arial"/>
        </w:rPr>
      </w:pPr>
    </w:p>
    <w:p w14:paraId="79E7D527" w14:textId="77777777" w:rsidR="000923BB" w:rsidRPr="00FB3AC0" w:rsidRDefault="000923BB" w:rsidP="000923BB">
      <w:pPr>
        <w:tabs>
          <w:tab w:val="left" w:pos="90"/>
          <w:tab w:val="left" w:pos="720"/>
        </w:tabs>
        <w:overflowPunct w:val="0"/>
        <w:autoSpaceDE w:val="0"/>
        <w:autoSpaceDN w:val="0"/>
        <w:adjustRightInd w:val="0"/>
        <w:spacing w:after="60" w:line="360" w:lineRule="auto"/>
        <w:jc w:val="both"/>
        <w:textAlignment w:val="baseline"/>
        <w:rPr>
          <w:rFonts w:cs="Arial"/>
        </w:rPr>
      </w:pPr>
    </w:p>
    <w:p w14:paraId="4DE94249" w14:textId="77777777" w:rsidR="000923BB" w:rsidRPr="00DA5E13" w:rsidRDefault="000923BB" w:rsidP="000923BB">
      <w:pPr>
        <w:spacing w:line="360" w:lineRule="auto"/>
        <w:rPr>
          <w:rFonts w:cs="Arial"/>
          <w:b/>
          <w:sz w:val="28"/>
          <w:szCs w:val="28"/>
        </w:rPr>
      </w:pPr>
      <w:r w:rsidRPr="00DA5E13">
        <w:rPr>
          <w:rFonts w:cs="Arial"/>
          <w:b/>
          <w:sz w:val="28"/>
          <w:szCs w:val="28"/>
        </w:rPr>
        <w:lastRenderedPageBreak/>
        <w:t>Training for data collectors</w:t>
      </w:r>
    </w:p>
    <w:p w14:paraId="08A0D3F3" w14:textId="77777777" w:rsidR="000923BB" w:rsidRPr="00FB3AC0" w:rsidRDefault="000923BB" w:rsidP="000923BB">
      <w:pPr>
        <w:spacing w:line="360" w:lineRule="auto"/>
        <w:rPr>
          <w:rFonts w:cs="Arial"/>
        </w:rPr>
      </w:pPr>
      <w:r w:rsidRPr="00FB3AC0">
        <w:rPr>
          <w:rFonts w:cs="Arial"/>
        </w:rPr>
        <w:t xml:space="preserve">Two training days were held for data collectors. The training days were both held in </w:t>
      </w:r>
      <w:smartTag w:uri="urn:schemas-microsoft-com:office:smarttags" w:element="place">
        <w:smartTag w:uri="urn:schemas-microsoft-com:office:smarttags" w:element="City">
          <w:r w:rsidRPr="00FB3AC0">
            <w:rPr>
              <w:rFonts w:cs="Arial"/>
            </w:rPr>
            <w:t>London</w:t>
          </w:r>
        </w:smartTag>
      </w:smartTag>
      <w:r w:rsidRPr="00FB3AC0">
        <w:rPr>
          <w:rFonts w:cs="Arial"/>
        </w:rPr>
        <w:t xml:space="preserve"> (Royal College of Pathologists and BMA House). </w:t>
      </w:r>
    </w:p>
    <w:p w14:paraId="1CEFB432" w14:textId="77777777" w:rsidR="000923BB" w:rsidRPr="00FB3AC0" w:rsidRDefault="000923BB" w:rsidP="000923BB">
      <w:pPr>
        <w:spacing w:line="360" w:lineRule="auto"/>
        <w:rPr>
          <w:rFonts w:cs="Arial"/>
        </w:rPr>
      </w:pPr>
    </w:p>
    <w:p w14:paraId="32E0AE5E" w14:textId="77777777" w:rsidR="000923BB" w:rsidRPr="00FB3AC0" w:rsidRDefault="000923BB" w:rsidP="000923BB">
      <w:pPr>
        <w:spacing w:line="360" w:lineRule="auto"/>
        <w:rPr>
          <w:rFonts w:cs="Arial"/>
        </w:rPr>
      </w:pPr>
      <w:r w:rsidRPr="00FB3AC0">
        <w:rPr>
          <w:rFonts w:cs="Arial"/>
        </w:rPr>
        <w:t xml:space="preserve">The training provided an introduction to the review methods and familiarised the reviewers with the materials to be used whilst undertaking the reviews (data collection software and review help notes). There were also sessions on recognising care quality variance when using the two review methods. For these sessions, examples were used from stroke care. This was so that we did not influence reviewers’ perceptions of care quality for the two audit conditions. Where reviewers were unable to attend a training day, 2 of the project team visited their hospital and provided training onsite. Reviewers who were unable to be present during the site visit were trained via telephone. Where possible, these reviewers were also assigned a “buddy” (someone at their hospital who had undertaken the training in a face to face setting).  </w:t>
      </w:r>
    </w:p>
    <w:p w14:paraId="708E1B92" w14:textId="77777777" w:rsidR="000923BB" w:rsidRPr="00FB3AC0" w:rsidRDefault="000923BB" w:rsidP="000923BB">
      <w:pPr>
        <w:spacing w:line="360" w:lineRule="auto"/>
        <w:rPr>
          <w:rFonts w:cs="Arial"/>
        </w:rPr>
      </w:pPr>
    </w:p>
    <w:p w14:paraId="16C49E90" w14:textId="77777777" w:rsidR="000923BB" w:rsidRPr="00FB3AC0" w:rsidRDefault="000923BB" w:rsidP="008A6C6D">
      <w:pPr>
        <w:numPr>
          <w:ilvl w:val="0"/>
          <w:numId w:val="20"/>
        </w:numPr>
        <w:spacing w:after="0" w:line="360" w:lineRule="auto"/>
        <w:rPr>
          <w:rFonts w:cs="Arial"/>
        </w:rPr>
      </w:pPr>
      <w:r w:rsidRPr="00FB3AC0">
        <w:rPr>
          <w:rFonts w:cs="Arial"/>
        </w:rPr>
        <w:t>15 reviewers were trained at the training days</w:t>
      </w:r>
    </w:p>
    <w:p w14:paraId="1003AACB" w14:textId="77777777" w:rsidR="000923BB" w:rsidRPr="00FB3AC0" w:rsidRDefault="000923BB" w:rsidP="008A6C6D">
      <w:pPr>
        <w:numPr>
          <w:ilvl w:val="0"/>
          <w:numId w:val="20"/>
        </w:numPr>
        <w:spacing w:after="0" w:line="360" w:lineRule="auto"/>
        <w:rPr>
          <w:rFonts w:cs="Arial"/>
        </w:rPr>
      </w:pPr>
      <w:r w:rsidRPr="00FB3AC0">
        <w:rPr>
          <w:rFonts w:cs="Arial"/>
        </w:rPr>
        <w:t xml:space="preserve">10 reviewers were trained during a site visit </w:t>
      </w:r>
    </w:p>
    <w:p w14:paraId="77BBF53A" w14:textId="77777777" w:rsidR="000923BB" w:rsidRPr="00FB3AC0" w:rsidRDefault="000923BB" w:rsidP="008A6C6D">
      <w:pPr>
        <w:numPr>
          <w:ilvl w:val="0"/>
          <w:numId w:val="20"/>
        </w:numPr>
        <w:spacing w:after="0" w:line="360" w:lineRule="auto"/>
        <w:rPr>
          <w:rFonts w:cs="Arial"/>
        </w:rPr>
      </w:pPr>
      <w:r w:rsidRPr="00FB3AC0">
        <w:rPr>
          <w:rFonts w:cs="Arial"/>
        </w:rPr>
        <w:t>14 reviewers were provided with telephone training</w:t>
      </w:r>
    </w:p>
    <w:p w14:paraId="00BB96DA" w14:textId="77777777" w:rsidR="000923BB" w:rsidRPr="00FB3AC0" w:rsidRDefault="000923BB" w:rsidP="000923BB">
      <w:pPr>
        <w:spacing w:line="360" w:lineRule="auto"/>
        <w:rPr>
          <w:rFonts w:cs="Arial"/>
          <w:b/>
          <w:sz w:val="32"/>
          <w:szCs w:val="32"/>
        </w:rPr>
      </w:pPr>
    </w:p>
    <w:p w14:paraId="3796E883" w14:textId="77777777" w:rsidR="000923BB" w:rsidRPr="00FB3AC0" w:rsidRDefault="000923BB" w:rsidP="000923BB">
      <w:pPr>
        <w:spacing w:line="360" w:lineRule="auto"/>
        <w:rPr>
          <w:rFonts w:cs="Arial"/>
        </w:rPr>
      </w:pPr>
      <w:r w:rsidRPr="00FB3AC0">
        <w:rPr>
          <w:rFonts w:cs="Arial"/>
        </w:rPr>
        <w:t xml:space="preserve">The project team were available throughout the data collection period to answer queries and provide support and advice. </w:t>
      </w:r>
    </w:p>
    <w:p w14:paraId="3362AFBA" w14:textId="77777777" w:rsidR="000923BB" w:rsidRPr="00DA5E13" w:rsidRDefault="000923BB" w:rsidP="000923BB">
      <w:pPr>
        <w:spacing w:line="360" w:lineRule="auto"/>
        <w:rPr>
          <w:rFonts w:cs="Arial"/>
          <w:b/>
          <w:sz w:val="28"/>
          <w:szCs w:val="28"/>
        </w:rPr>
      </w:pPr>
      <w:r w:rsidRPr="00DA5E13">
        <w:rPr>
          <w:rFonts w:cs="Arial"/>
          <w:b/>
          <w:sz w:val="28"/>
          <w:szCs w:val="28"/>
        </w:rPr>
        <w:t>Participants</w:t>
      </w:r>
    </w:p>
    <w:p w14:paraId="6BFC321B" w14:textId="77777777" w:rsidR="000923BB" w:rsidRPr="00FB3AC0" w:rsidRDefault="000923BB" w:rsidP="000923BB">
      <w:pPr>
        <w:spacing w:line="360" w:lineRule="auto"/>
        <w:rPr>
          <w:rFonts w:cs="Arial"/>
        </w:rPr>
      </w:pPr>
      <w:r w:rsidRPr="00FB3AC0">
        <w:rPr>
          <w:rFonts w:cs="Arial"/>
        </w:rPr>
        <w:t xml:space="preserve">9 Hospitals took part in the COPD audit and 8 of those hospitals also took part in the Heart Failure audit. Hospitals were randomly selected to participate in the audit and consultants at each hospital were approached to provide their approval for the audit to take place and, to assist in finding staff to review records.  </w:t>
      </w:r>
    </w:p>
    <w:p w14:paraId="451B3736" w14:textId="77777777" w:rsidR="000923BB" w:rsidRPr="00FB3AC0" w:rsidRDefault="000923BB" w:rsidP="000923BB">
      <w:pPr>
        <w:spacing w:line="360" w:lineRule="auto"/>
        <w:rPr>
          <w:rFonts w:cs="Arial"/>
        </w:rPr>
      </w:pPr>
    </w:p>
    <w:p w14:paraId="4021E0C5" w14:textId="77777777" w:rsidR="000923BB" w:rsidRPr="00FB3AC0" w:rsidRDefault="000923BB" w:rsidP="000923BB">
      <w:pPr>
        <w:spacing w:line="360" w:lineRule="auto"/>
        <w:rPr>
          <w:rFonts w:cs="Arial"/>
        </w:rPr>
      </w:pPr>
      <w:r w:rsidRPr="00FB3AC0">
        <w:rPr>
          <w:rFonts w:cs="Arial"/>
        </w:rPr>
        <w:lastRenderedPageBreak/>
        <w:t>The COPD audit involved the following reviewers:</w:t>
      </w:r>
    </w:p>
    <w:p w14:paraId="6EB8AA59" w14:textId="77777777" w:rsidR="000923BB" w:rsidRPr="00FB3AC0" w:rsidRDefault="000923BB" w:rsidP="000923BB">
      <w:pPr>
        <w:spacing w:line="360" w:lineRule="auto"/>
        <w:rPr>
          <w:rFonts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8"/>
        <w:gridCol w:w="2724"/>
      </w:tblGrid>
      <w:tr w:rsidR="000923BB" w:rsidRPr="00F955C6" w14:paraId="59490F86" w14:textId="77777777" w:rsidTr="00E51F88">
        <w:tc>
          <w:tcPr>
            <w:tcW w:w="4178" w:type="dxa"/>
          </w:tcPr>
          <w:p w14:paraId="3D6C0ECB" w14:textId="77777777" w:rsidR="000923BB" w:rsidRPr="00F955C6" w:rsidRDefault="000923BB" w:rsidP="003A385F">
            <w:pPr>
              <w:spacing w:line="360" w:lineRule="auto"/>
              <w:rPr>
                <w:rFonts w:cs="Arial"/>
                <w:b/>
              </w:rPr>
            </w:pPr>
            <w:r w:rsidRPr="00F955C6">
              <w:rPr>
                <w:rFonts w:cs="Arial"/>
                <w:b/>
              </w:rPr>
              <w:t>Staff type</w:t>
            </w:r>
          </w:p>
        </w:tc>
        <w:tc>
          <w:tcPr>
            <w:tcW w:w="2724" w:type="dxa"/>
          </w:tcPr>
          <w:p w14:paraId="75806253" w14:textId="77777777" w:rsidR="000923BB" w:rsidRPr="00F955C6" w:rsidRDefault="000923BB" w:rsidP="003A385F">
            <w:pPr>
              <w:spacing w:line="360" w:lineRule="auto"/>
              <w:rPr>
                <w:rFonts w:cs="Arial"/>
                <w:b/>
              </w:rPr>
            </w:pPr>
            <w:r w:rsidRPr="00F955C6">
              <w:rPr>
                <w:rFonts w:cs="Arial"/>
                <w:b/>
              </w:rPr>
              <w:t>Number of reviewers</w:t>
            </w:r>
          </w:p>
        </w:tc>
      </w:tr>
      <w:tr w:rsidR="000923BB" w:rsidRPr="00F955C6" w14:paraId="5544255E" w14:textId="77777777" w:rsidTr="00E51F88">
        <w:tc>
          <w:tcPr>
            <w:tcW w:w="4178" w:type="dxa"/>
          </w:tcPr>
          <w:p w14:paraId="62E56DCE" w14:textId="77777777" w:rsidR="000923BB" w:rsidRPr="00F955C6" w:rsidRDefault="000923BB" w:rsidP="003A385F">
            <w:pPr>
              <w:spacing w:line="360" w:lineRule="auto"/>
              <w:rPr>
                <w:rFonts w:cs="Arial"/>
              </w:rPr>
            </w:pPr>
            <w:r w:rsidRPr="00F955C6">
              <w:rPr>
                <w:rFonts w:cs="Arial"/>
              </w:rPr>
              <w:t xml:space="preserve">Doctor </w:t>
            </w:r>
          </w:p>
        </w:tc>
        <w:tc>
          <w:tcPr>
            <w:tcW w:w="2724" w:type="dxa"/>
          </w:tcPr>
          <w:p w14:paraId="16B267C8" w14:textId="77777777" w:rsidR="000923BB" w:rsidRPr="00F955C6" w:rsidRDefault="000923BB" w:rsidP="003A385F">
            <w:pPr>
              <w:spacing w:line="360" w:lineRule="auto"/>
              <w:rPr>
                <w:rFonts w:cs="Arial"/>
              </w:rPr>
            </w:pPr>
            <w:r w:rsidRPr="00F955C6">
              <w:rPr>
                <w:rFonts w:cs="Arial"/>
              </w:rPr>
              <w:t>6</w:t>
            </w:r>
          </w:p>
        </w:tc>
      </w:tr>
      <w:tr w:rsidR="000923BB" w:rsidRPr="00F955C6" w14:paraId="4E3DC5CA" w14:textId="77777777" w:rsidTr="00E51F88">
        <w:tc>
          <w:tcPr>
            <w:tcW w:w="4178" w:type="dxa"/>
          </w:tcPr>
          <w:p w14:paraId="325A6C74" w14:textId="77777777" w:rsidR="000923BB" w:rsidRPr="00F955C6" w:rsidRDefault="000923BB" w:rsidP="003A385F">
            <w:pPr>
              <w:spacing w:line="360" w:lineRule="auto"/>
              <w:rPr>
                <w:rFonts w:cs="Arial"/>
              </w:rPr>
            </w:pPr>
            <w:r w:rsidRPr="00F955C6">
              <w:rPr>
                <w:rFonts w:cs="Arial"/>
              </w:rPr>
              <w:t>Nurse</w:t>
            </w:r>
          </w:p>
        </w:tc>
        <w:tc>
          <w:tcPr>
            <w:tcW w:w="2724" w:type="dxa"/>
          </w:tcPr>
          <w:p w14:paraId="51FF67CB" w14:textId="77777777" w:rsidR="000923BB" w:rsidRPr="00F955C6" w:rsidRDefault="000923BB" w:rsidP="003A385F">
            <w:pPr>
              <w:spacing w:line="360" w:lineRule="auto"/>
              <w:rPr>
                <w:rFonts w:cs="Arial"/>
              </w:rPr>
            </w:pPr>
            <w:r w:rsidRPr="00F955C6">
              <w:rPr>
                <w:rFonts w:cs="Arial"/>
              </w:rPr>
              <w:t>6</w:t>
            </w:r>
          </w:p>
        </w:tc>
      </w:tr>
      <w:tr w:rsidR="000923BB" w:rsidRPr="00F955C6" w14:paraId="485587EA" w14:textId="77777777" w:rsidTr="00E51F88">
        <w:tc>
          <w:tcPr>
            <w:tcW w:w="4178" w:type="dxa"/>
          </w:tcPr>
          <w:p w14:paraId="32D9B791" w14:textId="77777777" w:rsidR="000923BB" w:rsidRPr="00F955C6" w:rsidRDefault="000923BB" w:rsidP="003A385F">
            <w:pPr>
              <w:spacing w:line="360" w:lineRule="auto"/>
              <w:rPr>
                <w:rFonts w:cs="Arial"/>
              </w:rPr>
            </w:pPr>
            <w:r w:rsidRPr="00F955C6">
              <w:rPr>
                <w:rFonts w:cs="Arial"/>
              </w:rPr>
              <w:t>Non-clinical audit staff</w:t>
            </w:r>
          </w:p>
        </w:tc>
        <w:tc>
          <w:tcPr>
            <w:tcW w:w="2724" w:type="dxa"/>
          </w:tcPr>
          <w:p w14:paraId="6563FFB4" w14:textId="77777777" w:rsidR="000923BB" w:rsidRPr="00F955C6" w:rsidRDefault="000923BB" w:rsidP="003A385F">
            <w:pPr>
              <w:spacing w:line="360" w:lineRule="auto"/>
              <w:rPr>
                <w:rFonts w:cs="Arial"/>
              </w:rPr>
            </w:pPr>
            <w:r w:rsidRPr="00F955C6">
              <w:rPr>
                <w:rFonts w:cs="Arial"/>
              </w:rPr>
              <w:t>6</w:t>
            </w:r>
          </w:p>
        </w:tc>
      </w:tr>
      <w:tr w:rsidR="000923BB" w:rsidRPr="00F955C6" w14:paraId="4531929B" w14:textId="77777777" w:rsidTr="00E51F88">
        <w:tc>
          <w:tcPr>
            <w:tcW w:w="4178" w:type="dxa"/>
          </w:tcPr>
          <w:p w14:paraId="144BE896" w14:textId="77777777" w:rsidR="000923BB" w:rsidRPr="00F955C6" w:rsidRDefault="000923BB" w:rsidP="003A385F">
            <w:pPr>
              <w:spacing w:line="360" w:lineRule="auto"/>
              <w:rPr>
                <w:rFonts w:cs="Arial"/>
              </w:rPr>
            </w:pPr>
            <w:r w:rsidRPr="00F955C6">
              <w:rPr>
                <w:rFonts w:cs="Arial"/>
              </w:rPr>
              <w:t>Clinical other (e.g. physio or pharmacist)</w:t>
            </w:r>
          </w:p>
        </w:tc>
        <w:tc>
          <w:tcPr>
            <w:tcW w:w="2724" w:type="dxa"/>
          </w:tcPr>
          <w:p w14:paraId="3F268E65" w14:textId="77777777" w:rsidR="000923BB" w:rsidRPr="00F955C6" w:rsidRDefault="000923BB" w:rsidP="003A385F">
            <w:pPr>
              <w:spacing w:line="360" w:lineRule="auto"/>
              <w:rPr>
                <w:rFonts w:cs="Arial"/>
              </w:rPr>
            </w:pPr>
            <w:r w:rsidRPr="00F955C6">
              <w:rPr>
                <w:rFonts w:cs="Arial"/>
              </w:rPr>
              <w:t>2</w:t>
            </w:r>
          </w:p>
        </w:tc>
      </w:tr>
      <w:tr w:rsidR="000923BB" w:rsidRPr="00F955C6" w14:paraId="1403A876" w14:textId="77777777" w:rsidTr="00E51F88">
        <w:tc>
          <w:tcPr>
            <w:tcW w:w="4178" w:type="dxa"/>
          </w:tcPr>
          <w:p w14:paraId="19D21CF4" w14:textId="77777777" w:rsidR="000923BB" w:rsidRPr="00F955C6" w:rsidRDefault="000923BB" w:rsidP="003A385F">
            <w:pPr>
              <w:spacing w:line="360" w:lineRule="auto"/>
              <w:rPr>
                <w:rFonts w:cs="Arial"/>
                <w:b/>
              </w:rPr>
            </w:pPr>
            <w:r w:rsidRPr="00F955C6">
              <w:rPr>
                <w:rFonts w:cs="Arial"/>
                <w:b/>
              </w:rPr>
              <w:t>Total</w:t>
            </w:r>
          </w:p>
        </w:tc>
        <w:tc>
          <w:tcPr>
            <w:tcW w:w="2724" w:type="dxa"/>
          </w:tcPr>
          <w:p w14:paraId="2CAD6B8C" w14:textId="77777777" w:rsidR="000923BB" w:rsidRPr="00F955C6" w:rsidRDefault="000923BB" w:rsidP="003A385F">
            <w:pPr>
              <w:spacing w:line="360" w:lineRule="auto"/>
              <w:rPr>
                <w:rFonts w:cs="Arial"/>
                <w:b/>
              </w:rPr>
            </w:pPr>
            <w:r w:rsidRPr="00F955C6">
              <w:rPr>
                <w:rFonts w:cs="Arial"/>
                <w:b/>
              </w:rPr>
              <w:t>20 reviewers</w:t>
            </w:r>
          </w:p>
        </w:tc>
      </w:tr>
    </w:tbl>
    <w:p w14:paraId="6B627F19" w14:textId="77777777" w:rsidR="000923BB" w:rsidRPr="00FB3AC0" w:rsidRDefault="000923BB" w:rsidP="000923BB">
      <w:pPr>
        <w:spacing w:line="360" w:lineRule="auto"/>
        <w:rPr>
          <w:rFonts w:cs="Arial"/>
        </w:rPr>
      </w:pPr>
    </w:p>
    <w:p w14:paraId="3CB2BFD1" w14:textId="77777777" w:rsidR="000923BB" w:rsidRPr="00FB3AC0" w:rsidRDefault="000923BB" w:rsidP="000923BB">
      <w:pPr>
        <w:spacing w:line="360" w:lineRule="auto"/>
        <w:rPr>
          <w:rFonts w:cs="Arial"/>
        </w:rPr>
      </w:pPr>
      <w:r w:rsidRPr="00FB3AC0">
        <w:rPr>
          <w:rFonts w:cs="Arial"/>
        </w:rPr>
        <w:t>The Heart failure audit involved the following reviewers:</w:t>
      </w:r>
    </w:p>
    <w:p w14:paraId="307597C2" w14:textId="77777777" w:rsidR="000923BB" w:rsidRPr="00FB3AC0" w:rsidRDefault="000923BB" w:rsidP="000923BB">
      <w:pPr>
        <w:spacing w:line="360" w:lineRule="auto"/>
        <w:rPr>
          <w:rFonts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8"/>
        <w:gridCol w:w="2724"/>
      </w:tblGrid>
      <w:tr w:rsidR="000923BB" w:rsidRPr="00F955C6" w14:paraId="0753BDC4" w14:textId="77777777" w:rsidTr="00E51F88">
        <w:tc>
          <w:tcPr>
            <w:tcW w:w="4178" w:type="dxa"/>
          </w:tcPr>
          <w:p w14:paraId="2A4BB75C" w14:textId="77777777" w:rsidR="000923BB" w:rsidRPr="00F955C6" w:rsidRDefault="000923BB" w:rsidP="003A385F">
            <w:pPr>
              <w:spacing w:line="360" w:lineRule="auto"/>
              <w:rPr>
                <w:rFonts w:cs="Arial"/>
                <w:b/>
              </w:rPr>
            </w:pPr>
            <w:r w:rsidRPr="00F955C6">
              <w:rPr>
                <w:rFonts w:cs="Arial"/>
                <w:b/>
              </w:rPr>
              <w:t>Staff type</w:t>
            </w:r>
          </w:p>
        </w:tc>
        <w:tc>
          <w:tcPr>
            <w:tcW w:w="2724" w:type="dxa"/>
          </w:tcPr>
          <w:p w14:paraId="35C5FBA5" w14:textId="77777777" w:rsidR="000923BB" w:rsidRPr="00F955C6" w:rsidRDefault="000923BB" w:rsidP="003A385F">
            <w:pPr>
              <w:spacing w:line="360" w:lineRule="auto"/>
              <w:rPr>
                <w:rFonts w:cs="Arial"/>
                <w:b/>
              </w:rPr>
            </w:pPr>
            <w:r w:rsidRPr="00F955C6">
              <w:rPr>
                <w:rFonts w:cs="Arial"/>
                <w:b/>
              </w:rPr>
              <w:t>Number of reviewers</w:t>
            </w:r>
          </w:p>
        </w:tc>
      </w:tr>
      <w:tr w:rsidR="000923BB" w:rsidRPr="00F955C6" w14:paraId="78DB4BEB" w14:textId="77777777" w:rsidTr="00E51F88">
        <w:tc>
          <w:tcPr>
            <w:tcW w:w="4178" w:type="dxa"/>
          </w:tcPr>
          <w:p w14:paraId="32A3ACFE" w14:textId="77777777" w:rsidR="000923BB" w:rsidRPr="00F955C6" w:rsidRDefault="000923BB" w:rsidP="003A385F">
            <w:pPr>
              <w:spacing w:line="360" w:lineRule="auto"/>
              <w:rPr>
                <w:rFonts w:cs="Arial"/>
              </w:rPr>
            </w:pPr>
            <w:r w:rsidRPr="00F955C6">
              <w:rPr>
                <w:rFonts w:cs="Arial"/>
              </w:rPr>
              <w:t>Doctor</w:t>
            </w:r>
          </w:p>
        </w:tc>
        <w:tc>
          <w:tcPr>
            <w:tcW w:w="2724" w:type="dxa"/>
          </w:tcPr>
          <w:p w14:paraId="4C306D3B" w14:textId="77777777" w:rsidR="000923BB" w:rsidRPr="00F955C6" w:rsidRDefault="000923BB" w:rsidP="003A385F">
            <w:pPr>
              <w:spacing w:line="360" w:lineRule="auto"/>
              <w:rPr>
                <w:rFonts w:cs="Arial"/>
              </w:rPr>
            </w:pPr>
            <w:r w:rsidRPr="00F955C6">
              <w:rPr>
                <w:rFonts w:cs="Arial"/>
              </w:rPr>
              <w:t>10</w:t>
            </w:r>
          </w:p>
        </w:tc>
      </w:tr>
      <w:tr w:rsidR="000923BB" w:rsidRPr="00F955C6" w14:paraId="4CBD436E" w14:textId="77777777" w:rsidTr="00E51F88">
        <w:tc>
          <w:tcPr>
            <w:tcW w:w="4178" w:type="dxa"/>
          </w:tcPr>
          <w:p w14:paraId="0FFC6E42" w14:textId="77777777" w:rsidR="000923BB" w:rsidRPr="00F955C6" w:rsidRDefault="000923BB" w:rsidP="003A385F">
            <w:pPr>
              <w:spacing w:line="360" w:lineRule="auto"/>
              <w:rPr>
                <w:rFonts w:cs="Arial"/>
              </w:rPr>
            </w:pPr>
            <w:r w:rsidRPr="00F955C6">
              <w:rPr>
                <w:rFonts w:cs="Arial"/>
              </w:rPr>
              <w:t>Nurse</w:t>
            </w:r>
          </w:p>
        </w:tc>
        <w:tc>
          <w:tcPr>
            <w:tcW w:w="2724" w:type="dxa"/>
          </w:tcPr>
          <w:p w14:paraId="621EA56D" w14:textId="77777777" w:rsidR="000923BB" w:rsidRPr="00F955C6" w:rsidRDefault="000923BB" w:rsidP="003A385F">
            <w:pPr>
              <w:spacing w:line="360" w:lineRule="auto"/>
              <w:rPr>
                <w:rFonts w:cs="Arial"/>
              </w:rPr>
            </w:pPr>
            <w:r w:rsidRPr="00F955C6">
              <w:rPr>
                <w:rFonts w:cs="Arial"/>
              </w:rPr>
              <w:t>5</w:t>
            </w:r>
          </w:p>
        </w:tc>
      </w:tr>
      <w:tr w:rsidR="000923BB" w:rsidRPr="00F955C6" w14:paraId="17BCAC7B" w14:textId="77777777" w:rsidTr="00E51F88">
        <w:tc>
          <w:tcPr>
            <w:tcW w:w="4178" w:type="dxa"/>
          </w:tcPr>
          <w:p w14:paraId="13D09DF8" w14:textId="77777777" w:rsidR="000923BB" w:rsidRPr="00F955C6" w:rsidRDefault="000923BB" w:rsidP="003A385F">
            <w:pPr>
              <w:spacing w:line="360" w:lineRule="auto"/>
              <w:rPr>
                <w:rFonts w:cs="Arial"/>
              </w:rPr>
            </w:pPr>
            <w:r w:rsidRPr="00F955C6">
              <w:rPr>
                <w:rFonts w:cs="Arial"/>
              </w:rPr>
              <w:t>Non-clinical audit staff</w:t>
            </w:r>
          </w:p>
        </w:tc>
        <w:tc>
          <w:tcPr>
            <w:tcW w:w="2724" w:type="dxa"/>
          </w:tcPr>
          <w:p w14:paraId="4548DFC0" w14:textId="77777777" w:rsidR="000923BB" w:rsidRPr="00F955C6" w:rsidRDefault="000923BB" w:rsidP="003A385F">
            <w:pPr>
              <w:spacing w:line="360" w:lineRule="auto"/>
              <w:rPr>
                <w:rFonts w:cs="Arial"/>
              </w:rPr>
            </w:pPr>
            <w:r w:rsidRPr="00F955C6">
              <w:rPr>
                <w:rFonts w:cs="Arial"/>
              </w:rPr>
              <w:t>3</w:t>
            </w:r>
          </w:p>
        </w:tc>
      </w:tr>
      <w:tr w:rsidR="000923BB" w:rsidRPr="00F955C6" w14:paraId="75B0BB50" w14:textId="77777777" w:rsidTr="00E51F88">
        <w:tc>
          <w:tcPr>
            <w:tcW w:w="4178" w:type="dxa"/>
          </w:tcPr>
          <w:p w14:paraId="3C31BB75" w14:textId="77777777" w:rsidR="000923BB" w:rsidRPr="00F955C6" w:rsidRDefault="000923BB" w:rsidP="003A385F">
            <w:pPr>
              <w:spacing w:line="360" w:lineRule="auto"/>
              <w:rPr>
                <w:rFonts w:cs="Arial"/>
              </w:rPr>
            </w:pPr>
            <w:r w:rsidRPr="00F955C6">
              <w:rPr>
                <w:rFonts w:cs="Arial"/>
              </w:rPr>
              <w:t>Clinical other (e.g. physio or pharmacist)</w:t>
            </w:r>
          </w:p>
        </w:tc>
        <w:tc>
          <w:tcPr>
            <w:tcW w:w="2724" w:type="dxa"/>
          </w:tcPr>
          <w:p w14:paraId="5AF14A00" w14:textId="77777777" w:rsidR="000923BB" w:rsidRPr="00F955C6" w:rsidRDefault="000923BB" w:rsidP="003A385F">
            <w:pPr>
              <w:spacing w:line="360" w:lineRule="auto"/>
              <w:rPr>
                <w:rFonts w:cs="Arial"/>
              </w:rPr>
            </w:pPr>
            <w:r w:rsidRPr="00F955C6">
              <w:rPr>
                <w:rFonts w:cs="Arial"/>
              </w:rPr>
              <w:t>1</w:t>
            </w:r>
          </w:p>
        </w:tc>
      </w:tr>
      <w:tr w:rsidR="000923BB" w:rsidRPr="00F955C6" w14:paraId="04828D41" w14:textId="77777777" w:rsidTr="00E51F88">
        <w:tc>
          <w:tcPr>
            <w:tcW w:w="4178" w:type="dxa"/>
          </w:tcPr>
          <w:p w14:paraId="180ED9AF" w14:textId="77777777" w:rsidR="000923BB" w:rsidRPr="00F955C6" w:rsidRDefault="000923BB" w:rsidP="003A385F">
            <w:pPr>
              <w:spacing w:line="360" w:lineRule="auto"/>
              <w:rPr>
                <w:rFonts w:cs="Arial"/>
                <w:b/>
              </w:rPr>
            </w:pPr>
            <w:r w:rsidRPr="00F955C6">
              <w:rPr>
                <w:rFonts w:cs="Arial"/>
                <w:b/>
              </w:rPr>
              <w:t>Total</w:t>
            </w:r>
          </w:p>
        </w:tc>
        <w:tc>
          <w:tcPr>
            <w:tcW w:w="2724" w:type="dxa"/>
          </w:tcPr>
          <w:p w14:paraId="0CC1DE87" w14:textId="77777777" w:rsidR="000923BB" w:rsidRPr="00F955C6" w:rsidRDefault="000923BB" w:rsidP="003A385F">
            <w:pPr>
              <w:spacing w:line="360" w:lineRule="auto"/>
              <w:rPr>
                <w:rFonts w:cs="Arial"/>
                <w:b/>
              </w:rPr>
            </w:pPr>
            <w:r w:rsidRPr="00F955C6">
              <w:rPr>
                <w:rFonts w:cs="Arial"/>
                <w:b/>
              </w:rPr>
              <w:t>19 reviewers</w:t>
            </w:r>
          </w:p>
        </w:tc>
      </w:tr>
    </w:tbl>
    <w:p w14:paraId="1F71B089" w14:textId="77777777" w:rsidR="000923BB" w:rsidRPr="00FB3AC0" w:rsidRDefault="000923BB" w:rsidP="000923BB">
      <w:pPr>
        <w:spacing w:line="360" w:lineRule="auto"/>
        <w:rPr>
          <w:rFonts w:cs="Arial"/>
          <w:b/>
          <w:sz w:val="32"/>
          <w:szCs w:val="32"/>
        </w:rPr>
      </w:pPr>
    </w:p>
    <w:p w14:paraId="678E3AE7" w14:textId="77777777" w:rsidR="00DA5E13" w:rsidRDefault="00DA5E13" w:rsidP="000923BB">
      <w:pPr>
        <w:spacing w:line="360" w:lineRule="auto"/>
        <w:rPr>
          <w:rFonts w:cs="Arial"/>
          <w:b/>
          <w:sz w:val="32"/>
          <w:szCs w:val="32"/>
        </w:rPr>
      </w:pPr>
    </w:p>
    <w:p w14:paraId="5676A687" w14:textId="77777777" w:rsidR="00DA5E13" w:rsidRDefault="00DA5E13" w:rsidP="000923BB">
      <w:pPr>
        <w:spacing w:line="360" w:lineRule="auto"/>
        <w:rPr>
          <w:rFonts w:cs="Arial"/>
          <w:b/>
          <w:sz w:val="32"/>
          <w:szCs w:val="32"/>
        </w:rPr>
      </w:pPr>
    </w:p>
    <w:p w14:paraId="20DF777D" w14:textId="77777777" w:rsidR="000923BB" w:rsidRPr="00DA5E13" w:rsidRDefault="000923BB" w:rsidP="000923BB">
      <w:pPr>
        <w:spacing w:line="360" w:lineRule="auto"/>
        <w:rPr>
          <w:rFonts w:cs="Arial"/>
          <w:b/>
          <w:sz w:val="28"/>
          <w:szCs w:val="28"/>
        </w:rPr>
      </w:pPr>
      <w:r w:rsidRPr="00DA5E13">
        <w:rPr>
          <w:rFonts w:cs="Arial"/>
          <w:b/>
          <w:sz w:val="28"/>
          <w:szCs w:val="28"/>
        </w:rPr>
        <w:lastRenderedPageBreak/>
        <w:t>Data return</w:t>
      </w:r>
    </w:p>
    <w:p w14:paraId="37F7C636" w14:textId="77777777" w:rsidR="000923BB" w:rsidRPr="008D0A20" w:rsidRDefault="000923BB" w:rsidP="000923BB">
      <w:pPr>
        <w:spacing w:line="360" w:lineRule="auto"/>
        <w:rPr>
          <w:rFonts w:cs="Arial"/>
          <w:sz w:val="22"/>
          <w:szCs w:val="22"/>
        </w:rPr>
      </w:pPr>
      <w:r w:rsidRPr="008D0A20">
        <w:rPr>
          <w:rFonts w:cs="Arial"/>
          <w:sz w:val="22"/>
          <w:szCs w:val="22"/>
        </w:rPr>
        <w:t xml:space="preserve">Reviewers were asked to review 50 Heart failure or COPD records, using each of the review methods (resulting in 100 record reviews). If all reviewers had returned all reviews, this would have resulted in a total of 3900 reviews. </w:t>
      </w:r>
    </w:p>
    <w:p w14:paraId="377BCA41" w14:textId="77777777" w:rsidR="000923BB" w:rsidRPr="008D0A20" w:rsidRDefault="000923BB" w:rsidP="000923BB">
      <w:pPr>
        <w:spacing w:line="360" w:lineRule="auto"/>
        <w:rPr>
          <w:rFonts w:cs="Arial"/>
          <w:sz w:val="22"/>
          <w:szCs w:val="22"/>
        </w:rPr>
      </w:pPr>
      <w:r w:rsidRPr="008D0A20">
        <w:rPr>
          <w:rFonts w:cs="Arial"/>
          <w:sz w:val="22"/>
          <w:szCs w:val="22"/>
        </w:rPr>
        <w:t>However, not all reviewers were able to return the full amount of reviews. This was for a variety of reasons, for example staff changing jobs. This was particularly a problem for the SpR reviewers, some of whom rotated to a post in a different hospital during the audit period. Also, there were some difficulties in recruiting reviewers in some hospitals. This meant that these reviewers started the audit later than other reviewers and, as such, had less time to complete all the reviews. Due to work pressures, one hospital site was unable to return any Heart Failure reviews.</w:t>
      </w:r>
    </w:p>
    <w:p w14:paraId="230AE1C7" w14:textId="77777777" w:rsidR="000923BB" w:rsidRPr="00FB3AC0" w:rsidRDefault="000923BB" w:rsidP="000923BB">
      <w:pPr>
        <w:rPr>
          <w:rFonts w:cs="Arial"/>
        </w:rPr>
      </w:pPr>
    </w:p>
    <w:p w14:paraId="738451AD" w14:textId="77777777" w:rsidR="000923BB" w:rsidRPr="00DA5E13" w:rsidRDefault="000923BB" w:rsidP="000923BB">
      <w:pPr>
        <w:rPr>
          <w:rFonts w:cs="Arial"/>
          <w:b/>
        </w:rPr>
      </w:pPr>
      <w:r w:rsidRPr="00DA5E13">
        <w:rPr>
          <w:rFonts w:cs="Arial"/>
          <w:b/>
        </w:rPr>
        <w:t>Percentage of data returned</w:t>
      </w:r>
    </w:p>
    <w:p w14:paraId="363E5781" w14:textId="77777777" w:rsidR="000923BB" w:rsidRPr="00FB3AC0" w:rsidRDefault="000923BB" w:rsidP="000923BB">
      <w:pPr>
        <w:rPr>
          <w:rFonts w:cs="Arial"/>
          <w:b/>
          <w:sz w:val="32"/>
          <w:szCs w:val="3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9"/>
        <w:gridCol w:w="1743"/>
        <w:gridCol w:w="2268"/>
        <w:gridCol w:w="2398"/>
      </w:tblGrid>
      <w:tr w:rsidR="000923BB" w:rsidRPr="00F955C6" w14:paraId="4A18D3BD" w14:textId="77777777" w:rsidTr="003C12FD">
        <w:tc>
          <w:tcPr>
            <w:tcW w:w="1529" w:type="dxa"/>
          </w:tcPr>
          <w:p w14:paraId="10AFBADF" w14:textId="77777777" w:rsidR="000923BB" w:rsidRPr="00F955C6" w:rsidRDefault="000923BB" w:rsidP="003A385F">
            <w:pPr>
              <w:rPr>
                <w:rFonts w:cs="Arial"/>
                <w:b/>
              </w:rPr>
            </w:pPr>
            <w:r w:rsidRPr="00F955C6">
              <w:rPr>
                <w:rFonts w:cs="Arial"/>
                <w:b/>
              </w:rPr>
              <w:t>Condition</w:t>
            </w:r>
          </w:p>
        </w:tc>
        <w:tc>
          <w:tcPr>
            <w:tcW w:w="1743" w:type="dxa"/>
          </w:tcPr>
          <w:p w14:paraId="40A0A9AB" w14:textId="77777777" w:rsidR="000923BB" w:rsidRPr="00F955C6" w:rsidRDefault="000923BB" w:rsidP="003A385F">
            <w:pPr>
              <w:rPr>
                <w:rFonts w:cs="Arial"/>
                <w:b/>
              </w:rPr>
            </w:pPr>
            <w:r w:rsidRPr="00F955C6">
              <w:rPr>
                <w:rFonts w:cs="Arial"/>
                <w:b/>
              </w:rPr>
              <w:t>Review type</w:t>
            </w:r>
          </w:p>
        </w:tc>
        <w:tc>
          <w:tcPr>
            <w:tcW w:w="2268" w:type="dxa"/>
          </w:tcPr>
          <w:p w14:paraId="6E99E8D9" w14:textId="77777777" w:rsidR="000923BB" w:rsidRPr="00F955C6" w:rsidRDefault="000923BB" w:rsidP="003A385F">
            <w:pPr>
              <w:rPr>
                <w:rFonts w:cs="Arial"/>
                <w:b/>
              </w:rPr>
            </w:pPr>
            <w:r w:rsidRPr="00F955C6">
              <w:rPr>
                <w:rFonts w:cs="Arial"/>
                <w:b/>
              </w:rPr>
              <w:t>Total number of reviews returned</w:t>
            </w:r>
          </w:p>
        </w:tc>
        <w:tc>
          <w:tcPr>
            <w:tcW w:w="2398" w:type="dxa"/>
          </w:tcPr>
          <w:p w14:paraId="2186C3F8" w14:textId="77777777" w:rsidR="000923BB" w:rsidRPr="00F955C6" w:rsidRDefault="000923BB" w:rsidP="003A385F">
            <w:pPr>
              <w:rPr>
                <w:rFonts w:cs="Arial"/>
                <w:b/>
              </w:rPr>
            </w:pPr>
            <w:r w:rsidRPr="00F955C6">
              <w:rPr>
                <w:rFonts w:cs="Arial"/>
                <w:b/>
              </w:rPr>
              <w:t xml:space="preserve">% of reviews returned </w:t>
            </w:r>
          </w:p>
        </w:tc>
      </w:tr>
      <w:tr w:rsidR="000923BB" w:rsidRPr="00F955C6" w14:paraId="0E3F1140" w14:textId="77777777" w:rsidTr="003C12FD">
        <w:tc>
          <w:tcPr>
            <w:tcW w:w="1529" w:type="dxa"/>
          </w:tcPr>
          <w:p w14:paraId="357FE0EA" w14:textId="77777777" w:rsidR="000923BB" w:rsidRPr="00F955C6" w:rsidRDefault="000923BB" w:rsidP="003A385F">
            <w:pPr>
              <w:rPr>
                <w:rFonts w:cs="Arial"/>
              </w:rPr>
            </w:pPr>
            <w:r w:rsidRPr="00F955C6">
              <w:rPr>
                <w:rFonts w:cs="Arial"/>
              </w:rPr>
              <w:t>COPD</w:t>
            </w:r>
          </w:p>
        </w:tc>
        <w:tc>
          <w:tcPr>
            <w:tcW w:w="1743" w:type="dxa"/>
          </w:tcPr>
          <w:p w14:paraId="05E43007" w14:textId="77777777" w:rsidR="000923BB" w:rsidRPr="00F955C6" w:rsidRDefault="000923BB" w:rsidP="003A385F">
            <w:pPr>
              <w:rPr>
                <w:rFonts w:cs="Arial"/>
              </w:rPr>
            </w:pPr>
            <w:r w:rsidRPr="00F955C6">
              <w:rPr>
                <w:rFonts w:cs="Arial"/>
              </w:rPr>
              <w:t>Textual</w:t>
            </w:r>
          </w:p>
        </w:tc>
        <w:tc>
          <w:tcPr>
            <w:tcW w:w="2268" w:type="dxa"/>
          </w:tcPr>
          <w:p w14:paraId="1E1326CE" w14:textId="77777777" w:rsidR="000923BB" w:rsidRPr="00F955C6" w:rsidRDefault="000923BB" w:rsidP="003A385F">
            <w:pPr>
              <w:rPr>
                <w:rFonts w:cs="Arial"/>
              </w:rPr>
            </w:pPr>
            <w:r w:rsidRPr="00F955C6">
              <w:rPr>
                <w:rFonts w:cs="Arial"/>
              </w:rPr>
              <w:t>901</w:t>
            </w:r>
          </w:p>
        </w:tc>
        <w:tc>
          <w:tcPr>
            <w:tcW w:w="2398" w:type="dxa"/>
          </w:tcPr>
          <w:p w14:paraId="5FC47165" w14:textId="77777777" w:rsidR="000923BB" w:rsidRPr="00F955C6" w:rsidRDefault="000923BB" w:rsidP="003A385F">
            <w:pPr>
              <w:rPr>
                <w:rFonts w:cs="Arial"/>
              </w:rPr>
            </w:pPr>
            <w:r w:rsidRPr="00F955C6">
              <w:rPr>
                <w:rFonts w:cs="Arial"/>
              </w:rPr>
              <w:t>90%</w:t>
            </w:r>
          </w:p>
        </w:tc>
      </w:tr>
      <w:tr w:rsidR="000923BB" w:rsidRPr="00F955C6" w14:paraId="7C4C936C" w14:textId="77777777" w:rsidTr="003C12FD">
        <w:tc>
          <w:tcPr>
            <w:tcW w:w="1529" w:type="dxa"/>
          </w:tcPr>
          <w:p w14:paraId="24858AC2" w14:textId="77777777" w:rsidR="000923BB" w:rsidRPr="00F955C6" w:rsidRDefault="000923BB" w:rsidP="003A385F">
            <w:pPr>
              <w:rPr>
                <w:rFonts w:cs="Arial"/>
              </w:rPr>
            </w:pPr>
            <w:r w:rsidRPr="00F955C6">
              <w:rPr>
                <w:rFonts w:cs="Arial"/>
              </w:rPr>
              <w:t>COPD</w:t>
            </w:r>
          </w:p>
        </w:tc>
        <w:tc>
          <w:tcPr>
            <w:tcW w:w="1743" w:type="dxa"/>
          </w:tcPr>
          <w:p w14:paraId="32290B65" w14:textId="77777777" w:rsidR="000923BB" w:rsidRPr="00F955C6" w:rsidRDefault="000923BB" w:rsidP="003A385F">
            <w:pPr>
              <w:rPr>
                <w:rFonts w:cs="Arial"/>
              </w:rPr>
            </w:pPr>
            <w:r w:rsidRPr="00F955C6">
              <w:rPr>
                <w:rFonts w:cs="Arial"/>
              </w:rPr>
              <w:t>Criterion based</w:t>
            </w:r>
          </w:p>
        </w:tc>
        <w:tc>
          <w:tcPr>
            <w:tcW w:w="2268" w:type="dxa"/>
          </w:tcPr>
          <w:p w14:paraId="6BA6F024" w14:textId="77777777" w:rsidR="000923BB" w:rsidRPr="00F955C6" w:rsidRDefault="000923BB" w:rsidP="003A385F">
            <w:pPr>
              <w:rPr>
                <w:rFonts w:cs="Arial"/>
              </w:rPr>
            </w:pPr>
            <w:r w:rsidRPr="00F955C6">
              <w:rPr>
                <w:rFonts w:cs="Arial"/>
              </w:rPr>
              <w:t>834</w:t>
            </w:r>
          </w:p>
        </w:tc>
        <w:tc>
          <w:tcPr>
            <w:tcW w:w="2398" w:type="dxa"/>
          </w:tcPr>
          <w:p w14:paraId="7E5775BB" w14:textId="77777777" w:rsidR="000923BB" w:rsidRPr="00F955C6" w:rsidRDefault="000923BB" w:rsidP="003A385F">
            <w:pPr>
              <w:rPr>
                <w:rFonts w:cs="Arial"/>
              </w:rPr>
            </w:pPr>
            <w:r w:rsidRPr="00F955C6">
              <w:rPr>
                <w:rFonts w:cs="Arial"/>
              </w:rPr>
              <w:t>83%</w:t>
            </w:r>
          </w:p>
        </w:tc>
      </w:tr>
      <w:tr w:rsidR="000923BB" w:rsidRPr="00F955C6" w14:paraId="4BACC8A2" w14:textId="77777777" w:rsidTr="003C12FD">
        <w:tc>
          <w:tcPr>
            <w:tcW w:w="1529" w:type="dxa"/>
          </w:tcPr>
          <w:p w14:paraId="20C08641" w14:textId="77777777" w:rsidR="000923BB" w:rsidRPr="00F955C6" w:rsidRDefault="000923BB" w:rsidP="003A385F">
            <w:pPr>
              <w:rPr>
                <w:rFonts w:cs="Arial"/>
              </w:rPr>
            </w:pPr>
            <w:r w:rsidRPr="00F955C6">
              <w:rPr>
                <w:rFonts w:cs="Arial"/>
              </w:rPr>
              <w:t>Heart Failure</w:t>
            </w:r>
          </w:p>
        </w:tc>
        <w:tc>
          <w:tcPr>
            <w:tcW w:w="1743" w:type="dxa"/>
          </w:tcPr>
          <w:p w14:paraId="14EB345F" w14:textId="77777777" w:rsidR="000923BB" w:rsidRPr="00F955C6" w:rsidRDefault="000923BB" w:rsidP="003A385F">
            <w:pPr>
              <w:rPr>
                <w:rFonts w:cs="Arial"/>
              </w:rPr>
            </w:pPr>
            <w:r w:rsidRPr="00F955C6">
              <w:rPr>
                <w:rFonts w:cs="Arial"/>
              </w:rPr>
              <w:t>Textual</w:t>
            </w:r>
          </w:p>
        </w:tc>
        <w:tc>
          <w:tcPr>
            <w:tcW w:w="2268" w:type="dxa"/>
          </w:tcPr>
          <w:p w14:paraId="1E44E24D" w14:textId="77777777" w:rsidR="000923BB" w:rsidRPr="00F955C6" w:rsidRDefault="000923BB" w:rsidP="003A385F">
            <w:pPr>
              <w:rPr>
                <w:rFonts w:cs="Arial"/>
              </w:rPr>
            </w:pPr>
            <w:r w:rsidRPr="00F955C6">
              <w:rPr>
                <w:rFonts w:cs="Arial"/>
              </w:rPr>
              <w:t>581</w:t>
            </w:r>
          </w:p>
        </w:tc>
        <w:tc>
          <w:tcPr>
            <w:tcW w:w="2398" w:type="dxa"/>
          </w:tcPr>
          <w:p w14:paraId="53AA69E1" w14:textId="77777777" w:rsidR="000923BB" w:rsidRPr="00F955C6" w:rsidRDefault="000923BB" w:rsidP="003A385F">
            <w:pPr>
              <w:rPr>
                <w:rFonts w:cs="Arial"/>
              </w:rPr>
            </w:pPr>
            <w:r w:rsidRPr="00F955C6">
              <w:rPr>
                <w:rFonts w:cs="Arial"/>
              </w:rPr>
              <w:t>61%</w:t>
            </w:r>
          </w:p>
        </w:tc>
      </w:tr>
      <w:tr w:rsidR="000923BB" w:rsidRPr="00F955C6" w14:paraId="1732A87A" w14:textId="77777777" w:rsidTr="003C12FD">
        <w:tc>
          <w:tcPr>
            <w:tcW w:w="1529" w:type="dxa"/>
          </w:tcPr>
          <w:p w14:paraId="3E99DE45" w14:textId="77777777" w:rsidR="000923BB" w:rsidRPr="00F955C6" w:rsidRDefault="000923BB" w:rsidP="003A385F">
            <w:pPr>
              <w:rPr>
                <w:rFonts w:cs="Arial"/>
              </w:rPr>
            </w:pPr>
            <w:r w:rsidRPr="00F955C6">
              <w:rPr>
                <w:rFonts w:cs="Arial"/>
              </w:rPr>
              <w:t xml:space="preserve">Heart Failure </w:t>
            </w:r>
          </w:p>
        </w:tc>
        <w:tc>
          <w:tcPr>
            <w:tcW w:w="1743" w:type="dxa"/>
          </w:tcPr>
          <w:p w14:paraId="2FF0DABA" w14:textId="77777777" w:rsidR="000923BB" w:rsidRPr="00F955C6" w:rsidRDefault="000923BB" w:rsidP="003A385F">
            <w:pPr>
              <w:rPr>
                <w:rFonts w:cs="Arial"/>
              </w:rPr>
            </w:pPr>
            <w:r w:rsidRPr="00F955C6">
              <w:rPr>
                <w:rFonts w:cs="Arial"/>
              </w:rPr>
              <w:t>Criterion based</w:t>
            </w:r>
          </w:p>
        </w:tc>
        <w:tc>
          <w:tcPr>
            <w:tcW w:w="2268" w:type="dxa"/>
          </w:tcPr>
          <w:p w14:paraId="4603ED5C" w14:textId="77777777" w:rsidR="000923BB" w:rsidRPr="00F955C6" w:rsidRDefault="000923BB" w:rsidP="003A385F">
            <w:pPr>
              <w:rPr>
                <w:rFonts w:cs="Arial"/>
              </w:rPr>
            </w:pPr>
            <w:r w:rsidRPr="00F955C6">
              <w:rPr>
                <w:rFonts w:cs="Arial"/>
              </w:rPr>
              <w:t>563</w:t>
            </w:r>
          </w:p>
        </w:tc>
        <w:tc>
          <w:tcPr>
            <w:tcW w:w="2398" w:type="dxa"/>
          </w:tcPr>
          <w:p w14:paraId="1FB5A975" w14:textId="77777777" w:rsidR="000923BB" w:rsidRPr="00F955C6" w:rsidRDefault="000923BB" w:rsidP="003A385F">
            <w:pPr>
              <w:rPr>
                <w:rFonts w:cs="Arial"/>
              </w:rPr>
            </w:pPr>
            <w:r w:rsidRPr="00F955C6">
              <w:rPr>
                <w:rFonts w:cs="Arial"/>
              </w:rPr>
              <w:t>59%</w:t>
            </w:r>
          </w:p>
        </w:tc>
      </w:tr>
      <w:tr w:rsidR="000923BB" w:rsidRPr="00F955C6" w14:paraId="72FF8B05" w14:textId="77777777" w:rsidTr="003C12FD">
        <w:tc>
          <w:tcPr>
            <w:tcW w:w="1529" w:type="dxa"/>
          </w:tcPr>
          <w:p w14:paraId="0D7601ED" w14:textId="77777777" w:rsidR="000923BB" w:rsidRPr="00F955C6" w:rsidRDefault="000923BB" w:rsidP="003A385F">
            <w:pPr>
              <w:rPr>
                <w:rFonts w:cs="Arial"/>
                <w:b/>
              </w:rPr>
            </w:pPr>
            <w:r w:rsidRPr="00F955C6">
              <w:rPr>
                <w:rFonts w:cs="Arial"/>
                <w:b/>
              </w:rPr>
              <w:t>Total</w:t>
            </w:r>
          </w:p>
        </w:tc>
        <w:tc>
          <w:tcPr>
            <w:tcW w:w="1743" w:type="dxa"/>
          </w:tcPr>
          <w:p w14:paraId="03349E05" w14:textId="77777777" w:rsidR="000923BB" w:rsidRPr="00F955C6" w:rsidRDefault="000923BB" w:rsidP="003A385F">
            <w:pPr>
              <w:rPr>
                <w:rFonts w:cs="Arial"/>
                <w:b/>
              </w:rPr>
            </w:pPr>
          </w:p>
        </w:tc>
        <w:tc>
          <w:tcPr>
            <w:tcW w:w="2268" w:type="dxa"/>
          </w:tcPr>
          <w:p w14:paraId="149ECCC8" w14:textId="77777777" w:rsidR="000923BB" w:rsidRPr="00F955C6" w:rsidRDefault="000923BB" w:rsidP="003A385F">
            <w:pPr>
              <w:rPr>
                <w:rFonts w:cs="Arial"/>
                <w:b/>
              </w:rPr>
            </w:pPr>
            <w:r w:rsidRPr="00F955C6">
              <w:rPr>
                <w:rFonts w:cs="Arial"/>
                <w:b/>
              </w:rPr>
              <w:t>2879</w:t>
            </w:r>
          </w:p>
        </w:tc>
        <w:tc>
          <w:tcPr>
            <w:tcW w:w="2398" w:type="dxa"/>
          </w:tcPr>
          <w:p w14:paraId="2B22D985" w14:textId="77777777" w:rsidR="000923BB" w:rsidRPr="00F955C6" w:rsidRDefault="000923BB" w:rsidP="003A385F">
            <w:pPr>
              <w:rPr>
                <w:rFonts w:cs="Arial"/>
                <w:b/>
              </w:rPr>
            </w:pPr>
            <w:r w:rsidRPr="00F955C6">
              <w:rPr>
                <w:rFonts w:cs="Arial"/>
                <w:b/>
              </w:rPr>
              <w:t>74%</w:t>
            </w:r>
          </w:p>
        </w:tc>
      </w:tr>
    </w:tbl>
    <w:p w14:paraId="50853880" w14:textId="77777777" w:rsidR="000923BB" w:rsidRPr="00FB3AC0" w:rsidRDefault="000923BB" w:rsidP="000923BB">
      <w:pPr>
        <w:rPr>
          <w:rFonts w:cs="Arial"/>
          <w:b/>
          <w:sz w:val="32"/>
          <w:szCs w:val="32"/>
        </w:rPr>
      </w:pPr>
    </w:p>
    <w:p w14:paraId="21D55FBE" w14:textId="77777777" w:rsidR="00E51F88" w:rsidRDefault="00E51F88" w:rsidP="000923BB">
      <w:pPr>
        <w:spacing w:line="360" w:lineRule="auto"/>
        <w:rPr>
          <w:rFonts w:cs="Arial"/>
          <w:b/>
          <w:sz w:val="28"/>
          <w:szCs w:val="28"/>
        </w:rPr>
      </w:pPr>
    </w:p>
    <w:p w14:paraId="11C6BC51" w14:textId="77777777" w:rsidR="008D0A20" w:rsidRDefault="008D0A20" w:rsidP="000923BB">
      <w:pPr>
        <w:spacing w:line="360" w:lineRule="auto"/>
        <w:rPr>
          <w:rFonts w:cs="Arial"/>
          <w:b/>
          <w:sz w:val="28"/>
          <w:szCs w:val="28"/>
        </w:rPr>
      </w:pPr>
    </w:p>
    <w:p w14:paraId="10331D0F" w14:textId="77777777" w:rsidR="008D0A20" w:rsidRDefault="008D0A20" w:rsidP="000923BB">
      <w:pPr>
        <w:spacing w:line="360" w:lineRule="auto"/>
        <w:rPr>
          <w:rFonts w:cs="Arial"/>
          <w:b/>
          <w:sz w:val="28"/>
          <w:szCs w:val="28"/>
        </w:rPr>
      </w:pPr>
    </w:p>
    <w:p w14:paraId="13EE93AE" w14:textId="77777777" w:rsidR="000923BB" w:rsidRPr="00DA5E13" w:rsidRDefault="000923BB" w:rsidP="000923BB">
      <w:pPr>
        <w:spacing w:line="360" w:lineRule="auto"/>
        <w:rPr>
          <w:rFonts w:cs="Arial"/>
          <w:b/>
          <w:sz w:val="28"/>
          <w:szCs w:val="28"/>
        </w:rPr>
      </w:pPr>
      <w:r w:rsidRPr="00DA5E13">
        <w:rPr>
          <w:rFonts w:cs="Arial"/>
          <w:b/>
          <w:sz w:val="28"/>
          <w:szCs w:val="28"/>
        </w:rPr>
        <w:lastRenderedPageBreak/>
        <w:t>Textual data</w:t>
      </w:r>
    </w:p>
    <w:p w14:paraId="42A43BC6" w14:textId="77777777" w:rsidR="000923BB" w:rsidRPr="00FB3AC0" w:rsidRDefault="000923BB" w:rsidP="000923BB">
      <w:pPr>
        <w:spacing w:line="360" w:lineRule="auto"/>
        <w:jc w:val="both"/>
        <w:rPr>
          <w:rFonts w:cs="Arial"/>
          <w:sz w:val="22"/>
          <w:szCs w:val="22"/>
        </w:rPr>
      </w:pPr>
      <w:r w:rsidRPr="00FB3AC0">
        <w:rPr>
          <w:rFonts w:cs="Arial"/>
          <w:sz w:val="22"/>
          <w:szCs w:val="22"/>
        </w:rPr>
        <w:t>We are using the textual data from the holistic review to investigate whether different staff types (for example audit staff, nurses and SpRs) make different types of comment or comment on different issues when asked to review quality of care from patient records.</w:t>
      </w:r>
    </w:p>
    <w:p w14:paraId="3195F24C" w14:textId="77777777" w:rsidR="000923BB" w:rsidRPr="00FB3AC0" w:rsidRDefault="000923BB" w:rsidP="000923BB">
      <w:pPr>
        <w:spacing w:line="360" w:lineRule="auto"/>
        <w:jc w:val="both"/>
        <w:rPr>
          <w:rFonts w:cs="Arial"/>
          <w:sz w:val="22"/>
          <w:szCs w:val="22"/>
        </w:rPr>
      </w:pPr>
    </w:p>
    <w:p w14:paraId="607D1F81" w14:textId="77777777" w:rsidR="000923BB" w:rsidRPr="00FB3AC0" w:rsidRDefault="000923BB" w:rsidP="000923BB">
      <w:pPr>
        <w:spacing w:line="360" w:lineRule="auto"/>
        <w:jc w:val="both"/>
        <w:rPr>
          <w:rFonts w:cs="Arial"/>
          <w:sz w:val="22"/>
          <w:szCs w:val="22"/>
        </w:rPr>
      </w:pPr>
      <w:r w:rsidRPr="00FB3AC0">
        <w:rPr>
          <w:rFonts w:cs="Arial"/>
          <w:sz w:val="22"/>
          <w:szCs w:val="22"/>
        </w:rPr>
        <w:t xml:space="preserve">Each reviewer’s comments have been coded according to the type of comment i.e. whether the comment is a judgement of the care provided or a description of the care provided. Comments have also been coded according to whether the comment relates to the patient records or patient care. We will use this information to determine which type of reviewer (SpR, Nurse, Non-clinical audit staff) provide the most useful types of comments about quality of care. </w:t>
      </w:r>
    </w:p>
    <w:p w14:paraId="3B2E8629" w14:textId="77777777" w:rsidR="000923BB" w:rsidRPr="00FB3AC0" w:rsidRDefault="000923BB" w:rsidP="000923BB">
      <w:pPr>
        <w:spacing w:line="360" w:lineRule="auto"/>
        <w:jc w:val="both"/>
        <w:rPr>
          <w:rFonts w:cs="Arial"/>
          <w:sz w:val="22"/>
          <w:szCs w:val="22"/>
        </w:rPr>
      </w:pPr>
      <w:r w:rsidRPr="00FB3AC0">
        <w:rPr>
          <w:rFonts w:cs="Arial"/>
          <w:sz w:val="22"/>
          <w:szCs w:val="22"/>
        </w:rPr>
        <w:t xml:space="preserve">In some hospitals, different types of staff have reviewed the same records. This is so that we can compare the comments to gain an understanding of the types of comments made by different staff. All the analysis has been anonymised and each reviewer is only identifiable by their reviewer ID. </w:t>
      </w:r>
    </w:p>
    <w:p w14:paraId="02DD94C3" w14:textId="77777777" w:rsidR="000923BB" w:rsidRPr="00FB3AC0" w:rsidRDefault="000923BB" w:rsidP="000923BB">
      <w:pPr>
        <w:spacing w:line="360" w:lineRule="auto"/>
        <w:jc w:val="both"/>
        <w:rPr>
          <w:rFonts w:cs="Arial"/>
          <w:sz w:val="22"/>
          <w:szCs w:val="22"/>
        </w:rPr>
      </w:pPr>
      <w:r w:rsidRPr="00FB3AC0">
        <w:rPr>
          <w:rFonts w:cs="Arial"/>
          <w:sz w:val="22"/>
          <w:szCs w:val="22"/>
        </w:rPr>
        <w:t xml:space="preserve">This analysis is ongoing. We hope to publish the results of the study findings and will provide you with details of any publications. </w:t>
      </w:r>
    </w:p>
    <w:p w14:paraId="09A0A35B" w14:textId="77777777" w:rsidR="000923BB" w:rsidRPr="00FB3AC0" w:rsidRDefault="000923BB" w:rsidP="000923BB">
      <w:pPr>
        <w:spacing w:line="360" w:lineRule="auto"/>
        <w:rPr>
          <w:rFonts w:cs="Arial"/>
          <w:b/>
          <w:sz w:val="32"/>
          <w:szCs w:val="32"/>
        </w:rPr>
      </w:pPr>
    </w:p>
    <w:p w14:paraId="72A79B78" w14:textId="77777777" w:rsidR="000923BB" w:rsidRPr="004932C5" w:rsidRDefault="000923BB" w:rsidP="000923BB">
      <w:pPr>
        <w:spacing w:line="360" w:lineRule="auto"/>
        <w:rPr>
          <w:rFonts w:cs="Arial"/>
          <w:b/>
          <w:sz w:val="28"/>
          <w:szCs w:val="28"/>
        </w:rPr>
      </w:pPr>
      <w:r w:rsidRPr="004932C5">
        <w:rPr>
          <w:rFonts w:cs="Arial"/>
          <w:b/>
          <w:sz w:val="28"/>
          <w:szCs w:val="28"/>
        </w:rPr>
        <w:t>Results</w:t>
      </w:r>
    </w:p>
    <w:p w14:paraId="23045162" w14:textId="77777777" w:rsidR="000923BB" w:rsidRPr="00FB3AC0" w:rsidRDefault="000923BB" w:rsidP="000923BB">
      <w:pPr>
        <w:rPr>
          <w:rFonts w:cs="Arial"/>
          <w:b/>
          <w:sz w:val="32"/>
          <w:szCs w:val="32"/>
        </w:rPr>
      </w:pPr>
    </w:p>
    <w:p w14:paraId="77B2DE76" w14:textId="77777777" w:rsidR="000923BB" w:rsidRPr="00FB3AC0" w:rsidRDefault="000923BB" w:rsidP="000923BB">
      <w:pPr>
        <w:rPr>
          <w:rFonts w:cs="Arial"/>
          <w:b/>
          <w:sz w:val="22"/>
          <w:szCs w:val="22"/>
        </w:rPr>
      </w:pPr>
      <w:r w:rsidRPr="00FB3AC0">
        <w:rPr>
          <w:rFonts w:cs="Arial"/>
          <w:b/>
          <w:sz w:val="22"/>
          <w:szCs w:val="22"/>
        </w:rPr>
        <w:t xml:space="preserve">The following results relate to a review of 38 holistic and 36 </w:t>
      </w:r>
      <w:r>
        <w:rPr>
          <w:rFonts w:cs="Arial"/>
          <w:b/>
          <w:sz w:val="22"/>
          <w:szCs w:val="22"/>
        </w:rPr>
        <w:t>criterion based</w:t>
      </w:r>
      <w:r w:rsidRPr="00FB3AC0">
        <w:rPr>
          <w:rFonts w:cs="Arial"/>
          <w:b/>
          <w:sz w:val="22"/>
          <w:szCs w:val="22"/>
        </w:rPr>
        <w:t xml:space="preserve"> patient records by reviewer 5732</w:t>
      </w:r>
    </w:p>
    <w:p w14:paraId="240D481C" w14:textId="77777777" w:rsidR="000923BB" w:rsidRPr="00FB3AC0" w:rsidRDefault="000923BB" w:rsidP="000923BB">
      <w:pPr>
        <w:rPr>
          <w:rFonts w:cs="Arial"/>
          <w:b/>
          <w:sz w:val="32"/>
          <w:szCs w:val="32"/>
        </w:rPr>
      </w:pPr>
    </w:p>
    <w:p w14:paraId="2C941BBC" w14:textId="77777777" w:rsidR="00E51F88" w:rsidRDefault="00E51F88" w:rsidP="000923BB">
      <w:pPr>
        <w:rPr>
          <w:rFonts w:cs="Arial"/>
          <w:b/>
          <w:sz w:val="28"/>
          <w:szCs w:val="28"/>
        </w:rPr>
      </w:pPr>
    </w:p>
    <w:p w14:paraId="48F8D2AA" w14:textId="77777777" w:rsidR="00E51F88" w:rsidRDefault="00E51F88" w:rsidP="000923BB">
      <w:pPr>
        <w:rPr>
          <w:rFonts w:cs="Arial"/>
          <w:b/>
          <w:sz w:val="28"/>
          <w:szCs w:val="28"/>
        </w:rPr>
      </w:pPr>
    </w:p>
    <w:p w14:paraId="0CB695A8" w14:textId="77777777" w:rsidR="008D0A20" w:rsidRDefault="008D0A20" w:rsidP="000923BB">
      <w:pPr>
        <w:rPr>
          <w:rFonts w:cs="Arial"/>
          <w:b/>
          <w:sz w:val="28"/>
          <w:szCs w:val="28"/>
        </w:rPr>
      </w:pPr>
    </w:p>
    <w:p w14:paraId="539815F6" w14:textId="77777777" w:rsidR="00E51F88" w:rsidRDefault="00E51F88" w:rsidP="000923BB">
      <w:pPr>
        <w:rPr>
          <w:rFonts w:cs="Arial"/>
          <w:b/>
          <w:sz w:val="28"/>
          <w:szCs w:val="28"/>
        </w:rPr>
      </w:pPr>
    </w:p>
    <w:p w14:paraId="0C8F6699" w14:textId="77777777" w:rsidR="000923BB" w:rsidRPr="00F54264" w:rsidRDefault="000923BB" w:rsidP="000923BB">
      <w:pPr>
        <w:rPr>
          <w:rFonts w:cs="Arial"/>
          <w:b/>
          <w:sz w:val="28"/>
          <w:szCs w:val="28"/>
        </w:rPr>
      </w:pPr>
      <w:r w:rsidRPr="00F54264">
        <w:rPr>
          <w:rFonts w:cs="Arial"/>
          <w:b/>
          <w:sz w:val="28"/>
          <w:szCs w:val="28"/>
        </w:rPr>
        <w:lastRenderedPageBreak/>
        <w:t>Key data</w:t>
      </w:r>
    </w:p>
    <w:p w14:paraId="745FA218" w14:textId="77777777" w:rsidR="000923BB" w:rsidRPr="00FB3AC0" w:rsidRDefault="000923BB" w:rsidP="000923BB">
      <w:pPr>
        <w:tabs>
          <w:tab w:val="center" w:pos="3974"/>
        </w:tabs>
        <w:autoSpaceDE w:val="0"/>
        <w:autoSpaceDN w:val="0"/>
        <w:adjustRightInd w:val="0"/>
        <w:rPr>
          <w:rFonts w:cs="Arial"/>
          <w:b/>
          <w:sz w:val="22"/>
          <w:szCs w:val="22"/>
        </w:rPr>
      </w:pPr>
    </w:p>
    <w:p w14:paraId="13DA5A7F" w14:textId="77777777" w:rsidR="000923BB" w:rsidRPr="00FB3AC0" w:rsidRDefault="000923BB" w:rsidP="000923BB">
      <w:pPr>
        <w:tabs>
          <w:tab w:val="center" w:pos="3974"/>
        </w:tabs>
        <w:autoSpaceDE w:val="0"/>
        <w:autoSpaceDN w:val="0"/>
        <w:adjustRightInd w:val="0"/>
        <w:rPr>
          <w:rFonts w:cs="Arial"/>
          <w:b/>
          <w:sz w:val="22"/>
          <w:szCs w:val="22"/>
        </w:rPr>
      </w:pPr>
      <w:r w:rsidRPr="00FB3AC0">
        <w:rPr>
          <w:rFonts w:cs="Arial"/>
          <w:b/>
          <w:sz w:val="22"/>
          <w:szCs w:val="22"/>
        </w:rPr>
        <w:t>Gender</w:t>
      </w:r>
    </w:p>
    <w:p w14:paraId="3ACE83A4" w14:textId="77777777" w:rsidR="000923BB" w:rsidRPr="00FB3AC0" w:rsidRDefault="000923BB" w:rsidP="000923BB">
      <w:pPr>
        <w:tabs>
          <w:tab w:val="center" w:pos="3398"/>
        </w:tabs>
        <w:autoSpaceDE w:val="0"/>
        <w:autoSpaceDN w:val="0"/>
        <w:adjustRightInd w:val="0"/>
        <w:rPr>
          <w:rFonts w:cs="Arial"/>
          <w:b/>
          <w:bCs/>
          <w:color w:val="000000"/>
          <w:sz w:val="18"/>
          <w:szCs w:val="18"/>
          <w:lang w:val="en-US"/>
        </w:rPr>
      </w:pPr>
    </w:p>
    <w:tbl>
      <w:tblPr>
        <w:tblW w:w="0" w:type="auto"/>
        <w:tblInd w:w="93" w:type="dxa"/>
        <w:tblLayout w:type="fixed"/>
        <w:tblCellMar>
          <w:left w:w="93" w:type="dxa"/>
          <w:right w:w="93" w:type="dxa"/>
        </w:tblCellMar>
        <w:tblLook w:val="0000" w:firstRow="0" w:lastRow="0" w:firstColumn="0" w:lastColumn="0" w:noHBand="0" w:noVBand="0"/>
      </w:tblPr>
      <w:tblGrid>
        <w:gridCol w:w="206"/>
        <w:gridCol w:w="1464"/>
        <w:gridCol w:w="1123"/>
        <w:gridCol w:w="1080"/>
      </w:tblGrid>
      <w:tr w:rsidR="000923BB" w:rsidRPr="00FB3AC0" w14:paraId="07CD4D5D" w14:textId="77777777" w:rsidTr="003A385F">
        <w:trPr>
          <w:trHeight w:val="504"/>
        </w:trPr>
        <w:tc>
          <w:tcPr>
            <w:tcW w:w="167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1F9D0BB0"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66D621FF"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n</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3FE32348"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Percent</w:t>
            </w:r>
          </w:p>
        </w:tc>
      </w:tr>
      <w:tr w:rsidR="000923BB" w:rsidRPr="00FB3AC0" w14:paraId="04EAE61C" w14:textId="77777777" w:rsidTr="003A385F">
        <w:trPr>
          <w:trHeight w:val="273"/>
        </w:trPr>
        <w:tc>
          <w:tcPr>
            <w:tcW w:w="206" w:type="dxa"/>
            <w:tcBorders>
              <w:top w:val="single" w:sz="12" w:space="0" w:color="000000"/>
              <w:left w:val="single" w:sz="12" w:space="0" w:color="000000"/>
              <w:bottom w:val="nil"/>
              <w:right w:val="nil"/>
            </w:tcBorders>
            <w:shd w:val="clear" w:color="000000" w:fill="FFFFFF"/>
          </w:tcPr>
          <w:p w14:paraId="6A1D91D8" w14:textId="77777777" w:rsidR="000923BB" w:rsidRPr="00FB3AC0" w:rsidRDefault="000923BB" w:rsidP="003A385F">
            <w:pPr>
              <w:autoSpaceDE w:val="0"/>
              <w:autoSpaceDN w:val="0"/>
              <w:adjustRightInd w:val="0"/>
              <w:rPr>
                <w:rFonts w:cs="Arial"/>
                <w:color w:val="000000"/>
                <w:sz w:val="18"/>
                <w:szCs w:val="18"/>
                <w:lang w:val="en-US"/>
              </w:rPr>
            </w:pPr>
          </w:p>
        </w:tc>
        <w:tc>
          <w:tcPr>
            <w:tcW w:w="1464" w:type="dxa"/>
            <w:tcBorders>
              <w:top w:val="single" w:sz="12" w:space="0" w:color="000000"/>
              <w:left w:val="nil"/>
              <w:bottom w:val="nil"/>
              <w:right w:val="single" w:sz="12" w:space="0" w:color="000000"/>
            </w:tcBorders>
            <w:shd w:val="clear" w:color="000000" w:fill="FFFFFF"/>
          </w:tcPr>
          <w:p w14:paraId="0B70F9FE"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Female</w:t>
            </w:r>
          </w:p>
        </w:tc>
        <w:tc>
          <w:tcPr>
            <w:tcW w:w="1123" w:type="dxa"/>
            <w:tcBorders>
              <w:top w:val="single" w:sz="12" w:space="0" w:color="000000"/>
              <w:left w:val="single" w:sz="12" w:space="0" w:color="000000"/>
              <w:bottom w:val="nil"/>
              <w:right w:val="single" w:sz="2" w:space="0" w:color="000000"/>
            </w:tcBorders>
            <w:shd w:val="clear" w:color="000000" w:fill="FFFFFF"/>
          </w:tcPr>
          <w:p w14:paraId="083335AE" w14:textId="77777777" w:rsidR="000923BB" w:rsidRPr="00FB3AC0" w:rsidRDefault="000923BB" w:rsidP="003A385F">
            <w:pPr>
              <w:rPr>
                <w:rFonts w:cs="Arial"/>
                <w:sz w:val="20"/>
                <w:szCs w:val="20"/>
              </w:rPr>
            </w:pPr>
            <w:r w:rsidRPr="00FB3AC0">
              <w:rPr>
                <w:rFonts w:cs="Arial"/>
                <w:sz w:val="20"/>
                <w:szCs w:val="20"/>
              </w:rPr>
              <w:t>18</w:t>
            </w:r>
          </w:p>
        </w:tc>
        <w:tc>
          <w:tcPr>
            <w:tcW w:w="1080" w:type="dxa"/>
            <w:tcBorders>
              <w:top w:val="single" w:sz="12" w:space="0" w:color="000000"/>
              <w:left w:val="single" w:sz="2" w:space="0" w:color="000000"/>
              <w:bottom w:val="nil"/>
              <w:right w:val="single" w:sz="2" w:space="0" w:color="000000"/>
            </w:tcBorders>
            <w:shd w:val="clear" w:color="000000" w:fill="FFFFFF"/>
          </w:tcPr>
          <w:p w14:paraId="2F9F14BA" w14:textId="77777777" w:rsidR="000923BB" w:rsidRPr="00FB3AC0" w:rsidRDefault="000923BB" w:rsidP="003A385F">
            <w:pPr>
              <w:rPr>
                <w:rFonts w:cs="Arial"/>
                <w:sz w:val="20"/>
                <w:szCs w:val="20"/>
              </w:rPr>
            </w:pPr>
            <w:r w:rsidRPr="00FB3AC0">
              <w:rPr>
                <w:rFonts w:cs="Arial"/>
                <w:sz w:val="20"/>
                <w:szCs w:val="20"/>
              </w:rPr>
              <w:t>50.0</w:t>
            </w:r>
          </w:p>
        </w:tc>
      </w:tr>
      <w:tr w:rsidR="000923BB" w:rsidRPr="00FB3AC0" w14:paraId="6F24634E" w14:textId="77777777" w:rsidTr="003A385F">
        <w:trPr>
          <w:trHeight w:val="273"/>
        </w:trPr>
        <w:tc>
          <w:tcPr>
            <w:tcW w:w="206" w:type="dxa"/>
            <w:tcBorders>
              <w:top w:val="nil"/>
              <w:left w:val="single" w:sz="12" w:space="0" w:color="000000"/>
              <w:bottom w:val="nil"/>
              <w:right w:val="nil"/>
            </w:tcBorders>
            <w:shd w:val="clear" w:color="000000" w:fill="FFFFFF"/>
          </w:tcPr>
          <w:p w14:paraId="428A7F09"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464" w:type="dxa"/>
            <w:tcBorders>
              <w:top w:val="nil"/>
              <w:left w:val="nil"/>
              <w:bottom w:val="nil"/>
              <w:right w:val="single" w:sz="12" w:space="0" w:color="000000"/>
            </w:tcBorders>
            <w:shd w:val="clear" w:color="000000" w:fill="FFFFFF"/>
          </w:tcPr>
          <w:p w14:paraId="56386551"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Male</w:t>
            </w:r>
          </w:p>
        </w:tc>
        <w:tc>
          <w:tcPr>
            <w:tcW w:w="1123" w:type="dxa"/>
            <w:tcBorders>
              <w:top w:val="nil"/>
              <w:left w:val="single" w:sz="12" w:space="0" w:color="000000"/>
              <w:bottom w:val="nil"/>
              <w:right w:val="single" w:sz="2" w:space="0" w:color="000000"/>
            </w:tcBorders>
            <w:shd w:val="clear" w:color="000000" w:fill="FFFFFF"/>
          </w:tcPr>
          <w:p w14:paraId="4C93C797" w14:textId="77777777" w:rsidR="000923BB" w:rsidRPr="00FB3AC0" w:rsidRDefault="000923BB" w:rsidP="003A385F">
            <w:pPr>
              <w:rPr>
                <w:rFonts w:cs="Arial"/>
                <w:sz w:val="20"/>
                <w:szCs w:val="20"/>
              </w:rPr>
            </w:pPr>
            <w:r w:rsidRPr="00FB3AC0">
              <w:rPr>
                <w:rFonts w:cs="Arial"/>
                <w:sz w:val="20"/>
                <w:szCs w:val="20"/>
              </w:rPr>
              <w:t>18</w:t>
            </w:r>
          </w:p>
        </w:tc>
        <w:tc>
          <w:tcPr>
            <w:tcW w:w="1080" w:type="dxa"/>
            <w:tcBorders>
              <w:top w:val="nil"/>
              <w:left w:val="single" w:sz="2" w:space="0" w:color="000000"/>
              <w:bottom w:val="nil"/>
              <w:right w:val="single" w:sz="2" w:space="0" w:color="000000"/>
            </w:tcBorders>
            <w:shd w:val="clear" w:color="000000" w:fill="FFFFFF"/>
          </w:tcPr>
          <w:p w14:paraId="5C5CCCA9" w14:textId="77777777" w:rsidR="000923BB" w:rsidRPr="00FB3AC0" w:rsidRDefault="000923BB" w:rsidP="003A385F">
            <w:pPr>
              <w:rPr>
                <w:rFonts w:cs="Arial"/>
                <w:sz w:val="20"/>
                <w:szCs w:val="20"/>
              </w:rPr>
            </w:pPr>
            <w:r w:rsidRPr="00FB3AC0">
              <w:rPr>
                <w:rFonts w:cs="Arial"/>
                <w:sz w:val="20"/>
                <w:szCs w:val="20"/>
              </w:rPr>
              <w:t>50.0</w:t>
            </w:r>
          </w:p>
        </w:tc>
      </w:tr>
      <w:tr w:rsidR="000923BB" w:rsidRPr="00FB3AC0" w14:paraId="5C1F6566" w14:textId="77777777" w:rsidTr="003A385F">
        <w:trPr>
          <w:trHeight w:val="273"/>
        </w:trPr>
        <w:tc>
          <w:tcPr>
            <w:tcW w:w="206" w:type="dxa"/>
            <w:tcBorders>
              <w:top w:val="nil"/>
              <w:left w:val="single" w:sz="12" w:space="0" w:color="000000"/>
              <w:bottom w:val="single" w:sz="12" w:space="0" w:color="000000"/>
              <w:right w:val="nil"/>
            </w:tcBorders>
            <w:shd w:val="clear" w:color="000000" w:fill="FFFFFF"/>
          </w:tcPr>
          <w:p w14:paraId="6202A776"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464" w:type="dxa"/>
            <w:tcBorders>
              <w:top w:val="nil"/>
              <w:left w:val="nil"/>
              <w:bottom w:val="single" w:sz="12" w:space="0" w:color="000000"/>
              <w:right w:val="single" w:sz="12" w:space="0" w:color="000000"/>
            </w:tcBorders>
            <w:shd w:val="clear" w:color="000000" w:fill="FFFFFF"/>
          </w:tcPr>
          <w:p w14:paraId="1ADF4B16"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Total</w:t>
            </w:r>
          </w:p>
        </w:tc>
        <w:tc>
          <w:tcPr>
            <w:tcW w:w="1123" w:type="dxa"/>
            <w:tcBorders>
              <w:top w:val="nil"/>
              <w:left w:val="single" w:sz="12" w:space="0" w:color="000000"/>
              <w:bottom w:val="single" w:sz="12" w:space="0" w:color="000000"/>
              <w:right w:val="single" w:sz="2" w:space="0" w:color="000000"/>
            </w:tcBorders>
            <w:shd w:val="clear" w:color="000000" w:fill="FFFFFF"/>
          </w:tcPr>
          <w:p w14:paraId="03505015" w14:textId="77777777" w:rsidR="000923BB" w:rsidRPr="00FB3AC0" w:rsidRDefault="000923BB" w:rsidP="003A385F">
            <w:pPr>
              <w:rPr>
                <w:rFonts w:cs="Arial"/>
                <w:sz w:val="20"/>
                <w:szCs w:val="20"/>
              </w:rPr>
            </w:pPr>
            <w:r w:rsidRPr="00FB3AC0">
              <w:rPr>
                <w:rFonts w:cs="Arial"/>
                <w:sz w:val="20"/>
                <w:szCs w:val="20"/>
              </w:rPr>
              <w:t>36</w:t>
            </w:r>
          </w:p>
        </w:tc>
        <w:tc>
          <w:tcPr>
            <w:tcW w:w="1080" w:type="dxa"/>
            <w:tcBorders>
              <w:top w:val="nil"/>
              <w:left w:val="single" w:sz="2" w:space="0" w:color="000000"/>
              <w:bottom w:val="single" w:sz="12" w:space="0" w:color="000000"/>
              <w:right w:val="single" w:sz="2" w:space="0" w:color="000000"/>
            </w:tcBorders>
            <w:shd w:val="clear" w:color="000000" w:fill="FFFFFF"/>
          </w:tcPr>
          <w:p w14:paraId="3B1CD4E0" w14:textId="77777777" w:rsidR="000923BB" w:rsidRPr="00FB3AC0" w:rsidRDefault="000923BB" w:rsidP="003A385F">
            <w:pPr>
              <w:rPr>
                <w:rFonts w:cs="Arial"/>
                <w:sz w:val="20"/>
                <w:szCs w:val="20"/>
              </w:rPr>
            </w:pPr>
            <w:r w:rsidRPr="00FB3AC0">
              <w:rPr>
                <w:rFonts w:cs="Arial"/>
                <w:sz w:val="20"/>
                <w:szCs w:val="20"/>
              </w:rPr>
              <w:t>100.0</w:t>
            </w:r>
          </w:p>
        </w:tc>
      </w:tr>
    </w:tbl>
    <w:p w14:paraId="3B81EA99" w14:textId="77777777" w:rsidR="000923BB" w:rsidRPr="00FB3AC0" w:rsidRDefault="000923BB" w:rsidP="000923BB">
      <w:pPr>
        <w:tabs>
          <w:tab w:val="center" w:pos="3657"/>
        </w:tabs>
        <w:autoSpaceDE w:val="0"/>
        <w:autoSpaceDN w:val="0"/>
        <w:adjustRightInd w:val="0"/>
        <w:rPr>
          <w:rFonts w:cs="Arial"/>
          <w:b/>
          <w:bCs/>
          <w:color w:val="000000"/>
          <w:sz w:val="18"/>
          <w:szCs w:val="18"/>
          <w:lang w:val="en-US"/>
        </w:rPr>
      </w:pPr>
    </w:p>
    <w:p w14:paraId="0211C2AE" w14:textId="77777777" w:rsidR="004932C5" w:rsidRDefault="004932C5" w:rsidP="000923BB">
      <w:pPr>
        <w:tabs>
          <w:tab w:val="center" w:pos="3657"/>
        </w:tabs>
        <w:autoSpaceDE w:val="0"/>
        <w:autoSpaceDN w:val="0"/>
        <w:adjustRightInd w:val="0"/>
        <w:rPr>
          <w:rFonts w:cs="Arial"/>
          <w:b/>
          <w:bCs/>
          <w:color w:val="000000"/>
          <w:sz w:val="22"/>
          <w:szCs w:val="22"/>
          <w:lang w:val="en-US"/>
        </w:rPr>
      </w:pPr>
    </w:p>
    <w:p w14:paraId="7E66518B" w14:textId="77777777" w:rsidR="000923BB" w:rsidRPr="00FB3AC0" w:rsidRDefault="000923BB" w:rsidP="000923BB">
      <w:pPr>
        <w:tabs>
          <w:tab w:val="center" w:pos="3657"/>
        </w:tabs>
        <w:autoSpaceDE w:val="0"/>
        <w:autoSpaceDN w:val="0"/>
        <w:adjustRightInd w:val="0"/>
        <w:rPr>
          <w:rFonts w:cs="Arial"/>
          <w:b/>
          <w:bCs/>
          <w:color w:val="000000"/>
          <w:sz w:val="22"/>
          <w:szCs w:val="22"/>
          <w:lang w:val="en-US"/>
        </w:rPr>
      </w:pPr>
      <w:r w:rsidRPr="00FB3AC0">
        <w:rPr>
          <w:rFonts w:cs="Arial"/>
          <w:b/>
          <w:bCs/>
          <w:color w:val="000000"/>
          <w:sz w:val="22"/>
          <w:szCs w:val="22"/>
          <w:lang w:val="en-US"/>
        </w:rPr>
        <w:t>Number of patients accepted onto an early discharge scheme</w:t>
      </w:r>
    </w:p>
    <w:p w14:paraId="36533484" w14:textId="77777777" w:rsidR="000923BB" w:rsidRPr="00FB3AC0" w:rsidRDefault="000923BB" w:rsidP="000923BB">
      <w:pPr>
        <w:tabs>
          <w:tab w:val="center" w:pos="3657"/>
        </w:tabs>
        <w:autoSpaceDE w:val="0"/>
        <w:autoSpaceDN w:val="0"/>
        <w:adjustRightInd w:val="0"/>
        <w:rPr>
          <w:rFonts w:cs="Arial"/>
          <w:b/>
          <w:bCs/>
          <w:color w:val="000000"/>
          <w:sz w:val="18"/>
          <w:szCs w:val="18"/>
          <w:lang w:val="en-US"/>
        </w:rPr>
      </w:pPr>
    </w:p>
    <w:tbl>
      <w:tblPr>
        <w:tblW w:w="0" w:type="auto"/>
        <w:tblInd w:w="93" w:type="dxa"/>
        <w:tblLayout w:type="fixed"/>
        <w:tblCellMar>
          <w:left w:w="93" w:type="dxa"/>
          <w:right w:w="93" w:type="dxa"/>
        </w:tblCellMar>
        <w:tblLook w:val="0000" w:firstRow="0" w:lastRow="0" w:firstColumn="0" w:lastColumn="0" w:noHBand="0" w:noVBand="0"/>
      </w:tblPr>
      <w:tblGrid>
        <w:gridCol w:w="206"/>
        <w:gridCol w:w="1982"/>
        <w:gridCol w:w="1123"/>
        <w:gridCol w:w="1080"/>
      </w:tblGrid>
      <w:tr w:rsidR="000923BB" w:rsidRPr="00FB3AC0" w14:paraId="378C1424" w14:textId="77777777" w:rsidTr="003A385F">
        <w:trPr>
          <w:trHeight w:val="504"/>
        </w:trPr>
        <w:tc>
          <w:tcPr>
            <w:tcW w:w="2188"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31126F77"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2B4AF4F5"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n</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75A434D7"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Percent</w:t>
            </w:r>
          </w:p>
        </w:tc>
      </w:tr>
      <w:tr w:rsidR="000923BB" w:rsidRPr="00FB3AC0" w14:paraId="35456014" w14:textId="77777777" w:rsidTr="003A385F">
        <w:trPr>
          <w:trHeight w:val="273"/>
        </w:trPr>
        <w:tc>
          <w:tcPr>
            <w:tcW w:w="206" w:type="dxa"/>
            <w:tcBorders>
              <w:top w:val="single" w:sz="12" w:space="0" w:color="000000"/>
              <w:left w:val="single" w:sz="12" w:space="0" w:color="000000"/>
              <w:bottom w:val="nil"/>
              <w:right w:val="nil"/>
            </w:tcBorders>
            <w:shd w:val="clear" w:color="000000" w:fill="FFFFFF"/>
          </w:tcPr>
          <w:p w14:paraId="13ED829F" w14:textId="77777777" w:rsidR="000923BB" w:rsidRPr="00FB3AC0" w:rsidRDefault="000923BB" w:rsidP="003A385F">
            <w:pPr>
              <w:autoSpaceDE w:val="0"/>
              <w:autoSpaceDN w:val="0"/>
              <w:adjustRightInd w:val="0"/>
              <w:rPr>
                <w:rFonts w:cs="Arial"/>
                <w:color w:val="000000"/>
                <w:sz w:val="18"/>
                <w:szCs w:val="18"/>
                <w:lang w:val="en-US"/>
              </w:rPr>
            </w:pPr>
          </w:p>
        </w:tc>
        <w:tc>
          <w:tcPr>
            <w:tcW w:w="1982" w:type="dxa"/>
            <w:tcBorders>
              <w:top w:val="single" w:sz="12" w:space="0" w:color="000000"/>
              <w:left w:val="nil"/>
              <w:bottom w:val="nil"/>
              <w:right w:val="single" w:sz="12" w:space="0" w:color="000000"/>
            </w:tcBorders>
            <w:shd w:val="clear" w:color="000000" w:fill="FFFFFF"/>
          </w:tcPr>
          <w:p w14:paraId="19B8C390"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Not accepted onto an early discharge scheme</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14:paraId="60332ED2" w14:textId="77777777" w:rsidR="000923BB" w:rsidRPr="00FB3AC0" w:rsidRDefault="000923BB" w:rsidP="003A385F">
            <w:pPr>
              <w:autoSpaceDE w:val="0"/>
              <w:autoSpaceDN w:val="0"/>
              <w:adjustRightInd w:val="0"/>
              <w:jc w:val="right"/>
              <w:rPr>
                <w:rFonts w:cs="Arial"/>
                <w:color w:val="000000"/>
                <w:sz w:val="18"/>
                <w:szCs w:val="18"/>
                <w:lang w:val="en-US"/>
              </w:rPr>
            </w:pPr>
            <w:r w:rsidRPr="00FB3AC0">
              <w:rPr>
                <w:rFonts w:cs="Arial"/>
                <w:color w:val="000000"/>
                <w:sz w:val="18"/>
                <w:szCs w:val="18"/>
                <w:lang w:val="en-US"/>
              </w:rPr>
              <w:t>36</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26982161" w14:textId="77777777" w:rsidR="000923BB" w:rsidRPr="00FB3AC0" w:rsidRDefault="000923BB" w:rsidP="003A385F">
            <w:pPr>
              <w:autoSpaceDE w:val="0"/>
              <w:autoSpaceDN w:val="0"/>
              <w:adjustRightInd w:val="0"/>
              <w:jc w:val="right"/>
              <w:rPr>
                <w:rFonts w:cs="Arial"/>
                <w:color w:val="000000"/>
                <w:sz w:val="18"/>
                <w:szCs w:val="18"/>
                <w:lang w:val="en-US"/>
              </w:rPr>
            </w:pPr>
            <w:r w:rsidRPr="00FB3AC0">
              <w:rPr>
                <w:rFonts w:cs="Arial"/>
                <w:color w:val="000000"/>
                <w:sz w:val="18"/>
                <w:szCs w:val="18"/>
                <w:lang w:val="en-US"/>
              </w:rPr>
              <w:t>100.0</w:t>
            </w:r>
          </w:p>
        </w:tc>
      </w:tr>
      <w:tr w:rsidR="000923BB" w:rsidRPr="00FB3AC0" w14:paraId="02BC9786" w14:textId="77777777" w:rsidTr="003A385F">
        <w:trPr>
          <w:trHeight w:val="273"/>
        </w:trPr>
        <w:tc>
          <w:tcPr>
            <w:tcW w:w="206" w:type="dxa"/>
            <w:tcBorders>
              <w:top w:val="nil"/>
              <w:left w:val="single" w:sz="12" w:space="0" w:color="000000"/>
              <w:bottom w:val="nil"/>
              <w:right w:val="nil"/>
            </w:tcBorders>
            <w:shd w:val="clear" w:color="000000" w:fill="FFFFFF"/>
          </w:tcPr>
          <w:p w14:paraId="4183B0F0"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982" w:type="dxa"/>
            <w:tcBorders>
              <w:top w:val="nil"/>
              <w:left w:val="nil"/>
              <w:bottom w:val="nil"/>
              <w:right w:val="single" w:sz="12" w:space="0" w:color="000000"/>
            </w:tcBorders>
            <w:shd w:val="clear" w:color="000000" w:fill="FFFFFF"/>
          </w:tcPr>
          <w:p w14:paraId="7427C093"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not applicable</w:t>
            </w:r>
          </w:p>
        </w:tc>
        <w:tc>
          <w:tcPr>
            <w:tcW w:w="1123" w:type="dxa"/>
            <w:tcBorders>
              <w:top w:val="nil"/>
              <w:left w:val="single" w:sz="12" w:space="0" w:color="000000"/>
              <w:bottom w:val="nil"/>
              <w:right w:val="single" w:sz="2" w:space="0" w:color="000000"/>
            </w:tcBorders>
            <w:shd w:val="clear" w:color="000000" w:fill="FFFFFF"/>
            <w:vAlign w:val="center"/>
          </w:tcPr>
          <w:p w14:paraId="3413BBFE" w14:textId="77777777" w:rsidR="000923BB" w:rsidRPr="00FB3AC0" w:rsidRDefault="000923BB" w:rsidP="003A385F">
            <w:pPr>
              <w:autoSpaceDE w:val="0"/>
              <w:autoSpaceDN w:val="0"/>
              <w:adjustRightInd w:val="0"/>
              <w:jc w:val="right"/>
              <w:rPr>
                <w:rFonts w:cs="Arial"/>
                <w:color w:val="000000"/>
                <w:sz w:val="18"/>
                <w:szCs w:val="18"/>
                <w:lang w:val="en-US"/>
              </w:rPr>
            </w:pPr>
            <w:r w:rsidRPr="00FB3AC0">
              <w:rPr>
                <w:rFonts w:cs="Arial"/>
                <w:color w:val="000000"/>
                <w:sz w:val="18"/>
                <w:szCs w:val="18"/>
                <w:lang w:val="en-US"/>
              </w:rPr>
              <w:t>0</w:t>
            </w:r>
          </w:p>
        </w:tc>
        <w:tc>
          <w:tcPr>
            <w:tcW w:w="1080" w:type="dxa"/>
            <w:tcBorders>
              <w:top w:val="nil"/>
              <w:left w:val="single" w:sz="2" w:space="0" w:color="000000"/>
              <w:bottom w:val="nil"/>
              <w:right w:val="single" w:sz="2" w:space="0" w:color="000000"/>
            </w:tcBorders>
            <w:shd w:val="clear" w:color="000000" w:fill="FFFFFF"/>
            <w:vAlign w:val="center"/>
          </w:tcPr>
          <w:p w14:paraId="741FCB06" w14:textId="77777777" w:rsidR="000923BB" w:rsidRPr="00FB3AC0" w:rsidRDefault="000923BB" w:rsidP="003A385F">
            <w:pPr>
              <w:autoSpaceDE w:val="0"/>
              <w:autoSpaceDN w:val="0"/>
              <w:adjustRightInd w:val="0"/>
              <w:jc w:val="right"/>
              <w:rPr>
                <w:rFonts w:cs="Arial"/>
                <w:color w:val="000000"/>
                <w:sz w:val="18"/>
                <w:szCs w:val="18"/>
                <w:lang w:val="en-US"/>
              </w:rPr>
            </w:pPr>
            <w:r w:rsidRPr="00FB3AC0">
              <w:rPr>
                <w:rFonts w:cs="Arial"/>
                <w:color w:val="000000"/>
                <w:sz w:val="18"/>
                <w:szCs w:val="18"/>
                <w:lang w:val="en-US"/>
              </w:rPr>
              <w:t>0.0</w:t>
            </w:r>
          </w:p>
        </w:tc>
      </w:tr>
      <w:tr w:rsidR="000923BB" w:rsidRPr="00FB3AC0" w14:paraId="33DD5A36" w14:textId="77777777" w:rsidTr="003A385F">
        <w:trPr>
          <w:trHeight w:val="273"/>
        </w:trPr>
        <w:tc>
          <w:tcPr>
            <w:tcW w:w="206" w:type="dxa"/>
            <w:tcBorders>
              <w:top w:val="nil"/>
              <w:left w:val="single" w:sz="12" w:space="0" w:color="000000"/>
              <w:bottom w:val="nil"/>
              <w:right w:val="nil"/>
            </w:tcBorders>
            <w:shd w:val="clear" w:color="000000" w:fill="FFFFFF"/>
          </w:tcPr>
          <w:p w14:paraId="180DAA5A"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982" w:type="dxa"/>
            <w:tcBorders>
              <w:top w:val="nil"/>
              <w:left w:val="nil"/>
              <w:bottom w:val="nil"/>
              <w:right w:val="single" w:sz="12" w:space="0" w:color="000000"/>
            </w:tcBorders>
            <w:shd w:val="clear" w:color="000000" w:fill="FFFFFF"/>
          </w:tcPr>
          <w:p w14:paraId="5F4CFACA"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Accepted onto an early discharge scheme</w:t>
            </w:r>
          </w:p>
        </w:tc>
        <w:tc>
          <w:tcPr>
            <w:tcW w:w="1123" w:type="dxa"/>
            <w:tcBorders>
              <w:top w:val="nil"/>
              <w:left w:val="single" w:sz="12" w:space="0" w:color="000000"/>
              <w:bottom w:val="nil"/>
              <w:right w:val="single" w:sz="2" w:space="0" w:color="000000"/>
            </w:tcBorders>
            <w:shd w:val="clear" w:color="000000" w:fill="FFFFFF"/>
            <w:vAlign w:val="center"/>
          </w:tcPr>
          <w:p w14:paraId="273DFBCA" w14:textId="77777777" w:rsidR="000923BB" w:rsidRPr="00FB3AC0" w:rsidRDefault="000923BB" w:rsidP="003A385F">
            <w:pPr>
              <w:autoSpaceDE w:val="0"/>
              <w:autoSpaceDN w:val="0"/>
              <w:adjustRightInd w:val="0"/>
              <w:jc w:val="right"/>
              <w:rPr>
                <w:rFonts w:cs="Arial"/>
                <w:color w:val="000000"/>
                <w:sz w:val="18"/>
                <w:szCs w:val="18"/>
                <w:lang w:val="en-US"/>
              </w:rPr>
            </w:pPr>
            <w:r w:rsidRPr="00FB3AC0">
              <w:rPr>
                <w:rFonts w:cs="Arial"/>
                <w:color w:val="000000"/>
                <w:sz w:val="18"/>
                <w:szCs w:val="18"/>
                <w:lang w:val="en-US"/>
              </w:rPr>
              <w:t>0</w:t>
            </w:r>
          </w:p>
        </w:tc>
        <w:tc>
          <w:tcPr>
            <w:tcW w:w="1080" w:type="dxa"/>
            <w:tcBorders>
              <w:top w:val="nil"/>
              <w:left w:val="single" w:sz="2" w:space="0" w:color="000000"/>
              <w:bottom w:val="nil"/>
              <w:right w:val="single" w:sz="2" w:space="0" w:color="000000"/>
            </w:tcBorders>
            <w:shd w:val="clear" w:color="000000" w:fill="FFFFFF"/>
            <w:vAlign w:val="center"/>
          </w:tcPr>
          <w:p w14:paraId="0FF13726" w14:textId="77777777" w:rsidR="000923BB" w:rsidRPr="00FB3AC0" w:rsidRDefault="000923BB" w:rsidP="003A385F">
            <w:pPr>
              <w:autoSpaceDE w:val="0"/>
              <w:autoSpaceDN w:val="0"/>
              <w:adjustRightInd w:val="0"/>
              <w:jc w:val="right"/>
              <w:rPr>
                <w:rFonts w:cs="Arial"/>
                <w:color w:val="000000"/>
                <w:sz w:val="18"/>
                <w:szCs w:val="18"/>
                <w:lang w:val="en-US"/>
              </w:rPr>
            </w:pPr>
            <w:r w:rsidRPr="00FB3AC0">
              <w:rPr>
                <w:rFonts w:cs="Arial"/>
                <w:color w:val="000000"/>
                <w:sz w:val="18"/>
                <w:szCs w:val="18"/>
                <w:lang w:val="en-US"/>
              </w:rPr>
              <w:t>0.0</w:t>
            </w:r>
          </w:p>
        </w:tc>
      </w:tr>
      <w:tr w:rsidR="000923BB" w:rsidRPr="00FB3AC0" w14:paraId="4497CC64" w14:textId="77777777" w:rsidTr="003A385F">
        <w:trPr>
          <w:trHeight w:val="273"/>
        </w:trPr>
        <w:tc>
          <w:tcPr>
            <w:tcW w:w="206" w:type="dxa"/>
            <w:tcBorders>
              <w:top w:val="nil"/>
              <w:left w:val="single" w:sz="12" w:space="0" w:color="000000"/>
              <w:bottom w:val="single" w:sz="12" w:space="0" w:color="000000"/>
              <w:right w:val="nil"/>
            </w:tcBorders>
            <w:shd w:val="clear" w:color="000000" w:fill="FFFFFF"/>
          </w:tcPr>
          <w:p w14:paraId="4DDAA64E"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982" w:type="dxa"/>
            <w:tcBorders>
              <w:top w:val="nil"/>
              <w:left w:val="nil"/>
              <w:bottom w:val="single" w:sz="12" w:space="0" w:color="000000"/>
              <w:right w:val="single" w:sz="12" w:space="0" w:color="000000"/>
            </w:tcBorders>
            <w:shd w:val="clear" w:color="000000" w:fill="FFFFFF"/>
          </w:tcPr>
          <w:p w14:paraId="582ACC43"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14:paraId="7CEAFC94" w14:textId="77777777" w:rsidR="000923BB" w:rsidRPr="00FB3AC0" w:rsidRDefault="000923BB" w:rsidP="003A385F">
            <w:pPr>
              <w:autoSpaceDE w:val="0"/>
              <w:autoSpaceDN w:val="0"/>
              <w:adjustRightInd w:val="0"/>
              <w:jc w:val="right"/>
              <w:rPr>
                <w:rFonts w:cs="Arial"/>
                <w:color w:val="000000"/>
                <w:sz w:val="18"/>
                <w:szCs w:val="18"/>
                <w:lang w:val="en-US"/>
              </w:rPr>
            </w:pPr>
            <w:r w:rsidRPr="00FB3AC0">
              <w:rPr>
                <w:rFonts w:cs="Arial"/>
                <w:color w:val="000000"/>
                <w:sz w:val="18"/>
                <w:szCs w:val="18"/>
                <w:lang w:val="en-US"/>
              </w:rPr>
              <w:t>0</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5DE8BC97" w14:textId="77777777" w:rsidR="000923BB" w:rsidRPr="00FB3AC0" w:rsidRDefault="000923BB" w:rsidP="003A385F">
            <w:pPr>
              <w:autoSpaceDE w:val="0"/>
              <w:autoSpaceDN w:val="0"/>
              <w:adjustRightInd w:val="0"/>
              <w:jc w:val="right"/>
              <w:rPr>
                <w:rFonts w:cs="Arial"/>
                <w:color w:val="000000"/>
                <w:sz w:val="18"/>
                <w:szCs w:val="18"/>
                <w:lang w:val="en-US"/>
              </w:rPr>
            </w:pPr>
            <w:r w:rsidRPr="00FB3AC0">
              <w:rPr>
                <w:rFonts w:cs="Arial"/>
                <w:color w:val="000000"/>
                <w:sz w:val="18"/>
                <w:szCs w:val="18"/>
                <w:lang w:val="en-US"/>
              </w:rPr>
              <w:t>0.0</w:t>
            </w:r>
          </w:p>
        </w:tc>
      </w:tr>
    </w:tbl>
    <w:p w14:paraId="0E88E283" w14:textId="77777777" w:rsidR="000923BB" w:rsidRPr="00FB3AC0" w:rsidRDefault="000923BB" w:rsidP="000923BB">
      <w:pPr>
        <w:rPr>
          <w:rFonts w:cs="Arial"/>
          <w:b/>
          <w:sz w:val="22"/>
          <w:szCs w:val="22"/>
        </w:rPr>
      </w:pPr>
    </w:p>
    <w:p w14:paraId="34666853" w14:textId="77777777" w:rsidR="000923BB" w:rsidRPr="00FB3AC0" w:rsidRDefault="000923BB" w:rsidP="000923BB">
      <w:pPr>
        <w:rPr>
          <w:rFonts w:cs="Arial"/>
          <w:b/>
          <w:sz w:val="22"/>
          <w:szCs w:val="22"/>
        </w:rPr>
      </w:pPr>
      <w:r w:rsidRPr="00FB3AC0">
        <w:rPr>
          <w:rFonts w:cs="Arial"/>
          <w:b/>
          <w:sz w:val="22"/>
          <w:szCs w:val="22"/>
        </w:rPr>
        <w:t>Number of patients discharged or died</w:t>
      </w:r>
    </w:p>
    <w:p w14:paraId="57BCFC7C" w14:textId="77777777" w:rsidR="000923BB" w:rsidRPr="00FB3AC0" w:rsidRDefault="000923BB" w:rsidP="000923BB">
      <w:pPr>
        <w:tabs>
          <w:tab w:val="center" w:pos="4089"/>
        </w:tabs>
        <w:autoSpaceDE w:val="0"/>
        <w:autoSpaceDN w:val="0"/>
        <w:adjustRightInd w:val="0"/>
        <w:rPr>
          <w:rFonts w:cs="Arial"/>
          <w:b/>
          <w:bCs/>
          <w:color w:val="000000"/>
          <w:sz w:val="18"/>
          <w:szCs w:val="18"/>
          <w:lang w:val="en-US"/>
        </w:rPr>
      </w:pPr>
    </w:p>
    <w:tbl>
      <w:tblPr>
        <w:tblW w:w="0" w:type="auto"/>
        <w:tblInd w:w="93" w:type="dxa"/>
        <w:tblLayout w:type="fixed"/>
        <w:tblCellMar>
          <w:left w:w="93" w:type="dxa"/>
          <w:right w:w="93" w:type="dxa"/>
        </w:tblCellMar>
        <w:tblLook w:val="0000" w:firstRow="0" w:lastRow="0" w:firstColumn="0" w:lastColumn="0" w:noHBand="0" w:noVBand="0"/>
      </w:tblPr>
      <w:tblGrid>
        <w:gridCol w:w="206"/>
        <w:gridCol w:w="1954"/>
        <w:gridCol w:w="1260"/>
        <w:gridCol w:w="907"/>
      </w:tblGrid>
      <w:tr w:rsidR="000923BB" w:rsidRPr="00FB3AC0" w14:paraId="745BBE29" w14:textId="77777777" w:rsidTr="003A385F">
        <w:trPr>
          <w:trHeight w:val="504"/>
        </w:trPr>
        <w:tc>
          <w:tcPr>
            <w:tcW w:w="216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082F1411"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260"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11217CB0"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n</w:t>
            </w:r>
          </w:p>
        </w:tc>
        <w:tc>
          <w:tcPr>
            <w:tcW w:w="907"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4CB91B5E"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Percent</w:t>
            </w:r>
          </w:p>
        </w:tc>
      </w:tr>
      <w:tr w:rsidR="000923BB" w:rsidRPr="00FB3AC0" w14:paraId="58B16B80" w14:textId="77777777" w:rsidTr="003A385F">
        <w:trPr>
          <w:trHeight w:val="273"/>
        </w:trPr>
        <w:tc>
          <w:tcPr>
            <w:tcW w:w="206" w:type="dxa"/>
            <w:tcBorders>
              <w:top w:val="single" w:sz="12" w:space="0" w:color="000000"/>
              <w:left w:val="single" w:sz="12" w:space="0" w:color="000000"/>
              <w:bottom w:val="nil"/>
              <w:right w:val="nil"/>
            </w:tcBorders>
            <w:shd w:val="clear" w:color="000000" w:fill="FFFFFF"/>
          </w:tcPr>
          <w:p w14:paraId="7E9B2300" w14:textId="77777777" w:rsidR="000923BB" w:rsidRPr="00FB3AC0" w:rsidRDefault="000923BB" w:rsidP="003A385F">
            <w:pPr>
              <w:autoSpaceDE w:val="0"/>
              <w:autoSpaceDN w:val="0"/>
              <w:adjustRightInd w:val="0"/>
              <w:rPr>
                <w:rFonts w:cs="Arial"/>
                <w:color w:val="000000"/>
                <w:sz w:val="18"/>
                <w:szCs w:val="18"/>
                <w:lang w:val="en-US"/>
              </w:rPr>
            </w:pPr>
          </w:p>
        </w:tc>
        <w:tc>
          <w:tcPr>
            <w:tcW w:w="1954" w:type="dxa"/>
            <w:tcBorders>
              <w:top w:val="single" w:sz="12" w:space="0" w:color="000000"/>
              <w:left w:val="nil"/>
              <w:bottom w:val="nil"/>
              <w:right w:val="single" w:sz="12" w:space="0" w:color="000000"/>
            </w:tcBorders>
            <w:shd w:val="clear" w:color="000000" w:fill="FFFFFF"/>
          </w:tcPr>
          <w:p w14:paraId="209ABDCC"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Discharge</w:t>
            </w:r>
          </w:p>
        </w:tc>
        <w:tc>
          <w:tcPr>
            <w:tcW w:w="1260" w:type="dxa"/>
            <w:tcBorders>
              <w:top w:val="single" w:sz="12" w:space="0" w:color="000000"/>
              <w:left w:val="single" w:sz="12" w:space="0" w:color="000000"/>
              <w:bottom w:val="nil"/>
              <w:right w:val="single" w:sz="2" w:space="0" w:color="000000"/>
            </w:tcBorders>
            <w:shd w:val="clear" w:color="000000" w:fill="FFFFFF"/>
          </w:tcPr>
          <w:p w14:paraId="6B700C41" w14:textId="77777777" w:rsidR="000923BB" w:rsidRPr="00FB3AC0" w:rsidRDefault="000923BB" w:rsidP="003A385F">
            <w:pPr>
              <w:rPr>
                <w:rFonts w:cs="Arial"/>
                <w:sz w:val="20"/>
                <w:szCs w:val="20"/>
              </w:rPr>
            </w:pPr>
            <w:r w:rsidRPr="00FB3AC0">
              <w:rPr>
                <w:rFonts w:cs="Arial"/>
                <w:sz w:val="20"/>
                <w:szCs w:val="20"/>
              </w:rPr>
              <w:t>35</w:t>
            </w:r>
          </w:p>
        </w:tc>
        <w:tc>
          <w:tcPr>
            <w:tcW w:w="907" w:type="dxa"/>
            <w:tcBorders>
              <w:top w:val="single" w:sz="12" w:space="0" w:color="000000"/>
              <w:left w:val="single" w:sz="2" w:space="0" w:color="000000"/>
              <w:bottom w:val="nil"/>
              <w:right w:val="single" w:sz="2" w:space="0" w:color="000000"/>
            </w:tcBorders>
            <w:shd w:val="clear" w:color="000000" w:fill="FFFFFF"/>
          </w:tcPr>
          <w:p w14:paraId="44930EF3" w14:textId="77777777" w:rsidR="000923BB" w:rsidRPr="00FB3AC0" w:rsidRDefault="000923BB" w:rsidP="003A385F">
            <w:pPr>
              <w:rPr>
                <w:rFonts w:cs="Arial"/>
                <w:sz w:val="20"/>
                <w:szCs w:val="20"/>
              </w:rPr>
            </w:pPr>
            <w:r w:rsidRPr="00FB3AC0">
              <w:rPr>
                <w:rFonts w:cs="Arial"/>
                <w:sz w:val="20"/>
                <w:szCs w:val="20"/>
              </w:rPr>
              <w:t>97.2</w:t>
            </w:r>
          </w:p>
        </w:tc>
      </w:tr>
      <w:tr w:rsidR="000923BB" w:rsidRPr="00FB3AC0" w14:paraId="32C15903" w14:textId="77777777" w:rsidTr="003A385F">
        <w:trPr>
          <w:trHeight w:val="504"/>
        </w:trPr>
        <w:tc>
          <w:tcPr>
            <w:tcW w:w="206" w:type="dxa"/>
            <w:tcBorders>
              <w:top w:val="nil"/>
              <w:left w:val="single" w:sz="12" w:space="0" w:color="000000"/>
              <w:bottom w:val="nil"/>
              <w:right w:val="nil"/>
            </w:tcBorders>
            <w:shd w:val="clear" w:color="000000" w:fill="FFFFFF"/>
          </w:tcPr>
          <w:p w14:paraId="2975E492"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954" w:type="dxa"/>
            <w:tcBorders>
              <w:top w:val="nil"/>
              <w:left w:val="nil"/>
              <w:bottom w:val="nil"/>
              <w:right w:val="single" w:sz="12" w:space="0" w:color="000000"/>
            </w:tcBorders>
            <w:shd w:val="clear" w:color="000000" w:fill="FFFFFF"/>
          </w:tcPr>
          <w:p w14:paraId="2ACE6B10" w14:textId="77777777" w:rsidR="000923BB" w:rsidRPr="00FB3AC0" w:rsidRDefault="000923BB" w:rsidP="003A385F">
            <w:pPr>
              <w:autoSpaceDE w:val="0"/>
              <w:autoSpaceDN w:val="0"/>
              <w:adjustRightInd w:val="0"/>
              <w:rPr>
                <w:rFonts w:cs="Arial"/>
                <w:color w:val="000000"/>
                <w:sz w:val="18"/>
                <w:szCs w:val="18"/>
                <w:lang w:val="en-US"/>
              </w:rPr>
            </w:pPr>
          </w:p>
          <w:p w14:paraId="4BEE1D3A"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Died from COPD or complications of COPD</w:t>
            </w:r>
          </w:p>
        </w:tc>
        <w:tc>
          <w:tcPr>
            <w:tcW w:w="1260" w:type="dxa"/>
            <w:tcBorders>
              <w:top w:val="nil"/>
              <w:left w:val="single" w:sz="12" w:space="0" w:color="000000"/>
              <w:bottom w:val="nil"/>
              <w:right w:val="single" w:sz="2" w:space="0" w:color="000000"/>
            </w:tcBorders>
            <w:shd w:val="clear" w:color="000000" w:fill="FFFFFF"/>
          </w:tcPr>
          <w:p w14:paraId="08E420CD" w14:textId="77777777" w:rsidR="000923BB" w:rsidRPr="00FB3AC0" w:rsidRDefault="000923BB" w:rsidP="003A385F">
            <w:pPr>
              <w:rPr>
                <w:rFonts w:cs="Arial"/>
                <w:sz w:val="20"/>
                <w:szCs w:val="20"/>
              </w:rPr>
            </w:pPr>
            <w:r w:rsidRPr="00FB3AC0">
              <w:rPr>
                <w:rFonts w:cs="Arial"/>
                <w:sz w:val="20"/>
                <w:szCs w:val="20"/>
              </w:rPr>
              <w:t>0</w:t>
            </w:r>
          </w:p>
        </w:tc>
        <w:tc>
          <w:tcPr>
            <w:tcW w:w="907" w:type="dxa"/>
            <w:tcBorders>
              <w:top w:val="nil"/>
              <w:left w:val="single" w:sz="2" w:space="0" w:color="000000"/>
              <w:bottom w:val="nil"/>
              <w:right w:val="single" w:sz="2" w:space="0" w:color="000000"/>
            </w:tcBorders>
            <w:shd w:val="clear" w:color="000000" w:fill="FFFFFF"/>
          </w:tcPr>
          <w:p w14:paraId="32CB0D13" w14:textId="77777777" w:rsidR="000923BB" w:rsidRPr="00FB3AC0" w:rsidRDefault="000923BB" w:rsidP="003A385F">
            <w:pPr>
              <w:rPr>
                <w:rFonts w:cs="Arial"/>
                <w:sz w:val="20"/>
                <w:szCs w:val="20"/>
              </w:rPr>
            </w:pPr>
            <w:r w:rsidRPr="00FB3AC0">
              <w:rPr>
                <w:rFonts w:cs="Arial"/>
                <w:sz w:val="20"/>
                <w:szCs w:val="20"/>
              </w:rPr>
              <w:t>0</w:t>
            </w:r>
          </w:p>
        </w:tc>
      </w:tr>
      <w:tr w:rsidR="000923BB" w:rsidRPr="00FB3AC0" w14:paraId="2AD2E55F" w14:textId="77777777" w:rsidTr="003A385F">
        <w:trPr>
          <w:trHeight w:val="273"/>
        </w:trPr>
        <w:tc>
          <w:tcPr>
            <w:tcW w:w="206" w:type="dxa"/>
            <w:tcBorders>
              <w:top w:val="nil"/>
              <w:left w:val="single" w:sz="12" w:space="0" w:color="000000"/>
              <w:bottom w:val="nil"/>
              <w:right w:val="nil"/>
            </w:tcBorders>
            <w:shd w:val="clear" w:color="000000" w:fill="FFFFFF"/>
          </w:tcPr>
          <w:p w14:paraId="3E808A07"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954" w:type="dxa"/>
            <w:tcBorders>
              <w:top w:val="nil"/>
              <w:left w:val="nil"/>
              <w:bottom w:val="nil"/>
              <w:right w:val="single" w:sz="12" w:space="0" w:color="000000"/>
            </w:tcBorders>
            <w:shd w:val="clear" w:color="000000" w:fill="FFFFFF"/>
          </w:tcPr>
          <w:p w14:paraId="643C0263"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Not recorded</w:t>
            </w:r>
          </w:p>
        </w:tc>
        <w:tc>
          <w:tcPr>
            <w:tcW w:w="1260" w:type="dxa"/>
            <w:tcBorders>
              <w:top w:val="nil"/>
              <w:left w:val="single" w:sz="12" w:space="0" w:color="000000"/>
              <w:bottom w:val="nil"/>
              <w:right w:val="single" w:sz="2" w:space="0" w:color="000000"/>
            </w:tcBorders>
            <w:shd w:val="clear" w:color="000000" w:fill="FFFFFF"/>
          </w:tcPr>
          <w:p w14:paraId="6D34739E" w14:textId="77777777" w:rsidR="000923BB" w:rsidRPr="00FB3AC0" w:rsidRDefault="000923BB" w:rsidP="003A385F">
            <w:pPr>
              <w:rPr>
                <w:rFonts w:cs="Arial"/>
                <w:sz w:val="20"/>
                <w:szCs w:val="20"/>
              </w:rPr>
            </w:pPr>
            <w:r w:rsidRPr="00FB3AC0">
              <w:rPr>
                <w:rFonts w:cs="Arial"/>
                <w:sz w:val="20"/>
                <w:szCs w:val="20"/>
              </w:rPr>
              <w:t>1</w:t>
            </w:r>
          </w:p>
        </w:tc>
        <w:tc>
          <w:tcPr>
            <w:tcW w:w="907" w:type="dxa"/>
            <w:tcBorders>
              <w:top w:val="nil"/>
              <w:left w:val="single" w:sz="2" w:space="0" w:color="000000"/>
              <w:bottom w:val="nil"/>
              <w:right w:val="single" w:sz="2" w:space="0" w:color="000000"/>
            </w:tcBorders>
            <w:shd w:val="clear" w:color="000000" w:fill="FFFFFF"/>
          </w:tcPr>
          <w:p w14:paraId="10446492" w14:textId="77777777" w:rsidR="000923BB" w:rsidRPr="00FB3AC0" w:rsidRDefault="000923BB" w:rsidP="003A385F">
            <w:pPr>
              <w:rPr>
                <w:rFonts w:cs="Arial"/>
                <w:sz w:val="20"/>
                <w:szCs w:val="20"/>
              </w:rPr>
            </w:pPr>
            <w:r w:rsidRPr="00FB3AC0">
              <w:rPr>
                <w:rFonts w:cs="Arial"/>
                <w:sz w:val="20"/>
                <w:szCs w:val="20"/>
              </w:rPr>
              <w:t>2.8</w:t>
            </w:r>
          </w:p>
        </w:tc>
      </w:tr>
      <w:tr w:rsidR="000923BB" w:rsidRPr="00FB3AC0" w14:paraId="00959708" w14:textId="77777777" w:rsidTr="003A385F">
        <w:trPr>
          <w:trHeight w:val="89"/>
        </w:trPr>
        <w:tc>
          <w:tcPr>
            <w:tcW w:w="206" w:type="dxa"/>
            <w:tcBorders>
              <w:top w:val="nil"/>
              <w:left w:val="single" w:sz="12" w:space="0" w:color="000000"/>
              <w:bottom w:val="single" w:sz="12" w:space="0" w:color="000000"/>
              <w:right w:val="nil"/>
            </w:tcBorders>
            <w:shd w:val="clear" w:color="000000" w:fill="FFFFFF"/>
          </w:tcPr>
          <w:p w14:paraId="77B6270E" w14:textId="77777777" w:rsidR="000923BB" w:rsidRPr="00FB3AC0" w:rsidRDefault="000923BB" w:rsidP="003A385F">
            <w:pPr>
              <w:autoSpaceDE w:val="0"/>
              <w:autoSpaceDN w:val="0"/>
              <w:adjustRightInd w:val="0"/>
              <w:rPr>
                <w:rFonts w:cs="Arial"/>
                <w:color w:val="000000"/>
                <w:sz w:val="18"/>
                <w:szCs w:val="18"/>
                <w:lang w:val="en-US"/>
              </w:rPr>
            </w:pPr>
          </w:p>
        </w:tc>
        <w:tc>
          <w:tcPr>
            <w:tcW w:w="1954" w:type="dxa"/>
            <w:tcBorders>
              <w:top w:val="nil"/>
              <w:left w:val="nil"/>
              <w:bottom w:val="single" w:sz="12" w:space="0" w:color="000000"/>
              <w:right w:val="single" w:sz="12" w:space="0" w:color="000000"/>
            </w:tcBorders>
            <w:shd w:val="clear" w:color="000000" w:fill="FFFFFF"/>
          </w:tcPr>
          <w:p w14:paraId="2205311C"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Total</w:t>
            </w:r>
          </w:p>
        </w:tc>
        <w:tc>
          <w:tcPr>
            <w:tcW w:w="1260" w:type="dxa"/>
            <w:tcBorders>
              <w:top w:val="nil"/>
              <w:left w:val="single" w:sz="12" w:space="0" w:color="000000"/>
              <w:bottom w:val="single" w:sz="12" w:space="0" w:color="000000"/>
              <w:right w:val="single" w:sz="2" w:space="0" w:color="000000"/>
            </w:tcBorders>
            <w:shd w:val="clear" w:color="000000" w:fill="FFFFFF"/>
          </w:tcPr>
          <w:p w14:paraId="3C39BDBD" w14:textId="77777777" w:rsidR="000923BB" w:rsidRPr="00FB3AC0" w:rsidRDefault="000923BB" w:rsidP="003A385F">
            <w:pPr>
              <w:rPr>
                <w:rFonts w:cs="Arial"/>
                <w:sz w:val="20"/>
                <w:szCs w:val="20"/>
              </w:rPr>
            </w:pPr>
            <w:r w:rsidRPr="00FB3AC0">
              <w:rPr>
                <w:rFonts w:cs="Arial"/>
                <w:sz w:val="20"/>
                <w:szCs w:val="20"/>
              </w:rPr>
              <w:t>36</w:t>
            </w:r>
          </w:p>
        </w:tc>
        <w:tc>
          <w:tcPr>
            <w:tcW w:w="907" w:type="dxa"/>
            <w:tcBorders>
              <w:top w:val="nil"/>
              <w:left w:val="single" w:sz="2" w:space="0" w:color="000000"/>
              <w:bottom w:val="single" w:sz="12" w:space="0" w:color="000000"/>
              <w:right w:val="single" w:sz="2" w:space="0" w:color="000000"/>
            </w:tcBorders>
            <w:shd w:val="clear" w:color="000000" w:fill="FFFFFF"/>
          </w:tcPr>
          <w:p w14:paraId="0E30C8D7" w14:textId="77777777" w:rsidR="000923BB" w:rsidRPr="00FB3AC0" w:rsidRDefault="000923BB" w:rsidP="003A385F">
            <w:pPr>
              <w:rPr>
                <w:rFonts w:cs="Arial"/>
                <w:sz w:val="20"/>
                <w:szCs w:val="20"/>
              </w:rPr>
            </w:pPr>
            <w:r w:rsidRPr="00FB3AC0">
              <w:rPr>
                <w:rFonts w:cs="Arial"/>
                <w:sz w:val="20"/>
                <w:szCs w:val="20"/>
              </w:rPr>
              <w:t>100.0</w:t>
            </w:r>
          </w:p>
        </w:tc>
      </w:tr>
    </w:tbl>
    <w:p w14:paraId="05CFC6DB" w14:textId="77777777" w:rsidR="000923BB" w:rsidRPr="00FB3AC0" w:rsidRDefault="000923BB" w:rsidP="000923BB">
      <w:pPr>
        <w:tabs>
          <w:tab w:val="center" w:pos="3312"/>
        </w:tabs>
        <w:autoSpaceDE w:val="0"/>
        <w:autoSpaceDN w:val="0"/>
        <w:adjustRightInd w:val="0"/>
        <w:rPr>
          <w:rFonts w:cs="Arial"/>
          <w:b/>
          <w:bCs/>
          <w:color w:val="000000"/>
          <w:sz w:val="22"/>
          <w:szCs w:val="22"/>
          <w:lang w:val="en-US"/>
        </w:rPr>
      </w:pPr>
      <w:r w:rsidRPr="00FB3AC0">
        <w:rPr>
          <w:rFonts w:cs="Arial"/>
          <w:b/>
          <w:bCs/>
          <w:color w:val="000000"/>
          <w:sz w:val="22"/>
          <w:szCs w:val="22"/>
          <w:lang w:val="en-US"/>
        </w:rPr>
        <w:lastRenderedPageBreak/>
        <w:t>Number of patients with previous admissions for COPD</w:t>
      </w:r>
    </w:p>
    <w:p w14:paraId="0F0C74D6" w14:textId="77777777" w:rsidR="000923BB" w:rsidRPr="00FB3AC0" w:rsidRDefault="000923BB" w:rsidP="000923BB">
      <w:pPr>
        <w:tabs>
          <w:tab w:val="center" w:pos="3312"/>
        </w:tabs>
        <w:autoSpaceDE w:val="0"/>
        <w:autoSpaceDN w:val="0"/>
        <w:adjustRightInd w:val="0"/>
        <w:rPr>
          <w:rFonts w:cs="Arial"/>
          <w:b/>
          <w:bCs/>
          <w:color w:val="000000"/>
          <w:sz w:val="18"/>
          <w:szCs w:val="18"/>
          <w:lang w:val="en-US"/>
        </w:rPr>
      </w:pPr>
    </w:p>
    <w:tbl>
      <w:tblPr>
        <w:tblW w:w="0" w:type="auto"/>
        <w:tblInd w:w="93" w:type="dxa"/>
        <w:tblLayout w:type="fixed"/>
        <w:tblCellMar>
          <w:left w:w="93" w:type="dxa"/>
          <w:right w:w="93" w:type="dxa"/>
        </w:tblCellMar>
        <w:tblLook w:val="0000" w:firstRow="0" w:lastRow="0" w:firstColumn="0" w:lastColumn="0" w:noHBand="0" w:noVBand="0"/>
      </w:tblPr>
      <w:tblGrid>
        <w:gridCol w:w="206"/>
        <w:gridCol w:w="3028"/>
        <w:gridCol w:w="726"/>
        <w:gridCol w:w="1080"/>
      </w:tblGrid>
      <w:tr w:rsidR="000923BB" w:rsidRPr="00FB3AC0" w14:paraId="216D799A" w14:textId="77777777" w:rsidTr="003A385F">
        <w:trPr>
          <w:trHeight w:val="504"/>
        </w:trPr>
        <w:tc>
          <w:tcPr>
            <w:tcW w:w="3234"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6BEAFA55"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726"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30927F7B"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n</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7F314D40"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Percent</w:t>
            </w:r>
          </w:p>
        </w:tc>
      </w:tr>
      <w:tr w:rsidR="000923BB" w:rsidRPr="00FB3AC0" w14:paraId="10B0AC74" w14:textId="77777777" w:rsidTr="003A385F">
        <w:trPr>
          <w:trHeight w:val="273"/>
        </w:trPr>
        <w:tc>
          <w:tcPr>
            <w:tcW w:w="206" w:type="dxa"/>
            <w:tcBorders>
              <w:top w:val="single" w:sz="12" w:space="0" w:color="000000"/>
              <w:left w:val="single" w:sz="12" w:space="0" w:color="000000"/>
              <w:bottom w:val="nil"/>
              <w:right w:val="nil"/>
            </w:tcBorders>
            <w:shd w:val="clear" w:color="000000" w:fill="FFFFFF"/>
          </w:tcPr>
          <w:p w14:paraId="7FDECB67" w14:textId="77777777" w:rsidR="000923BB" w:rsidRPr="00FB3AC0" w:rsidRDefault="000923BB" w:rsidP="003A385F">
            <w:pPr>
              <w:autoSpaceDE w:val="0"/>
              <w:autoSpaceDN w:val="0"/>
              <w:adjustRightInd w:val="0"/>
              <w:rPr>
                <w:rFonts w:cs="Arial"/>
                <w:color w:val="000000"/>
                <w:sz w:val="18"/>
                <w:szCs w:val="18"/>
                <w:lang w:val="en-US"/>
              </w:rPr>
            </w:pPr>
          </w:p>
        </w:tc>
        <w:tc>
          <w:tcPr>
            <w:tcW w:w="3028" w:type="dxa"/>
            <w:tcBorders>
              <w:top w:val="single" w:sz="12" w:space="0" w:color="000000"/>
              <w:left w:val="nil"/>
              <w:bottom w:val="nil"/>
              <w:right w:val="single" w:sz="12" w:space="0" w:color="000000"/>
            </w:tcBorders>
            <w:shd w:val="clear" w:color="000000" w:fill="FFFFFF"/>
          </w:tcPr>
          <w:p w14:paraId="212E330B"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No previous admissions for COPD</w:t>
            </w:r>
          </w:p>
        </w:tc>
        <w:tc>
          <w:tcPr>
            <w:tcW w:w="726" w:type="dxa"/>
            <w:tcBorders>
              <w:top w:val="single" w:sz="12" w:space="0" w:color="000000"/>
              <w:left w:val="single" w:sz="12" w:space="0" w:color="000000"/>
              <w:bottom w:val="nil"/>
              <w:right w:val="single" w:sz="2" w:space="0" w:color="000000"/>
            </w:tcBorders>
            <w:shd w:val="clear" w:color="000000" w:fill="FFFFFF"/>
          </w:tcPr>
          <w:p w14:paraId="0468F3F5" w14:textId="77777777" w:rsidR="000923BB" w:rsidRPr="00FB3AC0" w:rsidRDefault="000923BB" w:rsidP="003A385F">
            <w:pPr>
              <w:rPr>
                <w:rFonts w:cs="Arial"/>
                <w:sz w:val="20"/>
                <w:szCs w:val="20"/>
              </w:rPr>
            </w:pPr>
            <w:r w:rsidRPr="00FB3AC0">
              <w:rPr>
                <w:rFonts w:cs="Arial"/>
                <w:sz w:val="20"/>
                <w:szCs w:val="20"/>
              </w:rPr>
              <w:t>19</w:t>
            </w:r>
          </w:p>
        </w:tc>
        <w:tc>
          <w:tcPr>
            <w:tcW w:w="1080" w:type="dxa"/>
            <w:tcBorders>
              <w:top w:val="single" w:sz="12" w:space="0" w:color="000000"/>
              <w:left w:val="single" w:sz="2" w:space="0" w:color="000000"/>
              <w:bottom w:val="nil"/>
              <w:right w:val="single" w:sz="2" w:space="0" w:color="000000"/>
            </w:tcBorders>
            <w:shd w:val="clear" w:color="000000" w:fill="FFFFFF"/>
          </w:tcPr>
          <w:p w14:paraId="4963B201" w14:textId="77777777" w:rsidR="000923BB" w:rsidRPr="00FB3AC0" w:rsidRDefault="000923BB" w:rsidP="003A385F">
            <w:pPr>
              <w:rPr>
                <w:rFonts w:cs="Arial"/>
                <w:sz w:val="20"/>
                <w:szCs w:val="20"/>
              </w:rPr>
            </w:pPr>
            <w:r w:rsidRPr="00FB3AC0">
              <w:rPr>
                <w:rFonts w:cs="Arial"/>
                <w:sz w:val="20"/>
                <w:szCs w:val="20"/>
              </w:rPr>
              <w:t>52.8</w:t>
            </w:r>
          </w:p>
        </w:tc>
      </w:tr>
      <w:tr w:rsidR="000923BB" w:rsidRPr="00FB3AC0" w14:paraId="6D3B8E56" w14:textId="77777777" w:rsidTr="003A385F">
        <w:trPr>
          <w:trHeight w:val="273"/>
        </w:trPr>
        <w:tc>
          <w:tcPr>
            <w:tcW w:w="206" w:type="dxa"/>
            <w:tcBorders>
              <w:top w:val="nil"/>
              <w:left w:val="single" w:sz="12" w:space="0" w:color="000000"/>
              <w:bottom w:val="nil"/>
              <w:right w:val="nil"/>
            </w:tcBorders>
            <w:shd w:val="clear" w:color="000000" w:fill="FFFFFF"/>
          </w:tcPr>
          <w:p w14:paraId="64D49AAE"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3028" w:type="dxa"/>
            <w:tcBorders>
              <w:top w:val="nil"/>
              <w:left w:val="nil"/>
              <w:bottom w:val="nil"/>
              <w:right w:val="single" w:sz="12" w:space="0" w:color="000000"/>
            </w:tcBorders>
            <w:shd w:val="clear" w:color="000000" w:fill="FFFFFF"/>
          </w:tcPr>
          <w:p w14:paraId="4B3EFC6C"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Previous admissions for COPD</w:t>
            </w:r>
          </w:p>
        </w:tc>
        <w:tc>
          <w:tcPr>
            <w:tcW w:w="726" w:type="dxa"/>
            <w:tcBorders>
              <w:top w:val="nil"/>
              <w:left w:val="single" w:sz="12" w:space="0" w:color="000000"/>
              <w:bottom w:val="nil"/>
              <w:right w:val="single" w:sz="2" w:space="0" w:color="000000"/>
            </w:tcBorders>
            <w:shd w:val="clear" w:color="000000" w:fill="FFFFFF"/>
          </w:tcPr>
          <w:p w14:paraId="4A6694B3" w14:textId="77777777" w:rsidR="000923BB" w:rsidRPr="00FB3AC0" w:rsidRDefault="000923BB" w:rsidP="003A385F">
            <w:pPr>
              <w:rPr>
                <w:rFonts w:cs="Arial"/>
                <w:sz w:val="20"/>
                <w:szCs w:val="20"/>
              </w:rPr>
            </w:pPr>
            <w:r w:rsidRPr="00FB3AC0">
              <w:rPr>
                <w:rFonts w:cs="Arial"/>
                <w:sz w:val="20"/>
                <w:szCs w:val="20"/>
              </w:rPr>
              <w:t>17</w:t>
            </w:r>
          </w:p>
        </w:tc>
        <w:tc>
          <w:tcPr>
            <w:tcW w:w="1080" w:type="dxa"/>
            <w:tcBorders>
              <w:top w:val="nil"/>
              <w:left w:val="single" w:sz="2" w:space="0" w:color="000000"/>
              <w:bottom w:val="nil"/>
              <w:right w:val="single" w:sz="2" w:space="0" w:color="000000"/>
            </w:tcBorders>
            <w:shd w:val="clear" w:color="000000" w:fill="FFFFFF"/>
          </w:tcPr>
          <w:p w14:paraId="5C636C38" w14:textId="77777777" w:rsidR="000923BB" w:rsidRPr="00FB3AC0" w:rsidRDefault="000923BB" w:rsidP="003A385F">
            <w:pPr>
              <w:rPr>
                <w:rFonts w:cs="Arial"/>
                <w:sz w:val="20"/>
                <w:szCs w:val="20"/>
              </w:rPr>
            </w:pPr>
            <w:r w:rsidRPr="00FB3AC0">
              <w:rPr>
                <w:rFonts w:cs="Arial"/>
                <w:sz w:val="20"/>
                <w:szCs w:val="20"/>
              </w:rPr>
              <w:t>47.2</w:t>
            </w:r>
          </w:p>
        </w:tc>
      </w:tr>
      <w:tr w:rsidR="000923BB" w:rsidRPr="00FB3AC0" w14:paraId="3CDEF44B" w14:textId="77777777" w:rsidTr="003A385F">
        <w:trPr>
          <w:trHeight w:val="273"/>
        </w:trPr>
        <w:tc>
          <w:tcPr>
            <w:tcW w:w="206" w:type="dxa"/>
            <w:tcBorders>
              <w:top w:val="nil"/>
              <w:left w:val="single" w:sz="12" w:space="0" w:color="000000"/>
              <w:bottom w:val="single" w:sz="12" w:space="0" w:color="000000"/>
              <w:right w:val="nil"/>
            </w:tcBorders>
            <w:shd w:val="clear" w:color="000000" w:fill="FFFFFF"/>
          </w:tcPr>
          <w:p w14:paraId="20D06BF6"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3028" w:type="dxa"/>
            <w:tcBorders>
              <w:top w:val="nil"/>
              <w:left w:val="nil"/>
              <w:bottom w:val="single" w:sz="12" w:space="0" w:color="000000"/>
              <w:right w:val="single" w:sz="12" w:space="0" w:color="000000"/>
            </w:tcBorders>
            <w:shd w:val="clear" w:color="000000" w:fill="FFFFFF"/>
          </w:tcPr>
          <w:p w14:paraId="76CA7370"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Total</w:t>
            </w:r>
          </w:p>
        </w:tc>
        <w:tc>
          <w:tcPr>
            <w:tcW w:w="726" w:type="dxa"/>
            <w:tcBorders>
              <w:top w:val="nil"/>
              <w:left w:val="single" w:sz="12" w:space="0" w:color="000000"/>
              <w:bottom w:val="single" w:sz="12" w:space="0" w:color="000000"/>
              <w:right w:val="single" w:sz="2" w:space="0" w:color="000000"/>
            </w:tcBorders>
            <w:shd w:val="clear" w:color="000000" w:fill="FFFFFF"/>
          </w:tcPr>
          <w:p w14:paraId="4FBB7CEF" w14:textId="77777777" w:rsidR="000923BB" w:rsidRPr="00FB3AC0" w:rsidRDefault="000923BB" w:rsidP="003A385F">
            <w:pPr>
              <w:rPr>
                <w:rFonts w:cs="Arial"/>
                <w:sz w:val="20"/>
                <w:szCs w:val="20"/>
              </w:rPr>
            </w:pPr>
            <w:r w:rsidRPr="00FB3AC0">
              <w:rPr>
                <w:rFonts w:cs="Arial"/>
                <w:sz w:val="20"/>
                <w:szCs w:val="20"/>
              </w:rPr>
              <w:t>36</w:t>
            </w:r>
          </w:p>
        </w:tc>
        <w:tc>
          <w:tcPr>
            <w:tcW w:w="1080" w:type="dxa"/>
            <w:tcBorders>
              <w:top w:val="nil"/>
              <w:left w:val="single" w:sz="2" w:space="0" w:color="000000"/>
              <w:bottom w:val="single" w:sz="12" w:space="0" w:color="000000"/>
              <w:right w:val="single" w:sz="2" w:space="0" w:color="000000"/>
            </w:tcBorders>
            <w:shd w:val="clear" w:color="000000" w:fill="FFFFFF"/>
          </w:tcPr>
          <w:p w14:paraId="66B4B05E" w14:textId="77777777" w:rsidR="000923BB" w:rsidRPr="00FB3AC0" w:rsidRDefault="000923BB" w:rsidP="003A385F">
            <w:pPr>
              <w:rPr>
                <w:rFonts w:cs="Arial"/>
                <w:sz w:val="20"/>
                <w:szCs w:val="20"/>
              </w:rPr>
            </w:pPr>
            <w:r w:rsidRPr="00FB3AC0">
              <w:rPr>
                <w:rFonts w:cs="Arial"/>
                <w:sz w:val="20"/>
                <w:szCs w:val="20"/>
              </w:rPr>
              <w:t>100.0</w:t>
            </w:r>
          </w:p>
        </w:tc>
      </w:tr>
    </w:tbl>
    <w:p w14:paraId="504EBB89" w14:textId="77777777" w:rsidR="000923BB" w:rsidRPr="00F54264" w:rsidRDefault="000923BB" w:rsidP="000923BB">
      <w:pPr>
        <w:rPr>
          <w:rFonts w:cs="Arial"/>
          <w:b/>
          <w:sz w:val="28"/>
          <w:szCs w:val="28"/>
        </w:rPr>
      </w:pPr>
      <w:r w:rsidRPr="00F54264">
        <w:rPr>
          <w:rFonts w:cs="Arial"/>
          <w:b/>
          <w:sz w:val="28"/>
          <w:szCs w:val="28"/>
        </w:rPr>
        <w:t>History and Patient Characteristics</w:t>
      </w:r>
    </w:p>
    <w:p w14:paraId="777D4BE3" w14:textId="77777777" w:rsidR="000923BB" w:rsidRPr="00FB3AC0" w:rsidRDefault="000923BB" w:rsidP="000923BB">
      <w:pPr>
        <w:rPr>
          <w:rFonts w:cs="Arial"/>
          <w:b/>
          <w:sz w:val="32"/>
          <w:szCs w:val="32"/>
        </w:rPr>
      </w:pPr>
    </w:p>
    <w:p w14:paraId="1CD52A7E" w14:textId="77777777" w:rsidR="000923BB" w:rsidRPr="00FB3AC0" w:rsidRDefault="000923BB" w:rsidP="000923BB">
      <w:pPr>
        <w:tabs>
          <w:tab w:val="center" w:pos="3974"/>
        </w:tabs>
        <w:autoSpaceDE w:val="0"/>
        <w:autoSpaceDN w:val="0"/>
        <w:adjustRightInd w:val="0"/>
        <w:rPr>
          <w:rFonts w:cs="Arial"/>
          <w:b/>
          <w:bCs/>
          <w:color w:val="000000"/>
          <w:sz w:val="22"/>
          <w:szCs w:val="22"/>
          <w:lang w:val="en-US"/>
        </w:rPr>
      </w:pPr>
      <w:r w:rsidRPr="00FB3AC0">
        <w:rPr>
          <w:rFonts w:cs="Arial"/>
          <w:b/>
          <w:bCs/>
          <w:color w:val="000000"/>
          <w:sz w:val="22"/>
          <w:szCs w:val="22"/>
          <w:lang w:val="en-US"/>
        </w:rPr>
        <w:t>Smoking status</w:t>
      </w:r>
    </w:p>
    <w:p w14:paraId="38CBF452" w14:textId="77777777" w:rsidR="000923BB" w:rsidRPr="00FB3AC0" w:rsidRDefault="000923BB" w:rsidP="000923BB">
      <w:pPr>
        <w:tabs>
          <w:tab w:val="center" w:pos="3974"/>
        </w:tabs>
        <w:autoSpaceDE w:val="0"/>
        <w:autoSpaceDN w:val="0"/>
        <w:adjustRightInd w:val="0"/>
        <w:rPr>
          <w:rFonts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206"/>
        <w:gridCol w:w="2558"/>
        <w:gridCol w:w="1123"/>
        <w:gridCol w:w="1080"/>
      </w:tblGrid>
      <w:tr w:rsidR="000923BB" w:rsidRPr="00FB3AC0" w14:paraId="1620351F" w14:textId="77777777" w:rsidTr="003A385F">
        <w:trPr>
          <w:trHeight w:val="504"/>
        </w:trPr>
        <w:tc>
          <w:tcPr>
            <w:tcW w:w="2764"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0368D1BF"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67434BB3" w14:textId="77777777" w:rsidR="000923BB" w:rsidRPr="00FB3AC0" w:rsidRDefault="000923BB" w:rsidP="003A385F">
            <w:pPr>
              <w:autoSpaceDE w:val="0"/>
              <w:autoSpaceDN w:val="0"/>
              <w:adjustRightInd w:val="0"/>
              <w:jc w:val="center"/>
              <w:rPr>
                <w:rFonts w:cs="Arial"/>
                <w:color w:val="000000"/>
                <w:sz w:val="18"/>
                <w:szCs w:val="18"/>
              </w:rPr>
            </w:pPr>
            <w:r w:rsidRPr="00FB3AC0">
              <w:rPr>
                <w:rFonts w:cs="Arial"/>
                <w:color w:val="000000"/>
                <w:sz w:val="18"/>
                <w:szCs w:val="18"/>
              </w:rPr>
              <w:t>n</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1BBBFE87" w14:textId="77777777" w:rsidR="000923BB" w:rsidRPr="00FB3AC0" w:rsidRDefault="000923BB" w:rsidP="003A385F">
            <w:pPr>
              <w:autoSpaceDE w:val="0"/>
              <w:autoSpaceDN w:val="0"/>
              <w:adjustRightInd w:val="0"/>
              <w:jc w:val="center"/>
              <w:rPr>
                <w:rFonts w:cs="Arial"/>
                <w:color w:val="000000"/>
                <w:sz w:val="18"/>
                <w:szCs w:val="18"/>
              </w:rPr>
            </w:pPr>
            <w:r w:rsidRPr="00FB3AC0">
              <w:rPr>
                <w:rFonts w:cs="Arial"/>
                <w:color w:val="000000"/>
                <w:sz w:val="18"/>
                <w:szCs w:val="18"/>
              </w:rPr>
              <w:t>Percent</w:t>
            </w:r>
          </w:p>
        </w:tc>
      </w:tr>
      <w:tr w:rsidR="000923BB" w:rsidRPr="00FB3AC0" w14:paraId="289CC147" w14:textId="77777777" w:rsidTr="003A385F">
        <w:trPr>
          <w:trHeight w:val="273"/>
        </w:trPr>
        <w:tc>
          <w:tcPr>
            <w:tcW w:w="206" w:type="dxa"/>
            <w:tcBorders>
              <w:top w:val="single" w:sz="12" w:space="0" w:color="000000"/>
              <w:left w:val="single" w:sz="12" w:space="0" w:color="000000"/>
              <w:bottom w:val="nil"/>
              <w:right w:val="nil"/>
            </w:tcBorders>
            <w:shd w:val="clear" w:color="000000" w:fill="FFFFFF"/>
          </w:tcPr>
          <w:p w14:paraId="6CA2A2F4" w14:textId="77777777" w:rsidR="000923BB" w:rsidRPr="00FB3AC0" w:rsidRDefault="000923BB" w:rsidP="003A385F">
            <w:pPr>
              <w:autoSpaceDE w:val="0"/>
              <w:autoSpaceDN w:val="0"/>
              <w:adjustRightInd w:val="0"/>
              <w:rPr>
                <w:rFonts w:cs="Arial"/>
                <w:color w:val="000000"/>
                <w:sz w:val="18"/>
                <w:szCs w:val="18"/>
              </w:rPr>
            </w:pPr>
          </w:p>
        </w:tc>
        <w:tc>
          <w:tcPr>
            <w:tcW w:w="2558" w:type="dxa"/>
            <w:tcBorders>
              <w:top w:val="single" w:sz="12" w:space="0" w:color="000000"/>
              <w:left w:val="nil"/>
              <w:bottom w:val="nil"/>
              <w:right w:val="single" w:sz="12" w:space="0" w:color="000000"/>
            </w:tcBorders>
            <w:shd w:val="clear" w:color="000000" w:fill="FFFFFF"/>
          </w:tcPr>
          <w:p w14:paraId="3652496D"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current smoker</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14:paraId="0DD7ABE6"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15</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25EA4D1B"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41.7</w:t>
            </w:r>
          </w:p>
        </w:tc>
      </w:tr>
      <w:tr w:rsidR="000923BB" w:rsidRPr="00FB3AC0" w14:paraId="4855896F" w14:textId="77777777" w:rsidTr="003A385F">
        <w:trPr>
          <w:trHeight w:val="504"/>
        </w:trPr>
        <w:tc>
          <w:tcPr>
            <w:tcW w:w="206" w:type="dxa"/>
            <w:tcBorders>
              <w:top w:val="nil"/>
              <w:left w:val="single" w:sz="12" w:space="0" w:color="000000"/>
              <w:bottom w:val="nil"/>
              <w:right w:val="nil"/>
            </w:tcBorders>
            <w:shd w:val="clear" w:color="000000" w:fill="FFFFFF"/>
          </w:tcPr>
          <w:p w14:paraId="20AF8AAD"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2558" w:type="dxa"/>
            <w:tcBorders>
              <w:top w:val="nil"/>
              <w:left w:val="nil"/>
              <w:bottom w:val="nil"/>
              <w:right w:val="single" w:sz="12" w:space="0" w:color="000000"/>
            </w:tcBorders>
            <w:shd w:val="clear" w:color="000000" w:fill="FFFFFF"/>
          </w:tcPr>
          <w:p w14:paraId="0967C613"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ex-smoker(stopped more than 3 months)</w:t>
            </w:r>
          </w:p>
        </w:tc>
        <w:tc>
          <w:tcPr>
            <w:tcW w:w="1123" w:type="dxa"/>
            <w:tcBorders>
              <w:top w:val="nil"/>
              <w:left w:val="single" w:sz="12" w:space="0" w:color="000000"/>
              <w:bottom w:val="nil"/>
              <w:right w:val="single" w:sz="2" w:space="0" w:color="000000"/>
            </w:tcBorders>
            <w:shd w:val="clear" w:color="000000" w:fill="FFFFFF"/>
            <w:vAlign w:val="center"/>
          </w:tcPr>
          <w:p w14:paraId="6D26755B"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18</w:t>
            </w:r>
          </w:p>
        </w:tc>
        <w:tc>
          <w:tcPr>
            <w:tcW w:w="1080" w:type="dxa"/>
            <w:tcBorders>
              <w:top w:val="nil"/>
              <w:left w:val="single" w:sz="2" w:space="0" w:color="000000"/>
              <w:bottom w:val="nil"/>
              <w:right w:val="single" w:sz="2" w:space="0" w:color="000000"/>
            </w:tcBorders>
            <w:shd w:val="clear" w:color="000000" w:fill="FFFFFF"/>
            <w:vAlign w:val="center"/>
          </w:tcPr>
          <w:p w14:paraId="77711592"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50.0</w:t>
            </w:r>
          </w:p>
        </w:tc>
      </w:tr>
      <w:tr w:rsidR="000923BB" w:rsidRPr="00FB3AC0" w14:paraId="114BDEBD" w14:textId="77777777" w:rsidTr="003A385F">
        <w:trPr>
          <w:trHeight w:val="273"/>
        </w:trPr>
        <w:tc>
          <w:tcPr>
            <w:tcW w:w="206" w:type="dxa"/>
            <w:tcBorders>
              <w:top w:val="nil"/>
              <w:left w:val="single" w:sz="12" w:space="0" w:color="000000"/>
              <w:bottom w:val="nil"/>
              <w:right w:val="nil"/>
            </w:tcBorders>
            <w:shd w:val="clear" w:color="000000" w:fill="FFFFFF"/>
          </w:tcPr>
          <w:p w14:paraId="148649DC"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2558" w:type="dxa"/>
            <w:tcBorders>
              <w:top w:val="nil"/>
              <w:left w:val="nil"/>
              <w:bottom w:val="nil"/>
              <w:right w:val="single" w:sz="12" w:space="0" w:color="000000"/>
            </w:tcBorders>
            <w:shd w:val="clear" w:color="000000" w:fill="FFFFFF"/>
          </w:tcPr>
          <w:p w14:paraId="7ECC2AED"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life long non-smoker</w:t>
            </w:r>
          </w:p>
        </w:tc>
        <w:tc>
          <w:tcPr>
            <w:tcW w:w="1123" w:type="dxa"/>
            <w:tcBorders>
              <w:top w:val="nil"/>
              <w:left w:val="single" w:sz="12" w:space="0" w:color="000000"/>
              <w:bottom w:val="nil"/>
              <w:right w:val="single" w:sz="2" w:space="0" w:color="000000"/>
            </w:tcBorders>
            <w:shd w:val="clear" w:color="000000" w:fill="FFFFFF"/>
            <w:vAlign w:val="center"/>
          </w:tcPr>
          <w:p w14:paraId="7997B42A"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14:paraId="4BE7A904"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5.6</w:t>
            </w:r>
          </w:p>
        </w:tc>
      </w:tr>
      <w:tr w:rsidR="000923BB" w:rsidRPr="00FB3AC0" w14:paraId="73BEC064" w14:textId="77777777" w:rsidTr="003A385F">
        <w:trPr>
          <w:trHeight w:val="273"/>
        </w:trPr>
        <w:tc>
          <w:tcPr>
            <w:tcW w:w="206" w:type="dxa"/>
            <w:tcBorders>
              <w:top w:val="nil"/>
              <w:left w:val="single" w:sz="12" w:space="0" w:color="000000"/>
              <w:bottom w:val="nil"/>
              <w:right w:val="nil"/>
            </w:tcBorders>
            <w:shd w:val="clear" w:color="000000" w:fill="FFFFFF"/>
          </w:tcPr>
          <w:p w14:paraId="26ACBBCC"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2558" w:type="dxa"/>
            <w:tcBorders>
              <w:top w:val="nil"/>
              <w:left w:val="nil"/>
              <w:bottom w:val="nil"/>
              <w:right w:val="single" w:sz="12" w:space="0" w:color="000000"/>
            </w:tcBorders>
            <w:shd w:val="clear" w:color="000000" w:fill="FFFFFF"/>
          </w:tcPr>
          <w:p w14:paraId="4BAD515B"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not recorded</w:t>
            </w:r>
          </w:p>
        </w:tc>
        <w:tc>
          <w:tcPr>
            <w:tcW w:w="1123" w:type="dxa"/>
            <w:tcBorders>
              <w:top w:val="nil"/>
              <w:left w:val="single" w:sz="12" w:space="0" w:color="000000"/>
              <w:bottom w:val="nil"/>
              <w:right w:val="single" w:sz="2" w:space="0" w:color="000000"/>
            </w:tcBorders>
            <w:shd w:val="clear" w:color="000000" w:fill="FFFFFF"/>
            <w:vAlign w:val="center"/>
          </w:tcPr>
          <w:p w14:paraId="5316FE81"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14:paraId="342E6AAA"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2.8</w:t>
            </w:r>
          </w:p>
        </w:tc>
      </w:tr>
      <w:tr w:rsidR="000923BB" w:rsidRPr="00FB3AC0" w14:paraId="1968D339" w14:textId="77777777" w:rsidTr="003A385F">
        <w:trPr>
          <w:trHeight w:val="273"/>
        </w:trPr>
        <w:tc>
          <w:tcPr>
            <w:tcW w:w="206" w:type="dxa"/>
            <w:tcBorders>
              <w:top w:val="nil"/>
              <w:left w:val="single" w:sz="12" w:space="0" w:color="000000"/>
              <w:bottom w:val="single" w:sz="12" w:space="0" w:color="000000"/>
              <w:right w:val="nil"/>
            </w:tcBorders>
            <w:shd w:val="clear" w:color="000000" w:fill="FFFFFF"/>
          </w:tcPr>
          <w:p w14:paraId="77E7A4DA"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2558" w:type="dxa"/>
            <w:tcBorders>
              <w:top w:val="nil"/>
              <w:left w:val="nil"/>
              <w:bottom w:val="single" w:sz="12" w:space="0" w:color="000000"/>
              <w:right w:val="single" w:sz="12" w:space="0" w:color="000000"/>
            </w:tcBorders>
            <w:shd w:val="clear" w:color="000000" w:fill="FFFFFF"/>
          </w:tcPr>
          <w:p w14:paraId="0CAC2806"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14:paraId="43882627"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36</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592C73F1"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100.0</w:t>
            </w:r>
          </w:p>
        </w:tc>
      </w:tr>
    </w:tbl>
    <w:p w14:paraId="657BF00C" w14:textId="77777777" w:rsidR="000923BB" w:rsidRPr="00FB3AC0" w:rsidRDefault="000923BB" w:rsidP="000923BB">
      <w:pPr>
        <w:rPr>
          <w:rFonts w:cs="Arial"/>
          <w:b/>
          <w:sz w:val="32"/>
          <w:szCs w:val="32"/>
        </w:rPr>
      </w:pPr>
    </w:p>
    <w:p w14:paraId="5EB4DAFE" w14:textId="77777777" w:rsidR="000923BB" w:rsidRPr="00FB3AC0" w:rsidRDefault="000923BB" w:rsidP="000923BB">
      <w:pPr>
        <w:tabs>
          <w:tab w:val="center" w:pos="4017"/>
        </w:tabs>
        <w:autoSpaceDE w:val="0"/>
        <w:autoSpaceDN w:val="0"/>
        <w:adjustRightInd w:val="0"/>
        <w:rPr>
          <w:rFonts w:cs="Arial"/>
          <w:b/>
          <w:bCs/>
          <w:color w:val="000000"/>
          <w:sz w:val="22"/>
          <w:szCs w:val="22"/>
          <w:lang w:val="en-US"/>
        </w:rPr>
      </w:pPr>
      <w:r w:rsidRPr="00FB3AC0">
        <w:rPr>
          <w:rFonts w:cs="Arial"/>
          <w:b/>
          <w:bCs/>
          <w:color w:val="000000"/>
          <w:sz w:val="22"/>
          <w:szCs w:val="22"/>
          <w:lang w:val="en-US"/>
        </w:rPr>
        <w:t>Social circumstances</w:t>
      </w:r>
    </w:p>
    <w:p w14:paraId="5B422BEC" w14:textId="77777777" w:rsidR="000923BB" w:rsidRPr="00FB3AC0" w:rsidRDefault="000923BB" w:rsidP="000923BB">
      <w:pPr>
        <w:tabs>
          <w:tab w:val="center" w:pos="4147"/>
        </w:tabs>
        <w:autoSpaceDE w:val="0"/>
        <w:autoSpaceDN w:val="0"/>
        <w:adjustRightInd w:val="0"/>
        <w:rPr>
          <w:rFonts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206"/>
        <w:gridCol w:w="2918"/>
        <w:gridCol w:w="1123"/>
        <w:gridCol w:w="1080"/>
      </w:tblGrid>
      <w:tr w:rsidR="000923BB" w:rsidRPr="00FB3AC0" w14:paraId="7B4E703A" w14:textId="77777777" w:rsidTr="003A385F">
        <w:trPr>
          <w:trHeight w:val="504"/>
        </w:trPr>
        <w:tc>
          <w:tcPr>
            <w:tcW w:w="3124"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149BDAEC"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3A2A4F93" w14:textId="77777777" w:rsidR="000923BB" w:rsidRPr="00FB3AC0" w:rsidRDefault="000923BB" w:rsidP="003A385F">
            <w:pPr>
              <w:autoSpaceDE w:val="0"/>
              <w:autoSpaceDN w:val="0"/>
              <w:adjustRightInd w:val="0"/>
              <w:jc w:val="center"/>
              <w:rPr>
                <w:rFonts w:cs="Arial"/>
                <w:color w:val="000000"/>
                <w:sz w:val="18"/>
                <w:szCs w:val="18"/>
              </w:rPr>
            </w:pPr>
            <w:r w:rsidRPr="00FB3AC0">
              <w:rPr>
                <w:rFonts w:cs="Arial"/>
                <w:color w:val="000000"/>
                <w:sz w:val="18"/>
                <w:szCs w:val="18"/>
              </w:rPr>
              <w:t>n</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043B8AF4" w14:textId="77777777" w:rsidR="000923BB" w:rsidRPr="00FB3AC0" w:rsidRDefault="000923BB" w:rsidP="003A385F">
            <w:pPr>
              <w:autoSpaceDE w:val="0"/>
              <w:autoSpaceDN w:val="0"/>
              <w:adjustRightInd w:val="0"/>
              <w:jc w:val="center"/>
              <w:rPr>
                <w:rFonts w:cs="Arial"/>
                <w:color w:val="000000"/>
                <w:sz w:val="18"/>
                <w:szCs w:val="18"/>
              </w:rPr>
            </w:pPr>
            <w:r w:rsidRPr="00FB3AC0">
              <w:rPr>
                <w:rFonts w:cs="Arial"/>
                <w:color w:val="000000"/>
                <w:sz w:val="18"/>
                <w:szCs w:val="18"/>
              </w:rPr>
              <w:t>Percent</w:t>
            </w:r>
          </w:p>
        </w:tc>
      </w:tr>
      <w:tr w:rsidR="000923BB" w:rsidRPr="00FB3AC0" w14:paraId="4F8C1F5A" w14:textId="77777777" w:rsidTr="003A385F">
        <w:trPr>
          <w:trHeight w:val="504"/>
        </w:trPr>
        <w:tc>
          <w:tcPr>
            <w:tcW w:w="206" w:type="dxa"/>
            <w:tcBorders>
              <w:top w:val="single" w:sz="12" w:space="0" w:color="000000"/>
              <w:left w:val="single" w:sz="12" w:space="0" w:color="000000"/>
              <w:bottom w:val="nil"/>
              <w:right w:val="nil"/>
            </w:tcBorders>
            <w:shd w:val="clear" w:color="000000" w:fill="FFFFFF"/>
          </w:tcPr>
          <w:p w14:paraId="0B346D1D" w14:textId="77777777" w:rsidR="000923BB" w:rsidRPr="00FB3AC0" w:rsidRDefault="000923BB" w:rsidP="003A385F">
            <w:pPr>
              <w:autoSpaceDE w:val="0"/>
              <w:autoSpaceDN w:val="0"/>
              <w:adjustRightInd w:val="0"/>
              <w:rPr>
                <w:rFonts w:cs="Arial"/>
                <w:color w:val="000000"/>
                <w:sz w:val="18"/>
                <w:szCs w:val="18"/>
              </w:rPr>
            </w:pPr>
          </w:p>
        </w:tc>
        <w:tc>
          <w:tcPr>
            <w:tcW w:w="2918" w:type="dxa"/>
            <w:tcBorders>
              <w:top w:val="single" w:sz="12" w:space="0" w:color="000000"/>
              <w:left w:val="nil"/>
              <w:bottom w:val="nil"/>
              <w:right w:val="single" w:sz="12" w:space="0" w:color="000000"/>
            </w:tcBorders>
            <w:shd w:val="clear" w:color="000000" w:fill="FFFFFF"/>
          </w:tcPr>
          <w:p w14:paraId="754AB7BD"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lives alone with social service support</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14:paraId="4E77D56E"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6643BBE5"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2.8</w:t>
            </w:r>
          </w:p>
        </w:tc>
      </w:tr>
      <w:tr w:rsidR="000923BB" w:rsidRPr="00FB3AC0" w14:paraId="32FA7CC5" w14:textId="77777777" w:rsidTr="003A385F">
        <w:trPr>
          <w:trHeight w:val="273"/>
        </w:trPr>
        <w:tc>
          <w:tcPr>
            <w:tcW w:w="206" w:type="dxa"/>
            <w:tcBorders>
              <w:top w:val="nil"/>
              <w:left w:val="single" w:sz="12" w:space="0" w:color="000000"/>
              <w:bottom w:val="nil"/>
              <w:right w:val="nil"/>
            </w:tcBorders>
            <w:shd w:val="clear" w:color="000000" w:fill="FFFFFF"/>
          </w:tcPr>
          <w:p w14:paraId="4D9B8D65"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2918" w:type="dxa"/>
            <w:tcBorders>
              <w:top w:val="nil"/>
              <w:left w:val="nil"/>
              <w:bottom w:val="nil"/>
              <w:right w:val="single" w:sz="12" w:space="0" w:color="000000"/>
            </w:tcBorders>
            <w:shd w:val="clear" w:color="000000" w:fill="FFFFFF"/>
          </w:tcPr>
          <w:p w14:paraId="638C4364"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lives alone, no support</w:t>
            </w:r>
          </w:p>
        </w:tc>
        <w:tc>
          <w:tcPr>
            <w:tcW w:w="1123" w:type="dxa"/>
            <w:tcBorders>
              <w:top w:val="nil"/>
              <w:left w:val="single" w:sz="12" w:space="0" w:color="000000"/>
              <w:bottom w:val="nil"/>
              <w:right w:val="single" w:sz="2" w:space="0" w:color="000000"/>
            </w:tcBorders>
            <w:shd w:val="clear" w:color="000000" w:fill="FFFFFF"/>
            <w:vAlign w:val="center"/>
          </w:tcPr>
          <w:p w14:paraId="17023C28"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11</w:t>
            </w:r>
          </w:p>
        </w:tc>
        <w:tc>
          <w:tcPr>
            <w:tcW w:w="1080" w:type="dxa"/>
            <w:tcBorders>
              <w:top w:val="nil"/>
              <w:left w:val="single" w:sz="2" w:space="0" w:color="000000"/>
              <w:bottom w:val="nil"/>
              <w:right w:val="single" w:sz="2" w:space="0" w:color="000000"/>
            </w:tcBorders>
            <w:shd w:val="clear" w:color="000000" w:fill="FFFFFF"/>
            <w:vAlign w:val="center"/>
          </w:tcPr>
          <w:p w14:paraId="4BCA826D"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30.6</w:t>
            </w:r>
          </w:p>
        </w:tc>
      </w:tr>
      <w:tr w:rsidR="000923BB" w:rsidRPr="00FB3AC0" w14:paraId="05CD3FA2" w14:textId="77777777" w:rsidTr="003A385F">
        <w:trPr>
          <w:trHeight w:val="504"/>
        </w:trPr>
        <w:tc>
          <w:tcPr>
            <w:tcW w:w="206" w:type="dxa"/>
            <w:tcBorders>
              <w:top w:val="nil"/>
              <w:left w:val="single" w:sz="12" w:space="0" w:color="000000"/>
              <w:bottom w:val="nil"/>
              <w:right w:val="nil"/>
            </w:tcBorders>
            <w:shd w:val="clear" w:color="000000" w:fill="FFFFFF"/>
          </w:tcPr>
          <w:p w14:paraId="4E915DFE"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2918" w:type="dxa"/>
            <w:tcBorders>
              <w:top w:val="nil"/>
              <w:left w:val="nil"/>
              <w:bottom w:val="nil"/>
              <w:right w:val="single" w:sz="12" w:space="0" w:color="000000"/>
            </w:tcBorders>
            <w:shd w:val="clear" w:color="000000" w:fill="FFFFFF"/>
          </w:tcPr>
          <w:p w14:paraId="39CFBD9A"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lives in nursing/residential home</w:t>
            </w:r>
          </w:p>
        </w:tc>
        <w:tc>
          <w:tcPr>
            <w:tcW w:w="1123" w:type="dxa"/>
            <w:tcBorders>
              <w:top w:val="nil"/>
              <w:left w:val="single" w:sz="12" w:space="0" w:color="000000"/>
              <w:bottom w:val="nil"/>
              <w:right w:val="single" w:sz="2" w:space="0" w:color="000000"/>
            </w:tcBorders>
            <w:shd w:val="clear" w:color="000000" w:fill="FFFFFF"/>
            <w:vAlign w:val="center"/>
          </w:tcPr>
          <w:p w14:paraId="71A99F19"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3</w:t>
            </w:r>
          </w:p>
        </w:tc>
        <w:tc>
          <w:tcPr>
            <w:tcW w:w="1080" w:type="dxa"/>
            <w:tcBorders>
              <w:top w:val="nil"/>
              <w:left w:val="single" w:sz="2" w:space="0" w:color="000000"/>
              <w:bottom w:val="nil"/>
              <w:right w:val="single" w:sz="2" w:space="0" w:color="000000"/>
            </w:tcBorders>
            <w:shd w:val="clear" w:color="000000" w:fill="FFFFFF"/>
            <w:vAlign w:val="center"/>
          </w:tcPr>
          <w:p w14:paraId="13498057"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8.3</w:t>
            </w:r>
          </w:p>
        </w:tc>
      </w:tr>
      <w:tr w:rsidR="000923BB" w:rsidRPr="00FB3AC0" w14:paraId="6C13D043" w14:textId="77777777" w:rsidTr="003A385F">
        <w:trPr>
          <w:trHeight w:val="504"/>
        </w:trPr>
        <w:tc>
          <w:tcPr>
            <w:tcW w:w="206" w:type="dxa"/>
            <w:tcBorders>
              <w:top w:val="nil"/>
              <w:left w:val="single" w:sz="12" w:space="0" w:color="000000"/>
              <w:bottom w:val="nil"/>
              <w:right w:val="nil"/>
            </w:tcBorders>
            <w:shd w:val="clear" w:color="000000" w:fill="FFFFFF"/>
          </w:tcPr>
          <w:p w14:paraId="2E0EDBE8"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2918" w:type="dxa"/>
            <w:tcBorders>
              <w:top w:val="nil"/>
              <w:left w:val="nil"/>
              <w:bottom w:val="nil"/>
              <w:right w:val="single" w:sz="12" w:space="0" w:color="000000"/>
            </w:tcBorders>
            <w:shd w:val="clear" w:color="000000" w:fill="FFFFFF"/>
          </w:tcPr>
          <w:p w14:paraId="0B1713A6"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lives in warden controlled (sheltered) housing</w:t>
            </w:r>
          </w:p>
        </w:tc>
        <w:tc>
          <w:tcPr>
            <w:tcW w:w="1123" w:type="dxa"/>
            <w:tcBorders>
              <w:top w:val="nil"/>
              <w:left w:val="single" w:sz="12" w:space="0" w:color="000000"/>
              <w:bottom w:val="nil"/>
              <w:right w:val="single" w:sz="2" w:space="0" w:color="000000"/>
            </w:tcBorders>
            <w:shd w:val="clear" w:color="000000" w:fill="FFFFFF"/>
            <w:vAlign w:val="center"/>
          </w:tcPr>
          <w:p w14:paraId="0F597BE8"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14:paraId="76F33A63"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2.8</w:t>
            </w:r>
          </w:p>
        </w:tc>
      </w:tr>
      <w:tr w:rsidR="000923BB" w:rsidRPr="00FB3AC0" w14:paraId="0E6269DD" w14:textId="77777777" w:rsidTr="003A385F">
        <w:trPr>
          <w:trHeight w:val="504"/>
        </w:trPr>
        <w:tc>
          <w:tcPr>
            <w:tcW w:w="206" w:type="dxa"/>
            <w:tcBorders>
              <w:top w:val="nil"/>
              <w:left w:val="single" w:sz="12" w:space="0" w:color="000000"/>
              <w:bottom w:val="nil"/>
              <w:right w:val="nil"/>
            </w:tcBorders>
            <w:shd w:val="clear" w:color="000000" w:fill="FFFFFF"/>
          </w:tcPr>
          <w:p w14:paraId="4F29948C"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2918" w:type="dxa"/>
            <w:tcBorders>
              <w:top w:val="nil"/>
              <w:left w:val="nil"/>
              <w:bottom w:val="nil"/>
              <w:right w:val="single" w:sz="12" w:space="0" w:color="000000"/>
            </w:tcBorders>
            <w:shd w:val="clear" w:color="000000" w:fill="FFFFFF"/>
          </w:tcPr>
          <w:p w14:paraId="0934A298"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lives with spouse, close relative or carer</w:t>
            </w:r>
          </w:p>
        </w:tc>
        <w:tc>
          <w:tcPr>
            <w:tcW w:w="1123" w:type="dxa"/>
            <w:tcBorders>
              <w:top w:val="nil"/>
              <w:left w:val="single" w:sz="12" w:space="0" w:color="000000"/>
              <w:bottom w:val="nil"/>
              <w:right w:val="single" w:sz="2" w:space="0" w:color="000000"/>
            </w:tcBorders>
            <w:shd w:val="clear" w:color="000000" w:fill="FFFFFF"/>
            <w:vAlign w:val="center"/>
          </w:tcPr>
          <w:p w14:paraId="434E4BA1"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20</w:t>
            </w:r>
          </w:p>
        </w:tc>
        <w:tc>
          <w:tcPr>
            <w:tcW w:w="1080" w:type="dxa"/>
            <w:tcBorders>
              <w:top w:val="nil"/>
              <w:left w:val="single" w:sz="2" w:space="0" w:color="000000"/>
              <w:bottom w:val="nil"/>
              <w:right w:val="single" w:sz="2" w:space="0" w:color="000000"/>
            </w:tcBorders>
            <w:shd w:val="clear" w:color="000000" w:fill="FFFFFF"/>
            <w:vAlign w:val="center"/>
          </w:tcPr>
          <w:p w14:paraId="2DB831FC"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55.6</w:t>
            </w:r>
          </w:p>
        </w:tc>
      </w:tr>
      <w:tr w:rsidR="000923BB" w:rsidRPr="00FB3AC0" w14:paraId="48A42618" w14:textId="77777777" w:rsidTr="003A385F">
        <w:trPr>
          <w:trHeight w:val="273"/>
        </w:trPr>
        <w:tc>
          <w:tcPr>
            <w:tcW w:w="206" w:type="dxa"/>
            <w:tcBorders>
              <w:top w:val="nil"/>
              <w:left w:val="single" w:sz="12" w:space="0" w:color="000000"/>
              <w:bottom w:val="single" w:sz="12" w:space="0" w:color="000000"/>
              <w:right w:val="nil"/>
            </w:tcBorders>
            <w:shd w:val="clear" w:color="000000" w:fill="FFFFFF"/>
          </w:tcPr>
          <w:p w14:paraId="70840A8A"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2918" w:type="dxa"/>
            <w:tcBorders>
              <w:top w:val="nil"/>
              <w:left w:val="nil"/>
              <w:bottom w:val="single" w:sz="12" w:space="0" w:color="000000"/>
              <w:right w:val="single" w:sz="12" w:space="0" w:color="000000"/>
            </w:tcBorders>
            <w:shd w:val="clear" w:color="000000" w:fill="FFFFFF"/>
          </w:tcPr>
          <w:p w14:paraId="1495465F"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14:paraId="3DB97644"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36</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0EFADAAF"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100.0</w:t>
            </w:r>
          </w:p>
        </w:tc>
      </w:tr>
    </w:tbl>
    <w:p w14:paraId="5C563B3D" w14:textId="77777777" w:rsidR="000923BB" w:rsidRPr="00FB3AC0" w:rsidRDefault="000923BB" w:rsidP="000923BB">
      <w:pPr>
        <w:autoSpaceDE w:val="0"/>
        <w:autoSpaceDN w:val="0"/>
        <w:adjustRightInd w:val="0"/>
        <w:rPr>
          <w:rFonts w:cs="Arial"/>
          <w:color w:val="000000"/>
          <w:sz w:val="18"/>
          <w:szCs w:val="18"/>
        </w:rPr>
      </w:pPr>
    </w:p>
    <w:p w14:paraId="732B68CD" w14:textId="77777777" w:rsidR="000923BB" w:rsidRPr="00FB3AC0" w:rsidRDefault="000923BB" w:rsidP="000923BB">
      <w:pPr>
        <w:rPr>
          <w:rFonts w:cs="Arial"/>
          <w:b/>
          <w:sz w:val="32"/>
          <w:szCs w:val="32"/>
        </w:rPr>
      </w:pPr>
      <w:r w:rsidRPr="00FB3AC0">
        <w:rPr>
          <w:rFonts w:cs="Arial"/>
          <w:b/>
          <w:sz w:val="32"/>
          <w:szCs w:val="32"/>
        </w:rPr>
        <w:lastRenderedPageBreak/>
        <w:t>Admission Phase</w:t>
      </w:r>
    </w:p>
    <w:p w14:paraId="636071EA" w14:textId="77777777" w:rsidR="000923BB" w:rsidRPr="00FB3AC0" w:rsidRDefault="000923BB" w:rsidP="000923BB">
      <w:pPr>
        <w:rPr>
          <w:rFonts w:cs="Arial"/>
          <w:b/>
          <w:sz w:val="28"/>
          <w:szCs w:val="28"/>
        </w:rPr>
      </w:pPr>
    </w:p>
    <w:p w14:paraId="05FEF827" w14:textId="77777777" w:rsidR="000923BB" w:rsidRPr="00FB3AC0" w:rsidRDefault="000923BB" w:rsidP="000923BB">
      <w:pPr>
        <w:rPr>
          <w:rFonts w:cs="Arial"/>
          <w:b/>
          <w:sz w:val="22"/>
          <w:szCs w:val="22"/>
        </w:rPr>
      </w:pPr>
      <w:r w:rsidRPr="00FB3AC0">
        <w:rPr>
          <w:rFonts w:cs="Arial"/>
          <w:b/>
          <w:sz w:val="22"/>
          <w:szCs w:val="22"/>
        </w:rPr>
        <w:t xml:space="preserve">Please note, some of these results are subjective and are the opinions of </w:t>
      </w:r>
      <w:r w:rsidR="005332D1">
        <w:rPr>
          <w:rFonts w:cs="Arial"/>
          <w:b/>
          <w:sz w:val="22"/>
          <w:szCs w:val="22"/>
        </w:rPr>
        <w:t xml:space="preserve">               </w:t>
      </w:r>
      <w:r w:rsidRPr="00FB3AC0">
        <w:rPr>
          <w:rFonts w:cs="Arial"/>
          <w:b/>
          <w:sz w:val="22"/>
          <w:szCs w:val="22"/>
        </w:rPr>
        <w:t>the individual reviewers</w:t>
      </w:r>
    </w:p>
    <w:p w14:paraId="218290FD" w14:textId="77777777" w:rsidR="000923BB" w:rsidRPr="00FB3AC0" w:rsidRDefault="000923BB" w:rsidP="000923BB">
      <w:pPr>
        <w:rPr>
          <w:rFonts w:cs="Arial"/>
          <w:b/>
          <w:sz w:val="28"/>
          <w:szCs w:val="28"/>
        </w:rPr>
      </w:pPr>
    </w:p>
    <w:p w14:paraId="290102D1" w14:textId="77777777" w:rsidR="000923BB" w:rsidRPr="00F54264" w:rsidRDefault="000923BB" w:rsidP="000923BB">
      <w:pPr>
        <w:rPr>
          <w:rFonts w:cs="Arial"/>
          <w:b/>
          <w:sz w:val="28"/>
          <w:szCs w:val="28"/>
        </w:rPr>
      </w:pPr>
      <w:r w:rsidRPr="00F54264">
        <w:rPr>
          <w:rFonts w:cs="Arial"/>
          <w:b/>
          <w:sz w:val="28"/>
          <w:szCs w:val="28"/>
        </w:rPr>
        <w:t xml:space="preserve">Rating scale results: quality of care ratings for the </w:t>
      </w:r>
      <w:r w:rsidR="005332D1">
        <w:rPr>
          <w:rFonts w:cs="Arial"/>
          <w:b/>
          <w:sz w:val="28"/>
          <w:szCs w:val="28"/>
        </w:rPr>
        <w:t xml:space="preserve">    </w:t>
      </w:r>
      <w:r w:rsidRPr="00F54264">
        <w:rPr>
          <w:rFonts w:cs="Arial"/>
          <w:b/>
          <w:sz w:val="28"/>
          <w:szCs w:val="28"/>
        </w:rPr>
        <w:t xml:space="preserve">admission phase </w:t>
      </w:r>
    </w:p>
    <w:p w14:paraId="26D5DBA7" w14:textId="77777777" w:rsidR="000923BB" w:rsidRPr="00FB3AC0" w:rsidRDefault="000923BB" w:rsidP="000923BB">
      <w:pPr>
        <w:rPr>
          <w:rFonts w:cs="Arial"/>
          <w:b/>
          <w:sz w:val="28"/>
          <w:szCs w:val="28"/>
        </w:rPr>
      </w:pPr>
      <w:r>
        <w:rPr>
          <w:rFonts w:cs="Arial"/>
          <w:noProof/>
          <w:sz w:val="14"/>
          <w:szCs w:val="14"/>
          <w:lang w:eastAsia="en-GB" w:bidi="ar-SA"/>
        </w:rPr>
        <w:drawing>
          <wp:inline distT="0" distB="0" distL="0" distR="0" wp14:anchorId="1B76D778" wp14:editId="3934E724">
            <wp:extent cx="4500245" cy="4222115"/>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1" cstate="print"/>
                    <a:srcRect/>
                    <a:stretch>
                      <a:fillRect/>
                    </a:stretch>
                  </pic:blipFill>
                  <pic:spPr bwMode="auto">
                    <a:xfrm>
                      <a:off x="0" y="0"/>
                      <a:ext cx="4500245" cy="4222115"/>
                    </a:xfrm>
                    <a:prstGeom prst="rect">
                      <a:avLst/>
                    </a:prstGeom>
                    <a:noFill/>
                    <a:ln w="9525">
                      <a:noFill/>
                      <a:miter lim="800000"/>
                      <a:headEnd/>
                      <a:tailEnd/>
                    </a:ln>
                  </pic:spPr>
                </pic:pic>
              </a:graphicData>
            </a:graphic>
          </wp:inline>
        </w:drawing>
      </w:r>
    </w:p>
    <w:p w14:paraId="75585355" w14:textId="77777777" w:rsidR="000923BB" w:rsidRPr="00F54264" w:rsidRDefault="000923BB" w:rsidP="000923BB">
      <w:pPr>
        <w:rPr>
          <w:rFonts w:cs="Arial"/>
          <w:b/>
        </w:rPr>
      </w:pPr>
      <w:r w:rsidRPr="00F54264">
        <w:rPr>
          <w:rFonts w:cs="Arial"/>
          <w:b/>
        </w:rPr>
        <w:t xml:space="preserve">1 = unsatisfactory </w:t>
      </w:r>
    </w:p>
    <w:p w14:paraId="5881D086" w14:textId="77777777" w:rsidR="000923BB" w:rsidRPr="00F54264" w:rsidRDefault="000923BB" w:rsidP="000923BB">
      <w:pPr>
        <w:rPr>
          <w:rFonts w:cs="Arial"/>
          <w:b/>
        </w:rPr>
      </w:pPr>
      <w:r w:rsidRPr="00F54264">
        <w:rPr>
          <w:rFonts w:cs="Arial"/>
          <w:b/>
        </w:rPr>
        <w:t>6 = very best care</w:t>
      </w:r>
    </w:p>
    <w:p w14:paraId="07298D35" w14:textId="77777777" w:rsidR="003C12FD" w:rsidRDefault="003C12FD" w:rsidP="000923BB">
      <w:pPr>
        <w:rPr>
          <w:rFonts w:cs="Arial"/>
          <w:b/>
        </w:rPr>
      </w:pPr>
    </w:p>
    <w:p w14:paraId="601AECA4" w14:textId="77777777" w:rsidR="003C12FD" w:rsidRDefault="003C12FD" w:rsidP="000923BB">
      <w:pPr>
        <w:rPr>
          <w:rFonts w:cs="Arial"/>
          <w:b/>
        </w:rPr>
      </w:pPr>
    </w:p>
    <w:p w14:paraId="03F526E0" w14:textId="77777777" w:rsidR="003C12FD" w:rsidRDefault="003C12FD" w:rsidP="000923BB">
      <w:pPr>
        <w:rPr>
          <w:rFonts w:cs="Arial"/>
          <w:b/>
        </w:rPr>
      </w:pPr>
    </w:p>
    <w:p w14:paraId="6EE103F0" w14:textId="77777777" w:rsidR="003C12FD" w:rsidRDefault="003C12FD" w:rsidP="000923BB">
      <w:pPr>
        <w:rPr>
          <w:rFonts w:cs="Arial"/>
          <w:b/>
        </w:rPr>
      </w:pPr>
    </w:p>
    <w:p w14:paraId="4961009A" w14:textId="77777777" w:rsidR="003C12FD" w:rsidRDefault="003C12FD" w:rsidP="000923BB">
      <w:pPr>
        <w:rPr>
          <w:rFonts w:cs="Arial"/>
          <w:b/>
        </w:rPr>
      </w:pPr>
    </w:p>
    <w:p w14:paraId="2960FBDF" w14:textId="77777777" w:rsidR="000923BB" w:rsidRPr="00FB3AC0" w:rsidRDefault="005332D1" w:rsidP="000923BB">
      <w:pPr>
        <w:rPr>
          <w:rFonts w:cs="Arial"/>
          <w:b/>
        </w:rPr>
      </w:pPr>
      <w:r>
        <w:rPr>
          <w:rFonts w:cs="Arial"/>
          <w:b/>
        </w:rPr>
        <w:lastRenderedPageBreak/>
        <w:t>Q</w:t>
      </w:r>
      <w:r w:rsidR="000923BB" w:rsidRPr="00FB3AC0">
        <w:rPr>
          <w:rFonts w:cs="Arial"/>
          <w:b/>
        </w:rPr>
        <w:t>uality of care rating for the admission phase: all reviewers from site 439</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3"/>
        <w:gridCol w:w="1690"/>
        <w:gridCol w:w="1715"/>
        <w:gridCol w:w="1695"/>
        <w:gridCol w:w="1557"/>
      </w:tblGrid>
      <w:tr w:rsidR="000923BB" w:rsidRPr="004932C5" w14:paraId="1027ADEA" w14:textId="77777777" w:rsidTr="005332D1">
        <w:tc>
          <w:tcPr>
            <w:tcW w:w="1482" w:type="dxa"/>
          </w:tcPr>
          <w:p w14:paraId="08AB7162" w14:textId="77777777" w:rsidR="000923BB" w:rsidRPr="004932C5" w:rsidRDefault="000923BB" w:rsidP="003A385F">
            <w:pPr>
              <w:jc w:val="center"/>
              <w:rPr>
                <w:rFonts w:cs="Arial"/>
                <w:b/>
                <w:sz w:val="22"/>
                <w:szCs w:val="22"/>
              </w:rPr>
            </w:pPr>
            <w:r w:rsidRPr="004932C5">
              <w:rPr>
                <w:rFonts w:cs="Arial"/>
                <w:b/>
                <w:sz w:val="22"/>
                <w:szCs w:val="22"/>
              </w:rPr>
              <w:t>Reviewer</w:t>
            </w:r>
          </w:p>
        </w:tc>
        <w:tc>
          <w:tcPr>
            <w:tcW w:w="1714" w:type="dxa"/>
          </w:tcPr>
          <w:p w14:paraId="34296823" w14:textId="77777777" w:rsidR="000923BB" w:rsidRPr="004932C5" w:rsidRDefault="000923BB" w:rsidP="003A385F">
            <w:pPr>
              <w:jc w:val="center"/>
              <w:rPr>
                <w:rFonts w:cs="Arial"/>
                <w:b/>
                <w:sz w:val="22"/>
                <w:szCs w:val="22"/>
              </w:rPr>
            </w:pPr>
            <w:r w:rsidRPr="004932C5">
              <w:rPr>
                <w:rFonts w:cs="Arial"/>
                <w:b/>
                <w:sz w:val="22"/>
                <w:szCs w:val="22"/>
              </w:rPr>
              <w:t>Mean quality of care rating</w:t>
            </w:r>
          </w:p>
        </w:tc>
        <w:tc>
          <w:tcPr>
            <w:tcW w:w="1731" w:type="dxa"/>
          </w:tcPr>
          <w:p w14:paraId="338CCEA6" w14:textId="77777777" w:rsidR="000923BB" w:rsidRPr="004932C5" w:rsidRDefault="000923BB" w:rsidP="003A385F">
            <w:pPr>
              <w:jc w:val="center"/>
              <w:rPr>
                <w:rFonts w:cs="Arial"/>
                <w:b/>
                <w:sz w:val="22"/>
                <w:szCs w:val="22"/>
              </w:rPr>
            </w:pPr>
            <w:r w:rsidRPr="004932C5">
              <w:rPr>
                <w:rFonts w:cs="Arial"/>
                <w:b/>
                <w:sz w:val="22"/>
                <w:szCs w:val="22"/>
              </w:rPr>
              <w:t>Standard deviation</w:t>
            </w:r>
          </w:p>
        </w:tc>
        <w:tc>
          <w:tcPr>
            <w:tcW w:w="1717" w:type="dxa"/>
          </w:tcPr>
          <w:p w14:paraId="3BE0782B" w14:textId="77777777" w:rsidR="000923BB" w:rsidRPr="004932C5" w:rsidRDefault="000923BB" w:rsidP="003A385F">
            <w:pPr>
              <w:jc w:val="center"/>
              <w:rPr>
                <w:rFonts w:cs="Arial"/>
                <w:b/>
                <w:sz w:val="22"/>
                <w:szCs w:val="22"/>
              </w:rPr>
            </w:pPr>
            <w:r w:rsidRPr="004932C5">
              <w:rPr>
                <w:rFonts w:cs="Arial"/>
                <w:b/>
                <w:sz w:val="22"/>
                <w:szCs w:val="22"/>
              </w:rPr>
              <w:t>Median</w:t>
            </w:r>
          </w:p>
        </w:tc>
        <w:tc>
          <w:tcPr>
            <w:tcW w:w="1578" w:type="dxa"/>
          </w:tcPr>
          <w:p w14:paraId="2D6ED680" w14:textId="77777777" w:rsidR="000923BB" w:rsidRPr="004932C5" w:rsidRDefault="000923BB" w:rsidP="003A385F">
            <w:pPr>
              <w:jc w:val="center"/>
              <w:rPr>
                <w:rFonts w:cs="Arial"/>
                <w:b/>
                <w:sz w:val="22"/>
                <w:szCs w:val="22"/>
              </w:rPr>
            </w:pPr>
            <w:r w:rsidRPr="004932C5">
              <w:rPr>
                <w:rFonts w:cs="Arial"/>
                <w:b/>
                <w:sz w:val="22"/>
                <w:szCs w:val="22"/>
              </w:rPr>
              <w:t>Range</w:t>
            </w:r>
          </w:p>
        </w:tc>
      </w:tr>
      <w:tr w:rsidR="000923BB" w:rsidRPr="004932C5" w14:paraId="33A26464" w14:textId="77777777" w:rsidTr="005332D1">
        <w:tc>
          <w:tcPr>
            <w:tcW w:w="1482" w:type="dxa"/>
          </w:tcPr>
          <w:p w14:paraId="5D47B370" w14:textId="77777777" w:rsidR="000923BB" w:rsidRPr="004932C5" w:rsidRDefault="000923BB" w:rsidP="003A385F">
            <w:pPr>
              <w:jc w:val="center"/>
              <w:rPr>
                <w:rFonts w:cs="Arial"/>
                <w:sz w:val="22"/>
                <w:szCs w:val="22"/>
              </w:rPr>
            </w:pPr>
            <w:r w:rsidRPr="004932C5">
              <w:rPr>
                <w:rFonts w:cs="Arial"/>
                <w:sz w:val="22"/>
                <w:szCs w:val="22"/>
              </w:rPr>
              <w:t>5731</w:t>
            </w:r>
          </w:p>
        </w:tc>
        <w:tc>
          <w:tcPr>
            <w:tcW w:w="1714" w:type="dxa"/>
          </w:tcPr>
          <w:p w14:paraId="22BBA9D4" w14:textId="77777777" w:rsidR="000923BB" w:rsidRPr="004932C5" w:rsidRDefault="000923BB" w:rsidP="003A385F">
            <w:pPr>
              <w:jc w:val="center"/>
              <w:rPr>
                <w:rFonts w:cs="Arial"/>
                <w:sz w:val="22"/>
                <w:szCs w:val="22"/>
              </w:rPr>
            </w:pPr>
            <w:r w:rsidRPr="004932C5">
              <w:rPr>
                <w:rFonts w:cs="Arial"/>
                <w:sz w:val="22"/>
                <w:szCs w:val="22"/>
              </w:rPr>
              <w:t>4.2</w:t>
            </w:r>
          </w:p>
        </w:tc>
        <w:tc>
          <w:tcPr>
            <w:tcW w:w="1731" w:type="dxa"/>
          </w:tcPr>
          <w:p w14:paraId="146EF133" w14:textId="77777777" w:rsidR="000923BB" w:rsidRPr="004932C5" w:rsidRDefault="000923BB" w:rsidP="003A385F">
            <w:pPr>
              <w:jc w:val="center"/>
              <w:rPr>
                <w:rFonts w:cs="Arial"/>
                <w:sz w:val="22"/>
                <w:szCs w:val="22"/>
              </w:rPr>
            </w:pPr>
            <w:r w:rsidRPr="004932C5">
              <w:rPr>
                <w:rFonts w:cs="Arial"/>
                <w:sz w:val="22"/>
                <w:szCs w:val="22"/>
              </w:rPr>
              <w:t>1.08</w:t>
            </w:r>
          </w:p>
        </w:tc>
        <w:tc>
          <w:tcPr>
            <w:tcW w:w="1717" w:type="dxa"/>
          </w:tcPr>
          <w:p w14:paraId="7F27FA6E" w14:textId="77777777" w:rsidR="000923BB" w:rsidRPr="004932C5" w:rsidRDefault="000923BB" w:rsidP="003A385F">
            <w:pPr>
              <w:jc w:val="center"/>
              <w:rPr>
                <w:rFonts w:cs="Arial"/>
                <w:sz w:val="22"/>
                <w:szCs w:val="22"/>
              </w:rPr>
            </w:pPr>
            <w:r w:rsidRPr="004932C5">
              <w:rPr>
                <w:rFonts w:cs="Arial"/>
                <w:sz w:val="22"/>
                <w:szCs w:val="22"/>
              </w:rPr>
              <w:t>5.0</w:t>
            </w:r>
          </w:p>
        </w:tc>
        <w:tc>
          <w:tcPr>
            <w:tcW w:w="1578" w:type="dxa"/>
          </w:tcPr>
          <w:p w14:paraId="3BBF440C" w14:textId="77777777" w:rsidR="000923BB" w:rsidRPr="004932C5" w:rsidRDefault="000923BB" w:rsidP="003A385F">
            <w:pPr>
              <w:jc w:val="center"/>
              <w:rPr>
                <w:rFonts w:cs="Arial"/>
                <w:sz w:val="22"/>
                <w:szCs w:val="22"/>
              </w:rPr>
            </w:pPr>
            <w:r w:rsidRPr="004932C5">
              <w:rPr>
                <w:rFonts w:cs="Arial"/>
                <w:sz w:val="22"/>
                <w:szCs w:val="22"/>
              </w:rPr>
              <w:t xml:space="preserve">1.0 – 6.0 </w:t>
            </w:r>
          </w:p>
        </w:tc>
      </w:tr>
      <w:tr w:rsidR="000923BB" w:rsidRPr="004932C5" w14:paraId="06C8AC70" w14:textId="77777777" w:rsidTr="005332D1">
        <w:tc>
          <w:tcPr>
            <w:tcW w:w="1482" w:type="dxa"/>
          </w:tcPr>
          <w:p w14:paraId="77F2169C" w14:textId="77777777" w:rsidR="000923BB" w:rsidRPr="004932C5" w:rsidRDefault="000923BB" w:rsidP="003A385F">
            <w:pPr>
              <w:jc w:val="center"/>
              <w:rPr>
                <w:rFonts w:cs="Arial"/>
                <w:sz w:val="22"/>
                <w:szCs w:val="22"/>
              </w:rPr>
            </w:pPr>
            <w:r w:rsidRPr="004932C5">
              <w:rPr>
                <w:rFonts w:cs="Arial"/>
                <w:sz w:val="22"/>
                <w:szCs w:val="22"/>
              </w:rPr>
              <w:t>5732</w:t>
            </w:r>
          </w:p>
        </w:tc>
        <w:tc>
          <w:tcPr>
            <w:tcW w:w="1714" w:type="dxa"/>
          </w:tcPr>
          <w:p w14:paraId="1D5A470D" w14:textId="77777777" w:rsidR="000923BB" w:rsidRPr="004932C5" w:rsidRDefault="000923BB" w:rsidP="003A385F">
            <w:pPr>
              <w:jc w:val="center"/>
              <w:rPr>
                <w:rFonts w:cs="Arial"/>
                <w:sz w:val="22"/>
                <w:szCs w:val="22"/>
              </w:rPr>
            </w:pPr>
            <w:r w:rsidRPr="004932C5">
              <w:rPr>
                <w:rFonts w:cs="Arial"/>
                <w:sz w:val="22"/>
                <w:szCs w:val="22"/>
              </w:rPr>
              <w:t>4.4</w:t>
            </w:r>
          </w:p>
        </w:tc>
        <w:tc>
          <w:tcPr>
            <w:tcW w:w="1731" w:type="dxa"/>
          </w:tcPr>
          <w:p w14:paraId="2B647240" w14:textId="77777777" w:rsidR="000923BB" w:rsidRPr="004932C5" w:rsidRDefault="000923BB" w:rsidP="003A385F">
            <w:pPr>
              <w:jc w:val="center"/>
              <w:rPr>
                <w:rFonts w:cs="Arial"/>
                <w:sz w:val="22"/>
                <w:szCs w:val="22"/>
              </w:rPr>
            </w:pPr>
            <w:r w:rsidRPr="004932C5">
              <w:rPr>
                <w:rFonts w:cs="Arial"/>
                <w:sz w:val="22"/>
                <w:szCs w:val="22"/>
              </w:rPr>
              <w:t>0.72</w:t>
            </w:r>
          </w:p>
        </w:tc>
        <w:tc>
          <w:tcPr>
            <w:tcW w:w="1717" w:type="dxa"/>
          </w:tcPr>
          <w:p w14:paraId="477FC163" w14:textId="77777777" w:rsidR="000923BB" w:rsidRPr="004932C5" w:rsidRDefault="000923BB" w:rsidP="003A385F">
            <w:pPr>
              <w:jc w:val="center"/>
              <w:rPr>
                <w:rFonts w:cs="Arial"/>
                <w:sz w:val="22"/>
                <w:szCs w:val="22"/>
              </w:rPr>
            </w:pPr>
            <w:r w:rsidRPr="004932C5">
              <w:rPr>
                <w:rFonts w:cs="Arial"/>
                <w:sz w:val="22"/>
                <w:szCs w:val="22"/>
              </w:rPr>
              <w:t>4.0</w:t>
            </w:r>
          </w:p>
        </w:tc>
        <w:tc>
          <w:tcPr>
            <w:tcW w:w="1578" w:type="dxa"/>
          </w:tcPr>
          <w:p w14:paraId="0B2ADF64" w14:textId="77777777" w:rsidR="000923BB" w:rsidRPr="004932C5" w:rsidRDefault="000923BB" w:rsidP="003A385F">
            <w:pPr>
              <w:jc w:val="center"/>
              <w:rPr>
                <w:rFonts w:cs="Arial"/>
                <w:sz w:val="22"/>
                <w:szCs w:val="22"/>
              </w:rPr>
            </w:pPr>
            <w:r w:rsidRPr="004932C5">
              <w:rPr>
                <w:rFonts w:cs="Arial"/>
                <w:sz w:val="22"/>
                <w:szCs w:val="22"/>
              </w:rPr>
              <w:t>3.0 – 6.0</w:t>
            </w:r>
          </w:p>
        </w:tc>
      </w:tr>
      <w:tr w:rsidR="000923BB" w:rsidRPr="004932C5" w14:paraId="15D6113D" w14:textId="77777777" w:rsidTr="005332D1">
        <w:tc>
          <w:tcPr>
            <w:tcW w:w="1482" w:type="dxa"/>
          </w:tcPr>
          <w:p w14:paraId="5B8C0580" w14:textId="77777777" w:rsidR="000923BB" w:rsidRPr="004932C5" w:rsidRDefault="000923BB" w:rsidP="003A385F">
            <w:pPr>
              <w:jc w:val="center"/>
              <w:rPr>
                <w:rFonts w:cs="Arial"/>
                <w:sz w:val="22"/>
                <w:szCs w:val="22"/>
              </w:rPr>
            </w:pPr>
            <w:r w:rsidRPr="004932C5">
              <w:rPr>
                <w:rFonts w:cs="Arial"/>
                <w:sz w:val="22"/>
                <w:szCs w:val="22"/>
              </w:rPr>
              <w:t>5833</w:t>
            </w:r>
          </w:p>
        </w:tc>
        <w:tc>
          <w:tcPr>
            <w:tcW w:w="1714" w:type="dxa"/>
          </w:tcPr>
          <w:p w14:paraId="25BBDDE9" w14:textId="77777777" w:rsidR="000923BB" w:rsidRPr="004932C5" w:rsidRDefault="000923BB" w:rsidP="003A385F">
            <w:pPr>
              <w:jc w:val="center"/>
              <w:rPr>
                <w:rFonts w:cs="Arial"/>
                <w:sz w:val="22"/>
                <w:szCs w:val="22"/>
              </w:rPr>
            </w:pPr>
            <w:r w:rsidRPr="004932C5">
              <w:rPr>
                <w:rFonts w:cs="Arial"/>
                <w:sz w:val="22"/>
                <w:szCs w:val="22"/>
              </w:rPr>
              <w:t>4.1</w:t>
            </w:r>
          </w:p>
        </w:tc>
        <w:tc>
          <w:tcPr>
            <w:tcW w:w="1731" w:type="dxa"/>
          </w:tcPr>
          <w:p w14:paraId="333D0864" w14:textId="77777777" w:rsidR="000923BB" w:rsidRPr="004932C5" w:rsidRDefault="000923BB" w:rsidP="003A385F">
            <w:pPr>
              <w:jc w:val="center"/>
              <w:rPr>
                <w:rFonts w:cs="Arial"/>
                <w:sz w:val="22"/>
                <w:szCs w:val="22"/>
              </w:rPr>
            </w:pPr>
            <w:r w:rsidRPr="004932C5">
              <w:rPr>
                <w:rFonts w:cs="Arial"/>
                <w:sz w:val="22"/>
                <w:szCs w:val="22"/>
              </w:rPr>
              <w:t>1.26</w:t>
            </w:r>
          </w:p>
        </w:tc>
        <w:tc>
          <w:tcPr>
            <w:tcW w:w="1717" w:type="dxa"/>
          </w:tcPr>
          <w:p w14:paraId="4777A883" w14:textId="77777777" w:rsidR="000923BB" w:rsidRPr="004932C5" w:rsidRDefault="000923BB" w:rsidP="003A385F">
            <w:pPr>
              <w:jc w:val="center"/>
              <w:rPr>
                <w:rFonts w:cs="Arial"/>
                <w:sz w:val="22"/>
                <w:szCs w:val="22"/>
              </w:rPr>
            </w:pPr>
            <w:r w:rsidRPr="004932C5">
              <w:rPr>
                <w:rFonts w:cs="Arial"/>
                <w:sz w:val="22"/>
                <w:szCs w:val="22"/>
              </w:rPr>
              <w:t>5.0</w:t>
            </w:r>
          </w:p>
        </w:tc>
        <w:tc>
          <w:tcPr>
            <w:tcW w:w="1578" w:type="dxa"/>
          </w:tcPr>
          <w:p w14:paraId="54888EAB" w14:textId="77777777" w:rsidR="000923BB" w:rsidRPr="004932C5" w:rsidRDefault="000923BB" w:rsidP="003A385F">
            <w:pPr>
              <w:jc w:val="center"/>
              <w:rPr>
                <w:rFonts w:cs="Arial"/>
                <w:sz w:val="22"/>
                <w:szCs w:val="22"/>
              </w:rPr>
            </w:pPr>
            <w:r w:rsidRPr="004932C5">
              <w:rPr>
                <w:rFonts w:cs="Arial"/>
                <w:sz w:val="22"/>
                <w:szCs w:val="22"/>
              </w:rPr>
              <w:t xml:space="preserve">1.0 – 6.0 </w:t>
            </w:r>
          </w:p>
        </w:tc>
      </w:tr>
      <w:tr w:rsidR="000923BB" w:rsidRPr="004932C5" w14:paraId="39E139E5" w14:textId="77777777" w:rsidTr="005332D1">
        <w:tc>
          <w:tcPr>
            <w:tcW w:w="1482" w:type="dxa"/>
          </w:tcPr>
          <w:p w14:paraId="505FFFD7" w14:textId="77777777" w:rsidR="000923BB" w:rsidRPr="004932C5" w:rsidRDefault="000923BB" w:rsidP="003A385F">
            <w:pPr>
              <w:jc w:val="center"/>
              <w:rPr>
                <w:rFonts w:cs="Arial"/>
                <w:sz w:val="22"/>
                <w:szCs w:val="22"/>
              </w:rPr>
            </w:pPr>
            <w:r w:rsidRPr="004932C5">
              <w:rPr>
                <w:rFonts w:cs="Arial"/>
                <w:sz w:val="22"/>
                <w:szCs w:val="22"/>
              </w:rPr>
              <w:t>5834</w:t>
            </w:r>
          </w:p>
        </w:tc>
        <w:tc>
          <w:tcPr>
            <w:tcW w:w="1714" w:type="dxa"/>
          </w:tcPr>
          <w:p w14:paraId="0DE6BB2B" w14:textId="77777777" w:rsidR="000923BB" w:rsidRPr="004932C5" w:rsidRDefault="000923BB" w:rsidP="003A385F">
            <w:pPr>
              <w:jc w:val="center"/>
              <w:rPr>
                <w:rFonts w:cs="Arial"/>
                <w:sz w:val="22"/>
                <w:szCs w:val="22"/>
              </w:rPr>
            </w:pPr>
            <w:r w:rsidRPr="004932C5">
              <w:rPr>
                <w:rFonts w:cs="Arial"/>
                <w:sz w:val="22"/>
                <w:szCs w:val="22"/>
              </w:rPr>
              <w:t>5.0</w:t>
            </w:r>
          </w:p>
        </w:tc>
        <w:tc>
          <w:tcPr>
            <w:tcW w:w="1731" w:type="dxa"/>
          </w:tcPr>
          <w:p w14:paraId="67A70EDA" w14:textId="77777777" w:rsidR="000923BB" w:rsidRPr="004932C5" w:rsidRDefault="000923BB" w:rsidP="003A385F">
            <w:pPr>
              <w:jc w:val="center"/>
              <w:rPr>
                <w:rFonts w:cs="Arial"/>
                <w:sz w:val="22"/>
                <w:szCs w:val="22"/>
              </w:rPr>
            </w:pPr>
            <w:r w:rsidRPr="004932C5">
              <w:rPr>
                <w:rFonts w:cs="Arial"/>
                <w:sz w:val="22"/>
                <w:szCs w:val="22"/>
              </w:rPr>
              <w:t>0.99</w:t>
            </w:r>
          </w:p>
        </w:tc>
        <w:tc>
          <w:tcPr>
            <w:tcW w:w="1717" w:type="dxa"/>
          </w:tcPr>
          <w:p w14:paraId="0EF19DCF" w14:textId="77777777" w:rsidR="000923BB" w:rsidRPr="004932C5" w:rsidRDefault="000923BB" w:rsidP="003A385F">
            <w:pPr>
              <w:jc w:val="center"/>
              <w:rPr>
                <w:rFonts w:cs="Arial"/>
                <w:sz w:val="22"/>
                <w:szCs w:val="22"/>
              </w:rPr>
            </w:pPr>
            <w:r w:rsidRPr="004932C5">
              <w:rPr>
                <w:rFonts w:cs="Arial"/>
                <w:sz w:val="22"/>
                <w:szCs w:val="22"/>
              </w:rPr>
              <w:t>5.0</w:t>
            </w:r>
          </w:p>
        </w:tc>
        <w:tc>
          <w:tcPr>
            <w:tcW w:w="1578" w:type="dxa"/>
          </w:tcPr>
          <w:p w14:paraId="663FD528" w14:textId="77777777" w:rsidR="000923BB" w:rsidRPr="004932C5" w:rsidRDefault="000923BB" w:rsidP="003A385F">
            <w:pPr>
              <w:jc w:val="center"/>
              <w:rPr>
                <w:rFonts w:cs="Arial"/>
                <w:sz w:val="22"/>
                <w:szCs w:val="22"/>
              </w:rPr>
            </w:pPr>
            <w:r w:rsidRPr="004932C5">
              <w:rPr>
                <w:rFonts w:cs="Arial"/>
                <w:sz w:val="22"/>
                <w:szCs w:val="22"/>
              </w:rPr>
              <w:t xml:space="preserve">2.0 – 6.0 </w:t>
            </w:r>
          </w:p>
        </w:tc>
      </w:tr>
    </w:tbl>
    <w:p w14:paraId="1076E248" w14:textId="77777777" w:rsidR="000923BB" w:rsidRPr="004932C5" w:rsidRDefault="000923BB" w:rsidP="000923BB">
      <w:pPr>
        <w:rPr>
          <w:rFonts w:cs="Arial"/>
          <w:b/>
          <w:sz w:val="22"/>
          <w:szCs w:val="22"/>
        </w:rPr>
      </w:pPr>
    </w:p>
    <w:p w14:paraId="3BD3A0B3" w14:textId="77777777" w:rsidR="000923BB" w:rsidRPr="004932C5" w:rsidRDefault="000923BB" w:rsidP="000923BB">
      <w:pPr>
        <w:rPr>
          <w:rFonts w:cs="Arial"/>
          <w:b/>
          <w:sz w:val="22"/>
          <w:szCs w:val="22"/>
        </w:rPr>
      </w:pPr>
      <w:r w:rsidRPr="004932C5">
        <w:rPr>
          <w:rFonts w:cs="Arial"/>
          <w:b/>
          <w:sz w:val="22"/>
          <w:szCs w:val="22"/>
        </w:rPr>
        <w:t>Quality of care rating for the admission phase: all hospitals</w:t>
      </w:r>
    </w:p>
    <w:tbl>
      <w:tblPr>
        <w:tblW w:w="637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992"/>
        <w:gridCol w:w="1276"/>
        <w:gridCol w:w="992"/>
        <w:gridCol w:w="1418"/>
      </w:tblGrid>
      <w:tr w:rsidR="000923BB" w:rsidRPr="004932C5" w14:paraId="68F29384" w14:textId="77777777" w:rsidTr="005332D1">
        <w:tc>
          <w:tcPr>
            <w:tcW w:w="1701" w:type="dxa"/>
          </w:tcPr>
          <w:p w14:paraId="40C8C3E0" w14:textId="77777777" w:rsidR="000923BB" w:rsidRPr="004932C5" w:rsidRDefault="000923BB" w:rsidP="003A385F">
            <w:pPr>
              <w:rPr>
                <w:rFonts w:cs="Arial"/>
                <w:b/>
                <w:sz w:val="22"/>
                <w:szCs w:val="22"/>
              </w:rPr>
            </w:pPr>
            <w:r w:rsidRPr="004932C5">
              <w:rPr>
                <w:rFonts w:cs="Arial"/>
                <w:b/>
                <w:sz w:val="22"/>
                <w:szCs w:val="22"/>
              </w:rPr>
              <w:t>Hospital</w:t>
            </w:r>
          </w:p>
        </w:tc>
        <w:tc>
          <w:tcPr>
            <w:tcW w:w="992" w:type="dxa"/>
          </w:tcPr>
          <w:p w14:paraId="710F41D6" w14:textId="77777777" w:rsidR="000923BB" w:rsidRPr="004932C5" w:rsidRDefault="000923BB" w:rsidP="003A385F">
            <w:pPr>
              <w:rPr>
                <w:rFonts w:cs="Arial"/>
                <w:b/>
                <w:sz w:val="22"/>
                <w:szCs w:val="22"/>
              </w:rPr>
            </w:pPr>
            <w:r w:rsidRPr="004932C5">
              <w:rPr>
                <w:rFonts w:cs="Arial"/>
                <w:b/>
                <w:sz w:val="22"/>
                <w:szCs w:val="22"/>
              </w:rPr>
              <w:t xml:space="preserve">Mean </w:t>
            </w:r>
          </w:p>
        </w:tc>
        <w:tc>
          <w:tcPr>
            <w:tcW w:w="1276" w:type="dxa"/>
          </w:tcPr>
          <w:p w14:paraId="715DAA4C" w14:textId="77777777" w:rsidR="000923BB" w:rsidRPr="004932C5" w:rsidRDefault="000923BB" w:rsidP="003A385F">
            <w:pPr>
              <w:rPr>
                <w:rFonts w:cs="Arial"/>
                <w:b/>
                <w:sz w:val="22"/>
                <w:szCs w:val="22"/>
              </w:rPr>
            </w:pPr>
            <w:r w:rsidRPr="004932C5">
              <w:rPr>
                <w:rFonts w:cs="Arial"/>
                <w:b/>
                <w:sz w:val="22"/>
                <w:szCs w:val="22"/>
              </w:rPr>
              <w:t>Standard deviation</w:t>
            </w:r>
          </w:p>
        </w:tc>
        <w:tc>
          <w:tcPr>
            <w:tcW w:w="992" w:type="dxa"/>
          </w:tcPr>
          <w:p w14:paraId="315B13AE" w14:textId="77777777" w:rsidR="000923BB" w:rsidRPr="004932C5" w:rsidRDefault="000923BB" w:rsidP="003A385F">
            <w:pPr>
              <w:rPr>
                <w:rFonts w:cs="Arial"/>
                <w:b/>
                <w:sz w:val="22"/>
                <w:szCs w:val="22"/>
              </w:rPr>
            </w:pPr>
            <w:r w:rsidRPr="004932C5">
              <w:rPr>
                <w:rFonts w:cs="Arial"/>
                <w:b/>
                <w:sz w:val="22"/>
                <w:szCs w:val="22"/>
              </w:rPr>
              <w:t xml:space="preserve">Median </w:t>
            </w:r>
          </w:p>
        </w:tc>
        <w:tc>
          <w:tcPr>
            <w:tcW w:w="1418" w:type="dxa"/>
          </w:tcPr>
          <w:p w14:paraId="0E0ECD9C" w14:textId="77777777" w:rsidR="000923BB" w:rsidRPr="004932C5" w:rsidRDefault="000923BB" w:rsidP="003A385F">
            <w:pPr>
              <w:rPr>
                <w:rFonts w:cs="Arial"/>
                <w:b/>
                <w:sz w:val="22"/>
                <w:szCs w:val="22"/>
              </w:rPr>
            </w:pPr>
            <w:r w:rsidRPr="004932C5">
              <w:rPr>
                <w:rFonts w:cs="Arial"/>
                <w:b/>
                <w:sz w:val="22"/>
                <w:szCs w:val="22"/>
              </w:rPr>
              <w:t>Range</w:t>
            </w:r>
          </w:p>
        </w:tc>
      </w:tr>
      <w:tr w:rsidR="000923BB" w:rsidRPr="004932C5" w14:paraId="1BCB8F1A" w14:textId="77777777" w:rsidTr="005332D1">
        <w:tc>
          <w:tcPr>
            <w:tcW w:w="1701" w:type="dxa"/>
          </w:tcPr>
          <w:p w14:paraId="3D12117C" w14:textId="77777777" w:rsidR="000923BB" w:rsidRPr="004932C5" w:rsidRDefault="000923BB" w:rsidP="004932C5">
            <w:pPr>
              <w:spacing w:line="240" w:lineRule="auto"/>
              <w:rPr>
                <w:rFonts w:cs="Arial"/>
                <w:sz w:val="22"/>
                <w:szCs w:val="22"/>
              </w:rPr>
            </w:pPr>
            <w:r w:rsidRPr="004932C5">
              <w:rPr>
                <w:rFonts w:cs="Arial"/>
                <w:sz w:val="22"/>
                <w:szCs w:val="22"/>
              </w:rPr>
              <w:t>Hospital 203</w:t>
            </w:r>
          </w:p>
        </w:tc>
        <w:tc>
          <w:tcPr>
            <w:tcW w:w="992" w:type="dxa"/>
          </w:tcPr>
          <w:p w14:paraId="7935966A" w14:textId="77777777" w:rsidR="000923BB" w:rsidRPr="004932C5" w:rsidRDefault="000923BB" w:rsidP="004932C5">
            <w:pPr>
              <w:spacing w:line="240" w:lineRule="auto"/>
              <w:jc w:val="center"/>
              <w:rPr>
                <w:rFonts w:cs="Arial"/>
                <w:sz w:val="22"/>
                <w:szCs w:val="22"/>
              </w:rPr>
            </w:pPr>
            <w:r w:rsidRPr="004932C5">
              <w:rPr>
                <w:rFonts w:cs="Arial"/>
                <w:sz w:val="22"/>
                <w:szCs w:val="22"/>
              </w:rPr>
              <w:t>4.8</w:t>
            </w:r>
          </w:p>
          <w:p w14:paraId="17D84E95" w14:textId="77777777" w:rsidR="000923BB" w:rsidRPr="004932C5" w:rsidRDefault="000923BB" w:rsidP="004932C5">
            <w:pPr>
              <w:spacing w:line="240" w:lineRule="auto"/>
              <w:jc w:val="center"/>
              <w:rPr>
                <w:rFonts w:cs="Arial"/>
                <w:sz w:val="22"/>
                <w:szCs w:val="22"/>
              </w:rPr>
            </w:pPr>
          </w:p>
        </w:tc>
        <w:tc>
          <w:tcPr>
            <w:tcW w:w="1276" w:type="dxa"/>
          </w:tcPr>
          <w:p w14:paraId="604B5729" w14:textId="77777777" w:rsidR="000923BB" w:rsidRPr="004932C5" w:rsidRDefault="000923BB" w:rsidP="004932C5">
            <w:pPr>
              <w:spacing w:line="240" w:lineRule="auto"/>
              <w:jc w:val="center"/>
              <w:rPr>
                <w:rFonts w:cs="Arial"/>
                <w:sz w:val="22"/>
                <w:szCs w:val="22"/>
              </w:rPr>
            </w:pPr>
            <w:r w:rsidRPr="004932C5">
              <w:rPr>
                <w:rFonts w:cs="Arial"/>
                <w:sz w:val="22"/>
                <w:szCs w:val="22"/>
              </w:rPr>
              <w:t>0.7</w:t>
            </w:r>
          </w:p>
          <w:p w14:paraId="455BA01A" w14:textId="77777777" w:rsidR="000923BB" w:rsidRPr="004932C5" w:rsidRDefault="000923BB" w:rsidP="004932C5">
            <w:pPr>
              <w:spacing w:line="240" w:lineRule="auto"/>
              <w:jc w:val="center"/>
              <w:rPr>
                <w:rFonts w:cs="Arial"/>
                <w:sz w:val="22"/>
                <w:szCs w:val="22"/>
              </w:rPr>
            </w:pPr>
          </w:p>
        </w:tc>
        <w:tc>
          <w:tcPr>
            <w:tcW w:w="992" w:type="dxa"/>
          </w:tcPr>
          <w:p w14:paraId="6719E7F9" w14:textId="77777777" w:rsidR="000923BB" w:rsidRPr="004932C5" w:rsidRDefault="000923BB" w:rsidP="004932C5">
            <w:pPr>
              <w:spacing w:line="240" w:lineRule="auto"/>
              <w:jc w:val="center"/>
              <w:rPr>
                <w:rFonts w:cs="Arial"/>
                <w:sz w:val="22"/>
                <w:szCs w:val="22"/>
              </w:rPr>
            </w:pPr>
            <w:r w:rsidRPr="004932C5">
              <w:rPr>
                <w:rFonts w:cs="Arial"/>
                <w:sz w:val="22"/>
                <w:szCs w:val="22"/>
              </w:rPr>
              <w:t>5.0</w:t>
            </w:r>
          </w:p>
          <w:p w14:paraId="67E53630" w14:textId="77777777" w:rsidR="000923BB" w:rsidRPr="004932C5" w:rsidRDefault="000923BB" w:rsidP="004932C5">
            <w:pPr>
              <w:spacing w:line="240" w:lineRule="auto"/>
              <w:jc w:val="center"/>
              <w:rPr>
                <w:rFonts w:cs="Arial"/>
                <w:sz w:val="22"/>
                <w:szCs w:val="22"/>
              </w:rPr>
            </w:pPr>
          </w:p>
        </w:tc>
        <w:tc>
          <w:tcPr>
            <w:tcW w:w="1418" w:type="dxa"/>
          </w:tcPr>
          <w:p w14:paraId="5F5CBD81" w14:textId="77777777" w:rsidR="000923BB" w:rsidRPr="004932C5" w:rsidRDefault="000923BB" w:rsidP="004932C5">
            <w:pPr>
              <w:spacing w:line="240" w:lineRule="auto"/>
              <w:jc w:val="center"/>
              <w:rPr>
                <w:rFonts w:cs="Arial"/>
                <w:sz w:val="22"/>
                <w:szCs w:val="22"/>
              </w:rPr>
            </w:pPr>
            <w:r w:rsidRPr="004932C5">
              <w:rPr>
                <w:rFonts w:cs="Arial"/>
                <w:sz w:val="22"/>
                <w:szCs w:val="22"/>
              </w:rPr>
              <w:t>2.0 -  6.0</w:t>
            </w:r>
          </w:p>
          <w:p w14:paraId="03DEF78D" w14:textId="77777777" w:rsidR="000923BB" w:rsidRPr="004932C5" w:rsidRDefault="000923BB" w:rsidP="004932C5">
            <w:pPr>
              <w:spacing w:line="240" w:lineRule="auto"/>
              <w:jc w:val="center"/>
              <w:rPr>
                <w:rFonts w:cs="Arial"/>
                <w:sz w:val="22"/>
                <w:szCs w:val="22"/>
              </w:rPr>
            </w:pPr>
          </w:p>
        </w:tc>
      </w:tr>
      <w:tr w:rsidR="000923BB" w:rsidRPr="004932C5" w14:paraId="47FD236E" w14:textId="77777777" w:rsidTr="005332D1">
        <w:tc>
          <w:tcPr>
            <w:tcW w:w="1701" w:type="dxa"/>
          </w:tcPr>
          <w:p w14:paraId="6B3D98BB" w14:textId="77777777" w:rsidR="000923BB" w:rsidRPr="004932C5" w:rsidRDefault="000923BB" w:rsidP="004932C5">
            <w:pPr>
              <w:spacing w:line="240" w:lineRule="auto"/>
              <w:rPr>
                <w:rFonts w:cs="Arial"/>
                <w:sz w:val="22"/>
                <w:szCs w:val="22"/>
              </w:rPr>
            </w:pPr>
            <w:r w:rsidRPr="004932C5">
              <w:rPr>
                <w:rFonts w:cs="Arial"/>
                <w:sz w:val="22"/>
                <w:szCs w:val="22"/>
              </w:rPr>
              <w:t>Hospital 211</w:t>
            </w:r>
          </w:p>
        </w:tc>
        <w:tc>
          <w:tcPr>
            <w:tcW w:w="992" w:type="dxa"/>
          </w:tcPr>
          <w:p w14:paraId="3519384B" w14:textId="77777777" w:rsidR="000923BB" w:rsidRPr="004932C5" w:rsidRDefault="000923BB" w:rsidP="004932C5">
            <w:pPr>
              <w:spacing w:line="240" w:lineRule="auto"/>
              <w:jc w:val="center"/>
              <w:rPr>
                <w:rFonts w:cs="Arial"/>
                <w:sz w:val="22"/>
                <w:szCs w:val="22"/>
              </w:rPr>
            </w:pPr>
            <w:r w:rsidRPr="004932C5">
              <w:rPr>
                <w:rFonts w:cs="Arial"/>
                <w:sz w:val="22"/>
                <w:szCs w:val="22"/>
              </w:rPr>
              <w:t>4.9</w:t>
            </w:r>
          </w:p>
          <w:p w14:paraId="2391608D" w14:textId="77777777" w:rsidR="000923BB" w:rsidRPr="004932C5" w:rsidRDefault="000923BB" w:rsidP="004932C5">
            <w:pPr>
              <w:spacing w:line="240" w:lineRule="auto"/>
              <w:jc w:val="center"/>
              <w:rPr>
                <w:rFonts w:cs="Arial"/>
                <w:sz w:val="22"/>
                <w:szCs w:val="22"/>
              </w:rPr>
            </w:pPr>
          </w:p>
        </w:tc>
        <w:tc>
          <w:tcPr>
            <w:tcW w:w="1276" w:type="dxa"/>
          </w:tcPr>
          <w:p w14:paraId="1B31C9C1" w14:textId="77777777" w:rsidR="000923BB" w:rsidRPr="004932C5" w:rsidRDefault="000923BB" w:rsidP="004932C5">
            <w:pPr>
              <w:spacing w:line="240" w:lineRule="auto"/>
              <w:jc w:val="center"/>
              <w:rPr>
                <w:rFonts w:cs="Arial"/>
                <w:sz w:val="22"/>
                <w:szCs w:val="22"/>
              </w:rPr>
            </w:pPr>
            <w:r w:rsidRPr="004932C5">
              <w:rPr>
                <w:rFonts w:cs="Arial"/>
                <w:sz w:val="22"/>
                <w:szCs w:val="22"/>
              </w:rPr>
              <w:t>0.6</w:t>
            </w:r>
          </w:p>
          <w:p w14:paraId="6015C45B" w14:textId="77777777" w:rsidR="000923BB" w:rsidRPr="004932C5" w:rsidRDefault="000923BB" w:rsidP="004932C5">
            <w:pPr>
              <w:spacing w:line="240" w:lineRule="auto"/>
              <w:jc w:val="center"/>
              <w:rPr>
                <w:rFonts w:cs="Arial"/>
                <w:sz w:val="22"/>
                <w:szCs w:val="22"/>
              </w:rPr>
            </w:pPr>
          </w:p>
        </w:tc>
        <w:tc>
          <w:tcPr>
            <w:tcW w:w="992" w:type="dxa"/>
          </w:tcPr>
          <w:p w14:paraId="3E1ACFB2" w14:textId="77777777" w:rsidR="000923BB" w:rsidRPr="004932C5" w:rsidRDefault="000923BB" w:rsidP="004932C5">
            <w:pPr>
              <w:spacing w:line="240" w:lineRule="auto"/>
              <w:jc w:val="center"/>
              <w:rPr>
                <w:rFonts w:cs="Arial"/>
                <w:sz w:val="22"/>
                <w:szCs w:val="22"/>
              </w:rPr>
            </w:pPr>
            <w:r w:rsidRPr="004932C5">
              <w:rPr>
                <w:rFonts w:cs="Arial"/>
                <w:sz w:val="22"/>
                <w:szCs w:val="22"/>
              </w:rPr>
              <w:t>5.0</w:t>
            </w:r>
          </w:p>
          <w:p w14:paraId="259EA413" w14:textId="77777777" w:rsidR="000923BB" w:rsidRPr="004932C5" w:rsidRDefault="000923BB" w:rsidP="004932C5">
            <w:pPr>
              <w:spacing w:line="240" w:lineRule="auto"/>
              <w:jc w:val="center"/>
              <w:rPr>
                <w:rFonts w:cs="Arial"/>
                <w:sz w:val="22"/>
                <w:szCs w:val="22"/>
              </w:rPr>
            </w:pPr>
          </w:p>
        </w:tc>
        <w:tc>
          <w:tcPr>
            <w:tcW w:w="1418" w:type="dxa"/>
          </w:tcPr>
          <w:p w14:paraId="52094086" w14:textId="77777777" w:rsidR="000923BB" w:rsidRPr="004932C5" w:rsidRDefault="000923BB" w:rsidP="004932C5">
            <w:pPr>
              <w:spacing w:line="240" w:lineRule="auto"/>
              <w:jc w:val="center"/>
              <w:rPr>
                <w:rFonts w:cs="Arial"/>
                <w:sz w:val="22"/>
                <w:szCs w:val="22"/>
              </w:rPr>
            </w:pPr>
            <w:r w:rsidRPr="004932C5">
              <w:rPr>
                <w:rFonts w:cs="Arial"/>
                <w:sz w:val="22"/>
                <w:szCs w:val="22"/>
              </w:rPr>
              <w:t>1.0 -  6.0</w:t>
            </w:r>
          </w:p>
        </w:tc>
      </w:tr>
      <w:tr w:rsidR="000923BB" w:rsidRPr="004932C5" w14:paraId="62A0D78D" w14:textId="77777777" w:rsidTr="005332D1">
        <w:tc>
          <w:tcPr>
            <w:tcW w:w="1701" w:type="dxa"/>
          </w:tcPr>
          <w:p w14:paraId="55450921" w14:textId="77777777" w:rsidR="000923BB" w:rsidRPr="004932C5" w:rsidRDefault="000923BB" w:rsidP="004932C5">
            <w:pPr>
              <w:spacing w:line="240" w:lineRule="auto"/>
              <w:rPr>
                <w:rFonts w:cs="Arial"/>
                <w:sz w:val="22"/>
                <w:szCs w:val="22"/>
              </w:rPr>
            </w:pPr>
            <w:r w:rsidRPr="004932C5">
              <w:rPr>
                <w:rFonts w:cs="Arial"/>
                <w:sz w:val="22"/>
                <w:szCs w:val="22"/>
              </w:rPr>
              <w:t>Hospital 260</w:t>
            </w:r>
          </w:p>
        </w:tc>
        <w:tc>
          <w:tcPr>
            <w:tcW w:w="992" w:type="dxa"/>
          </w:tcPr>
          <w:p w14:paraId="547C0C7B" w14:textId="77777777" w:rsidR="000923BB" w:rsidRPr="004932C5" w:rsidRDefault="000923BB" w:rsidP="004932C5">
            <w:pPr>
              <w:spacing w:line="240" w:lineRule="auto"/>
              <w:jc w:val="center"/>
              <w:rPr>
                <w:rFonts w:cs="Arial"/>
                <w:sz w:val="22"/>
                <w:szCs w:val="22"/>
              </w:rPr>
            </w:pPr>
            <w:r w:rsidRPr="004932C5">
              <w:rPr>
                <w:rFonts w:cs="Arial"/>
                <w:sz w:val="22"/>
                <w:szCs w:val="22"/>
              </w:rPr>
              <w:t>4.3</w:t>
            </w:r>
          </w:p>
          <w:p w14:paraId="35F7AE30" w14:textId="77777777" w:rsidR="000923BB" w:rsidRPr="004932C5" w:rsidRDefault="000923BB" w:rsidP="004932C5">
            <w:pPr>
              <w:spacing w:line="240" w:lineRule="auto"/>
              <w:jc w:val="center"/>
              <w:rPr>
                <w:rFonts w:cs="Arial"/>
                <w:sz w:val="22"/>
                <w:szCs w:val="22"/>
              </w:rPr>
            </w:pPr>
          </w:p>
        </w:tc>
        <w:tc>
          <w:tcPr>
            <w:tcW w:w="1276" w:type="dxa"/>
          </w:tcPr>
          <w:p w14:paraId="79E249AA" w14:textId="77777777" w:rsidR="000923BB" w:rsidRPr="004932C5" w:rsidRDefault="000923BB" w:rsidP="004932C5">
            <w:pPr>
              <w:spacing w:line="240" w:lineRule="auto"/>
              <w:jc w:val="center"/>
              <w:rPr>
                <w:rFonts w:cs="Arial"/>
                <w:sz w:val="22"/>
                <w:szCs w:val="22"/>
              </w:rPr>
            </w:pPr>
            <w:r w:rsidRPr="004932C5">
              <w:rPr>
                <w:rFonts w:cs="Arial"/>
                <w:sz w:val="22"/>
                <w:szCs w:val="22"/>
              </w:rPr>
              <w:t>0.6</w:t>
            </w:r>
          </w:p>
          <w:p w14:paraId="793103FA" w14:textId="77777777" w:rsidR="000923BB" w:rsidRPr="004932C5" w:rsidRDefault="000923BB" w:rsidP="004932C5">
            <w:pPr>
              <w:spacing w:line="240" w:lineRule="auto"/>
              <w:jc w:val="center"/>
              <w:rPr>
                <w:rFonts w:cs="Arial"/>
                <w:sz w:val="22"/>
                <w:szCs w:val="22"/>
              </w:rPr>
            </w:pPr>
          </w:p>
        </w:tc>
        <w:tc>
          <w:tcPr>
            <w:tcW w:w="992" w:type="dxa"/>
          </w:tcPr>
          <w:p w14:paraId="68728C86" w14:textId="77777777" w:rsidR="000923BB" w:rsidRPr="004932C5" w:rsidRDefault="000923BB" w:rsidP="004932C5">
            <w:pPr>
              <w:spacing w:line="240" w:lineRule="auto"/>
              <w:jc w:val="center"/>
              <w:rPr>
                <w:rFonts w:cs="Arial"/>
                <w:sz w:val="22"/>
                <w:szCs w:val="22"/>
              </w:rPr>
            </w:pPr>
            <w:r w:rsidRPr="004932C5">
              <w:rPr>
                <w:rFonts w:cs="Arial"/>
                <w:sz w:val="22"/>
                <w:szCs w:val="22"/>
              </w:rPr>
              <w:t>4.0</w:t>
            </w:r>
          </w:p>
          <w:p w14:paraId="0D85D084" w14:textId="77777777" w:rsidR="000923BB" w:rsidRPr="004932C5" w:rsidRDefault="000923BB" w:rsidP="004932C5">
            <w:pPr>
              <w:spacing w:line="240" w:lineRule="auto"/>
              <w:jc w:val="center"/>
              <w:rPr>
                <w:rFonts w:cs="Arial"/>
                <w:sz w:val="22"/>
                <w:szCs w:val="22"/>
              </w:rPr>
            </w:pPr>
          </w:p>
        </w:tc>
        <w:tc>
          <w:tcPr>
            <w:tcW w:w="1418" w:type="dxa"/>
          </w:tcPr>
          <w:p w14:paraId="619D17A4" w14:textId="77777777" w:rsidR="000923BB" w:rsidRPr="004932C5" w:rsidRDefault="000923BB" w:rsidP="004932C5">
            <w:pPr>
              <w:spacing w:line="240" w:lineRule="auto"/>
              <w:jc w:val="center"/>
              <w:rPr>
                <w:rFonts w:cs="Arial"/>
                <w:sz w:val="22"/>
                <w:szCs w:val="22"/>
              </w:rPr>
            </w:pPr>
            <w:r w:rsidRPr="004932C5">
              <w:rPr>
                <w:rFonts w:cs="Arial"/>
                <w:sz w:val="22"/>
                <w:szCs w:val="22"/>
              </w:rPr>
              <w:t>3.0 - 5.0</w:t>
            </w:r>
          </w:p>
        </w:tc>
      </w:tr>
      <w:tr w:rsidR="000923BB" w:rsidRPr="004932C5" w14:paraId="79C36B06" w14:textId="77777777" w:rsidTr="005332D1">
        <w:tc>
          <w:tcPr>
            <w:tcW w:w="1701" w:type="dxa"/>
          </w:tcPr>
          <w:p w14:paraId="4F7A286B" w14:textId="77777777" w:rsidR="000923BB" w:rsidRPr="004932C5" w:rsidRDefault="000923BB" w:rsidP="004932C5">
            <w:pPr>
              <w:spacing w:line="240" w:lineRule="auto"/>
              <w:rPr>
                <w:rFonts w:cs="Arial"/>
                <w:sz w:val="22"/>
                <w:szCs w:val="22"/>
              </w:rPr>
            </w:pPr>
            <w:r w:rsidRPr="004932C5">
              <w:rPr>
                <w:rFonts w:cs="Arial"/>
                <w:sz w:val="22"/>
                <w:szCs w:val="22"/>
              </w:rPr>
              <w:t>Hospital 271</w:t>
            </w:r>
          </w:p>
        </w:tc>
        <w:tc>
          <w:tcPr>
            <w:tcW w:w="992" w:type="dxa"/>
          </w:tcPr>
          <w:p w14:paraId="1C6D75CD" w14:textId="77777777" w:rsidR="000923BB" w:rsidRPr="004932C5" w:rsidRDefault="000923BB" w:rsidP="004932C5">
            <w:pPr>
              <w:spacing w:line="240" w:lineRule="auto"/>
              <w:jc w:val="center"/>
              <w:rPr>
                <w:rFonts w:cs="Arial"/>
                <w:sz w:val="22"/>
                <w:szCs w:val="22"/>
              </w:rPr>
            </w:pPr>
            <w:r w:rsidRPr="004932C5">
              <w:rPr>
                <w:rFonts w:cs="Arial"/>
                <w:sz w:val="22"/>
                <w:szCs w:val="22"/>
              </w:rPr>
              <w:t>4.5</w:t>
            </w:r>
          </w:p>
        </w:tc>
        <w:tc>
          <w:tcPr>
            <w:tcW w:w="1276" w:type="dxa"/>
          </w:tcPr>
          <w:p w14:paraId="2E4D06A6" w14:textId="77777777" w:rsidR="000923BB" w:rsidRPr="004932C5" w:rsidRDefault="000923BB" w:rsidP="004932C5">
            <w:pPr>
              <w:spacing w:line="240" w:lineRule="auto"/>
              <w:jc w:val="center"/>
              <w:rPr>
                <w:rFonts w:cs="Arial"/>
                <w:sz w:val="22"/>
                <w:szCs w:val="22"/>
              </w:rPr>
            </w:pPr>
            <w:r w:rsidRPr="004932C5">
              <w:rPr>
                <w:rFonts w:cs="Arial"/>
                <w:sz w:val="22"/>
                <w:szCs w:val="22"/>
              </w:rPr>
              <w:t>1.2</w:t>
            </w:r>
          </w:p>
          <w:p w14:paraId="5C04EB97" w14:textId="77777777" w:rsidR="000923BB" w:rsidRPr="004932C5" w:rsidRDefault="000923BB" w:rsidP="004932C5">
            <w:pPr>
              <w:spacing w:line="240" w:lineRule="auto"/>
              <w:jc w:val="center"/>
              <w:rPr>
                <w:rFonts w:cs="Arial"/>
                <w:sz w:val="22"/>
                <w:szCs w:val="22"/>
              </w:rPr>
            </w:pPr>
          </w:p>
        </w:tc>
        <w:tc>
          <w:tcPr>
            <w:tcW w:w="992" w:type="dxa"/>
          </w:tcPr>
          <w:p w14:paraId="43CEDF2A" w14:textId="77777777" w:rsidR="000923BB" w:rsidRPr="004932C5" w:rsidRDefault="000923BB" w:rsidP="004932C5">
            <w:pPr>
              <w:spacing w:line="240" w:lineRule="auto"/>
              <w:jc w:val="center"/>
              <w:rPr>
                <w:rFonts w:cs="Arial"/>
                <w:sz w:val="22"/>
                <w:szCs w:val="22"/>
              </w:rPr>
            </w:pPr>
            <w:r w:rsidRPr="004932C5">
              <w:rPr>
                <w:rFonts w:cs="Arial"/>
                <w:sz w:val="22"/>
                <w:szCs w:val="22"/>
              </w:rPr>
              <w:t>5.0</w:t>
            </w:r>
          </w:p>
          <w:p w14:paraId="725429E4" w14:textId="77777777" w:rsidR="000923BB" w:rsidRPr="004932C5" w:rsidRDefault="000923BB" w:rsidP="004932C5">
            <w:pPr>
              <w:spacing w:line="240" w:lineRule="auto"/>
              <w:jc w:val="center"/>
              <w:rPr>
                <w:rFonts w:cs="Arial"/>
                <w:sz w:val="22"/>
                <w:szCs w:val="22"/>
              </w:rPr>
            </w:pPr>
          </w:p>
        </w:tc>
        <w:tc>
          <w:tcPr>
            <w:tcW w:w="1418" w:type="dxa"/>
          </w:tcPr>
          <w:p w14:paraId="21D815A7" w14:textId="77777777" w:rsidR="000923BB" w:rsidRPr="004932C5" w:rsidRDefault="000923BB" w:rsidP="004932C5">
            <w:pPr>
              <w:spacing w:line="240" w:lineRule="auto"/>
              <w:jc w:val="center"/>
              <w:rPr>
                <w:rFonts w:cs="Arial"/>
                <w:sz w:val="22"/>
                <w:szCs w:val="22"/>
              </w:rPr>
            </w:pPr>
            <w:r w:rsidRPr="004932C5">
              <w:rPr>
                <w:rFonts w:cs="Arial"/>
                <w:sz w:val="22"/>
                <w:szCs w:val="22"/>
              </w:rPr>
              <w:t>1.0 -  6.0</w:t>
            </w:r>
          </w:p>
        </w:tc>
      </w:tr>
      <w:tr w:rsidR="000923BB" w:rsidRPr="004932C5" w14:paraId="7608A3F2" w14:textId="77777777" w:rsidTr="005332D1">
        <w:tc>
          <w:tcPr>
            <w:tcW w:w="1701" w:type="dxa"/>
          </w:tcPr>
          <w:p w14:paraId="58EDD0B2" w14:textId="77777777" w:rsidR="000923BB" w:rsidRPr="004932C5" w:rsidRDefault="000923BB" w:rsidP="004932C5">
            <w:pPr>
              <w:spacing w:line="240" w:lineRule="auto"/>
              <w:rPr>
                <w:rFonts w:cs="Arial"/>
                <w:sz w:val="22"/>
                <w:szCs w:val="22"/>
              </w:rPr>
            </w:pPr>
            <w:r w:rsidRPr="004932C5">
              <w:rPr>
                <w:rFonts w:cs="Arial"/>
                <w:sz w:val="22"/>
                <w:szCs w:val="22"/>
              </w:rPr>
              <w:t>Hospital 415</w:t>
            </w:r>
          </w:p>
        </w:tc>
        <w:tc>
          <w:tcPr>
            <w:tcW w:w="992" w:type="dxa"/>
          </w:tcPr>
          <w:p w14:paraId="366C1EE5" w14:textId="77777777" w:rsidR="000923BB" w:rsidRPr="004932C5" w:rsidRDefault="000923BB" w:rsidP="004932C5">
            <w:pPr>
              <w:spacing w:line="240" w:lineRule="auto"/>
              <w:jc w:val="center"/>
              <w:rPr>
                <w:rFonts w:cs="Arial"/>
                <w:sz w:val="22"/>
                <w:szCs w:val="22"/>
              </w:rPr>
            </w:pPr>
            <w:r w:rsidRPr="004932C5">
              <w:rPr>
                <w:rFonts w:cs="Arial"/>
                <w:sz w:val="22"/>
                <w:szCs w:val="22"/>
              </w:rPr>
              <w:t>4.1</w:t>
            </w:r>
          </w:p>
          <w:p w14:paraId="6CEA160C" w14:textId="77777777" w:rsidR="000923BB" w:rsidRPr="004932C5" w:rsidRDefault="000923BB" w:rsidP="004932C5">
            <w:pPr>
              <w:spacing w:line="240" w:lineRule="auto"/>
              <w:jc w:val="center"/>
              <w:rPr>
                <w:rFonts w:cs="Arial"/>
                <w:sz w:val="22"/>
                <w:szCs w:val="22"/>
              </w:rPr>
            </w:pPr>
          </w:p>
        </w:tc>
        <w:tc>
          <w:tcPr>
            <w:tcW w:w="1276" w:type="dxa"/>
          </w:tcPr>
          <w:p w14:paraId="6B5CC8E9" w14:textId="77777777" w:rsidR="000923BB" w:rsidRPr="004932C5" w:rsidRDefault="000923BB" w:rsidP="004932C5">
            <w:pPr>
              <w:spacing w:line="240" w:lineRule="auto"/>
              <w:jc w:val="center"/>
              <w:rPr>
                <w:rFonts w:cs="Arial"/>
                <w:sz w:val="22"/>
                <w:szCs w:val="22"/>
              </w:rPr>
            </w:pPr>
            <w:r w:rsidRPr="004932C5">
              <w:rPr>
                <w:rFonts w:cs="Arial"/>
                <w:sz w:val="22"/>
                <w:szCs w:val="22"/>
              </w:rPr>
              <w:t>1.0</w:t>
            </w:r>
          </w:p>
          <w:p w14:paraId="61948AE7" w14:textId="77777777" w:rsidR="000923BB" w:rsidRPr="004932C5" w:rsidRDefault="000923BB" w:rsidP="004932C5">
            <w:pPr>
              <w:spacing w:line="240" w:lineRule="auto"/>
              <w:jc w:val="center"/>
              <w:rPr>
                <w:rFonts w:cs="Arial"/>
                <w:sz w:val="22"/>
                <w:szCs w:val="22"/>
              </w:rPr>
            </w:pPr>
          </w:p>
        </w:tc>
        <w:tc>
          <w:tcPr>
            <w:tcW w:w="992" w:type="dxa"/>
          </w:tcPr>
          <w:p w14:paraId="1AA1AE4A" w14:textId="77777777" w:rsidR="000923BB" w:rsidRPr="004932C5" w:rsidRDefault="000923BB" w:rsidP="004932C5">
            <w:pPr>
              <w:spacing w:line="240" w:lineRule="auto"/>
              <w:jc w:val="center"/>
              <w:rPr>
                <w:rFonts w:cs="Arial"/>
                <w:sz w:val="22"/>
                <w:szCs w:val="22"/>
              </w:rPr>
            </w:pPr>
            <w:r w:rsidRPr="004932C5">
              <w:rPr>
                <w:rFonts w:cs="Arial"/>
                <w:sz w:val="22"/>
                <w:szCs w:val="22"/>
              </w:rPr>
              <w:t>4.0</w:t>
            </w:r>
          </w:p>
          <w:p w14:paraId="47A815B7" w14:textId="77777777" w:rsidR="000923BB" w:rsidRPr="004932C5" w:rsidRDefault="000923BB" w:rsidP="004932C5">
            <w:pPr>
              <w:spacing w:line="240" w:lineRule="auto"/>
              <w:jc w:val="center"/>
              <w:rPr>
                <w:rFonts w:cs="Arial"/>
                <w:sz w:val="22"/>
                <w:szCs w:val="22"/>
              </w:rPr>
            </w:pPr>
          </w:p>
        </w:tc>
        <w:tc>
          <w:tcPr>
            <w:tcW w:w="1418" w:type="dxa"/>
          </w:tcPr>
          <w:p w14:paraId="1655D63D" w14:textId="77777777" w:rsidR="000923BB" w:rsidRPr="004932C5" w:rsidRDefault="000923BB" w:rsidP="004932C5">
            <w:pPr>
              <w:spacing w:line="240" w:lineRule="auto"/>
              <w:jc w:val="center"/>
              <w:rPr>
                <w:rFonts w:cs="Arial"/>
                <w:sz w:val="22"/>
                <w:szCs w:val="22"/>
              </w:rPr>
            </w:pPr>
            <w:r w:rsidRPr="004932C5">
              <w:rPr>
                <w:rFonts w:cs="Arial"/>
                <w:sz w:val="22"/>
                <w:szCs w:val="22"/>
              </w:rPr>
              <w:t>1.0 -  6.0</w:t>
            </w:r>
          </w:p>
        </w:tc>
      </w:tr>
      <w:tr w:rsidR="000923BB" w:rsidRPr="004932C5" w14:paraId="21A6B1AA" w14:textId="77777777" w:rsidTr="005332D1">
        <w:tc>
          <w:tcPr>
            <w:tcW w:w="1701" w:type="dxa"/>
          </w:tcPr>
          <w:p w14:paraId="4486672F" w14:textId="77777777" w:rsidR="000923BB" w:rsidRPr="004932C5" w:rsidRDefault="000923BB" w:rsidP="004932C5">
            <w:pPr>
              <w:spacing w:line="240" w:lineRule="auto"/>
              <w:rPr>
                <w:rFonts w:cs="Arial"/>
                <w:sz w:val="22"/>
                <w:szCs w:val="22"/>
              </w:rPr>
            </w:pPr>
            <w:r w:rsidRPr="004932C5">
              <w:rPr>
                <w:rFonts w:cs="Arial"/>
                <w:sz w:val="22"/>
                <w:szCs w:val="22"/>
              </w:rPr>
              <w:t>Hospital 420</w:t>
            </w:r>
          </w:p>
        </w:tc>
        <w:tc>
          <w:tcPr>
            <w:tcW w:w="992" w:type="dxa"/>
          </w:tcPr>
          <w:p w14:paraId="7331620B" w14:textId="77777777" w:rsidR="000923BB" w:rsidRPr="004932C5" w:rsidRDefault="000923BB" w:rsidP="004932C5">
            <w:pPr>
              <w:spacing w:line="240" w:lineRule="auto"/>
              <w:jc w:val="center"/>
              <w:rPr>
                <w:rFonts w:cs="Arial"/>
                <w:sz w:val="22"/>
                <w:szCs w:val="22"/>
              </w:rPr>
            </w:pPr>
            <w:r w:rsidRPr="004932C5">
              <w:rPr>
                <w:rFonts w:cs="Arial"/>
                <w:sz w:val="22"/>
                <w:szCs w:val="22"/>
              </w:rPr>
              <w:t>4.0</w:t>
            </w:r>
          </w:p>
          <w:p w14:paraId="488B3662" w14:textId="77777777" w:rsidR="000923BB" w:rsidRPr="004932C5" w:rsidRDefault="000923BB" w:rsidP="004932C5">
            <w:pPr>
              <w:spacing w:line="240" w:lineRule="auto"/>
              <w:jc w:val="center"/>
              <w:rPr>
                <w:rFonts w:cs="Arial"/>
                <w:sz w:val="22"/>
                <w:szCs w:val="22"/>
              </w:rPr>
            </w:pPr>
          </w:p>
        </w:tc>
        <w:tc>
          <w:tcPr>
            <w:tcW w:w="1276" w:type="dxa"/>
          </w:tcPr>
          <w:p w14:paraId="1FB22725" w14:textId="77777777" w:rsidR="000923BB" w:rsidRPr="004932C5" w:rsidRDefault="000923BB" w:rsidP="004932C5">
            <w:pPr>
              <w:spacing w:line="240" w:lineRule="auto"/>
              <w:jc w:val="center"/>
              <w:rPr>
                <w:rFonts w:cs="Arial"/>
                <w:sz w:val="22"/>
                <w:szCs w:val="22"/>
              </w:rPr>
            </w:pPr>
            <w:r w:rsidRPr="004932C5">
              <w:rPr>
                <w:rFonts w:cs="Arial"/>
                <w:sz w:val="22"/>
                <w:szCs w:val="22"/>
              </w:rPr>
              <w:t>1.4</w:t>
            </w:r>
          </w:p>
          <w:p w14:paraId="10946C3E" w14:textId="77777777" w:rsidR="000923BB" w:rsidRPr="004932C5" w:rsidRDefault="000923BB" w:rsidP="004932C5">
            <w:pPr>
              <w:spacing w:line="240" w:lineRule="auto"/>
              <w:jc w:val="center"/>
              <w:rPr>
                <w:rFonts w:cs="Arial"/>
                <w:sz w:val="22"/>
                <w:szCs w:val="22"/>
              </w:rPr>
            </w:pPr>
          </w:p>
        </w:tc>
        <w:tc>
          <w:tcPr>
            <w:tcW w:w="992" w:type="dxa"/>
          </w:tcPr>
          <w:p w14:paraId="29094A09" w14:textId="77777777" w:rsidR="000923BB" w:rsidRPr="004932C5" w:rsidRDefault="000923BB" w:rsidP="004932C5">
            <w:pPr>
              <w:spacing w:line="240" w:lineRule="auto"/>
              <w:jc w:val="center"/>
              <w:rPr>
                <w:rFonts w:cs="Arial"/>
                <w:sz w:val="22"/>
                <w:szCs w:val="22"/>
              </w:rPr>
            </w:pPr>
            <w:r w:rsidRPr="004932C5">
              <w:rPr>
                <w:rFonts w:cs="Arial"/>
                <w:sz w:val="22"/>
                <w:szCs w:val="22"/>
              </w:rPr>
              <w:t>4.0</w:t>
            </w:r>
          </w:p>
          <w:p w14:paraId="646A07FF" w14:textId="77777777" w:rsidR="000923BB" w:rsidRPr="004932C5" w:rsidRDefault="000923BB" w:rsidP="004932C5">
            <w:pPr>
              <w:spacing w:line="240" w:lineRule="auto"/>
              <w:jc w:val="center"/>
              <w:rPr>
                <w:rFonts w:cs="Arial"/>
                <w:sz w:val="22"/>
                <w:szCs w:val="22"/>
              </w:rPr>
            </w:pPr>
          </w:p>
        </w:tc>
        <w:tc>
          <w:tcPr>
            <w:tcW w:w="1418" w:type="dxa"/>
          </w:tcPr>
          <w:p w14:paraId="52C19B7A" w14:textId="77777777" w:rsidR="000923BB" w:rsidRPr="004932C5" w:rsidRDefault="000923BB" w:rsidP="004932C5">
            <w:pPr>
              <w:spacing w:line="240" w:lineRule="auto"/>
              <w:jc w:val="center"/>
              <w:rPr>
                <w:rFonts w:cs="Arial"/>
                <w:sz w:val="22"/>
                <w:szCs w:val="22"/>
              </w:rPr>
            </w:pPr>
            <w:r w:rsidRPr="004932C5">
              <w:rPr>
                <w:rFonts w:cs="Arial"/>
                <w:sz w:val="22"/>
                <w:szCs w:val="22"/>
              </w:rPr>
              <w:t>2.0 -  6.0</w:t>
            </w:r>
          </w:p>
          <w:p w14:paraId="687668FD" w14:textId="77777777" w:rsidR="000923BB" w:rsidRPr="004932C5" w:rsidRDefault="000923BB" w:rsidP="004932C5">
            <w:pPr>
              <w:spacing w:line="240" w:lineRule="auto"/>
              <w:jc w:val="center"/>
              <w:rPr>
                <w:rFonts w:cs="Arial"/>
                <w:sz w:val="22"/>
                <w:szCs w:val="22"/>
              </w:rPr>
            </w:pPr>
          </w:p>
        </w:tc>
      </w:tr>
      <w:tr w:rsidR="000923BB" w:rsidRPr="004932C5" w14:paraId="711CBA0E" w14:textId="77777777" w:rsidTr="005332D1">
        <w:tc>
          <w:tcPr>
            <w:tcW w:w="1701" w:type="dxa"/>
          </w:tcPr>
          <w:p w14:paraId="12FA94FC" w14:textId="77777777" w:rsidR="000923BB" w:rsidRPr="004932C5" w:rsidRDefault="000923BB" w:rsidP="004932C5">
            <w:pPr>
              <w:spacing w:line="240" w:lineRule="auto"/>
              <w:rPr>
                <w:rFonts w:cs="Arial"/>
                <w:sz w:val="22"/>
                <w:szCs w:val="22"/>
              </w:rPr>
            </w:pPr>
            <w:r w:rsidRPr="004932C5">
              <w:rPr>
                <w:rFonts w:cs="Arial"/>
                <w:sz w:val="22"/>
                <w:szCs w:val="22"/>
              </w:rPr>
              <w:t>Hospital 439</w:t>
            </w:r>
          </w:p>
        </w:tc>
        <w:tc>
          <w:tcPr>
            <w:tcW w:w="992" w:type="dxa"/>
          </w:tcPr>
          <w:p w14:paraId="3232534D" w14:textId="77777777" w:rsidR="000923BB" w:rsidRPr="004932C5" w:rsidRDefault="000923BB" w:rsidP="004932C5">
            <w:pPr>
              <w:spacing w:line="240" w:lineRule="auto"/>
              <w:jc w:val="center"/>
              <w:rPr>
                <w:rFonts w:cs="Arial"/>
                <w:sz w:val="22"/>
                <w:szCs w:val="22"/>
              </w:rPr>
            </w:pPr>
            <w:r w:rsidRPr="004932C5">
              <w:rPr>
                <w:rFonts w:cs="Arial"/>
                <w:sz w:val="22"/>
                <w:szCs w:val="22"/>
              </w:rPr>
              <w:t>4.5</w:t>
            </w:r>
          </w:p>
          <w:p w14:paraId="4FB27CF3" w14:textId="77777777" w:rsidR="000923BB" w:rsidRPr="004932C5" w:rsidRDefault="000923BB" w:rsidP="004932C5">
            <w:pPr>
              <w:spacing w:line="240" w:lineRule="auto"/>
              <w:jc w:val="center"/>
              <w:rPr>
                <w:rFonts w:cs="Arial"/>
                <w:sz w:val="22"/>
                <w:szCs w:val="22"/>
              </w:rPr>
            </w:pPr>
          </w:p>
        </w:tc>
        <w:tc>
          <w:tcPr>
            <w:tcW w:w="1276" w:type="dxa"/>
          </w:tcPr>
          <w:p w14:paraId="0D70572A" w14:textId="77777777" w:rsidR="000923BB" w:rsidRPr="004932C5" w:rsidRDefault="000923BB" w:rsidP="004932C5">
            <w:pPr>
              <w:spacing w:line="240" w:lineRule="auto"/>
              <w:jc w:val="center"/>
              <w:rPr>
                <w:rFonts w:cs="Arial"/>
                <w:sz w:val="22"/>
                <w:szCs w:val="22"/>
              </w:rPr>
            </w:pPr>
            <w:r w:rsidRPr="004932C5">
              <w:rPr>
                <w:rFonts w:cs="Arial"/>
                <w:sz w:val="22"/>
                <w:szCs w:val="22"/>
              </w:rPr>
              <w:t>1.1</w:t>
            </w:r>
          </w:p>
          <w:p w14:paraId="29CC946A" w14:textId="77777777" w:rsidR="000923BB" w:rsidRPr="004932C5" w:rsidRDefault="000923BB" w:rsidP="004932C5">
            <w:pPr>
              <w:spacing w:line="240" w:lineRule="auto"/>
              <w:jc w:val="center"/>
              <w:rPr>
                <w:rFonts w:cs="Arial"/>
                <w:sz w:val="22"/>
                <w:szCs w:val="22"/>
              </w:rPr>
            </w:pPr>
          </w:p>
        </w:tc>
        <w:tc>
          <w:tcPr>
            <w:tcW w:w="992" w:type="dxa"/>
          </w:tcPr>
          <w:p w14:paraId="28667C27" w14:textId="77777777" w:rsidR="000923BB" w:rsidRPr="004932C5" w:rsidRDefault="000923BB" w:rsidP="004932C5">
            <w:pPr>
              <w:spacing w:line="240" w:lineRule="auto"/>
              <w:jc w:val="center"/>
              <w:rPr>
                <w:rFonts w:cs="Arial"/>
                <w:sz w:val="22"/>
                <w:szCs w:val="22"/>
              </w:rPr>
            </w:pPr>
            <w:r w:rsidRPr="004932C5">
              <w:rPr>
                <w:rFonts w:cs="Arial"/>
                <w:sz w:val="22"/>
                <w:szCs w:val="22"/>
              </w:rPr>
              <w:t>5.0</w:t>
            </w:r>
          </w:p>
          <w:p w14:paraId="7EB5AF3E" w14:textId="77777777" w:rsidR="000923BB" w:rsidRPr="004932C5" w:rsidRDefault="000923BB" w:rsidP="004932C5">
            <w:pPr>
              <w:spacing w:line="240" w:lineRule="auto"/>
              <w:jc w:val="center"/>
              <w:rPr>
                <w:rFonts w:cs="Arial"/>
                <w:sz w:val="22"/>
                <w:szCs w:val="22"/>
              </w:rPr>
            </w:pPr>
          </w:p>
        </w:tc>
        <w:tc>
          <w:tcPr>
            <w:tcW w:w="1418" w:type="dxa"/>
          </w:tcPr>
          <w:p w14:paraId="1B10DDE1" w14:textId="77777777" w:rsidR="000923BB" w:rsidRPr="004932C5" w:rsidRDefault="000923BB" w:rsidP="004932C5">
            <w:pPr>
              <w:spacing w:line="240" w:lineRule="auto"/>
              <w:jc w:val="center"/>
              <w:rPr>
                <w:rFonts w:cs="Arial"/>
                <w:sz w:val="22"/>
                <w:szCs w:val="22"/>
              </w:rPr>
            </w:pPr>
            <w:r w:rsidRPr="004932C5">
              <w:rPr>
                <w:rFonts w:cs="Arial"/>
                <w:sz w:val="22"/>
                <w:szCs w:val="22"/>
              </w:rPr>
              <w:t>1.0 -  6.0</w:t>
            </w:r>
          </w:p>
        </w:tc>
      </w:tr>
      <w:tr w:rsidR="000923BB" w:rsidRPr="004932C5" w14:paraId="09EAF5F5" w14:textId="77777777" w:rsidTr="005332D1">
        <w:tc>
          <w:tcPr>
            <w:tcW w:w="1701" w:type="dxa"/>
          </w:tcPr>
          <w:p w14:paraId="761AA990" w14:textId="77777777" w:rsidR="000923BB" w:rsidRPr="004932C5" w:rsidRDefault="000923BB" w:rsidP="004932C5">
            <w:pPr>
              <w:spacing w:line="240" w:lineRule="auto"/>
              <w:rPr>
                <w:rFonts w:cs="Arial"/>
                <w:sz w:val="22"/>
                <w:szCs w:val="22"/>
              </w:rPr>
            </w:pPr>
            <w:r w:rsidRPr="004932C5">
              <w:rPr>
                <w:rFonts w:cs="Arial"/>
                <w:sz w:val="22"/>
                <w:szCs w:val="22"/>
              </w:rPr>
              <w:t>Hospital 441</w:t>
            </w:r>
          </w:p>
        </w:tc>
        <w:tc>
          <w:tcPr>
            <w:tcW w:w="992" w:type="dxa"/>
          </w:tcPr>
          <w:p w14:paraId="77E7EA87" w14:textId="77777777" w:rsidR="000923BB" w:rsidRPr="004932C5" w:rsidRDefault="000923BB" w:rsidP="004932C5">
            <w:pPr>
              <w:spacing w:line="240" w:lineRule="auto"/>
              <w:jc w:val="center"/>
              <w:rPr>
                <w:rFonts w:cs="Arial"/>
                <w:sz w:val="22"/>
                <w:szCs w:val="22"/>
              </w:rPr>
            </w:pPr>
            <w:r w:rsidRPr="004932C5">
              <w:rPr>
                <w:rFonts w:cs="Arial"/>
                <w:sz w:val="22"/>
                <w:szCs w:val="22"/>
              </w:rPr>
              <w:t>5.4</w:t>
            </w:r>
          </w:p>
          <w:p w14:paraId="171D2891" w14:textId="77777777" w:rsidR="000923BB" w:rsidRPr="004932C5" w:rsidRDefault="000923BB" w:rsidP="004932C5">
            <w:pPr>
              <w:spacing w:line="240" w:lineRule="auto"/>
              <w:jc w:val="center"/>
              <w:rPr>
                <w:rFonts w:cs="Arial"/>
                <w:sz w:val="22"/>
                <w:szCs w:val="22"/>
              </w:rPr>
            </w:pPr>
          </w:p>
        </w:tc>
        <w:tc>
          <w:tcPr>
            <w:tcW w:w="1276" w:type="dxa"/>
          </w:tcPr>
          <w:p w14:paraId="54AA0F54" w14:textId="77777777" w:rsidR="000923BB" w:rsidRPr="004932C5" w:rsidRDefault="000923BB" w:rsidP="004932C5">
            <w:pPr>
              <w:spacing w:line="240" w:lineRule="auto"/>
              <w:jc w:val="center"/>
              <w:rPr>
                <w:rFonts w:cs="Arial"/>
                <w:sz w:val="22"/>
                <w:szCs w:val="22"/>
              </w:rPr>
            </w:pPr>
            <w:r w:rsidRPr="004932C5">
              <w:rPr>
                <w:rFonts w:cs="Arial"/>
                <w:sz w:val="22"/>
                <w:szCs w:val="22"/>
              </w:rPr>
              <w:t>1.0</w:t>
            </w:r>
          </w:p>
          <w:p w14:paraId="1B1ADC64" w14:textId="77777777" w:rsidR="000923BB" w:rsidRPr="004932C5" w:rsidRDefault="000923BB" w:rsidP="004932C5">
            <w:pPr>
              <w:spacing w:line="240" w:lineRule="auto"/>
              <w:jc w:val="center"/>
              <w:rPr>
                <w:rFonts w:cs="Arial"/>
                <w:sz w:val="22"/>
                <w:szCs w:val="22"/>
              </w:rPr>
            </w:pPr>
          </w:p>
        </w:tc>
        <w:tc>
          <w:tcPr>
            <w:tcW w:w="992" w:type="dxa"/>
          </w:tcPr>
          <w:p w14:paraId="708597C1" w14:textId="77777777" w:rsidR="000923BB" w:rsidRPr="004932C5" w:rsidRDefault="000923BB" w:rsidP="004932C5">
            <w:pPr>
              <w:spacing w:line="240" w:lineRule="auto"/>
              <w:jc w:val="center"/>
              <w:rPr>
                <w:rFonts w:cs="Arial"/>
                <w:sz w:val="22"/>
                <w:szCs w:val="22"/>
              </w:rPr>
            </w:pPr>
            <w:r w:rsidRPr="004932C5">
              <w:rPr>
                <w:rFonts w:cs="Arial"/>
                <w:sz w:val="22"/>
                <w:szCs w:val="22"/>
              </w:rPr>
              <w:t>6.0</w:t>
            </w:r>
          </w:p>
          <w:p w14:paraId="501BC67E" w14:textId="77777777" w:rsidR="000923BB" w:rsidRPr="004932C5" w:rsidRDefault="000923BB" w:rsidP="004932C5">
            <w:pPr>
              <w:spacing w:line="240" w:lineRule="auto"/>
              <w:jc w:val="center"/>
              <w:rPr>
                <w:rFonts w:cs="Arial"/>
                <w:sz w:val="22"/>
                <w:szCs w:val="22"/>
              </w:rPr>
            </w:pPr>
          </w:p>
        </w:tc>
        <w:tc>
          <w:tcPr>
            <w:tcW w:w="1418" w:type="dxa"/>
          </w:tcPr>
          <w:p w14:paraId="549AA185" w14:textId="77777777" w:rsidR="000923BB" w:rsidRPr="004932C5" w:rsidRDefault="000923BB" w:rsidP="004932C5">
            <w:pPr>
              <w:spacing w:line="240" w:lineRule="auto"/>
              <w:jc w:val="center"/>
              <w:rPr>
                <w:rFonts w:cs="Arial"/>
                <w:sz w:val="22"/>
                <w:szCs w:val="22"/>
              </w:rPr>
            </w:pPr>
            <w:r w:rsidRPr="004932C5">
              <w:rPr>
                <w:rFonts w:cs="Arial"/>
                <w:sz w:val="22"/>
                <w:szCs w:val="22"/>
              </w:rPr>
              <w:t>2.0 -  6.0</w:t>
            </w:r>
          </w:p>
          <w:p w14:paraId="4B334BAD" w14:textId="77777777" w:rsidR="000923BB" w:rsidRPr="004932C5" w:rsidRDefault="000923BB" w:rsidP="004932C5">
            <w:pPr>
              <w:spacing w:line="240" w:lineRule="auto"/>
              <w:jc w:val="center"/>
              <w:rPr>
                <w:rFonts w:cs="Arial"/>
                <w:sz w:val="22"/>
                <w:szCs w:val="22"/>
              </w:rPr>
            </w:pPr>
          </w:p>
        </w:tc>
      </w:tr>
      <w:tr w:rsidR="000923BB" w:rsidRPr="004932C5" w14:paraId="0CCFACBD" w14:textId="77777777" w:rsidTr="005332D1">
        <w:tc>
          <w:tcPr>
            <w:tcW w:w="1701" w:type="dxa"/>
          </w:tcPr>
          <w:p w14:paraId="15EA5DC5" w14:textId="77777777" w:rsidR="000923BB" w:rsidRPr="004932C5" w:rsidRDefault="000923BB" w:rsidP="004932C5">
            <w:pPr>
              <w:spacing w:line="240" w:lineRule="auto"/>
              <w:rPr>
                <w:rFonts w:cs="Arial"/>
                <w:sz w:val="22"/>
                <w:szCs w:val="22"/>
              </w:rPr>
            </w:pPr>
            <w:r w:rsidRPr="004932C5">
              <w:rPr>
                <w:rFonts w:cs="Arial"/>
                <w:sz w:val="22"/>
                <w:szCs w:val="22"/>
              </w:rPr>
              <w:t>Hospital 452</w:t>
            </w:r>
          </w:p>
        </w:tc>
        <w:tc>
          <w:tcPr>
            <w:tcW w:w="992" w:type="dxa"/>
          </w:tcPr>
          <w:p w14:paraId="5B1C1705" w14:textId="77777777" w:rsidR="000923BB" w:rsidRPr="004932C5" w:rsidRDefault="000923BB" w:rsidP="004932C5">
            <w:pPr>
              <w:spacing w:line="240" w:lineRule="auto"/>
              <w:jc w:val="center"/>
              <w:rPr>
                <w:rFonts w:cs="Arial"/>
                <w:sz w:val="22"/>
                <w:szCs w:val="22"/>
              </w:rPr>
            </w:pPr>
            <w:r w:rsidRPr="004932C5">
              <w:rPr>
                <w:rFonts w:cs="Arial"/>
                <w:sz w:val="22"/>
                <w:szCs w:val="22"/>
              </w:rPr>
              <w:t>4.0</w:t>
            </w:r>
          </w:p>
          <w:p w14:paraId="5FAC0D75" w14:textId="77777777" w:rsidR="000923BB" w:rsidRPr="004932C5" w:rsidRDefault="000923BB" w:rsidP="004932C5">
            <w:pPr>
              <w:spacing w:line="240" w:lineRule="auto"/>
              <w:jc w:val="center"/>
              <w:rPr>
                <w:rFonts w:cs="Arial"/>
                <w:sz w:val="22"/>
                <w:szCs w:val="22"/>
              </w:rPr>
            </w:pPr>
          </w:p>
        </w:tc>
        <w:tc>
          <w:tcPr>
            <w:tcW w:w="1276" w:type="dxa"/>
          </w:tcPr>
          <w:p w14:paraId="668D17E5" w14:textId="77777777" w:rsidR="000923BB" w:rsidRPr="004932C5" w:rsidRDefault="000923BB" w:rsidP="004932C5">
            <w:pPr>
              <w:spacing w:line="240" w:lineRule="auto"/>
              <w:jc w:val="center"/>
              <w:rPr>
                <w:rFonts w:cs="Arial"/>
                <w:sz w:val="22"/>
                <w:szCs w:val="22"/>
              </w:rPr>
            </w:pPr>
            <w:r w:rsidRPr="004932C5">
              <w:rPr>
                <w:rFonts w:cs="Arial"/>
                <w:sz w:val="22"/>
                <w:szCs w:val="22"/>
              </w:rPr>
              <w:t>1.4</w:t>
            </w:r>
          </w:p>
          <w:p w14:paraId="4DDA9697" w14:textId="77777777" w:rsidR="000923BB" w:rsidRPr="004932C5" w:rsidRDefault="000923BB" w:rsidP="004932C5">
            <w:pPr>
              <w:spacing w:line="240" w:lineRule="auto"/>
              <w:jc w:val="center"/>
              <w:rPr>
                <w:rFonts w:cs="Arial"/>
                <w:sz w:val="22"/>
                <w:szCs w:val="22"/>
              </w:rPr>
            </w:pPr>
          </w:p>
        </w:tc>
        <w:tc>
          <w:tcPr>
            <w:tcW w:w="992" w:type="dxa"/>
          </w:tcPr>
          <w:p w14:paraId="55CFF5FF" w14:textId="77777777" w:rsidR="000923BB" w:rsidRPr="004932C5" w:rsidRDefault="000923BB" w:rsidP="004932C5">
            <w:pPr>
              <w:spacing w:line="240" w:lineRule="auto"/>
              <w:jc w:val="center"/>
              <w:rPr>
                <w:rFonts w:cs="Arial"/>
                <w:sz w:val="22"/>
                <w:szCs w:val="22"/>
              </w:rPr>
            </w:pPr>
            <w:r w:rsidRPr="004932C5">
              <w:rPr>
                <w:rFonts w:cs="Arial"/>
                <w:sz w:val="22"/>
                <w:szCs w:val="22"/>
              </w:rPr>
              <w:t>4.0</w:t>
            </w:r>
          </w:p>
          <w:p w14:paraId="261D1AFE" w14:textId="77777777" w:rsidR="000923BB" w:rsidRPr="004932C5" w:rsidRDefault="000923BB" w:rsidP="004932C5">
            <w:pPr>
              <w:spacing w:line="240" w:lineRule="auto"/>
              <w:jc w:val="center"/>
              <w:rPr>
                <w:rFonts w:cs="Arial"/>
                <w:sz w:val="22"/>
                <w:szCs w:val="22"/>
              </w:rPr>
            </w:pPr>
          </w:p>
        </w:tc>
        <w:tc>
          <w:tcPr>
            <w:tcW w:w="1418" w:type="dxa"/>
          </w:tcPr>
          <w:p w14:paraId="45A15691" w14:textId="77777777" w:rsidR="000923BB" w:rsidRPr="004932C5" w:rsidRDefault="000923BB" w:rsidP="004932C5">
            <w:pPr>
              <w:spacing w:line="240" w:lineRule="auto"/>
              <w:jc w:val="center"/>
              <w:rPr>
                <w:rFonts w:cs="Arial"/>
                <w:sz w:val="22"/>
                <w:szCs w:val="22"/>
              </w:rPr>
            </w:pPr>
            <w:r w:rsidRPr="004932C5">
              <w:rPr>
                <w:rFonts w:cs="Arial"/>
                <w:sz w:val="22"/>
                <w:szCs w:val="22"/>
              </w:rPr>
              <w:t>1.0 -  6.0</w:t>
            </w:r>
          </w:p>
          <w:p w14:paraId="5982DFC7" w14:textId="77777777" w:rsidR="000923BB" w:rsidRPr="004932C5" w:rsidRDefault="000923BB" w:rsidP="004932C5">
            <w:pPr>
              <w:spacing w:line="240" w:lineRule="auto"/>
              <w:jc w:val="center"/>
              <w:rPr>
                <w:rFonts w:cs="Arial"/>
                <w:sz w:val="22"/>
                <w:szCs w:val="22"/>
              </w:rPr>
            </w:pPr>
          </w:p>
        </w:tc>
      </w:tr>
    </w:tbl>
    <w:p w14:paraId="1622812A" w14:textId="77777777" w:rsidR="000923BB" w:rsidRPr="00FB3AC0" w:rsidRDefault="000923BB" w:rsidP="004932C5">
      <w:pPr>
        <w:spacing w:line="240" w:lineRule="auto"/>
        <w:rPr>
          <w:rFonts w:cs="Arial"/>
          <w:b/>
          <w:sz w:val="28"/>
          <w:szCs w:val="28"/>
        </w:rPr>
      </w:pPr>
    </w:p>
    <w:p w14:paraId="44C1EC11" w14:textId="77777777" w:rsidR="000923BB" w:rsidRPr="00F54264" w:rsidRDefault="000923BB" w:rsidP="000923BB">
      <w:pPr>
        <w:rPr>
          <w:rFonts w:cs="Arial"/>
          <w:b/>
          <w:sz w:val="28"/>
          <w:szCs w:val="28"/>
        </w:rPr>
      </w:pPr>
      <w:r w:rsidRPr="00F54264">
        <w:rPr>
          <w:rFonts w:cs="Arial"/>
          <w:b/>
          <w:sz w:val="28"/>
          <w:szCs w:val="28"/>
        </w:rPr>
        <w:lastRenderedPageBreak/>
        <w:t>Criterion based review: admission phase</w:t>
      </w:r>
    </w:p>
    <w:p w14:paraId="5E8A30C6" w14:textId="77777777" w:rsidR="000923BB" w:rsidRPr="00FB3AC0" w:rsidRDefault="000923BB" w:rsidP="000923BB">
      <w:pPr>
        <w:rPr>
          <w:rFonts w:cs="Arial"/>
          <w:b/>
          <w:sz w:val="28"/>
          <w:szCs w:val="28"/>
        </w:rPr>
      </w:pPr>
    </w:p>
    <w:p w14:paraId="767E0BA5" w14:textId="77777777" w:rsidR="000923BB" w:rsidRPr="00FB3AC0" w:rsidRDefault="000923BB" w:rsidP="000923BB">
      <w:pPr>
        <w:tabs>
          <w:tab w:val="center" w:pos="3499"/>
        </w:tabs>
        <w:autoSpaceDE w:val="0"/>
        <w:autoSpaceDN w:val="0"/>
        <w:adjustRightInd w:val="0"/>
        <w:rPr>
          <w:rFonts w:cs="Arial"/>
          <w:b/>
          <w:bCs/>
          <w:color w:val="000000"/>
          <w:sz w:val="18"/>
          <w:szCs w:val="18"/>
          <w:lang w:val="en-US"/>
        </w:rPr>
      </w:pPr>
      <w:r w:rsidRPr="00FB3AC0">
        <w:rPr>
          <w:rFonts w:cs="Arial"/>
          <w:b/>
          <w:bCs/>
          <w:color w:val="000000"/>
          <w:sz w:val="18"/>
          <w:szCs w:val="18"/>
          <w:lang w:val="en-US"/>
        </w:rPr>
        <w:t>Level of breathlessness</w:t>
      </w:r>
    </w:p>
    <w:p w14:paraId="5C91B279" w14:textId="77777777" w:rsidR="000923BB" w:rsidRPr="00FB3AC0" w:rsidRDefault="000923BB" w:rsidP="000923BB">
      <w:pPr>
        <w:tabs>
          <w:tab w:val="center" w:pos="3499"/>
        </w:tabs>
        <w:autoSpaceDE w:val="0"/>
        <w:autoSpaceDN w:val="0"/>
        <w:adjustRightInd w:val="0"/>
        <w:rPr>
          <w:rFonts w:cs="Arial"/>
          <w:b/>
          <w:bCs/>
          <w:color w:val="000000"/>
          <w:sz w:val="18"/>
          <w:szCs w:val="18"/>
          <w:lang w:val="en-US"/>
        </w:rPr>
      </w:pPr>
    </w:p>
    <w:tbl>
      <w:tblPr>
        <w:tblW w:w="0" w:type="auto"/>
        <w:tblInd w:w="93" w:type="dxa"/>
        <w:tblLayout w:type="fixed"/>
        <w:tblCellMar>
          <w:left w:w="93" w:type="dxa"/>
          <w:right w:w="93" w:type="dxa"/>
        </w:tblCellMar>
        <w:tblLook w:val="0000" w:firstRow="0" w:lastRow="0" w:firstColumn="0" w:lastColumn="0" w:noHBand="0" w:noVBand="0"/>
      </w:tblPr>
      <w:tblGrid>
        <w:gridCol w:w="206"/>
        <w:gridCol w:w="1666"/>
        <w:gridCol w:w="1123"/>
        <w:gridCol w:w="1080"/>
      </w:tblGrid>
      <w:tr w:rsidR="000923BB" w:rsidRPr="00FB3AC0" w14:paraId="3C981978" w14:textId="77777777" w:rsidTr="003A385F">
        <w:trPr>
          <w:trHeight w:val="504"/>
        </w:trPr>
        <w:tc>
          <w:tcPr>
            <w:tcW w:w="187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5C78BDC6"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1F152B66"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n</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0A2EB310"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Percent</w:t>
            </w:r>
          </w:p>
        </w:tc>
      </w:tr>
      <w:tr w:rsidR="000923BB" w:rsidRPr="00FB3AC0" w14:paraId="2DDA6907" w14:textId="77777777" w:rsidTr="003A385F">
        <w:trPr>
          <w:trHeight w:val="273"/>
        </w:trPr>
        <w:tc>
          <w:tcPr>
            <w:tcW w:w="206" w:type="dxa"/>
            <w:tcBorders>
              <w:top w:val="single" w:sz="12" w:space="0" w:color="000000"/>
              <w:left w:val="single" w:sz="12" w:space="0" w:color="000000"/>
              <w:right w:val="nil"/>
            </w:tcBorders>
            <w:shd w:val="clear" w:color="000000" w:fill="FFFFFF"/>
          </w:tcPr>
          <w:p w14:paraId="3215F453" w14:textId="77777777" w:rsidR="000923BB" w:rsidRPr="00FB3AC0" w:rsidRDefault="000923BB" w:rsidP="003A385F">
            <w:pPr>
              <w:autoSpaceDE w:val="0"/>
              <w:autoSpaceDN w:val="0"/>
              <w:adjustRightInd w:val="0"/>
              <w:rPr>
                <w:rFonts w:cs="Arial"/>
                <w:color w:val="000000"/>
                <w:sz w:val="18"/>
                <w:szCs w:val="18"/>
                <w:lang w:val="en-US"/>
              </w:rPr>
            </w:pPr>
          </w:p>
        </w:tc>
        <w:tc>
          <w:tcPr>
            <w:tcW w:w="1666" w:type="dxa"/>
            <w:tcBorders>
              <w:top w:val="single" w:sz="12" w:space="0" w:color="000000"/>
              <w:left w:val="nil"/>
              <w:right w:val="single" w:sz="12" w:space="0" w:color="000000"/>
            </w:tcBorders>
            <w:shd w:val="clear" w:color="000000" w:fill="FFFFFF"/>
          </w:tcPr>
          <w:p w14:paraId="0F4AE4EE"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increased</w:t>
            </w:r>
          </w:p>
        </w:tc>
        <w:tc>
          <w:tcPr>
            <w:tcW w:w="1123" w:type="dxa"/>
            <w:tcBorders>
              <w:top w:val="single" w:sz="12" w:space="0" w:color="000000"/>
              <w:left w:val="single" w:sz="12" w:space="0" w:color="000000"/>
              <w:right w:val="single" w:sz="2" w:space="0" w:color="000000"/>
            </w:tcBorders>
            <w:shd w:val="clear" w:color="000000" w:fill="FFFFFF"/>
            <w:vAlign w:val="center"/>
          </w:tcPr>
          <w:p w14:paraId="473D2A98" w14:textId="77777777" w:rsidR="000923BB" w:rsidRPr="00FB3AC0" w:rsidRDefault="000923BB" w:rsidP="003A385F">
            <w:pPr>
              <w:autoSpaceDE w:val="0"/>
              <w:autoSpaceDN w:val="0"/>
              <w:adjustRightInd w:val="0"/>
              <w:jc w:val="right"/>
              <w:rPr>
                <w:rFonts w:cs="Arial"/>
                <w:color w:val="000000"/>
                <w:sz w:val="18"/>
                <w:szCs w:val="18"/>
                <w:lang w:val="en-US"/>
              </w:rPr>
            </w:pPr>
            <w:r w:rsidRPr="00FB3AC0">
              <w:rPr>
                <w:rFonts w:cs="Arial"/>
                <w:color w:val="000000"/>
                <w:sz w:val="18"/>
                <w:szCs w:val="18"/>
                <w:lang w:val="en-US"/>
              </w:rPr>
              <w:t>36</w:t>
            </w:r>
          </w:p>
        </w:tc>
        <w:tc>
          <w:tcPr>
            <w:tcW w:w="1080" w:type="dxa"/>
            <w:tcBorders>
              <w:top w:val="single" w:sz="12" w:space="0" w:color="000000"/>
              <w:left w:val="single" w:sz="2" w:space="0" w:color="000000"/>
              <w:right w:val="single" w:sz="2" w:space="0" w:color="000000"/>
            </w:tcBorders>
            <w:shd w:val="clear" w:color="000000" w:fill="FFFFFF"/>
            <w:vAlign w:val="center"/>
          </w:tcPr>
          <w:p w14:paraId="1097E289" w14:textId="77777777" w:rsidR="000923BB" w:rsidRPr="00FB3AC0" w:rsidRDefault="000923BB" w:rsidP="003A385F">
            <w:pPr>
              <w:autoSpaceDE w:val="0"/>
              <w:autoSpaceDN w:val="0"/>
              <w:adjustRightInd w:val="0"/>
              <w:jc w:val="right"/>
              <w:rPr>
                <w:rFonts w:cs="Arial"/>
                <w:color w:val="000000"/>
                <w:sz w:val="18"/>
                <w:szCs w:val="18"/>
                <w:lang w:val="en-US"/>
              </w:rPr>
            </w:pPr>
            <w:r w:rsidRPr="00FB3AC0">
              <w:rPr>
                <w:rFonts w:cs="Arial"/>
                <w:color w:val="000000"/>
                <w:sz w:val="18"/>
                <w:szCs w:val="18"/>
                <w:lang w:val="en-US"/>
              </w:rPr>
              <w:t>100.0</w:t>
            </w:r>
          </w:p>
        </w:tc>
      </w:tr>
      <w:tr w:rsidR="000923BB" w:rsidRPr="00FB3AC0" w14:paraId="405E23B4" w14:textId="77777777" w:rsidTr="003A385F">
        <w:trPr>
          <w:trHeight w:val="273"/>
        </w:trPr>
        <w:tc>
          <w:tcPr>
            <w:tcW w:w="206" w:type="dxa"/>
            <w:tcBorders>
              <w:left w:val="single" w:sz="12" w:space="0" w:color="000000"/>
              <w:right w:val="nil"/>
            </w:tcBorders>
            <w:shd w:val="clear" w:color="000000" w:fill="FFFFFF"/>
          </w:tcPr>
          <w:p w14:paraId="2EFC016B" w14:textId="77777777" w:rsidR="000923BB" w:rsidRPr="00FB3AC0" w:rsidRDefault="000923BB" w:rsidP="003A385F">
            <w:pPr>
              <w:autoSpaceDE w:val="0"/>
              <w:autoSpaceDN w:val="0"/>
              <w:adjustRightInd w:val="0"/>
              <w:rPr>
                <w:rFonts w:cs="Arial"/>
                <w:color w:val="000000"/>
                <w:sz w:val="18"/>
                <w:szCs w:val="18"/>
                <w:lang w:val="en-US"/>
              </w:rPr>
            </w:pPr>
          </w:p>
        </w:tc>
        <w:tc>
          <w:tcPr>
            <w:tcW w:w="1666" w:type="dxa"/>
            <w:tcBorders>
              <w:left w:val="nil"/>
              <w:right w:val="single" w:sz="12" w:space="0" w:color="000000"/>
            </w:tcBorders>
            <w:shd w:val="clear" w:color="000000" w:fill="FFFFFF"/>
          </w:tcPr>
          <w:p w14:paraId="14CF317A"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Not increased</w:t>
            </w:r>
          </w:p>
        </w:tc>
        <w:tc>
          <w:tcPr>
            <w:tcW w:w="1123" w:type="dxa"/>
            <w:tcBorders>
              <w:left w:val="single" w:sz="12" w:space="0" w:color="000000"/>
              <w:right w:val="single" w:sz="2" w:space="0" w:color="000000"/>
            </w:tcBorders>
            <w:shd w:val="clear" w:color="000000" w:fill="FFFFFF"/>
            <w:vAlign w:val="center"/>
          </w:tcPr>
          <w:p w14:paraId="6BA9D35C" w14:textId="77777777" w:rsidR="000923BB" w:rsidRPr="00FB3AC0" w:rsidRDefault="000923BB" w:rsidP="003A385F">
            <w:pPr>
              <w:autoSpaceDE w:val="0"/>
              <w:autoSpaceDN w:val="0"/>
              <w:adjustRightInd w:val="0"/>
              <w:jc w:val="right"/>
              <w:rPr>
                <w:rFonts w:cs="Arial"/>
                <w:color w:val="000000"/>
                <w:sz w:val="18"/>
                <w:szCs w:val="18"/>
                <w:lang w:val="en-US"/>
              </w:rPr>
            </w:pPr>
            <w:r w:rsidRPr="00FB3AC0">
              <w:rPr>
                <w:rFonts w:cs="Arial"/>
                <w:color w:val="000000"/>
                <w:sz w:val="18"/>
                <w:szCs w:val="18"/>
                <w:lang w:val="en-US"/>
              </w:rPr>
              <w:t>0</w:t>
            </w:r>
          </w:p>
        </w:tc>
        <w:tc>
          <w:tcPr>
            <w:tcW w:w="1080" w:type="dxa"/>
            <w:tcBorders>
              <w:left w:val="single" w:sz="2" w:space="0" w:color="000000"/>
              <w:right w:val="single" w:sz="2" w:space="0" w:color="000000"/>
            </w:tcBorders>
            <w:shd w:val="clear" w:color="000000" w:fill="FFFFFF"/>
            <w:vAlign w:val="center"/>
          </w:tcPr>
          <w:p w14:paraId="6D1E598B" w14:textId="77777777" w:rsidR="000923BB" w:rsidRPr="00FB3AC0" w:rsidRDefault="000923BB" w:rsidP="003A385F">
            <w:pPr>
              <w:autoSpaceDE w:val="0"/>
              <w:autoSpaceDN w:val="0"/>
              <w:adjustRightInd w:val="0"/>
              <w:jc w:val="right"/>
              <w:rPr>
                <w:rFonts w:cs="Arial"/>
                <w:color w:val="000000"/>
                <w:sz w:val="18"/>
                <w:szCs w:val="18"/>
                <w:lang w:val="en-US"/>
              </w:rPr>
            </w:pPr>
            <w:r w:rsidRPr="00FB3AC0">
              <w:rPr>
                <w:rFonts w:cs="Arial"/>
                <w:color w:val="000000"/>
                <w:sz w:val="18"/>
                <w:szCs w:val="18"/>
                <w:lang w:val="en-US"/>
              </w:rPr>
              <w:t>0</w:t>
            </w:r>
          </w:p>
        </w:tc>
      </w:tr>
      <w:tr w:rsidR="000923BB" w:rsidRPr="00FB3AC0" w14:paraId="290AC65B" w14:textId="77777777" w:rsidTr="003A385F">
        <w:trPr>
          <w:trHeight w:val="273"/>
        </w:trPr>
        <w:tc>
          <w:tcPr>
            <w:tcW w:w="206" w:type="dxa"/>
            <w:tcBorders>
              <w:left w:val="single" w:sz="12" w:space="0" w:color="000000"/>
              <w:bottom w:val="single" w:sz="12" w:space="0" w:color="000000"/>
              <w:right w:val="nil"/>
            </w:tcBorders>
            <w:shd w:val="clear" w:color="000000" w:fill="FFFFFF"/>
          </w:tcPr>
          <w:p w14:paraId="768C941E" w14:textId="77777777" w:rsidR="000923BB" w:rsidRPr="00FB3AC0" w:rsidRDefault="000923BB" w:rsidP="003A385F">
            <w:pPr>
              <w:autoSpaceDE w:val="0"/>
              <w:autoSpaceDN w:val="0"/>
              <w:adjustRightInd w:val="0"/>
              <w:rPr>
                <w:rFonts w:cs="Arial"/>
                <w:color w:val="000000"/>
                <w:sz w:val="18"/>
                <w:szCs w:val="18"/>
                <w:lang w:val="en-US"/>
              </w:rPr>
            </w:pPr>
          </w:p>
        </w:tc>
        <w:tc>
          <w:tcPr>
            <w:tcW w:w="1666" w:type="dxa"/>
            <w:tcBorders>
              <w:left w:val="nil"/>
              <w:bottom w:val="single" w:sz="12" w:space="0" w:color="000000"/>
              <w:right w:val="single" w:sz="12" w:space="0" w:color="000000"/>
            </w:tcBorders>
            <w:shd w:val="clear" w:color="000000" w:fill="FFFFFF"/>
          </w:tcPr>
          <w:p w14:paraId="0A1B3A0A"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Total</w:t>
            </w:r>
          </w:p>
        </w:tc>
        <w:tc>
          <w:tcPr>
            <w:tcW w:w="1123" w:type="dxa"/>
            <w:tcBorders>
              <w:left w:val="single" w:sz="12" w:space="0" w:color="000000"/>
              <w:bottom w:val="single" w:sz="12" w:space="0" w:color="000000"/>
              <w:right w:val="single" w:sz="2" w:space="0" w:color="000000"/>
            </w:tcBorders>
            <w:shd w:val="clear" w:color="000000" w:fill="FFFFFF"/>
            <w:vAlign w:val="center"/>
          </w:tcPr>
          <w:p w14:paraId="518E3DEA" w14:textId="77777777" w:rsidR="000923BB" w:rsidRPr="00FB3AC0" w:rsidRDefault="000923BB" w:rsidP="003A385F">
            <w:pPr>
              <w:autoSpaceDE w:val="0"/>
              <w:autoSpaceDN w:val="0"/>
              <w:adjustRightInd w:val="0"/>
              <w:jc w:val="right"/>
              <w:rPr>
                <w:rFonts w:cs="Arial"/>
                <w:color w:val="000000"/>
                <w:sz w:val="18"/>
                <w:szCs w:val="18"/>
                <w:lang w:val="en-US"/>
              </w:rPr>
            </w:pPr>
            <w:r w:rsidRPr="00FB3AC0">
              <w:rPr>
                <w:rFonts w:cs="Arial"/>
                <w:color w:val="000000"/>
                <w:sz w:val="18"/>
                <w:szCs w:val="18"/>
                <w:lang w:val="en-US"/>
              </w:rPr>
              <w:t>36</w:t>
            </w:r>
          </w:p>
        </w:tc>
        <w:tc>
          <w:tcPr>
            <w:tcW w:w="1080" w:type="dxa"/>
            <w:tcBorders>
              <w:left w:val="single" w:sz="2" w:space="0" w:color="000000"/>
              <w:bottom w:val="single" w:sz="12" w:space="0" w:color="000000"/>
              <w:right w:val="single" w:sz="2" w:space="0" w:color="000000"/>
            </w:tcBorders>
            <w:shd w:val="clear" w:color="000000" w:fill="FFFFFF"/>
            <w:vAlign w:val="center"/>
          </w:tcPr>
          <w:p w14:paraId="58EA2142" w14:textId="77777777" w:rsidR="000923BB" w:rsidRPr="00FB3AC0" w:rsidRDefault="000923BB" w:rsidP="003A385F">
            <w:pPr>
              <w:autoSpaceDE w:val="0"/>
              <w:autoSpaceDN w:val="0"/>
              <w:adjustRightInd w:val="0"/>
              <w:jc w:val="right"/>
              <w:rPr>
                <w:rFonts w:cs="Arial"/>
                <w:color w:val="000000"/>
                <w:sz w:val="18"/>
                <w:szCs w:val="18"/>
                <w:lang w:val="en-US"/>
              </w:rPr>
            </w:pPr>
            <w:r w:rsidRPr="00FB3AC0">
              <w:rPr>
                <w:rFonts w:cs="Arial"/>
                <w:color w:val="000000"/>
                <w:sz w:val="18"/>
                <w:szCs w:val="18"/>
                <w:lang w:val="en-US"/>
              </w:rPr>
              <w:t>100.0</w:t>
            </w:r>
          </w:p>
        </w:tc>
      </w:tr>
    </w:tbl>
    <w:p w14:paraId="1D6861AF" w14:textId="77777777" w:rsidR="000923BB" w:rsidRPr="00FB3AC0" w:rsidRDefault="000923BB" w:rsidP="000923BB">
      <w:pPr>
        <w:tabs>
          <w:tab w:val="center" w:pos="3441"/>
        </w:tabs>
        <w:autoSpaceDE w:val="0"/>
        <w:autoSpaceDN w:val="0"/>
        <w:adjustRightInd w:val="0"/>
        <w:rPr>
          <w:rFonts w:cs="Arial"/>
          <w:b/>
          <w:bCs/>
          <w:color w:val="000000"/>
          <w:sz w:val="18"/>
          <w:szCs w:val="18"/>
          <w:lang w:val="en-US"/>
        </w:rPr>
      </w:pPr>
    </w:p>
    <w:p w14:paraId="48783B22" w14:textId="77777777" w:rsidR="000923BB" w:rsidRPr="00FB3AC0" w:rsidRDefault="000923BB" w:rsidP="000923BB">
      <w:pPr>
        <w:tabs>
          <w:tab w:val="center" w:pos="3441"/>
        </w:tabs>
        <w:autoSpaceDE w:val="0"/>
        <w:autoSpaceDN w:val="0"/>
        <w:adjustRightInd w:val="0"/>
        <w:rPr>
          <w:rFonts w:cs="Arial"/>
          <w:b/>
          <w:bCs/>
          <w:color w:val="000000"/>
          <w:sz w:val="18"/>
          <w:szCs w:val="18"/>
          <w:lang w:val="en-US"/>
        </w:rPr>
      </w:pPr>
      <w:r w:rsidRPr="00FB3AC0">
        <w:rPr>
          <w:rFonts w:cs="Arial"/>
          <w:b/>
          <w:bCs/>
          <w:color w:val="000000"/>
          <w:sz w:val="18"/>
          <w:szCs w:val="18"/>
          <w:lang w:val="en-US"/>
        </w:rPr>
        <w:t>Level of sputum</w:t>
      </w:r>
    </w:p>
    <w:p w14:paraId="478168E8" w14:textId="77777777" w:rsidR="000923BB" w:rsidRPr="00FB3AC0" w:rsidRDefault="000923BB" w:rsidP="000923BB">
      <w:pPr>
        <w:tabs>
          <w:tab w:val="center" w:pos="3441"/>
        </w:tabs>
        <w:autoSpaceDE w:val="0"/>
        <w:autoSpaceDN w:val="0"/>
        <w:adjustRightInd w:val="0"/>
        <w:rPr>
          <w:rFonts w:cs="Arial"/>
          <w:b/>
          <w:bCs/>
          <w:color w:val="000000"/>
          <w:sz w:val="18"/>
          <w:szCs w:val="18"/>
          <w:lang w:val="en-US"/>
        </w:rPr>
      </w:pPr>
    </w:p>
    <w:tbl>
      <w:tblPr>
        <w:tblW w:w="0" w:type="auto"/>
        <w:tblInd w:w="93" w:type="dxa"/>
        <w:tblLayout w:type="fixed"/>
        <w:tblCellMar>
          <w:left w:w="93" w:type="dxa"/>
          <w:right w:w="93" w:type="dxa"/>
        </w:tblCellMar>
        <w:tblLook w:val="0000" w:firstRow="0" w:lastRow="0" w:firstColumn="0" w:lastColumn="0" w:noHBand="0" w:noVBand="0"/>
      </w:tblPr>
      <w:tblGrid>
        <w:gridCol w:w="206"/>
        <w:gridCol w:w="1550"/>
        <w:gridCol w:w="1123"/>
        <w:gridCol w:w="1080"/>
      </w:tblGrid>
      <w:tr w:rsidR="000923BB" w:rsidRPr="00FB3AC0" w14:paraId="106605B6" w14:textId="77777777" w:rsidTr="003A385F">
        <w:trPr>
          <w:trHeight w:val="504"/>
        </w:trPr>
        <w:tc>
          <w:tcPr>
            <w:tcW w:w="175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4AA27927"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560EA415"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n</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0AB9AE72"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Percent</w:t>
            </w:r>
          </w:p>
        </w:tc>
      </w:tr>
      <w:tr w:rsidR="000923BB" w:rsidRPr="00FB3AC0" w14:paraId="524A2691" w14:textId="77777777" w:rsidTr="003A385F">
        <w:trPr>
          <w:trHeight w:val="273"/>
        </w:trPr>
        <w:tc>
          <w:tcPr>
            <w:tcW w:w="206" w:type="dxa"/>
            <w:tcBorders>
              <w:top w:val="single" w:sz="12" w:space="0" w:color="000000"/>
              <w:left w:val="single" w:sz="12" w:space="0" w:color="000000"/>
              <w:bottom w:val="nil"/>
              <w:right w:val="nil"/>
            </w:tcBorders>
            <w:shd w:val="clear" w:color="000000" w:fill="FFFFFF"/>
          </w:tcPr>
          <w:p w14:paraId="34F5D6BB"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550" w:type="dxa"/>
            <w:tcBorders>
              <w:top w:val="single" w:sz="12" w:space="0" w:color="000000"/>
              <w:left w:val="nil"/>
              <w:bottom w:val="nil"/>
              <w:right w:val="single" w:sz="12" w:space="0" w:color="000000"/>
            </w:tcBorders>
            <w:shd w:val="clear" w:color="000000" w:fill="FFFFFF"/>
          </w:tcPr>
          <w:p w14:paraId="563BA5F0"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increased</w:t>
            </w:r>
          </w:p>
        </w:tc>
        <w:tc>
          <w:tcPr>
            <w:tcW w:w="1123" w:type="dxa"/>
            <w:tcBorders>
              <w:top w:val="single" w:sz="12" w:space="0" w:color="000000"/>
              <w:left w:val="single" w:sz="12" w:space="0" w:color="000000"/>
              <w:bottom w:val="nil"/>
              <w:right w:val="single" w:sz="2" w:space="0" w:color="000000"/>
            </w:tcBorders>
            <w:shd w:val="clear" w:color="000000" w:fill="FFFFFF"/>
          </w:tcPr>
          <w:p w14:paraId="4959D881" w14:textId="77777777" w:rsidR="000923BB" w:rsidRPr="00FB3AC0" w:rsidRDefault="000923BB" w:rsidP="003A385F">
            <w:pPr>
              <w:rPr>
                <w:rFonts w:cs="Arial"/>
                <w:sz w:val="20"/>
                <w:szCs w:val="20"/>
              </w:rPr>
            </w:pPr>
            <w:r w:rsidRPr="00FB3AC0">
              <w:rPr>
                <w:rFonts w:cs="Arial"/>
                <w:sz w:val="20"/>
                <w:szCs w:val="20"/>
              </w:rPr>
              <w:t>3</w:t>
            </w:r>
          </w:p>
        </w:tc>
        <w:tc>
          <w:tcPr>
            <w:tcW w:w="1080" w:type="dxa"/>
            <w:tcBorders>
              <w:top w:val="single" w:sz="12" w:space="0" w:color="000000"/>
              <w:left w:val="single" w:sz="2" w:space="0" w:color="000000"/>
              <w:bottom w:val="nil"/>
              <w:right w:val="single" w:sz="2" w:space="0" w:color="000000"/>
            </w:tcBorders>
            <w:shd w:val="clear" w:color="000000" w:fill="FFFFFF"/>
          </w:tcPr>
          <w:p w14:paraId="16D3B16B" w14:textId="77777777" w:rsidR="000923BB" w:rsidRPr="00FB3AC0" w:rsidRDefault="000923BB" w:rsidP="003A385F">
            <w:pPr>
              <w:rPr>
                <w:rFonts w:cs="Arial"/>
                <w:sz w:val="20"/>
                <w:szCs w:val="20"/>
              </w:rPr>
            </w:pPr>
            <w:r w:rsidRPr="00FB3AC0">
              <w:rPr>
                <w:rFonts w:cs="Arial"/>
                <w:sz w:val="20"/>
                <w:szCs w:val="20"/>
              </w:rPr>
              <w:t>8.3</w:t>
            </w:r>
          </w:p>
        </w:tc>
      </w:tr>
      <w:tr w:rsidR="000923BB" w:rsidRPr="00FB3AC0" w14:paraId="2D7E5E36" w14:textId="77777777" w:rsidTr="003A385F">
        <w:trPr>
          <w:trHeight w:val="273"/>
        </w:trPr>
        <w:tc>
          <w:tcPr>
            <w:tcW w:w="206" w:type="dxa"/>
            <w:tcBorders>
              <w:top w:val="nil"/>
              <w:left w:val="single" w:sz="12" w:space="0" w:color="000000"/>
              <w:bottom w:val="nil"/>
              <w:right w:val="nil"/>
            </w:tcBorders>
            <w:shd w:val="clear" w:color="000000" w:fill="FFFFFF"/>
          </w:tcPr>
          <w:p w14:paraId="01B67A92"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550" w:type="dxa"/>
            <w:tcBorders>
              <w:top w:val="nil"/>
              <w:left w:val="nil"/>
              <w:bottom w:val="nil"/>
              <w:right w:val="single" w:sz="12" w:space="0" w:color="000000"/>
            </w:tcBorders>
            <w:shd w:val="clear" w:color="000000" w:fill="FFFFFF"/>
          </w:tcPr>
          <w:p w14:paraId="5088EA1C"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not increased</w:t>
            </w:r>
          </w:p>
        </w:tc>
        <w:tc>
          <w:tcPr>
            <w:tcW w:w="1123" w:type="dxa"/>
            <w:tcBorders>
              <w:top w:val="nil"/>
              <w:left w:val="single" w:sz="12" w:space="0" w:color="000000"/>
              <w:bottom w:val="nil"/>
              <w:right w:val="single" w:sz="2" w:space="0" w:color="000000"/>
            </w:tcBorders>
            <w:shd w:val="clear" w:color="000000" w:fill="FFFFFF"/>
          </w:tcPr>
          <w:p w14:paraId="2F8A216C" w14:textId="77777777" w:rsidR="000923BB" w:rsidRPr="00FB3AC0" w:rsidRDefault="000923BB" w:rsidP="003A385F">
            <w:pPr>
              <w:rPr>
                <w:rFonts w:cs="Arial"/>
                <w:sz w:val="20"/>
                <w:szCs w:val="20"/>
              </w:rPr>
            </w:pPr>
            <w:r w:rsidRPr="00FB3AC0">
              <w:rPr>
                <w:rFonts w:cs="Arial"/>
                <w:sz w:val="20"/>
                <w:szCs w:val="20"/>
              </w:rPr>
              <w:t>7</w:t>
            </w:r>
          </w:p>
        </w:tc>
        <w:tc>
          <w:tcPr>
            <w:tcW w:w="1080" w:type="dxa"/>
            <w:tcBorders>
              <w:top w:val="nil"/>
              <w:left w:val="single" w:sz="2" w:space="0" w:color="000000"/>
              <w:bottom w:val="nil"/>
              <w:right w:val="single" w:sz="2" w:space="0" w:color="000000"/>
            </w:tcBorders>
            <w:shd w:val="clear" w:color="000000" w:fill="FFFFFF"/>
          </w:tcPr>
          <w:p w14:paraId="6130F044" w14:textId="77777777" w:rsidR="000923BB" w:rsidRPr="00FB3AC0" w:rsidRDefault="000923BB" w:rsidP="003A385F">
            <w:pPr>
              <w:rPr>
                <w:rFonts w:cs="Arial"/>
                <w:sz w:val="20"/>
                <w:szCs w:val="20"/>
              </w:rPr>
            </w:pPr>
            <w:r w:rsidRPr="00FB3AC0">
              <w:rPr>
                <w:rFonts w:cs="Arial"/>
                <w:sz w:val="20"/>
                <w:szCs w:val="20"/>
              </w:rPr>
              <w:t>19.4</w:t>
            </w:r>
          </w:p>
        </w:tc>
      </w:tr>
      <w:tr w:rsidR="000923BB" w:rsidRPr="00FB3AC0" w14:paraId="61D4A327" w14:textId="77777777" w:rsidTr="003A385F">
        <w:trPr>
          <w:trHeight w:val="273"/>
        </w:trPr>
        <w:tc>
          <w:tcPr>
            <w:tcW w:w="206" w:type="dxa"/>
            <w:tcBorders>
              <w:top w:val="nil"/>
              <w:left w:val="single" w:sz="12" w:space="0" w:color="000000"/>
              <w:bottom w:val="nil"/>
              <w:right w:val="nil"/>
            </w:tcBorders>
            <w:shd w:val="clear" w:color="000000" w:fill="FFFFFF"/>
          </w:tcPr>
          <w:p w14:paraId="63F0FA9B"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550" w:type="dxa"/>
            <w:tcBorders>
              <w:top w:val="nil"/>
              <w:left w:val="nil"/>
              <w:bottom w:val="nil"/>
              <w:right w:val="single" w:sz="12" w:space="0" w:color="000000"/>
            </w:tcBorders>
            <w:shd w:val="clear" w:color="000000" w:fill="FFFFFF"/>
          </w:tcPr>
          <w:p w14:paraId="2ECB06F8"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not recorded</w:t>
            </w:r>
          </w:p>
        </w:tc>
        <w:tc>
          <w:tcPr>
            <w:tcW w:w="1123" w:type="dxa"/>
            <w:tcBorders>
              <w:top w:val="nil"/>
              <w:left w:val="single" w:sz="12" w:space="0" w:color="000000"/>
              <w:bottom w:val="nil"/>
              <w:right w:val="single" w:sz="2" w:space="0" w:color="000000"/>
            </w:tcBorders>
            <w:shd w:val="clear" w:color="000000" w:fill="FFFFFF"/>
          </w:tcPr>
          <w:p w14:paraId="3DD718D5" w14:textId="77777777" w:rsidR="000923BB" w:rsidRPr="00FB3AC0" w:rsidRDefault="000923BB" w:rsidP="003A385F">
            <w:pPr>
              <w:rPr>
                <w:rFonts w:cs="Arial"/>
                <w:sz w:val="20"/>
                <w:szCs w:val="20"/>
              </w:rPr>
            </w:pPr>
            <w:r w:rsidRPr="00FB3AC0">
              <w:rPr>
                <w:rFonts w:cs="Arial"/>
                <w:sz w:val="20"/>
                <w:szCs w:val="20"/>
              </w:rPr>
              <w:t>26</w:t>
            </w:r>
          </w:p>
        </w:tc>
        <w:tc>
          <w:tcPr>
            <w:tcW w:w="1080" w:type="dxa"/>
            <w:tcBorders>
              <w:top w:val="nil"/>
              <w:left w:val="single" w:sz="2" w:space="0" w:color="000000"/>
              <w:bottom w:val="nil"/>
              <w:right w:val="single" w:sz="2" w:space="0" w:color="000000"/>
            </w:tcBorders>
            <w:shd w:val="clear" w:color="000000" w:fill="FFFFFF"/>
          </w:tcPr>
          <w:p w14:paraId="7FE07AD1" w14:textId="77777777" w:rsidR="000923BB" w:rsidRPr="00FB3AC0" w:rsidRDefault="000923BB" w:rsidP="003A385F">
            <w:pPr>
              <w:rPr>
                <w:rFonts w:cs="Arial"/>
                <w:sz w:val="20"/>
                <w:szCs w:val="20"/>
              </w:rPr>
            </w:pPr>
            <w:r w:rsidRPr="00FB3AC0">
              <w:rPr>
                <w:rFonts w:cs="Arial"/>
                <w:sz w:val="20"/>
                <w:szCs w:val="20"/>
              </w:rPr>
              <w:t>72.2</w:t>
            </w:r>
          </w:p>
        </w:tc>
      </w:tr>
      <w:tr w:rsidR="000923BB" w:rsidRPr="00FB3AC0" w14:paraId="673E6C82" w14:textId="77777777" w:rsidTr="003A385F">
        <w:trPr>
          <w:trHeight w:val="273"/>
        </w:trPr>
        <w:tc>
          <w:tcPr>
            <w:tcW w:w="206" w:type="dxa"/>
            <w:tcBorders>
              <w:top w:val="nil"/>
              <w:left w:val="single" w:sz="12" w:space="0" w:color="000000"/>
              <w:bottom w:val="single" w:sz="12" w:space="0" w:color="000000"/>
              <w:right w:val="nil"/>
            </w:tcBorders>
            <w:shd w:val="clear" w:color="000000" w:fill="FFFFFF"/>
          </w:tcPr>
          <w:p w14:paraId="3583F97E"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550" w:type="dxa"/>
            <w:tcBorders>
              <w:top w:val="nil"/>
              <w:left w:val="nil"/>
              <w:bottom w:val="single" w:sz="12" w:space="0" w:color="000000"/>
              <w:right w:val="single" w:sz="12" w:space="0" w:color="000000"/>
            </w:tcBorders>
            <w:shd w:val="clear" w:color="000000" w:fill="FFFFFF"/>
          </w:tcPr>
          <w:p w14:paraId="230726F3"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Total</w:t>
            </w:r>
          </w:p>
        </w:tc>
        <w:tc>
          <w:tcPr>
            <w:tcW w:w="1123" w:type="dxa"/>
            <w:tcBorders>
              <w:top w:val="nil"/>
              <w:left w:val="single" w:sz="12" w:space="0" w:color="000000"/>
              <w:bottom w:val="single" w:sz="12" w:space="0" w:color="000000"/>
              <w:right w:val="single" w:sz="2" w:space="0" w:color="000000"/>
            </w:tcBorders>
            <w:shd w:val="clear" w:color="000000" w:fill="FFFFFF"/>
          </w:tcPr>
          <w:p w14:paraId="646DF963" w14:textId="77777777" w:rsidR="000923BB" w:rsidRPr="00FB3AC0" w:rsidRDefault="000923BB" w:rsidP="003A385F">
            <w:pPr>
              <w:rPr>
                <w:rFonts w:cs="Arial"/>
                <w:sz w:val="20"/>
                <w:szCs w:val="20"/>
              </w:rPr>
            </w:pPr>
            <w:r w:rsidRPr="00FB3AC0">
              <w:rPr>
                <w:rFonts w:cs="Arial"/>
                <w:sz w:val="20"/>
                <w:szCs w:val="20"/>
              </w:rPr>
              <w:t>36</w:t>
            </w:r>
          </w:p>
        </w:tc>
        <w:tc>
          <w:tcPr>
            <w:tcW w:w="1080" w:type="dxa"/>
            <w:tcBorders>
              <w:top w:val="nil"/>
              <w:left w:val="single" w:sz="2" w:space="0" w:color="000000"/>
              <w:bottom w:val="single" w:sz="12" w:space="0" w:color="000000"/>
              <w:right w:val="single" w:sz="2" w:space="0" w:color="000000"/>
            </w:tcBorders>
            <w:shd w:val="clear" w:color="000000" w:fill="FFFFFF"/>
          </w:tcPr>
          <w:p w14:paraId="6A05453F" w14:textId="77777777" w:rsidR="000923BB" w:rsidRPr="00FB3AC0" w:rsidRDefault="000923BB" w:rsidP="003A385F">
            <w:pPr>
              <w:rPr>
                <w:rFonts w:cs="Arial"/>
                <w:sz w:val="20"/>
                <w:szCs w:val="20"/>
              </w:rPr>
            </w:pPr>
            <w:r w:rsidRPr="00FB3AC0">
              <w:rPr>
                <w:rFonts w:cs="Arial"/>
                <w:sz w:val="20"/>
                <w:szCs w:val="20"/>
              </w:rPr>
              <w:t>100.0</w:t>
            </w:r>
          </w:p>
        </w:tc>
      </w:tr>
    </w:tbl>
    <w:p w14:paraId="60D5A345" w14:textId="77777777" w:rsidR="000923BB" w:rsidRPr="00FB3AC0" w:rsidRDefault="000923BB" w:rsidP="000923BB">
      <w:pPr>
        <w:autoSpaceDE w:val="0"/>
        <w:autoSpaceDN w:val="0"/>
        <w:adjustRightInd w:val="0"/>
        <w:rPr>
          <w:rFonts w:cs="Arial"/>
          <w:color w:val="000000"/>
          <w:sz w:val="18"/>
          <w:szCs w:val="18"/>
          <w:lang w:val="en-US"/>
        </w:rPr>
      </w:pPr>
    </w:p>
    <w:p w14:paraId="7EE58B6B" w14:textId="77777777" w:rsidR="000923BB" w:rsidRPr="00FB3AC0" w:rsidRDefault="000923BB" w:rsidP="000923BB">
      <w:pPr>
        <w:rPr>
          <w:rFonts w:cs="Arial"/>
          <w:b/>
          <w:sz w:val="28"/>
          <w:szCs w:val="28"/>
        </w:rPr>
      </w:pPr>
    </w:p>
    <w:p w14:paraId="472283A7" w14:textId="77777777" w:rsidR="000923BB" w:rsidRPr="00FB3AC0" w:rsidRDefault="000923BB" w:rsidP="000923BB">
      <w:pPr>
        <w:rPr>
          <w:rFonts w:cs="Arial"/>
          <w:b/>
          <w:sz w:val="28"/>
          <w:szCs w:val="28"/>
        </w:rPr>
      </w:pPr>
    </w:p>
    <w:p w14:paraId="12217A35" w14:textId="77777777" w:rsidR="000923BB" w:rsidRPr="00566CA2" w:rsidRDefault="000923BB" w:rsidP="000923BB">
      <w:pPr>
        <w:tabs>
          <w:tab w:val="center" w:pos="3600"/>
        </w:tabs>
        <w:autoSpaceDE w:val="0"/>
        <w:autoSpaceDN w:val="0"/>
        <w:adjustRightInd w:val="0"/>
        <w:rPr>
          <w:rFonts w:cs="Arial"/>
          <w:b/>
          <w:bCs/>
          <w:color w:val="000000"/>
          <w:sz w:val="18"/>
          <w:szCs w:val="18"/>
        </w:rPr>
      </w:pPr>
      <w:r w:rsidRPr="00FB3AC0">
        <w:rPr>
          <w:rFonts w:cs="Arial"/>
          <w:b/>
          <w:bCs/>
          <w:color w:val="000000"/>
          <w:sz w:val="18"/>
          <w:szCs w:val="18"/>
          <w:lang w:val="en-US"/>
        </w:rPr>
        <w:t xml:space="preserve">Changes in sputum </w:t>
      </w:r>
      <w:r w:rsidRPr="00566CA2">
        <w:rPr>
          <w:rFonts w:cs="Arial"/>
          <w:b/>
          <w:bCs/>
          <w:color w:val="000000"/>
          <w:sz w:val="18"/>
          <w:szCs w:val="18"/>
        </w:rPr>
        <w:t>colour</w:t>
      </w:r>
    </w:p>
    <w:p w14:paraId="295A033F" w14:textId="77777777" w:rsidR="000923BB" w:rsidRPr="00FB3AC0" w:rsidRDefault="000923BB" w:rsidP="000923BB">
      <w:pPr>
        <w:tabs>
          <w:tab w:val="center" w:pos="3600"/>
        </w:tabs>
        <w:autoSpaceDE w:val="0"/>
        <w:autoSpaceDN w:val="0"/>
        <w:adjustRightInd w:val="0"/>
        <w:rPr>
          <w:rFonts w:cs="Arial"/>
          <w:b/>
          <w:bCs/>
          <w:color w:val="000000"/>
          <w:sz w:val="18"/>
          <w:szCs w:val="18"/>
          <w:lang w:val="en-US"/>
        </w:rPr>
      </w:pPr>
    </w:p>
    <w:tbl>
      <w:tblPr>
        <w:tblW w:w="0" w:type="auto"/>
        <w:tblInd w:w="93" w:type="dxa"/>
        <w:tblLayout w:type="fixed"/>
        <w:tblCellMar>
          <w:left w:w="93" w:type="dxa"/>
          <w:right w:w="93" w:type="dxa"/>
        </w:tblCellMar>
        <w:tblLook w:val="0000" w:firstRow="0" w:lastRow="0" w:firstColumn="0" w:lastColumn="0" w:noHBand="0" w:noVBand="0"/>
      </w:tblPr>
      <w:tblGrid>
        <w:gridCol w:w="206"/>
        <w:gridCol w:w="1867"/>
        <w:gridCol w:w="1123"/>
        <w:gridCol w:w="1080"/>
      </w:tblGrid>
      <w:tr w:rsidR="000923BB" w:rsidRPr="00FB3AC0" w14:paraId="24D878FD" w14:textId="77777777" w:rsidTr="003A385F">
        <w:trPr>
          <w:trHeight w:val="504"/>
        </w:trPr>
        <w:tc>
          <w:tcPr>
            <w:tcW w:w="2073"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7D3B4001"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65136870"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n</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349A771E"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Percent</w:t>
            </w:r>
          </w:p>
        </w:tc>
      </w:tr>
      <w:tr w:rsidR="000923BB" w:rsidRPr="00FB3AC0" w14:paraId="77363960" w14:textId="77777777" w:rsidTr="003A385F">
        <w:trPr>
          <w:trHeight w:val="273"/>
        </w:trPr>
        <w:tc>
          <w:tcPr>
            <w:tcW w:w="206" w:type="dxa"/>
            <w:tcBorders>
              <w:top w:val="nil"/>
              <w:left w:val="single" w:sz="12" w:space="0" w:color="000000"/>
              <w:bottom w:val="nil"/>
              <w:right w:val="nil"/>
            </w:tcBorders>
            <w:shd w:val="clear" w:color="000000" w:fill="FFFFFF"/>
          </w:tcPr>
          <w:p w14:paraId="1FA65981"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867" w:type="dxa"/>
            <w:tcBorders>
              <w:top w:val="nil"/>
              <w:left w:val="nil"/>
              <w:bottom w:val="nil"/>
              <w:right w:val="single" w:sz="12" w:space="0" w:color="000000"/>
            </w:tcBorders>
            <w:shd w:val="clear" w:color="000000" w:fill="FFFFFF"/>
          </w:tcPr>
          <w:p w14:paraId="4BC46A4D"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changed</w:t>
            </w:r>
          </w:p>
        </w:tc>
        <w:tc>
          <w:tcPr>
            <w:tcW w:w="1123" w:type="dxa"/>
            <w:tcBorders>
              <w:top w:val="nil"/>
              <w:left w:val="single" w:sz="12" w:space="0" w:color="000000"/>
              <w:bottom w:val="nil"/>
              <w:right w:val="single" w:sz="2" w:space="0" w:color="000000"/>
            </w:tcBorders>
            <w:shd w:val="clear" w:color="000000" w:fill="FFFFFF"/>
          </w:tcPr>
          <w:p w14:paraId="492EEDE7" w14:textId="77777777" w:rsidR="000923BB" w:rsidRPr="00FB3AC0" w:rsidRDefault="000923BB" w:rsidP="003A385F">
            <w:pPr>
              <w:rPr>
                <w:rFonts w:cs="Arial"/>
                <w:sz w:val="20"/>
                <w:szCs w:val="20"/>
              </w:rPr>
            </w:pPr>
            <w:r w:rsidRPr="00FB3AC0">
              <w:rPr>
                <w:rFonts w:cs="Arial"/>
                <w:sz w:val="20"/>
                <w:szCs w:val="20"/>
              </w:rPr>
              <w:t>3</w:t>
            </w:r>
          </w:p>
        </w:tc>
        <w:tc>
          <w:tcPr>
            <w:tcW w:w="1080" w:type="dxa"/>
            <w:tcBorders>
              <w:top w:val="nil"/>
              <w:left w:val="single" w:sz="2" w:space="0" w:color="000000"/>
              <w:bottom w:val="nil"/>
              <w:right w:val="single" w:sz="2" w:space="0" w:color="000000"/>
            </w:tcBorders>
            <w:shd w:val="clear" w:color="000000" w:fill="FFFFFF"/>
          </w:tcPr>
          <w:p w14:paraId="2869A045" w14:textId="77777777" w:rsidR="000923BB" w:rsidRPr="00FB3AC0" w:rsidRDefault="000923BB" w:rsidP="003A385F">
            <w:pPr>
              <w:rPr>
                <w:rFonts w:cs="Arial"/>
                <w:sz w:val="20"/>
                <w:szCs w:val="20"/>
              </w:rPr>
            </w:pPr>
            <w:r w:rsidRPr="00FB3AC0">
              <w:rPr>
                <w:rFonts w:cs="Arial"/>
                <w:sz w:val="20"/>
                <w:szCs w:val="20"/>
              </w:rPr>
              <w:t>8.3</w:t>
            </w:r>
          </w:p>
        </w:tc>
      </w:tr>
      <w:tr w:rsidR="000923BB" w:rsidRPr="00FB3AC0" w14:paraId="2497950E" w14:textId="77777777" w:rsidTr="003A385F">
        <w:trPr>
          <w:trHeight w:val="273"/>
        </w:trPr>
        <w:tc>
          <w:tcPr>
            <w:tcW w:w="206" w:type="dxa"/>
            <w:tcBorders>
              <w:top w:val="nil"/>
              <w:left w:val="single" w:sz="12" w:space="0" w:color="000000"/>
              <w:bottom w:val="nil"/>
              <w:right w:val="nil"/>
            </w:tcBorders>
            <w:shd w:val="clear" w:color="000000" w:fill="FFFFFF"/>
          </w:tcPr>
          <w:p w14:paraId="76440E8F"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867" w:type="dxa"/>
            <w:tcBorders>
              <w:top w:val="nil"/>
              <w:left w:val="nil"/>
              <w:bottom w:val="nil"/>
              <w:right w:val="single" w:sz="12" w:space="0" w:color="000000"/>
            </w:tcBorders>
            <w:shd w:val="clear" w:color="000000" w:fill="FFFFFF"/>
          </w:tcPr>
          <w:p w14:paraId="2BEF795D"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not changed</w:t>
            </w:r>
          </w:p>
        </w:tc>
        <w:tc>
          <w:tcPr>
            <w:tcW w:w="1123" w:type="dxa"/>
            <w:tcBorders>
              <w:top w:val="nil"/>
              <w:left w:val="single" w:sz="12" w:space="0" w:color="000000"/>
              <w:bottom w:val="nil"/>
              <w:right w:val="single" w:sz="2" w:space="0" w:color="000000"/>
            </w:tcBorders>
            <w:shd w:val="clear" w:color="000000" w:fill="FFFFFF"/>
          </w:tcPr>
          <w:p w14:paraId="1D0FB08A" w14:textId="77777777" w:rsidR="000923BB" w:rsidRPr="00FB3AC0" w:rsidRDefault="000923BB" w:rsidP="003A385F">
            <w:pPr>
              <w:rPr>
                <w:rFonts w:cs="Arial"/>
                <w:sz w:val="20"/>
                <w:szCs w:val="20"/>
              </w:rPr>
            </w:pPr>
            <w:r w:rsidRPr="00FB3AC0">
              <w:rPr>
                <w:rFonts w:cs="Arial"/>
                <w:sz w:val="20"/>
                <w:szCs w:val="20"/>
              </w:rPr>
              <w:t>5</w:t>
            </w:r>
          </w:p>
        </w:tc>
        <w:tc>
          <w:tcPr>
            <w:tcW w:w="1080" w:type="dxa"/>
            <w:tcBorders>
              <w:top w:val="nil"/>
              <w:left w:val="single" w:sz="2" w:space="0" w:color="000000"/>
              <w:bottom w:val="nil"/>
              <w:right w:val="single" w:sz="2" w:space="0" w:color="000000"/>
            </w:tcBorders>
            <w:shd w:val="clear" w:color="000000" w:fill="FFFFFF"/>
          </w:tcPr>
          <w:p w14:paraId="7DF46A1B" w14:textId="77777777" w:rsidR="000923BB" w:rsidRPr="00FB3AC0" w:rsidRDefault="000923BB" w:rsidP="003A385F">
            <w:pPr>
              <w:rPr>
                <w:rFonts w:cs="Arial"/>
                <w:sz w:val="20"/>
                <w:szCs w:val="20"/>
              </w:rPr>
            </w:pPr>
            <w:r w:rsidRPr="00FB3AC0">
              <w:rPr>
                <w:rFonts w:cs="Arial"/>
                <w:sz w:val="20"/>
                <w:szCs w:val="20"/>
              </w:rPr>
              <w:t>13.9</w:t>
            </w:r>
          </w:p>
        </w:tc>
      </w:tr>
      <w:tr w:rsidR="000923BB" w:rsidRPr="00FB3AC0" w14:paraId="6F2EEA39" w14:textId="77777777" w:rsidTr="003A385F">
        <w:trPr>
          <w:trHeight w:val="273"/>
        </w:trPr>
        <w:tc>
          <w:tcPr>
            <w:tcW w:w="206" w:type="dxa"/>
            <w:tcBorders>
              <w:top w:val="nil"/>
              <w:left w:val="single" w:sz="12" w:space="0" w:color="000000"/>
              <w:bottom w:val="nil"/>
              <w:right w:val="nil"/>
            </w:tcBorders>
            <w:shd w:val="clear" w:color="000000" w:fill="FFFFFF"/>
          </w:tcPr>
          <w:p w14:paraId="663E0EAE"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867" w:type="dxa"/>
            <w:tcBorders>
              <w:top w:val="nil"/>
              <w:left w:val="nil"/>
              <w:bottom w:val="nil"/>
              <w:right w:val="single" w:sz="12" w:space="0" w:color="000000"/>
            </w:tcBorders>
            <w:shd w:val="clear" w:color="000000" w:fill="FFFFFF"/>
          </w:tcPr>
          <w:p w14:paraId="75C605D2"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not recorded</w:t>
            </w:r>
          </w:p>
        </w:tc>
        <w:tc>
          <w:tcPr>
            <w:tcW w:w="1123" w:type="dxa"/>
            <w:tcBorders>
              <w:top w:val="nil"/>
              <w:left w:val="single" w:sz="12" w:space="0" w:color="000000"/>
              <w:bottom w:val="nil"/>
              <w:right w:val="single" w:sz="2" w:space="0" w:color="000000"/>
            </w:tcBorders>
            <w:shd w:val="clear" w:color="000000" w:fill="FFFFFF"/>
          </w:tcPr>
          <w:p w14:paraId="48DA369C" w14:textId="77777777" w:rsidR="000923BB" w:rsidRPr="00FB3AC0" w:rsidRDefault="000923BB" w:rsidP="003A385F">
            <w:pPr>
              <w:rPr>
                <w:rFonts w:cs="Arial"/>
                <w:sz w:val="20"/>
                <w:szCs w:val="20"/>
              </w:rPr>
            </w:pPr>
            <w:r w:rsidRPr="00FB3AC0">
              <w:rPr>
                <w:rFonts w:cs="Arial"/>
                <w:sz w:val="20"/>
                <w:szCs w:val="20"/>
              </w:rPr>
              <w:t>28</w:t>
            </w:r>
          </w:p>
        </w:tc>
        <w:tc>
          <w:tcPr>
            <w:tcW w:w="1080" w:type="dxa"/>
            <w:tcBorders>
              <w:top w:val="nil"/>
              <w:left w:val="single" w:sz="2" w:space="0" w:color="000000"/>
              <w:bottom w:val="nil"/>
              <w:right w:val="single" w:sz="2" w:space="0" w:color="000000"/>
            </w:tcBorders>
            <w:shd w:val="clear" w:color="000000" w:fill="FFFFFF"/>
          </w:tcPr>
          <w:p w14:paraId="766DD91B" w14:textId="77777777" w:rsidR="000923BB" w:rsidRPr="00FB3AC0" w:rsidRDefault="000923BB" w:rsidP="003A385F">
            <w:pPr>
              <w:rPr>
                <w:rFonts w:cs="Arial"/>
                <w:sz w:val="20"/>
                <w:szCs w:val="20"/>
              </w:rPr>
            </w:pPr>
            <w:r w:rsidRPr="00FB3AC0">
              <w:rPr>
                <w:rFonts w:cs="Arial"/>
                <w:sz w:val="20"/>
                <w:szCs w:val="20"/>
              </w:rPr>
              <w:t>77.8</w:t>
            </w:r>
          </w:p>
        </w:tc>
      </w:tr>
      <w:tr w:rsidR="000923BB" w:rsidRPr="00FB3AC0" w14:paraId="3401071B" w14:textId="77777777" w:rsidTr="003A385F">
        <w:trPr>
          <w:trHeight w:val="273"/>
        </w:trPr>
        <w:tc>
          <w:tcPr>
            <w:tcW w:w="206" w:type="dxa"/>
            <w:tcBorders>
              <w:top w:val="nil"/>
              <w:left w:val="single" w:sz="12" w:space="0" w:color="000000"/>
              <w:bottom w:val="single" w:sz="12" w:space="0" w:color="000000"/>
              <w:right w:val="nil"/>
            </w:tcBorders>
            <w:shd w:val="clear" w:color="000000" w:fill="FFFFFF"/>
          </w:tcPr>
          <w:p w14:paraId="75DC9200"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867" w:type="dxa"/>
            <w:tcBorders>
              <w:top w:val="nil"/>
              <w:left w:val="nil"/>
              <w:bottom w:val="single" w:sz="12" w:space="0" w:color="000000"/>
              <w:right w:val="single" w:sz="12" w:space="0" w:color="000000"/>
            </w:tcBorders>
            <w:shd w:val="clear" w:color="000000" w:fill="FFFFFF"/>
          </w:tcPr>
          <w:p w14:paraId="29DA0F99"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Total</w:t>
            </w:r>
          </w:p>
        </w:tc>
        <w:tc>
          <w:tcPr>
            <w:tcW w:w="1123" w:type="dxa"/>
            <w:tcBorders>
              <w:top w:val="nil"/>
              <w:left w:val="single" w:sz="12" w:space="0" w:color="000000"/>
              <w:bottom w:val="single" w:sz="12" w:space="0" w:color="000000"/>
              <w:right w:val="single" w:sz="2" w:space="0" w:color="000000"/>
            </w:tcBorders>
            <w:shd w:val="clear" w:color="000000" w:fill="FFFFFF"/>
          </w:tcPr>
          <w:p w14:paraId="2D953554" w14:textId="77777777" w:rsidR="000923BB" w:rsidRPr="00FB3AC0" w:rsidRDefault="000923BB" w:rsidP="003A385F">
            <w:pPr>
              <w:rPr>
                <w:rFonts w:cs="Arial"/>
                <w:sz w:val="20"/>
                <w:szCs w:val="20"/>
              </w:rPr>
            </w:pPr>
            <w:r w:rsidRPr="00FB3AC0">
              <w:rPr>
                <w:rFonts w:cs="Arial"/>
                <w:sz w:val="20"/>
                <w:szCs w:val="20"/>
              </w:rPr>
              <w:t>36</w:t>
            </w:r>
          </w:p>
        </w:tc>
        <w:tc>
          <w:tcPr>
            <w:tcW w:w="1080" w:type="dxa"/>
            <w:tcBorders>
              <w:top w:val="nil"/>
              <w:left w:val="single" w:sz="2" w:space="0" w:color="000000"/>
              <w:bottom w:val="single" w:sz="12" w:space="0" w:color="000000"/>
              <w:right w:val="single" w:sz="2" w:space="0" w:color="000000"/>
            </w:tcBorders>
            <w:shd w:val="clear" w:color="000000" w:fill="FFFFFF"/>
          </w:tcPr>
          <w:p w14:paraId="502B9BB3" w14:textId="77777777" w:rsidR="000923BB" w:rsidRPr="00FB3AC0" w:rsidRDefault="000923BB" w:rsidP="003A385F">
            <w:pPr>
              <w:rPr>
                <w:rFonts w:cs="Arial"/>
                <w:sz w:val="20"/>
                <w:szCs w:val="20"/>
              </w:rPr>
            </w:pPr>
            <w:r w:rsidRPr="00FB3AC0">
              <w:rPr>
                <w:rFonts w:cs="Arial"/>
                <w:sz w:val="20"/>
                <w:szCs w:val="20"/>
              </w:rPr>
              <w:t>100.0</w:t>
            </w:r>
          </w:p>
        </w:tc>
      </w:tr>
    </w:tbl>
    <w:p w14:paraId="267A71EC" w14:textId="77777777" w:rsidR="000923BB" w:rsidRPr="00FB3AC0" w:rsidRDefault="000923BB" w:rsidP="000923BB">
      <w:pPr>
        <w:rPr>
          <w:rFonts w:cs="Arial"/>
          <w:b/>
          <w:sz w:val="28"/>
          <w:szCs w:val="28"/>
        </w:rPr>
      </w:pPr>
    </w:p>
    <w:p w14:paraId="42713FC7" w14:textId="77777777" w:rsidR="004932C5" w:rsidRDefault="004932C5" w:rsidP="000923BB">
      <w:pPr>
        <w:tabs>
          <w:tab w:val="center" w:pos="3700"/>
        </w:tabs>
        <w:autoSpaceDE w:val="0"/>
        <w:autoSpaceDN w:val="0"/>
        <w:adjustRightInd w:val="0"/>
        <w:rPr>
          <w:rFonts w:cs="Arial"/>
          <w:b/>
          <w:bCs/>
          <w:color w:val="000000"/>
          <w:sz w:val="18"/>
          <w:szCs w:val="18"/>
          <w:lang w:val="en-US"/>
        </w:rPr>
      </w:pPr>
    </w:p>
    <w:p w14:paraId="0DA8955B" w14:textId="77777777" w:rsidR="004932C5" w:rsidRDefault="004932C5" w:rsidP="000923BB">
      <w:pPr>
        <w:tabs>
          <w:tab w:val="center" w:pos="3700"/>
        </w:tabs>
        <w:autoSpaceDE w:val="0"/>
        <w:autoSpaceDN w:val="0"/>
        <w:adjustRightInd w:val="0"/>
        <w:rPr>
          <w:rFonts w:cs="Arial"/>
          <w:b/>
          <w:bCs/>
          <w:color w:val="000000"/>
          <w:sz w:val="18"/>
          <w:szCs w:val="18"/>
          <w:lang w:val="en-US"/>
        </w:rPr>
      </w:pPr>
    </w:p>
    <w:p w14:paraId="1776724B" w14:textId="77777777" w:rsidR="000923BB" w:rsidRPr="00FB3AC0" w:rsidRDefault="000923BB" w:rsidP="000923BB">
      <w:pPr>
        <w:tabs>
          <w:tab w:val="center" w:pos="3700"/>
        </w:tabs>
        <w:autoSpaceDE w:val="0"/>
        <w:autoSpaceDN w:val="0"/>
        <w:adjustRightInd w:val="0"/>
        <w:rPr>
          <w:rFonts w:cs="Arial"/>
          <w:b/>
          <w:bCs/>
          <w:color w:val="000000"/>
          <w:sz w:val="18"/>
          <w:szCs w:val="18"/>
        </w:rPr>
      </w:pPr>
      <w:r w:rsidRPr="00FB3AC0">
        <w:rPr>
          <w:rFonts w:cs="Arial"/>
          <w:b/>
          <w:bCs/>
          <w:color w:val="000000"/>
          <w:sz w:val="18"/>
          <w:szCs w:val="18"/>
          <w:lang w:val="en-US"/>
        </w:rPr>
        <w:lastRenderedPageBreak/>
        <w:t>Sputum colour</w:t>
      </w:r>
    </w:p>
    <w:p w14:paraId="360B5D7F" w14:textId="77777777" w:rsidR="000923BB" w:rsidRPr="00FB3AC0" w:rsidRDefault="000923BB" w:rsidP="000923BB">
      <w:pPr>
        <w:tabs>
          <w:tab w:val="center" w:pos="2534"/>
        </w:tabs>
        <w:autoSpaceDE w:val="0"/>
        <w:autoSpaceDN w:val="0"/>
        <w:adjustRightInd w:val="0"/>
        <w:rPr>
          <w:rFonts w:cs="Arial"/>
          <w:b/>
          <w:bCs/>
          <w:color w:val="000000"/>
          <w:sz w:val="18"/>
          <w:szCs w:val="18"/>
        </w:rPr>
      </w:pPr>
    </w:p>
    <w:tbl>
      <w:tblPr>
        <w:tblW w:w="0" w:type="auto"/>
        <w:tblInd w:w="454" w:type="dxa"/>
        <w:tblLayout w:type="fixed"/>
        <w:tblCellMar>
          <w:left w:w="93" w:type="dxa"/>
          <w:right w:w="93" w:type="dxa"/>
        </w:tblCellMar>
        <w:tblLook w:val="0000" w:firstRow="0" w:lastRow="0" w:firstColumn="0" w:lastColumn="0" w:noHBand="0" w:noVBand="0"/>
      </w:tblPr>
      <w:tblGrid>
        <w:gridCol w:w="206"/>
        <w:gridCol w:w="2386"/>
        <w:gridCol w:w="1123"/>
        <w:gridCol w:w="1080"/>
      </w:tblGrid>
      <w:tr w:rsidR="000923BB" w:rsidRPr="00FB3AC0" w14:paraId="51FEAF20" w14:textId="77777777" w:rsidTr="005332D1">
        <w:trPr>
          <w:trHeight w:val="360"/>
        </w:trPr>
        <w:tc>
          <w:tcPr>
            <w:tcW w:w="259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6D0E9817"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63EDAB15" w14:textId="77777777" w:rsidR="000923BB" w:rsidRPr="00FB3AC0" w:rsidRDefault="000923BB" w:rsidP="003A385F">
            <w:pPr>
              <w:autoSpaceDE w:val="0"/>
              <w:autoSpaceDN w:val="0"/>
              <w:adjustRightInd w:val="0"/>
              <w:jc w:val="center"/>
              <w:rPr>
                <w:rFonts w:cs="Arial"/>
                <w:color w:val="000000"/>
                <w:sz w:val="18"/>
                <w:szCs w:val="18"/>
              </w:rPr>
            </w:pPr>
            <w:r w:rsidRPr="00FB3AC0">
              <w:rPr>
                <w:rFonts w:cs="Arial"/>
                <w:color w:val="000000"/>
                <w:sz w:val="18"/>
                <w:szCs w:val="18"/>
              </w:rPr>
              <w:t>n</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2FC920DE" w14:textId="77777777" w:rsidR="000923BB" w:rsidRPr="00FB3AC0" w:rsidRDefault="000923BB" w:rsidP="003A385F">
            <w:pPr>
              <w:autoSpaceDE w:val="0"/>
              <w:autoSpaceDN w:val="0"/>
              <w:adjustRightInd w:val="0"/>
              <w:jc w:val="center"/>
              <w:rPr>
                <w:rFonts w:cs="Arial"/>
                <w:color w:val="000000"/>
                <w:sz w:val="18"/>
                <w:szCs w:val="18"/>
              </w:rPr>
            </w:pPr>
            <w:r w:rsidRPr="00FB3AC0">
              <w:rPr>
                <w:rFonts w:cs="Arial"/>
                <w:color w:val="000000"/>
                <w:sz w:val="18"/>
                <w:szCs w:val="18"/>
              </w:rPr>
              <w:t>Percent</w:t>
            </w:r>
          </w:p>
        </w:tc>
      </w:tr>
      <w:tr w:rsidR="000923BB" w:rsidRPr="00FB3AC0" w14:paraId="162886E9" w14:textId="77777777" w:rsidTr="005332D1">
        <w:trPr>
          <w:trHeight w:val="273"/>
        </w:trPr>
        <w:tc>
          <w:tcPr>
            <w:tcW w:w="206" w:type="dxa"/>
            <w:vMerge w:val="restart"/>
            <w:tcBorders>
              <w:top w:val="single" w:sz="12" w:space="0" w:color="000000"/>
              <w:left w:val="single" w:sz="12" w:space="0" w:color="000000"/>
              <w:bottom w:val="nil"/>
              <w:right w:val="nil"/>
            </w:tcBorders>
            <w:shd w:val="clear" w:color="000000" w:fill="FFFFFF"/>
          </w:tcPr>
          <w:p w14:paraId="32914D98"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2386" w:type="dxa"/>
            <w:tcBorders>
              <w:top w:val="single" w:sz="12" w:space="0" w:color="000000"/>
              <w:left w:val="nil"/>
              <w:bottom w:val="nil"/>
              <w:right w:val="single" w:sz="12" w:space="0" w:color="000000"/>
            </w:tcBorders>
            <w:shd w:val="clear" w:color="000000" w:fill="FFFFFF"/>
          </w:tcPr>
          <w:p w14:paraId="0B5A9A70"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no sputum</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14:paraId="2DE3627A"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9</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0745A71C"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25.0</w:t>
            </w:r>
          </w:p>
        </w:tc>
      </w:tr>
      <w:tr w:rsidR="000923BB" w:rsidRPr="00FB3AC0" w14:paraId="5E09CCD8" w14:textId="77777777" w:rsidTr="005332D1">
        <w:trPr>
          <w:trHeight w:val="273"/>
        </w:trPr>
        <w:tc>
          <w:tcPr>
            <w:tcW w:w="206" w:type="dxa"/>
            <w:vMerge w:val="restart"/>
            <w:tcBorders>
              <w:top w:val="nil"/>
              <w:left w:val="single" w:sz="12" w:space="0" w:color="000000"/>
              <w:bottom w:val="nil"/>
              <w:right w:val="nil"/>
            </w:tcBorders>
            <w:shd w:val="clear" w:color="000000" w:fill="FFFFFF"/>
          </w:tcPr>
          <w:p w14:paraId="2BCC52CA"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2386" w:type="dxa"/>
            <w:tcBorders>
              <w:top w:val="nil"/>
              <w:left w:val="nil"/>
              <w:bottom w:val="nil"/>
              <w:right w:val="single" w:sz="12" w:space="0" w:color="000000"/>
            </w:tcBorders>
            <w:shd w:val="clear" w:color="000000" w:fill="FFFFFF"/>
          </w:tcPr>
          <w:p w14:paraId="5890E76C"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not recorded</w:t>
            </w:r>
          </w:p>
        </w:tc>
        <w:tc>
          <w:tcPr>
            <w:tcW w:w="1123" w:type="dxa"/>
            <w:tcBorders>
              <w:top w:val="nil"/>
              <w:left w:val="single" w:sz="12" w:space="0" w:color="000000"/>
              <w:bottom w:val="nil"/>
              <w:right w:val="single" w:sz="2" w:space="0" w:color="000000"/>
            </w:tcBorders>
            <w:shd w:val="clear" w:color="000000" w:fill="FFFFFF"/>
            <w:vAlign w:val="center"/>
          </w:tcPr>
          <w:p w14:paraId="4A0B047B"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6</w:t>
            </w:r>
          </w:p>
        </w:tc>
        <w:tc>
          <w:tcPr>
            <w:tcW w:w="1080" w:type="dxa"/>
            <w:tcBorders>
              <w:top w:val="nil"/>
              <w:left w:val="single" w:sz="2" w:space="0" w:color="000000"/>
              <w:bottom w:val="nil"/>
              <w:right w:val="single" w:sz="2" w:space="0" w:color="000000"/>
            </w:tcBorders>
            <w:shd w:val="clear" w:color="000000" w:fill="FFFFFF"/>
            <w:vAlign w:val="center"/>
          </w:tcPr>
          <w:p w14:paraId="23B7D241"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16.7</w:t>
            </w:r>
          </w:p>
        </w:tc>
      </w:tr>
      <w:tr w:rsidR="000923BB" w:rsidRPr="00FB3AC0" w14:paraId="1913DDFF" w14:textId="77777777" w:rsidTr="005332D1">
        <w:trPr>
          <w:trHeight w:val="273"/>
        </w:trPr>
        <w:tc>
          <w:tcPr>
            <w:tcW w:w="206" w:type="dxa"/>
            <w:vMerge w:val="restart"/>
            <w:tcBorders>
              <w:top w:val="nil"/>
              <w:left w:val="single" w:sz="12" w:space="0" w:color="000000"/>
              <w:bottom w:val="nil"/>
              <w:right w:val="nil"/>
            </w:tcBorders>
            <w:shd w:val="clear" w:color="000000" w:fill="FFFFFF"/>
          </w:tcPr>
          <w:p w14:paraId="39047461"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2386" w:type="dxa"/>
            <w:tcBorders>
              <w:top w:val="nil"/>
              <w:left w:val="nil"/>
              <w:bottom w:val="nil"/>
              <w:right w:val="single" w:sz="12" w:space="0" w:color="000000"/>
            </w:tcBorders>
            <w:shd w:val="clear" w:color="000000" w:fill="FFFFFF"/>
          </w:tcPr>
          <w:p w14:paraId="7AF17504"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white or grey</w:t>
            </w:r>
          </w:p>
        </w:tc>
        <w:tc>
          <w:tcPr>
            <w:tcW w:w="1123" w:type="dxa"/>
            <w:tcBorders>
              <w:top w:val="nil"/>
              <w:left w:val="single" w:sz="12" w:space="0" w:color="000000"/>
              <w:bottom w:val="nil"/>
              <w:right w:val="single" w:sz="2" w:space="0" w:color="000000"/>
            </w:tcBorders>
            <w:shd w:val="clear" w:color="000000" w:fill="FFFFFF"/>
            <w:vAlign w:val="center"/>
          </w:tcPr>
          <w:p w14:paraId="1C231B1C"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10</w:t>
            </w:r>
          </w:p>
        </w:tc>
        <w:tc>
          <w:tcPr>
            <w:tcW w:w="1080" w:type="dxa"/>
            <w:tcBorders>
              <w:top w:val="nil"/>
              <w:left w:val="single" w:sz="2" w:space="0" w:color="000000"/>
              <w:bottom w:val="nil"/>
              <w:right w:val="single" w:sz="2" w:space="0" w:color="000000"/>
            </w:tcBorders>
            <w:shd w:val="clear" w:color="000000" w:fill="FFFFFF"/>
            <w:vAlign w:val="center"/>
          </w:tcPr>
          <w:p w14:paraId="09D3B001"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27.8</w:t>
            </w:r>
          </w:p>
        </w:tc>
      </w:tr>
      <w:tr w:rsidR="000923BB" w:rsidRPr="00FB3AC0" w14:paraId="777E02E1" w14:textId="77777777" w:rsidTr="005332D1">
        <w:trPr>
          <w:trHeight w:val="273"/>
        </w:trPr>
        <w:tc>
          <w:tcPr>
            <w:tcW w:w="206" w:type="dxa"/>
            <w:vMerge w:val="restart"/>
            <w:tcBorders>
              <w:top w:val="nil"/>
              <w:left w:val="single" w:sz="12" w:space="0" w:color="000000"/>
              <w:bottom w:val="nil"/>
              <w:right w:val="nil"/>
            </w:tcBorders>
            <w:shd w:val="clear" w:color="000000" w:fill="FFFFFF"/>
          </w:tcPr>
          <w:p w14:paraId="2A384BFE"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2386" w:type="dxa"/>
            <w:tcBorders>
              <w:top w:val="nil"/>
              <w:left w:val="nil"/>
              <w:bottom w:val="nil"/>
              <w:right w:val="single" w:sz="12" w:space="0" w:color="000000"/>
            </w:tcBorders>
            <w:shd w:val="clear" w:color="000000" w:fill="FFFFFF"/>
          </w:tcPr>
          <w:p w14:paraId="4CC80645"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yellow or green</w:t>
            </w:r>
          </w:p>
        </w:tc>
        <w:tc>
          <w:tcPr>
            <w:tcW w:w="1123" w:type="dxa"/>
            <w:tcBorders>
              <w:top w:val="nil"/>
              <w:left w:val="single" w:sz="12" w:space="0" w:color="000000"/>
              <w:bottom w:val="nil"/>
              <w:right w:val="single" w:sz="2" w:space="0" w:color="000000"/>
            </w:tcBorders>
            <w:shd w:val="clear" w:color="000000" w:fill="FFFFFF"/>
            <w:vAlign w:val="center"/>
          </w:tcPr>
          <w:p w14:paraId="30A56B58"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11</w:t>
            </w:r>
          </w:p>
        </w:tc>
        <w:tc>
          <w:tcPr>
            <w:tcW w:w="1080" w:type="dxa"/>
            <w:tcBorders>
              <w:top w:val="nil"/>
              <w:left w:val="single" w:sz="2" w:space="0" w:color="000000"/>
              <w:bottom w:val="nil"/>
              <w:right w:val="single" w:sz="2" w:space="0" w:color="000000"/>
            </w:tcBorders>
            <w:shd w:val="clear" w:color="000000" w:fill="FFFFFF"/>
            <w:vAlign w:val="center"/>
          </w:tcPr>
          <w:p w14:paraId="5513E67C"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30.6</w:t>
            </w:r>
          </w:p>
        </w:tc>
      </w:tr>
      <w:tr w:rsidR="000923BB" w:rsidRPr="00FB3AC0" w14:paraId="2E8D5014" w14:textId="77777777" w:rsidTr="005332D1">
        <w:trPr>
          <w:trHeight w:val="273"/>
        </w:trPr>
        <w:tc>
          <w:tcPr>
            <w:tcW w:w="206" w:type="dxa"/>
            <w:tcBorders>
              <w:top w:val="nil"/>
              <w:left w:val="single" w:sz="12" w:space="0" w:color="000000"/>
              <w:bottom w:val="single" w:sz="12" w:space="0" w:color="000000"/>
              <w:right w:val="nil"/>
            </w:tcBorders>
            <w:shd w:val="clear" w:color="000000" w:fill="FFFFFF"/>
          </w:tcPr>
          <w:p w14:paraId="384157CB"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2386" w:type="dxa"/>
            <w:tcBorders>
              <w:top w:val="nil"/>
              <w:left w:val="nil"/>
              <w:bottom w:val="single" w:sz="12" w:space="0" w:color="000000"/>
              <w:right w:val="single" w:sz="12" w:space="0" w:color="000000"/>
            </w:tcBorders>
            <w:shd w:val="clear" w:color="000000" w:fill="FFFFFF"/>
          </w:tcPr>
          <w:p w14:paraId="3DD1C982"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14:paraId="342C53FF"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36</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239F3A53"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100.0</w:t>
            </w:r>
          </w:p>
        </w:tc>
      </w:tr>
    </w:tbl>
    <w:p w14:paraId="7E45E581" w14:textId="77777777" w:rsidR="000923BB" w:rsidRPr="00FB3AC0" w:rsidRDefault="000923BB" w:rsidP="000923BB">
      <w:pPr>
        <w:rPr>
          <w:rFonts w:cs="Arial"/>
          <w:b/>
          <w:sz w:val="18"/>
          <w:szCs w:val="18"/>
        </w:rPr>
      </w:pPr>
    </w:p>
    <w:p w14:paraId="5A8288B0" w14:textId="77777777" w:rsidR="000923BB" w:rsidRPr="00FB3AC0" w:rsidRDefault="000923BB" w:rsidP="000923BB">
      <w:pPr>
        <w:tabs>
          <w:tab w:val="center" w:pos="3312"/>
        </w:tabs>
        <w:autoSpaceDE w:val="0"/>
        <w:autoSpaceDN w:val="0"/>
        <w:adjustRightInd w:val="0"/>
        <w:rPr>
          <w:rFonts w:cs="Arial"/>
          <w:b/>
          <w:bCs/>
          <w:color w:val="000000"/>
          <w:sz w:val="18"/>
          <w:szCs w:val="18"/>
          <w:lang w:val="en-US"/>
        </w:rPr>
      </w:pPr>
      <w:r w:rsidRPr="00FB3AC0">
        <w:rPr>
          <w:rFonts w:cs="Arial"/>
          <w:b/>
          <w:bCs/>
          <w:color w:val="000000"/>
          <w:sz w:val="18"/>
          <w:szCs w:val="18"/>
          <w:lang w:val="en-US"/>
        </w:rPr>
        <w:t>Was the dyspnoea rating recorded?</w:t>
      </w:r>
    </w:p>
    <w:p w14:paraId="5CC2A778" w14:textId="77777777" w:rsidR="000923BB" w:rsidRPr="00FB3AC0" w:rsidRDefault="000923BB" w:rsidP="000923BB">
      <w:pPr>
        <w:tabs>
          <w:tab w:val="center" w:pos="3312"/>
        </w:tabs>
        <w:autoSpaceDE w:val="0"/>
        <w:autoSpaceDN w:val="0"/>
        <w:adjustRightInd w:val="0"/>
        <w:rPr>
          <w:rFonts w:cs="Arial"/>
          <w:b/>
          <w:bCs/>
          <w:color w:val="000000"/>
          <w:sz w:val="18"/>
          <w:szCs w:val="18"/>
          <w:lang w:val="en-US"/>
        </w:rPr>
      </w:pPr>
    </w:p>
    <w:tbl>
      <w:tblPr>
        <w:tblW w:w="0" w:type="auto"/>
        <w:tblInd w:w="522" w:type="dxa"/>
        <w:tblLayout w:type="fixed"/>
        <w:tblCellMar>
          <w:left w:w="93" w:type="dxa"/>
          <w:right w:w="93" w:type="dxa"/>
        </w:tblCellMar>
        <w:tblLook w:val="0000" w:firstRow="0" w:lastRow="0" w:firstColumn="0" w:lastColumn="0" w:noHBand="0" w:noVBand="0"/>
      </w:tblPr>
      <w:tblGrid>
        <w:gridCol w:w="206"/>
        <w:gridCol w:w="1291"/>
        <w:gridCol w:w="1123"/>
        <w:gridCol w:w="1080"/>
      </w:tblGrid>
      <w:tr w:rsidR="000923BB" w:rsidRPr="00FB3AC0" w14:paraId="66716334" w14:textId="77777777" w:rsidTr="005332D1">
        <w:trPr>
          <w:trHeight w:val="504"/>
        </w:trPr>
        <w:tc>
          <w:tcPr>
            <w:tcW w:w="1497"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329F9723"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2F75ECD0"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n</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5A0AABE5"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Percent</w:t>
            </w:r>
          </w:p>
        </w:tc>
      </w:tr>
      <w:tr w:rsidR="000923BB" w:rsidRPr="00FB3AC0" w14:paraId="46432EFA" w14:textId="77777777" w:rsidTr="005332D1">
        <w:trPr>
          <w:trHeight w:val="273"/>
        </w:trPr>
        <w:tc>
          <w:tcPr>
            <w:tcW w:w="206" w:type="dxa"/>
            <w:tcBorders>
              <w:top w:val="single" w:sz="12" w:space="0" w:color="000000"/>
              <w:left w:val="single" w:sz="12" w:space="0" w:color="000000"/>
              <w:bottom w:val="nil"/>
              <w:right w:val="nil"/>
            </w:tcBorders>
            <w:shd w:val="clear" w:color="000000" w:fill="FFFFFF"/>
          </w:tcPr>
          <w:p w14:paraId="26F7BB20" w14:textId="77777777" w:rsidR="000923BB" w:rsidRPr="00FB3AC0" w:rsidRDefault="000923BB" w:rsidP="003A385F">
            <w:pPr>
              <w:autoSpaceDE w:val="0"/>
              <w:autoSpaceDN w:val="0"/>
              <w:adjustRightInd w:val="0"/>
              <w:rPr>
                <w:rFonts w:cs="Arial"/>
                <w:color w:val="000000"/>
                <w:sz w:val="18"/>
                <w:szCs w:val="18"/>
                <w:lang w:val="en-US"/>
              </w:rPr>
            </w:pPr>
          </w:p>
        </w:tc>
        <w:tc>
          <w:tcPr>
            <w:tcW w:w="1291" w:type="dxa"/>
            <w:tcBorders>
              <w:top w:val="single" w:sz="12" w:space="0" w:color="000000"/>
              <w:left w:val="nil"/>
              <w:bottom w:val="nil"/>
              <w:right w:val="single" w:sz="12" w:space="0" w:color="000000"/>
            </w:tcBorders>
            <w:shd w:val="clear" w:color="000000" w:fill="FFFFFF"/>
          </w:tcPr>
          <w:p w14:paraId="08D2906C"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no</w:t>
            </w:r>
          </w:p>
        </w:tc>
        <w:tc>
          <w:tcPr>
            <w:tcW w:w="1123" w:type="dxa"/>
            <w:tcBorders>
              <w:top w:val="single" w:sz="12" w:space="0" w:color="000000"/>
              <w:left w:val="single" w:sz="12" w:space="0" w:color="000000"/>
              <w:bottom w:val="nil"/>
              <w:right w:val="single" w:sz="2" w:space="0" w:color="000000"/>
            </w:tcBorders>
            <w:shd w:val="clear" w:color="000000" w:fill="FFFFFF"/>
          </w:tcPr>
          <w:p w14:paraId="10FB31E4" w14:textId="77777777" w:rsidR="000923BB" w:rsidRPr="00FB3AC0" w:rsidRDefault="000923BB" w:rsidP="003A385F">
            <w:pPr>
              <w:rPr>
                <w:rFonts w:cs="Arial"/>
                <w:sz w:val="20"/>
                <w:szCs w:val="20"/>
              </w:rPr>
            </w:pPr>
            <w:r w:rsidRPr="00FB3AC0">
              <w:rPr>
                <w:rFonts w:cs="Arial"/>
                <w:sz w:val="20"/>
                <w:szCs w:val="20"/>
              </w:rPr>
              <w:t>12</w:t>
            </w:r>
          </w:p>
        </w:tc>
        <w:tc>
          <w:tcPr>
            <w:tcW w:w="1080" w:type="dxa"/>
            <w:tcBorders>
              <w:top w:val="single" w:sz="12" w:space="0" w:color="000000"/>
              <w:left w:val="single" w:sz="2" w:space="0" w:color="000000"/>
              <w:bottom w:val="nil"/>
              <w:right w:val="single" w:sz="2" w:space="0" w:color="000000"/>
            </w:tcBorders>
            <w:shd w:val="clear" w:color="000000" w:fill="FFFFFF"/>
          </w:tcPr>
          <w:p w14:paraId="0FB5A337" w14:textId="77777777" w:rsidR="000923BB" w:rsidRPr="00FB3AC0" w:rsidRDefault="000923BB" w:rsidP="003A385F">
            <w:pPr>
              <w:rPr>
                <w:rFonts w:cs="Arial"/>
                <w:sz w:val="20"/>
                <w:szCs w:val="20"/>
              </w:rPr>
            </w:pPr>
            <w:r w:rsidRPr="00FB3AC0">
              <w:rPr>
                <w:rFonts w:cs="Arial"/>
                <w:sz w:val="20"/>
                <w:szCs w:val="20"/>
              </w:rPr>
              <w:t>33.3</w:t>
            </w:r>
          </w:p>
        </w:tc>
      </w:tr>
      <w:tr w:rsidR="000923BB" w:rsidRPr="00FB3AC0" w14:paraId="0A85122F" w14:textId="77777777" w:rsidTr="005332D1">
        <w:trPr>
          <w:trHeight w:val="273"/>
        </w:trPr>
        <w:tc>
          <w:tcPr>
            <w:tcW w:w="206" w:type="dxa"/>
            <w:tcBorders>
              <w:top w:val="nil"/>
              <w:left w:val="single" w:sz="12" w:space="0" w:color="000000"/>
              <w:bottom w:val="nil"/>
              <w:right w:val="nil"/>
            </w:tcBorders>
            <w:shd w:val="clear" w:color="000000" w:fill="FFFFFF"/>
          </w:tcPr>
          <w:p w14:paraId="1A6DF6ED"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291" w:type="dxa"/>
            <w:tcBorders>
              <w:top w:val="nil"/>
              <w:left w:val="nil"/>
              <w:bottom w:val="nil"/>
              <w:right w:val="single" w:sz="12" w:space="0" w:color="000000"/>
            </w:tcBorders>
            <w:shd w:val="clear" w:color="000000" w:fill="FFFFFF"/>
          </w:tcPr>
          <w:p w14:paraId="07A6AE3B"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yes</w:t>
            </w:r>
          </w:p>
        </w:tc>
        <w:tc>
          <w:tcPr>
            <w:tcW w:w="1123" w:type="dxa"/>
            <w:tcBorders>
              <w:top w:val="nil"/>
              <w:left w:val="single" w:sz="12" w:space="0" w:color="000000"/>
              <w:bottom w:val="nil"/>
              <w:right w:val="single" w:sz="2" w:space="0" w:color="000000"/>
            </w:tcBorders>
            <w:shd w:val="clear" w:color="000000" w:fill="FFFFFF"/>
          </w:tcPr>
          <w:p w14:paraId="2076AF87" w14:textId="77777777" w:rsidR="000923BB" w:rsidRPr="00FB3AC0" w:rsidRDefault="000923BB" w:rsidP="003A385F">
            <w:pPr>
              <w:rPr>
                <w:rFonts w:cs="Arial"/>
                <w:sz w:val="20"/>
                <w:szCs w:val="20"/>
              </w:rPr>
            </w:pPr>
            <w:r w:rsidRPr="00FB3AC0">
              <w:rPr>
                <w:rFonts w:cs="Arial"/>
                <w:sz w:val="20"/>
                <w:szCs w:val="20"/>
              </w:rPr>
              <w:t>24</w:t>
            </w:r>
          </w:p>
        </w:tc>
        <w:tc>
          <w:tcPr>
            <w:tcW w:w="1080" w:type="dxa"/>
            <w:tcBorders>
              <w:top w:val="nil"/>
              <w:left w:val="single" w:sz="2" w:space="0" w:color="000000"/>
              <w:bottom w:val="nil"/>
              <w:right w:val="single" w:sz="2" w:space="0" w:color="000000"/>
            </w:tcBorders>
            <w:shd w:val="clear" w:color="000000" w:fill="FFFFFF"/>
          </w:tcPr>
          <w:p w14:paraId="04389A53" w14:textId="77777777" w:rsidR="000923BB" w:rsidRPr="00FB3AC0" w:rsidRDefault="000923BB" w:rsidP="003A385F">
            <w:pPr>
              <w:rPr>
                <w:rFonts w:cs="Arial"/>
                <w:sz w:val="20"/>
                <w:szCs w:val="20"/>
              </w:rPr>
            </w:pPr>
            <w:r w:rsidRPr="00FB3AC0">
              <w:rPr>
                <w:rFonts w:cs="Arial"/>
                <w:sz w:val="20"/>
                <w:szCs w:val="20"/>
              </w:rPr>
              <w:t>66.7</w:t>
            </w:r>
          </w:p>
        </w:tc>
      </w:tr>
      <w:tr w:rsidR="000923BB" w:rsidRPr="00FB3AC0" w14:paraId="6881315B" w14:textId="77777777" w:rsidTr="005332D1">
        <w:trPr>
          <w:trHeight w:val="273"/>
        </w:trPr>
        <w:tc>
          <w:tcPr>
            <w:tcW w:w="206" w:type="dxa"/>
            <w:tcBorders>
              <w:top w:val="nil"/>
              <w:left w:val="single" w:sz="12" w:space="0" w:color="000000"/>
              <w:bottom w:val="single" w:sz="12" w:space="0" w:color="000000"/>
              <w:right w:val="nil"/>
            </w:tcBorders>
            <w:shd w:val="clear" w:color="000000" w:fill="FFFFFF"/>
          </w:tcPr>
          <w:p w14:paraId="2E17591C"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291" w:type="dxa"/>
            <w:tcBorders>
              <w:top w:val="nil"/>
              <w:left w:val="nil"/>
              <w:bottom w:val="single" w:sz="12" w:space="0" w:color="000000"/>
              <w:right w:val="single" w:sz="12" w:space="0" w:color="000000"/>
            </w:tcBorders>
            <w:shd w:val="clear" w:color="000000" w:fill="FFFFFF"/>
          </w:tcPr>
          <w:p w14:paraId="50C25E50"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Total</w:t>
            </w:r>
          </w:p>
        </w:tc>
        <w:tc>
          <w:tcPr>
            <w:tcW w:w="1123" w:type="dxa"/>
            <w:tcBorders>
              <w:top w:val="nil"/>
              <w:left w:val="single" w:sz="12" w:space="0" w:color="000000"/>
              <w:bottom w:val="single" w:sz="12" w:space="0" w:color="000000"/>
              <w:right w:val="single" w:sz="2" w:space="0" w:color="000000"/>
            </w:tcBorders>
            <w:shd w:val="clear" w:color="000000" w:fill="FFFFFF"/>
          </w:tcPr>
          <w:p w14:paraId="4BA9066B" w14:textId="77777777" w:rsidR="000923BB" w:rsidRPr="00FB3AC0" w:rsidRDefault="000923BB" w:rsidP="003A385F">
            <w:pPr>
              <w:rPr>
                <w:rFonts w:cs="Arial"/>
                <w:sz w:val="20"/>
                <w:szCs w:val="20"/>
              </w:rPr>
            </w:pPr>
            <w:r w:rsidRPr="00FB3AC0">
              <w:rPr>
                <w:rFonts w:cs="Arial"/>
                <w:sz w:val="20"/>
                <w:szCs w:val="20"/>
              </w:rPr>
              <w:t>36</w:t>
            </w:r>
          </w:p>
        </w:tc>
        <w:tc>
          <w:tcPr>
            <w:tcW w:w="1080" w:type="dxa"/>
            <w:tcBorders>
              <w:top w:val="nil"/>
              <w:left w:val="single" w:sz="2" w:space="0" w:color="000000"/>
              <w:bottom w:val="single" w:sz="12" w:space="0" w:color="000000"/>
              <w:right w:val="single" w:sz="2" w:space="0" w:color="000000"/>
            </w:tcBorders>
            <w:shd w:val="clear" w:color="000000" w:fill="FFFFFF"/>
          </w:tcPr>
          <w:p w14:paraId="2E680B2B" w14:textId="77777777" w:rsidR="000923BB" w:rsidRPr="00FB3AC0" w:rsidRDefault="000923BB" w:rsidP="003A385F">
            <w:pPr>
              <w:rPr>
                <w:rFonts w:cs="Arial"/>
                <w:sz w:val="20"/>
                <w:szCs w:val="20"/>
              </w:rPr>
            </w:pPr>
            <w:r w:rsidRPr="00FB3AC0">
              <w:rPr>
                <w:rFonts w:cs="Arial"/>
                <w:sz w:val="20"/>
                <w:szCs w:val="20"/>
              </w:rPr>
              <w:t>100.0</w:t>
            </w:r>
          </w:p>
        </w:tc>
      </w:tr>
    </w:tbl>
    <w:p w14:paraId="3F4F6DDD" w14:textId="77777777" w:rsidR="000923BB" w:rsidRPr="00FB3AC0" w:rsidRDefault="000923BB" w:rsidP="000923BB">
      <w:pPr>
        <w:autoSpaceDE w:val="0"/>
        <w:autoSpaceDN w:val="0"/>
        <w:adjustRightInd w:val="0"/>
        <w:rPr>
          <w:rFonts w:cs="Arial"/>
          <w:color w:val="000000"/>
          <w:sz w:val="18"/>
          <w:szCs w:val="18"/>
          <w:lang w:val="en-US"/>
        </w:rPr>
      </w:pPr>
    </w:p>
    <w:p w14:paraId="65369026" w14:textId="77777777" w:rsidR="000923BB" w:rsidRPr="00FB3AC0" w:rsidRDefault="000923BB" w:rsidP="000923BB">
      <w:pPr>
        <w:tabs>
          <w:tab w:val="center" w:pos="4089"/>
        </w:tabs>
        <w:autoSpaceDE w:val="0"/>
        <w:autoSpaceDN w:val="0"/>
        <w:adjustRightInd w:val="0"/>
        <w:rPr>
          <w:rFonts w:cs="Arial"/>
          <w:b/>
          <w:bCs/>
          <w:color w:val="000000"/>
          <w:sz w:val="18"/>
          <w:szCs w:val="18"/>
          <w:lang w:val="en-US"/>
        </w:rPr>
      </w:pPr>
      <w:r w:rsidRPr="00FB3AC0">
        <w:rPr>
          <w:rFonts w:cs="Arial"/>
          <w:b/>
          <w:bCs/>
          <w:color w:val="000000"/>
          <w:sz w:val="18"/>
          <w:szCs w:val="18"/>
          <w:lang w:val="en-US"/>
        </w:rPr>
        <w:t>Performance status</w:t>
      </w:r>
    </w:p>
    <w:p w14:paraId="7944EBFA" w14:textId="77777777" w:rsidR="000923BB" w:rsidRPr="00FB3AC0" w:rsidRDefault="000923BB" w:rsidP="000923BB">
      <w:pPr>
        <w:tabs>
          <w:tab w:val="center" w:pos="2923"/>
        </w:tabs>
        <w:autoSpaceDE w:val="0"/>
        <w:autoSpaceDN w:val="0"/>
        <w:adjustRightInd w:val="0"/>
        <w:rPr>
          <w:rFonts w:cs="Arial"/>
          <w:b/>
          <w:bCs/>
          <w:color w:val="000000"/>
          <w:sz w:val="18"/>
          <w:szCs w:val="18"/>
        </w:rPr>
      </w:pPr>
    </w:p>
    <w:tbl>
      <w:tblPr>
        <w:tblW w:w="0" w:type="auto"/>
        <w:tblInd w:w="840" w:type="dxa"/>
        <w:tblLayout w:type="fixed"/>
        <w:tblCellMar>
          <w:left w:w="93" w:type="dxa"/>
          <w:right w:w="93" w:type="dxa"/>
        </w:tblCellMar>
        <w:tblLook w:val="0000" w:firstRow="0" w:lastRow="0" w:firstColumn="0" w:lastColumn="0" w:noHBand="0" w:noVBand="0"/>
      </w:tblPr>
      <w:tblGrid>
        <w:gridCol w:w="206"/>
        <w:gridCol w:w="3163"/>
        <w:gridCol w:w="1123"/>
        <w:gridCol w:w="1080"/>
      </w:tblGrid>
      <w:tr w:rsidR="000923BB" w:rsidRPr="00FB3AC0" w14:paraId="3A0269D9" w14:textId="77777777" w:rsidTr="005332D1">
        <w:trPr>
          <w:trHeight w:val="360"/>
        </w:trPr>
        <w:tc>
          <w:tcPr>
            <w:tcW w:w="3369"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641DBE6B"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641EFE96" w14:textId="77777777" w:rsidR="000923BB" w:rsidRPr="00FB3AC0" w:rsidRDefault="000923BB" w:rsidP="003A385F">
            <w:pPr>
              <w:autoSpaceDE w:val="0"/>
              <w:autoSpaceDN w:val="0"/>
              <w:adjustRightInd w:val="0"/>
              <w:jc w:val="center"/>
              <w:rPr>
                <w:rFonts w:cs="Arial"/>
                <w:color w:val="000000"/>
                <w:sz w:val="18"/>
                <w:szCs w:val="18"/>
              </w:rPr>
            </w:pPr>
            <w:r w:rsidRPr="00FB3AC0">
              <w:rPr>
                <w:rFonts w:cs="Arial"/>
                <w:color w:val="000000"/>
                <w:sz w:val="18"/>
                <w:szCs w:val="18"/>
              </w:rPr>
              <w:t>n</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1419BA07" w14:textId="77777777" w:rsidR="000923BB" w:rsidRPr="00FB3AC0" w:rsidRDefault="000923BB" w:rsidP="003A385F">
            <w:pPr>
              <w:autoSpaceDE w:val="0"/>
              <w:autoSpaceDN w:val="0"/>
              <w:adjustRightInd w:val="0"/>
              <w:jc w:val="center"/>
              <w:rPr>
                <w:rFonts w:cs="Arial"/>
                <w:color w:val="000000"/>
                <w:sz w:val="18"/>
                <w:szCs w:val="18"/>
              </w:rPr>
            </w:pPr>
            <w:r w:rsidRPr="00FB3AC0">
              <w:rPr>
                <w:rFonts w:cs="Arial"/>
                <w:color w:val="000000"/>
                <w:sz w:val="18"/>
                <w:szCs w:val="18"/>
              </w:rPr>
              <w:t>Percent</w:t>
            </w:r>
          </w:p>
        </w:tc>
      </w:tr>
      <w:tr w:rsidR="000923BB" w:rsidRPr="00FB3AC0" w14:paraId="392AABE2" w14:textId="77777777" w:rsidTr="005332D1">
        <w:trPr>
          <w:trHeight w:val="504"/>
        </w:trPr>
        <w:tc>
          <w:tcPr>
            <w:tcW w:w="206" w:type="dxa"/>
            <w:vMerge w:val="restart"/>
            <w:tcBorders>
              <w:top w:val="single" w:sz="12" w:space="0" w:color="000000"/>
              <w:left w:val="single" w:sz="12" w:space="0" w:color="000000"/>
              <w:bottom w:val="nil"/>
              <w:right w:val="nil"/>
            </w:tcBorders>
            <w:shd w:val="clear" w:color="000000" w:fill="FFFFFF"/>
          </w:tcPr>
          <w:p w14:paraId="09A3725E"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3163" w:type="dxa"/>
            <w:tcBorders>
              <w:top w:val="single" w:sz="12" w:space="0" w:color="000000"/>
              <w:left w:val="nil"/>
              <w:bottom w:val="nil"/>
              <w:right w:val="single" w:sz="12" w:space="0" w:color="000000"/>
            </w:tcBorders>
            <w:shd w:val="clear" w:color="000000" w:fill="FFFFFF"/>
          </w:tcPr>
          <w:p w14:paraId="5E672D07"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limited activity but self care</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14:paraId="37375E2E"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7</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6224CF1E"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19.4</w:t>
            </w:r>
          </w:p>
        </w:tc>
      </w:tr>
      <w:tr w:rsidR="000923BB" w:rsidRPr="00FB3AC0" w14:paraId="53323DD7" w14:textId="77777777" w:rsidTr="005332D1">
        <w:trPr>
          <w:trHeight w:val="273"/>
        </w:trPr>
        <w:tc>
          <w:tcPr>
            <w:tcW w:w="206" w:type="dxa"/>
            <w:vMerge w:val="restart"/>
            <w:tcBorders>
              <w:top w:val="nil"/>
              <w:left w:val="single" w:sz="12" w:space="0" w:color="000000"/>
              <w:bottom w:val="nil"/>
              <w:right w:val="nil"/>
            </w:tcBorders>
            <w:shd w:val="clear" w:color="000000" w:fill="FFFFFF"/>
          </w:tcPr>
          <w:p w14:paraId="3510CBDA"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3163" w:type="dxa"/>
            <w:tcBorders>
              <w:top w:val="nil"/>
              <w:left w:val="nil"/>
              <w:bottom w:val="nil"/>
              <w:right w:val="single" w:sz="12" w:space="0" w:color="000000"/>
            </w:tcBorders>
            <w:shd w:val="clear" w:color="000000" w:fill="FFFFFF"/>
          </w:tcPr>
          <w:p w14:paraId="6069405C"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limited self care</w:t>
            </w:r>
          </w:p>
        </w:tc>
        <w:tc>
          <w:tcPr>
            <w:tcW w:w="1123" w:type="dxa"/>
            <w:tcBorders>
              <w:top w:val="nil"/>
              <w:left w:val="single" w:sz="12" w:space="0" w:color="000000"/>
              <w:bottom w:val="nil"/>
              <w:right w:val="single" w:sz="2" w:space="0" w:color="000000"/>
            </w:tcBorders>
            <w:shd w:val="clear" w:color="000000" w:fill="FFFFFF"/>
            <w:vAlign w:val="center"/>
          </w:tcPr>
          <w:p w14:paraId="40D70547"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4</w:t>
            </w:r>
          </w:p>
        </w:tc>
        <w:tc>
          <w:tcPr>
            <w:tcW w:w="1080" w:type="dxa"/>
            <w:tcBorders>
              <w:top w:val="nil"/>
              <w:left w:val="single" w:sz="2" w:space="0" w:color="000000"/>
              <w:bottom w:val="nil"/>
              <w:right w:val="single" w:sz="2" w:space="0" w:color="000000"/>
            </w:tcBorders>
            <w:shd w:val="clear" w:color="000000" w:fill="FFFFFF"/>
            <w:vAlign w:val="center"/>
          </w:tcPr>
          <w:p w14:paraId="13F2584D"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11.1</w:t>
            </w:r>
          </w:p>
        </w:tc>
      </w:tr>
      <w:tr w:rsidR="000923BB" w:rsidRPr="00FB3AC0" w14:paraId="75FF29FD" w14:textId="77777777" w:rsidTr="005332D1">
        <w:trPr>
          <w:trHeight w:val="273"/>
        </w:trPr>
        <w:tc>
          <w:tcPr>
            <w:tcW w:w="206" w:type="dxa"/>
            <w:vMerge w:val="restart"/>
            <w:tcBorders>
              <w:top w:val="nil"/>
              <w:left w:val="single" w:sz="12" w:space="0" w:color="000000"/>
              <w:bottom w:val="nil"/>
              <w:right w:val="nil"/>
            </w:tcBorders>
            <w:shd w:val="clear" w:color="000000" w:fill="FFFFFF"/>
          </w:tcPr>
          <w:p w14:paraId="497B3FF7"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3163" w:type="dxa"/>
            <w:tcBorders>
              <w:top w:val="nil"/>
              <w:left w:val="nil"/>
              <w:bottom w:val="nil"/>
              <w:right w:val="single" w:sz="12" w:space="0" w:color="000000"/>
            </w:tcBorders>
            <w:shd w:val="clear" w:color="000000" w:fill="FFFFFF"/>
          </w:tcPr>
          <w:p w14:paraId="1851BEEC"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normal activity</w:t>
            </w:r>
          </w:p>
        </w:tc>
        <w:tc>
          <w:tcPr>
            <w:tcW w:w="1123" w:type="dxa"/>
            <w:tcBorders>
              <w:top w:val="nil"/>
              <w:left w:val="single" w:sz="12" w:space="0" w:color="000000"/>
              <w:bottom w:val="nil"/>
              <w:right w:val="single" w:sz="2" w:space="0" w:color="000000"/>
            </w:tcBorders>
            <w:shd w:val="clear" w:color="000000" w:fill="FFFFFF"/>
            <w:vAlign w:val="center"/>
          </w:tcPr>
          <w:p w14:paraId="1316358F"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9</w:t>
            </w:r>
          </w:p>
        </w:tc>
        <w:tc>
          <w:tcPr>
            <w:tcW w:w="1080" w:type="dxa"/>
            <w:tcBorders>
              <w:top w:val="nil"/>
              <w:left w:val="single" w:sz="2" w:space="0" w:color="000000"/>
              <w:bottom w:val="nil"/>
              <w:right w:val="single" w:sz="2" w:space="0" w:color="000000"/>
            </w:tcBorders>
            <w:shd w:val="clear" w:color="000000" w:fill="FFFFFF"/>
            <w:vAlign w:val="center"/>
          </w:tcPr>
          <w:p w14:paraId="56116FE9"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25.0</w:t>
            </w:r>
          </w:p>
        </w:tc>
      </w:tr>
      <w:tr w:rsidR="000923BB" w:rsidRPr="00FB3AC0" w14:paraId="4002A0E5" w14:textId="77777777" w:rsidTr="005332D1">
        <w:trPr>
          <w:trHeight w:val="273"/>
        </w:trPr>
        <w:tc>
          <w:tcPr>
            <w:tcW w:w="206" w:type="dxa"/>
            <w:vMerge w:val="restart"/>
            <w:tcBorders>
              <w:top w:val="nil"/>
              <w:left w:val="single" w:sz="12" w:space="0" w:color="000000"/>
              <w:bottom w:val="nil"/>
              <w:right w:val="nil"/>
            </w:tcBorders>
            <w:shd w:val="clear" w:color="000000" w:fill="FFFFFF"/>
          </w:tcPr>
          <w:p w14:paraId="58FAC1C6"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3163" w:type="dxa"/>
            <w:tcBorders>
              <w:top w:val="nil"/>
              <w:left w:val="nil"/>
              <w:bottom w:val="nil"/>
              <w:right w:val="single" w:sz="12" w:space="0" w:color="000000"/>
            </w:tcBorders>
            <w:shd w:val="clear" w:color="000000" w:fill="FFFFFF"/>
          </w:tcPr>
          <w:p w14:paraId="26E8B44E"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not known</w:t>
            </w:r>
          </w:p>
        </w:tc>
        <w:tc>
          <w:tcPr>
            <w:tcW w:w="1123" w:type="dxa"/>
            <w:tcBorders>
              <w:top w:val="nil"/>
              <w:left w:val="single" w:sz="12" w:space="0" w:color="000000"/>
              <w:bottom w:val="nil"/>
              <w:right w:val="single" w:sz="2" w:space="0" w:color="000000"/>
            </w:tcBorders>
            <w:shd w:val="clear" w:color="000000" w:fill="FFFFFF"/>
            <w:vAlign w:val="center"/>
          </w:tcPr>
          <w:p w14:paraId="4859D2FA"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13</w:t>
            </w:r>
          </w:p>
        </w:tc>
        <w:tc>
          <w:tcPr>
            <w:tcW w:w="1080" w:type="dxa"/>
            <w:tcBorders>
              <w:top w:val="nil"/>
              <w:left w:val="single" w:sz="2" w:space="0" w:color="000000"/>
              <w:bottom w:val="nil"/>
              <w:right w:val="single" w:sz="2" w:space="0" w:color="000000"/>
            </w:tcBorders>
            <w:shd w:val="clear" w:color="000000" w:fill="FFFFFF"/>
            <w:vAlign w:val="center"/>
          </w:tcPr>
          <w:p w14:paraId="38FF94F7"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36.1</w:t>
            </w:r>
          </w:p>
        </w:tc>
      </w:tr>
      <w:tr w:rsidR="000923BB" w:rsidRPr="00FB3AC0" w14:paraId="66166702" w14:textId="77777777" w:rsidTr="005332D1">
        <w:trPr>
          <w:trHeight w:val="273"/>
        </w:trPr>
        <w:tc>
          <w:tcPr>
            <w:tcW w:w="206" w:type="dxa"/>
            <w:vMerge w:val="restart"/>
            <w:tcBorders>
              <w:top w:val="nil"/>
              <w:left w:val="single" w:sz="12" w:space="0" w:color="000000"/>
              <w:bottom w:val="nil"/>
              <w:right w:val="nil"/>
            </w:tcBorders>
            <w:shd w:val="clear" w:color="000000" w:fill="FFFFFF"/>
          </w:tcPr>
          <w:p w14:paraId="3FE350E0"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3163" w:type="dxa"/>
            <w:tcBorders>
              <w:top w:val="nil"/>
              <w:left w:val="nil"/>
              <w:bottom w:val="nil"/>
              <w:right w:val="single" w:sz="12" w:space="0" w:color="000000"/>
            </w:tcBorders>
            <w:shd w:val="clear" w:color="000000" w:fill="FFFFFF"/>
          </w:tcPr>
          <w:p w14:paraId="0EA2797E"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strenuous activity limited</w:t>
            </w:r>
          </w:p>
        </w:tc>
        <w:tc>
          <w:tcPr>
            <w:tcW w:w="1123" w:type="dxa"/>
            <w:tcBorders>
              <w:top w:val="nil"/>
              <w:left w:val="single" w:sz="12" w:space="0" w:color="000000"/>
              <w:bottom w:val="nil"/>
              <w:right w:val="single" w:sz="2" w:space="0" w:color="000000"/>
            </w:tcBorders>
            <w:shd w:val="clear" w:color="000000" w:fill="FFFFFF"/>
            <w:vAlign w:val="center"/>
          </w:tcPr>
          <w:p w14:paraId="0A1BA1A1"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3</w:t>
            </w:r>
          </w:p>
        </w:tc>
        <w:tc>
          <w:tcPr>
            <w:tcW w:w="1080" w:type="dxa"/>
            <w:tcBorders>
              <w:top w:val="nil"/>
              <w:left w:val="single" w:sz="2" w:space="0" w:color="000000"/>
              <w:bottom w:val="nil"/>
              <w:right w:val="single" w:sz="2" w:space="0" w:color="000000"/>
            </w:tcBorders>
            <w:shd w:val="clear" w:color="000000" w:fill="FFFFFF"/>
            <w:vAlign w:val="center"/>
          </w:tcPr>
          <w:p w14:paraId="61146292"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8.3</w:t>
            </w:r>
          </w:p>
        </w:tc>
      </w:tr>
      <w:tr w:rsidR="000923BB" w:rsidRPr="00FB3AC0" w14:paraId="08FCC469" w14:textId="77777777" w:rsidTr="005332D1">
        <w:trPr>
          <w:trHeight w:val="273"/>
        </w:trPr>
        <w:tc>
          <w:tcPr>
            <w:tcW w:w="206" w:type="dxa"/>
            <w:tcBorders>
              <w:top w:val="nil"/>
              <w:left w:val="single" w:sz="12" w:space="0" w:color="000000"/>
              <w:bottom w:val="single" w:sz="12" w:space="0" w:color="000000"/>
              <w:right w:val="nil"/>
            </w:tcBorders>
            <w:shd w:val="clear" w:color="000000" w:fill="FFFFFF"/>
          </w:tcPr>
          <w:p w14:paraId="047AAE1E"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3163" w:type="dxa"/>
            <w:tcBorders>
              <w:top w:val="nil"/>
              <w:left w:val="nil"/>
              <w:bottom w:val="single" w:sz="12" w:space="0" w:color="000000"/>
              <w:right w:val="single" w:sz="12" w:space="0" w:color="000000"/>
            </w:tcBorders>
            <w:shd w:val="clear" w:color="000000" w:fill="FFFFFF"/>
          </w:tcPr>
          <w:p w14:paraId="71766812"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14:paraId="66837D10"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36</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5D61B8D6"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100.0</w:t>
            </w:r>
          </w:p>
        </w:tc>
      </w:tr>
    </w:tbl>
    <w:p w14:paraId="64079B60" w14:textId="77777777" w:rsidR="000923BB" w:rsidRPr="00FB3AC0" w:rsidRDefault="000923BB" w:rsidP="000923BB">
      <w:pPr>
        <w:tabs>
          <w:tab w:val="center" w:pos="3312"/>
        </w:tabs>
        <w:autoSpaceDE w:val="0"/>
        <w:autoSpaceDN w:val="0"/>
        <w:adjustRightInd w:val="0"/>
        <w:rPr>
          <w:rFonts w:cs="Arial"/>
          <w:b/>
          <w:bCs/>
          <w:color w:val="000000"/>
          <w:sz w:val="18"/>
          <w:szCs w:val="18"/>
          <w:lang w:val="en-US"/>
        </w:rPr>
      </w:pPr>
    </w:p>
    <w:p w14:paraId="12E0AAAA" w14:textId="77777777" w:rsidR="004932C5" w:rsidRDefault="004932C5" w:rsidP="000923BB">
      <w:pPr>
        <w:tabs>
          <w:tab w:val="center" w:pos="3312"/>
        </w:tabs>
        <w:autoSpaceDE w:val="0"/>
        <w:autoSpaceDN w:val="0"/>
        <w:adjustRightInd w:val="0"/>
        <w:rPr>
          <w:rFonts w:cs="Arial"/>
          <w:b/>
          <w:bCs/>
          <w:color w:val="000000"/>
          <w:sz w:val="18"/>
          <w:szCs w:val="18"/>
          <w:lang w:val="en-US"/>
        </w:rPr>
      </w:pPr>
    </w:p>
    <w:p w14:paraId="4FFFE7BD" w14:textId="77777777" w:rsidR="004932C5" w:rsidRDefault="004932C5" w:rsidP="000923BB">
      <w:pPr>
        <w:tabs>
          <w:tab w:val="center" w:pos="3312"/>
        </w:tabs>
        <w:autoSpaceDE w:val="0"/>
        <w:autoSpaceDN w:val="0"/>
        <w:adjustRightInd w:val="0"/>
        <w:rPr>
          <w:rFonts w:cs="Arial"/>
          <w:b/>
          <w:bCs/>
          <w:color w:val="000000"/>
          <w:sz w:val="18"/>
          <w:szCs w:val="18"/>
          <w:lang w:val="en-US"/>
        </w:rPr>
      </w:pPr>
    </w:p>
    <w:p w14:paraId="276A2F67" w14:textId="77777777" w:rsidR="004932C5" w:rsidRDefault="004932C5" w:rsidP="000923BB">
      <w:pPr>
        <w:tabs>
          <w:tab w:val="center" w:pos="3312"/>
        </w:tabs>
        <w:autoSpaceDE w:val="0"/>
        <w:autoSpaceDN w:val="0"/>
        <w:adjustRightInd w:val="0"/>
        <w:rPr>
          <w:rFonts w:cs="Arial"/>
          <w:b/>
          <w:bCs/>
          <w:color w:val="000000"/>
          <w:sz w:val="18"/>
          <w:szCs w:val="18"/>
          <w:lang w:val="en-US"/>
        </w:rPr>
      </w:pPr>
    </w:p>
    <w:p w14:paraId="2FA951EB" w14:textId="77777777" w:rsidR="004932C5" w:rsidRDefault="004932C5" w:rsidP="000923BB">
      <w:pPr>
        <w:tabs>
          <w:tab w:val="center" w:pos="3312"/>
        </w:tabs>
        <w:autoSpaceDE w:val="0"/>
        <w:autoSpaceDN w:val="0"/>
        <w:adjustRightInd w:val="0"/>
        <w:rPr>
          <w:rFonts w:cs="Arial"/>
          <w:b/>
          <w:bCs/>
          <w:color w:val="000000"/>
          <w:sz w:val="18"/>
          <w:szCs w:val="18"/>
          <w:lang w:val="en-US"/>
        </w:rPr>
      </w:pPr>
    </w:p>
    <w:p w14:paraId="0DB87380" w14:textId="77777777" w:rsidR="004932C5" w:rsidRDefault="004932C5" w:rsidP="000923BB">
      <w:pPr>
        <w:tabs>
          <w:tab w:val="center" w:pos="3312"/>
        </w:tabs>
        <w:autoSpaceDE w:val="0"/>
        <w:autoSpaceDN w:val="0"/>
        <w:adjustRightInd w:val="0"/>
        <w:rPr>
          <w:rFonts w:cs="Arial"/>
          <w:b/>
          <w:bCs/>
          <w:color w:val="000000"/>
          <w:sz w:val="18"/>
          <w:szCs w:val="18"/>
          <w:lang w:val="en-US"/>
        </w:rPr>
      </w:pPr>
    </w:p>
    <w:p w14:paraId="7833A1C8" w14:textId="77777777" w:rsidR="000923BB" w:rsidRPr="00FB3AC0" w:rsidRDefault="000923BB" w:rsidP="000923BB">
      <w:pPr>
        <w:tabs>
          <w:tab w:val="center" w:pos="3312"/>
        </w:tabs>
        <w:autoSpaceDE w:val="0"/>
        <w:autoSpaceDN w:val="0"/>
        <w:adjustRightInd w:val="0"/>
        <w:rPr>
          <w:rFonts w:cs="Arial"/>
          <w:b/>
          <w:bCs/>
          <w:color w:val="000000"/>
          <w:sz w:val="18"/>
          <w:szCs w:val="18"/>
          <w:lang w:val="en-US"/>
        </w:rPr>
      </w:pPr>
      <w:r w:rsidRPr="00FB3AC0">
        <w:rPr>
          <w:rFonts w:cs="Arial"/>
          <w:b/>
          <w:bCs/>
          <w:color w:val="000000"/>
          <w:sz w:val="18"/>
          <w:szCs w:val="18"/>
          <w:lang w:val="en-US"/>
        </w:rPr>
        <w:lastRenderedPageBreak/>
        <w:t>Chest x-ray within 24h?</w:t>
      </w:r>
    </w:p>
    <w:p w14:paraId="6FD25CE8" w14:textId="77777777" w:rsidR="000923BB" w:rsidRPr="00FB3AC0" w:rsidRDefault="000923BB" w:rsidP="000923BB">
      <w:pPr>
        <w:tabs>
          <w:tab w:val="center" w:pos="3312"/>
        </w:tabs>
        <w:autoSpaceDE w:val="0"/>
        <w:autoSpaceDN w:val="0"/>
        <w:adjustRightInd w:val="0"/>
        <w:rPr>
          <w:rFonts w:cs="Arial"/>
          <w:b/>
          <w:bCs/>
          <w:color w:val="000000"/>
          <w:sz w:val="18"/>
          <w:szCs w:val="18"/>
          <w:lang w:val="en-US"/>
        </w:rPr>
      </w:pPr>
    </w:p>
    <w:tbl>
      <w:tblPr>
        <w:tblW w:w="0" w:type="auto"/>
        <w:tblInd w:w="93" w:type="dxa"/>
        <w:tblLayout w:type="fixed"/>
        <w:tblCellMar>
          <w:left w:w="93" w:type="dxa"/>
          <w:right w:w="93" w:type="dxa"/>
        </w:tblCellMar>
        <w:tblLook w:val="0000" w:firstRow="0" w:lastRow="0" w:firstColumn="0" w:lastColumn="0" w:noHBand="0" w:noVBand="0"/>
      </w:tblPr>
      <w:tblGrid>
        <w:gridCol w:w="206"/>
        <w:gridCol w:w="1291"/>
        <w:gridCol w:w="1123"/>
        <w:gridCol w:w="1080"/>
      </w:tblGrid>
      <w:tr w:rsidR="000923BB" w:rsidRPr="00FB3AC0" w14:paraId="37BBCF99" w14:textId="77777777" w:rsidTr="003A385F">
        <w:trPr>
          <w:trHeight w:val="504"/>
        </w:trPr>
        <w:tc>
          <w:tcPr>
            <w:tcW w:w="1497"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744315CE"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4CA884D5"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n</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77FCC91A"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Percent</w:t>
            </w:r>
          </w:p>
        </w:tc>
      </w:tr>
      <w:tr w:rsidR="000923BB" w:rsidRPr="00FB3AC0" w14:paraId="0E876E33" w14:textId="77777777" w:rsidTr="003A385F">
        <w:trPr>
          <w:trHeight w:val="273"/>
        </w:trPr>
        <w:tc>
          <w:tcPr>
            <w:tcW w:w="206" w:type="dxa"/>
            <w:tcBorders>
              <w:top w:val="nil"/>
              <w:left w:val="single" w:sz="12" w:space="0" w:color="000000"/>
              <w:bottom w:val="nil"/>
              <w:right w:val="nil"/>
            </w:tcBorders>
            <w:shd w:val="clear" w:color="000000" w:fill="FFFFFF"/>
          </w:tcPr>
          <w:p w14:paraId="3B1802D0"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291" w:type="dxa"/>
            <w:tcBorders>
              <w:top w:val="nil"/>
              <w:left w:val="nil"/>
              <w:bottom w:val="nil"/>
              <w:right w:val="single" w:sz="12" w:space="0" w:color="000000"/>
            </w:tcBorders>
            <w:shd w:val="clear" w:color="000000" w:fill="FFFFFF"/>
          </w:tcPr>
          <w:p w14:paraId="2330C46C"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no</w:t>
            </w:r>
          </w:p>
        </w:tc>
        <w:tc>
          <w:tcPr>
            <w:tcW w:w="1123" w:type="dxa"/>
            <w:tcBorders>
              <w:top w:val="nil"/>
              <w:left w:val="single" w:sz="12" w:space="0" w:color="000000"/>
              <w:bottom w:val="nil"/>
              <w:right w:val="single" w:sz="2" w:space="0" w:color="000000"/>
            </w:tcBorders>
            <w:shd w:val="clear" w:color="000000" w:fill="FFFFFF"/>
          </w:tcPr>
          <w:p w14:paraId="20EC3B6D" w14:textId="77777777" w:rsidR="000923BB" w:rsidRPr="00FB3AC0" w:rsidRDefault="000923BB" w:rsidP="003A385F">
            <w:pPr>
              <w:rPr>
                <w:rFonts w:cs="Arial"/>
                <w:sz w:val="20"/>
                <w:szCs w:val="20"/>
              </w:rPr>
            </w:pPr>
            <w:r w:rsidRPr="00FB3AC0">
              <w:rPr>
                <w:rFonts w:cs="Arial"/>
                <w:sz w:val="20"/>
                <w:szCs w:val="20"/>
              </w:rPr>
              <w:t>2</w:t>
            </w:r>
          </w:p>
        </w:tc>
        <w:tc>
          <w:tcPr>
            <w:tcW w:w="1080" w:type="dxa"/>
            <w:tcBorders>
              <w:top w:val="nil"/>
              <w:left w:val="single" w:sz="2" w:space="0" w:color="000000"/>
              <w:bottom w:val="nil"/>
              <w:right w:val="single" w:sz="2" w:space="0" w:color="000000"/>
            </w:tcBorders>
            <w:shd w:val="clear" w:color="000000" w:fill="FFFFFF"/>
          </w:tcPr>
          <w:p w14:paraId="21B0966C" w14:textId="77777777" w:rsidR="000923BB" w:rsidRPr="00FB3AC0" w:rsidRDefault="000923BB" w:rsidP="003A385F">
            <w:pPr>
              <w:rPr>
                <w:rFonts w:cs="Arial"/>
                <w:sz w:val="20"/>
                <w:szCs w:val="20"/>
              </w:rPr>
            </w:pPr>
            <w:r w:rsidRPr="00FB3AC0">
              <w:rPr>
                <w:rFonts w:cs="Arial"/>
                <w:sz w:val="20"/>
                <w:szCs w:val="20"/>
              </w:rPr>
              <w:t>5.6</w:t>
            </w:r>
          </w:p>
        </w:tc>
      </w:tr>
      <w:tr w:rsidR="000923BB" w:rsidRPr="00FB3AC0" w14:paraId="039A7A7F" w14:textId="77777777" w:rsidTr="003A385F">
        <w:trPr>
          <w:trHeight w:val="273"/>
        </w:trPr>
        <w:tc>
          <w:tcPr>
            <w:tcW w:w="206" w:type="dxa"/>
            <w:tcBorders>
              <w:top w:val="nil"/>
              <w:left w:val="single" w:sz="12" w:space="0" w:color="000000"/>
              <w:bottom w:val="nil"/>
              <w:right w:val="nil"/>
            </w:tcBorders>
            <w:shd w:val="clear" w:color="000000" w:fill="FFFFFF"/>
          </w:tcPr>
          <w:p w14:paraId="7C9B6082"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291" w:type="dxa"/>
            <w:tcBorders>
              <w:top w:val="nil"/>
              <w:left w:val="nil"/>
              <w:bottom w:val="nil"/>
              <w:right w:val="single" w:sz="12" w:space="0" w:color="000000"/>
            </w:tcBorders>
            <w:shd w:val="clear" w:color="000000" w:fill="FFFFFF"/>
          </w:tcPr>
          <w:p w14:paraId="6FD24E17"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yes</w:t>
            </w:r>
          </w:p>
        </w:tc>
        <w:tc>
          <w:tcPr>
            <w:tcW w:w="1123" w:type="dxa"/>
            <w:tcBorders>
              <w:top w:val="nil"/>
              <w:left w:val="single" w:sz="12" w:space="0" w:color="000000"/>
              <w:bottom w:val="nil"/>
              <w:right w:val="single" w:sz="2" w:space="0" w:color="000000"/>
            </w:tcBorders>
            <w:shd w:val="clear" w:color="000000" w:fill="FFFFFF"/>
          </w:tcPr>
          <w:p w14:paraId="720AB3BA" w14:textId="77777777" w:rsidR="000923BB" w:rsidRPr="00FB3AC0" w:rsidRDefault="000923BB" w:rsidP="003A385F">
            <w:pPr>
              <w:rPr>
                <w:rFonts w:cs="Arial"/>
                <w:sz w:val="20"/>
                <w:szCs w:val="20"/>
              </w:rPr>
            </w:pPr>
            <w:r w:rsidRPr="00FB3AC0">
              <w:rPr>
                <w:rFonts w:cs="Arial"/>
                <w:sz w:val="20"/>
                <w:szCs w:val="20"/>
              </w:rPr>
              <w:t>34</w:t>
            </w:r>
          </w:p>
        </w:tc>
        <w:tc>
          <w:tcPr>
            <w:tcW w:w="1080" w:type="dxa"/>
            <w:tcBorders>
              <w:top w:val="nil"/>
              <w:left w:val="single" w:sz="2" w:space="0" w:color="000000"/>
              <w:bottom w:val="nil"/>
              <w:right w:val="single" w:sz="2" w:space="0" w:color="000000"/>
            </w:tcBorders>
            <w:shd w:val="clear" w:color="000000" w:fill="FFFFFF"/>
          </w:tcPr>
          <w:p w14:paraId="1F9DCBA7" w14:textId="77777777" w:rsidR="000923BB" w:rsidRPr="00FB3AC0" w:rsidRDefault="000923BB" w:rsidP="003A385F">
            <w:pPr>
              <w:rPr>
                <w:rFonts w:cs="Arial"/>
                <w:sz w:val="20"/>
                <w:szCs w:val="20"/>
              </w:rPr>
            </w:pPr>
            <w:r w:rsidRPr="00FB3AC0">
              <w:rPr>
                <w:rFonts w:cs="Arial"/>
                <w:sz w:val="20"/>
                <w:szCs w:val="20"/>
              </w:rPr>
              <w:t>94.4</w:t>
            </w:r>
          </w:p>
        </w:tc>
      </w:tr>
      <w:tr w:rsidR="000923BB" w:rsidRPr="00FB3AC0" w14:paraId="77ABFC92" w14:textId="77777777" w:rsidTr="003A385F">
        <w:trPr>
          <w:trHeight w:val="273"/>
        </w:trPr>
        <w:tc>
          <w:tcPr>
            <w:tcW w:w="206" w:type="dxa"/>
            <w:tcBorders>
              <w:top w:val="nil"/>
              <w:left w:val="single" w:sz="12" w:space="0" w:color="000000"/>
              <w:bottom w:val="single" w:sz="12" w:space="0" w:color="000000"/>
              <w:right w:val="nil"/>
            </w:tcBorders>
            <w:shd w:val="clear" w:color="000000" w:fill="FFFFFF"/>
          </w:tcPr>
          <w:p w14:paraId="585A0FC9"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291" w:type="dxa"/>
            <w:tcBorders>
              <w:top w:val="nil"/>
              <w:left w:val="nil"/>
              <w:bottom w:val="single" w:sz="12" w:space="0" w:color="000000"/>
              <w:right w:val="single" w:sz="12" w:space="0" w:color="000000"/>
            </w:tcBorders>
            <w:shd w:val="clear" w:color="000000" w:fill="FFFFFF"/>
          </w:tcPr>
          <w:p w14:paraId="121C6DF6"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Total</w:t>
            </w:r>
          </w:p>
        </w:tc>
        <w:tc>
          <w:tcPr>
            <w:tcW w:w="1123" w:type="dxa"/>
            <w:tcBorders>
              <w:top w:val="nil"/>
              <w:left w:val="single" w:sz="12" w:space="0" w:color="000000"/>
              <w:bottom w:val="single" w:sz="12" w:space="0" w:color="000000"/>
              <w:right w:val="single" w:sz="2" w:space="0" w:color="000000"/>
            </w:tcBorders>
            <w:shd w:val="clear" w:color="000000" w:fill="FFFFFF"/>
          </w:tcPr>
          <w:p w14:paraId="67B324F8" w14:textId="77777777" w:rsidR="000923BB" w:rsidRPr="00FB3AC0" w:rsidRDefault="000923BB" w:rsidP="003A385F">
            <w:pPr>
              <w:rPr>
                <w:rFonts w:cs="Arial"/>
                <w:sz w:val="20"/>
                <w:szCs w:val="20"/>
              </w:rPr>
            </w:pPr>
            <w:r w:rsidRPr="00FB3AC0">
              <w:rPr>
                <w:rFonts w:cs="Arial"/>
                <w:sz w:val="20"/>
                <w:szCs w:val="20"/>
              </w:rPr>
              <w:t>36</w:t>
            </w:r>
          </w:p>
        </w:tc>
        <w:tc>
          <w:tcPr>
            <w:tcW w:w="1080" w:type="dxa"/>
            <w:tcBorders>
              <w:top w:val="nil"/>
              <w:left w:val="single" w:sz="2" w:space="0" w:color="000000"/>
              <w:bottom w:val="single" w:sz="12" w:space="0" w:color="000000"/>
              <w:right w:val="single" w:sz="2" w:space="0" w:color="000000"/>
            </w:tcBorders>
            <w:shd w:val="clear" w:color="000000" w:fill="FFFFFF"/>
          </w:tcPr>
          <w:p w14:paraId="5E9E3D8C" w14:textId="77777777" w:rsidR="000923BB" w:rsidRPr="00FB3AC0" w:rsidRDefault="000923BB" w:rsidP="003A385F">
            <w:pPr>
              <w:rPr>
                <w:rFonts w:cs="Arial"/>
                <w:sz w:val="20"/>
                <w:szCs w:val="20"/>
              </w:rPr>
            </w:pPr>
            <w:r w:rsidRPr="00FB3AC0">
              <w:rPr>
                <w:rFonts w:cs="Arial"/>
                <w:sz w:val="20"/>
                <w:szCs w:val="20"/>
              </w:rPr>
              <w:t>100.0</w:t>
            </w:r>
          </w:p>
        </w:tc>
      </w:tr>
    </w:tbl>
    <w:p w14:paraId="1C056FA4" w14:textId="77777777" w:rsidR="000923BB" w:rsidRPr="00FB3AC0" w:rsidRDefault="000923BB" w:rsidP="000923BB">
      <w:pPr>
        <w:autoSpaceDE w:val="0"/>
        <w:autoSpaceDN w:val="0"/>
        <w:adjustRightInd w:val="0"/>
        <w:rPr>
          <w:rFonts w:cs="Arial"/>
          <w:color w:val="000000"/>
          <w:sz w:val="18"/>
          <w:szCs w:val="18"/>
          <w:lang w:val="en-US"/>
        </w:rPr>
      </w:pPr>
    </w:p>
    <w:p w14:paraId="1798B122" w14:textId="77777777" w:rsidR="000923BB" w:rsidRPr="00FB3AC0" w:rsidRDefault="000923BB" w:rsidP="000923BB">
      <w:pPr>
        <w:tabs>
          <w:tab w:val="center" w:pos="2145"/>
        </w:tabs>
        <w:autoSpaceDE w:val="0"/>
        <w:autoSpaceDN w:val="0"/>
        <w:adjustRightInd w:val="0"/>
        <w:rPr>
          <w:rFonts w:cs="Arial"/>
          <w:b/>
          <w:bCs/>
          <w:color w:val="000000"/>
          <w:sz w:val="18"/>
          <w:szCs w:val="18"/>
        </w:rPr>
      </w:pPr>
      <w:r w:rsidRPr="00FB3AC0">
        <w:rPr>
          <w:rFonts w:cs="Arial"/>
          <w:b/>
          <w:bCs/>
          <w:color w:val="000000"/>
          <w:sz w:val="18"/>
          <w:szCs w:val="18"/>
        </w:rPr>
        <w:t xml:space="preserve"> If yes, is x-ray report in notes?</w:t>
      </w:r>
    </w:p>
    <w:p w14:paraId="57D034ED" w14:textId="77777777" w:rsidR="000923BB" w:rsidRPr="00FB3AC0" w:rsidRDefault="000923BB" w:rsidP="000923BB">
      <w:pPr>
        <w:tabs>
          <w:tab w:val="center" w:pos="2145"/>
        </w:tabs>
        <w:autoSpaceDE w:val="0"/>
        <w:autoSpaceDN w:val="0"/>
        <w:adjustRightInd w:val="0"/>
        <w:rPr>
          <w:rFonts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206"/>
        <w:gridCol w:w="1594"/>
        <w:gridCol w:w="1123"/>
        <w:gridCol w:w="1080"/>
      </w:tblGrid>
      <w:tr w:rsidR="000923BB" w:rsidRPr="00FB3AC0" w14:paraId="25515B27" w14:textId="77777777" w:rsidTr="003A385F">
        <w:trPr>
          <w:trHeight w:val="504"/>
        </w:trPr>
        <w:tc>
          <w:tcPr>
            <w:tcW w:w="180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698B3E30"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1DDDAC54" w14:textId="77777777" w:rsidR="000923BB" w:rsidRPr="00FB3AC0" w:rsidRDefault="000923BB" w:rsidP="003A385F">
            <w:pPr>
              <w:autoSpaceDE w:val="0"/>
              <w:autoSpaceDN w:val="0"/>
              <w:adjustRightInd w:val="0"/>
              <w:jc w:val="center"/>
              <w:rPr>
                <w:rFonts w:cs="Arial"/>
                <w:color w:val="000000"/>
                <w:sz w:val="18"/>
                <w:szCs w:val="18"/>
              </w:rPr>
            </w:pPr>
            <w:r w:rsidRPr="00FB3AC0">
              <w:rPr>
                <w:rFonts w:cs="Arial"/>
                <w:color w:val="000000"/>
                <w:sz w:val="18"/>
                <w:szCs w:val="18"/>
              </w:rPr>
              <w:t>n</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5C28D3C7" w14:textId="77777777" w:rsidR="000923BB" w:rsidRPr="00FB3AC0" w:rsidRDefault="000923BB" w:rsidP="003A385F">
            <w:pPr>
              <w:autoSpaceDE w:val="0"/>
              <w:autoSpaceDN w:val="0"/>
              <w:adjustRightInd w:val="0"/>
              <w:jc w:val="center"/>
              <w:rPr>
                <w:rFonts w:cs="Arial"/>
                <w:color w:val="000000"/>
                <w:sz w:val="18"/>
                <w:szCs w:val="18"/>
              </w:rPr>
            </w:pPr>
            <w:r w:rsidRPr="00FB3AC0">
              <w:rPr>
                <w:rFonts w:cs="Arial"/>
                <w:color w:val="000000"/>
                <w:sz w:val="18"/>
                <w:szCs w:val="18"/>
              </w:rPr>
              <w:t>Percent</w:t>
            </w:r>
          </w:p>
        </w:tc>
      </w:tr>
      <w:tr w:rsidR="000923BB" w:rsidRPr="00FB3AC0" w14:paraId="088FBA58" w14:textId="77777777" w:rsidTr="003A385F">
        <w:trPr>
          <w:trHeight w:val="273"/>
        </w:trPr>
        <w:tc>
          <w:tcPr>
            <w:tcW w:w="206" w:type="dxa"/>
            <w:vMerge w:val="restart"/>
            <w:tcBorders>
              <w:top w:val="single" w:sz="12" w:space="0" w:color="000000"/>
              <w:left w:val="single" w:sz="12" w:space="0" w:color="000000"/>
              <w:bottom w:val="nil"/>
              <w:right w:val="nil"/>
            </w:tcBorders>
            <w:shd w:val="clear" w:color="000000" w:fill="FFFFFF"/>
          </w:tcPr>
          <w:p w14:paraId="3D22A330"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594" w:type="dxa"/>
            <w:tcBorders>
              <w:top w:val="single" w:sz="12" w:space="0" w:color="000000"/>
              <w:left w:val="nil"/>
              <w:bottom w:val="nil"/>
              <w:right w:val="single" w:sz="12" w:space="0" w:color="000000"/>
            </w:tcBorders>
            <w:shd w:val="clear" w:color="000000" w:fill="FFFFFF"/>
          </w:tcPr>
          <w:p w14:paraId="74DB2EDE"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Missing</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14:paraId="17A1F0F7"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3AA5E004"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5.6</w:t>
            </w:r>
          </w:p>
        </w:tc>
      </w:tr>
      <w:tr w:rsidR="000923BB" w:rsidRPr="00FB3AC0" w14:paraId="64A29D97" w14:textId="77777777" w:rsidTr="003A385F">
        <w:trPr>
          <w:trHeight w:val="273"/>
        </w:trPr>
        <w:tc>
          <w:tcPr>
            <w:tcW w:w="206" w:type="dxa"/>
            <w:tcBorders>
              <w:top w:val="nil"/>
              <w:left w:val="single" w:sz="12" w:space="0" w:color="000000"/>
              <w:bottom w:val="nil"/>
              <w:right w:val="nil"/>
            </w:tcBorders>
            <w:shd w:val="clear" w:color="000000" w:fill="FFFFFF"/>
          </w:tcPr>
          <w:p w14:paraId="0CEC80FD" w14:textId="77777777" w:rsidR="000923BB" w:rsidRPr="00FB3AC0" w:rsidRDefault="000923BB" w:rsidP="003A385F">
            <w:pPr>
              <w:autoSpaceDE w:val="0"/>
              <w:autoSpaceDN w:val="0"/>
              <w:adjustRightInd w:val="0"/>
              <w:rPr>
                <w:rFonts w:cs="Arial"/>
                <w:color w:val="000000"/>
                <w:sz w:val="18"/>
                <w:szCs w:val="18"/>
              </w:rPr>
            </w:pPr>
          </w:p>
        </w:tc>
        <w:tc>
          <w:tcPr>
            <w:tcW w:w="1594" w:type="dxa"/>
            <w:tcBorders>
              <w:top w:val="nil"/>
              <w:left w:val="nil"/>
              <w:bottom w:val="nil"/>
              <w:right w:val="single" w:sz="12" w:space="0" w:color="000000"/>
            </w:tcBorders>
            <w:shd w:val="clear" w:color="000000" w:fill="FFFFFF"/>
          </w:tcPr>
          <w:p w14:paraId="681D142B"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No</w:t>
            </w:r>
          </w:p>
        </w:tc>
        <w:tc>
          <w:tcPr>
            <w:tcW w:w="1123" w:type="dxa"/>
            <w:tcBorders>
              <w:top w:val="nil"/>
              <w:left w:val="single" w:sz="12" w:space="0" w:color="000000"/>
              <w:bottom w:val="nil"/>
              <w:right w:val="single" w:sz="2" w:space="0" w:color="000000"/>
            </w:tcBorders>
            <w:shd w:val="clear" w:color="000000" w:fill="FFFFFF"/>
            <w:vAlign w:val="center"/>
          </w:tcPr>
          <w:p w14:paraId="3E9BA08B"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0</w:t>
            </w:r>
          </w:p>
        </w:tc>
        <w:tc>
          <w:tcPr>
            <w:tcW w:w="1080" w:type="dxa"/>
            <w:tcBorders>
              <w:top w:val="nil"/>
              <w:left w:val="single" w:sz="2" w:space="0" w:color="000000"/>
              <w:bottom w:val="nil"/>
              <w:right w:val="single" w:sz="2" w:space="0" w:color="000000"/>
            </w:tcBorders>
            <w:shd w:val="clear" w:color="000000" w:fill="FFFFFF"/>
            <w:vAlign w:val="center"/>
          </w:tcPr>
          <w:p w14:paraId="736AD60D"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0.0</w:t>
            </w:r>
          </w:p>
        </w:tc>
      </w:tr>
      <w:tr w:rsidR="000923BB" w:rsidRPr="00FB3AC0" w14:paraId="7F9215DD" w14:textId="77777777" w:rsidTr="003A385F">
        <w:trPr>
          <w:trHeight w:val="273"/>
        </w:trPr>
        <w:tc>
          <w:tcPr>
            <w:tcW w:w="206" w:type="dxa"/>
            <w:vMerge w:val="restart"/>
            <w:tcBorders>
              <w:top w:val="nil"/>
              <w:left w:val="single" w:sz="12" w:space="0" w:color="000000"/>
              <w:bottom w:val="nil"/>
              <w:right w:val="nil"/>
            </w:tcBorders>
            <w:shd w:val="clear" w:color="000000" w:fill="FFFFFF"/>
          </w:tcPr>
          <w:p w14:paraId="4D84A736"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594" w:type="dxa"/>
            <w:tcBorders>
              <w:top w:val="nil"/>
              <w:left w:val="nil"/>
              <w:bottom w:val="nil"/>
              <w:right w:val="single" w:sz="12" w:space="0" w:color="000000"/>
            </w:tcBorders>
            <w:shd w:val="clear" w:color="000000" w:fill="FFFFFF"/>
          </w:tcPr>
          <w:p w14:paraId="750F9808"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yes</w:t>
            </w:r>
          </w:p>
        </w:tc>
        <w:tc>
          <w:tcPr>
            <w:tcW w:w="1123" w:type="dxa"/>
            <w:tcBorders>
              <w:top w:val="nil"/>
              <w:left w:val="single" w:sz="12" w:space="0" w:color="000000"/>
              <w:bottom w:val="nil"/>
              <w:right w:val="single" w:sz="2" w:space="0" w:color="000000"/>
            </w:tcBorders>
            <w:shd w:val="clear" w:color="000000" w:fill="FFFFFF"/>
            <w:vAlign w:val="center"/>
          </w:tcPr>
          <w:p w14:paraId="72486DCE"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34</w:t>
            </w:r>
          </w:p>
        </w:tc>
        <w:tc>
          <w:tcPr>
            <w:tcW w:w="1080" w:type="dxa"/>
            <w:tcBorders>
              <w:top w:val="nil"/>
              <w:left w:val="single" w:sz="2" w:space="0" w:color="000000"/>
              <w:bottom w:val="nil"/>
              <w:right w:val="single" w:sz="2" w:space="0" w:color="000000"/>
            </w:tcBorders>
            <w:shd w:val="clear" w:color="000000" w:fill="FFFFFF"/>
            <w:vAlign w:val="center"/>
          </w:tcPr>
          <w:p w14:paraId="5FA95E43"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94.4</w:t>
            </w:r>
          </w:p>
        </w:tc>
      </w:tr>
      <w:tr w:rsidR="000923BB" w:rsidRPr="00FB3AC0" w14:paraId="7536A667" w14:textId="77777777" w:rsidTr="003A385F">
        <w:trPr>
          <w:trHeight w:val="273"/>
        </w:trPr>
        <w:tc>
          <w:tcPr>
            <w:tcW w:w="206" w:type="dxa"/>
            <w:tcBorders>
              <w:top w:val="nil"/>
              <w:left w:val="single" w:sz="12" w:space="0" w:color="000000"/>
              <w:bottom w:val="single" w:sz="12" w:space="0" w:color="000000"/>
              <w:right w:val="nil"/>
            </w:tcBorders>
            <w:shd w:val="clear" w:color="000000" w:fill="FFFFFF"/>
          </w:tcPr>
          <w:p w14:paraId="225DC436"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594" w:type="dxa"/>
            <w:tcBorders>
              <w:top w:val="nil"/>
              <w:left w:val="nil"/>
              <w:bottom w:val="single" w:sz="12" w:space="0" w:color="000000"/>
              <w:right w:val="single" w:sz="12" w:space="0" w:color="000000"/>
            </w:tcBorders>
            <w:shd w:val="clear" w:color="000000" w:fill="FFFFFF"/>
          </w:tcPr>
          <w:p w14:paraId="023D0817"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14:paraId="7A6BFDDE"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36</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1BF7319A"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100.0</w:t>
            </w:r>
          </w:p>
        </w:tc>
      </w:tr>
    </w:tbl>
    <w:p w14:paraId="4C9AA5DE" w14:textId="77777777" w:rsidR="000923BB" w:rsidRPr="00FB3AC0" w:rsidRDefault="000923BB" w:rsidP="000923BB">
      <w:pPr>
        <w:rPr>
          <w:rFonts w:cs="Arial"/>
          <w:b/>
          <w:sz w:val="28"/>
          <w:szCs w:val="28"/>
        </w:rPr>
      </w:pPr>
    </w:p>
    <w:p w14:paraId="63DA1794" w14:textId="77777777" w:rsidR="000923BB" w:rsidRPr="00FB3AC0" w:rsidRDefault="000923BB" w:rsidP="000923BB">
      <w:pPr>
        <w:tabs>
          <w:tab w:val="center" w:pos="3312"/>
        </w:tabs>
        <w:autoSpaceDE w:val="0"/>
        <w:autoSpaceDN w:val="0"/>
        <w:adjustRightInd w:val="0"/>
        <w:rPr>
          <w:rFonts w:cs="Arial"/>
          <w:b/>
          <w:bCs/>
          <w:color w:val="000000"/>
          <w:sz w:val="18"/>
          <w:szCs w:val="18"/>
          <w:lang w:val="en-US"/>
        </w:rPr>
      </w:pPr>
      <w:r w:rsidRPr="00FB3AC0">
        <w:rPr>
          <w:rFonts w:cs="Arial"/>
          <w:b/>
          <w:bCs/>
          <w:color w:val="000000"/>
          <w:sz w:val="18"/>
          <w:szCs w:val="18"/>
          <w:lang w:val="en-US"/>
        </w:rPr>
        <w:t>Respiratory rate within 24h?</w:t>
      </w:r>
    </w:p>
    <w:p w14:paraId="40C7721D" w14:textId="77777777" w:rsidR="000923BB" w:rsidRPr="00FB3AC0" w:rsidRDefault="000923BB" w:rsidP="000923BB">
      <w:pPr>
        <w:tabs>
          <w:tab w:val="center" w:pos="3312"/>
        </w:tabs>
        <w:autoSpaceDE w:val="0"/>
        <w:autoSpaceDN w:val="0"/>
        <w:adjustRightInd w:val="0"/>
        <w:rPr>
          <w:rFonts w:cs="Arial"/>
          <w:b/>
          <w:bCs/>
          <w:color w:val="000000"/>
          <w:sz w:val="18"/>
          <w:szCs w:val="18"/>
          <w:lang w:val="en-US"/>
        </w:rPr>
      </w:pPr>
    </w:p>
    <w:tbl>
      <w:tblPr>
        <w:tblW w:w="0" w:type="auto"/>
        <w:tblInd w:w="93" w:type="dxa"/>
        <w:tblLayout w:type="fixed"/>
        <w:tblCellMar>
          <w:left w:w="93" w:type="dxa"/>
          <w:right w:w="93" w:type="dxa"/>
        </w:tblCellMar>
        <w:tblLook w:val="0000" w:firstRow="0" w:lastRow="0" w:firstColumn="0" w:lastColumn="0" w:noHBand="0" w:noVBand="0"/>
      </w:tblPr>
      <w:tblGrid>
        <w:gridCol w:w="206"/>
        <w:gridCol w:w="1291"/>
        <w:gridCol w:w="1123"/>
        <w:gridCol w:w="1080"/>
      </w:tblGrid>
      <w:tr w:rsidR="000923BB" w:rsidRPr="00FB3AC0" w14:paraId="40B651A0" w14:textId="77777777" w:rsidTr="003A385F">
        <w:trPr>
          <w:trHeight w:val="504"/>
        </w:trPr>
        <w:tc>
          <w:tcPr>
            <w:tcW w:w="1497"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3E71AB36"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29C206F1"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n</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13911A9A"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Percent</w:t>
            </w:r>
          </w:p>
        </w:tc>
      </w:tr>
      <w:tr w:rsidR="000923BB" w:rsidRPr="00FB3AC0" w14:paraId="64A8D8C4" w14:textId="77777777" w:rsidTr="003A385F">
        <w:trPr>
          <w:trHeight w:val="273"/>
        </w:trPr>
        <w:tc>
          <w:tcPr>
            <w:tcW w:w="206" w:type="dxa"/>
            <w:tcBorders>
              <w:top w:val="single" w:sz="12" w:space="0" w:color="000000"/>
              <w:left w:val="single" w:sz="12" w:space="0" w:color="000000"/>
              <w:right w:val="nil"/>
            </w:tcBorders>
            <w:shd w:val="clear" w:color="000000" w:fill="FFFFFF"/>
          </w:tcPr>
          <w:p w14:paraId="2D662C23" w14:textId="77777777" w:rsidR="000923BB" w:rsidRPr="00FB3AC0" w:rsidRDefault="000923BB" w:rsidP="003A385F">
            <w:pPr>
              <w:autoSpaceDE w:val="0"/>
              <w:autoSpaceDN w:val="0"/>
              <w:adjustRightInd w:val="0"/>
              <w:rPr>
                <w:rFonts w:cs="Arial"/>
                <w:color w:val="000000"/>
                <w:sz w:val="18"/>
                <w:szCs w:val="18"/>
                <w:lang w:val="en-US"/>
              </w:rPr>
            </w:pPr>
          </w:p>
        </w:tc>
        <w:tc>
          <w:tcPr>
            <w:tcW w:w="1291" w:type="dxa"/>
            <w:tcBorders>
              <w:top w:val="single" w:sz="12" w:space="0" w:color="000000"/>
              <w:left w:val="nil"/>
              <w:right w:val="single" w:sz="12" w:space="0" w:color="000000"/>
            </w:tcBorders>
            <w:shd w:val="clear" w:color="000000" w:fill="FFFFFF"/>
          </w:tcPr>
          <w:p w14:paraId="43B7F95B"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yes</w:t>
            </w:r>
          </w:p>
        </w:tc>
        <w:tc>
          <w:tcPr>
            <w:tcW w:w="1123" w:type="dxa"/>
            <w:tcBorders>
              <w:top w:val="single" w:sz="12" w:space="0" w:color="000000"/>
              <w:left w:val="single" w:sz="12" w:space="0" w:color="000000"/>
              <w:right w:val="single" w:sz="2" w:space="0" w:color="000000"/>
            </w:tcBorders>
            <w:shd w:val="clear" w:color="000000" w:fill="FFFFFF"/>
          </w:tcPr>
          <w:p w14:paraId="03E5EC35" w14:textId="77777777" w:rsidR="000923BB" w:rsidRPr="00FB3AC0" w:rsidRDefault="000923BB" w:rsidP="003A385F">
            <w:pPr>
              <w:rPr>
                <w:rFonts w:cs="Arial"/>
                <w:sz w:val="20"/>
                <w:szCs w:val="20"/>
              </w:rPr>
            </w:pPr>
            <w:r w:rsidRPr="00FB3AC0">
              <w:rPr>
                <w:rFonts w:cs="Arial"/>
                <w:sz w:val="20"/>
                <w:szCs w:val="20"/>
              </w:rPr>
              <w:t>2</w:t>
            </w:r>
          </w:p>
        </w:tc>
        <w:tc>
          <w:tcPr>
            <w:tcW w:w="1080" w:type="dxa"/>
            <w:tcBorders>
              <w:top w:val="single" w:sz="12" w:space="0" w:color="000000"/>
              <w:left w:val="single" w:sz="2" w:space="0" w:color="000000"/>
              <w:right w:val="single" w:sz="2" w:space="0" w:color="000000"/>
            </w:tcBorders>
            <w:shd w:val="clear" w:color="000000" w:fill="FFFFFF"/>
          </w:tcPr>
          <w:p w14:paraId="26A3600F" w14:textId="77777777" w:rsidR="000923BB" w:rsidRPr="00FB3AC0" w:rsidRDefault="000923BB" w:rsidP="003A385F">
            <w:pPr>
              <w:rPr>
                <w:rFonts w:cs="Arial"/>
                <w:sz w:val="20"/>
                <w:szCs w:val="20"/>
              </w:rPr>
            </w:pPr>
            <w:r w:rsidRPr="00FB3AC0">
              <w:rPr>
                <w:rFonts w:cs="Arial"/>
                <w:sz w:val="20"/>
                <w:szCs w:val="20"/>
              </w:rPr>
              <w:t>5.6</w:t>
            </w:r>
          </w:p>
        </w:tc>
      </w:tr>
      <w:tr w:rsidR="000923BB" w:rsidRPr="00FB3AC0" w14:paraId="21CBA91F" w14:textId="77777777" w:rsidTr="003A385F">
        <w:trPr>
          <w:trHeight w:val="273"/>
        </w:trPr>
        <w:tc>
          <w:tcPr>
            <w:tcW w:w="206" w:type="dxa"/>
            <w:tcBorders>
              <w:left w:val="single" w:sz="12" w:space="0" w:color="000000"/>
              <w:right w:val="nil"/>
            </w:tcBorders>
            <w:shd w:val="clear" w:color="000000" w:fill="FFFFFF"/>
          </w:tcPr>
          <w:p w14:paraId="3C90D5AF" w14:textId="77777777" w:rsidR="000923BB" w:rsidRPr="00FB3AC0" w:rsidRDefault="000923BB" w:rsidP="003A385F">
            <w:pPr>
              <w:autoSpaceDE w:val="0"/>
              <w:autoSpaceDN w:val="0"/>
              <w:adjustRightInd w:val="0"/>
              <w:rPr>
                <w:rFonts w:cs="Arial"/>
                <w:color w:val="000000"/>
                <w:sz w:val="18"/>
                <w:szCs w:val="18"/>
                <w:lang w:val="en-US"/>
              </w:rPr>
            </w:pPr>
          </w:p>
        </w:tc>
        <w:tc>
          <w:tcPr>
            <w:tcW w:w="1291" w:type="dxa"/>
            <w:tcBorders>
              <w:left w:val="nil"/>
              <w:right w:val="single" w:sz="12" w:space="0" w:color="000000"/>
            </w:tcBorders>
            <w:shd w:val="clear" w:color="000000" w:fill="FFFFFF"/>
          </w:tcPr>
          <w:p w14:paraId="1B62656E"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No</w:t>
            </w:r>
          </w:p>
        </w:tc>
        <w:tc>
          <w:tcPr>
            <w:tcW w:w="1123" w:type="dxa"/>
            <w:tcBorders>
              <w:left w:val="single" w:sz="12" w:space="0" w:color="000000"/>
              <w:right w:val="single" w:sz="2" w:space="0" w:color="000000"/>
            </w:tcBorders>
            <w:shd w:val="clear" w:color="000000" w:fill="FFFFFF"/>
          </w:tcPr>
          <w:p w14:paraId="28D9F20C" w14:textId="77777777" w:rsidR="000923BB" w:rsidRPr="00FB3AC0" w:rsidRDefault="000923BB" w:rsidP="003A385F">
            <w:pPr>
              <w:rPr>
                <w:rFonts w:cs="Arial"/>
                <w:sz w:val="20"/>
                <w:szCs w:val="20"/>
              </w:rPr>
            </w:pPr>
            <w:r w:rsidRPr="00FB3AC0">
              <w:rPr>
                <w:rFonts w:cs="Arial"/>
                <w:sz w:val="20"/>
                <w:szCs w:val="20"/>
              </w:rPr>
              <w:t>34</w:t>
            </w:r>
          </w:p>
        </w:tc>
        <w:tc>
          <w:tcPr>
            <w:tcW w:w="1080" w:type="dxa"/>
            <w:tcBorders>
              <w:left w:val="single" w:sz="2" w:space="0" w:color="000000"/>
              <w:right w:val="single" w:sz="2" w:space="0" w:color="000000"/>
            </w:tcBorders>
            <w:shd w:val="clear" w:color="000000" w:fill="FFFFFF"/>
          </w:tcPr>
          <w:p w14:paraId="4C277BF8" w14:textId="77777777" w:rsidR="000923BB" w:rsidRPr="00FB3AC0" w:rsidRDefault="000923BB" w:rsidP="003A385F">
            <w:pPr>
              <w:rPr>
                <w:rFonts w:cs="Arial"/>
                <w:sz w:val="20"/>
                <w:szCs w:val="20"/>
              </w:rPr>
            </w:pPr>
            <w:r w:rsidRPr="00FB3AC0">
              <w:rPr>
                <w:rFonts w:cs="Arial"/>
                <w:sz w:val="20"/>
                <w:szCs w:val="20"/>
              </w:rPr>
              <w:t>94.4</w:t>
            </w:r>
          </w:p>
        </w:tc>
      </w:tr>
      <w:tr w:rsidR="000923BB" w:rsidRPr="00FB3AC0" w14:paraId="7F78C364" w14:textId="77777777" w:rsidTr="003A385F">
        <w:trPr>
          <w:trHeight w:val="273"/>
        </w:trPr>
        <w:tc>
          <w:tcPr>
            <w:tcW w:w="206" w:type="dxa"/>
            <w:tcBorders>
              <w:left w:val="single" w:sz="12" w:space="0" w:color="000000"/>
              <w:bottom w:val="single" w:sz="12" w:space="0" w:color="000000"/>
              <w:right w:val="nil"/>
            </w:tcBorders>
            <w:shd w:val="clear" w:color="000000" w:fill="FFFFFF"/>
          </w:tcPr>
          <w:p w14:paraId="1D23BD71" w14:textId="77777777" w:rsidR="000923BB" w:rsidRPr="00FB3AC0" w:rsidRDefault="000923BB" w:rsidP="003A385F">
            <w:pPr>
              <w:autoSpaceDE w:val="0"/>
              <w:autoSpaceDN w:val="0"/>
              <w:adjustRightInd w:val="0"/>
              <w:rPr>
                <w:rFonts w:cs="Arial"/>
                <w:color w:val="000000"/>
                <w:sz w:val="18"/>
                <w:szCs w:val="18"/>
                <w:lang w:val="en-US"/>
              </w:rPr>
            </w:pPr>
          </w:p>
        </w:tc>
        <w:tc>
          <w:tcPr>
            <w:tcW w:w="1291" w:type="dxa"/>
            <w:tcBorders>
              <w:left w:val="nil"/>
              <w:bottom w:val="single" w:sz="12" w:space="0" w:color="000000"/>
              <w:right w:val="single" w:sz="12" w:space="0" w:color="000000"/>
            </w:tcBorders>
            <w:shd w:val="clear" w:color="000000" w:fill="FFFFFF"/>
          </w:tcPr>
          <w:p w14:paraId="7F274DD9"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Total </w:t>
            </w:r>
          </w:p>
        </w:tc>
        <w:tc>
          <w:tcPr>
            <w:tcW w:w="1123" w:type="dxa"/>
            <w:tcBorders>
              <w:left w:val="single" w:sz="12" w:space="0" w:color="000000"/>
              <w:bottom w:val="single" w:sz="12" w:space="0" w:color="000000"/>
              <w:right w:val="single" w:sz="2" w:space="0" w:color="000000"/>
            </w:tcBorders>
            <w:shd w:val="clear" w:color="000000" w:fill="FFFFFF"/>
          </w:tcPr>
          <w:p w14:paraId="21E267B5" w14:textId="77777777" w:rsidR="000923BB" w:rsidRPr="00FB3AC0" w:rsidRDefault="000923BB" w:rsidP="003A385F">
            <w:pPr>
              <w:rPr>
                <w:rFonts w:cs="Arial"/>
                <w:sz w:val="20"/>
                <w:szCs w:val="20"/>
              </w:rPr>
            </w:pPr>
            <w:r w:rsidRPr="00FB3AC0">
              <w:rPr>
                <w:rFonts w:cs="Arial"/>
                <w:sz w:val="20"/>
                <w:szCs w:val="20"/>
              </w:rPr>
              <w:t>36</w:t>
            </w:r>
          </w:p>
        </w:tc>
        <w:tc>
          <w:tcPr>
            <w:tcW w:w="1080" w:type="dxa"/>
            <w:tcBorders>
              <w:left w:val="single" w:sz="2" w:space="0" w:color="000000"/>
              <w:bottom w:val="single" w:sz="12" w:space="0" w:color="000000"/>
              <w:right w:val="single" w:sz="2" w:space="0" w:color="000000"/>
            </w:tcBorders>
            <w:shd w:val="clear" w:color="000000" w:fill="FFFFFF"/>
          </w:tcPr>
          <w:p w14:paraId="05B1578F" w14:textId="77777777" w:rsidR="000923BB" w:rsidRPr="00FB3AC0" w:rsidRDefault="000923BB" w:rsidP="003A385F">
            <w:pPr>
              <w:rPr>
                <w:rFonts w:cs="Arial"/>
                <w:sz w:val="20"/>
                <w:szCs w:val="20"/>
              </w:rPr>
            </w:pPr>
            <w:r w:rsidRPr="00FB3AC0">
              <w:rPr>
                <w:rFonts w:cs="Arial"/>
                <w:sz w:val="20"/>
                <w:szCs w:val="20"/>
              </w:rPr>
              <w:t>100.0</w:t>
            </w:r>
          </w:p>
        </w:tc>
      </w:tr>
    </w:tbl>
    <w:p w14:paraId="56ECC73E" w14:textId="77777777" w:rsidR="004932C5" w:rsidRPr="00FB3AC0" w:rsidRDefault="004932C5" w:rsidP="004932C5">
      <w:pPr>
        <w:tabs>
          <w:tab w:val="center" w:pos="3312"/>
        </w:tabs>
        <w:autoSpaceDE w:val="0"/>
        <w:autoSpaceDN w:val="0"/>
        <w:adjustRightInd w:val="0"/>
        <w:rPr>
          <w:rFonts w:cs="Arial"/>
          <w:b/>
          <w:bCs/>
          <w:color w:val="000000"/>
          <w:sz w:val="18"/>
          <w:szCs w:val="18"/>
          <w:lang w:val="en-US"/>
        </w:rPr>
      </w:pPr>
    </w:p>
    <w:p w14:paraId="54A46F5D" w14:textId="77777777" w:rsidR="004932C5" w:rsidRPr="00FB3AC0" w:rsidRDefault="004932C5" w:rsidP="004932C5">
      <w:pPr>
        <w:tabs>
          <w:tab w:val="center" w:pos="3312"/>
        </w:tabs>
        <w:autoSpaceDE w:val="0"/>
        <w:autoSpaceDN w:val="0"/>
        <w:adjustRightInd w:val="0"/>
        <w:rPr>
          <w:rFonts w:cs="Arial"/>
          <w:b/>
          <w:bCs/>
          <w:color w:val="000000"/>
          <w:sz w:val="18"/>
          <w:szCs w:val="18"/>
          <w:lang w:val="en-US"/>
        </w:rPr>
      </w:pPr>
      <w:r w:rsidRPr="00FB3AC0">
        <w:rPr>
          <w:rFonts w:cs="Arial"/>
          <w:b/>
          <w:bCs/>
          <w:color w:val="000000"/>
          <w:sz w:val="18"/>
          <w:szCs w:val="18"/>
          <w:lang w:val="en-US"/>
        </w:rPr>
        <w:t>Blood gases within 24h?</w:t>
      </w:r>
    </w:p>
    <w:p w14:paraId="43511475" w14:textId="77777777" w:rsidR="004932C5" w:rsidRPr="00FB3AC0" w:rsidRDefault="004932C5" w:rsidP="004932C5">
      <w:pPr>
        <w:tabs>
          <w:tab w:val="center" w:pos="3312"/>
        </w:tabs>
        <w:autoSpaceDE w:val="0"/>
        <w:autoSpaceDN w:val="0"/>
        <w:adjustRightInd w:val="0"/>
        <w:rPr>
          <w:rFonts w:cs="Arial"/>
          <w:b/>
          <w:bCs/>
          <w:color w:val="000000"/>
          <w:sz w:val="18"/>
          <w:szCs w:val="18"/>
          <w:lang w:val="en-US"/>
        </w:rPr>
      </w:pPr>
    </w:p>
    <w:tbl>
      <w:tblPr>
        <w:tblW w:w="0" w:type="auto"/>
        <w:tblInd w:w="93" w:type="dxa"/>
        <w:tblLayout w:type="fixed"/>
        <w:tblCellMar>
          <w:left w:w="93" w:type="dxa"/>
          <w:right w:w="93" w:type="dxa"/>
        </w:tblCellMar>
        <w:tblLook w:val="0000" w:firstRow="0" w:lastRow="0" w:firstColumn="0" w:lastColumn="0" w:noHBand="0" w:noVBand="0"/>
      </w:tblPr>
      <w:tblGrid>
        <w:gridCol w:w="206"/>
        <w:gridCol w:w="1291"/>
        <w:gridCol w:w="1123"/>
        <w:gridCol w:w="1080"/>
      </w:tblGrid>
      <w:tr w:rsidR="004932C5" w:rsidRPr="00FB3AC0" w14:paraId="49955A1A" w14:textId="77777777" w:rsidTr="00C646D5">
        <w:trPr>
          <w:trHeight w:val="504"/>
        </w:trPr>
        <w:tc>
          <w:tcPr>
            <w:tcW w:w="1497"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188AA5E5" w14:textId="77777777" w:rsidR="004932C5" w:rsidRPr="00FB3AC0" w:rsidRDefault="004932C5" w:rsidP="00C646D5">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1A0B106B" w14:textId="77777777" w:rsidR="004932C5" w:rsidRPr="00FB3AC0" w:rsidRDefault="004932C5" w:rsidP="00C646D5">
            <w:pPr>
              <w:autoSpaceDE w:val="0"/>
              <w:autoSpaceDN w:val="0"/>
              <w:adjustRightInd w:val="0"/>
              <w:jc w:val="center"/>
              <w:rPr>
                <w:rFonts w:cs="Arial"/>
                <w:color w:val="000000"/>
                <w:sz w:val="18"/>
                <w:szCs w:val="18"/>
                <w:lang w:val="en-US"/>
              </w:rPr>
            </w:pPr>
            <w:r w:rsidRPr="00FB3AC0">
              <w:rPr>
                <w:rFonts w:cs="Arial"/>
                <w:color w:val="000000"/>
                <w:sz w:val="18"/>
                <w:szCs w:val="18"/>
                <w:lang w:val="en-US"/>
              </w:rPr>
              <w:t>n</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3581A4A0" w14:textId="77777777" w:rsidR="004932C5" w:rsidRPr="00FB3AC0" w:rsidRDefault="004932C5" w:rsidP="00C646D5">
            <w:pPr>
              <w:autoSpaceDE w:val="0"/>
              <w:autoSpaceDN w:val="0"/>
              <w:adjustRightInd w:val="0"/>
              <w:jc w:val="center"/>
              <w:rPr>
                <w:rFonts w:cs="Arial"/>
                <w:color w:val="000000"/>
                <w:sz w:val="18"/>
                <w:szCs w:val="18"/>
                <w:lang w:val="en-US"/>
              </w:rPr>
            </w:pPr>
            <w:r w:rsidRPr="00FB3AC0">
              <w:rPr>
                <w:rFonts w:cs="Arial"/>
                <w:color w:val="000000"/>
                <w:sz w:val="18"/>
                <w:szCs w:val="18"/>
                <w:lang w:val="en-US"/>
              </w:rPr>
              <w:t>Percent</w:t>
            </w:r>
          </w:p>
        </w:tc>
      </w:tr>
      <w:tr w:rsidR="004932C5" w:rsidRPr="00FB3AC0" w14:paraId="4774B747" w14:textId="77777777" w:rsidTr="00C646D5">
        <w:trPr>
          <w:trHeight w:val="273"/>
        </w:trPr>
        <w:tc>
          <w:tcPr>
            <w:tcW w:w="206" w:type="dxa"/>
            <w:tcBorders>
              <w:top w:val="single" w:sz="12" w:space="0" w:color="000000"/>
              <w:left w:val="single" w:sz="12" w:space="0" w:color="000000"/>
              <w:bottom w:val="nil"/>
              <w:right w:val="nil"/>
            </w:tcBorders>
            <w:shd w:val="clear" w:color="000000" w:fill="FFFFFF"/>
          </w:tcPr>
          <w:p w14:paraId="01AE7855" w14:textId="77777777" w:rsidR="004932C5" w:rsidRPr="00FB3AC0" w:rsidRDefault="004932C5" w:rsidP="00C646D5">
            <w:pPr>
              <w:autoSpaceDE w:val="0"/>
              <w:autoSpaceDN w:val="0"/>
              <w:adjustRightInd w:val="0"/>
              <w:rPr>
                <w:rFonts w:cs="Arial"/>
                <w:color w:val="000000"/>
                <w:sz w:val="18"/>
                <w:szCs w:val="18"/>
                <w:lang w:val="en-US"/>
              </w:rPr>
            </w:pPr>
          </w:p>
        </w:tc>
        <w:tc>
          <w:tcPr>
            <w:tcW w:w="1291" w:type="dxa"/>
            <w:tcBorders>
              <w:top w:val="single" w:sz="12" w:space="0" w:color="000000"/>
              <w:left w:val="nil"/>
              <w:bottom w:val="nil"/>
              <w:right w:val="single" w:sz="12" w:space="0" w:color="000000"/>
            </w:tcBorders>
            <w:shd w:val="clear" w:color="000000" w:fill="FFFFFF"/>
          </w:tcPr>
          <w:p w14:paraId="1D4B030A" w14:textId="77777777" w:rsidR="004932C5" w:rsidRPr="00FB3AC0" w:rsidRDefault="004932C5" w:rsidP="00C646D5">
            <w:pPr>
              <w:autoSpaceDE w:val="0"/>
              <w:autoSpaceDN w:val="0"/>
              <w:adjustRightInd w:val="0"/>
              <w:rPr>
                <w:rFonts w:cs="Arial"/>
                <w:color w:val="000000"/>
                <w:sz w:val="18"/>
                <w:szCs w:val="18"/>
                <w:lang w:val="en-US"/>
              </w:rPr>
            </w:pPr>
            <w:r w:rsidRPr="00FB3AC0">
              <w:rPr>
                <w:rFonts w:cs="Arial"/>
                <w:color w:val="000000"/>
                <w:sz w:val="18"/>
                <w:szCs w:val="18"/>
                <w:lang w:val="en-US"/>
              </w:rPr>
              <w:t>no</w:t>
            </w:r>
          </w:p>
        </w:tc>
        <w:tc>
          <w:tcPr>
            <w:tcW w:w="1123" w:type="dxa"/>
            <w:tcBorders>
              <w:top w:val="single" w:sz="12" w:space="0" w:color="000000"/>
              <w:left w:val="single" w:sz="12" w:space="0" w:color="000000"/>
              <w:bottom w:val="nil"/>
              <w:right w:val="single" w:sz="2" w:space="0" w:color="000000"/>
            </w:tcBorders>
            <w:shd w:val="clear" w:color="000000" w:fill="FFFFFF"/>
          </w:tcPr>
          <w:p w14:paraId="61C045EA" w14:textId="77777777" w:rsidR="004932C5" w:rsidRPr="00FB3AC0" w:rsidRDefault="004932C5" w:rsidP="00C646D5">
            <w:pPr>
              <w:rPr>
                <w:rFonts w:cs="Arial"/>
                <w:sz w:val="20"/>
                <w:szCs w:val="20"/>
              </w:rPr>
            </w:pPr>
            <w:r w:rsidRPr="00FB3AC0">
              <w:rPr>
                <w:rFonts w:cs="Arial"/>
                <w:sz w:val="20"/>
                <w:szCs w:val="20"/>
              </w:rPr>
              <w:t>8</w:t>
            </w:r>
          </w:p>
        </w:tc>
        <w:tc>
          <w:tcPr>
            <w:tcW w:w="1080" w:type="dxa"/>
            <w:tcBorders>
              <w:top w:val="single" w:sz="12" w:space="0" w:color="000000"/>
              <w:left w:val="single" w:sz="2" w:space="0" w:color="000000"/>
              <w:bottom w:val="nil"/>
              <w:right w:val="single" w:sz="2" w:space="0" w:color="000000"/>
            </w:tcBorders>
            <w:shd w:val="clear" w:color="000000" w:fill="FFFFFF"/>
          </w:tcPr>
          <w:p w14:paraId="28470417" w14:textId="77777777" w:rsidR="004932C5" w:rsidRPr="00FB3AC0" w:rsidRDefault="004932C5" w:rsidP="00C646D5">
            <w:pPr>
              <w:rPr>
                <w:rFonts w:cs="Arial"/>
                <w:sz w:val="20"/>
                <w:szCs w:val="20"/>
              </w:rPr>
            </w:pPr>
            <w:r w:rsidRPr="00FB3AC0">
              <w:rPr>
                <w:rFonts w:cs="Arial"/>
                <w:sz w:val="20"/>
                <w:szCs w:val="20"/>
              </w:rPr>
              <w:t>22.2</w:t>
            </w:r>
          </w:p>
        </w:tc>
      </w:tr>
      <w:tr w:rsidR="004932C5" w:rsidRPr="00FB3AC0" w14:paraId="6E09816D" w14:textId="77777777" w:rsidTr="00C646D5">
        <w:trPr>
          <w:trHeight w:val="273"/>
        </w:trPr>
        <w:tc>
          <w:tcPr>
            <w:tcW w:w="206" w:type="dxa"/>
            <w:tcBorders>
              <w:top w:val="nil"/>
              <w:left w:val="single" w:sz="12" w:space="0" w:color="000000"/>
              <w:bottom w:val="nil"/>
              <w:right w:val="nil"/>
            </w:tcBorders>
            <w:shd w:val="clear" w:color="000000" w:fill="FFFFFF"/>
          </w:tcPr>
          <w:p w14:paraId="63A7FF39" w14:textId="77777777" w:rsidR="004932C5" w:rsidRPr="00FB3AC0" w:rsidRDefault="004932C5" w:rsidP="00C646D5">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291" w:type="dxa"/>
            <w:tcBorders>
              <w:top w:val="nil"/>
              <w:left w:val="nil"/>
              <w:bottom w:val="nil"/>
              <w:right w:val="single" w:sz="12" w:space="0" w:color="000000"/>
            </w:tcBorders>
            <w:shd w:val="clear" w:color="000000" w:fill="FFFFFF"/>
          </w:tcPr>
          <w:p w14:paraId="3EF72525" w14:textId="77777777" w:rsidR="004932C5" w:rsidRPr="00FB3AC0" w:rsidRDefault="004932C5" w:rsidP="00C646D5">
            <w:pPr>
              <w:autoSpaceDE w:val="0"/>
              <w:autoSpaceDN w:val="0"/>
              <w:adjustRightInd w:val="0"/>
              <w:rPr>
                <w:rFonts w:cs="Arial"/>
                <w:color w:val="000000"/>
                <w:sz w:val="18"/>
                <w:szCs w:val="18"/>
                <w:lang w:val="en-US"/>
              </w:rPr>
            </w:pPr>
            <w:r w:rsidRPr="00FB3AC0">
              <w:rPr>
                <w:rFonts w:cs="Arial"/>
                <w:color w:val="000000"/>
                <w:sz w:val="18"/>
                <w:szCs w:val="18"/>
                <w:lang w:val="en-US"/>
              </w:rPr>
              <w:t>yes</w:t>
            </w:r>
          </w:p>
        </w:tc>
        <w:tc>
          <w:tcPr>
            <w:tcW w:w="1123" w:type="dxa"/>
            <w:tcBorders>
              <w:top w:val="nil"/>
              <w:left w:val="single" w:sz="12" w:space="0" w:color="000000"/>
              <w:bottom w:val="nil"/>
              <w:right w:val="single" w:sz="2" w:space="0" w:color="000000"/>
            </w:tcBorders>
            <w:shd w:val="clear" w:color="000000" w:fill="FFFFFF"/>
          </w:tcPr>
          <w:p w14:paraId="2A58C473" w14:textId="77777777" w:rsidR="004932C5" w:rsidRPr="00FB3AC0" w:rsidRDefault="004932C5" w:rsidP="00C646D5">
            <w:pPr>
              <w:rPr>
                <w:rFonts w:cs="Arial"/>
                <w:sz w:val="20"/>
                <w:szCs w:val="20"/>
              </w:rPr>
            </w:pPr>
            <w:r w:rsidRPr="00FB3AC0">
              <w:rPr>
                <w:rFonts w:cs="Arial"/>
                <w:sz w:val="20"/>
                <w:szCs w:val="20"/>
              </w:rPr>
              <w:t>28</w:t>
            </w:r>
          </w:p>
        </w:tc>
        <w:tc>
          <w:tcPr>
            <w:tcW w:w="1080" w:type="dxa"/>
            <w:tcBorders>
              <w:top w:val="nil"/>
              <w:left w:val="single" w:sz="2" w:space="0" w:color="000000"/>
              <w:bottom w:val="nil"/>
              <w:right w:val="single" w:sz="2" w:space="0" w:color="000000"/>
            </w:tcBorders>
            <w:shd w:val="clear" w:color="000000" w:fill="FFFFFF"/>
          </w:tcPr>
          <w:p w14:paraId="2A75389C" w14:textId="77777777" w:rsidR="004932C5" w:rsidRPr="00FB3AC0" w:rsidRDefault="004932C5" w:rsidP="00C646D5">
            <w:pPr>
              <w:rPr>
                <w:rFonts w:cs="Arial"/>
                <w:sz w:val="20"/>
                <w:szCs w:val="20"/>
              </w:rPr>
            </w:pPr>
            <w:r w:rsidRPr="00FB3AC0">
              <w:rPr>
                <w:rFonts w:cs="Arial"/>
                <w:sz w:val="20"/>
                <w:szCs w:val="20"/>
              </w:rPr>
              <w:t>77.8</w:t>
            </w:r>
          </w:p>
        </w:tc>
      </w:tr>
      <w:tr w:rsidR="004932C5" w:rsidRPr="00FB3AC0" w14:paraId="15A91FDC" w14:textId="77777777" w:rsidTr="00C646D5">
        <w:trPr>
          <w:trHeight w:val="273"/>
        </w:trPr>
        <w:tc>
          <w:tcPr>
            <w:tcW w:w="206" w:type="dxa"/>
            <w:tcBorders>
              <w:top w:val="nil"/>
              <w:left w:val="single" w:sz="12" w:space="0" w:color="000000"/>
              <w:bottom w:val="single" w:sz="12" w:space="0" w:color="000000"/>
              <w:right w:val="nil"/>
            </w:tcBorders>
            <w:shd w:val="clear" w:color="000000" w:fill="FFFFFF"/>
          </w:tcPr>
          <w:p w14:paraId="7DB71ABF" w14:textId="77777777" w:rsidR="004932C5" w:rsidRPr="00FB3AC0" w:rsidRDefault="004932C5" w:rsidP="00C646D5">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291" w:type="dxa"/>
            <w:tcBorders>
              <w:top w:val="nil"/>
              <w:left w:val="nil"/>
              <w:bottom w:val="single" w:sz="12" w:space="0" w:color="000000"/>
              <w:right w:val="single" w:sz="12" w:space="0" w:color="000000"/>
            </w:tcBorders>
            <w:shd w:val="clear" w:color="000000" w:fill="FFFFFF"/>
          </w:tcPr>
          <w:p w14:paraId="7489FDCE" w14:textId="77777777" w:rsidR="004932C5" w:rsidRPr="00FB3AC0" w:rsidRDefault="004932C5" w:rsidP="00C646D5">
            <w:pPr>
              <w:autoSpaceDE w:val="0"/>
              <w:autoSpaceDN w:val="0"/>
              <w:adjustRightInd w:val="0"/>
              <w:rPr>
                <w:rFonts w:cs="Arial"/>
                <w:color w:val="000000"/>
                <w:sz w:val="18"/>
                <w:szCs w:val="18"/>
                <w:lang w:val="en-US"/>
              </w:rPr>
            </w:pPr>
            <w:r w:rsidRPr="00FB3AC0">
              <w:rPr>
                <w:rFonts w:cs="Arial"/>
                <w:color w:val="000000"/>
                <w:sz w:val="18"/>
                <w:szCs w:val="18"/>
                <w:lang w:val="en-US"/>
              </w:rPr>
              <w:t>Total</w:t>
            </w:r>
          </w:p>
        </w:tc>
        <w:tc>
          <w:tcPr>
            <w:tcW w:w="1123" w:type="dxa"/>
            <w:tcBorders>
              <w:top w:val="nil"/>
              <w:left w:val="single" w:sz="12" w:space="0" w:color="000000"/>
              <w:bottom w:val="single" w:sz="12" w:space="0" w:color="000000"/>
              <w:right w:val="single" w:sz="2" w:space="0" w:color="000000"/>
            </w:tcBorders>
            <w:shd w:val="clear" w:color="000000" w:fill="FFFFFF"/>
          </w:tcPr>
          <w:p w14:paraId="6CDAC1BE" w14:textId="77777777" w:rsidR="004932C5" w:rsidRPr="00FB3AC0" w:rsidRDefault="004932C5" w:rsidP="00C646D5">
            <w:pPr>
              <w:rPr>
                <w:rFonts w:cs="Arial"/>
                <w:sz w:val="20"/>
                <w:szCs w:val="20"/>
              </w:rPr>
            </w:pPr>
            <w:r w:rsidRPr="00FB3AC0">
              <w:rPr>
                <w:rFonts w:cs="Arial"/>
                <w:sz w:val="20"/>
                <w:szCs w:val="20"/>
              </w:rPr>
              <w:t>36</w:t>
            </w:r>
          </w:p>
        </w:tc>
        <w:tc>
          <w:tcPr>
            <w:tcW w:w="1080" w:type="dxa"/>
            <w:tcBorders>
              <w:top w:val="nil"/>
              <w:left w:val="single" w:sz="2" w:space="0" w:color="000000"/>
              <w:bottom w:val="single" w:sz="12" w:space="0" w:color="000000"/>
              <w:right w:val="single" w:sz="2" w:space="0" w:color="000000"/>
            </w:tcBorders>
            <w:shd w:val="clear" w:color="000000" w:fill="FFFFFF"/>
          </w:tcPr>
          <w:p w14:paraId="1F47843F" w14:textId="77777777" w:rsidR="004932C5" w:rsidRPr="00FB3AC0" w:rsidRDefault="004932C5" w:rsidP="00C646D5">
            <w:pPr>
              <w:rPr>
                <w:rFonts w:cs="Arial"/>
                <w:sz w:val="20"/>
                <w:szCs w:val="20"/>
              </w:rPr>
            </w:pPr>
            <w:r w:rsidRPr="00FB3AC0">
              <w:rPr>
                <w:rFonts w:cs="Arial"/>
                <w:sz w:val="20"/>
                <w:szCs w:val="20"/>
              </w:rPr>
              <w:t>100.0</w:t>
            </w:r>
          </w:p>
        </w:tc>
      </w:tr>
    </w:tbl>
    <w:p w14:paraId="1437EC87" w14:textId="77777777" w:rsidR="004932C5" w:rsidRPr="00FB3AC0" w:rsidRDefault="004932C5" w:rsidP="004932C5">
      <w:pPr>
        <w:rPr>
          <w:rFonts w:cs="Arial"/>
          <w:b/>
          <w:sz w:val="28"/>
          <w:szCs w:val="28"/>
        </w:rPr>
      </w:pPr>
    </w:p>
    <w:p w14:paraId="4079B3F6" w14:textId="77777777" w:rsidR="000923BB" w:rsidRPr="00FB3AC0" w:rsidRDefault="000923BB" w:rsidP="000923BB">
      <w:pPr>
        <w:tabs>
          <w:tab w:val="center" w:pos="3312"/>
        </w:tabs>
        <w:autoSpaceDE w:val="0"/>
        <w:autoSpaceDN w:val="0"/>
        <w:adjustRightInd w:val="0"/>
        <w:rPr>
          <w:rFonts w:cs="Arial"/>
          <w:b/>
          <w:bCs/>
          <w:color w:val="000000"/>
          <w:sz w:val="18"/>
          <w:szCs w:val="18"/>
          <w:lang w:val="en-US"/>
        </w:rPr>
      </w:pPr>
      <w:r w:rsidRPr="00FB3AC0">
        <w:rPr>
          <w:rFonts w:cs="Arial"/>
          <w:b/>
          <w:bCs/>
          <w:color w:val="000000"/>
          <w:sz w:val="18"/>
          <w:szCs w:val="18"/>
          <w:lang w:val="en-US"/>
        </w:rPr>
        <w:lastRenderedPageBreak/>
        <w:t>If yes, first reading</w:t>
      </w:r>
    </w:p>
    <w:p w14:paraId="17F9B1B2" w14:textId="77777777" w:rsidR="000923BB" w:rsidRPr="00FB3AC0" w:rsidRDefault="000923BB" w:rsidP="000923BB">
      <w:pPr>
        <w:tabs>
          <w:tab w:val="center" w:pos="2145"/>
        </w:tabs>
        <w:autoSpaceDE w:val="0"/>
        <w:autoSpaceDN w:val="0"/>
        <w:adjustRightInd w:val="0"/>
        <w:rPr>
          <w:rFonts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206"/>
        <w:gridCol w:w="1594"/>
        <w:gridCol w:w="1123"/>
        <w:gridCol w:w="1080"/>
      </w:tblGrid>
      <w:tr w:rsidR="000923BB" w:rsidRPr="00FB3AC0" w14:paraId="34F36C59" w14:textId="77777777" w:rsidTr="003A385F">
        <w:trPr>
          <w:trHeight w:val="504"/>
        </w:trPr>
        <w:tc>
          <w:tcPr>
            <w:tcW w:w="180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6122BE85"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0CF3F1C0" w14:textId="77777777" w:rsidR="000923BB" w:rsidRPr="00FB3AC0" w:rsidRDefault="000923BB" w:rsidP="003A385F">
            <w:pPr>
              <w:autoSpaceDE w:val="0"/>
              <w:autoSpaceDN w:val="0"/>
              <w:adjustRightInd w:val="0"/>
              <w:jc w:val="center"/>
              <w:rPr>
                <w:rFonts w:cs="Arial"/>
                <w:color w:val="000000"/>
                <w:sz w:val="18"/>
                <w:szCs w:val="18"/>
              </w:rPr>
            </w:pPr>
            <w:r w:rsidRPr="00FB3AC0">
              <w:rPr>
                <w:rFonts w:cs="Arial"/>
                <w:color w:val="000000"/>
                <w:sz w:val="18"/>
                <w:szCs w:val="18"/>
              </w:rPr>
              <w:t>n</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058E08C7" w14:textId="77777777" w:rsidR="000923BB" w:rsidRPr="00FB3AC0" w:rsidRDefault="000923BB" w:rsidP="003A385F">
            <w:pPr>
              <w:autoSpaceDE w:val="0"/>
              <w:autoSpaceDN w:val="0"/>
              <w:adjustRightInd w:val="0"/>
              <w:jc w:val="center"/>
              <w:rPr>
                <w:rFonts w:cs="Arial"/>
                <w:color w:val="000000"/>
                <w:sz w:val="18"/>
                <w:szCs w:val="18"/>
              </w:rPr>
            </w:pPr>
            <w:r w:rsidRPr="00FB3AC0">
              <w:rPr>
                <w:rFonts w:cs="Arial"/>
                <w:color w:val="000000"/>
                <w:sz w:val="18"/>
                <w:szCs w:val="18"/>
              </w:rPr>
              <w:t>Percent</w:t>
            </w:r>
          </w:p>
        </w:tc>
      </w:tr>
      <w:tr w:rsidR="000923BB" w:rsidRPr="00FB3AC0" w14:paraId="45311CF1" w14:textId="77777777" w:rsidTr="003A385F">
        <w:trPr>
          <w:trHeight w:val="273"/>
        </w:trPr>
        <w:tc>
          <w:tcPr>
            <w:tcW w:w="206" w:type="dxa"/>
            <w:vMerge w:val="restart"/>
            <w:tcBorders>
              <w:top w:val="single" w:sz="12" w:space="0" w:color="000000"/>
              <w:left w:val="single" w:sz="12" w:space="0" w:color="000000"/>
              <w:bottom w:val="nil"/>
              <w:right w:val="nil"/>
            </w:tcBorders>
            <w:shd w:val="clear" w:color="000000" w:fill="FFFFFF"/>
          </w:tcPr>
          <w:p w14:paraId="799052B1"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594" w:type="dxa"/>
            <w:tcBorders>
              <w:top w:val="single" w:sz="12" w:space="0" w:color="000000"/>
              <w:left w:val="nil"/>
              <w:bottom w:val="nil"/>
              <w:right w:val="single" w:sz="12" w:space="0" w:color="000000"/>
            </w:tcBorders>
            <w:shd w:val="clear" w:color="000000" w:fill="FFFFFF"/>
          </w:tcPr>
          <w:p w14:paraId="30C151A1"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14:paraId="036554C0"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6170F342"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5.6</w:t>
            </w:r>
          </w:p>
        </w:tc>
      </w:tr>
      <w:tr w:rsidR="000923BB" w:rsidRPr="00FB3AC0" w14:paraId="52F50E5E" w14:textId="77777777" w:rsidTr="003A385F">
        <w:trPr>
          <w:trHeight w:val="273"/>
        </w:trPr>
        <w:tc>
          <w:tcPr>
            <w:tcW w:w="206" w:type="dxa"/>
            <w:vMerge w:val="restart"/>
            <w:tcBorders>
              <w:top w:val="nil"/>
              <w:left w:val="single" w:sz="12" w:space="0" w:color="000000"/>
              <w:bottom w:val="nil"/>
              <w:right w:val="nil"/>
            </w:tcBorders>
            <w:shd w:val="clear" w:color="000000" w:fill="FFFFFF"/>
          </w:tcPr>
          <w:p w14:paraId="08302DF5"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594" w:type="dxa"/>
            <w:tcBorders>
              <w:top w:val="nil"/>
              <w:left w:val="nil"/>
              <w:bottom w:val="nil"/>
              <w:right w:val="single" w:sz="12" w:space="0" w:color="000000"/>
            </w:tcBorders>
            <w:shd w:val="clear" w:color="000000" w:fill="FFFFFF"/>
          </w:tcPr>
          <w:p w14:paraId="3B5FD2C4"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13</w:t>
            </w:r>
          </w:p>
        </w:tc>
        <w:tc>
          <w:tcPr>
            <w:tcW w:w="1123" w:type="dxa"/>
            <w:tcBorders>
              <w:top w:val="nil"/>
              <w:left w:val="single" w:sz="12" w:space="0" w:color="000000"/>
              <w:bottom w:val="nil"/>
              <w:right w:val="single" w:sz="2" w:space="0" w:color="000000"/>
            </w:tcBorders>
            <w:shd w:val="clear" w:color="000000" w:fill="FFFFFF"/>
            <w:vAlign w:val="center"/>
          </w:tcPr>
          <w:p w14:paraId="66257CF9"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14:paraId="47383925"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2.8</w:t>
            </w:r>
          </w:p>
        </w:tc>
      </w:tr>
      <w:tr w:rsidR="000923BB" w:rsidRPr="00FB3AC0" w14:paraId="57017B7B" w14:textId="77777777" w:rsidTr="003A385F">
        <w:trPr>
          <w:trHeight w:val="273"/>
        </w:trPr>
        <w:tc>
          <w:tcPr>
            <w:tcW w:w="206" w:type="dxa"/>
            <w:vMerge w:val="restart"/>
            <w:tcBorders>
              <w:top w:val="nil"/>
              <w:left w:val="single" w:sz="12" w:space="0" w:color="000000"/>
              <w:bottom w:val="nil"/>
              <w:right w:val="nil"/>
            </w:tcBorders>
            <w:shd w:val="clear" w:color="000000" w:fill="FFFFFF"/>
          </w:tcPr>
          <w:p w14:paraId="1E350265"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594" w:type="dxa"/>
            <w:tcBorders>
              <w:top w:val="nil"/>
              <w:left w:val="nil"/>
              <w:bottom w:val="nil"/>
              <w:right w:val="single" w:sz="12" w:space="0" w:color="000000"/>
            </w:tcBorders>
            <w:shd w:val="clear" w:color="000000" w:fill="FFFFFF"/>
          </w:tcPr>
          <w:p w14:paraId="72A992C9"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14</w:t>
            </w:r>
          </w:p>
        </w:tc>
        <w:tc>
          <w:tcPr>
            <w:tcW w:w="1123" w:type="dxa"/>
            <w:tcBorders>
              <w:top w:val="nil"/>
              <w:left w:val="single" w:sz="12" w:space="0" w:color="000000"/>
              <w:bottom w:val="nil"/>
              <w:right w:val="single" w:sz="2" w:space="0" w:color="000000"/>
            </w:tcBorders>
            <w:shd w:val="clear" w:color="000000" w:fill="FFFFFF"/>
            <w:vAlign w:val="center"/>
          </w:tcPr>
          <w:p w14:paraId="6E712EC4"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14:paraId="071BF7E3"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2.8</w:t>
            </w:r>
          </w:p>
        </w:tc>
      </w:tr>
      <w:tr w:rsidR="000923BB" w:rsidRPr="00FB3AC0" w14:paraId="76BA8F57" w14:textId="77777777" w:rsidTr="003A385F">
        <w:trPr>
          <w:trHeight w:val="273"/>
        </w:trPr>
        <w:tc>
          <w:tcPr>
            <w:tcW w:w="206" w:type="dxa"/>
            <w:vMerge w:val="restart"/>
            <w:tcBorders>
              <w:top w:val="nil"/>
              <w:left w:val="single" w:sz="12" w:space="0" w:color="000000"/>
              <w:bottom w:val="nil"/>
              <w:right w:val="nil"/>
            </w:tcBorders>
            <w:shd w:val="clear" w:color="000000" w:fill="FFFFFF"/>
          </w:tcPr>
          <w:p w14:paraId="6EEB0A7A"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594" w:type="dxa"/>
            <w:tcBorders>
              <w:top w:val="nil"/>
              <w:left w:val="nil"/>
              <w:bottom w:val="nil"/>
              <w:right w:val="single" w:sz="12" w:space="0" w:color="000000"/>
            </w:tcBorders>
            <w:shd w:val="clear" w:color="000000" w:fill="FFFFFF"/>
          </w:tcPr>
          <w:p w14:paraId="49FDE0A2"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15</w:t>
            </w:r>
          </w:p>
        </w:tc>
        <w:tc>
          <w:tcPr>
            <w:tcW w:w="1123" w:type="dxa"/>
            <w:tcBorders>
              <w:top w:val="nil"/>
              <w:left w:val="single" w:sz="12" w:space="0" w:color="000000"/>
              <w:bottom w:val="nil"/>
              <w:right w:val="single" w:sz="2" w:space="0" w:color="000000"/>
            </w:tcBorders>
            <w:shd w:val="clear" w:color="000000" w:fill="FFFFFF"/>
            <w:vAlign w:val="center"/>
          </w:tcPr>
          <w:p w14:paraId="2B9F7980"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14:paraId="2004E464"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5.6</w:t>
            </w:r>
          </w:p>
        </w:tc>
      </w:tr>
      <w:tr w:rsidR="000923BB" w:rsidRPr="00FB3AC0" w14:paraId="20A4CC12" w14:textId="77777777" w:rsidTr="003A385F">
        <w:trPr>
          <w:trHeight w:val="273"/>
        </w:trPr>
        <w:tc>
          <w:tcPr>
            <w:tcW w:w="206" w:type="dxa"/>
            <w:vMerge w:val="restart"/>
            <w:tcBorders>
              <w:top w:val="nil"/>
              <w:left w:val="single" w:sz="12" w:space="0" w:color="000000"/>
              <w:bottom w:val="nil"/>
              <w:right w:val="nil"/>
            </w:tcBorders>
            <w:shd w:val="clear" w:color="000000" w:fill="FFFFFF"/>
          </w:tcPr>
          <w:p w14:paraId="6E19F397"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594" w:type="dxa"/>
            <w:tcBorders>
              <w:top w:val="nil"/>
              <w:left w:val="nil"/>
              <w:bottom w:val="nil"/>
              <w:right w:val="single" w:sz="12" w:space="0" w:color="000000"/>
            </w:tcBorders>
            <w:shd w:val="clear" w:color="000000" w:fill="FFFFFF"/>
          </w:tcPr>
          <w:p w14:paraId="74A2D2C6"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16</w:t>
            </w:r>
          </w:p>
        </w:tc>
        <w:tc>
          <w:tcPr>
            <w:tcW w:w="1123" w:type="dxa"/>
            <w:tcBorders>
              <w:top w:val="nil"/>
              <w:left w:val="single" w:sz="12" w:space="0" w:color="000000"/>
              <w:bottom w:val="nil"/>
              <w:right w:val="single" w:sz="2" w:space="0" w:color="000000"/>
            </w:tcBorders>
            <w:shd w:val="clear" w:color="000000" w:fill="FFFFFF"/>
            <w:vAlign w:val="center"/>
          </w:tcPr>
          <w:p w14:paraId="257CFDED"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14:paraId="47263AA6"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5.6</w:t>
            </w:r>
          </w:p>
        </w:tc>
      </w:tr>
      <w:tr w:rsidR="000923BB" w:rsidRPr="00FB3AC0" w14:paraId="7997DC59" w14:textId="77777777" w:rsidTr="003A385F">
        <w:trPr>
          <w:trHeight w:val="273"/>
        </w:trPr>
        <w:tc>
          <w:tcPr>
            <w:tcW w:w="206" w:type="dxa"/>
            <w:vMerge w:val="restart"/>
            <w:tcBorders>
              <w:top w:val="nil"/>
              <w:left w:val="single" w:sz="12" w:space="0" w:color="000000"/>
              <w:bottom w:val="nil"/>
              <w:right w:val="nil"/>
            </w:tcBorders>
            <w:shd w:val="clear" w:color="000000" w:fill="FFFFFF"/>
          </w:tcPr>
          <w:p w14:paraId="6D35993D"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594" w:type="dxa"/>
            <w:tcBorders>
              <w:top w:val="nil"/>
              <w:left w:val="nil"/>
              <w:bottom w:val="nil"/>
              <w:right w:val="single" w:sz="12" w:space="0" w:color="000000"/>
            </w:tcBorders>
            <w:shd w:val="clear" w:color="000000" w:fill="FFFFFF"/>
          </w:tcPr>
          <w:p w14:paraId="3C44BD09"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19</w:t>
            </w:r>
          </w:p>
        </w:tc>
        <w:tc>
          <w:tcPr>
            <w:tcW w:w="1123" w:type="dxa"/>
            <w:tcBorders>
              <w:top w:val="nil"/>
              <w:left w:val="single" w:sz="12" w:space="0" w:color="000000"/>
              <w:bottom w:val="nil"/>
              <w:right w:val="single" w:sz="2" w:space="0" w:color="000000"/>
            </w:tcBorders>
            <w:shd w:val="clear" w:color="000000" w:fill="FFFFFF"/>
            <w:vAlign w:val="center"/>
          </w:tcPr>
          <w:p w14:paraId="3414D01F"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14:paraId="1D81048A"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5.6</w:t>
            </w:r>
          </w:p>
        </w:tc>
      </w:tr>
      <w:tr w:rsidR="000923BB" w:rsidRPr="00FB3AC0" w14:paraId="2FC6CC02" w14:textId="77777777" w:rsidTr="003A385F">
        <w:trPr>
          <w:trHeight w:val="273"/>
        </w:trPr>
        <w:tc>
          <w:tcPr>
            <w:tcW w:w="206" w:type="dxa"/>
            <w:vMerge w:val="restart"/>
            <w:tcBorders>
              <w:top w:val="nil"/>
              <w:left w:val="single" w:sz="12" w:space="0" w:color="000000"/>
              <w:bottom w:val="nil"/>
              <w:right w:val="nil"/>
            </w:tcBorders>
            <w:shd w:val="clear" w:color="000000" w:fill="FFFFFF"/>
          </w:tcPr>
          <w:p w14:paraId="51ED47B4"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594" w:type="dxa"/>
            <w:tcBorders>
              <w:top w:val="nil"/>
              <w:left w:val="nil"/>
              <w:bottom w:val="nil"/>
              <w:right w:val="single" w:sz="12" w:space="0" w:color="000000"/>
            </w:tcBorders>
            <w:shd w:val="clear" w:color="000000" w:fill="FFFFFF"/>
          </w:tcPr>
          <w:p w14:paraId="16E4AA85"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20</w:t>
            </w:r>
          </w:p>
        </w:tc>
        <w:tc>
          <w:tcPr>
            <w:tcW w:w="1123" w:type="dxa"/>
            <w:tcBorders>
              <w:top w:val="nil"/>
              <w:left w:val="single" w:sz="12" w:space="0" w:color="000000"/>
              <w:bottom w:val="nil"/>
              <w:right w:val="single" w:sz="2" w:space="0" w:color="000000"/>
            </w:tcBorders>
            <w:shd w:val="clear" w:color="000000" w:fill="FFFFFF"/>
            <w:vAlign w:val="center"/>
          </w:tcPr>
          <w:p w14:paraId="5D6E79E5"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4</w:t>
            </w:r>
          </w:p>
        </w:tc>
        <w:tc>
          <w:tcPr>
            <w:tcW w:w="1080" w:type="dxa"/>
            <w:tcBorders>
              <w:top w:val="nil"/>
              <w:left w:val="single" w:sz="2" w:space="0" w:color="000000"/>
              <w:bottom w:val="nil"/>
              <w:right w:val="single" w:sz="2" w:space="0" w:color="000000"/>
            </w:tcBorders>
            <w:shd w:val="clear" w:color="000000" w:fill="FFFFFF"/>
            <w:vAlign w:val="center"/>
          </w:tcPr>
          <w:p w14:paraId="72472E44"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11.1</w:t>
            </w:r>
          </w:p>
        </w:tc>
      </w:tr>
      <w:tr w:rsidR="000923BB" w:rsidRPr="00FB3AC0" w14:paraId="58E71A27" w14:textId="77777777" w:rsidTr="003A385F">
        <w:trPr>
          <w:trHeight w:val="273"/>
        </w:trPr>
        <w:tc>
          <w:tcPr>
            <w:tcW w:w="206" w:type="dxa"/>
            <w:vMerge w:val="restart"/>
            <w:tcBorders>
              <w:top w:val="nil"/>
              <w:left w:val="single" w:sz="12" w:space="0" w:color="000000"/>
              <w:bottom w:val="nil"/>
              <w:right w:val="nil"/>
            </w:tcBorders>
            <w:shd w:val="clear" w:color="000000" w:fill="FFFFFF"/>
          </w:tcPr>
          <w:p w14:paraId="788D3261"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594" w:type="dxa"/>
            <w:tcBorders>
              <w:top w:val="nil"/>
              <w:left w:val="nil"/>
              <w:bottom w:val="nil"/>
              <w:right w:val="single" w:sz="12" w:space="0" w:color="000000"/>
            </w:tcBorders>
            <w:shd w:val="clear" w:color="000000" w:fill="FFFFFF"/>
          </w:tcPr>
          <w:p w14:paraId="5BD2A248"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22</w:t>
            </w:r>
          </w:p>
        </w:tc>
        <w:tc>
          <w:tcPr>
            <w:tcW w:w="1123" w:type="dxa"/>
            <w:tcBorders>
              <w:top w:val="nil"/>
              <w:left w:val="single" w:sz="12" w:space="0" w:color="000000"/>
              <w:bottom w:val="nil"/>
              <w:right w:val="single" w:sz="2" w:space="0" w:color="000000"/>
            </w:tcBorders>
            <w:shd w:val="clear" w:color="000000" w:fill="FFFFFF"/>
            <w:vAlign w:val="center"/>
          </w:tcPr>
          <w:p w14:paraId="3AA8857D"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14:paraId="6E15E460"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2.8</w:t>
            </w:r>
          </w:p>
        </w:tc>
      </w:tr>
      <w:tr w:rsidR="000923BB" w:rsidRPr="00FB3AC0" w14:paraId="57E49801" w14:textId="77777777" w:rsidTr="003A385F">
        <w:trPr>
          <w:trHeight w:val="273"/>
        </w:trPr>
        <w:tc>
          <w:tcPr>
            <w:tcW w:w="206" w:type="dxa"/>
            <w:vMerge w:val="restart"/>
            <w:tcBorders>
              <w:top w:val="nil"/>
              <w:left w:val="single" w:sz="12" w:space="0" w:color="000000"/>
              <w:bottom w:val="nil"/>
              <w:right w:val="nil"/>
            </w:tcBorders>
            <w:shd w:val="clear" w:color="000000" w:fill="FFFFFF"/>
          </w:tcPr>
          <w:p w14:paraId="34E33DEF"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594" w:type="dxa"/>
            <w:tcBorders>
              <w:top w:val="nil"/>
              <w:left w:val="nil"/>
              <w:bottom w:val="nil"/>
              <w:right w:val="single" w:sz="12" w:space="0" w:color="000000"/>
            </w:tcBorders>
            <w:shd w:val="clear" w:color="000000" w:fill="FFFFFF"/>
          </w:tcPr>
          <w:p w14:paraId="0CCBC5A8"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23</w:t>
            </w:r>
          </w:p>
        </w:tc>
        <w:tc>
          <w:tcPr>
            <w:tcW w:w="1123" w:type="dxa"/>
            <w:tcBorders>
              <w:top w:val="nil"/>
              <w:left w:val="single" w:sz="12" w:space="0" w:color="000000"/>
              <w:bottom w:val="nil"/>
              <w:right w:val="single" w:sz="2" w:space="0" w:color="000000"/>
            </w:tcBorders>
            <w:shd w:val="clear" w:color="000000" w:fill="FFFFFF"/>
            <w:vAlign w:val="center"/>
          </w:tcPr>
          <w:p w14:paraId="006A6A9E"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14:paraId="0D88E5CD"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2.8</w:t>
            </w:r>
          </w:p>
        </w:tc>
      </w:tr>
      <w:tr w:rsidR="000923BB" w:rsidRPr="00FB3AC0" w14:paraId="696844F7" w14:textId="77777777" w:rsidTr="003A385F">
        <w:trPr>
          <w:trHeight w:val="273"/>
        </w:trPr>
        <w:tc>
          <w:tcPr>
            <w:tcW w:w="206" w:type="dxa"/>
            <w:vMerge w:val="restart"/>
            <w:tcBorders>
              <w:top w:val="nil"/>
              <w:left w:val="single" w:sz="12" w:space="0" w:color="000000"/>
              <w:bottom w:val="nil"/>
              <w:right w:val="nil"/>
            </w:tcBorders>
            <w:shd w:val="clear" w:color="000000" w:fill="FFFFFF"/>
          </w:tcPr>
          <w:p w14:paraId="77A83BFC"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594" w:type="dxa"/>
            <w:tcBorders>
              <w:top w:val="nil"/>
              <w:left w:val="nil"/>
              <w:bottom w:val="nil"/>
              <w:right w:val="single" w:sz="12" w:space="0" w:color="000000"/>
            </w:tcBorders>
            <w:shd w:val="clear" w:color="000000" w:fill="FFFFFF"/>
          </w:tcPr>
          <w:p w14:paraId="0C121DFF"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24</w:t>
            </w:r>
          </w:p>
        </w:tc>
        <w:tc>
          <w:tcPr>
            <w:tcW w:w="1123" w:type="dxa"/>
            <w:tcBorders>
              <w:top w:val="nil"/>
              <w:left w:val="single" w:sz="12" w:space="0" w:color="000000"/>
              <w:bottom w:val="nil"/>
              <w:right w:val="single" w:sz="2" w:space="0" w:color="000000"/>
            </w:tcBorders>
            <w:shd w:val="clear" w:color="000000" w:fill="FFFFFF"/>
            <w:vAlign w:val="center"/>
          </w:tcPr>
          <w:p w14:paraId="2E158565"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5</w:t>
            </w:r>
          </w:p>
        </w:tc>
        <w:tc>
          <w:tcPr>
            <w:tcW w:w="1080" w:type="dxa"/>
            <w:tcBorders>
              <w:top w:val="nil"/>
              <w:left w:val="single" w:sz="2" w:space="0" w:color="000000"/>
              <w:bottom w:val="nil"/>
              <w:right w:val="single" w:sz="2" w:space="0" w:color="000000"/>
            </w:tcBorders>
            <w:shd w:val="clear" w:color="000000" w:fill="FFFFFF"/>
            <w:vAlign w:val="center"/>
          </w:tcPr>
          <w:p w14:paraId="0AAB51A8"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13.9</w:t>
            </w:r>
          </w:p>
        </w:tc>
      </w:tr>
      <w:tr w:rsidR="000923BB" w:rsidRPr="00FB3AC0" w14:paraId="7EA96305" w14:textId="77777777" w:rsidTr="003A385F">
        <w:trPr>
          <w:trHeight w:val="273"/>
        </w:trPr>
        <w:tc>
          <w:tcPr>
            <w:tcW w:w="206" w:type="dxa"/>
            <w:vMerge w:val="restart"/>
            <w:tcBorders>
              <w:top w:val="nil"/>
              <w:left w:val="single" w:sz="12" w:space="0" w:color="000000"/>
              <w:bottom w:val="nil"/>
              <w:right w:val="nil"/>
            </w:tcBorders>
            <w:shd w:val="clear" w:color="000000" w:fill="FFFFFF"/>
          </w:tcPr>
          <w:p w14:paraId="602A94A4"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594" w:type="dxa"/>
            <w:tcBorders>
              <w:top w:val="nil"/>
              <w:left w:val="nil"/>
              <w:bottom w:val="nil"/>
              <w:right w:val="single" w:sz="12" w:space="0" w:color="000000"/>
            </w:tcBorders>
            <w:shd w:val="clear" w:color="000000" w:fill="FFFFFF"/>
          </w:tcPr>
          <w:p w14:paraId="5C953A68"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26</w:t>
            </w:r>
          </w:p>
        </w:tc>
        <w:tc>
          <w:tcPr>
            <w:tcW w:w="1123" w:type="dxa"/>
            <w:tcBorders>
              <w:top w:val="nil"/>
              <w:left w:val="single" w:sz="12" w:space="0" w:color="000000"/>
              <w:bottom w:val="nil"/>
              <w:right w:val="single" w:sz="2" w:space="0" w:color="000000"/>
            </w:tcBorders>
            <w:shd w:val="clear" w:color="000000" w:fill="FFFFFF"/>
            <w:vAlign w:val="center"/>
          </w:tcPr>
          <w:p w14:paraId="63EE9806"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14:paraId="534AFBC4"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5.6</w:t>
            </w:r>
          </w:p>
        </w:tc>
      </w:tr>
      <w:tr w:rsidR="000923BB" w:rsidRPr="00FB3AC0" w14:paraId="1B9C28A9" w14:textId="77777777" w:rsidTr="003A385F">
        <w:trPr>
          <w:trHeight w:val="273"/>
        </w:trPr>
        <w:tc>
          <w:tcPr>
            <w:tcW w:w="206" w:type="dxa"/>
            <w:vMerge w:val="restart"/>
            <w:tcBorders>
              <w:top w:val="nil"/>
              <w:left w:val="single" w:sz="12" w:space="0" w:color="000000"/>
              <w:bottom w:val="nil"/>
              <w:right w:val="nil"/>
            </w:tcBorders>
            <w:shd w:val="clear" w:color="000000" w:fill="FFFFFF"/>
          </w:tcPr>
          <w:p w14:paraId="4348A855"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594" w:type="dxa"/>
            <w:tcBorders>
              <w:top w:val="nil"/>
              <w:left w:val="nil"/>
              <w:bottom w:val="nil"/>
              <w:right w:val="single" w:sz="12" w:space="0" w:color="000000"/>
            </w:tcBorders>
            <w:shd w:val="clear" w:color="000000" w:fill="FFFFFF"/>
          </w:tcPr>
          <w:p w14:paraId="556EA5E9"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28</w:t>
            </w:r>
          </w:p>
        </w:tc>
        <w:tc>
          <w:tcPr>
            <w:tcW w:w="1123" w:type="dxa"/>
            <w:tcBorders>
              <w:top w:val="nil"/>
              <w:left w:val="single" w:sz="12" w:space="0" w:color="000000"/>
              <w:bottom w:val="nil"/>
              <w:right w:val="single" w:sz="2" w:space="0" w:color="000000"/>
            </w:tcBorders>
            <w:shd w:val="clear" w:color="000000" w:fill="FFFFFF"/>
            <w:vAlign w:val="center"/>
          </w:tcPr>
          <w:p w14:paraId="10DFBE1A"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4</w:t>
            </w:r>
          </w:p>
        </w:tc>
        <w:tc>
          <w:tcPr>
            <w:tcW w:w="1080" w:type="dxa"/>
            <w:tcBorders>
              <w:top w:val="nil"/>
              <w:left w:val="single" w:sz="2" w:space="0" w:color="000000"/>
              <w:bottom w:val="nil"/>
              <w:right w:val="single" w:sz="2" w:space="0" w:color="000000"/>
            </w:tcBorders>
            <w:shd w:val="clear" w:color="000000" w:fill="FFFFFF"/>
            <w:vAlign w:val="center"/>
          </w:tcPr>
          <w:p w14:paraId="728CB8D8"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11.1</w:t>
            </w:r>
          </w:p>
        </w:tc>
      </w:tr>
      <w:tr w:rsidR="000923BB" w:rsidRPr="00FB3AC0" w14:paraId="1758E29C" w14:textId="77777777" w:rsidTr="003A385F">
        <w:trPr>
          <w:trHeight w:val="273"/>
        </w:trPr>
        <w:tc>
          <w:tcPr>
            <w:tcW w:w="206" w:type="dxa"/>
            <w:vMerge w:val="restart"/>
            <w:tcBorders>
              <w:top w:val="nil"/>
              <w:left w:val="single" w:sz="12" w:space="0" w:color="000000"/>
              <w:bottom w:val="nil"/>
              <w:right w:val="nil"/>
            </w:tcBorders>
            <w:shd w:val="clear" w:color="000000" w:fill="FFFFFF"/>
          </w:tcPr>
          <w:p w14:paraId="50D0AE57"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594" w:type="dxa"/>
            <w:tcBorders>
              <w:top w:val="nil"/>
              <w:left w:val="nil"/>
              <w:bottom w:val="nil"/>
              <w:right w:val="single" w:sz="12" w:space="0" w:color="000000"/>
            </w:tcBorders>
            <w:shd w:val="clear" w:color="000000" w:fill="FFFFFF"/>
          </w:tcPr>
          <w:p w14:paraId="70BD1C5D"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30</w:t>
            </w:r>
          </w:p>
        </w:tc>
        <w:tc>
          <w:tcPr>
            <w:tcW w:w="1123" w:type="dxa"/>
            <w:tcBorders>
              <w:top w:val="nil"/>
              <w:left w:val="single" w:sz="12" w:space="0" w:color="000000"/>
              <w:bottom w:val="nil"/>
              <w:right w:val="single" w:sz="2" w:space="0" w:color="000000"/>
            </w:tcBorders>
            <w:shd w:val="clear" w:color="000000" w:fill="FFFFFF"/>
            <w:vAlign w:val="center"/>
          </w:tcPr>
          <w:p w14:paraId="21F6170B"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3</w:t>
            </w:r>
          </w:p>
        </w:tc>
        <w:tc>
          <w:tcPr>
            <w:tcW w:w="1080" w:type="dxa"/>
            <w:tcBorders>
              <w:top w:val="nil"/>
              <w:left w:val="single" w:sz="2" w:space="0" w:color="000000"/>
              <w:bottom w:val="nil"/>
              <w:right w:val="single" w:sz="2" w:space="0" w:color="000000"/>
            </w:tcBorders>
            <w:shd w:val="clear" w:color="000000" w:fill="FFFFFF"/>
            <w:vAlign w:val="center"/>
          </w:tcPr>
          <w:p w14:paraId="78DED330"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8.3</w:t>
            </w:r>
          </w:p>
        </w:tc>
      </w:tr>
      <w:tr w:rsidR="000923BB" w:rsidRPr="00FB3AC0" w14:paraId="3A4DB764" w14:textId="77777777" w:rsidTr="003A385F">
        <w:trPr>
          <w:trHeight w:val="273"/>
        </w:trPr>
        <w:tc>
          <w:tcPr>
            <w:tcW w:w="206" w:type="dxa"/>
            <w:vMerge w:val="restart"/>
            <w:tcBorders>
              <w:top w:val="nil"/>
              <w:left w:val="single" w:sz="12" w:space="0" w:color="000000"/>
              <w:bottom w:val="nil"/>
              <w:right w:val="nil"/>
            </w:tcBorders>
            <w:shd w:val="clear" w:color="000000" w:fill="FFFFFF"/>
          </w:tcPr>
          <w:p w14:paraId="47FA2C0D"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594" w:type="dxa"/>
            <w:tcBorders>
              <w:top w:val="nil"/>
              <w:left w:val="nil"/>
              <w:bottom w:val="nil"/>
              <w:right w:val="single" w:sz="12" w:space="0" w:color="000000"/>
            </w:tcBorders>
            <w:shd w:val="clear" w:color="000000" w:fill="FFFFFF"/>
          </w:tcPr>
          <w:p w14:paraId="6378BD19"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32</w:t>
            </w:r>
          </w:p>
        </w:tc>
        <w:tc>
          <w:tcPr>
            <w:tcW w:w="1123" w:type="dxa"/>
            <w:tcBorders>
              <w:top w:val="nil"/>
              <w:left w:val="single" w:sz="12" w:space="0" w:color="000000"/>
              <w:bottom w:val="nil"/>
              <w:right w:val="single" w:sz="2" w:space="0" w:color="000000"/>
            </w:tcBorders>
            <w:shd w:val="clear" w:color="000000" w:fill="FFFFFF"/>
            <w:vAlign w:val="center"/>
          </w:tcPr>
          <w:p w14:paraId="29FB41C6"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14:paraId="27170CAB"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2.8</w:t>
            </w:r>
          </w:p>
        </w:tc>
      </w:tr>
      <w:tr w:rsidR="000923BB" w:rsidRPr="00FB3AC0" w14:paraId="00C50FEC" w14:textId="77777777" w:rsidTr="003A385F">
        <w:trPr>
          <w:trHeight w:val="273"/>
        </w:trPr>
        <w:tc>
          <w:tcPr>
            <w:tcW w:w="206" w:type="dxa"/>
            <w:vMerge w:val="restart"/>
            <w:tcBorders>
              <w:top w:val="nil"/>
              <w:left w:val="single" w:sz="12" w:space="0" w:color="000000"/>
              <w:bottom w:val="nil"/>
              <w:right w:val="nil"/>
            </w:tcBorders>
            <w:shd w:val="clear" w:color="000000" w:fill="FFFFFF"/>
          </w:tcPr>
          <w:p w14:paraId="528144CE"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594" w:type="dxa"/>
            <w:tcBorders>
              <w:top w:val="nil"/>
              <w:left w:val="nil"/>
              <w:bottom w:val="nil"/>
              <w:right w:val="single" w:sz="12" w:space="0" w:color="000000"/>
            </w:tcBorders>
            <w:shd w:val="clear" w:color="000000" w:fill="FFFFFF"/>
          </w:tcPr>
          <w:p w14:paraId="443965A2"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34</w:t>
            </w:r>
          </w:p>
        </w:tc>
        <w:tc>
          <w:tcPr>
            <w:tcW w:w="1123" w:type="dxa"/>
            <w:tcBorders>
              <w:top w:val="nil"/>
              <w:left w:val="single" w:sz="12" w:space="0" w:color="000000"/>
              <w:bottom w:val="nil"/>
              <w:right w:val="single" w:sz="2" w:space="0" w:color="000000"/>
            </w:tcBorders>
            <w:shd w:val="clear" w:color="000000" w:fill="FFFFFF"/>
            <w:vAlign w:val="center"/>
          </w:tcPr>
          <w:p w14:paraId="68FCC6AD"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14:paraId="445EB7FC"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2.8</w:t>
            </w:r>
          </w:p>
        </w:tc>
      </w:tr>
      <w:tr w:rsidR="000923BB" w:rsidRPr="00FB3AC0" w14:paraId="321CA262" w14:textId="77777777" w:rsidTr="003A385F">
        <w:trPr>
          <w:trHeight w:val="273"/>
        </w:trPr>
        <w:tc>
          <w:tcPr>
            <w:tcW w:w="206" w:type="dxa"/>
            <w:vMerge w:val="restart"/>
            <w:tcBorders>
              <w:top w:val="nil"/>
              <w:left w:val="single" w:sz="12" w:space="0" w:color="000000"/>
              <w:bottom w:val="nil"/>
              <w:right w:val="nil"/>
            </w:tcBorders>
            <w:shd w:val="clear" w:color="000000" w:fill="FFFFFF"/>
          </w:tcPr>
          <w:p w14:paraId="23008E41"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594" w:type="dxa"/>
            <w:tcBorders>
              <w:top w:val="nil"/>
              <w:left w:val="nil"/>
              <w:bottom w:val="nil"/>
              <w:right w:val="single" w:sz="12" w:space="0" w:color="000000"/>
            </w:tcBorders>
            <w:shd w:val="clear" w:color="000000" w:fill="FFFFFF"/>
          </w:tcPr>
          <w:p w14:paraId="675E0BF5"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36</w:t>
            </w:r>
          </w:p>
        </w:tc>
        <w:tc>
          <w:tcPr>
            <w:tcW w:w="1123" w:type="dxa"/>
            <w:tcBorders>
              <w:top w:val="nil"/>
              <w:left w:val="single" w:sz="12" w:space="0" w:color="000000"/>
              <w:bottom w:val="nil"/>
              <w:right w:val="single" w:sz="2" w:space="0" w:color="000000"/>
            </w:tcBorders>
            <w:shd w:val="clear" w:color="000000" w:fill="FFFFFF"/>
            <w:vAlign w:val="center"/>
          </w:tcPr>
          <w:p w14:paraId="1DFDB220"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14:paraId="28A73803"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2.8</w:t>
            </w:r>
          </w:p>
        </w:tc>
      </w:tr>
      <w:tr w:rsidR="000923BB" w:rsidRPr="00FB3AC0" w14:paraId="352E8A86" w14:textId="77777777" w:rsidTr="003A385F">
        <w:trPr>
          <w:trHeight w:val="273"/>
        </w:trPr>
        <w:tc>
          <w:tcPr>
            <w:tcW w:w="206" w:type="dxa"/>
            <w:vMerge w:val="restart"/>
            <w:tcBorders>
              <w:top w:val="nil"/>
              <w:left w:val="single" w:sz="12" w:space="0" w:color="000000"/>
              <w:bottom w:val="nil"/>
              <w:right w:val="nil"/>
            </w:tcBorders>
            <w:shd w:val="clear" w:color="000000" w:fill="FFFFFF"/>
          </w:tcPr>
          <w:p w14:paraId="0F8E5488"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594" w:type="dxa"/>
            <w:tcBorders>
              <w:top w:val="nil"/>
              <w:left w:val="nil"/>
              <w:bottom w:val="nil"/>
              <w:right w:val="single" w:sz="12" w:space="0" w:color="000000"/>
            </w:tcBorders>
            <w:shd w:val="clear" w:color="000000" w:fill="FFFFFF"/>
          </w:tcPr>
          <w:p w14:paraId="624DB175"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40</w:t>
            </w:r>
          </w:p>
        </w:tc>
        <w:tc>
          <w:tcPr>
            <w:tcW w:w="1123" w:type="dxa"/>
            <w:tcBorders>
              <w:top w:val="nil"/>
              <w:left w:val="single" w:sz="12" w:space="0" w:color="000000"/>
              <w:bottom w:val="nil"/>
              <w:right w:val="single" w:sz="2" w:space="0" w:color="000000"/>
            </w:tcBorders>
            <w:shd w:val="clear" w:color="000000" w:fill="FFFFFF"/>
            <w:vAlign w:val="center"/>
          </w:tcPr>
          <w:p w14:paraId="599DBD5A"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3</w:t>
            </w:r>
          </w:p>
        </w:tc>
        <w:tc>
          <w:tcPr>
            <w:tcW w:w="1080" w:type="dxa"/>
            <w:tcBorders>
              <w:top w:val="nil"/>
              <w:left w:val="single" w:sz="2" w:space="0" w:color="000000"/>
              <w:bottom w:val="nil"/>
              <w:right w:val="single" w:sz="2" w:space="0" w:color="000000"/>
            </w:tcBorders>
            <w:shd w:val="clear" w:color="000000" w:fill="FFFFFF"/>
            <w:vAlign w:val="center"/>
          </w:tcPr>
          <w:p w14:paraId="13761C76"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8.3</w:t>
            </w:r>
          </w:p>
        </w:tc>
      </w:tr>
      <w:tr w:rsidR="000923BB" w:rsidRPr="00FB3AC0" w14:paraId="756F083E" w14:textId="77777777" w:rsidTr="003A385F">
        <w:trPr>
          <w:trHeight w:val="273"/>
        </w:trPr>
        <w:tc>
          <w:tcPr>
            <w:tcW w:w="206" w:type="dxa"/>
            <w:tcBorders>
              <w:top w:val="nil"/>
              <w:left w:val="single" w:sz="12" w:space="0" w:color="000000"/>
              <w:bottom w:val="single" w:sz="12" w:space="0" w:color="000000"/>
              <w:right w:val="nil"/>
            </w:tcBorders>
            <w:shd w:val="clear" w:color="000000" w:fill="FFFFFF"/>
          </w:tcPr>
          <w:p w14:paraId="5584FE3C"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594" w:type="dxa"/>
            <w:tcBorders>
              <w:top w:val="nil"/>
              <w:left w:val="nil"/>
              <w:bottom w:val="single" w:sz="12" w:space="0" w:color="000000"/>
              <w:right w:val="single" w:sz="12" w:space="0" w:color="000000"/>
            </w:tcBorders>
            <w:shd w:val="clear" w:color="000000" w:fill="FFFFFF"/>
          </w:tcPr>
          <w:p w14:paraId="6A1A2F8B"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14:paraId="099EC8FB"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36</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2B9104B9"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100.0</w:t>
            </w:r>
          </w:p>
        </w:tc>
      </w:tr>
    </w:tbl>
    <w:p w14:paraId="3F9C26F6" w14:textId="77777777" w:rsidR="004932C5" w:rsidRDefault="004932C5" w:rsidP="000923BB">
      <w:pPr>
        <w:tabs>
          <w:tab w:val="center" w:pos="3312"/>
        </w:tabs>
        <w:autoSpaceDE w:val="0"/>
        <w:autoSpaceDN w:val="0"/>
        <w:adjustRightInd w:val="0"/>
        <w:rPr>
          <w:rFonts w:cs="Arial"/>
          <w:b/>
          <w:bCs/>
          <w:color w:val="000000"/>
          <w:sz w:val="18"/>
          <w:szCs w:val="18"/>
          <w:lang w:val="en-US"/>
        </w:rPr>
      </w:pPr>
    </w:p>
    <w:p w14:paraId="648F8FB2" w14:textId="77777777" w:rsidR="004932C5" w:rsidRDefault="004932C5" w:rsidP="000923BB">
      <w:pPr>
        <w:tabs>
          <w:tab w:val="center" w:pos="3312"/>
        </w:tabs>
        <w:autoSpaceDE w:val="0"/>
        <w:autoSpaceDN w:val="0"/>
        <w:adjustRightInd w:val="0"/>
        <w:rPr>
          <w:rFonts w:cs="Arial"/>
          <w:b/>
          <w:bCs/>
          <w:color w:val="000000"/>
          <w:sz w:val="18"/>
          <w:szCs w:val="18"/>
          <w:lang w:val="en-US"/>
        </w:rPr>
      </w:pPr>
    </w:p>
    <w:p w14:paraId="728881D1" w14:textId="77777777" w:rsidR="000923BB" w:rsidRPr="00FB3AC0" w:rsidRDefault="000923BB" w:rsidP="000923BB">
      <w:pPr>
        <w:tabs>
          <w:tab w:val="center" w:pos="3312"/>
        </w:tabs>
        <w:autoSpaceDE w:val="0"/>
        <w:autoSpaceDN w:val="0"/>
        <w:adjustRightInd w:val="0"/>
        <w:rPr>
          <w:rFonts w:cs="Arial"/>
          <w:b/>
          <w:bCs/>
          <w:color w:val="000000"/>
          <w:sz w:val="18"/>
          <w:szCs w:val="18"/>
          <w:lang w:val="en-US"/>
        </w:rPr>
      </w:pPr>
      <w:r w:rsidRPr="00FB3AC0">
        <w:rPr>
          <w:rFonts w:cs="Arial"/>
          <w:b/>
          <w:bCs/>
          <w:color w:val="000000"/>
          <w:sz w:val="18"/>
          <w:szCs w:val="18"/>
          <w:lang w:val="en-US"/>
        </w:rPr>
        <w:t>ECG performed?</w:t>
      </w:r>
    </w:p>
    <w:p w14:paraId="79E92D2D" w14:textId="77777777" w:rsidR="000923BB" w:rsidRPr="00FB3AC0" w:rsidRDefault="000923BB" w:rsidP="000923BB">
      <w:pPr>
        <w:tabs>
          <w:tab w:val="center" w:pos="3312"/>
        </w:tabs>
        <w:autoSpaceDE w:val="0"/>
        <w:autoSpaceDN w:val="0"/>
        <w:adjustRightInd w:val="0"/>
        <w:rPr>
          <w:rFonts w:cs="Arial"/>
          <w:b/>
          <w:bCs/>
          <w:color w:val="000000"/>
          <w:sz w:val="18"/>
          <w:szCs w:val="18"/>
          <w:lang w:val="en-US"/>
        </w:rPr>
      </w:pPr>
    </w:p>
    <w:tbl>
      <w:tblPr>
        <w:tblW w:w="0" w:type="auto"/>
        <w:tblInd w:w="93" w:type="dxa"/>
        <w:tblLayout w:type="fixed"/>
        <w:tblCellMar>
          <w:left w:w="93" w:type="dxa"/>
          <w:right w:w="93" w:type="dxa"/>
        </w:tblCellMar>
        <w:tblLook w:val="0000" w:firstRow="0" w:lastRow="0" w:firstColumn="0" w:lastColumn="0" w:noHBand="0" w:noVBand="0"/>
      </w:tblPr>
      <w:tblGrid>
        <w:gridCol w:w="206"/>
        <w:gridCol w:w="1291"/>
        <w:gridCol w:w="1123"/>
        <w:gridCol w:w="1080"/>
      </w:tblGrid>
      <w:tr w:rsidR="000923BB" w:rsidRPr="00FB3AC0" w14:paraId="4B86F59A" w14:textId="77777777" w:rsidTr="003A385F">
        <w:trPr>
          <w:trHeight w:val="504"/>
        </w:trPr>
        <w:tc>
          <w:tcPr>
            <w:tcW w:w="1497"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01771A1A"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51310992"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n</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614913BC"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Percent</w:t>
            </w:r>
          </w:p>
        </w:tc>
      </w:tr>
      <w:tr w:rsidR="000923BB" w:rsidRPr="00FB3AC0" w14:paraId="6558BAD5" w14:textId="77777777" w:rsidTr="003A385F">
        <w:trPr>
          <w:trHeight w:val="273"/>
        </w:trPr>
        <w:tc>
          <w:tcPr>
            <w:tcW w:w="206" w:type="dxa"/>
            <w:tcBorders>
              <w:top w:val="single" w:sz="12" w:space="0" w:color="000000"/>
              <w:left w:val="single" w:sz="12" w:space="0" w:color="000000"/>
              <w:bottom w:val="nil"/>
              <w:right w:val="nil"/>
            </w:tcBorders>
            <w:shd w:val="clear" w:color="000000" w:fill="FFFFFF"/>
          </w:tcPr>
          <w:p w14:paraId="1388FAC7" w14:textId="77777777" w:rsidR="000923BB" w:rsidRPr="00FB3AC0" w:rsidRDefault="000923BB" w:rsidP="003A385F">
            <w:pPr>
              <w:autoSpaceDE w:val="0"/>
              <w:autoSpaceDN w:val="0"/>
              <w:adjustRightInd w:val="0"/>
              <w:rPr>
                <w:rFonts w:cs="Arial"/>
                <w:color w:val="000000"/>
                <w:sz w:val="18"/>
                <w:szCs w:val="18"/>
                <w:lang w:val="en-US"/>
              </w:rPr>
            </w:pPr>
          </w:p>
        </w:tc>
        <w:tc>
          <w:tcPr>
            <w:tcW w:w="1291" w:type="dxa"/>
            <w:tcBorders>
              <w:top w:val="single" w:sz="12" w:space="0" w:color="000000"/>
              <w:left w:val="nil"/>
              <w:bottom w:val="nil"/>
              <w:right w:val="single" w:sz="12" w:space="0" w:color="000000"/>
            </w:tcBorders>
            <w:shd w:val="clear" w:color="000000" w:fill="FFFFFF"/>
          </w:tcPr>
          <w:p w14:paraId="09095201"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no</w:t>
            </w:r>
          </w:p>
        </w:tc>
        <w:tc>
          <w:tcPr>
            <w:tcW w:w="1123" w:type="dxa"/>
            <w:tcBorders>
              <w:top w:val="single" w:sz="12" w:space="0" w:color="000000"/>
              <w:left w:val="single" w:sz="12" w:space="0" w:color="000000"/>
              <w:bottom w:val="nil"/>
              <w:right w:val="single" w:sz="2" w:space="0" w:color="000000"/>
            </w:tcBorders>
            <w:shd w:val="clear" w:color="000000" w:fill="FFFFFF"/>
          </w:tcPr>
          <w:p w14:paraId="459B9C32" w14:textId="77777777" w:rsidR="000923BB" w:rsidRPr="00FB3AC0" w:rsidRDefault="000923BB" w:rsidP="003A385F">
            <w:pPr>
              <w:rPr>
                <w:rFonts w:cs="Arial"/>
                <w:sz w:val="20"/>
                <w:szCs w:val="20"/>
              </w:rPr>
            </w:pPr>
            <w:r w:rsidRPr="00FB3AC0">
              <w:rPr>
                <w:rFonts w:cs="Arial"/>
                <w:sz w:val="20"/>
                <w:szCs w:val="20"/>
              </w:rPr>
              <w:t>8</w:t>
            </w:r>
          </w:p>
        </w:tc>
        <w:tc>
          <w:tcPr>
            <w:tcW w:w="1080" w:type="dxa"/>
            <w:tcBorders>
              <w:top w:val="single" w:sz="12" w:space="0" w:color="000000"/>
              <w:left w:val="single" w:sz="2" w:space="0" w:color="000000"/>
              <w:bottom w:val="nil"/>
              <w:right w:val="single" w:sz="2" w:space="0" w:color="000000"/>
            </w:tcBorders>
            <w:shd w:val="clear" w:color="000000" w:fill="FFFFFF"/>
          </w:tcPr>
          <w:p w14:paraId="7DC40DF7" w14:textId="77777777" w:rsidR="000923BB" w:rsidRPr="00FB3AC0" w:rsidRDefault="000923BB" w:rsidP="003A385F">
            <w:pPr>
              <w:rPr>
                <w:rFonts w:cs="Arial"/>
                <w:sz w:val="20"/>
                <w:szCs w:val="20"/>
              </w:rPr>
            </w:pPr>
            <w:r w:rsidRPr="00FB3AC0">
              <w:rPr>
                <w:rFonts w:cs="Arial"/>
                <w:sz w:val="20"/>
                <w:szCs w:val="20"/>
              </w:rPr>
              <w:t>22.2</w:t>
            </w:r>
          </w:p>
        </w:tc>
      </w:tr>
      <w:tr w:rsidR="000923BB" w:rsidRPr="00FB3AC0" w14:paraId="1028C821" w14:textId="77777777" w:rsidTr="003A385F">
        <w:trPr>
          <w:trHeight w:val="273"/>
        </w:trPr>
        <w:tc>
          <w:tcPr>
            <w:tcW w:w="206" w:type="dxa"/>
            <w:tcBorders>
              <w:top w:val="nil"/>
              <w:left w:val="single" w:sz="12" w:space="0" w:color="000000"/>
              <w:bottom w:val="nil"/>
              <w:right w:val="nil"/>
            </w:tcBorders>
            <w:shd w:val="clear" w:color="000000" w:fill="FFFFFF"/>
          </w:tcPr>
          <w:p w14:paraId="18047232"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291" w:type="dxa"/>
            <w:tcBorders>
              <w:top w:val="nil"/>
              <w:left w:val="nil"/>
              <w:bottom w:val="nil"/>
              <w:right w:val="single" w:sz="12" w:space="0" w:color="000000"/>
            </w:tcBorders>
            <w:shd w:val="clear" w:color="000000" w:fill="FFFFFF"/>
          </w:tcPr>
          <w:p w14:paraId="7D9DA274"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yes</w:t>
            </w:r>
          </w:p>
        </w:tc>
        <w:tc>
          <w:tcPr>
            <w:tcW w:w="1123" w:type="dxa"/>
            <w:tcBorders>
              <w:top w:val="nil"/>
              <w:left w:val="single" w:sz="12" w:space="0" w:color="000000"/>
              <w:bottom w:val="nil"/>
              <w:right w:val="single" w:sz="2" w:space="0" w:color="000000"/>
            </w:tcBorders>
            <w:shd w:val="clear" w:color="000000" w:fill="FFFFFF"/>
          </w:tcPr>
          <w:p w14:paraId="236E487C" w14:textId="77777777" w:rsidR="000923BB" w:rsidRPr="00FB3AC0" w:rsidRDefault="000923BB" w:rsidP="003A385F">
            <w:pPr>
              <w:rPr>
                <w:rFonts w:cs="Arial"/>
                <w:sz w:val="20"/>
                <w:szCs w:val="20"/>
              </w:rPr>
            </w:pPr>
            <w:r w:rsidRPr="00FB3AC0">
              <w:rPr>
                <w:rFonts w:cs="Arial"/>
                <w:sz w:val="20"/>
                <w:szCs w:val="20"/>
              </w:rPr>
              <w:t>28</w:t>
            </w:r>
          </w:p>
        </w:tc>
        <w:tc>
          <w:tcPr>
            <w:tcW w:w="1080" w:type="dxa"/>
            <w:tcBorders>
              <w:top w:val="nil"/>
              <w:left w:val="single" w:sz="2" w:space="0" w:color="000000"/>
              <w:bottom w:val="nil"/>
              <w:right w:val="single" w:sz="2" w:space="0" w:color="000000"/>
            </w:tcBorders>
            <w:shd w:val="clear" w:color="000000" w:fill="FFFFFF"/>
          </w:tcPr>
          <w:p w14:paraId="58DF78C3" w14:textId="77777777" w:rsidR="000923BB" w:rsidRPr="00FB3AC0" w:rsidRDefault="000923BB" w:rsidP="003A385F">
            <w:pPr>
              <w:rPr>
                <w:rFonts w:cs="Arial"/>
                <w:sz w:val="20"/>
                <w:szCs w:val="20"/>
              </w:rPr>
            </w:pPr>
            <w:r w:rsidRPr="00FB3AC0">
              <w:rPr>
                <w:rFonts w:cs="Arial"/>
                <w:sz w:val="20"/>
                <w:szCs w:val="20"/>
              </w:rPr>
              <w:t>77.8</w:t>
            </w:r>
          </w:p>
        </w:tc>
      </w:tr>
      <w:tr w:rsidR="000923BB" w:rsidRPr="00FB3AC0" w14:paraId="059A7653" w14:textId="77777777" w:rsidTr="003A385F">
        <w:trPr>
          <w:trHeight w:val="273"/>
        </w:trPr>
        <w:tc>
          <w:tcPr>
            <w:tcW w:w="206" w:type="dxa"/>
            <w:tcBorders>
              <w:top w:val="nil"/>
              <w:left w:val="single" w:sz="12" w:space="0" w:color="000000"/>
              <w:bottom w:val="single" w:sz="12" w:space="0" w:color="000000"/>
              <w:right w:val="nil"/>
            </w:tcBorders>
            <w:shd w:val="clear" w:color="000000" w:fill="FFFFFF"/>
          </w:tcPr>
          <w:p w14:paraId="07925410"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291" w:type="dxa"/>
            <w:tcBorders>
              <w:top w:val="nil"/>
              <w:left w:val="nil"/>
              <w:bottom w:val="single" w:sz="12" w:space="0" w:color="000000"/>
              <w:right w:val="single" w:sz="12" w:space="0" w:color="000000"/>
            </w:tcBorders>
            <w:shd w:val="clear" w:color="000000" w:fill="FFFFFF"/>
          </w:tcPr>
          <w:p w14:paraId="13AF9486"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Total</w:t>
            </w:r>
          </w:p>
        </w:tc>
        <w:tc>
          <w:tcPr>
            <w:tcW w:w="1123" w:type="dxa"/>
            <w:tcBorders>
              <w:top w:val="nil"/>
              <w:left w:val="single" w:sz="12" w:space="0" w:color="000000"/>
              <w:bottom w:val="single" w:sz="12" w:space="0" w:color="000000"/>
              <w:right w:val="single" w:sz="2" w:space="0" w:color="000000"/>
            </w:tcBorders>
            <w:shd w:val="clear" w:color="000000" w:fill="FFFFFF"/>
          </w:tcPr>
          <w:p w14:paraId="51E1A0AF" w14:textId="77777777" w:rsidR="000923BB" w:rsidRPr="00FB3AC0" w:rsidRDefault="000923BB" w:rsidP="003A385F">
            <w:pPr>
              <w:rPr>
                <w:rFonts w:cs="Arial"/>
                <w:sz w:val="20"/>
                <w:szCs w:val="20"/>
              </w:rPr>
            </w:pPr>
            <w:r w:rsidRPr="00FB3AC0">
              <w:rPr>
                <w:rFonts w:cs="Arial"/>
                <w:sz w:val="20"/>
                <w:szCs w:val="20"/>
              </w:rPr>
              <w:t>36</w:t>
            </w:r>
          </w:p>
        </w:tc>
        <w:tc>
          <w:tcPr>
            <w:tcW w:w="1080" w:type="dxa"/>
            <w:tcBorders>
              <w:top w:val="nil"/>
              <w:left w:val="single" w:sz="2" w:space="0" w:color="000000"/>
              <w:bottom w:val="single" w:sz="12" w:space="0" w:color="000000"/>
              <w:right w:val="single" w:sz="2" w:space="0" w:color="000000"/>
            </w:tcBorders>
            <w:shd w:val="clear" w:color="000000" w:fill="FFFFFF"/>
          </w:tcPr>
          <w:p w14:paraId="57DE48C4" w14:textId="77777777" w:rsidR="000923BB" w:rsidRPr="00FB3AC0" w:rsidRDefault="000923BB" w:rsidP="003A385F">
            <w:pPr>
              <w:rPr>
                <w:rFonts w:cs="Arial"/>
                <w:sz w:val="20"/>
                <w:szCs w:val="20"/>
              </w:rPr>
            </w:pPr>
            <w:r w:rsidRPr="00FB3AC0">
              <w:rPr>
                <w:rFonts w:cs="Arial"/>
                <w:sz w:val="20"/>
                <w:szCs w:val="20"/>
              </w:rPr>
              <w:t>100.0</w:t>
            </w:r>
          </w:p>
        </w:tc>
      </w:tr>
    </w:tbl>
    <w:p w14:paraId="11BA0FF1" w14:textId="77777777" w:rsidR="000923BB" w:rsidRPr="00FB3AC0" w:rsidRDefault="000923BB" w:rsidP="000923BB">
      <w:pPr>
        <w:rPr>
          <w:rFonts w:cs="Arial"/>
          <w:b/>
          <w:sz w:val="28"/>
          <w:szCs w:val="28"/>
        </w:rPr>
      </w:pPr>
    </w:p>
    <w:p w14:paraId="2A025676" w14:textId="77777777" w:rsidR="004932C5" w:rsidRDefault="004932C5" w:rsidP="000923BB">
      <w:pPr>
        <w:tabs>
          <w:tab w:val="center" w:pos="3312"/>
        </w:tabs>
        <w:autoSpaceDE w:val="0"/>
        <w:autoSpaceDN w:val="0"/>
        <w:adjustRightInd w:val="0"/>
        <w:rPr>
          <w:rFonts w:cs="Arial"/>
          <w:b/>
          <w:bCs/>
          <w:color w:val="000000"/>
          <w:sz w:val="18"/>
          <w:szCs w:val="18"/>
          <w:lang w:val="en-US"/>
        </w:rPr>
      </w:pPr>
    </w:p>
    <w:p w14:paraId="36BBB267" w14:textId="77777777" w:rsidR="000923BB" w:rsidRPr="00FB3AC0" w:rsidRDefault="000923BB" w:rsidP="000923BB">
      <w:pPr>
        <w:tabs>
          <w:tab w:val="center" w:pos="3312"/>
        </w:tabs>
        <w:autoSpaceDE w:val="0"/>
        <w:autoSpaceDN w:val="0"/>
        <w:adjustRightInd w:val="0"/>
        <w:rPr>
          <w:rFonts w:cs="Arial"/>
          <w:b/>
          <w:bCs/>
          <w:color w:val="000000"/>
          <w:sz w:val="18"/>
          <w:szCs w:val="18"/>
          <w:lang w:val="en-US"/>
        </w:rPr>
      </w:pPr>
      <w:r w:rsidRPr="00FB3AC0">
        <w:rPr>
          <w:rFonts w:cs="Arial"/>
          <w:b/>
          <w:bCs/>
          <w:color w:val="000000"/>
          <w:sz w:val="18"/>
          <w:szCs w:val="18"/>
          <w:lang w:val="en-US"/>
        </w:rPr>
        <w:lastRenderedPageBreak/>
        <w:t>Urea recorded?</w:t>
      </w:r>
    </w:p>
    <w:tbl>
      <w:tblPr>
        <w:tblW w:w="0" w:type="auto"/>
        <w:tblInd w:w="93" w:type="dxa"/>
        <w:tblLayout w:type="fixed"/>
        <w:tblCellMar>
          <w:left w:w="93" w:type="dxa"/>
          <w:right w:w="93" w:type="dxa"/>
        </w:tblCellMar>
        <w:tblLook w:val="0000" w:firstRow="0" w:lastRow="0" w:firstColumn="0" w:lastColumn="0" w:noHBand="0" w:noVBand="0"/>
      </w:tblPr>
      <w:tblGrid>
        <w:gridCol w:w="206"/>
        <w:gridCol w:w="1230"/>
        <w:gridCol w:w="1123"/>
        <w:gridCol w:w="1080"/>
      </w:tblGrid>
      <w:tr w:rsidR="000923BB" w:rsidRPr="00FB3AC0" w14:paraId="01705E8C" w14:textId="77777777" w:rsidTr="003A385F">
        <w:trPr>
          <w:trHeight w:val="504"/>
        </w:trPr>
        <w:tc>
          <w:tcPr>
            <w:tcW w:w="143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59B7E279"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7E78199D"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n</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607B9E2F"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Percent</w:t>
            </w:r>
          </w:p>
        </w:tc>
      </w:tr>
      <w:tr w:rsidR="000923BB" w:rsidRPr="00FB3AC0" w14:paraId="7F1EEA65" w14:textId="77777777" w:rsidTr="003A385F">
        <w:trPr>
          <w:trHeight w:val="273"/>
        </w:trPr>
        <w:tc>
          <w:tcPr>
            <w:tcW w:w="206" w:type="dxa"/>
            <w:tcBorders>
              <w:top w:val="single" w:sz="12" w:space="0" w:color="000000"/>
              <w:left w:val="single" w:sz="12" w:space="0" w:color="000000"/>
              <w:bottom w:val="nil"/>
              <w:right w:val="nil"/>
            </w:tcBorders>
            <w:shd w:val="clear" w:color="000000" w:fill="FFFFFF"/>
          </w:tcPr>
          <w:p w14:paraId="4EE7E2CC" w14:textId="77777777" w:rsidR="000923BB" w:rsidRPr="00FB3AC0" w:rsidRDefault="000923BB" w:rsidP="003A385F">
            <w:pPr>
              <w:autoSpaceDE w:val="0"/>
              <w:autoSpaceDN w:val="0"/>
              <w:adjustRightInd w:val="0"/>
              <w:rPr>
                <w:rFonts w:cs="Arial"/>
                <w:color w:val="000000"/>
                <w:sz w:val="18"/>
                <w:szCs w:val="18"/>
                <w:lang w:val="en-US"/>
              </w:rPr>
            </w:pPr>
          </w:p>
        </w:tc>
        <w:tc>
          <w:tcPr>
            <w:tcW w:w="1230" w:type="dxa"/>
            <w:tcBorders>
              <w:top w:val="single" w:sz="12" w:space="0" w:color="000000"/>
              <w:left w:val="nil"/>
              <w:bottom w:val="nil"/>
              <w:right w:val="single" w:sz="12" w:space="0" w:color="000000"/>
            </w:tcBorders>
            <w:shd w:val="clear" w:color="000000" w:fill="FFFFFF"/>
          </w:tcPr>
          <w:p w14:paraId="30F47FF5"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no</w:t>
            </w:r>
          </w:p>
        </w:tc>
        <w:tc>
          <w:tcPr>
            <w:tcW w:w="1123" w:type="dxa"/>
            <w:tcBorders>
              <w:top w:val="single" w:sz="12" w:space="0" w:color="000000"/>
              <w:left w:val="single" w:sz="12" w:space="0" w:color="000000"/>
              <w:bottom w:val="nil"/>
              <w:right w:val="single" w:sz="2" w:space="0" w:color="000000"/>
            </w:tcBorders>
            <w:shd w:val="clear" w:color="000000" w:fill="FFFFFF"/>
          </w:tcPr>
          <w:p w14:paraId="2EDDA2C3" w14:textId="77777777" w:rsidR="000923BB" w:rsidRPr="00FB3AC0" w:rsidRDefault="000923BB" w:rsidP="003A385F">
            <w:pPr>
              <w:rPr>
                <w:rFonts w:cs="Arial"/>
                <w:sz w:val="20"/>
                <w:szCs w:val="20"/>
              </w:rPr>
            </w:pPr>
            <w:r w:rsidRPr="00FB3AC0">
              <w:rPr>
                <w:rFonts w:cs="Arial"/>
                <w:sz w:val="20"/>
                <w:szCs w:val="20"/>
              </w:rPr>
              <w:t>3</w:t>
            </w:r>
          </w:p>
        </w:tc>
        <w:tc>
          <w:tcPr>
            <w:tcW w:w="1080" w:type="dxa"/>
            <w:tcBorders>
              <w:top w:val="single" w:sz="12" w:space="0" w:color="000000"/>
              <w:left w:val="single" w:sz="2" w:space="0" w:color="000000"/>
              <w:bottom w:val="nil"/>
              <w:right w:val="single" w:sz="2" w:space="0" w:color="000000"/>
            </w:tcBorders>
            <w:shd w:val="clear" w:color="000000" w:fill="FFFFFF"/>
          </w:tcPr>
          <w:p w14:paraId="07B9D4A1" w14:textId="77777777" w:rsidR="000923BB" w:rsidRPr="00FB3AC0" w:rsidRDefault="000923BB" w:rsidP="003A385F">
            <w:pPr>
              <w:rPr>
                <w:rFonts w:cs="Arial"/>
                <w:sz w:val="20"/>
                <w:szCs w:val="20"/>
              </w:rPr>
            </w:pPr>
            <w:r w:rsidRPr="00FB3AC0">
              <w:rPr>
                <w:rFonts w:cs="Arial"/>
                <w:sz w:val="20"/>
                <w:szCs w:val="20"/>
              </w:rPr>
              <w:t>8.3</w:t>
            </w:r>
          </w:p>
        </w:tc>
      </w:tr>
      <w:tr w:rsidR="000923BB" w:rsidRPr="00FB3AC0" w14:paraId="46A993A8" w14:textId="77777777" w:rsidTr="003A385F">
        <w:trPr>
          <w:trHeight w:val="273"/>
        </w:trPr>
        <w:tc>
          <w:tcPr>
            <w:tcW w:w="206" w:type="dxa"/>
            <w:tcBorders>
              <w:top w:val="nil"/>
              <w:left w:val="single" w:sz="12" w:space="0" w:color="000000"/>
              <w:bottom w:val="nil"/>
              <w:right w:val="nil"/>
            </w:tcBorders>
            <w:shd w:val="clear" w:color="000000" w:fill="FFFFFF"/>
          </w:tcPr>
          <w:p w14:paraId="60131096"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230" w:type="dxa"/>
            <w:tcBorders>
              <w:top w:val="nil"/>
              <w:left w:val="nil"/>
              <w:bottom w:val="nil"/>
              <w:right w:val="single" w:sz="12" w:space="0" w:color="000000"/>
            </w:tcBorders>
            <w:shd w:val="clear" w:color="000000" w:fill="FFFFFF"/>
          </w:tcPr>
          <w:p w14:paraId="567039E9"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yes</w:t>
            </w:r>
          </w:p>
        </w:tc>
        <w:tc>
          <w:tcPr>
            <w:tcW w:w="1123" w:type="dxa"/>
            <w:tcBorders>
              <w:top w:val="nil"/>
              <w:left w:val="single" w:sz="12" w:space="0" w:color="000000"/>
              <w:bottom w:val="nil"/>
              <w:right w:val="single" w:sz="2" w:space="0" w:color="000000"/>
            </w:tcBorders>
            <w:shd w:val="clear" w:color="000000" w:fill="FFFFFF"/>
          </w:tcPr>
          <w:p w14:paraId="2A6A7D4E" w14:textId="77777777" w:rsidR="000923BB" w:rsidRPr="00FB3AC0" w:rsidRDefault="000923BB" w:rsidP="003A385F">
            <w:pPr>
              <w:rPr>
                <w:rFonts w:cs="Arial"/>
                <w:sz w:val="20"/>
                <w:szCs w:val="20"/>
              </w:rPr>
            </w:pPr>
            <w:r w:rsidRPr="00FB3AC0">
              <w:rPr>
                <w:rFonts w:cs="Arial"/>
                <w:sz w:val="20"/>
                <w:szCs w:val="20"/>
              </w:rPr>
              <w:t>33</w:t>
            </w:r>
          </w:p>
        </w:tc>
        <w:tc>
          <w:tcPr>
            <w:tcW w:w="1080" w:type="dxa"/>
            <w:tcBorders>
              <w:top w:val="nil"/>
              <w:left w:val="single" w:sz="2" w:space="0" w:color="000000"/>
              <w:bottom w:val="nil"/>
              <w:right w:val="single" w:sz="2" w:space="0" w:color="000000"/>
            </w:tcBorders>
            <w:shd w:val="clear" w:color="000000" w:fill="FFFFFF"/>
          </w:tcPr>
          <w:p w14:paraId="5255F51F" w14:textId="77777777" w:rsidR="000923BB" w:rsidRPr="00FB3AC0" w:rsidRDefault="000923BB" w:rsidP="003A385F">
            <w:pPr>
              <w:rPr>
                <w:rFonts w:cs="Arial"/>
                <w:sz w:val="20"/>
                <w:szCs w:val="20"/>
              </w:rPr>
            </w:pPr>
            <w:r w:rsidRPr="00FB3AC0">
              <w:rPr>
                <w:rFonts w:cs="Arial"/>
                <w:sz w:val="20"/>
                <w:szCs w:val="20"/>
              </w:rPr>
              <w:t>91.7</w:t>
            </w:r>
          </w:p>
        </w:tc>
      </w:tr>
      <w:tr w:rsidR="000923BB" w:rsidRPr="00FB3AC0" w14:paraId="1AD88F50" w14:textId="77777777" w:rsidTr="003A385F">
        <w:trPr>
          <w:trHeight w:val="273"/>
        </w:trPr>
        <w:tc>
          <w:tcPr>
            <w:tcW w:w="206" w:type="dxa"/>
            <w:tcBorders>
              <w:top w:val="nil"/>
              <w:left w:val="single" w:sz="12" w:space="0" w:color="000000"/>
              <w:bottom w:val="single" w:sz="12" w:space="0" w:color="000000"/>
              <w:right w:val="nil"/>
            </w:tcBorders>
            <w:shd w:val="clear" w:color="000000" w:fill="FFFFFF"/>
          </w:tcPr>
          <w:p w14:paraId="7292755C"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230" w:type="dxa"/>
            <w:tcBorders>
              <w:top w:val="nil"/>
              <w:left w:val="nil"/>
              <w:bottom w:val="single" w:sz="12" w:space="0" w:color="000000"/>
              <w:right w:val="single" w:sz="12" w:space="0" w:color="000000"/>
            </w:tcBorders>
            <w:shd w:val="clear" w:color="000000" w:fill="FFFFFF"/>
          </w:tcPr>
          <w:p w14:paraId="77AD48BF"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Total</w:t>
            </w:r>
          </w:p>
        </w:tc>
        <w:tc>
          <w:tcPr>
            <w:tcW w:w="1123" w:type="dxa"/>
            <w:tcBorders>
              <w:top w:val="nil"/>
              <w:left w:val="single" w:sz="12" w:space="0" w:color="000000"/>
              <w:bottom w:val="single" w:sz="12" w:space="0" w:color="000000"/>
              <w:right w:val="single" w:sz="2" w:space="0" w:color="000000"/>
            </w:tcBorders>
            <w:shd w:val="clear" w:color="000000" w:fill="FFFFFF"/>
          </w:tcPr>
          <w:p w14:paraId="4DCCD12E" w14:textId="77777777" w:rsidR="000923BB" w:rsidRPr="00FB3AC0" w:rsidRDefault="000923BB" w:rsidP="003A385F">
            <w:pPr>
              <w:rPr>
                <w:rFonts w:cs="Arial"/>
                <w:sz w:val="20"/>
                <w:szCs w:val="20"/>
              </w:rPr>
            </w:pPr>
            <w:r w:rsidRPr="00FB3AC0">
              <w:rPr>
                <w:rFonts w:cs="Arial"/>
                <w:sz w:val="20"/>
                <w:szCs w:val="20"/>
              </w:rPr>
              <w:t>36</w:t>
            </w:r>
          </w:p>
        </w:tc>
        <w:tc>
          <w:tcPr>
            <w:tcW w:w="1080" w:type="dxa"/>
            <w:tcBorders>
              <w:top w:val="nil"/>
              <w:left w:val="single" w:sz="2" w:space="0" w:color="000000"/>
              <w:bottom w:val="single" w:sz="12" w:space="0" w:color="000000"/>
              <w:right w:val="single" w:sz="2" w:space="0" w:color="000000"/>
            </w:tcBorders>
            <w:shd w:val="clear" w:color="000000" w:fill="FFFFFF"/>
          </w:tcPr>
          <w:p w14:paraId="4581AD0C" w14:textId="77777777" w:rsidR="000923BB" w:rsidRPr="00FB3AC0" w:rsidRDefault="000923BB" w:rsidP="003A385F">
            <w:pPr>
              <w:rPr>
                <w:rFonts w:cs="Arial"/>
                <w:sz w:val="20"/>
                <w:szCs w:val="20"/>
              </w:rPr>
            </w:pPr>
            <w:r w:rsidRPr="00FB3AC0">
              <w:rPr>
                <w:rFonts w:cs="Arial"/>
                <w:sz w:val="20"/>
                <w:szCs w:val="20"/>
              </w:rPr>
              <w:t>100.0</w:t>
            </w:r>
          </w:p>
        </w:tc>
      </w:tr>
    </w:tbl>
    <w:p w14:paraId="00FE9D66" w14:textId="77777777" w:rsidR="000923BB" w:rsidRPr="00FB3AC0" w:rsidRDefault="000923BB" w:rsidP="000923BB">
      <w:pPr>
        <w:tabs>
          <w:tab w:val="center" w:pos="3312"/>
        </w:tabs>
        <w:autoSpaceDE w:val="0"/>
        <w:autoSpaceDN w:val="0"/>
        <w:adjustRightInd w:val="0"/>
        <w:rPr>
          <w:rFonts w:cs="Arial"/>
          <w:b/>
          <w:bCs/>
          <w:color w:val="000000"/>
          <w:sz w:val="18"/>
          <w:szCs w:val="18"/>
          <w:lang w:val="en-US"/>
        </w:rPr>
      </w:pPr>
    </w:p>
    <w:p w14:paraId="42E90169" w14:textId="77777777" w:rsidR="000923BB" w:rsidRPr="00FB3AC0" w:rsidRDefault="000923BB" w:rsidP="000923BB">
      <w:pPr>
        <w:tabs>
          <w:tab w:val="center" w:pos="3312"/>
        </w:tabs>
        <w:autoSpaceDE w:val="0"/>
        <w:autoSpaceDN w:val="0"/>
        <w:adjustRightInd w:val="0"/>
        <w:rPr>
          <w:rFonts w:cs="Arial"/>
          <w:b/>
          <w:bCs/>
          <w:color w:val="000000"/>
          <w:sz w:val="18"/>
          <w:szCs w:val="18"/>
          <w:lang w:val="en-US"/>
        </w:rPr>
      </w:pPr>
      <w:r w:rsidRPr="00FB3AC0">
        <w:rPr>
          <w:rFonts w:cs="Arial"/>
          <w:b/>
          <w:bCs/>
          <w:color w:val="000000"/>
          <w:sz w:val="18"/>
          <w:szCs w:val="18"/>
          <w:lang w:val="en-US"/>
        </w:rPr>
        <w:t>Serum albumin recorded?</w:t>
      </w:r>
    </w:p>
    <w:tbl>
      <w:tblPr>
        <w:tblW w:w="0" w:type="auto"/>
        <w:tblInd w:w="93" w:type="dxa"/>
        <w:tblLayout w:type="fixed"/>
        <w:tblCellMar>
          <w:left w:w="93" w:type="dxa"/>
          <w:right w:w="93" w:type="dxa"/>
        </w:tblCellMar>
        <w:tblLook w:val="0000" w:firstRow="0" w:lastRow="0" w:firstColumn="0" w:lastColumn="0" w:noHBand="0" w:noVBand="0"/>
      </w:tblPr>
      <w:tblGrid>
        <w:gridCol w:w="206"/>
        <w:gridCol w:w="1291"/>
        <w:gridCol w:w="1123"/>
        <w:gridCol w:w="1080"/>
      </w:tblGrid>
      <w:tr w:rsidR="000923BB" w:rsidRPr="00FB3AC0" w14:paraId="32556EA7" w14:textId="77777777" w:rsidTr="003A385F">
        <w:trPr>
          <w:trHeight w:val="504"/>
        </w:trPr>
        <w:tc>
          <w:tcPr>
            <w:tcW w:w="1497"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7FE7EB30"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7F369821"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n</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6C772864"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Percent</w:t>
            </w:r>
          </w:p>
        </w:tc>
      </w:tr>
      <w:tr w:rsidR="000923BB" w:rsidRPr="00FB3AC0" w14:paraId="52480D99" w14:textId="77777777" w:rsidTr="003A385F">
        <w:trPr>
          <w:trHeight w:val="273"/>
        </w:trPr>
        <w:tc>
          <w:tcPr>
            <w:tcW w:w="206" w:type="dxa"/>
            <w:tcBorders>
              <w:top w:val="single" w:sz="12" w:space="0" w:color="000000"/>
              <w:left w:val="single" w:sz="12" w:space="0" w:color="000000"/>
              <w:bottom w:val="nil"/>
              <w:right w:val="nil"/>
            </w:tcBorders>
            <w:shd w:val="clear" w:color="000000" w:fill="FFFFFF"/>
          </w:tcPr>
          <w:p w14:paraId="1282CCEB" w14:textId="77777777" w:rsidR="000923BB" w:rsidRPr="00FB3AC0" w:rsidRDefault="000923BB" w:rsidP="003A385F">
            <w:pPr>
              <w:autoSpaceDE w:val="0"/>
              <w:autoSpaceDN w:val="0"/>
              <w:adjustRightInd w:val="0"/>
              <w:rPr>
                <w:rFonts w:cs="Arial"/>
                <w:color w:val="000000"/>
                <w:sz w:val="18"/>
                <w:szCs w:val="18"/>
                <w:lang w:val="en-US"/>
              </w:rPr>
            </w:pPr>
          </w:p>
        </w:tc>
        <w:tc>
          <w:tcPr>
            <w:tcW w:w="1291" w:type="dxa"/>
            <w:tcBorders>
              <w:top w:val="single" w:sz="12" w:space="0" w:color="000000"/>
              <w:left w:val="nil"/>
              <w:bottom w:val="nil"/>
              <w:right w:val="single" w:sz="12" w:space="0" w:color="000000"/>
            </w:tcBorders>
            <w:shd w:val="clear" w:color="000000" w:fill="FFFFFF"/>
          </w:tcPr>
          <w:p w14:paraId="3EFC1B74"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no</w:t>
            </w:r>
          </w:p>
        </w:tc>
        <w:tc>
          <w:tcPr>
            <w:tcW w:w="1123" w:type="dxa"/>
            <w:tcBorders>
              <w:top w:val="single" w:sz="12" w:space="0" w:color="000000"/>
              <w:left w:val="single" w:sz="12" w:space="0" w:color="000000"/>
              <w:bottom w:val="nil"/>
              <w:right w:val="single" w:sz="2" w:space="0" w:color="000000"/>
            </w:tcBorders>
            <w:shd w:val="clear" w:color="000000" w:fill="FFFFFF"/>
          </w:tcPr>
          <w:p w14:paraId="68B600F0" w14:textId="77777777" w:rsidR="000923BB" w:rsidRPr="00FB3AC0" w:rsidRDefault="000923BB" w:rsidP="003A385F">
            <w:pPr>
              <w:rPr>
                <w:rFonts w:cs="Arial"/>
                <w:sz w:val="20"/>
                <w:szCs w:val="20"/>
              </w:rPr>
            </w:pPr>
            <w:r w:rsidRPr="00FB3AC0">
              <w:rPr>
                <w:rFonts w:cs="Arial"/>
                <w:sz w:val="20"/>
                <w:szCs w:val="20"/>
              </w:rPr>
              <w:t>8</w:t>
            </w:r>
          </w:p>
        </w:tc>
        <w:tc>
          <w:tcPr>
            <w:tcW w:w="1080" w:type="dxa"/>
            <w:tcBorders>
              <w:top w:val="single" w:sz="12" w:space="0" w:color="000000"/>
              <w:left w:val="single" w:sz="2" w:space="0" w:color="000000"/>
              <w:bottom w:val="nil"/>
              <w:right w:val="single" w:sz="2" w:space="0" w:color="000000"/>
            </w:tcBorders>
            <w:shd w:val="clear" w:color="000000" w:fill="FFFFFF"/>
          </w:tcPr>
          <w:p w14:paraId="294EE230" w14:textId="77777777" w:rsidR="000923BB" w:rsidRPr="00FB3AC0" w:rsidRDefault="000923BB" w:rsidP="003A385F">
            <w:pPr>
              <w:rPr>
                <w:rFonts w:cs="Arial"/>
                <w:sz w:val="20"/>
                <w:szCs w:val="20"/>
              </w:rPr>
            </w:pPr>
            <w:r w:rsidRPr="00FB3AC0">
              <w:rPr>
                <w:rFonts w:cs="Arial"/>
                <w:sz w:val="20"/>
                <w:szCs w:val="20"/>
              </w:rPr>
              <w:t>22.2</w:t>
            </w:r>
          </w:p>
        </w:tc>
      </w:tr>
      <w:tr w:rsidR="000923BB" w:rsidRPr="00FB3AC0" w14:paraId="048E054E" w14:textId="77777777" w:rsidTr="003A385F">
        <w:trPr>
          <w:trHeight w:val="273"/>
        </w:trPr>
        <w:tc>
          <w:tcPr>
            <w:tcW w:w="206" w:type="dxa"/>
            <w:tcBorders>
              <w:top w:val="nil"/>
              <w:left w:val="single" w:sz="12" w:space="0" w:color="000000"/>
              <w:bottom w:val="nil"/>
              <w:right w:val="nil"/>
            </w:tcBorders>
            <w:shd w:val="clear" w:color="000000" w:fill="FFFFFF"/>
          </w:tcPr>
          <w:p w14:paraId="313E8F55"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291" w:type="dxa"/>
            <w:tcBorders>
              <w:top w:val="nil"/>
              <w:left w:val="nil"/>
              <w:bottom w:val="nil"/>
              <w:right w:val="single" w:sz="12" w:space="0" w:color="000000"/>
            </w:tcBorders>
            <w:shd w:val="clear" w:color="000000" w:fill="FFFFFF"/>
          </w:tcPr>
          <w:p w14:paraId="480D872C"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yes</w:t>
            </w:r>
          </w:p>
        </w:tc>
        <w:tc>
          <w:tcPr>
            <w:tcW w:w="1123" w:type="dxa"/>
            <w:tcBorders>
              <w:top w:val="nil"/>
              <w:left w:val="single" w:sz="12" w:space="0" w:color="000000"/>
              <w:bottom w:val="nil"/>
              <w:right w:val="single" w:sz="2" w:space="0" w:color="000000"/>
            </w:tcBorders>
            <w:shd w:val="clear" w:color="000000" w:fill="FFFFFF"/>
          </w:tcPr>
          <w:p w14:paraId="4A076DEA" w14:textId="77777777" w:rsidR="000923BB" w:rsidRPr="00FB3AC0" w:rsidRDefault="000923BB" w:rsidP="003A385F">
            <w:pPr>
              <w:rPr>
                <w:rFonts w:cs="Arial"/>
                <w:sz w:val="20"/>
                <w:szCs w:val="20"/>
              </w:rPr>
            </w:pPr>
            <w:r w:rsidRPr="00FB3AC0">
              <w:rPr>
                <w:rFonts w:cs="Arial"/>
                <w:sz w:val="20"/>
                <w:szCs w:val="20"/>
              </w:rPr>
              <w:t>28</w:t>
            </w:r>
          </w:p>
        </w:tc>
        <w:tc>
          <w:tcPr>
            <w:tcW w:w="1080" w:type="dxa"/>
            <w:tcBorders>
              <w:top w:val="nil"/>
              <w:left w:val="single" w:sz="2" w:space="0" w:color="000000"/>
              <w:bottom w:val="nil"/>
              <w:right w:val="single" w:sz="2" w:space="0" w:color="000000"/>
            </w:tcBorders>
            <w:shd w:val="clear" w:color="000000" w:fill="FFFFFF"/>
          </w:tcPr>
          <w:p w14:paraId="1A107610" w14:textId="77777777" w:rsidR="000923BB" w:rsidRPr="00FB3AC0" w:rsidRDefault="000923BB" w:rsidP="003A385F">
            <w:pPr>
              <w:rPr>
                <w:rFonts w:cs="Arial"/>
                <w:sz w:val="20"/>
                <w:szCs w:val="20"/>
              </w:rPr>
            </w:pPr>
            <w:r w:rsidRPr="00FB3AC0">
              <w:rPr>
                <w:rFonts w:cs="Arial"/>
                <w:sz w:val="20"/>
                <w:szCs w:val="20"/>
              </w:rPr>
              <w:t>77.8</w:t>
            </w:r>
          </w:p>
        </w:tc>
      </w:tr>
      <w:tr w:rsidR="000923BB" w:rsidRPr="00FB3AC0" w14:paraId="17631C05" w14:textId="77777777" w:rsidTr="003A385F">
        <w:trPr>
          <w:trHeight w:val="273"/>
        </w:trPr>
        <w:tc>
          <w:tcPr>
            <w:tcW w:w="206" w:type="dxa"/>
            <w:tcBorders>
              <w:top w:val="nil"/>
              <w:left w:val="single" w:sz="12" w:space="0" w:color="000000"/>
              <w:bottom w:val="single" w:sz="12" w:space="0" w:color="000000"/>
              <w:right w:val="nil"/>
            </w:tcBorders>
            <w:shd w:val="clear" w:color="000000" w:fill="FFFFFF"/>
          </w:tcPr>
          <w:p w14:paraId="576E2B5F"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291" w:type="dxa"/>
            <w:tcBorders>
              <w:top w:val="nil"/>
              <w:left w:val="nil"/>
              <w:bottom w:val="single" w:sz="12" w:space="0" w:color="000000"/>
              <w:right w:val="single" w:sz="12" w:space="0" w:color="000000"/>
            </w:tcBorders>
            <w:shd w:val="clear" w:color="000000" w:fill="FFFFFF"/>
          </w:tcPr>
          <w:p w14:paraId="3882B188"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Total</w:t>
            </w:r>
          </w:p>
        </w:tc>
        <w:tc>
          <w:tcPr>
            <w:tcW w:w="1123" w:type="dxa"/>
            <w:tcBorders>
              <w:top w:val="nil"/>
              <w:left w:val="single" w:sz="12" w:space="0" w:color="000000"/>
              <w:bottom w:val="single" w:sz="12" w:space="0" w:color="000000"/>
              <w:right w:val="single" w:sz="2" w:space="0" w:color="000000"/>
            </w:tcBorders>
            <w:shd w:val="clear" w:color="000000" w:fill="FFFFFF"/>
          </w:tcPr>
          <w:p w14:paraId="08E175F7" w14:textId="77777777" w:rsidR="000923BB" w:rsidRPr="00FB3AC0" w:rsidRDefault="000923BB" w:rsidP="003A385F">
            <w:pPr>
              <w:rPr>
                <w:rFonts w:cs="Arial"/>
                <w:sz w:val="20"/>
                <w:szCs w:val="20"/>
              </w:rPr>
            </w:pPr>
            <w:r w:rsidRPr="00FB3AC0">
              <w:rPr>
                <w:rFonts w:cs="Arial"/>
                <w:sz w:val="20"/>
                <w:szCs w:val="20"/>
              </w:rPr>
              <w:t>36</w:t>
            </w:r>
          </w:p>
        </w:tc>
        <w:tc>
          <w:tcPr>
            <w:tcW w:w="1080" w:type="dxa"/>
            <w:tcBorders>
              <w:top w:val="nil"/>
              <w:left w:val="single" w:sz="2" w:space="0" w:color="000000"/>
              <w:bottom w:val="single" w:sz="12" w:space="0" w:color="000000"/>
              <w:right w:val="single" w:sz="2" w:space="0" w:color="000000"/>
            </w:tcBorders>
            <w:shd w:val="clear" w:color="000000" w:fill="FFFFFF"/>
          </w:tcPr>
          <w:p w14:paraId="4C774A1D" w14:textId="77777777" w:rsidR="000923BB" w:rsidRPr="00FB3AC0" w:rsidRDefault="000923BB" w:rsidP="003A385F">
            <w:pPr>
              <w:rPr>
                <w:rFonts w:cs="Arial"/>
                <w:sz w:val="20"/>
                <w:szCs w:val="20"/>
              </w:rPr>
            </w:pPr>
            <w:r w:rsidRPr="00FB3AC0">
              <w:rPr>
                <w:rFonts w:cs="Arial"/>
                <w:sz w:val="20"/>
                <w:szCs w:val="20"/>
              </w:rPr>
              <w:t>100.0</w:t>
            </w:r>
          </w:p>
        </w:tc>
      </w:tr>
    </w:tbl>
    <w:p w14:paraId="5036AB5B" w14:textId="77777777" w:rsidR="000923BB" w:rsidRPr="00FB3AC0" w:rsidRDefault="000923BB" w:rsidP="000923BB">
      <w:pPr>
        <w:rPr>
          <w:rFonts w:cs="Arial"/>
          <w:b/>
          <w:sz w:val="18"/>
          <w:szCs w:val="18"/>
        </w:rPr>
      </w:pPr>
    </w:p>
    <w:p w14:paraId="5C589D18" w14:textId="77777777" w:rsidR="000923BB" w:rsidRPr="00FB3AC0" w:rsidRDefault="000923BB" w:rsidP="000923BB">
      <w:pPr>
        <w:tabs>
          <w:tab w:val="center" w:pos="3312"/>
        </w:tabs>
        <w:autoSpaceDE w:val="0"/>
        <w:autoSpaceDN w:val="0"/>
        <w:adjustRightInd w:val="0"/>
        <w:rPr>
          <w:rFonts w:cs="Arial"/>
          <w:b/>
          <w:bCs/>
          <w:color w:val="000000"/>
          <w:sz w:val="18"/>
          <w:szCs w:val="18"/>
          <w:lang w:val="en-US"/>
        </w:rPr>
      </w:pPr>
      <w:r w:rsidRPr="00FB3AC0">
        <w:rPr>
          <w:rFonts w:cs="Arial"/>
          <w:b/>
          <w:bCs/>
          <w:color w:val="000000"/>
          <w:sz w:val="18"/>
          <w:szCs w:val="18"/>
          <w:lang w:val="en-US"/>
        </w:rPr>
        <w:t>Record of medications at admission?</w:t>
      </w:r>
    </w:p>
    <w:tbl>
      <w:tblPr>
        <w:tblW w:w="0" w:type="auto"/>
        <w:tblInd w:w="93" w:type="dxa"/>
        <w:tblLayout w:type="fixed"/>
        <w:tblCellMar>
          <w:left w:w="93" w:type="dxa"/>
          <w:right w:w="93" w:type="dxa"/>
        </w:tblCellMar>
        <w:tblLook w:val="0000" w:firstRow="0" w:lastRow="0" w:firstColumn="0" w:lastColumn="0" w:noHBand="0" w:noVBand="0"/>
      </w:tblPr>
      <w:tblGrid>
        <w:gridCol w:w="206"/>
        <w:gridCol w:w="1291"/>
        <w:gridCol w:w="1123"/>
        <w:gridCol w:w="1080"/>
      </w:tblGrid>
      <w:tr w:rsidR="000923BB" w:rsidRPr="00FB3AC0" w14:paraId="15329561" w14:textId="77777777" w:rsidTr="003A385F">
        <w:trPr>
          <w:trHeight w:val="504"/>
        </w:trPr>
        <w:tc>
          <w:tcPr>
            <w:tcW w:w="1497"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4E8F9628"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758060B5"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n</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590AFA56"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Percent</w:t>
            </w:r>
          </w:p>
        </w:tc>
      </w:tr>
      <w:tr w:rsidR="000923BB" w:rsidRPr="00FB3AC0" w14:paraId="7511CB96" w14:textId="77777777" w:rsidTr="003A385F">
        <w:trPr>
          <w:trHeight w:val="273"/>
        </w:trPr>
        <w:tc>
          <w:tcPr>
            <w:tcW w:w="206" w:type="dxa"/>
            <w:tcBorders>
              <w:top w:val="single" w:sz="12" w:space="0" w:color="000000"/>
              <w:left w:val="single" w:sz="12" w:space="0" w:color="000000"/>
              <w:bottom w:val="nil"/>
              <w:right w:val="nil"/>
            </w:tcBorders>
            <w:shd w:val="clear" w:color="000000" w:fill="FFFFFF"/>
          </w:tcPr>
          <w:p w14:paraId="50995F70" w14:textId="77777777" w:rsidR="000923BB" w:rsidRPr="00FB3AC0" w:rsidRDefault="000923BB" w:rsidP="003A385F">
            <w:pPr>
              <w:autoSpaceDE w:val="0"/>
              <w:autoSpaceDN w:val="0"/>
              <w:adjustRightInd w:val="0"/>
              <w:rPr>
                <w:rFonts w:cs="Arial"/>
                <w:color w:val="000000"/>
                <w:sz w:val="18"/>
                <w:szCs w:val="18"/>
                <w:lang w:val="en-US"/>
              </w:rPr>
            </w:pPr>
          </w:p>
        </w:tc>
        <w:tc>
          <w:tcPr>
            <w:tcW w:w="1291" w:type="dxa"/>
            <w:tcBorders>
              <w:top w:val="single" w:sz="12" w:space="0" w:color="000000"/>
              <w:left w:val="nil"/>
              <w:bottom w:val="nil"/>
              <w:right w:val="single" w:sz="12" w:space="0" w:color="000000"/>
            </w:tcBorders>
            <w:shd w:val="clear" w:color="000000" w:fill="FFFFFF"/>
          </w:tcPr>
          <w:p w14:paraId="26EF242E"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no</w:t>
            </w:r>
          </w:p>
        </w:tc>
        <w:tc>
          <w:tcPr>
            <w:tcW w:w="1123" w:type="dxa"/>
            <w:tcBorders>
              <w:top w:val="single" w:sz="12" w:space="0" w:color="000000"/>
              <w:left w:val="single" w:sz="12" w:space="0" w:color="000000"/>
              <w:bottom w:val="nil"/>
              <w:right w:val="single" w:sz="2" w:space="0" w:color="000000"/>
            </w:tcBorders>
            <w:shd w:val="clear" w:color="000000" w:fill="FFFFFF"/>
          </w:tcPr>
          <w:p w14:paraId="3F4BC00B" w14:textId="77777777" w:rsidR="000923BB" w:rsidRPr="00FB3AC0" w:rsidRDefault="000923BB" w:rsidP="003A385F">
            <w:pPr>
              <w:rPr>
                <w:rFonts w:cs="Arial"/>
                <w:sz w:val="20"/>
                <w:szCs w:val="20"/>
              </w:rPr>
            </w:pPr>
            <w:r w:rsidRPr="00FB3AC0">
              <w:rPr>
                <w:rFonts w:cs="Arial"/>
                <w:sz w:val="20"/>
                <w:szCs w:val="20"/>
              </w:rPr>
              <w:t>3</w:t>
            </w:r>
          </w:p>
        </w:tc>
        <w:tc>
          <w:tcPr>
            <w:tcW w:w="1080" w:type="dxa"/>
            <w:tcBorders>
              <w:top w:val="single" w:sz="12" w:space="0" w:color="000000"/>
              <w:left w:val="single" w:sz="2" w:space="0" w:color="000000"/>
              <w:bottom w:val="nil"/>
              <w:right w:val="single" w:sz="2" w:space="0" w:color="000000"/>
            </w:tcBorders>
            <w:shd w:val="clear" w:color="000000" w:fill="FFFFFF"/>
          </w:tcPr>
          <w:p w14:paraId="58133CD6" w14:textId="77777777" w:rsidR="000923BB" w:rsidRPr="00FB3AC0" w:rsidRDefault="000923BB" w:rsidP="003A385F">
            <w:pPr>
              <w:rPr>
                <w:rFonts w:cs="Arial"/>
                <w:sz w:val="20"/>
                <w:szCs w:val="20"/>
              </w:rPr>
            </w:pPr>
            <w:r w:rsidRPr="00FB3AC0">
              <w:rPr>
                <w:rFonts w:cs="Arial"/>
                <w:sz w:val="20"/>
                <w:szCs w:val="20"/>
              </w:rPr>
              <w:t>8.3</w:t>
            </w:r>
          </w:p>
        </w:tc>
      </w:tr>
      <w:tr w:rsidR="000923BB" w:rsidRPr="00FB3AC0" w14:paraId="63CE6E2B" w14:textId="77777777" w:rsidTr="003A385F">
        <w:trPr>
          <w:trHeight w:val="273"/>
        </w:trPr>
        <w:tc>
          <w:tcPr>
            <w:tcW w:w="206" w:type="dxa"/>
            <w:tcBorders>
              <w:top w:val="nil"/>
              <w:left w:val="single" w:sz="12" w:space="0" w:color="000000"/>
              <w:bottom w:val="nil"/>
              <w:right w:val="nil"/>
            </w:tcBorders>
            <w:shd w:val="clear" w:color="000000" w:fill="FFFFFF"/>
          </w:tcPr>
          <w:p w14:paraId="46BC1E45"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291" w:type="dxa"/>
            <w:tcBorders>
              <w:top w:val="nil"/>
              <w:left w:val="nil"/>
              <w:bottom w:val="nil"/>
              <w:right w:val="single" w:sz="12" w:space="0" w:color="000000"/>
            </w:tcBorders>
            <w:shd w:val="clear" w:color="000000" w:fill="FFFFFF"/>
          </w:tcPr>
          <w:p w14:paraId="39E222BF"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yes</w:t>
            </w:r>
          </w:p>
        </w:tc>
        <w:tc>
          <w:tcPr>
            <w:tcW w:w="1123" w:type="dxa"/>
            <w:tcBorders>
              <w:top w:val="nil"/>
              <w:left w:val="single" w:sz="12" w:space="0" w:color="000000"/>
              <w:bottom w:val="nil"/>
              <w:right w:val="single" w:sz="2" w:space="0" w:color="000000"/>
            </w:tcBorders>
            <w:shd w:val="clear" w:color="000000" w:fill="FFFFFF"/>
          </w:tcPr>
          <w:p w14:paraId="335BBF85" w14:textId="77777777" w:rsidR="000923BB" w:rsidRPr="00FB3AC0" w:rsidRDefault="000923BB" w:rsidP="003A385F">
            <w:pPr>
              <w:rPr>
                <w:rFonts w:cs="Arial"/>
                <w:sz w:val="20"/>
                <w:szCs w:val="20"/>
              </w:rPr>
            </w:pPr>
            <w:r w:rsidRPr="00FB3AC0">
              <w:rPr>
                <w:rFonts w:cs="Arial"/>
                <w:sz w:val="20"/>
                <w:szCs w:val="20"/>
              </w:rPr>
              <w:t>33</w:t>
            </w:r>
          </w:p>
        </w:tc>
        <w:tc>
          <w:tcPr>
            <w:tcW w:w="1080" w:type="dxa"/>
            <w:tcBorders>
              <w:top w:val="nil"/>
              <w:left w:val="single" w:sz="2" w:space="0" w:color="000000"/>
              <w:bottom w:val="nil"/>
              <w:right w:val="single" w:sz="2" w:space="0" w:color="000000"/>
            </w:tcBorders>
            <w:shd w:val="clear" w:color="000000" w:fill="FFFFFF"/>
          </w:tcPr>
          <w:p w14:paraId="61CF2BC1" w14:textId="77777777" w:rsidR="000923BB" w:rsidRPr="00FB3AC0" w:rsidRDefault="000923BB" w:rsidP="003A385F">
            <w:pPr>
              <w:rPr>
                <w:rFonts w:cs="Arial"/>
                <w:sz w:val="20"/>
                <w:szCs w:val="20"/>
              </w:rPr>
            </w:pPr>
            <w:r w:rsidRPr="00FB3AC0">
              <w:rPr>
                <w:rFonts w:cs="Arial"/>
                <w:sz w:val="20"/>
                <w:szCs w:val="20"/>
              </w:rPr>
              <w:t>91.7</w:t>
            </w:r>
          </w:p>
        </w:tc>
      </w:tr>
      <w:tr w:rsidR="000923BB" w:rsidRPr="00FB3AC0" w14:paraId="3245FC80" w14:textId="77777777" w:rsidTr="003A385F">
        <w:trPr>
          <w:trHeight w:val="273"/>
        </w:trPr>
        <w:tc>
          <w:tcPr>
            <w:tcW w:w="206" w:type="dxa"/>
            <w:tcBorders>
              <w:top w:val="nil"/>
              <w:left w:val="single" w:sz="12" w:space="0" w:color="000000"/>
              <w:bottom w:val="single" w:sz="12" w:space="0" w:color="000000"/>
              <w:right w:val="nil"/>
            </w:tcBorders>
            <w:shd w:val="clear" w:color="000000" w:fill="FFFFFF"/>
          </w:tcPr>
          <w:p w14:paraId="01654669"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291" w:type="dxa"/>
            <w:tcBorders>
              <w:top w:val="nil"/>
              <w:left w:val="nil"/>
              <w:bottom w:val="single" w:sz="12" w:space="0" w:color="000000"/>
              <w:right w:val="single" w:sz="12" w:space="0" w:color="000000"/>
            </w:tcBorders>
            <w:shd w:val="clear" w:color="000000" w:fill="FFFFFF"/>
          </w:tcPr>
          <w:p w14:paraId="254AD501"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Total</w:t>
            </w:r>
          </w:p>
        </w:tc>
        <w:tc>
          <w:tcPr>
            <w:tcW w:w="1123" w:type="dxa"/>
            <w:tcBorders>
              <w:top w:val="nil"/>
              <w:left w:val="single" w:sz="12" w:space="0" w:color="000000"/>
              <w:bottom w:val="single" w:sz="12" w:space="0" w:color="000000"/>
              <w:right w:val="single" w:sz="2" w:space="0" w:color="000000"/>
            </w:tcBorders>
            <w:shd w:val="clear" w:color="000000" w:fill="FFFFFF"/>
          </w:tcPr>
          <w:p w14:paraId="42DA5D4F" w14:textId="77777777" w:rsidR="000923BB" w:rsidRPr="00FB3AC0" w:rsidRDefault="000923BB" w:rsidP="003A385F">
            <w:pPr>
              <w:rPr>
                <w:rFonts w:cs="Arial"/>
                <w:sz w:val="20"/>
                <w:szCs w:val="20"/>
              </w:rPr>
            </w:pPr>
            <w:r w:rsidRPr="00FB3AC0">
              <w:rPr>
                <w:rFonts w:cs="Arial"/>
                <w:sz w:val="20"/>
                <w:szCs w:val="20"/>
              </w:rPr>
              <w:t>36</w:t>
            </w:r>
          </w:p>
        </w:tc>
        <w:tc>
          <w:tcPr>
            <w:tcW w:w="1080" w:type="dxa"/>
            <w:tcBorders>
              <w:top w:val="nil"/>
              <w:left w:val="single" w:sz="2" w:space="0" w:color="000000"/>
              <w:bottom w:val="single" w:sz="12" w:space="0" w:color="000000"/>
              <w:right w:val="single" w:sz="2" w:space="0" w:color="000000"/>
            </w:tcBorders>
            <w:shd w:val="clear" w:color="000000" w:fill="FFFFFF"/>
          </w:tcPr>
          <w:p w14:paraId="4E3A6BCA" w14:textId="77777777" w:rsidR="000923BB" w:rsidRPr="00FB3AC0" w:rsidRDefault="000923BB" w:rsidP="003A385F">
            <w:pPr>
              <w:rPr>
                <w:rFonts w:cs="Arial"/>
                <w:sz w:val="20"/>
                <w:szCs w:val="20"/>
              </w:rPr>
            </w:pPr>
            <w:r w:rsidRPr="00FB3AC0">
              <w:rPr>
                <w:rFonts w:cs="Arial"/>
                <w:sz w:val="20"/>
                <w:szCs w:val="20"/>
              </w:rPr>
              <w:t>100.0</w:t>
            </w:r>
          </w:p>
        </w:tc>
      </w:tr>
    </w:tbl>
    <w:p w14:paraId="41F4855B" w14:textId="77777777" w:rsidR="000923BB" w:rsidRPr="00FB3AC0" w:rsidRDefault="000923BB" w:rsidP="000923BB">
      <w:pPr>
        <w:tabs>
          <w:tab w:val="center" w:pos="3312"/>
        </w:tabs>
        <w:autoSpaceDE w:val="0"/>
        <w:autoSpaceDN w:val="0"/>
        <w:adjustRightInd w:val="0"/>
        <w:rPr>
          <w:rFonts w:cs="Arial"/>
          <w:b/>
          <w:bCs/>
          <w:color w:val="000000"/>
          <w:sz w:val="18"/>
          <w:szCs w:val="18"/>
          <w:lang w:val="en-US"/>
        </w:rPr>
      </w:pPr>
    </w:p>
    <w:p w14:paraId="5CACB924" w14:textId="77777777" w:rsidR="000923BB" w:rsidRPr="00FB3AC0" w:rsidRDefault="000923BB" w:rsidP="000923BB">
      <w:pPr>
        <w:tabs>
          <w:tab w:val="center" w:pos="3600"/>
        </w:tabs>
        <w:autoSpaceDE w:val="0"/>
        <w:autoSpaceDN w:val="0"/>
        <w:adjustRightInd w:val="0"/>
        <w:rPr>
          <w:rFonts w:cs="Arial"/>
          <w:b/>
          <w:bCs/>
          <w:color w:val="000000"/>
          <w:sz w:val="18"/>
          <w:szCs w:val="18"/>
          <w:lang w:val="en-US"/>
        </w:rPr>
      </w:pPr>
      <w:r w:rsidRPr="00FB3AC0">
        <w:rPr>
          <w:rFonts w:cs="Arial"/>
          <w:b/>
          <w:bCs/>
          <w:color w:val="000000"/>
          <w:sz w:val="18"/>
          <w:szCs w:val="18"/>
          <w:lang w:val="en-US"/>
        </w:rPr>
        <w:t>If peripheral oedema present, was it</w:t>
      </w:r>
    </w:p>
    <w:tbl>
      <w:tblPr>
        <w:tblW w:w="0" w:type="auto"/>
        <w:tblInd w:w="93" w:type="dxa"/>
        <w:tblLayout w:type="fixed"/>
        <w:tblCellMar>
          <w:left w:w="93" w:type="dxa"/>
          <w:right w:w="93" w:type="dxa"/>
        </w:tblCellMar>
        <w:tblLook w:val="0000" w:firstRow="0" w:lastRow="0" w:firstColumn="0" w:lastColumn="0" w:noHBand="0" w:noVBand="0"/>
      </w:tblPr>
      <w:tblGrid>
        <w:gridCol w:w="206"/>
        <w:gridCol w:w="1867"/>
        <w:gridCol w:w="987"/>
        <w:gridCol w:w="1216"/>
      </w:tblGrid>
      <w:tr w:rsidR="000923BB" w:rsidRPr="00FB3AC0" w14:paraId="63F6E855" w14:textId="77777777" w:rsidTr="003A385F">
        <w:trPr>
          <w:trHeight w:val="504"/>
        </w:trPr>
        <w:tc>
          <w:tcPr>
            <w:tcW w:w="2073"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6947860C"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987"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77EE70BE"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n</w:t>
            </w:r>
          </w:p>
        </w:tc>
        <w:tc>
          <w:tcPr>
            <w:tcW w:w="1216"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116828EE"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Percent</w:t>
            </w:r>
          </w:p>
        </w:tc>
      </w:tr>
      <w:tr w:rsidR="000923BB" w:rsidRPr="00FB3AC0" w14:paraId="7FB37132" w14:textId="77777777" w:rsidTr="003A385F">
        <w:trPr>
          <w:trHeight w:val="498"/>
        </w:trPr>
        <w:tc>
          <w:tcPr>
            <w:tcW w:w="206" w:type="dxa"/>
            <w:tcBorders>
              <w:top w:val="single" w:sz="12" w:space="0" w:color="000000"/>
              <w:left w:val="single" w:sz="12" w:space="0" w:color="000000"/>
              <w:bottom w:val="nil"/>
              <w:right w:val="nil"/>
            </w:tcBorders>
            <w:shd w:val="clear" w:color="000000" w:fill="FFFFFF"/>
          </w:tcPr>
          <w:p w14:paraId="123BF5B9" w14:textId="77777777" w:rsidR="000923BB" w:rsidRPr="00FB3AC0" w:rsidRDefault="000923BB" w:rsidP="003A385F">
            <w:pPr>
              <w:autoSpaceDE w:val="0"/>
              <w:autoSpaceDN w:val="0"/>
              <w:adjustRightInd w:val="0"/>
              <w:rPr>
                <w:rFonts w:cs="Arial"/>
                <w:color w:val="000000"/>
                <w:sz w:val="18"/>
                <w:szCs w:val="18"/>
                <w:lang w:val="en-US"/>
              </w:rPr>
            </w:pPr>
          </w:p>
        </w:tc>
        <w:tc>
          <w:tcPr>
            <w:tcW w:w="1867" w:type="dxa"/>
            <w:tcBorders>
              <w:top w:val="single" w:sz="12" w:space="0" w:color="000000"/>
              <w:left w:val="nil"/>
              <w:bottom w:val="nil"/>
              <w:right w:val="single" w:sz="12" w:space="0" w:color="000000"/>
            </w:tcBorders>
            <w:shd w:val="clear" w:color="000000" w:fill="FFFFFF"/>
          </w:tcPr>
          <w:p w14:paraId="214E82D1"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No peripheral oedema/ not recorded</w:t>
            </w:r>
          </w:p>
        </w:tc>
        <w:tc>
          <w:tcPr>
            <w:tcW w:w="987" w:type="dxa"/>
            <w:tcBorders>
              <w:top w:val="single" w:sz="12" w:space="0" w:color="000000"/>
              <w:left w:val="single" w:sz="12" w:space="0" w:color="000000"/>
              <w:bottom w:val="nil"/>
              <w:right w:val="single" w:sz="2" w:space="0" w:color="000000"/>
            </w:tcBorders>
            <w:shd w:val="clear" w:color="000000" w:fill="FFFFFF"/>
          </w:tcPr>
          <w:p w14:paraId="5BFD3FC6" w14:textId="77777777" w:rsidR="000923BB" w:rsidRPr="00FB3AC0" w:rsidRDefault="000923BB" w:rsidP="003A385F">
            <w:pPr>
              <w:rPr>
                <w:rFonts w:cs="Arial"/>
                <w:sz w:val="20"/>
                <w:szCs w:val="20"/>
              </w:rPr>
            </w:pPr>
            <w:r w:rsidRPr="00FB3AC0">
              <w:rPr>
                <w:rFonts w:cs="Arial"/>
                <w:sz w:val="20"/>
                <w:szCs w:val="20"/>
              </w:rPr>
              <w:t>20</w:t>
            </w:r>
          </w:p>
        </w:tc>
        <w:tc>
          <w:tcPr>
            <w:tcW w:w="1216" w:type="dxa"/>
            <w:tcBorders>
              <w:top w:val="single" w:sz="12" w:space="0" w:color="000000"/>
              <w:left w:val="single" w:sz="2" w:space="0" w:color="000000"/>
              <w:bottom w:val="nil"/>
              <w:right w:val="single" w:sz="2" w:space="0" w:color="000000"/>
            </w:tcBorders>
            <w:shd w:val="clear" w:color="000000" w:fill="FFFFFF"/>
          </w:tcPr>
          <w:p w14:paraId="1D848372" w14:textId="77777777" w:rsidR="000923BB" w:rsidRPr="00FB3AC0" w:rsidRDefault="000923BB" w:rsidP="003A385F">
            <w:pPr>
              <w:rPr>
                <w:rFonts w:cs="Arial"/>
                <w:sz w:val="20"/>
                <w:szCs w:val="20"/>
              </w:rPr>
            </w:pPr>
            <w:r w:rsidRPr="00FB3AC0">
              <w:rPr>
                <w:rFonts w:cs="Arial"/>
                <w:sz w:val="20"/>
                <w:szCs w:val="20"/>
              </w:rPr>
              <w:t>55.6</w:t>
            </w:r>
          </w:p>
        </w:tc>
      </w:tr>
      <w:tr w:rsidR="000923BB" w:rsidRPr="00FB3AC0" w14:paraId="3961DAAD" w14:textId="77777777" w:rsidTr="003A385F">
        <w:trPr>
          <w:trHeight w:val="273"/>
        </w:trPr>
        <w:tc>
          <w:tcPr>
            <w:tcW w:w="206" w:type="dxa"/>
            <w:vMerge w:val="restart"/>
            <w:tcBorders>
              <w:top w:val="nil"/>
              <w:left w:val="single" w:sz="12" w:space="0" w:color="000000"/>
              <w:bottom w:val="nil"/>
              <w:right w:val="nil"/>
            </w:tcBorders>
            <w:shd w:val="clear" w:color="000000" w:fill="FFFFFF"/>
          </w:tcPr>
          <w:p w14:paraId="220A81A1"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867" w:type="dxa"/>
            <w:tcBorders>
              <w:top w:val="nil"/>
              <w:left w:val="nil"/>
              <w:bottom w:val="nil"/>
              <w:right w:val="single" w:sz="12" w:space="0" w:color="000000"/>
            </w:tcBorders>
            <w:shd w:val="clear" w:color="000000" w:fill="FFFFFF"/>
          </w:tcPr>
          <w:p w14:paraId="081BB7B6"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leg/ankles</w:t>
            </w:r>
          </w:p>
        </w:tc>
        <w:tc>
          <w:tcPr>
            <w:tcW w:w="987" w:type="dxa"/>
            <w:tcBorders>
              <w:top w:val="nil"/>
              <w:left w:val="single" w:sz="12" w:space="0" w:color="000000"/>
              <w:bottom w:val="nil"/>
              <w:right w:val="single" w:sz="2" w:space="0" w:color="000000"/>
            </w:tcBorders>
            <w:shd w:val="clear" w:color="000000" w:fill="FFFFFF"/>
          </w:tcPr>
          <w:p w14:paraId="2A6379C4" w14:textId="77777777" w:rsidR="000923BB" w:rsidRPr="00FB3AC0" w:rsidRDefault="000923BB" w:rsidP="003A385F">
            <w:pPr>
              <w:rPr>
                <w:rFonts w:cs="Arial"/>
                <w:sz w:val="20"/>
                <w:szCs w:val="20"/>
              </w:rPr>
            </w:pPr>
            <w:r w:rsidRPr="00FB3AC0">
              <w:rPr>
                <w:rFonts w:cs="Arial"/>
                <w:sz w:val="20"/>
                <w:szCs w:val="20"/>
              </w:rPr>
              <w:t>15</w:t>
            </w:r>
          </w:p>
        </w:tc>
        <w:tc>
          <w:tcPr>
            <w:tcW w:w="1216" w:type="dxa"/>
            <w:tcBorders>
              <w:top w:val="nil"/>
              <w:left w:val="single" w:sz="2" w:space="0" w:color="000000"/>
              <w:bottom w:val="nil"/>
              <w:right w:val="single" w:sz="2" w:space="0" w:color="000000"/>
            </w:tcBorders>
            <w:shd w:val="clear" w:color="000000" w:fill="FFFFFF"/>
          </w:tcPr>
          <w:p w14:paraId="454313F8" w14:textId="77777777" w:rsidR="000923BB" w:rsidRPr="00FB3AC0" w:rsidRDefault="000923BB" w:rsidP="003A385F">
            <w:pPr>
              <w:rPr>
                <w:rFonts w:cs="Arial"/>
                <w:sz w:val="20"/>
                <w:szCs w:val="20"/>
              </w:rPr>
            </w:pPr>
            <w:r w:rsidRPr="00FB3AC0">
              <w:rPr>
                <w:rFonts w:cs="Arial"/>
                <w:sz w:val="20"/>
                <w:szCs w:val="20"/>
              </w:rPr>
              <w:t>41.7</w:t>
            </w:r>
          </w:p>
        </w:tc>
      </w:tr>
      <w:tr w:rsidR="000923BB" w:rsidRPr="00FB3AC0" w14:paraId="644D41B7" w14:textId="77777777" w:rsidTr="003A385F">
        <w:trPr>
          <w:trHeight w:val="273"/>
        </w:trPr>
        <w:tc>
          <w:tcPr>
            <w:tcW w:w="206" w:type="dxa"/>
            <w:vMerge/>
            <w:tcBorders>
              <w:top w:val="nil"/>
              <w:left w:val="single" w:sz="12" w:space="0" w:color="000000"/>
              <w:bottom w:val="nil"/>
              <w:right w:val="nil"/>
            </w:tcBorders>
            <w:shd w:val="clear" w:color="000000" w:fill="FFFFFF"/>
          </w:tcPr>
          <w:p w14:paraId="7A0EE08E" w14:textId="77777777" w:rsidR="000923BB" w:rsidRPr="00FB3AC0" w:rsidRDefault="000923BB" w:rsidP="003A385F">
            <w:pPr>
              <w:autoSpaceDE w:val="0"/>
              <w:autoSpaceDN w:val="0"/>
              <w:adjustRightInd w:val="0"/>
              <w:rPr>
                <w:rFonts w:cs="Arial"/>
                <w:color w:val="000000"/>
                <w:sz w:val="18"/>
                <w:szCs w:val="18"/>
                <w:lang w:val="en-US"/>
              </w:rPr>
            </w:pPr>
          </w:p>
        </w:tc>
        <w:tc>
          <w:tcPr>
            <w:tcW w:w="1867" w:type="dxa"/>
            <w:tcBorders>
              <w:top w:val="nil"/>
              <w:left w:val="nil"/>
              <w:bottom w:val="nil"/>
              <w:right w:val="single" w:sz="12" w:space="0" w:color="000000"/>
            </w:tcBorders>
            <w:shd w:val="clear" w:color="000000" w:fill="FFFFFF"/>
          </w:tcPr>
          <w:p w14:paraId="27C9B341"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sacral</w:t>
            </w:r>
          </w:p>
        </w:tc>
        <w:tc>
          <w:tcPr>
            <w:tcW w:w="987" w:type="dxa"/>
            <w:tcBorders>
              <w:top w:val="nil"/>
              <w:left w:val="single" w:sz="12" w:space="0" w:color="000000"/>
              <w:bottom w:val="nil"/>
              <w:right w:val="single" w:sz="2" w:space="0" w:color="000000"/>
            </w:tcBorders>
            <w:shd w:val="clear" w:color="000000" w:fill="FFFFFF"/>
          </w:tcPr>
          <w:p w14:paraId="7FEE8E44" w14:textId="77777777" w:rsidR="000923BB" w:rsidRPr="00FB3AC0" w:rsidRDefault="000923BB" w:rsidP="003A385F">
            <w:pPr>
              <w:rPr>
                <w:rFonts w:cs="Arial"/>
                <w:sz w:val="20"/>
                <w:szCs w:val="20"/>
              </w:rPr>
            </w:pPr>
            <w:r w:rsidRPr="00FB3AC0">
              <w:rPr>
                <w:rFonts w:cs="Arial"/>
                <w:sz w:val="20"/>
                <w:szCs w:val="20"/>
              </w:rPr>
              <w:t>0</w:t>
            </w:r>
          </w:p>
        </w:tc>
        <w:tc>
          <w:tcPr>
            <w:tcW w:w="1216" w:type="dxa"/>
            <w:tcBorders>
              <w:top w:val="nil"/>
              <w:left w:val="single" w:sz="2" w:space="0" w:color="000000"/>
              <w:bottom w:val="nil"/>
              <w:right w:val="single" w:sz="2" w:space="0" w:color="000000"/>
            </w:tcBorders>
            <w:shd w:val="clear" w:color="000000" w:fill="FFFFFF"/>
          </w:tcPr>
          <w:p w14:paraId="7DD4B5BE" w14:textId="77777777" w:rsidR="000923BB" w:rsidRPr="00FB3AC0" w:rsidRDefault="000923BB" w:rsidP="003A385F">
            <w:pPr>
              <w:rPr>
                <w:rFonts w:cs="Arial"/>
                <w:sz w:val="20"/>
                <w:szCs w:val="20"/>
              </w:rPr>
            </w:pPr>
            <w:r w:rsidRPr="00FB3AC0">
              <w:rPr>
                <w:rFonts w:cs="Arial"/>
                <w:sz w:val="20"/>
                <w:szCs w:val="20"/>
              </w:rPr>
              <w:t>0.0</w:t>
            </w:r>
          </w:p>
        </w:tc>
      </w:tr>
      <w:tr w:rsidR="000923BB" w:rsidRPr="00FB3AC0" w14:paraId="0F0EE703" w14:textId="77777777" w:rsidTr="003A385F">
        <w:trPr>
          <w:trHeight w:val="273"/>
        </w:trPr>
        <w:tc>
          <w:tcPr>
            <w:tcW w:w="206" w:type="dxa"/>
            <w:tcBorders>
              <w:top w:val="nil"/>
              <w:left w:val="single" w:sz="12" w:space="0" w:color="000000"/>
              <w:bottom w:val="nil"/>
              <w:right w:val="nil"/>
            </w:tcBorders>
            <w:shd w:val="clear" w:color="000000" w:fill="FFFFFF"/>
          </w:tcPr>
          <w:p w14:paraId="02DF07E3"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867" w:type="dxa"/>
            <w:tcBorders>
              <w:top w:val="nil"/>
              <w:left w:val="nil"/>
              <w:bottom w:val="nil"/>
              <w:right w:val="single" w:sz="12" w:space="0" w:color="000000"/>
            </w:tcBorders>
            <w:shd w:val="clear" w:color="000000" w:fill="FFFFFF"/>
          </w:tcPr>
          <w:p w14:paraId="413E535A"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not recorded</w:t>
            </w:r>
          </w:p>
        </w:tc>
        <w:tc>
          <w:tcPr>
            <w:tcW w:w="987" w:type="dxa"/>
            <w:tcBorders>
              <w:top w:val="nil"/>
              <w:left w:val="single" w:sz="12" w:space="0" w:color="000000"/>
              <w:bottom w:val="nil"/>
              <w:right w:val="single" w:sz="2" w:space="0" w:color="000000"/>
            </w:tcBorders>
            <w:shd w:val="clear" w:color="000000" w:fill="FFFFFF"/>
          </w:tcPr>
          <w:p w14:paraId="0F106CE8" w14:textId="77777777" w:rsidR="000923BB" w:rsidRPr="00FB3AC0" w:rsidRDefault="000923BB" w:rsidP="003A385F">
            <w:pPr>
              <w:rPr>
                <w:rFonts w:cs="Arial"/>
                <w:sz w:val="20"/>
                <w:szCs w:val="20"/>
              </w:rPr>
            </w:pPr>
            <w:r w:rsidRPr="00FB3AC0">
              <w:rPr>
                <w:rFonts w:cs="Arial"/>
                <w:sz w:val="20"/>
                <w:szCs w:val="20"/>
              </w:rPr>
              <w:t>1</w:t>
            </w:r>
          </w:p>
        </w:tc>
        <w:tc>
          <w:tcPr>
            <w:tcW w:w="1216" w:type="dxa"/>
            <w:tcBorders>
              <w:top w:val="nil"/>
              <w:left w:val="single" w:sz="2" w:space="0" w:color="000000"/>
              <w:bottom w:val="nil"/>
              <w:right w:val="single" w:sz="2" w:space="0" w:color="000000"/>
            </w:tcBorders>
            <w:shd w:val="clear" w:color="000000" w:fill="FFFFFF"/>
          </w:tcPr>
          <w:p w14:paraId="042EB629" w14:textId="77777777" w:rsidR="000923BB" w:rsidRPr="00FB3AC0" w:rsidRDefault="000923BB" w:rsidP="003A385F">
            <w:pPr>
              <w:rPr>
                <w:rFonts w:cs="Arial"/>
                <w:sz w:val="20"/>
                <w:szCs w:val="20"/>
              </w:rPr>
            </w:pPr>
            <w:r w:rsidRPr="00FB3AC0">
              <w:rPr>
                <w:rFonts w:cs="Arial"/>
                <w:sz w:val="20"/>
                <w:szCs w:val="20"/>
              </w:rPr>
              <w:t>2.8</w:t>
            </w:r>
          </w:p>
        </w:tc>
      </w:tr>
      <w:tr w:rsidR="000923BB" w:rsidRPr="00FB3AC0" w14:paraId="64D23B22" w14:textId="77777777" w:rsidTr="003A385F">
        <w:trPr>
          <w:trHeight w:val="273"/>
        </w:trPr>
        <w:tc>
          <w:tcPr>
            <w:tcW w:w="206" w:type="dxa"/>
            <w:tcBorders>
              <w:top w:val="nil"/>
              <w:left w:val="single" w:sz="12" w:space="0" w:color="000000"/>
              <w:bottom w:val="single" w:sz="12" w:space="0" w:color="000000"/>
              <w:right w:val="nil"/>
            </w:tcBorders>
            <w:shd w:val="clear" w:color="000000" w:fill="FFFFFF"/>
          </w:tcPr>
          <w:p w14:paraId="49C126B2"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867" w:type="dxa"/>
            <w:tcBorders>
              <w:top w:val="nil"/>
              <w:left w:val="nil"/>
              <w:bottom w:val="single" w:sz="12" w:space="0" w:color="000000"/>
              <w:right w:val="single" w:sz="12" w:space="0" w:color="000000"/>
            </w:tcBorders>
            <w:shd w:val="clear" w:color="000000" w:fill="FFFFFF"/>
          </w:tcPr>
          <w:p w14:paraId="11F654E2"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Total</w:t>
            </w:r>
          </w:p>
        </w:tc>
        <w:tc>
          <w:tcPr>
            <w:tcW w:w="987" w:type="dxa"/>
            <w:tcBorders>
              <w:top w:val="nil"/>
              <w:left w:val="single" w:sz="12" w:space="0" w:color="000000"/>
              <w:bottom w:val="single" w:sz="12" w:space="0" w:color="000000"/>
              <w:right w:val="single" w:sz="2" w:space="0" w:color="000000"/>
            </w:tcBorders>
            <w:shd w:val="clear" w:color="000000" w:fill="FFFFFF"/>
          </w:tcPr>
          <w:p w14:paraId="322309E4" w14:textId="77777777" w:rsidR="000923BB" w:rsidRPr="00FB3AC0" w:rsidRDefault="000923BB" w:rsidP="003A385F">
            <w:pPr>
              <w:rPr>
                <w:rFonts w:cs="Arial"/>
                <w:sz w:val="20"/>
                <w:szCs w:val="20"/>
              </w:rPr>
            </w:pPr>
            <w:r w:rsidRPr="00FB3AC0">
              <w:rPr>
                <w:rFonts w:cs="Arial"/>
                <w:sz w:val="20"/>
                <w:szCs w:val="20"/>
              </w:rPr>
              <w:t>36</w:t>
            </w:r>
          </w:p>
        </w:tc>
        <w:tc>
          <w:tcPr>
            <w:tcW w:w="1216" w:type="dxa"/>
            <w:tcBorders>
              <w:top w:val="nil"/>
              <w:left w:val="single" w:sz="2" w:space="0" w:color="000000"/>
              <w:bottom w:val="single" w:sz="12" w:space="0" w:color="000000"/>
              <w:right w:val="single" w:sz="2" w:space="0" w:color="000000"/>
            </w:tcBorders>
            <w:shd w:val="clear" w:color="000000" w:fill="FFFFFF"/>
          </w:tcPr>
          <w:p w14:paraId="053F349E" w14:textId="77777777" w:rsidR="000923BB" w:rsidRPr="00FB3AC0" w:rsidRDefault="000923BB" w:rsidP="003A385F">
            <w:pPr>
              <w:rPr>
                <w:rFonts w:cs="Arial"/>
                <w:sz w:val="20"/>
                <w:szCs w:val="20"/>
              </w:rPr>
            </w:pPr>
            <w:r w:rsidRPr="00FB3AC0">
              <w:rPr>
                <w:rFonts w:cs="Arial"/>
                <w:sz w:val="20"/>
                <w:szCs w:val="20"/>
              </w:rPr>
              <w:t>100.0</w:t>
            </w:r>
          </w:p>
        </w:tc>
      </w:tr>
    </w:tbl>
    <w:p w14:paraId="703367DB" w14:textId="77777777" w:rsidR="000923BB" w:rsidRPr="00FB3AC0" w:rsidRDefault="000923BB" w:rsidP="000923BB">
      <w:pPr>
        <w:autoSpaceDE w:val="0"/>
        <w:autoSpaceDN w:val="0"/>
        <w:adjustRightInd w:val="0"/>
        <w:rPr>
          <w:rFonts w:cs="Arial"/>
          <w:color w:val="000000"/>
          <w:sz w:val="18"/>
          <w:szCs w:val="18"/>
          <w:lang w:val="en-US"/>
        </w:rPr>
      </w:pPr>
    </w:p>
    <w:p w14:paraId="7F243AF6" w14:textId="77777777" w:rsidR="004932C5" w:rsidRDefault="004932C5" w:rsidP="000923BB">
      <w:pPr>
        <w:tabs>
          <w:tab w:val="center" w:pos="3312"/>
        </w:tabs>
        <w:autoSpaceDE w:val="0"/>
        <w:autoSpaceDN w:val="0"/>
        <w:adjustRightInd w:val="0"/>
        <w:rPr>
          <w:rFonts w:cs="Arial"/>
          <w:b/>
          <w:bCs/>
          <w:color w:val="000000"/>
          <w:sz w:val="18"/>
          <w:szCs w:val="18"/>
          <w:lang w:val="en-US"/>
        </w:rPr>
      </w:pPr>
    </w:p>
    <w:p w14:paraId="2BF6D9B1" w14:textId="77777777" w:rsidR="004932C5" w:rsidRDefault="004932C5" w:rsidP="000923BB">
      <w:pPr>
        <w:tabs>
          <w:tab w:val="center" w:pos="3312"/>
        </w:tabs>
        <w:autoSpaceDE w:val="0"/>
        <w:autoSpaceDN w:val="0"/>
        <w:adjustRightInd w:val="0"/>
        <w:rPr>
          <w:rFonts w:cs="Arial"/>
          <w:b/>
          <w:bCs/>
          <w:color w:val="000000"/>
          <w:sz w:val="18"/>
          <w:szCs w:val="18"/>
          <w:lang w:val="en-US"/>
        </w:rPr>
      </w:pPr>
    </w:p>
    <w:p w14:paraId="380A2B8D" w14:textId="77777777" w:rsidR="004932C5" w:rsidRDefault="004932C5" w:rsidP="000923BB">
      <w:pPr>
        <w:tabs>
          <w:tab w:val="center" w:pos="3312"/>
        </w:tabs>
        <w:autoSpaceDE w:val="0"/>
        <w:autoSpaceDN w:val="0"/>
        <w:adjustRightInd w:val="0"/>
        <w:rPr>
          <w:rFonts w:cs="Arial"/>
          <w:b/>
          <w:bCs/>
          <w:color w:val="000000"/>
          <w:sz w:val="18"/>
          <w:szCs w:val="18"/>
          <w:lang w:val="en-US"/>
        </w:rPr>
      </w:pPr>
    </w:p>
    <w:p w14:paraId="7935884D" w14:textId="77777777" w:rsidR="000923BB" w:rsidRPr="00FB3AC0" w:rsidRDefault="000923BB" w:rsidP="000923BB">
      <w:pPr>
        <w:tabs>
          <w:tab w:val="center" w:pos="3312"/>
        </w:tabs>
        <w:autoSpaceDE w:val="0"/>
        <w:autoSpaceDN w:val="0"/>
        <w:adjustRightInd w:val="0"/>
        <w:rPr>
          <w:rFonts w:cs="Arial"/>
          <w:b/>
          <w:bCs/>
          <w:color w:val="000000"/>
          <w:sz w:val="18"/>
          <w:szCs w:val="18"/>
          <w:lang w:val="en-US"/>
        </w:rPr>
      </w:pPr>
      <w:r w:rsidRPr="00FB3AC0">
        <w:rPr>
          <w:rFonts w:cs="Arial"/>
          <w:b/>
          <w:bCs/>
          <w:color w:val="000000"/>
          <w:sz w:val="18"/>
          <w:szCs w:val="18"/>
          <w:lang w:val="en-US"/>
        </w:rPr>
        <w:lastRenderedPageBreak/>
        <w:t>Temperature at admission</w:t>
      </w:r>
    </w:p>
    <w:p w14:paraId="15BAE823" w14:textId="77777777" w:rsidR="000923BB" w:rsidRPr="00FB3AC0" w:rsidRDefault="000923BB" w:rsidP="000923BB">
      <w:pPr>
        <w:tabs>
          <w:tab w:val="center" w:pos="3312"/>
        </w:tabs>
        <w:autoSpaceDE w:val="0"/>
        <w:autoSpaceDN w:val="0"/>
        <w:adjustRightInd w:val="0"/>
        <w:rPr>
          <w:rFonts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206"/>
        <w:gridCol w:w="1234"/>
        <w:gridCol w:w="1123"/>
        <w:gridCol w:w="1080"/>
      </w:tblGrid>
      <w:tr w:rsidR="000923BB" w:rsidRPr="00FB3AC0" w14:paraId="349FB532" w14:textId="77777777" w:rsidTr="003A385F">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3E684B6D"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42225DBA" w14:textId="77777777" w:rsidR="000923BB" w:rsidRPr="00FB3AC0" w:rsidRDefault="000923BB" w:rsidP="003A385F">
            <w:pPr>
              <w:autoSpaceDE w:val="0"/>
              <w:autoSpaceDN w:val="0"/>
              <w:adjustRightInd w:val="0"/>
              <w:jc w:val="center"/>
              <w:rPr>
                <w:rFonts w:cs="Arial"/>
                <w:color w:val="000000"/>
                <w:sz w:val="18"/>
                <w:szCs w:val="18"/>
              </w:rPr>
            </w:pPr>
            <w:r w:rsidRPr="00FB3AC0">
              <w:rPr>
                <w:rFonts w:cs="Arial"/>
                <w:color w:val="000000"/>
                <w:sz w:val="18"/>
                <w:szCs w:val="18"/>
              </w:rPr>
              <w:t>n</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3B728D33" w14:textId="77777777" w:rsidR="000923BB" w:rsidRPr="00FB3AC0" w:rsidRDefault="000923BB" w:rsidP="003A385F">
            <w:pPr>
              <w:autoSpaceDE w:val="0"/>
              <w:autoSpaceDN w:val="0"/>
              <w:adjustRightInd w:val="0"/>
              <w:jc w:val="center"/>
              <w:rPr>
                <w:rFonts w:cs="Arial"/>
                <w:color w:val="000000"/>
                <w:sz w:val="18"/>
                <w:szCs w:val="18"/>
              </w:rPr>
            </w:pPr>
            <w:r w:rsidRPr="00FB3AC0">
              <w:rPr>
                <w:rFonts w:cs="Arial"/>
                <w:color w:val="000000"/>
                <w:sz w:val="18"/>
                <w:szCs w:val="18"/>
              </w:rPr>
              <w:t>Percent</w:t>
            </w:r>
          </w:p>
        </w:tc>
      </w:tr>
      <w:tr w:rsidR="000923BB" w:rsidRPr="00FB3AC0" w14:paraId="2C302ABE" w14:textId="77777777" w:rsidTr="003A385F">
        <w:trPr>
          <w:trHeight w:val="273"/>
        </w:trPr>
        <w:tc>
          <w:tcPr>
            <w:tcW w:w="206" w:type="dxa"/>
            <w:tcBorders>
              <w:top w:val="single" w:sz="12" w:space="0" w:color="000000"/>
              <w:left w:val="single" w:sz="12" w:space="0" w:color="000000"/>
              <w:bottom w:val="nil"/>
              <w:right w:val="nil"/>
            </w:tcBorders>
            <w:shd w:val="clear" w:color="000000" w:fill="FFFFFF"/>
          </w:tcPr>
          <w:p w14:paraId="6DF70691" w14:textId="77777777" w:rsidR="000923BB" w:rsidRPr="00FB3AC0" w:rsidRDefault="000923BB" w:rsidP="003A385F">
            <w:pPr>
              <w:autoSpaceDE w:val="0"/>
              <w:autoSpaceDN w:val="0"/>
              <w:adjustRightInd w:val="0"/>
              <w:rPr>
                <w:rFonts w:cs="Arial"/>
                <w:color w:val="000000"/>
                <w:sz w:val="18"/>
                <w:szCs w:val="18"/>
              </w:rPr>
            </w:pPr>
          </w:p>
        </w:tc>
        <w:tc>
          <w:tcPr>
            <w:tcW w:w="1234" w:type="dxa"/>
            <w:tcBorders>
              <w:top w:val="single" w:sz="12" w:space="0" w:color="000000"/>
              <w:left w:val="nil"/>
              <w:bottom w:val="nil"/>
              <w:right w:val="single" w:sz="12" w:space="0" w:color="000000"/>
            </w:tcBorders>
            <w:shd w:val="clear" w:color="000000" w:fill="FFFFFF"/>
          </w:tcPr>
          <w:p w14:paraId="38C3ECDA"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14:paraId="4F622A8E"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04076EBE"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2.8</w:t>
            </w:r>
          </w:p>
        </w:tc>
      </w:tr>
      <w:tr w:rsidR="000923BB" w:rsidRPr="00FB3AC0" w14:paraId="2E32A537" w14:textId="77777777" w:rsidTr="003A385F">
        <w:trPr>
          <w:trHeight w:val="273"/>
        </w:trPr>
        <w:tc>
          <w:tcPr>
            <w:tcW w:w="206" w:type="dxa"/>
            <w:tcBorders>
              <w:top w:val="nil"/>
              <w:left w:val="single" w:sz="12" w:space="0" w:color="000000"/>
              <w:bottom w:val="nil"/>
              <w:right w:val="nil"/>
            </w:tcBorders>
            <w:shd w:val="clear" w:color="000000" w:fill="FFFFFF"/>
          </w:tcPr>
          <w:p w14:paraId="4EE48BF2"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234" w:type="dxa"/>
            <w:tcBorders>
              <w:top w:val="nil"/>
              <w:left w:val="nil"/>
              <w:bottom w:val="nil"/>
              <w:right w:val="single" w:sz="12" w:space="0" w:color="000000"/>
            </w:tcBorders>
            <w:shd w:val="clear" w:color="000000" w:fill="FFFFFF"/>
          </w:tcPr>
          <w:p w14:paraId="30D9A359"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35</w:t>
            </w:r>
          </w:p>
        </w:tc>
        <w:tc>
          <w:tcPr>
            <w:tcW w:w="1123" w:type="dxa"/>
            <w:tcBorders>
              <w:top w:val="nil"/>
              <w:left w:val="single" w:sz="12" w:space="0" w:color="000000"/>
              <w:bottom w:val="nil"/>
              <w:right w:val="single" w:sz="2" w:space="0" w:color="000000"/>
            </w:tcBorders>
            <w:shd w:val="clear" w:color="000000" w:fill="FFFFFF"/>
            <w:vAlign w:val="center"/>
          </w:tcPr>
          <w:p w14:paraId="285C5E68"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14:paraId="7A9E83C9"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2.8</w:t>
            </w:r>
          </w:p>
        </w:tc>
      </w:tr>
      <w:tr w:rsidR="000923BB" w:rsidRPr="00FB3AC0" w14:paraId="01313004" w14:textId="77777777" w:rsidTr="003A385F">
        <w:trPr>
          <w:trHeight w:val="273"/>
        </w:trPr>
        <w:tc>
          <w:tcPr>
            <w:tcW w:w="206" w:type="dxa"/>
            <w:tcBorders>
              <w:top w:val="nil"/>
              <w:left w:val="single" w:sz="12" w:space="0" w:color="000000"/>
              <w:bottom w:val="nil"/>
              <w:right w:val="nil"/>
            </w:tcBorders>
            <w:shd w:val="clear" w:color="000000" w:fill="FFFFFF"/>
          </w:tcPr>
          <w:p w14:paraId="67F8F7BC"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234" w:type="dxa"/>
            <w:tcBorders>
              <w:top w:val="nil"/>
              <w:left w:val="nil"/>
              <w:bottom w:val="nil"/>
              <w:right w:val="single" w:sz="12" w:space="0" w:color="000000"/>
            </w:tcBorders>
            <w:shd w:val="clear" w:color="000000" w:fill="FFFFFF"/>
          </w:tcPr>
          <w:p w14:paraId="5544CF72"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35.4</w:t>
            </w:r>
          </w:p>
        </w:tc>
        <w:tc>
          <w:tcPr>
            <w:tcW w:w="1123" w:type="dxa"/>
            <w:tcBorders>
              <w:top w:val="nil"/>
              <w:left w:val="single" w:sz="12" w:space="0" w:color="000000"/>
              <w:bottom w:val="nil"/>
              <w:right w:val="single" w:sz="2" w:space="0" w:color="000000"/>
            </w:tcBorders>
            <w:shd w:val="clear" w:color="000000" w:fill="FFFFFF"/>
            <w:vAlign w:val="center"/>
          </w:tcPr>
          <w:p w14:paraId="4BD734AF"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14:paraId="1A0D0979"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2.8</w:t>
            </w:r>
          </w:p>
        </w:tc>
      </w:tr>
      <w:tr w:rsidR="000923BB" w:rsidRPr="00FB3AC0" w14:paraId="08D0600B" w14:textId="77777777" w:rsidTr="003A385F">
        <w:trPr>
          <w:trHeight w:val="273"/>
        </w:trPr>
        <w:tc>
          <w:tcPr>
            <w:tcW w:w="206" w:type="dxa"/>
            <w:tcBorders>
              <w:top w:val="nil"/>
              <w:left w:val="single" w:sz="12" w:space="0" w:color="000000"/>
              <w:bottom w:val="nil"/>
              <w:right w:val="nil"/>
            </w:tcBorders>
            <w:shd w:val="clear" w:color="000000" w:fill="FFFFFF"/>
          </w:tcPr>
          <w:p w14:paraId="570BC0C0"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234" w:type="dxa"/>
            <w:tcBorders>
              <w:top w:val="nil"/>
              <w:left w:val="nil"/>
              <w:bottom w:val="nil"/>
              <w:right w:val="single" w:sz="12" w:space="0" w:color="000000"/>
            </w:tcBorders>
            <w:shd w:val="clear" w:color="000000" w:fill="FFFFFF"/>
          </w:tcPr>
          <w:p w14:paraId="78EE6189"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35.5</w:t>
            </w:r>
          </w:p>
        </w:tc>
        <w:tc>
          <w:tcPr>
            <w:tcW w:w="1123" w:type="dxa"/>
            <w:tcBorders>
              <w:top w:val="nil"/>
              <w:left w:val="single" w:sz="12" w:space="0" w:color="000000"/>
              <w:bottom w:val="nil"/>
              <w:right w:val="single" w:sz="2" w:space="0" w:color="000000"/>
            </w:tcBorders>
            <w:shd w:val="clear" w:color="000000" w:fill="FFFFFF"/>
            <w:vAlign w:val="center"/>
          </w:tcPr>
          <w:p w14:paraId="6C20BDA0"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14:paraId="3F17A2E1"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2.8</w:t>
            </w:r>
          </w:p>
        </w:tc>
      </w:tr>
      <w:tr w:rsidR="000923BB" w:rsidRPr="00FB3AC0" w14:paraId="3A69BD3F" w14:textId="77777777" w:rsidTr="003A385F">
        <w:trPr>
          <w:trHeight w:val="273"/>
        </w:trPr>
        <w:tc>
          <w:tcPr>
            <w:tcW w:w="206" w:type="dxa"/>
            <w:tcBorders>
              <w:top w:val="nil"/>
              <w:left w:val="single" w:sz="12" w:space="0" w:color="000000"/>
              <w:bottom w:val="nil"/>
              <w:right w:val="nil"/>
            </w:tcBorders>
            <w:shd w:val="clear" w:color="000000" w:fill="FFFFFF"/>
          </w:tcPr>
          <w:p w14:paraId="3D01325B"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234" w:type="dxa"/>
            <w:tcBorders>
              <w:top w:val="nil"/>
              <w:left w:val="nil"/>
              <w:bottom w:val="nil"/>
              <w:right w:val="single" w:sz="12" w:space="0" w:color="000000"/>
            </w:tcBorders>
            <w:shd w:val="clear" w:color="000000" w:fill="FFFFFF"/>
          </w:tcPr>
          <w:p w14:paraId="71F594E9"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35.7</w:t>
            </w:r>
          </w:p>
        </w:tc>
        <w:tc>
          <w:tcPr>
            <w:tcW w:w="1123" w:type="dxa"/>
            <w:tcBorders>
              <w:top w:val="nil"/>
              <w:left w:val="single" w:sz="12" w:space="0" w:color="000000"/>
              <w:bottom w:val="nil"/>
              <w:right w:val="single" w:sz="2" w:space="0" w:color="000000"/>
            </w:tcBorders>
            <w:shd w:val="clear" w:color="000000" w:fill="FFFFFF"/>
            <w:vAlign w:val="center"/>
          </w:tcPr>
          <w:p w14:paraId="755EB643"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14:paraId="4D831FDA"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2.8</w:t>
            </w:r>
          </w:p>
        </w:tc>
      </w:tr>
      <w:tr w:rsidR="000923BB" w:rsidRPr="00FB3AC0" w14:paraId="25C91ED0" w14:textId="77777777" w:rsidTr="003A385F">
        <w:trPr>
          <w:trHeight w:val="273"/>
        </w:trPr>
        <w:tc>
          <w:tcPr>
            <w:tcW w:w="206" w:type="dxa"/>
            <w:tcBorders>
              <w:top w:val="nil"/>
              <w:left w:val="single" w:sz="12" w:space="0" w:color="000000"/>
              <w:bottom w:val="nil"/>
              <w:right w:val="nil"/>
            </w:tcBorders>
            <w:shd w:val="clear" w:color="000000" w:fill="FFFFFF"/>
          </w:tcPr>
          <w:p w14:paraId="058DE591"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234" w:type="dxa"/>
            <w:tcBorders>
              <w:top w:val="nil"/>
              <w:left w:val="nil"/>
              <w:bottom w:val="nil"/>
              <w:right w:val="single" w:sz="12" w:space="0" w:color="000000"/>
            </w:tcBorders>
            <w:shd w:val="clear" w:color="000000" w:fill="FFFFFF"/>
          </w:tcPr>
          <w:p w14:paraId="2FACB0B0"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36</w:t>
            </w:r>
          </w:p>
        </w:tc>
        <w:tc>
          <w:tcPr>
            <w:tcW w:w="1123" w:type="dxa"/>
            <w:tcBorders>
              <w:top w:val="nil"/>
              <w:left w:val="single" w:sz="12" w:space="0" w:color="000000"/>
              <w:bottom w:val="nil"/>
              <w:right w:val="single" w:sz="2" w:space="0" w:color="000000"/>
            </w:tcBorders>
            <w:shd w:val="clear" w:color="000000" w:fill="FFFFFF"/>
            <w:vAlign w:val="center"/>
          </w:tcPr>
          <w:p w14:paraId="0F030E95"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14:paraId="035317EA"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2.8</w:t>
            </w:r>
          </w:p>
        </w:tc>
      </w:tr>
      <w:tr w:rsidR="000923BB" w:rsidRPr="00FB3AC0" w14:paraId="56E0FEE4" w14:textId="77777777" w:rsidTr="003A385F">
        <w:trPr>
          <w:trHeight w:val="273"/>
        </w:trPr>
        <w:tc>
          <w:tcPr>
            <w:tcW w:w="206" w:type="dxa"/>
            <w:tcBorders>
              <w:top w:val="nil"/>
              <w:left w:val="single" w:sz="12" w:space="0" w:color="000000"/>
              <w:bottom w:val="nil"/>
              <w:right w:val="nil"/>
            </w:tcBorders>
            <w:shd w:val="clear" w:color="000000" w:fill="FFFFFF"/>
          </w:tcPr>
          <w:p w14:paraId="2FAFCAE3"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234" w:type="dxa"/>
            <w:tcBorders>
              <w:top w:val="nil"/>
              <w:left w:val="nil"/>
              <w:bottom w:val="nil"/>
              <w:right w:val="single" w:sz="12" w:space="0" w:color="000000"/>
            </w:tcBorders>
            <w:shd w:val="clear" w:color="000000" w:fill="FFFFFF"/>
          </w:tcPr>
          <w:p w14:paraId="06072F39"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36.1</w:t>
            </w:r>
          </w:p>
        </w:tc>
        <w:tc>
          <w:tcPr>
            <w:tcW w:w="1123" w:type="dxa"/>
            <w:tcBorders>
              <w:top w:val="nil"/>
              <w:left w:val="single" w:sz="12" w:space="0" w:color="000000"/>
              <w:bottom w:val="nil"/>
              <w:right w:val="single" w:sz="2" w:space="0" w:color="000000"/>
            </w:tcBorders>
            <w:shd w:val="clear" w:color="000000" w:fill="FFFFFF"/>
            <w:vAlign w:val="center"/>
          </w:tcPr>
          <w:p w14:paraId="5CAB5F7E"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3</w:t>
            </w:r>
          </w:p>
        </w:tc>
        <w:tc>
          <w:tcPr>
            <w:tcW w:w="1080" w:type="dxa"/>
            <w:tcBorders>
              <w:top w:val="nil"/>
              <w:left w:val="single" w:sz="2" w:space="0" w:color="000000"/>
              <w:bottom w:val="nil"/>
              <w:right w:val="single" w:sz="2" w:space="0" w:color="000000"/>
            </w:tcBorders>
            <w:shd w:val="clear" w:color="000000" w:fill="FFFFFF"/>
            <w:vAlign w:val="center"/>
          </w:tcPr>
          <w:p w14:paraId="357B510C"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8.3</w:t>
            </w:r>
          </w:p>
        </w:tc>
      </w:tr>
      <w:tr w:rsidR="000923BB" w:rsidRPr="00FB3AC0" w14:paraId="713D5B92" w14:textId="77777777" w:rsidTr="003A385F">
        <w:trPr>
          <w:trHeight w:val="273"/>
        </w:trPr>
        <w:tc>
          <w:tcPr>
            <w:tcW w:w="206" w:type="dxa"/>
            <w:tcBorders>
              <w:top w:val="nil"/>
              <w:left w:val="single" w:sz="12" w:space="0" w:color="000000"/>
              <w:bottom w:val="nil"/>
              <w:right w:val="nil"/>
            </w:tcBorders>
            <w:shd w:val="clear" w:color="000000" w:fill="FFFFFF"/>
          </w:tcPr>
          <w:p w14:paraId="109F6040"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234" w:type="dxa"/>
            <w:tcBorders>
              <w:top w:val="nil"/>
              <w:left w:val="nil"/>
              <w:bottom w:val="nil"/>
              <w:right w:val="single" w:sz="12" w:space="0" w:color="000000"/>
            </w:tcBorders>
            <w:shd w:val="clear" w:color="000000" w:fill="FFFFFF"/>
          </w:tcPr>
          <w:p w14:paraId="4D3C2E8C"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36.2</w:t>
            </w:r>
          </w:p>
        </w:tc>
        <w:tc>
          <w:tcPr>
            <w:tcW w:w="1123" w:type="dxa"/>
            <w:tcBorders>
              <w:top w:val="nil"/>
              <w:left w:val="single" w:sz="12" w:space="0" w:color="000000"/>
              <w:bottom w:val="nil"/>
              <w:right w:val="single" w:sz="2" w:space="0" w:color="000000"/>
            </w:tcBorders>
            <w:shd w:val="clear" w:color="000000" w:fill="FFFFFF"/>
            <w:vAlign w:val="center"/>
          </w:tcPr>
          <w:p w14:paraId="18D28CA6"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14:paraId="606A8356"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5.6</w:t>
            </w:r>
          </w:p>
        </w:tc>
      </w:tr>
      <w:tr w:rsidR="000923BB" w:rsidRPr="00FB3AC0" w14:paraId="06B2FB80" w14:textId="77777777" w:rsidTr="003A385F">
        <w:trPr>
          <w:trHeight w:val="273"/>
        </w:trPr>
        <w:tc>
          <w:tcPr>
            <w:tcW w:w="206" w:type="dxa"/>
            <w:tcBorders>
              <w:top w:val="nil"/>
              <w:left w:val="single" w:sz="12" w:space="0" w:color="000000"/>
              <w:bottom w:val="nil"/>
              <w:right w:val="nil"/>
            </w:tcBorders>
            <w:shd w:val="clear" w:color="000000" w:fill="FFFFFF"/>
          </w:tcPr>
          <w:p w14:paraId="59EEEE5E"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234" w:type="dxa"/>
            <w:tcBorders>
              <w:top w:val="nil"/>
              <w:left w:val="nil"/>
              <w:bottom w:val="nil"/>
              <w:right w:val="single" w:sz="12" w:space="0" w:color="000000"/>
            </w:tcBorders>
            <w:shd w:val="clear" w:color="000000" w:fill="FFFFFF"/>
          </w:tcPr>
          <w:p w14:paraId="3E3B6F94"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36.3</w:t>
            </w:r>
          </w:p>
        </w:tc>
        <w:tc>
          <w:tcPr>
            <w:tcW w:w="1123" w:type="dxa"/>
            <w:tcBorders>
              <w:top w:val="nil"/>
              <w:left w:val="single" w:sz="12" w:space="0" w:color="000000"/>
              <w:bottom w:val="nil"/>
              <w:right w:val="single" w:sz="2" w:space="0" w:color="000000"/>
            </w:tcBorders>
            <w:shd w:val="clear" w:color="000000" w:fill="FFFFFF"/>
            <w:vAlign w:val="center"/>
          </w:tcPr>
          <w:p w14:paraId="09345C08"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14:paraId="38BB5B86"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5.6</w:t>
            </w:r>
          </w:p>
        </w:tc>
      </w:tr>
      <w:tr w:rsidR="000923BB" w:rsidRPr="00FB3AC0" w14:paraId="75DB46A8" w14:textId="77777777" w:rsidTr="003A385F">
        <w:trPr>
          <w:trHeight w:val="273"/>
        </w:trPr>
        <w:tc>
          <w:tcPr>
            <w:tcW w:w="206" w:type="dxa"/>
            <w:tcBorders>
              <w:top w:val="nil"/>
              <w:left w:val="single" w:sz="12" w:space="0" w:color="000000"/>
              <w:bottom w:val="nil"/>
              <w:right w:val="nil"/>
            </w:tcBorders>
            <w:shd w:val="clear" w:color="000000" w:fill="FFFFFF"/>
          </w:tcPr>
          <w:p w14:paraId="1B670C7C"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234" w:type="dxa"/>
            <w:tcBorders>
              <w:top w:val="nil"/>
              <w:left w:val="nil"/>
              <w:bottom w:val="nil"/>
              <w:right w:val="single" w:sz="12" w:space="0" w:color="000000"/>
            </w:tcBorders>
            <w:shd w:val="clear" w:color="000000" w:fill="FFFFFF"/>
          </w:tcPr>
          <w:p w14:paraId="5B56A040"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36.4</w:t>
            </w:r>
          </w:p>
        </w:tc>
        <w:tc>
          <w:tcPr>
            <w:tcW w:w="1123" w:type="dxa"/>
            <w:tcBorders>
              <w:top w:val="nil"/>
              <w:left w:val="single" w:sz="12" w:space="0" w:color="000000"/>
              <w:bottom w:val="nil"/>
              <w:right w:val="single" w:sz="2" w:space="0" w:color="000000"/>
            </w:tcBorders>
            <w:shd w:val="clear" w:color="000000" w:fill="FFFFFF"/>
            <w:vAlign w:val="center"/>
          </w:tcPr>
          <w:p w14:paraId="254EA1BA"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3</w:t>
            </w:r>
          </w:p>
        </w:tc>
        <w:tc>
          <w:tcPr>
            <w:tcW w:w="1080" w:type="dxa"/>
            <w:tcBorders>
              <w:top w:val="nil"/>
              <w:left w:val="single" w:sz="2" w:space="0" w:color="000000"/>
              <w:bottom w:val="nil"/>
              <w:right w:val="single" w:sz="2" w:space="0" w:color="000000"/>
            </w:tcBorders>
            <w:shd w:val="clear" w:color="000000" w:fill="FFFFFF"/>
            <w:vAlign w:val="center"/>
          </w:tcPr>
          <w:p w14:paraId="549F1451"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8.3</w:t>
            </w:r>
          </w:p>
        </w:tc>
      </w:tr>
      <w:tr w:rsidR="000923BB" w:rsidRPr="00FB3AC0" w14:paraId="6F1F2C84" w14:textId="77777777" w:rsidTr="003A385F">
        <w:trPr>
          <w:trHeight w:val="273"/>
        </w:trPr>
        <w:tc>
          <w:tcPr>
            <w:tcW w:w="206" w:type="dxa"/>
            <w:tcBorders>
              <w:top w:val="nil"/>
              <w:left w:val="single" w:sz="12" w:space="0" w:color="000000"/>
              <w:bottom w:val="nil"/>
              <w:right w:val="nil"/>
            </w:tcBorders>
            <w:shd w:val="clear" w:color="000000" w:fill="FFFFFF"/>
          </w:tcPr>
          <w:p w14:paraId="7832960F"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234" w:type="dxa"/>
            <w:tcBorders>
              <w:top w:val="nil"/>
              <w:left w:val="nil"/>
              <w:bottom w:val="nil"/>
              <w:right w:val="single" w:sz="12" w:space="0" w:color="000000"/>
            </w:tcBorders>
            <w:shd w:val="clear" w:color="000000" w:fill="FFFFFF"/>
          </w:tcPr>
          <w:p w14:paraId="47B3C78B"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36.5</w:t>
            </w:r>
          </w:p>
        </w:tc>
        <w:tc>
          <w:tcPr>
            <w:tcW w:w="1123" w:type="dxa"/>
            <w:tcBorders>
              <w:top w:val="nil"/>
              <w:left w:val="single" w:sz="12" w:space="0" w:color="000000"/>
              <w:bottom w:val="nil"/>
              <w:right w:val="single" w:sz="2" w:space="0" w:color="000000"/>
            </w:tcBorders>
            <w:shd w:val="clear" w:color="000000" w:fill="FFFFFF"/>
            <w:vAlign w:val="center"/>
          </w:tcPr>
          <w:p w14:paraId="56FAF058"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14:paraId="73E3396E"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5.6</w:t>
            </w:r>
          </w:p>
        </w:tc>
      </w:tr>
      <w:tr w:rsidR="000923BB" w:rsidRPr="00FB3AC0" w14:paraId="3B0C4456" w14:textId="77777777" w:rsidTr="003A385F">
        <w:trPr>
          <w:trHeight w:val="273"/>
        </w:trPr>
        <w:tc>
          <w:tcPr>
            <w:tcW w:w="206" w:type="dxa"/>
            <w:tcBorders>
              <w:top w:val="nil"/>
              <w:left w:val="single" w:sz="12" w:space="0" w:color="000000"/>
              <w:bottom w:val="nil"/>
              <w:right w:val="nil"/>
            </w:tcBorders>
            <w:shd w:val="clear" w:color="000000" w:fill="FFFFFF"/>
          </w:tcPr>
          <w:p w14:paraId="19FBB207"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234" w:type="dxa"/>
            <w:tcBorders>
              <w:top w:val="nil"/>
              <w:left w:val="nil"/>
              <w:bottom w:val="nil"/>
              <w:right w:val="single" w:sz="12" w:space="0" w:color="000000"/>
            </w:tcBorders>
            <w:shd w:val="clear" w:color="000000" w:fill="FFFFFF"/>
          </w:tcPr>
          <w:p w14:paraId="67E96393"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36.7</w:t>
            </w:r>
          </w:p>
        </w:tc>
        <w:tc>
          <w:tcPr>
            <w:tcW w:w="1123" w:type="dxa"/>
            <w:tcBorders>
              <w:top w:val="nil"/>
              <w:left w:val="single" w:sz="12" w:space="0" w:color="000000"/>
              <w:bottom w:val="nil"/>
              <w:right w:val="single" w:sz="2" w:space="0" w:color="000000"/>
            </w:tcBorders>
            <w:shd w:val="clear" w:color="000000" w:fill="FFFFFF"/>
            <w:vAlign w:val="center"/>
          </w:tcPr>
          <w:p w14:paraId="7F9DDE9B"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3</w:t>
            </w:r>
          </w:p>
        </w:tc>
        <w:tc>
          <w:tcPr>
            <w:tcW w:w="1080" w:type="dxa"/>
            <w:tcBorders>
              <w:top w:val="nil"/>
              <w:left w:val="single" w:sz="2" w:space="0" w:color="000000"/>
              <w:bottom w:val="nil"/>
              <w:right w:val="single" w:sz="2" w:space="0" w:color="000000"/>
            </w:tcBorders>
            <w:shd w:val="clear" w:color="000000" w:fill="FFFFFF"/>
            <w:vAlign w:val="center"/>
          </w:tcPr>
          <w:p w14:paraId="6671E933"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8.3</w:t>
            </w:r>
          </w:p>
        </w:tc>
      </w:tr>
      <w:tr w:rsidR="000923BB" w:rsidRPr="00FB3AC0" w14:paraId="4938B9DD" w14:textId="77777777" w:rsidTr="003A385F">
        <w:trPr>
          <w:trHeight w:val="273"/>
        </w:trPr>
        <w:tc>
          <w:tcPr>
            <w:tcW w:w="206" w:type="dxa"/>
            <w:tcBorders>
              <w:top w:val="nil"/>
              <w:left w:val="single" w:sz="12" w:space="0" w:color="000000"/>
              <w:bottom w:val="nil"/>
              <w:right w:val="nil"/>
            </w:tcBorders>
            <w:shd w:val="clear" w:color="000000" w:fill="FFFFFF"/>
          </w:tcPr>
          <w:p w14:paraId="60A665EA"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234" w:type="dxa"/>
            <w:tcBorders>
              <w:top w:val="nil"/>
              <w:left w:val="nil"/>
              <w:bottom w:val="nil"/>
              <w:right w:val="single" w:sz="12" w:space="0" w:color="000000"/>
            </w:tcBorders>
            <w:shd w:val="clear" w:color="000000" w:fill="FFFFFF"/>
          </w:tcPr>
          <w:p w14:paraId="6AA0B791"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36.8</w:t>
            </w:r>
          </w:p>
        </w:tc>
        <w:tc>
          <w:tcPr>
            <w:tcW w:w="1123" w:type="dxa"/>
            <w:tcBorders>
              <w:top w:val="nil"/>
              <w:left w:val="single" w:sz="12" w:space="0" w:color="000000"/>
              <w:bottom w:val="nil"/>
              <w:right w:val="single" w:sz="2" w:space="0" w:color="000000"/>
            </w:tcBorders>
            <w:shd w:val="clear" w:color="000000" w:fill="FFFFFF"/>
            <w:vAlign w:val="center"/>
          </w:tcPr>
          <w:p w14:paraId="32AF35A8"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14:paraId="06AA2ACD"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2.8</w:t>
            </w:r>
          </w:p>
        </w:tc>
      </w:tr>
      <w:tr w:rsidR="000923BB" w:rsidRPr="00FB3AC0" w14:paraId="2C410118" w14:textId="77777777" w:rsidTr="003A385F">
        <w:trPr>
          <w:trHeight w:val="273"/>
        </w:trPr>
        <w:tc>
          <w:tcPr>
            <w:tcW w:w="206" w:type="dxa"/>
            <w:tcBorders>
              <w:top w:val="nil"/>
              <w:left w:val="single" w:sz="12" w:space="0" w:color="000000"/>
              <w:bottom w:val="nil"/>
              <w:right w:val="nil"/>
            </w:tcBorders>
            <w:shd w:val="clear" w:color="000000" w:fill="FFFFFF"/>
          </w:tcPr>
          <w:p w14:paraId="203F2063"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234" w:type="dxa"/>
            <w:tcBorders>
              <w:top w:val="nil"/>
              <w:left w:val="nil"/>
              <w:bottom w:val="nil"/>
              <w:right w:val="single" w:sz="12" w:space="0" w:color="000000"/>
            </w:tcBorders>
            <w:shd w:val="clear" w:color="000000" w:fill="FFFFFF"/>
          </w:tcPr>
          <w:p w14:paraId="30CA4C49"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36.9</w:t>
            </w:r>
          </w:p>
        </w:tc>
        <w:tc>
          <w:tcPr>
            <w:tcW w:w="1123" w:type="dxa"/>
            <w:tcBorders>
              <w:top w:val="nil"/>
              <w:left w:val="single" w:sz="12" w:space="0" w:color="000000"/>
              <w:bottom w:val="nil"/>
              <w:right w:val="single" w:sz="2" w:space="0" w:color="000000"/>
            </w:tcBorders>
            <w:shd w:val="clear" w:color="000000" w:fill="FFFFFF"/>
            <w:vAlign w:val="center"/>
          </w:tcPr>
          <w:p w14:paraId="5BDD4996"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14:paraId="535CDAC1"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5.6</w:t>
            </w:r>
          </w:p>
        </w:tc>
      </w:tr>
      <w:tr w:rsidR="000923BB" w:rsidRPr="00FB3AC0" w14:paraId="082C947C" w14:textId="77777777" w:rsidTr="003A385F">
        <w:trPr>
          <w:trHeight w:val="273"/>
        </w:trPr>
        <w:tc>
          <w:tcPr>
            <w:tcW w:w="206" w:type="dxa"/>
            <w:tcBorders>
              <w:top w:val="nil"/>
              <w:left w:val="single" w:sz="12" w:space="0" w:color="000000"/>
              <w:bottom w:val="nil"/>
              <w:right w:val="nil"/>
            </w:tcBorders>
            <w:shd w:val="clear" w:color="000000" w:fill="FFFFFF"/>
          </w:tcPr>
          <w:p w14:paraId="54D3CD89"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234" w:type="dxa"/>
            <w:tcBorders>
              <w:top w:val="nil"/>
              <w:left w:val="nil"/>
              <w:bottom w:val="nil"/>
              <w:right w:val="single" w:sz="12" w:space="0" w:color="000000"/>
            </w:tcBorders>
            <w:shd w:val="clear" w:color="000000" w:fill="FFFFFF"/>
          </w:tcPr>
          <w:p w14:paraId="5C80D61D"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37</w:t>
            </w:r>
          </w:p>
        </w:tc>
        <w:tc>
          <w:tcPr>
            <w:tcW w:w="1123" w:type="dxa"/>
            <w:tcBorders>
              <w:top w:val="nil"/>
              <w:left w:val="single" w:sz="12" w:space="0" w:color="000000"/>
              <w:bottom w:val="nil"/>
              <w:right w:val="single" w:sz="2" w:space="0" w:color="000000"/>
            </w:tcBorders>
            <w:shd w:val="clear" w:color="000000" w:fill="FFFFFF"/>
            <w:vAlign w:val="center"/>
          </w:tcPr>
          <w:p w14:paraId="55A2EC1A"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4</w:t>
            </w:r>
          </w:p>
        </w:tc>
        <w:tc>
          <w:tcPr>
            <w:tcW w:w="1080" w:type="dxa"/>
            <w:tcBorders>
              <w:top w:val="nil"/>
              <w:left w:val="single" w:sz="2" w:space="0" w:color="000000"/>
              <w:bottom w:val="nil"/>
              <w:right w:val="single" w:sz="2" w:space="0" w:color="000000"/>
            </w:tcBorders>
            <w:shd w:val="clear" w:color="000000" w:fill="FFFFFF"/>
            <w:vAlign w:val="center"/>
          </w:tcPr>
          <w:p w14:paraId="66488BEB"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11.1</w:t>
            </w:r>
          </w:p>
        </w:tc>
      </w:tr>
      <w:tr w:rsidR="000923BB" w:rsidRPr="00FB3AC0" w14:paraId="01FE04AB" w14:textId="77777777" w:rsidTr="003A385F">
        <w:trPr>
          <w:trHeight w:val="273"/>
        </w:trPr>
        <w:tc>
          <w:tcPr>
            <w:tcW w:w="206" w:type="dxa"/>
            <w:tcBorders>
              <w:top w:val="nil"/>
              <w:left w:val="single" w:sz="12" w:space="0" w:color="000000"/>
              <w:bottom w:val="nil"/>
              <w:right w:val="nil"/>
            </w:tcBorders>
            <w:shd w:val="clear" w:color="000000" w:fill="FFFFFF"/>
          </w:tcPr>
          <w:p w14:paraId="314911EB"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234" w:type="dxa"/>
            <w:tcBorders>
              <w:top w:val="nil"/>
              <w:left w:val="nil"/>
              <w:bottom w:val="nil"/>
              <w:right w:val="single" w:sz="12" w:space="0" w:color="000000"/>
            </w:tcBorders>
            <w:shd w:val="clear" w:color="000000" w:fill="FFFFFF"/>
          </w:tcPr>
          <w:p w14:paraId="5B41390A"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37.1</w:t>
            </w:r>
          </w:p>
        </w:tc>
        <w:tc>
          <w:tcPr>
            <w:tcW w:w="1123" w:type="dxa"/>
            <w:tcBorders>
              <w:top w:val="nil"/>
              <w:left w:val="single" w:sz="12" w:space="0" w:color="000000"/>
              <w:bottom w:val="nil"/>
              <w:right w:val="single" w:sz="2" w:space="0" w:color="000000"/>
            </w:tcBorders>
            <w:shd w:val="clear" w:color="000000" w:fill="FFFFFF"/>
            <w:vAlign w:val="center"/>
          </w:tcPr>
          <w:p w14:paraId="70361836"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14:paraId="664BB8D1"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2.8</w:t>
            </w:r>
          </w:p>
        </w:tc>
      </w:tr>
      <w:tr w:rsidR="000923BB" w:rsidRPr="00FB3AC0" w14:paraId="28F39F95" w14:textId="77777777" w:rsidTr="003A385F">
        <w:trPr>
          <w:trHeight w:val="273"/>
        </w:trPr>
        <w:tc>
          <w:tcPr>
            <w:tcW w:w="206" w:type="dxa"/>
            <w:tcBorders>
              <w:top w:val="nil"/>
              <w:left w:val="single" w:sz="12" w:space="0" w:color="000000"/>
              <w:bottom w:val="nil"/>
              <w:right w:val="nil"/>
            </w:tcBorders>
            <w:shd w:val="clear" w:color="000000" w:fill="FFFFFF"/>
          </w:tcPr>
          <w:p w14:paraId="0905C654"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234" w:type="dxa"/>
            <w:tcBorders>
              <w:top w:val="nil"/>
              <w:left w:val="nil"/>
              <w:bottom w:val="nil"/>
              <w:right w:val="single" w:sz="12" w:space="0" w:color="000000"/>
            </w:tcBorders>
            <w:shd w:val="clear" w:color="000000" w:fill="FFFFFF"/>
          </w:tcPr>
          <w:p w14:paraId="3D962C75"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37.2</w:t>
            </w:r>
          </w:p>
        </w:tc>
        <w:tc>
          <w:tcPr>
            <w:tcW w:w="1123" w:type="dxa"/>
            <w:tcBorders>
              <w:top w:val="nil"/>
              <w:left w:val="single" w:sz="12" w:space="0" w:color="000000"/>
              <w:bottom w:val="nil"/>
              <w:right w:val="single" w:sz="2" w:space="0" w:color="000000"/>
            </w:tcBorders>
            <w:shd w:val="clear" w:color="000000" w:fill="FFFFFF"/>
            <w:vAlign w:val="center"/>
          </w:tcPr>
          <w:p w14:paraId="453447DB"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14:paraId="01B5726E"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5.6</w:t>
            </w:r>
          </w:p>
        </w:tc>
      </w:tr>
      <w:tr w:rsidR="000923BB" w:rsidRPr="00FB3AC0" w14:paraId="0AF4DE46" w14:textId="77777777" w:rsidTr="003A385F">
        <w:trPr>
          <w:trHeight w:val="273"/>
        </w:trPr>
        <w:tc>
          <w:tcPr>
            <w:tcW w:w="206" w:type="dxa"/>
            <w:tcBorders>
              <w:top w:val="nil"/>
              <w:left w:val="single" w:sz="12" w:space="0" w:color="000000"/>
              <w:bottom w:val="nil"/>
              <w:right w:val="nil"/>
            </w:tcBorders>
            <w:shd w:val="clear" w:color="000000" w:fill="FFFFFF"/>
          </w:tcPr>
          <w:p w14:paraId="253DE4C2"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234" w:type="dxa"/>
            <w:tcBorders>
              <w:top w:val="nil"/>
              <w:left w:val="nil"/>
              <w:bottom w:val="nil"/>
              <w:right w:val="single" w:sz="12" w:space="0" w:color="000000"/>
            </w:tcBorders>
            <w:shd w:val="clear" w:color="000000" w:fill="FFFFFF"/>
          </w:tcPr>
          <w:p w14:paraId="527DB7D9"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37.4</w:t>
            </w:r>
          </w:p>
        </w:tc>
        <w:tc>
          <w:tcPr>
            <w:tcW w:w="1123" w:type="dxa"/>
            <w:tcBorders>
              <w:top w:val="nil"/>
              <w:left w:val="single" w:sz="12" w:space="0" w:color="000000"/>
              <w:bottom w:val="nil"/>
              <w:right w:val="single" w:sz="2" w:space="0" w:color="000000"/>
            </w:tcBorders>
            <w:shd w:val="clear" w:color="000000" w:fill="FFFFFF"/>
            <w:vAlign w:val="center"/>
          </w:tcPr>
          <w:p w14:paraId="3C02E3B6"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14:paraId="55E69BD3"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2.8</w:t>
            </w:r>
          </w:p>
        </w:tc>
      </w:tr>
      <w:tr w:rsidR="000923BB" w:rsidRPr="00FB3AC0" w14:paraId="41D30A1A" w14:textId="77777777" w:rsidTr="003A385F">
        <w:trPr>
          <w:trHeight w:val="273"/>
        </w:trPr>
        <w:tc>
          <w:tcPr>
            <w:tcW w:w="206" w:type="dxa"/>
            <w:tcBorders>
              <w:top w:val="nil"/>
              <w:left w:val="single" w:sz="12" w:space="0" w:color="000000"/>
              <w:bottom w:val="nil"/>
              <w:right w:val="nil"/>
            </w:tcBorders>
            <w:shd w:val="clear" w:color="000000" w:fill="FFFFFF"/>
          </w:tcPr>
          <w:p w14:paraId="6EFFD721"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234" w:type="dxa"/>
            <w:tcBorders>
              <w:top w:val="nil"/>
              <w:left w:val="nil"/>
              <w:bottom w:val="nil"/>
              <w:right w:val="single" w:sz="12" w:space="0" w:color="000000"/>
            </w:tcBorders>
            <w:shd w:val="clear" w:color="000000" w:fill="FFFFFF"/>
          </w:tcPr>
          <w:p w14:paraId="67ECF390"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37.5</w:t>
            </w:r>
          </w:p>
        </w:tc>
        <w:tc>
          <w:tcPr>
            <w:tcW w:w="1123" w:type="dxa"/>
            <w:tcBorders>
              <w:top w:val="nil"/>
              <w:left w:val="single" w:sz="12" w:space="0" w:color="000000"/>
              <w:bottom w:val="nil"/>
              <w:right w:val="single" w:sz="2" w:space="0" w:color="000000"/>
            </w:tcBorders>
            <w:shd w:val="clear" w:color="000000" w:fill="FFFFFF"/>
            <w:vAlign w:val="center"/>
          </w:tcPr>
          <w:p w14:paraId="0848CEC8"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14:paraId="6C317E9C"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2.8</w:t>
            </w:r>
          </w:p>
        </w:tc>
      </w:tr>
      <w:tr w:rsidR="000923BB" w:rsidRPr="00FB3AC0" w14:paraId="17DFEDAE" w14:textId="77777777" w:rsidTr="003A385F">
        <w:trPr>
          <w:trHeight w:val="273"/>
        </w:trPr>
        <w:tc>
          <w:tcPr>
            <w:tcW w:w="206" w:type="dxa"/>
            <w:tcBorders>
              <w:top w:val="nil"/>
              <w:left w:val="single" w:sz="12" w:space="0" w:color="000000"/>
              <w:bottom w:val="nil"/>
              <w:right w:val="nil"/>
            </w:tcBorders>
            <w:shd w:val="clear" w:color="000000" w:fill="FFFFFF"/>
          </w:tcPr>
          <w:p w14:paraId="583762C8"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234" w:type="dxa"/>
            <w:tcBorders>
              <w:top w:val="nil"/>
              <w:left w:val="nil"/>
              <w:bottom w:val="nil"/>
              <w:right w:val="single" w:sz="12" w:space="0" w:color="000000"/>
            </w:tcBorders>
            <w:shd w:val="clear" w:color="000000" w:fill="FFFFFF"/>
          </w:tcPr>
          <w:p w14:paraId="5FD57C9A"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37.8</w:t>
            </w:r>
          </w:p>
        </w:tc>
        <w:tc>
          <w:tcPr>
            <w:tcW w:w="1123" w:type="dxa"/>
            <w:tcBorders>
              <w:top w:val="nil"/>
              <w:left w:val="single" w:sz="12" w:space="0" w:color="000000"/>
              <w:bottom w:val="nil"/>
              <w:right w:val="single" w:sz="2" w:space="0" w:color="000000"/>
            </w:tcBorders>
            <w:shd w:val="clear" w:color="000000" w:fill="FFFFFF"/>
            <w:vAlign w:val="center"/>
          </w:tcPr>
          <w:p w14:paraId="1C1A1A02"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14:paraId="30646E15"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5.6</w:t>
            </w:r>
          </w:p>
        </w:tc>
      </w:tr>
      <w:tr w:rsidR="000923BB" w:rsidRPr="00FB3AC0" w14:paraId="55FB26D4" w14:textId="77777777" w:rsidTr="003A385F">
        <w:trPr>
          <w:trHeight w:val="273"/>
        </w:trPr>
        <w:tc>
          <w:tcPr>
            <w:tcW w:w="206" w:type="dxa"/>
            <w:tcBorders>
              <w:top w:val="nil"/>
              <w:left w:val="single" w:sz="12" w:space="0" w:color="000000"/>
              <w:bottom w:val="nil"/>
              <w:right w:val="nil"/>
            </w:tcBorders>
            <w:shd w:val="clear" w:color="000000" w:fill="FFFFFF"/>
          </w:tcPr>
          <w:p w14:paraId="04ADDBB8"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234" w:type="dxa"/>
            <w:tcBorders>
              <w:top w:val="nil"/>
              <w:left w:val="nil"/>
              <w:bottom w:val="nil"/>
              <w:right w:val="single" w:sz="12" w:space="0" w:color="000000"/>
            </w:tcBorders>
            <w:shd w:val="clear" w:color="000000" w:fill="FFFFFF"/>
          </w:tcPr>
          <w:p w14:paraId="1CD2DB77"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38.2</w:t>
            </w:r>
          </w:p>
        </w:tc>
        <w:tc>
          <w:tcPr>
            <w:tcW w:w="1123" w:type="dxa"/>
            <w:tcBorders>
              <w:top w:val="nil"/>
              <w:left w:val="single" w:sz="12" w:space="0" w:color="000000"/>
              <w:bottom w:val="nil"/>
              <w:right w:val="single" w:sz="2" w:space="0" w:color="000000"/>
            </w:tcBorders>
            <w:shd w:val="clear" w:color="000000" w:fill="FFFFFF"/>
            <w:vAlign w:val="center"/>
          </w:tcPr>
          <w:p w14:paraId="603A31DB"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14:paraId="33977F4B"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2.8</w:t>
            </w:r>
          </w:p>
        </w:tc>
      </w:tr>
      <w:tr w:rsidR="000923BB" w:rsidRPr="00FB3AC0" w14:paraId="57E3B86A" w14:textId="77777777" w:rsidTr="003A385F">
        <w:trPr>
          <w:trHeight w:val="273"/>
        </w:trPr>
        <w:tc>
          <w:tcPr>
            <w:tcW w:w="206" w:type="dxa"/>
            <w:tcBorders>
              <w:top w:val="nil"/>
              <w:left w:val="single" w:sz="12" w:space="0" w:color="000000"/>
              <w:bottom w:val="single" w:sz="12" w:space="0" w:color="000000"/>
              <w:right w:val="nil"/>
            </w:tcBorders>
            <w:shd w:val="clear" w:color="000000" w:fill="FFFFFF"/>
          </w:tcPr>
          <w:p w14:paraId="1F0D70E7"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234" w:type="dxa"/>
            <w:tcBorders>
              <w:top w:val="nil"/>
              <w:left w:val="nil"/>
              <w:bottom w:val="single" w:sz="12" w:space="0" w:color="000000"/>
              <w:right w:val="single" w:sz="12" w:space="0" w:color="000000"/>
            </w:tcBorders>
            <w:shd w:val="clear" w:color="000000" w:fill="FFFFFF"/>
          </w:tcPr>
          <w:p w14:paraId="61B1183F"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14:paraId="61FC09EB"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36</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1D155ED4"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100.0</w:t>
            </w:r>
          </w:p>
        </w:tc>
      </w:tr>
    </w:tbl>
    <w:p w14:paraId="5626ACB3" w14:textId="77777777" w:rsidR="000923BB" w:rsidRPr="00FB3AC0" w:rsidRDefault="000923BB" w:rsidP="000923BB">
      <w:pPr>
        <w:rPr>
          <w:rFonts w:cs="Arial"/>
          <w:b/>
          <w:sz w:val="28"/>
          <w:szCs w:val="28"/>
        </w:rPr>
      </w:pPr>
    </w:p>
    <w:p w14:paraId="24BC21FA" w14:textId="77777777" w:rsidR="004932C5" w:rsidRDefault="004932C5" w:rsidP="000923BB">
      <w:pPr>
        <w:tabs>
          <w:tab w:val="center" w:pos="3312"/>
        </w:tabs>
        <w:autoSpaceDE w:val="0"/>
        <w:autoSpaceDN w:val="0"/>
        <w:adjustRightInd w:val="0"/>
        <w:rPr>
          <w:rFonts w:cs="Arial"/>
          <w:b/>
          <w:bCs/>
          <w:color w:val="000000"/>
          <w:sz w:val="18"/>
          <w:szCs w:val="18"/>
          <w:lang w:val="en-US"/>
        </w:rPr>
      </w:pPr>
    </w:p>
    <w:p w14:paraId="60702A37" w14:textId="77777777" w:rsidR="004932C5" w:rsidRDefault="004932C5" w:rsidP="000923BB">
      <w:pPr>
        <w:tabs>
          <w:tab w:val="center" w:pos="3312"/>
        </w:tabs>
        <w:autoSpaceDE w:val="0"/>
        <w:autoSpaceDN w:val="0"/>
        <w:adjustRightInd w:val="0"/>
        <w:rPr>
          <w:rFonts w:cs="Arial"/>
          <w:b/>
          <w:bCs/>
          <w:color w:val="000000"/>
          <w:sz w:val="18"/>
          <w:szCs w:val="18"/>
          <w:lang w:val="en-US"/>
        </w:rPr>
      </w:pPr>
    </w:p>
    <w:p w14:paraId="4A107B3D" w14:textId="77777777" w:rsidR="004932C5" w:rsidRDefault="004932C5" w:rsidP="000923BB">
      <w:pPr>
        <w:tabs>
          <w:tab w:val="center" w:pos="3312"/>
        </w:tabs>
        <w:autoSpaceDE w:val="0"/>
        <w:autoSpaceDN w:val="0"/>
        <w:adjustRightInd w:val="0"/>
        <w:rPr>
          <w:rFonts w:cs="Arial"/>
          <w:b/>
          <w:bCs/>
          <w:color w:val="000000"/>
          <w:sz w:val="18"/>
          <w:szCs w:val="18"/>
          <w:lang w:val="en-US"/>
        </w:rPr>
      </w:pPr>
    </w:p>
    <w:p w14:paraId="7554A547" w14:textId="77777777" w:rsidR="004932C5" w:rsidRDefault="004932C5" w:rsidP="000923BB">
      <w:pPr>
        <w:tabs>
          <w:tab w:val="center" w:pos="3312"/>
        </w:tabs>
        <w:autoSpaceDE w:val="0"/>
        <w:autoSpaceDN w:val="0"/>
        <w:adjustRightInd w:val="0"/>
        <w:rPr>
          <w:rFonts w:cs="Arial"/>
          <w:b/>
          <w:bCs/>
          <w:color w:val="000000"/>
          <w:sz w:val="18"/>
          <w:szCs w:val="18"/>
          <w:lang w:val="en-US"/>
        </w:rPr>
      </w:pPr>
    </w:p>
    <w:p w14:paraId="4B5597FE" w14:textId="77777777" w:rsidR="004932C5" w:rsidRDefault="004932C5" w:rsidP="000923BB">
      <w:pPr>
        <w:tabs>
          <w:tab w:val="center" w:pos="3312"/>
        </w:tabs>
        <w:autoSpaceDE w:val="0"/>
        <w:autoSpaceDN w:val="0"/>
        <w:adjustRightInd w:val="0"/>
        <w:rPr>
          <w:rFonts w:cs="Arial"/>
          <w:b/>
          <w:bCs/>
          <w:color w:val="000000"/>
          <w:sz w:val="18"/>
          <w:szCs w:val="18"/>
          <w:lang w:val="en-US"/>
        </w:rPr>
      </w:pPr>
    </w:p>
    <w:p w14:paraId="2DB4C736" w14:textId="77777777" w:rsidR="000923BB" w:rsidRPr="00FB3AC0" w:rsidRDefault="000923BB" w:rsidP="000923BB">
      <w:pPr>
        <w:tabs>
          <w:tab w:val="center" w:pos="3312"/>
        </w:tabs>
        <w:autoSpaceDE w:val="0"/>
        <w:autoSpaceDN w:val="0"/>
        <w:adjustRightInd w:val="0"/>
        <w:rPr>
          <w:rFonts w:cs="Arial"/>
          <w:b/>
          <w:bCs/>
          <w:color w:val="000000"/>
          <w:sz w:val="18"/>
          <w:szCs w:val="18"/>
          <w:lang w:val="en-US"/>
        </w:rPr>
      </w:pPr>
      <w:r w:rsidRPr="00FB3AC0">
        <w:rPr>
          <w:rFonts w:cs="Arial"/>
          <w:b/>
          <w:bCs/>
          <w:color w:val="000000"/>
          <w:sz w:val="18"/>
          <w:szCs w:val="18"/>
          <w:lang w:val="en-US"/>
        </w:rPr>
        <w:lastRenderedPageBreak/>
        <w:t>Spirometry reading this admission?</w:t>
      </w:r>
    </w:p>
    <w:p w14:paraId="0B4B3797" w14:textId="77777777" w:rsidR="000923BB" w:rsidRPr="00FB3AC0" w:rsidRDefault="000923BB" w:rsidP="000923BB">
      <w:pPr>
        <w:tabs>
          <w:tab w:val="center" w:pos="3312"/>
        </w:tabs>
        <w:autoSpaceDE w:val="0"/>
        <w:autoSpaceDN w:val="0"/>
        <w:adjustRightInd w:val="0"/>
        <w:rPr>
          <w:rFonts w:cs="Arial"/>
          <w:b/>
          <w:bCs/>
          <w:color w:val="000000"/>
          <w:sz w:val="18"/>
          <w:szCs w:val="18"/>
          <w:lang w:val="en-US"/>
        </w:rPr>
      </w:pPr>
    </w:p>
    <w:tbl>
      <w:tblPr>
        <w:tblW w:w="0" w:type="auto"/>
        <w:tblInd w:w="93" w:type="dxa"/>
        <w:tblLayout w:type="fixed"/>
        <w:tblCellMar>
          <w:left w:w="93" w:type="dxa"/>
          <w:right w:w="93" w:type="dxa"/>
        </w:tblCellMar>
        <w:tblLook w:val="0000" w:firstRow="0" w:lastRow="0" w:firstColumn="0" w:lastColumn="0" w:noHBand="0" w:noVBand="0"/>
      </w:tblPr>
      <w:tblGrid>
        <w:gridCol w:w="206"/>
        <w:gridCol w:w="1291"/>
        <w:gridCol w:w="1123"/>
        <w:gridCol w:w="1080"/>
      </w:tblGrid>
      <w:tr w:rsidR="000923BB" w:rsidRPr="00FB3AC0" w14:paraId="305D0E3C" w14:textId="77777777" w:rsidTr="003A385F">
        <w:trPr>
          <w:trHeight w:val="504"/>
        </w:trPr>
        <w:tc>
          <w:tcPr>
            <w:tcW w:w="1497"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5FA04E95"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23F382D9"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n</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4FEF74B4"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Percent</w:t>
            </w:r>
          </w:p>
        </w:tc>
      </w:tr>
      <w:tr w:rsidR="000923BB" w:rsidRPr="00FB3AC0" w14:paraId="40B866E7" w14:textId="77777777" w:rsidTr="003A385F">
        <w:trPr>
          <w:trHeight w:val="273"/>
        </w:trPr>
        <w:tc>
          <w:tcPr>
            <w:tcW w:w="206" w:type="dxa"/>
            <w:tcBorders>
              <w:top w:val="single" w:sz="12" w:space="0" w:color="000000"/>
              <w:left w:val="single" w:sz="12" w:space="0" w:color="000000"/>
              <w:bottom w:val="nil"/>
              <w:right w:val="nil"/>
            </w:tcBorders>
            <w:shd w:val="clear" w:color="000000" w:fill="FFFFFF"/>
          </w:tcPr>
          <w:p w14:paraId="7CF7DC66" w14:textId="77777777" w:rsidR="000923BB" w:rsidRPr="00FB3AC0" w:rsidRDefault="000923BB" w:rsidP="003A385F">
            <w:pPr>
              <w:autoSpaceDE w:val="0"/>
              <w:autoSpaceDN w:val="0"/>
              <w:adjustRightInd w:val="0"/>
              <w:rPr>
                <w:rFonts w:cs="Arial"/>
                <w:color w:val="000000"/>
                <w:sz w:val="18"/>
                <w:szCs w:val="18"/>
                <w:lang w:val="en-US"/>
              </w:rPr>
            </w:pPr>
          </w:p>
        </w:tc>
        <w:tc>
          <w:tcPr>
            <w:tcW w:w="1291" w:type="dxa"/>
            <w:tcBorders>
              <w:top w:val="single" w:sz="12" w:space="0" w:color="000000"/>
              <w:left w:val="nil"/>
              <w:bottom w:val="nil"/>
              <w:right w:val="single" w:sz="12" w:space="0" w:color="000000"/>
            </w:tcBorders>
            <w:shd w:val="clear" w:color="000000" w:fill="FFFFFF"/>
          </w:tcPr>
          <w:p w14:paraId="4BCF35A2"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no</w:t>
            </w:r>
          </w:p>
        </w:tc>
        <w:tc>
          <w:tcPr>
            <w:tcW w:w="1123" w:type="dxa"/>
            <w:tcBorders>
              <w:top w:val="single" w:sz="12" w:space="0" w:color="000000"/>
              <w:left w:val="single" w:sz="12" w:space="0" w:color="000000"/>
              <w:bottom w:val="nil"/>
              <w:right w:val="single" w:sz="2" w:space="0" w:color="000000"/>
            </w:tcBorders>
            <w:shd w:val="clear" w:color="000000" w:fill="FFFFFF"/>
          </w:tcPr>
          <w:p w14:paraId="67495600" w14:textId="77777777" w:rsidR="000923BB" w:rsidRPr="00FB3AC0" w:rsidRDefault="000923BB" w:rsidP="003A385F">
            <w:pPr>
              <w:rPr>
                <w:rFonts w:cs="Arial"/>
                <w:sz w:val="20"/>
                <w:szCs w:val="20"/>
              </w:rPr>
            </w:pPr>
            <w:r w:rsidRPr="00FB3AC0">
              <w:rPr>
                <w:rFonts w:cs="Arial"/>
                <w:sz w:val="20"/>
                <w:szCs w:val="20"/>
              </w:rPr>
              <w:t>24</w:t>
            </w:r>
          </w:p>
        </w:tc>
        <w:tc>
          <w:tcPr>
            <w:tcW w:w="1080" w:type="dxa"/>
            <w:tcBorders>
              <w:top w:val="single" w:sz="12" w:space="0" w:color="000000"/>
              <w:left w:val="single" w:sz="2" w:space="0" w:color="000000"/>
              <w:bottom w:val="nil"/>
              <w:right w:val="single" w:sz="2" w:space="0" w:color="000000"/>
            </w:tcBorders>
            <w:shd w:val="clear" w:color="000000" w:fill="FFFFFF"/>
          </w:tcPr>
          <w:p w14:paraId="03752927" w14:textId="77777777" w:rsidR="000923BB" w:rsidRPr="00FB3AC0" w:rsidRDefault="000923BB" w:rsidP="003A385F">
            <w:pPr>
              <w:rPr>
                <w:rFonts w:cs="Arial"/>
                <w:sz w:val="20"/>
                <w:szCs w:val="20"/>
              </w:rPr>
            </w:pPr>
            <w:r w:rsidRPr="00FB3AC0">
              <w:rPr>
                <w:rFonts w:cs="Arial"/>
                <w:sz w:val="20"/>
                <w:szCs w:val="20"/>
              </w:rPr>
              <w:t>66.7</w:t>
            </w:r>
          </w:p>
        </w:tc>
      </w:tr>
      <w:tr w:rsidR="000923BB" w:rsidRPr="00FB3AC0" w14:paraId="5A53D9D0" w14:textId="77777777" w:rsidTr="003A385F">
        <w:trPr>
          <w:trHeight w:val="273"/>
        </w:trPr>
        <w:tc>
          <w:tcPr>
            <w:tcW w:w="206" w:type="dxa"/>
            <w:tcBorders>
              <w:top w:val="nil"/>
              <w:left w:val="single" w:sz="12" w:space="0" w:color="000000"/>
              <w:bottom w:val="nil"/>
              <w:right w:val="nil"/>
            </w:tcBorders>
            <w:shd w:val="clear" w:color="000000" w:fill="FFFFFF"/>
          </w:tcPr>
          <w:p w14:paraId="7D508C6C"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291" w:type="dxa"/>
            <w:tcBorders>
              <w:top w:val="nil"/>
              <w:left w:val="nil"/>
              <w:bottom w:val="nil"/>
              <w:right w:val="single" w:sz="12" w:space="0" w:color="000000"/>
            </w:tcBorders>
            <w:shd w:val="clear" w:color="000000" w:fill="FFFFFF"/>
          </w:tcPr>
          <w:p w14:paraId="162809A4"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yes</w:t>
            </w:r>
          </w:p>
        </w:tc>
        <w:tc>
          <w:tcPr>
            <w:tcW w:w="1123" w:type="dxa"/>
            <w:tcBorders>
              <w:top w:val="nil"/>
              <w:left w:val="single" w:sz="12" w:space="0" w:color="000000"/>
              <w:bottom w:val="nil"/>
              <w:right w:val="single" w:sz="2" w:space="0" w:color="000000"/>
            </w:tcBorders>
            <w:shd w:val="clear" w:color="000000" w:fill="FFFFFF"/>
          </w:tcPr>
          <w:p w14:paraId="19069C8A" w14:textId="77777777" w:rsidR="000923BB" w:rsidRPr="00FB3AC0" w:rsidRDefault="000923BB" w:rsidP="003A385F">
            <w:pPr>
              <w:rPr>
                <w:rFonts w:cs="Arial"/>
                <w:sz w:val="20"/>
                <w:szCs w:val="20"/>
              </w:rPr>
            </w:pPr>
            <w:r w:rsidRPr="00FB3AC0">
              <w:rPr>
                <w:rFonts w:cs="Arial"/>
                <w:sz w:val="20"/>
                <w:szCs w:val="20"/>
              </w:rPr>
              <w:t>12</w:t>
            </w:r>
          </w:p>
        </w:tc>
        <w:tc>
          <w:tcPr>
            <w:tcW w:w="1080" w:type="dxa"/>
            <w:tcBorders>
              <w:top w:val="nil"/>
              <w:left w:val="single" w:sz="2" w:space="0" w:color="000000"/>
              <w:bottom w:val="nil"/>
              <w:right w:val="single" w:sz="2" w:space="0" w:color="000000"/>
            </w:tcBorders>
            <w:shd w:val="clear" w:color="000000" w:fill="FFFFFF"/>
          </w:tcPr>
          <w:p w14:paraId="2DB02A4F" w14:textId="77777777" w:rsidR="000923BB" w:rsidRPr="00FB3AC0" w:rsidRDefault="000923BB" w:rsidP="003A385F">
            <w:pPr>
              <w:rPr>
                <w:rFonts w:cs="Arial"/>
                <w:sz w:val="20"/>
                <w:szCs w:val="20"/>
              </w:rPr>
            </w:pPr>
            <w:r w:rsidRPr="00FB3AC0">
              <w:rPr>
                <w:rFonts w:cs="Arial"/>
                <w:sz w:val="20"/>
                <w:szCs w:val="20"/>
              </w:rPr>
              <w:t>33.3</w:t>
            </w:r>
          </w:p>
        </w:tc>
      </w:tr>
      <w:tr w:rsidR="000923BB" w:rsidRPr="00FB3AC0" w14:paraId="332A97A3" w14:textId="77777777" w:rsidTr="003A385F">
        <w:trPr>
          <w:trHeight w:val="273"/>
        </w:trPr>
        <w:tc>
          <w:tcPr>
            <w:tcW w:w="206" w:type="dxa"/>
            <w:tcBorders>
              <w:top w:val="nil"/>
              <w:left w:val="single" w:sz="12" w:space="0" w:color="000000"/>
              <w:bottom w:val="single" w:sz="12" w:space="0" w:color="000000"/>
              <w:right w:val="nil"/>
            </w:tcBorders>
            <w:shd w:val="clear" w:color="000000" w:fill="FFFFFF"/>
          </w:tcPr>
          <w:p w14:paraId="5DD7D47B"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291" w:type="dxa"/>
            <w:tcBorders>
              <w:top w:val="nil"/>
              <w:left w:val="nil"/>
              <w:bottom w:val="single" w:sz="12" w:space="0" w:color="000000"/>
              <w:right w:val="single" w:sz="12" w:space="0" w:color="000000"/>
            </w:tcBorders>
            <w:shd w:val="clear" w:color="000000" w:fill="FFFFFF"/>
          </w:tcPr>
          <w:p w14:paraId="3BFF5D4F"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Total</w:t>
            </w:r>
          </w:p>
        </w:tc>
        <w:tc>
          <w:tcPr>
            <w:tcW w:w="1123" w:type="dxa"/>
            <w:tcBorders>
              <w:top w:val="nil"/>
              <w:left w:val="single" w:sz="12" w:space="0" w:color="000000"/>
              <w:bottom w:val="single" w:sz="12" w:space="0" w:color="000000"/>
              <w:right w:val="single" w:sz="2" w:space="0" w:color="000000"/>
            </w:tcBorders>
            <w:shd w:val="clear" w:color="000000" w:fill="FFFFFF"/>
          </w:tcPr>
          <w:p w14:paraId="4EAB6562" w14:textId="77777777" w:rsidR="000923BB" w:rsidRPr="00FB3AC0" w:rsidRDefault="000923BB" w:rsidP="003A385F">
            <w:pPr>
              <w:rPr>
                <w:rFonts w:cs="Arial"/>
                <w:sz w:val="20"/>
                <w:szCs w:val="20"/>
              </w:rPr>
            </w:pPr>
            <w:r w:rsidRPr="00FB3AC0">
              <w:rPr>
                <w:rFonts w:cs="Arial"/>
                <w:sz w:val="20"/>
                <w:szCs w:val="20"/>
              </w:rPr>
              <w:t>36</w:t>
            </w:r>
          </w:p>
        </w:tc>
        <w:tc>
          <w:tcPr>
            <w:tcW w:w="1080" w:type="dxa"/>
            <w:tcBorders>
              <w:top w:val="nil"/>
              <w:left w:val="single" w:sz="2" w:space="0" w:color="000000"/>
              <w:bottom w:val="single" w:sz="12" w:space="0" w:color="000000"/>
              <w:right w:val="single" w:sz="2" w:space="0" w:color="000000"/>
            </w:tcBorders>
            <w:shd w:val="clear" w:color="000000" w:fill="FFFFFF"/>
          </w:tcPr>
          <w:p w14:paraId="205D3798" w14:textId="77777777" w:rsidR="000923BB" w:rsidRPr="00FB3AC0" w:rsidRDefault="000923BB" w:rsidP="003A385F">
            <w:pPr>
              <w:rPr>
                <w:rFonts w:cs="Arial"/>
                <w:sz w:val="20"/>
                <w:szCs w:val="20"/>
              </w:rPr>
            </w:pPr>
            <w:r w:rsidRPr="00FB3AC0">
              <w:rPr>
                <w:rFonts w:cs="Arial"/>
                <w:sz w:val="20"/>
                <w:szCs w:val="20"/>
              </w:rPr>
              <w:t>100.0</w:t>
            </w:r>
          </w:p>
        </w:tc>
      </w:tr>
    </w:tbl>
    <w:p w14:paraId="040824C1" w14:textId="77777777" w:rsidR="000923BB" w:rsidRPr="00FB3AC0" w:rsidRDefault="000923BB" w:rsidP="000923BB">
      <w:pPr>
        <w:rPr>
          <w:rFonts w:cs="Arial"/>
          <w:b/>
          <w:sz w:val="28"/>
          <w:szCs w:val="28"/>
        </w:rPr>
      </w:pPr>
    </w:p>
    <w:p w14:paraId="4776C01A" w14:textId="77777777" w:rsidR="000923BB" w:rsidRPr="00FB3AC0" w:rsidRDefault="000923BB" w:rsidP="000923BB">
      <w:pPr>
        <w:tabs>
          <w:tab w:val="center" w:pos="3772"/>
        </w:tabs>
        <w:autoSpaceDE w:val="0"/>
        <w:autoSpaceDN w:val="0"/>
        <w:adjustRightInd w:val="0"/>
        <w:rPr>
          <w:rFonts w:cs="Arial"/>
          <w:b/>
          <w:bCs/>
          <w:color w:val="000000"/>
          <w:sz w:val="18"/>
          <w:szCs w:val="18"/>
          <w:lang w:val="en-US"/>
        </w:rPr>
      </w:pPr>
      <w:r w:rsidRPr="00FB3AC0">
        <w:rPr>
          <w:rFonts w:cs="Arial"/>
          <w:b/>
          <w:bCs/>
          <w:color w:val="000000"/>
          <w:sz w:val="18"/>
          <w:szCs w:val="18"/>
          <w:lang w:val="en-US"/>
        </w:rPr>
        <w:t>Record of peripheral oedema?</w:t>
      </w:r>
    </w:p>
    <w:p w14:paraId="31B483EE" w14:textId="77777777" w:rsidR="000923BB" w:rsidRPr="00FB3AC0" w:rsidRDefault="000923BB" w:rsidP="000923BB">
      <w:pPr>
        <w:tabs>
          <w:tab w:val="center" w:pos="3772"/>
        </w:tabs>
        <w:autoSpaceDE w:val="0"/>
        <w:autoSpaceDN w:val="0"/>
        <w:adjustRightInd w:val="0"/>
        <w:rPr>
          <w:rFonts w:cs="Arial"/>
          <w:b/>
          <w:bCs/>
          <w:color w:val="000000"/>
          <w:sz w:val="18"/>
          <w:szCs w:val="18"/>
          <w:lang w:val="en-US"/>
        </w:rPr>
      </w:pPr>
    </w:p>
    <w:tbl>
      <w:tblPr>
        <w:tblW w:w="0" w:type="auto"/>
        <w:tblInd w:w="93" w:type="dxa"/>
        <w:tblLayout w:type="fixed"/>
        <w:tblCellMar>
          <w:left w:w="93" w:type="dxa"/>
          <w:right w:w="93" w:type="dxa"/>
        </w:tblCellMar>
        <w:tblLook w:val="0000" w:firstRow="0" w:lastRow="0" w:firstColumn="0" w:lastColumn="0" w:noHBand="0" w:noVBand="0"/>
      </w:tblPr>
      <w:tblGrid>
        <w:gridCol w:w="206"/>
        <w:gridCol w:w="2213"/>
        <w:gridCol w:w="1123"/>
        <w:gridCol w:w="1080"/>
      </w:tblGrid>
      <w:tr w:rsidR="000923BB" w:rsidRPr="00FB3AC0" w14:paraId="547DA10B" w14:textId="77777777" w:rsidTr="003A385F">
        <w:trPr>
          <w:trHeight w:val="504"/>
        </w:trPr>
        <w:tc>
          <w:tcPr>
            <w:tcW w:w="2419"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75361D2C"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380A076A"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n</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73CB2CAB"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Percent</w:t>
            </w:r>
          </w:p>
        </w:tc>
      </w:tr>
      <w:tr w:rsidR="000923BB" w:rsidRPr="00FB3AC0" w14:paraId="62D59B78" w14:textId="77777777" w:rsidTr="003A385F">
        <w:trPr>
          <w:trHeight w:val="273"/>
        </w:trPr>
        <w:tc>
          <w:tcPr>
            <w:tcW w:w="206" w:type="dxa"/>
            <w:tcBorders>
              <w:top w:val="single" w:sz="12" w:space="0" w:color="000000"/>
              <w:left w:val="single" w:sz="12" w:space="0" w:color="000000"/>
              <w:bottom w:val="nil"/>
              <w:right w:val="nil"/>
            </w:tcBorders>
            <w:shd w:val="clear" w:color="000000" w:fill="FFFFFF"/>
          </w:tcPr>
          <w:p w14:paraId="729805D3" w14:textId="77777777" w:rsidR="000923BB" w:rsidRPr="00FB3AC0" w:rsidRDefault="000923BB" w:rsidP="003A385F">
            <w:pPr>
              <w:autoSpaceDE w:val="0"/>
              <w:autoSpaceDN w:val="0"/>
              <w:adjustRightInd w:val="0"/>
              <w:rPr>
                <w:rFonts w:cs="Arial"/>
                <w:color w:val="000000"/>
                <w:sz w:val="18"/>
                <w:szCs w:val="18"/>
                <w:lang w:val="en-US"/>
              </w:rPr>
            </w:pPr>
          </w:p>
        </w:tc>
        <w:tc>
          <w:tcPr>
            <w:tcW w:w="2213" w:type="dxa"/>
            <w:tcBorders>
              <w:top w:val="single" w:sz="12" w:space="0" w:color="000000"/>
              <w:left w:val="nil"/>
              <w:bottom w:val="nil"/>
              <w:right w:val="single" w:sz="12" w:space="0" w:color="000000"/>
            </w:tcBorders>
            <w:shd w:val="clear" w:color="000000" w:fill="FFFFFF"/>
          </w:tcPr>
          <w:p w14:paraId="4D245FE5"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not recorded</w:t>
            </w:r>
          </w:p>
        </w:tc>
        <w:tc>
          <w:tcPr>
            <w:tcW w:w="1123" w:type="dxa"/>
            <w:tcBorders>
              <w:top w:val="single" w:sz="12" w:space="0" w:color="000000"/>
              <w:left w:val="single" w:sz="12" w:space="0" w:color="000000"/>
              <w:bottom w:val="nil"/>
              <w:right w:val="single" w:sz="2" w:space="0" w:color="000000"/>
            </w:tcBorders>
            <w:shd w:val="clear" w:color="000000" w:fill="FFFFFF"/>
          </w:tcPr>
          <w:p w14:paraId="077FB1EE" w14:textId="77777777" w:rsidR="000923BB" w:rsidRPr="00FB3AC0" w:rsidRDefault="000923BB" w:rsidP="003A385F">
            <w:pPr>
              <w:rPr>
                <w:rFonts w:cs="Arial"/>
                <w:sz w:val="20"/>
                <w:szCs w:val="20"/>
              </w:rPr>
            </w:pPr>
            <w:r w:rsidRPr="00FB3AC0">
              <w:rPr>
                <w:rFonts w:cs="Arial"/>
                <w:sz w:val="20"/>
                <w:szCs w:val="20"/>
              </w:rPr>
              <w:t>5</w:t>
            </w:r>
          </w:p>
        </w:tc>
        <w:tc>
          <w:tcPr>
            <w:tcW w:w="1080" w:type="dxa"/>
            <w:tcBorders>
              <w:top w:val="single" w:sz="12" w:space="0" w:color="000000"/>
              <w:left w:val="single" w:sz="2" w:space="0" w:color="000000"/>
              <w:bottom w:val="nil"/>
              <w:right w:val="single" w:sz="2" w:space="0" w:color="000000"/>
            </w:tcBorders>
            <w:shd w:val="clear" w:color="000000" w:fill="FFFFFF"/>
          </w:tcPr>
          <w:p w14:paraId="48D9B3DA" w14:textId="77777777" w:rsidR="000923BB" w:rsidRPr="00FB3AC0" w:rsidRDefault="000923BB" w:rsidP="003A385F">
            <w:pPr>
              <w:rPr>
                <w:rFonts w:cs="Arial"/>
                <w:sz w:val="20"/>
                <w:szCs w:val="20"/>
              </w:rPr>
            </w:pPr>
            <w:r w:rsidRPr="00FB3AC0">
              <w:rPr>
                <w:rFonts w:cs="Arial"/>
                <w:sz w:val="20"/>
                <w:szCs w:val="20"/>
              </w:rPr>
              <w:t>13.9</w:t>
            </w:r>
          </w:p>
        </w:tc>
      </w:tr>
      <w:tr w:rsidR="000923BB" w:rsidRPr="00FB3AC0" w14:paraId="6952CBCD" w14:textId="77777777" w:rsidTr="003A385F">
        <w:trPr>
          <w:trHeight w:val="273"/>
        </w:trPr>
        <w:tc>
          <w:tcPr>
            <w:tcW w:w="206" w:type="dxa"/>
            <w:tcBorders>
              <w:top w:val="nil"/>
              <w:left w:val="single" w:sz="12" w:space="0" w:color="000000"/>
              <w:bottom w:val="nil"/>
              <w:right w:val="nil"/>
            </w:tcBorders>
            <w:shd w:val="clear" w:color="000000" w:fill="FFFFFF"/>
          </w:tcPr>
          <w:p w14:paraId="37BA2C4D"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2213" w:type="dxa"/>
            <w:tcBorders>
              <w:top w:val="nil"/>
              <w:left w:val="nil"/>
              <w:bottom w:val="nil"/>
              <w:right w:val="single" w:sz="12" w:space="0" w:color="000000"/>
            </w:tcBorders>
            <w:shd w:val="clear" w:color="000000" w:fill="FFFFFF"/>
          </w:tcPr>
          <w:p w14:paraId="7C425A6A"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yes - not present</w:t>
            </w:r>
          </w:p>
        </w:tc>
        <w:tc>
          <w:tcPr>
            <w:tcW w:w="1123" w:type="dxa"/>
            <w:tcBorders>
              <w:top w:val="nil"/>
              <w:left w:val="single" w:sz="12" w:space="0" w:color="000000"/>
              <w:bottom w:val="nil"/>
              <w:right w:val="single" w:sz="2" w:space="0" w:color="000000"/>
            </w:tcBorders>
            <w:shd w:val="clear" w:color="000000" w:fill="FFFFFF"/>
          </w:tcPr>
          <w:p w14:paraId="1893898C" w14:textId="77777777" w:rsidR="000923BB" w:rsidRPr="00FB3AC0" w:rsidRDefault="000923BB" w:rsidP="003A385F">
            <w:pPr>
              <w:rPr>
                <w:rFonts w:cs="Arial"/>
                <w:sz w:val="20"/>
                <w:szCs w:val="20"/>
              </w:rPr>
            </w:pPr>
            <w:r w:rsidRPr="00FB3AC0">
              <w:rPr>
                <w:rFonts w:cs="Arial"/>
                <w:sz w:val="20"/>
                <w:szCs w:val="20"/>
              </w:rPr>
              <w:t>15</w:t>
            </w:r>
          </w:p>
        </w:tc>
        <w:tc>
          <w:tcPr>
            <w:tcW w:w="1080" w:type="dxa"/>
            <w:tcBorders>
              <w:top w:val="nil"/>
              <w:left w:val="single" w:sz="2" w:space="0" w:color="000000"/>
              <w:bottom w:val="nil"/>
              <w:right w:val="single" w:sz="2" w:space="0" w:color="000000"/>
            </w:tcBorders>
            <w:shd w:val="clear" w:color="000000" w:fill="FFFFFF"/>
          </w:tcPr>
          <w:p w14:paraId="6F108F35" w14:textId="77777777" w:rsidR="000923BB" w:rsidRPr="00FB3AC0" w:rsidRDefault="000923BB" w:rsidP="003A385F">
            <w:pPr>
              <w:rPr>
                <w:rFonts w:cs="Arial"/>
                <w:sz w:val="20"/>
                <w:szCs w:val="20"/>
              </w:rPr>
            </w:pPr>
            <w:r w:rsidRPr="00FB3AC0">
              <w:rPr>
                <w:rFonts w:cs="Arial"/>
                <w:sz w:val="20"/>
                <w:szCs w:val="20"/>
              </w:rPr>
              <w:t>41.7</w:t>
            </w:r>
          </w:p>
        </w:tc>
      </w:tr>
      <w:tr w:rsidR="000923BB" w:rsidRPr="00FB3AC0" w14:paraId="3D3B13D7" w14:textId="77777777" w:rsidTr="003A385F">
        <w:trPr>
          <w:trHeight w:val="273"/>
        </w:trPr>
        <w:tc>
          <w:tcPr>
            <w:tcW w:w="206" w:type="dxa"/>
            <w:tcBorders>
              <w:top w:val="nil"/>
              <w:left w:val="single" w:sz="12" w:space="0" w:color="000000"/>
              <w:bottom w:val="nil"/>
              <w:right w:val="nil"/>
            </w:tcBorders>
            <w:shd w:val="clear" w:color="000000" w:fill="FFFFFF"/>
          </w:tcPr>
          <w:p w14:paraId="286178E0"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2213" w:type="dxa"/>
            <w:tcBorders>
              <w:top w:val="nil"/>
              <w:left w:val="nil"/>
              <w:bottom w:val="nil"/>
              <w:right w:val="single" w:sz="12" w:space="0" w:color="000000"/>
            </w:tcBorders>
            <w:shd w:val="clear" w:color="000000" w:fill="FFFFFF"/>
          </w:tcPr>
          <w:p w14:paraId="3E66F773"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yes - present</w:t>
            </w:r>
          </w:p>
        </w:tc>
        <w:tc>
          <w:tcPr>
            <w:tcW w:w="1123" w:type="dxa"/>
            <w:tcBorders>
              <w:top w:val="nil"/>
              <w:left w:val="single" w:sz="12" w:space="0" w:color="000000"/>
              <w:bottom w:val="nil"/>
              <w:right w:val="single" w:sz="2" w:space="0" w:color="000000"/>
            </w:tcBorders>
            <w:shd w:val="clear" w:color="000000" w:fill="FFFFFF"/>
          </w:tcPr>
          <w:p w14:paraId="0F2FDAF6" w14:textId="77777777" w:rsidR="000923BB" w:rsidRPr="00FB3AC0" w:rsidRDefault="000923BB" w:rsidP="003A385F">
            <w:pPr>
              <w:rPr>
                <w:rFonts w:cs="Arial"/>
                <w:sz w:val="20"/>
                <w:szCs w:val="20"/>
              </w:rPr>
            </w:pPr>
            <w:r w:rsidRPr="00FB3AC0">
              <w:rPr>
                <w:rFonts w:cs="Arial"/>
                <w:sz w:val="20"/>
                <w:szCs w:val="20"/>
              </w:rPr>
              <w:t>16</w:t>
            </w:r>
          </w:p>
        </w:tc>
        <w:tc>
          <w:tcPr>
            <w:tcW w:w="1080" w:type="dxa"/>
            <w:tcBorders>
              <w:top w:val="nil"/>
              <w:left w:val="single" w:sz="2" w:space="0" w:color="000000"/>
              <w:bottom w:val="nil"/>
              <w:right w:val="single" w:sz="2" w:space="0" w:color="000000"/>
            </w:tcBorders>
            <w:shd w:val="clear" w:color="000000" w:fill="FFFFFF"/>
          </w:tcPr>
          <w:p w14:paraId="39EFBD39" w14:textId="77777777" w:rsidR="000923BB" w:rsidRPr="00FB3AC0" w:rsidRDefault="000923BB" w:rsidP="003A385F">
            <w:pPr>
              <w:rPr>
                <w:rFonts w:cs="Arial"/>
                <w:sz w:val="20"/>
                <w:szCs w:val="20"/>
              </w:rPr>
            </w:pPr>
            <w:r w:rsidRPr="00FB3AC0">
              <w:rPr>
                <w:rFonts w:cs="Arial"/>
                <w:sz w:val="20"/>
                <w:szCs w:val="20"/>
              </w:rPr>
              <w:t>44.4</w:t>
            </w:r>
          </w:p>
        </w:tc>
      </w:tr>
      <w:tr w:rsidR="000923BB" w:rsidRPr="00FB3AC0" w14:paraId="6DB043D4" w14:textId="77777777" w:rsidTr="003A385F">
        <w:trPr>
          <w:trHeight w:val="273"/>
        </w:trPr>
        <w:tc>
          <w:tcPr>
            <w:tcW w:w="206" w:type="dxa"/>
            <w:tcBorders>
              <w:top w:val="nil"/>
              <w:left w:val="single" w:sz="12" w:space="0" w:color="000000"/>
              <w:bottom w:val="single" w:sz="12" w:space="0" w:color="000000"/>
              <w:right w:val="nil"/>
            </w:tcBorders>
            <w:shd w:val="clear" w:color="000000" w:fill="FFFFFF"/>
          </w:tcPr>
          <w:p w14:paraId="1E74FAAC"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2213" w:type="dxa"/>
            <w:tcBorders>
              <w:top w:val="nil"/>
              <w:left w:val="nil"/>
              <w:bottom w:val="single" w:sz="12" w:space="0" w:color="000000"/>
              <w:right w:val="single" w:sz="12" w:space="0" w:color="000000"/>
            </w:tcBorders>
            <w:shd w:val="clear" w:color="000000" w:fill="FFFFFF"/>
          </w:tcPr>
          <w:p w14:paraId="08C14A9D"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Total</w:t>
            </w:r>
          </w:p>
        </w:tc>
        <w:tc>
          <w:tcPr>
            <w:tcW w:w="1123" w:type="dxa"/>
            <w:tcBorders>
              <w:top w:val="nil"/>
              <w:left w:val="single" w:sz="12" w:space="0" w:color="000000"/>
              <w:bottom w:val="single" w:sz="12" w:space="0" w:color="000000"/>
              <w:right w:val="single" w:sz="2" w:space="0" w:color="000000"/>
            </w:tcBorders>
            <w:shd w:val="clear" w:color="000000" w:fill="FFFFFF"/>
          </w:tcPr>
          <w:p w14:paraId="7A58305D" w14:textId="77777777" w:rsidR="000923BB" w:rsidRPr="00FB3AC0" w:rsidRDefault="000923BB" w:rsidP="003A385F">
            <w:pPr>
              <w:rPr>
                <w:rFonts w:cs="Arial"/>
                <w:sz w:val="20"/>
                <w:szCs w:val="20"/>
              </w:rPr>
            </w:pPr>
            <w:r w:rsidRPr="00FB3AC0">
              <w:rPr>
                <w:rFonts w:cs="Arial"/>
                <w:sz w:val="20"/>
                <w:szCs w:val="20"/>
              </w:rPr>
              <w:t>36</w:t>
            </w:r>
          </w:p>
        </w:tc>
        <w:tc>
          <w:tcPr>
            <w:tcW w:w="1080" w:type="dxa"/>
            <w:tcBorders>
              <w:top w:val="nil"/>
              <w:left w:val="single" w:sz="2" w:space="0" w:color="000000"/>
              <w:bottom w:val="single" w:sz="12" w:space="0" w:color="000000"/>
              <w:right w:val="single" w:sz="2" w:space="0" w:color="000000"/>
            </w:tcBorders>
            <w:shd w:val="clear" w:color="000000" w:fill="FFFFFF"/>
          </w:tcPr>
          <w:p w14:paraId="24445CFE" w14:textId="77777777" w:rsidR="000923BB" w:rsidRPr="00FB3AC0" w:rsidRDefault="000923BB" w:rsidP="003A385F">
            <w:pPr>
              <w:rPr>
                <w:rFonts w:cs="Arial"/>
                <w:sz w:val="20"/>
                <w:szCs w:val="20"/>
              </w:rPr>
            </w:pPr>
            <w:r w:rsidRPr="00FB3AC0">
              <w:rPr>
                <w:rFonts w:cs="Arial"/>
                <w:sz w:val="20"/>
                <w:szCs w:val="20"/>
              </w:rPr>
              <w:t>100.0</w:t>
            </w:r>
          </w:p>
        </w:tc>
      </w:tr>
    </w:tbl>
    <w:p w14:paraId="1E2707C4" w14:textId="77777777" w:rsidR="000923BB" w:rsidRDefault="000923BB" w:rsidP="000923BB">
      <w:pPr>
        <w:rPr>
          <w:rFonts w:cs="Arial"/>
          <w:b/>
          <w:sz w:val="32"/>
          <w:szCs w:val="32"/>
        </w:rPr>
      </w:pPr>
    </w:p>
    <w:p w14:paraId="5A61A578" w14:textId="77777777" w:rsidR="000923BB" w:rsidRDefault="000923BB" w:rsidP="000923BB">
      <w:pPr>
        <w:rPr>
          <w:rFonts w:cs="Arial"/>
          <w:b/>
          <w:sz w:val="32"/>
          <w:szCs w:val="32"/>
        </w:rPr>
      </w:pPr>
    </w:p>
    <w:p w14:paraId="6F15E06E" w14:textId="77777777" w:rsidR="000923BB" w:rsidRPr="00F54264" w:rsidRDefault="000923BB" w:rsidP="000923BB">
      <w:pPr>
        <w:rPr>
          <w:rFonts w:cs="Arial"/>
          <w:b/>
          <w:sz w:val="28"/>
          <w:szCs w:val="28"/>
        </w:rPr>
      </w:pPr>
      <w:r w:rsidRPr="00F54264">
        <w:rPr>
          <w:rFonts w:cs="Arial"/>
          <w:b/>
          <w:sz w:val="28"/>
          <w:szCs w:val="28"/>
        </w:rPr>
        <w:t>Initial Management phase</w:t>
      </w:r>
    </w:p>
    <w:p w14:paraId="354FD51F" w14:textId="77777777" w:rsidR="000923BB" w:rsidRPr="00F54264" w:rsidRDefault="000923BB" w:rsidP="000923BB">
      <w:pPr>
        <w:rPr>
          <w:rFonts w:cs="Arial"/>
          <w:b/>
          <w:sz w:val="28"/>
          <w:szCs w:val="28"/>
        </w:rPr>
      </w:pPr>
    </w:p>
    <w:p w14:paraId="52AFD529" w14:textId="77777777" w:rsidR="000923BB" w:rsidRPr="004932C5" w:rsidRDefault="000923BB" w:rsidP="000923BB">
      <w:pPr>
        <w:rPr>
          <w:rFonts w:cs="Arial"/>
          <w:b/>
        </w:rPr>
      </w:pPr>
      <w:r w:rsidRPr="004932C5">
        <w:rPr>
          <w:rFonts w:cs="Arial"/>
          <w:b/>
        </w:rPr>
        <w:t xml:space="preserve">Rating scale results: quality of care ratings for the initial management phase </w:t>
      </w:r>
    </w:p>
    <w:p w14:paraId="3E916A00" w14:textId="77777777" w:rsidR="000923BB" w:rsidRPr="00FB3AC0" w:rsidRDefault="000923BB" w:rsidP="000923BB">
      <w:pPr>
        <w:rPr>
          <w:rFonts w:cs="Arial"/>
          <w:b/>
          <w:sz w:val="28"/>
          <w:szCs w:val="28"/>
        </w:rPr>
      </w:pPr>
    </w:p>
    <w:p w14:paraId="6B9C4F40" w14:textId="77777777" w:rsidR="000923BB" w:rsidRPr="00FB3AC0" w:rsidRDefault="000923BB" w:rsidP="000923BB">
      <w:pPr>
        <w:rPr>
          <w:rFonts w:cs="Arial"/>
          <w:b/>
          <w:sz w:val="22"/>
          <w:szCs w:val="22"/>
        </w:rPr>
      </w:pPr>
      <w:r w:rsidRPr="00FB3AC0">
        <w:rPr>
          <w:rFonts w:cs="Arial"/>
          <w:b/>
          <w:sz w:val="22"/>
          <w:szCs w:val="22"/>
        </w:rPr>
        <w:t>Please note, some of these results are subjective and are the opinions of the individual reviewers</w:t>
      </w:r>
    </w:p>
    <w:p w14:paraId="66992E81" w14:textId="77777777" w:rsidR="000923BB" w:rsidRPr="00FB3AC0" w:rsidRDefault="000923BB" w:rsidP="000923BB">
      <w:pPr>
        <w:rPr>
          <w:rFonts w:cs="Arial"/>
          <w:b/>
          <w:sz w:val="28"/>
          <w:szCs w:val="28"/>
        </w:rPr>
      </w:pPr>
      <w:r>
        <w:rPr>
          <w:rFonts w:cs="Arial"/>
          <w:noProof/>
          <w:sz w:val="14"/>
          <w:szCs w:val="14"/>
          <w:lang w:eastAsia="en-GB" w:bidi="ar-SA"/>
        </w:rPr>
        <w:lastRenderedPageBreak/>
        <w:drawing>
          <wp:inline distT="0" distB="0" distL="0" distR="0" wp14:anchorId="3D943408" wp14:editId="799CFC95">
            <wp:extent cx="4500245" cy="423037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2" cstate="print"/>
                    <a:srcRect/>
                    <a:stretch>
                      <a:fillRect/>
                    </a:stretch>
                  </pic:blipFill>
                  <pic:spPr bwMode="auto">
                    <a:xfrm>
                      <a:off x="0" y="0"/>
                      <a:ext cx="4500245" cy="4230370"/>
                    </a:xfrm>
                    <a:prstGeom prst="rect">
                      <a:avLst/>
                    </a:prstGeom>
                    <a:noFill/>
                    <a:ln w="9525">
                      <a:noFill/>
                      <a:miter lim="800000"/>
                      <a:headEnd/>
                      <a:tailEnd/>
                    </a:ln>
                  </pic:spPr>
                </pic:pic>
              </a:graphicData>
            </a:graphic>
          </wp:inline>
        </w:drawing>
      </w:r>
    </w:p>
    <w:p w14:paraId="1D99E634" w14:textId="77777777" w:rsidR="000923BB" w:rsidRPr="00FB3AC0" w:rsidRDefault="000923BB" w:rsidP="000923BB">
      <w:pPr>
        <w:rPr>
          <w:rFonts w:cs="Arial"/>
          <w:b/>
          <w:sz w:val="28"/>
          <w:szCs w:val="28"/>
        </w:rPr>
      </w:pPr>
    </w:p>
    <w:p w14:paraId="34211C7A" w14:textId="77777777" w:rsidR="000923BB" w:rsidRPr="004932C5" w:rsidRDefault="000923BB" w:rsidP="000923BB">
      <w:pPr>
        <w:rPr>
          <w:rFonts w:cs="Arial"/>
          <w:b/>
        </w:rPr>
      </w:pPr>
      <w:r w:rsidRPr="004932C5">
        <w:rPr>
          <w:rFonts w:cs="Arial"/>
          <w:b/>
        </w:rPr>
        <w:t xml:space="preserve">1 = unsatisfactory </w:t>
      </w:r>
    </w:p>
    <w:p w14:paraId="754E4803" w14:textId="77777777" w:rsidR="000923BB" w:rsidRPr="004932C5" w:rsidRDefault="000923BB" w:rsidP="000923BB">
      <w:pPr>
        <w:rPr>
          <w:rFonts w:cs="Arial"/>
          <w:b/>
        </w:rPr>
      </w:pPr>
      <w:r w:rsidRPr="004932C5">
        <w:rPr>
          <w:rFonts w:cs="Arial"/>
          <w:b/>
        </w:rPr>
        <w:t>6 = very best care</w:t>
      </w:r>
    </w:p>
    <w:p w14:paraId="572D972C" w14:textId="77777777" w:rsidR="000923BB" w:rsidRPr="00FB3AC0" w:rsidRDefault="000923BB" w:rsidP="000923BB">
      <w:pPr>
        <w:rPr>
          <w:rFonts w:cs="Arial"/>
          <w:b/>
          <w:sz w:val="28"/>
          <w:szCs w:val="28"/>
        </w:rPr>
      </w:pPr>
    </w:p>
    <w:p w14:paraId="0B0D4509" w14:textId="77777777" w:rsidR="000923BB" w:rsidRPr="00FB3AC0" w:rsidRDefault="000923BB" w:rsidP="000923BB">
      <w:pPr>
        <w:rPr>
          <w:rFonts w:cs="Arial"/>
          <w:b/>
        </w:rPr>
      </w:pPr>
      <w:r w:rsidRPr="00FB3AC0">
        <w:rPr>
          <w:rFonts w:cs="Arial"/>
          <w:b/>
        </w:rPr>
        <w:t>Quality of care rating for the initial management phase: all reviewers from site 439</w:t>
      </w:r>
    </w:p>
    <w:p w14:paraId="171E19C7" w14:textId="77777777" w:rsidR="000923BB" w:rsidRPr="00FB3AC0" w:rsidRDefault="000923BB" w:rsidP="000923BB">
      <w:pPr>
        <w:rPr>
          <w:rFonts w:cs="Arial"/>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4"/>
        <w:gridCol w:w="1714"/>
        <w:gridCol w:w="1731"/>
        <w:gridCol w:w="1717"/>
        <w:gridCol w:w="1436"/>
      </w:tblGrid>
      <w:tr w:rsidR="000923BB" w:rsidRPr="00F955C6" w14:paraId="12DE57B7" w14:textId="77777777" w:rsidTr="005332D1">
        <w:tc>
          <w:tcPr>
            <w:tcW w:w="1624" w:type="dxa"/>
          </w:tcPr>
          <w:p w14:paraId="78CFA0E9" w14:textId="77777777" w:rsidR="000923BB" w:rsidRPr="00F955C6" w:rsidRDefault="000923BB" w:rsidP="003A385F">
            <w:pPr>
              <w:jc w:val="center"/>
              <w:rPr>
                <w:rFonts w:cs="Arial"/>
                <w:b/>
                <w:sz w:val="22"/>
                <w:szCs w:val="22"/>
              </w:rPr>
            </w:pPr>
            <w:r w:rsidRPr="00F955C6">
              <w:rPr>
                <w:rFonts w:cs="Arial"/>
                <w:b/>
                <w:sz w:val="22"/>
                <w:szCs w:val="22"/>
              </w:rPr>
              <w:t>Reviewer</w:t>
            </w:r>
          </w:p>
        </w:tc>
        <w:tc>
          <w:tcPr>
            <w:tcW w:w="1714" w:type="dxa"/>
          </w:tcPr>
          <w:p w14:paraId="505CFEA2" w14:textId="77777777" w:rsidR="000923BB" w:rsidRPr="00F955C6" w:rsidRDefault="000923BB" w:rsidP="003A385F">
            <w:pPr>
              <w:jc w:val="center"/>
              <w:rPr>
                <w:rFonts w:cs="Arial"/>
                <w:b/>
                <w:sz w:val="22"/>
                <w:szCs w:val="22"/>
              </w:rPr>
            </w:pPr>
            <w:r w:rsidRPr="00F955C6">
              <w:rPr>
                <w:rFonts w:cs="Arial"/>
                <w:b/>
                <w:sz w:val="22"/>
                <w:szCs w:val="22"/>
              </w:rPr>
              <w:t>Mean quality of care rating</w:t>
            </w:r>
          </w:p>
        </w:tc>
        <w:tc>
          <w:tcPr>
            <w:tcW w:w="1731" w:type="dxa"/>
          </w:tcPr>
          <w:p w14:paraId="1AA16D96" w14:textId="77777777" w:rsidR="000923BB" w:rsidRPr="00F955C6" w:rsidRDefault="000923BB" w:rsidP="003A385F">
            <w:pPr>
              <w:jc w:val="center"/>
              <w:rPr>
                <w:rFonts w:cs="Arial"/>
                <w:b/>
                <w:sz w:val="22"/>
                <w:szCs w:val="22"/>
              </w:rPr>
            </w:pPr>
            <w:r w:rsidRPr="00F955C6">
              <w:rPr>
                <w:rFonts w:cs="Arial"/>
                <w:b/>
                <w:sz w:val="22"/>
                <w:szCs w:val="22"/>
              </w:rPr>
              <w:t>Standard deviation</w:t>
            </w:r>
          </w:p>
        </w:tc>
        <w:tc>
          <w:tcPr>
            <w:tcW w:w="1717" w:type="dxa"/>
          </w:tcPr>
          <w:p w14:paraId="3DF5DA13" w14:textId="77777777" w:rsidR="000923BB" w:rsidRPr="00F955C6" w:rsidRDefault="000923BB" w:rsidP="003A385F">
            <w:pPr>
              <w:jc w:val="center"/>
              <w:rPr>
                <w:rFonts w:cs="Arial"/>
                <w:b/>
                <w:sz w:val="22"/>
                <w:szCs w:val="22"/>
              </w:rPr>
            </w:pPr>
            <w:r w:rsidRPr="00F955C6">
              <w:rPr>
                <w:rFonts w:cs="Arial"/>
                <w:b/>
                <w:sz w:val="22"/>
                <w:szCs w:val="22"/>
              </w:rPr>
              <w:t>Median</w:t>
            </w:r>
          </w:p>
        </w:tc>
        <w:tc>
          <w:tcPr>
            <w:tcW w:w="1436" w:type="dxa"/>
          </w:tcPr>
          <w:p w14:paraId="1BBBE8CA" w14:textId="77777777" w:rsidR="000923BB" w:rsidRPr="00F955C6" w:rsidRDefault="000923BB" w:rsidP="003A385F">
            <w:pPr>
              <w:jc w:val="center"/>
              <w:rPr>
                <w:rFonts w:cs="Arial"/>
                <w:b/>
                <w:sz w:val="22"/>
                <w:szCs w:val="22"/>
              </w:rPr>
            </w:pPr>
            <w:r w:rsidRPr="00F955C6">
              <w:rPr>
                <w:rFonts w:cs="Arial"/>
                <w:b/>
                <w:sz w:val="22"/>
                <w:szCs w:val="22"/>
              </w:rPr>
              <w:t>Range</w:t>
            </w:r>
          </w:p>
        </w:tc>
      </w:tr>
      <w:tr w:rsidR="000923BB" w:rsidRPr="00F955C6" w14:paraId="44D7AD3F" w14:textId="77777777" w:rsidTr="005332D1">
        <w:tc>
          <w:tcPr>
            <w:tcW w:w="1624" w:type="dxa"/>
          </w:tcPr>
          <w:p w14:paraId="76D7C225" w14:textId="77777777" w:rsidR="000923BB" w:rsidRPr="00F955C6" w:rsidRDefault="000923BB" w:rsidP="003A385F">
            <w:pPr>
              <w:jc w:val="center"/>
              <w:rPr>
                <w:rFonts w:cs="Arial"/>
                <w:sz w:val="22"/>
                <w:szCs w:val="22"/>
              </w:rPr>
            </w:pPr>
            <w:r w:rsidRPr="00F955C6">
              <w:rPr>
                <w:rFonts w:cs="Arial"/>
                <w:sz w:val="22"/>
                <w:szCs w:val="22"/>
              </w:rPr>
              <w:t>5731</w:t>
            </w:r>
          </w:p>
        </w:tc>
        <w:tc>
          <w:tcPr>
            <w:tcW w:w="1714" w:type="dxa"/>
            <w:vAlign w:val="center"/>
          </w:tcPr>
          <w:p w14:paraId="4E400E43" w14:textId="77777777" w:rsidR="000923BB" w:rsidRPr="00F955C6" w:rsidRDefault="000923BB" w:rsidP="003A385F">
            <w:pPr>
              <w:autoSpaceDE w:val="0"/>
              <w:autoSpaceDN w:val="0"/>
              <w:adjustRightInd w:val="0"/>
              <w:jc w:val="center"/>
              <w:rPr>
                <w:rFonts w:cs="Arial"/>
                <w:color w:val="000000"/>
                <w:sz w:val="22"/>
                <w:szCs w:val="22"/>
                <w:lang w:val="en-US"/>
              </w:rPr>
            </w:pPr>
            <w:r w:rsidRPr="00F955C6">
              <w:rPr>
                <w:rFonts w:cs="Arial"/>
                <w:color w:val="000000"/>
                <w:sz w:val="22"/>
                <w:szCs w:val="22"/>
                <w:lang w:val="en-US"/>
              </w:rPr>
              <w:t>4.5</w:t>
            </w:r>
          </w:p>
        </w:tc>
        <w:tc>
          <w:tcPr>
            <w:tcW w:w="1731" w:type="dxa"/>
            <w:vAlign w:val="center"/>
          </w:tcPr>
          <w:p w14:paraId="0A6FEDE5" w14:textId="77777777" w:rsidR="000923BB" w:rsidRPr="00F955C6" w:rsidRDefault="000923BB" w:rsidP="003A385F">
            <w:pPr>
              <w:autoSpaceDE w:val="0"/>
              <w:autoSpaceDN w:val="0"/>
              <w:adjustRightInd w:val="0"/>
              <w:jc w:val="center"/>
              <w:rPr>
                <w:rFonts w:cs="Arial"/>
                <w:color w:val="000000"/>
                <w:sz w:val="22"/>
                <w:szCs w:val="22"/>
                <w:lang w:val="en-US"/>
              </w:rPr>
            </w:pPr>
            <w:r w:rsidRPr="00F955C6">
              <w:rPr>
                <w:rFonts w:cs="Arial"/>
                <w:color w:val="000000"/>
                <w:sz w:val="22"/>
                <w:szCs w:val="22"/>
                <w:lang w:val="en-US"/>
              </w:rPr>
              <w:t>0.92</w:t>
            </w:r>
          </w:p>
        </w:tc>
        <w:tc>
          <w:tcPr>
            <w:tcW w:w="1717" w:type="dxa"/>
            <w:vAlign w:val="center"/>
          </w:tcPr>
          <w:p w14:paraId="03061D99" w14:textId="77777777" w:rsidR="000923BB" w:rsidRPr="00F955C6" w:rsidRDefault="000923BB" w:rsidP="003A385F">
            <w:pPr>
              <w:autoSpaceDE w:val="0"/>
              <w:autoSpaceDN w:val="0"/>
              <w:adjustRightInd w:val="0"/>
              <w:jc w:val="center"/>
              <w:rPr>
                <w:rFonts w:cs="Arial"/>
                <w:color w:val="000000"/>
                <w:sz w:val="22"/>
                <w:szCs w:val="22"/>
                <w:lang w:val="en-US"/>
              </w:rPr>
            </w:pPr>
            <w:r w:rsidRPr="00F955C6">
              <w:rPr>
                <w:rFonts w:cs="Arial"/>
                <w:color w:val="000000"/>
                <w:sz w:val="22"/>
                <w:szCs w:val="22"/>
                <w:lang w:val="en-US"/>
              </w:rPr>
              <w:t>5.0</w:t>
            </w:r>
          </w:p>
        </w:tc>
        <w:tc>
          <w:tcPr>
            <w:tcW w:w="1436" w:type="dxa"/>
            <w:vAlign w:val="center"/>
          </w:tcPr>
          <w:p w14:paraId="1CAA1AED" w14:textId="77777777" w:rsidR="000923BB" w:rsidRPr="00F955C6" w:rsidRDefault="000923BB" w:rsidP="003A385F">
            <w:pPr>
              <w:autoSpaceDE w:val="0"/>
              <w:autoSpaceDN w:val="0"/>
              <w:adjustRightInd w:val="0"/>
              <w:jc w:val="center"/>
              <w:rPr>
                <w:rFonts w:cs="Arial"/>
                <w:color w:val="000000"/>
                <w:sz w:val="22"/>
                <w:szCs w:val="22"/>
                <w:lang w:val="en-US"/>
              </w:rPr>
            </w:pPr>
            <w:r w:rsidRPr="00F955C6">
              <w:rPr>
                <w:rFonts w:cs="Arial"/>
                <w:color w:val="000000"/>
                <w:sz w:val="22"/>
                <w:szCs w:val="22"/>
                <w:lang w:val="en-US"/>
              </w:rPr>
              <w:t xml:space="preserve">2.0 – 6.0 </w:t>
            </w:r>
          </w:p>
        </w:tc>
      </w:tr>
      <w:tr w:rsidR="000923BB" w:rsidRPr="00F955C6" w14:paraId="3DA40B72" w14:textId="77777777" w:rsidTr="005332D1">
        <w:tc>
          <w:tcPr>
            <w:tcW w:w="1624" w:type="dxa"/>
          </w:tcPr>
          <w:p w14:paraId="211E2EBE" w14:textId="77777777" w:rsidR="000923BB" w:rsidRPr="00F955C6" w:rsidRDefault="000923BB" w:rsidP="003A385F">
            <w:pPr>
              <w:jc w:val="center"/>
              <w:rPr>
                <w:rFonts w:cs="Arial"/>
                <w:sz w:val="22"/>
                <w:szCs w:val="22"/>
              </w:rPr>
            </w:pPr>
            <w:r w:rsidRPr="00F955C6">
              <w:rPr>
                <w:rFonts w:cs="Arial"/>
                <w:sz w:val="22"/>
                <w:szCs w:val="22"/>
              </w:rPr>
              <w:t>5732</w:t>
            </w:r>
          </w:p>
        </w:tc>
        <w:tc>
          <w:tcPr>
            <w:tcW w:w="1714" w:type="dxa"/>
          </w:tcPr>
          <w:p w14:paraId="1DF3F53C" w14:textId="77777777" w:rsidR="000923BB" w:rsidRPr="00F955C6" w:rsidRDefault="000923BB" w:rsidP="003A385F">
            <w:pPr>
              <w:jc w:val="center"/>
              <w:rPr>
                <w:rFonts w:cs="Arial"/>
                <w:sz w:val="22"/>
                <w:szCs w:val="22"/>
              </w:rPr>
            </w:pPr>
            <w:r w:rsidRPr="00F955C6">
              <w:rPr>
                <w:rFonts w:cs="Arial"/>
                <w:sz w:val="22"/>
                <w:szCs w:val="22"/>
              </w:rPr>
              <w:t>4.4</w:t>
            </w:r>
          </w:p>
        </w:tc>
        <w:tc>
          <w:tcPr>
            <w:tcW w:w="1731" w:type="dxa"/>
          </w:tcPr>
          <w:p w14:paraId="3313B9D7" w14:textId="77777777" w:rsidR="000923BB" w:rsidRPr="00F955C6" w:rsidRDefault="000923BB" w:rsidP="003A385F">
            <w:pPr>
              <w:jc w:val="center"/>
              <w:rPr>
                <w:rFonts w:cs="Arial"/>
                <w:sz w:val="22"/>
                <w:szCs w:val="22"/>
              </w:rPr>
            </w:pPr>
            <w:r w:rsidRPr="00F955C6">
              <w:rPr>
                <w:rFonts w:cs="Arial"/>
                <w:sz w:val="22"/>
                <w:szCs w:val="22"/>
              </w:rPr>
              <w:t>0.88</w:t>
            </w:r>
          </w:p>
        </w:tc>
        <w:tc>
          <w:tcPr>
            <w:tcW w:w="1717" w:type="dxa"/>
          </w:tcPr>
          <w:p w14:paraId="16CD4C0B" w14:textId="77777777" w:rsidR="000923BB" w:rsidRPr="00F955C6" w:rsidRDefault="000923BB" w:rsidP="003A385F">
            <w:pPr>
              <w:jc w:val="center"/>
              <w:rPr>
                <w:rFonts w:cs="Arial"/>
                <w:sz w:val="22"/>
                <w:szCs w:val="22"/>
              </w:rPr>
            </w:pPr>
            <w:r w:rsidRPr="00F955C6">
              <w:rPr>
                <w:rFonts w:cs="Arial"/>
                <w:sz w:val="22"/>
                <w:szCs w:val="22"/>
              </w:rPr>
              <w:t>5.0</w:t>
            </w:r>
          </w:p>
        </w:tc>
        <w:tc>
          <w:tcPr>
            <w:tcW w:w="1436" w:type="dxa"/>
            <w:vAlign w:val="center"/>
          </w:tcPr>
          <w:p w14:paraId="5CEAFACA" w14:textId="77777777" w:rsidR="000923BB" w:rsidRPr="00F955C6" w:rsidRDefault="000923BB" w:rsidP="003A385F">
            <w:pPr>
              <w:autoSpaceDE w:val="0"/>
              <w:autoSpaceDN w:val="0"/>
              <w:adjustRightInd w:val="0"/>
              <w:jc w:val="center"/>
              <w:rPr>
                <w:rFonts w:cs="Arial"/>
                <w:color w:val="000000"/>
                <w:sz w:val="22"/>
                <w:szCs w:val="22"/>
                <w:lang w:val="en-US"/>
              </w:rPr>
            </w:pPr>
            <w:r w:rsidRPr="00F955C6">
              <w:rPr>
                <w:rFonts w:cs="Arial"/>
                <w:color w:val="000000"/>
                <w:sz w:val="22"/>
                <w:szCs w:val="22"/>
                <w:lang w:val="en-US"/>
              </w:rPr>
              <w:t>2.0 – 6.0</w:t>
            </w:r>
          </w:p>
        </w:tc>
      </w:tr>
      <w:tr w:rsidR="000923BB" w:rsidRPr="00F955C6" w14:paraId="69CF9CDF" w14:textId="77777777" w:rsidTr="005332D1">
        <w:tc>
          <w:tcPr>
            <w:tcW w:w="1624" w:type="dxa"/>
          </w:tcPr>
          <w:p w14:paraId="5957FC1D" w14:textId="77777777" w:rsidR="000923BB" w:rsidRPr="00F955C6" w:rsidRDefault="000923BB" w:rsidP="003A385F">
            <w:pPr>
              <w:jc w:val="center"/>
              <w:rPr>
                <w:rFonts w:cs="Arial"/>
                <w:sz w:val="22"/>
                <w:szCs w:val="22"/>
              </w:rPr>
            </w:pPr>
            <w:r w:rsidRPr="00F955C6">
              <w:rPr>
                <w:rFonts w:cs="Arial"/>
                <w:sz w:val="22"/>
                <w:szCs w:val="22"/>
              </w:rPr>
              <w:t>5833</w:t>
            </w:r>
          </w:p>
        </w:tc>
        <w:tc>
          <w:tcPr>
            <w:tcW w:w="1714" w:type="dxa"/>
          </w:tcPr>
          <w:p w14:paraId="1F6FCD5D" w14:textId="77777777" w:rsidR="000923BB" w:rsidRPr="00F955C6" w:rsidRDefault="000923BB" w:rsidP="003A385F">
            <w:pPr>
              <w:jc w:val="center"/>
              <w:rPr>
                <w:rFonts w:cs="Arial"/>
                <w:sz w:val="22"/>
                <w:szCs w:val="22"/>
              </w:rPr>
            </w:pPr>
            <w:r w:rsidRPr="00F955C6">
              <w:rPr>
                <w:rFonts w:cs="Arial"/>
                <w:sz w:val="22"/>
                <w:szCs w:val="22"/>
              </w:rPr>
              <w:t>4.4</w:t>
            </w:r>
          </w:p>
        </w:tc>
        <w:tc>
          <w:tcPr>
            <w:tcW w:w="1731" w:type="dxa"/>
          </w:tcPr>
          <w:p w14:paraId="1F2620AF" w14:textId="77777777" w:rsidR="000923BB" w:rsidRPr="00F955C6" w:rsidRDefault="000923BB" w:rsidP="003A385F">
            <w:pPr>
              <w:jc w:val="center"/>
              <w:rPr>
                <w:rFonts w:cs="Arial"/>
                <w:sz w:val="22"/>
                <w:szCs w:val="22"/>
              </w:rPr>
            </w:pPr>
            <w:r w:rsidRPr="00F955C6">
              <w:rPr>
                <w:rFonts w:cs="Arial"/>
                <w:sz w:val="22"/>
                <w:szCs w:val="22"/>
              </w:rPr>
              <w:t>1.33</w:t>
            </w:r>
          </w:p>
        </w:tc>
        <w:tc>
          <w:tcPr>
            <w:tcW w:w="1717" w:type="dxa"/>
          </w:tcPr>
          <w:p w14:paraId="14C0A062" w14:textId="77777777" w:rsidR="000923BB" w:rsidRPr="00F955C6" w:rsidRDefault="000923BB" w:rsidP="003A385F">
            <w:pPr>
              <w:jc w:val="center"/>
              <w:rPr>
                <w:rFonts w:cs="Arial"/>
                <w:sz w:val="22"/>
                <w:szCs w:val="22"/>
              </w:rPr>
            </w:pPr>
            <w:r w:rsidRPr="00F955C6">
              <w:rPr>
                <w:rFonts w:cs="Arial"/>
                <w:sz w:val="22"/>
                <w:szCs w:val="22"/>
              </w:rPr>
              <w:t>5.0</w:t>
            </w:r>
          </w:p>
        </w:tc>
        <w:tc>
          <w:tcPr>
            <w:tcW w:w="1436" w:type="dxa"/>
          </w:tcPr>
          <w:p w14:paraId="3CD59C07" w14:textId="77777777" w:rsidR="000923BB" w:rsidRPr="00F955C6" w:rsidRDefault="000923BB" w:rsidP="003A385F">
            <w:pPr>
              <w:autoSpaceDE w:val="0"/>
              <w:autoSpaceDN w:val="0"/>
              <w:adjustRightInd w:val="0"/>
              <w:jc w:val="center"/>
              <w:rPr>
                <w:rFonts w:cs="Arial"/>
                <w:sz w:val="22"/>
                <w:szCs w:val="22"/>
              </w:rPr>
            </w:pPr>
            <w:r w:rsidRPr="00F955C6">
              <w:rPr>
                <w:rFonts w:cs="Arial"/>
                <w:sz w:val="22"/>
                <w:szCs w:val="22"/>
              </w:rPr>
              <w:t xml:space="preserve">1.0 – 6.0 </w:t>
            </w:r>
          </w:p>
        </w:tc>
      </w:tr>
      <w:tr w:rsidR="000923BB" w:rsidRPr="00F955C6" w14:paraId="1C4B0971" w14:textId="77777777" w:rsidTr="005332D1">
        <w:tc>
          <w:tcPr>
            <w:tcW w:w="1624" w:type="dxa"/>
          </w:tcPr>
          <w:p w14:paraId="5CC1F92B" w14:textId="77777777" w:rsidR="000923BB" w:rsidRPr="00F955C6" w:rsidRDefault="000923BB" w:rsidP="003A385F">
            <w:pPr>
              <w:jc w:val="center"/>
              <w:rPr>
                <w:rFonts w:cs="Arial"/>
                <w:sz w:val="22"/>
                <w:szCs w:val="22"/>
              </w:rPr>
            </w:pPr>
            <w:r w:rsidRPr="00F955C6">
              <w:rPr>
                <w:rFonts w:cs="Arial"/>
                <w:sz w:val="22"/>
                <w:szCs w:val="22"/>
              </w:rPr>
              <w:t>5834</w:t>
            </w:r>
          </w:p>
        </w:tc>
        <w:tc>
          <w:tcPr>
            <w:tcW w:w="1714" w:type="dxa"/>
          </w:tcPr>
          <w:p w14:paraId="1880BE84" w14:textId="77777777" w:rsidR="000923BB" w:rsidRPr="00F955C6" w:rsidRDefault="000923BB" w:rsidP="003A385F">
            <w:pPr>
              <w:jc w:val="center"/>
              <w:rPr>
                <w:rFonts w:cs="Arial"/>
                <w:sz w:val="22"/>
                <w:szCs w:val="22"/>
              </w:rPr>
            </w:pPr>
            <w:r w:rsidRPr="00F955C6">
              <w:rPr>
                <w:rFonts w:cs="Arial"/>
                <w:sz w:val="22"/>
                <w:szCs w:val="22"/>
              </w:rPr>
              <w:t>5.2</w:t>
            </w:r>
          </w:p>
        </w:tc>
        <w:tc>
          <w:tcPr>
            <w:tcW w:w="1731" w:type="dxa"/>
          </w:tcPr>
          <w:p w14:paraId="1E1983E7" w14:textId="77777777" w:rsidR="000923BB" w:rsidRPr="00F955C6" w:rsidRDefault="000923BB" w:rsidP="003A385F">
            <w:pPr>
              <w:jc w:val="center"/>
              <w:rPr>
                <w:rFonts w:cs="Arial"/>
                <w:sz w:val="22"/>
                <w:szCs w:val="22"/>
              </w:rPr>
            </w:pPr>
            <w:r w:rsidRPr="00F955C6">
              <w:rPr>
                <w:rFonts w:cs="Arial"/>
                <w:sz w:val="22"/>
                <w:szCs w:val="22"/>
              </w:rPr>
              <w:t>0.83</w:t>
            </w:r>
          </w:p>
        </w:tc>
        <w:tc>
          <w:tcPr>
            <w:tcW w:w="1717" w:type="dxa"/>
          </w:tcPr>
          <w:p w14:paraId="53E6065D" w14:textId="77777777" w:rsidR="000923BB" w:rsidRPr="00F955C6" w:rsidRDefault="000923BB" w:rsidP="003A385F">
            <w:pPr>
              <w:jc w:val="center"/>
              <w:rPr>
                <w:rFonts w:cs="Arial"/>
                <w:sz w:val="22"/>
                <w:szCs w:val="22"/>
              </w:rPr>
            </w:pPr>
            <w:r w:rsidRPr="00F955C6">
              <w:rPr>
                <w:rFonts w:cs="Arial"/>
                <w:sz w:val="22"/>
                <w:szCs w:val="22"/>
              </w:rPr>
              <w:t>5.0</w:t>
            </w:r>
          </w:p>
        </w:tc>
        <w:tc>
          <w:tcPr>
            <w:tcW w:w="1436" w:type="dxa"/>
          </w:tcPr>
          <w:p w14:paraId="3A8F08A2" w14:textId="77777777" w:rsidR="000923BB" w:rsidRPr="00F955C6" w:rsidRDefault="000923BB" w:rsidP="003A385F">
            <w:pPr>
              <w:autoSpaceDE w:val="0"/>
              <w:autoSpaceDN w:val="0"/>
              <w:adjustRightInd w:val="0"/>
              <w:jc w:val="center"/>
              <w:rPr>
                <w:rFonts w:cs="Arial"/>
                <w:sz w:val="22"/>
                <w:szCs w:val="22"/>
              </w:rPr>
            </w:pPr>
            <w:r w:rsidRPr="00F955C6">
              <w:rPr>
                <w:rFonts w:cs="Arial"/>
                <w:sz w:val="22"/>
                <w:szCs w:val="22"/>
              </w:rPr>
              <w:t xml:space="preserve">3.0 – 6.0 </w:t>
            </w:r>
          </w:p>
        </w:tc>
      </w:tr>
    </w:tbl>
    <w:p w14:paraId="05B5FEAF" w14:textId="77777777" w:rsidR="000923BB" w:rsidRPr="00FB3AC0" w:rsidRDefault="000923BB" w:rsidP="000923BB">
      <w:pPr>
        <w:rPr>
          <w:rFonts w:cs="Arial"/>
          <w:b/>
          <w:bCs/>
          <w:color w:val="000000"/>
          <w:sz w:val="18"/>
          <w:szCs w:val="18"/>
          <w:lang w:val="en-US"/>
        </w:rPr>
      </w:pPr>
    </w:p>
    <w:p w14:paraId="31F82FC1" w14:textId="77777777" w:rsidR="000923BB" w:rsidRPr="00FB3AC0" w:rsidRDefault="000923BB" w:rsidP="000923BB">
      <w:pPr>
        <w:rPr>
          <w:rFonts w:cs="Arial"/>
          <w:b/>
          <w:bCs/>
          <w:color w:val="000000"/>
          <w:sz w:val="18"/>
          <w:szCs w:val="18"/>
          <w:lang w:val="en-US"/>
        </w:rPr>
      </w:pPr>
    </w:p>
    <w:p w14:paraId="194CD116" w14:textId="77777777" w:rsidR="000923BB" w:rsidRPr="00FB3AC0" w:rsidRDefault="000923BB" w:rsidP="000923BB">
      <w:pPr>
        <w:rPr>
          <w:rFonts w:cs="Arial"/>
          <w:b/>
        </w:rPr>
      </w:pPr>
      <w:r w:rsidRPr="00FB3AC0">
        <w:rPr>
          <w:rFonts w:cs="Arial"/>
          <w:b/>
        </w:rPr>
        <w:lastRenderedPageBreak/>
        <w:t xml:space="preserve">Quality of care rating for the initial management phase: all </w:t>
      </w:r>
      <w:r w:rsidR="005332D1">
        <w:rPr>
          <w:rFonts w:cs="Arial"/>
          <w:b/>
        </w:rPr>
        <w:t xml:space="preserve">                  </w:t>
      </w:r>
      <w:r w:rsidRPr="00FB3AC0">
        <w:rPr>
          <w:rFonts w:cs="Arial"/>
          <w:b/>
        </w:rPr>
        <w:t>hospitals</w:t>
      </w:r>
    </w:p>
    <w:p w14:paraId="32FE07E5" w14:textId="77777777" w:rsidR="000923BB" w:rsidRPr="00FB3AC0" w:rsidRDefault="000923BB" w:rsidP="000923BB">
      <w:pPr>
        <w:rPr>
          <w:rFonts w:cs="Arial"/>
          <w:b/>
          <w:sz w:val="28"/>
          <w:szCs w:val="28"/>
        </w:rPr>
      </w:pPr>
    </w:p>
    <w:tbl>
      <w:tblPr>
        <w:tblW w:w="62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2"/>
        <w:gridCol w:w="953"/>
        <w:gridCol w:w="1270"/>
        <w:gridCol w:w="1043"/>
        <w:gridCol w:w="1348"/>
      </w:tblGrid>
      <w:tr w:rsidR="000923BB" w:rsidRPr="00F955C6" w14:paraId="68C63870" w14:textId="77777777" w:rsidTr="003C12FD">
        <w:tc>
          <w:tcPr>
            <w:tcW w:w="1622" w:type="dxa"/>
          </w:tcPr>
          <w:p w14:paraId="568199EE" w14:textId="77777777" w:rsidR="000923BB" w:rsidRPr="00F955C6" w:rsidRDefault="000923BB" w:rsidP="003A385F">
            <w:pPr>
              <w:rPr>
                <w:rFonts w:cs="Arial"/>
                <w:b/>
              </w:rPr>
            </w:pPr>
            <w:r w:rsidRPr="00F955C6">
              <w:rPr>
                <w:rFonts w:cs="Arial"/>
                <w:b/>
              </w:rPr>
              <w:t>Hospital</w:t>
            </w:r>
          </w:p>
        </w:tc>
        <w:tc>
          <w:tcPr>
            <w:tcW w:w="953" w:type="dxa"/>
          </w:tcPr>
          <w:p w14:paraId="44FB3313" w14:textId="77777777" w:rsidR="000923BB" w:rsidRPr="00F955C6" w:rsidRDefault="000923BB" w:rsidP="003A385F">
            <w:pPr>
              <w:rPr>
                <w:rFonts w:cs="Arial"/>
                <w:b/>
              </w:rPr>
            </w:pPr>
            <w:r w:rsidRPr="00F955C6">
              <w:rPr>
                <w:rFonts w:cs="Arial"/>
                <w:b/>
              </w:rPr>
              <w:t xml:space="preserve">Mean </w:t>
            </w:r>
          </w:p>
        </w:tc>
        <w:tc>
          <w:tcPr>
            <w:tcW w:w="1270" w:type="dxa"/>
          </w:tcPr>
          <w:p w14:paraId="73E34427" w14:textId="77777777" w:rsidR="000923BB" w:rsidRPr="00F955C6" w:rsidRDefault="000923BB" w:rsidP="003A385F">
            <w:pPr>
              <w:rPr>
                <w:rFonts w:cs="Arial"/>
                <w:b/>
              </w:rPr>
            </w:pPr>
            <w:r w:rsidRPr="00F955C6">
              <w:rPr>
                <w:rFonts w:cs="Arial"/>
                <w:b/>
              </w:rPr>
              <w:t>Standard deviation</w:t>
            </w:r>
          </w:p>
        </w:tc>
        <w:tc>
          <w:tcPr>
            <w:tcW w:w="1043" w:type="dxa"/>
          </w:tcPr>
          <w:p w14:paraId="70BA8DB7" w14:textId="77777777" w:rsidR="000923BB" w:rsidRPr="00F955C6" w:rsidRDefault="000923BB" w:rsidP="003A385F">
            <w:pPr>
              <w:rPr>
                <w:rFonts w:cs="Arial"/>
                <w:b/>
              </w:rPr>
            </w:pPr>
            <w:r w:rsidRPr="00F955C6">
              <w:rPr>
                <w:rFonts w:cs="Arial"/>
                <w:b/>
              </w:rPr>
              <w:t xml:space="preserve">Median </w:t>
            </w:r>
          </w:p>
        </w:tc>
        <w:tc>
          <w:tcPr>
            <w:tcW w:w="1348" w:type="dxa"/>
          </w:tcPr>
          <w:p w14:paraId="3FDBA7EE" w14:textId="77777777" w:rsidR="000923BB" w:rsidRPr="00F955C6" w:rsidRDefault="000923BB" w:rsidP="003A385F">
            <w:pPr>
              <w:rPr>
                <w:rFonts w:cs="Arial"/>
                <w:b/>
              </w:rPr>
            </w:pPr>
            <w:r w:rsidRPr="00F955C6">
              <w:rPr>
                <w:rFonts w:cs="Arial"/>
                <w:b/>
              </w:rPr>
              <w:t>Range</w:t>
            </w:r>
          </w:p>
        </w:tc>
      </w:tr>
      <w:tr w:rsidR="000923BB" w:rsidRPr="00F955C6" w14:paraId="5BC33A57" w14:textId="77777777" w:rsidTr="003C12FD">
        <w:tc>
          <w:tcPr>
            <w:tcW w:w="1622" w:type="dxa"/>
          </w:tcPr>
          <w:p w14:paraId="17701EDF" w14:textId="77777777" w:rsidR="000923BB" w:rsidRPr="00F955C6" w:rsidRDefault="000923BB" w:rsidP="003A385F">
            <w:pPr>
              <w:rPr>
                <w:rFonts w:cs="Arial"/>
              </w:rPr>
            </w:pPr>
            <w:r w:rsidRPr="00F955C6">
              <w:rPr>
                <w:rFonts w:cs="Arial"/>
              </w:rPr>
              <w:t>Hospital 203</w:t>
            </w:r>
          </w:p>
        </w:tc>
        <w:tc>
          <w:tcPr>
            <w:tcW w:w="953" w:type="dxa"/>
          </w:tcPr>
          <w:p w14:paraId="435CFFFE" w14:textId="77777777" w:rsidR="000923BB" w:rsidRPr="00F955C6" w:rsidRDefault="000923BB" w:rsidP="003A385F">
            <w:pPr>
              <w:rPr>
                <w:rFonts w:cs="Arial"/>
                <w:sz w:val="18"/>
                <w:szCs w:val="18"/>
              </w:rPr>
            </w:pPr>
            <w:r w:rsidRPr="00F955C6">
              <w:rPr>
                <w:rFonts w:cs="Arial"/>
                <w:sz w:val="18"/>
                <w:szCs w:val="18"/>
              </w:rPr>
              <w:t>4.9</w:t>
            </w:r>
          </w:p>
          <w:p w14:paraId="61D588D7" w14:textId="77777777" w:rsidR="000923BB" w:rsidRPr="00F955C6" w:rsidRDefault="000923BB" w:rsidP="003A385F">
            <w:pPr>
              <w:rPr>
                <w:rFonts w:cs="Arial"/>
                <w:sz w:val="18"/>
                <w:szCs w:val="18"/>
              </w:rPr>
            </w:pPr>
          </w:p>
        </w:tc>
        <w:tc>
          <w:tcPr>
            <w:tcW w:w="1270" w:type="dxa"/>
          </w:tcPr>
          <w:p w14:paraId="57EF8A94" w14:textId="77777777" w:rsidR="000923BB" w:rsidRPr="00F955C6" w:rsidRDefault="000923BB" w:rsidP="003A385F">
            <w:pPr>
              <w:rPr>
                <w:rFonts w:cs="Arial"/>
                <w:sz w:val="18"/>
                <w:szCs w:val="18"/>
              </w:rPr>
            </w:pPr>
            <w:r w:rsidRPr="00F955C6">
              <w:rPr>
                <w:rFonts w:cs="Arial"/>
                <w:sz w:val="18"/>
                <w:szCs w:val="18"/>
              </w:rPr>
              <w:t>0.8</w:t>
            </w:r>
          </w:p>
        </w:tc>
        <w:tc>
          <w:tcPr>
            <w:tcW w:w="1043" w:type="dxa"/>
          </w:tcPr>
          <w:p w14:paraId="1BA42DE1" w14:textId="77777777" w:rsidR="000923BB" w:rsidRPr="00F955C6" w:rsidRDefault="000923BB" w:rsidP="003A385F">
            <w:pPr>
              <w:rPr>
                <w:rFonts w:cs="Arial"/>
                <w:sz w:val="18"/>
                <w:szCs w:val="18"/>
              </w:rPr>
            </w:pPr>
            <w:r w:rsidRPr="00F955C6">
              <w:rPr>
                <w:rFonts w:cs="Arial"/>
                <w:sz w:val="18"/>
                <w:szCs w:val="18"/>
              </w:rPr>
              <w:t>5.0</w:t>
            </w:r>
          </w:p>
        </w:tc>
        <w:tc>
          <w:tcPr>
            <w:tcW w:w="1348" w:type="dxa"/>
          </w:tcPr>
          <w:p w14:paraId="0480C99D" w14:textId="77777777" w:rsidR="000923BB" w:rsidRPr="00F955C6" w:rsidRDefault="000923BB" w:rsidP="003A385F">
            <w:pPr>
              <w:rPr>
                <w:rFonts w:cs="Arial"/>
                <w:sz w:val="18"/>
                <w:szCs w:val="18"/>
              </w:rPr>
            </w:pPr>
            <w:r w:rsidRPr="00F955C6">
              <w:rPr>
                <w:rFonts w:cs="Arial"/>
                <w:sz w:val="18"/>
                <w:szCs w:val="18"/>
              </w:rPr>
              <w:t>2.0 - 6.0</w:t>
            </w:r>
          </w:p>
        </w:tc>
      </w:tr>
      <w:tr w:rsidR="000923BB" w:rsidRPr="00F955C6" w14:paraId="22D43476" w14:textId="77777777" w:rsidTr="003C12FD">
        <w:tc>
          <w:tcPr>
            <w:tcW w:w="1622" w:type="dxa"/>
          </w:tcPr>
          <w:p w14:paraId="6BA1FF2F" w14:textId="77777777" w:rsidR="000923BB" w:rsidRPr="00F955C6" w:rsidRDefault="000923BB" w:rsidP="003A385F">
            <w:pPr>
              <w:rPr>
                <w:rFonts w:cs="Arial"/>
              </w:rPr>
            </w:pPr>
            <w:r w:rsidRPr="00F955C6">
              <w:rPr>
                <w:rFonts w:cs="Arial"/>
              </w:rPr>
              <w:t>Hospital 211</w:t>
            </w:r>
          </w:p>
        </w:tc>
        <w:tc>
          <w:tcPr>
            <w:tcW w:w="953" w:type="dxa"/>
          </w:tcPr>
          <w:p w14:paraId="40C79746" w14:textId="77777777" w:rsidR="000923BB" w:rsidRPr="00F955C6" w:rsidRDefault="000923BB" w:rsidP="003A385F">
            <w:pPr>
              <w:rPr>
                <w:rFonts w:cs="Arial"/>
                <w:sz w:val="18"/>
                <w:szCs w:val="18"/>
              </w:rPr>
            </w:pPr>
            <w:r w:rsidRPr="00F955C6">
              <w:rPr>
                <w:rFonts w:cs="Arial"/>
                <w:sz w:val="18"/>
                <w:szCs w:val="18"/>
              </w:rPr>
              <w:t>4.9</w:t>
            </w:r>
          </w:p>
          <w:p w14:paraId="4403332B" w14:textId="77777777" w:rsidR="000923BB" w:rsidRPr="00F955C6" w:rsidRDefault="000923BB" w:rsidP="003A385F">
            <w:pPr>
              <w:rPr>
                <w:rFonts w:cs="Arial"/>
                <w:sz w:val="18"/>
                <w:szCs w:val="18"/>
              </w:rPr>
            </w:pPr>
          </w:p>
        </w:tc>
        <w:tc>
          <w:tcPr>
            <w:tcW w:w="1270" w:type="dxa"/>
          </w:tcPr>
          <w:p w14:paraId="49CED130" w14:textId="77777777" w:rsidR="000923BB" w:rsidRPr="00F955C6" w:rsidRDefault="000923BB" w:rsidP="003A385F">
            <w:pPr>
              <w:rPr>
                <w:rFonts w:cs="Arial"/>
                <w:sz w:val="18"/>
                <w:szCs w:val="18"/>
              </w:rPr>
            </w:pPr>
            <w:r w:rsidRPr="00F955C6">
              <w:rPr>
                <w:rFonts w:cs="Arial"/>
                <w:sz w:val="18"/>
                <w:szCs w:val="18"/>
              </w:rPr>
              <w:t>0.8</w:t>
            </w:r>
          </w:p>
        </w:tc>
        <w:tc>
          <w:tcPr>
            <w:tcW w:w="1043" w:type="dxa"/>
          </w:tcPr>
          <w:p w14:paraId="1E3BECBD" w14:textId="77777777" w:rsidR="000923BB" w:rsidRPr="00F955C6" w:rsidRDefault="000923BB" w:rsidP="003A385F">
            <w:pPr>
              <w:rPr>
                <w:rFonts w:cs="Arial"/>
                <w:sz w:val="18"/>
                <w:szCs w:val="18"/>
              </w:rPr>
            </w:pPr>
            <w:r w:rsidRPr="00F955C6">
              <w:rPr>
                <w:rFonts w:cs="Arial"/>
                <w:sz w:val="18"/>
                <w:szCs w:val="18"/>
              </w:rPr>
              <w:t>5.0</w:t>
            </w:r>
          </w:p>
        </w:tc>
        <w:tc>
          <w:tcPr>
            <w:tcW w:w="1348" w:type="dxa"/>
          </w:tcPr>
          <w:p w14:paraId="7BF5E161" w14:textId="77777777" w:rsidR="000923BB" w:rsidRPr="00F955C6" w:rsidRDefault="000923BB" w:rsidP="003A385F">
            <w:pPr>
              <w:rPr>
                <w:rFonts w:cs="Arial"/>
                <w:sz w:val="18"/>
                <w:szCs w:val="18"/>
              </w:rPr>
            </w:pPr>
            <w:r w:rsidRPr="00F955C6">
              <w:rPr>
                <w:rFonts w:cs="Arial"/>
                <w:sz w:val="18"/>
                <w:szCs w:val="18"/>
              </w:rPr>
              <w:t>1.0 - 6.0</w:t>
            </w:r>
          </w:p>
        </w:tc>
      </w:tr>
      <w:tr w:rsidR="000923BB" w:rsidRPr="00F955C6" w14:paraId="113BA6F0" w14:textId="77777777" w:rsidTr="003C12FD">
        <w:tc>
          <w:tcPr>
            <w:tcW w:w="1622" w:type="dxa"/>
          </w:tcPr>
          <w:p w14:paraId="41ED4DD6" w14:textId="77777777" w:rsidR="000923BB" w:rsidRPr="00F955C6" w:rsidRDefault="000923BB" w:rsidP="003A385F">
            <w:pPr>
              <w:rPr>
                <w:rFonts w:cs="Arial"/>
              </w:rPr>
            </w:pPr>
            <w:r w:rsidRPr="00F955C6">
              <w:rPr>
                <w:rFonts w:cs="Arial"/>
              </w:rPr>
              <w:t>Hospital 260</w:t>
            </w:r>
          </w:p>
        </w:tc>
        <w:tc>
          <w:tcPr>
            <w:tcW w:w="953" w:type="dxa"/>
          </w:tcPr>
          <w:p w14:paraId="47CFE2B5" w14:textId="77777777" w:rsidR="000923BB" w:rsidRPr="00F955C6" w:rsidRDefault="000923BB" w:rsidP="003A385F">
            <w:pPr>
              <w:rPr>
                <w:rFonts w:cs="Arial"/>
                <w:sz w:val="18"/>
                <w:szCs w:val="18"/>
              </w:rPr>
            </w:pPr>
            <w:r w:rsidRPr="00F955C6">
              <w:rPr>
                <w:rFonts w:cs="Arial"/>
                <w:sz w:val="18"/>
                <w:szCs w:val="18"/>
              </w:rPr>
              <w:t>4.5</w:t>
            </w:r>
          </w:p>
          <w:p w14:paraId="0D391D0A" w14:textId="77777777" w:rsidR="000923BB" w:rsidRPr="00F955C6" w:rsidRDefault="000923BB" w:rsidP="003A385F">
            <w:pPr>
              <w:jc w:val="center"/>
              <w:rPr>
                <w:rFonts w:cs="Arial"/>
                <w:sz w:val="18"/>
                <w:szCs w:val="18"/>
              </w:rPr>
            </w:pPr>
          </w:p>
        </w:tc>
        <w:tc>
          <w:tcPr>
            <w:tcW w:w="1270" w:type="dxa"/>
          </w:tcPr>
          <w:p w14:paraId="631BAF98" w14:textId="77777777" w:rsidR="000923BB" w:rsidRPr="00F955C6" w:rsidRDefault="000923BB" w:rsidP="003A385F">
            <w:pPr>
              <w:rPr>
                <w:rFonts w:cs="Arial"/>
                <w:sz w:val="18"/>
                <w:szCs w:val="18"/>
              </w:rPr>
            </w:pPr>
            <w:r w:rsidRPr="00F955C6">
              <w:rPr>
                <w:rFonts w:cs="Arial"/>
                <w:sz w:val="18"/>
                <w:szCs w:val="18"/>
              </w:rPr>
              <w:t>0.5</w:t>
            </w:r>
          </w:p>
        </w:tc>
        <w:tc>
          <w:tcPr>
            <w:tcW w:w="1043" w:type="dxa"/>
          </w:tcPr>
          <w:p w14:paraId="382C4571" w14:textId="77777777" w:rsidR="000923BB" w:rsidRPr="00F955C6" w:rsidRDefault="000923BB" w:rsidP="003A385F">
            <w:pPr>
              <w:rPr>
                <w:rFonts w:cs="Arial"/>
                <w:sz w:val="18"/>
                <w:szCs w:val="18"/>
              </w:rPr>
            </w:pPr>
            <w:r w:rsidRPr="00F955C6">
              <w:rPr>
                <w:rFonts w:cs="Arial"/>
                <w:sz w:val="18"/>
                <w:szCs w:val="18"/>
              </w:rPr>
              <w:t>4.0</w:t>
            </w:r>
          </w:p>
        </w:tc>
        <w:tc>
          <w:tcPr>
            <w:tcW w:w="1348" w:type="dxa"/>
          </w:tcPr>
          <w:p w14:paraId="1570D71F" w14:textId="77777777" w:rsidR="000923BB" w:rsidRPr="00F955C6" w:rsidRDefault="000923BB" w:rsidP="003A385F">
            <w:pPr>
              <w:rPr>
                <w:rFonts w:cs="Arial"/>
                <w:sz w:val="18"/>
                <w:szCs w:val="18"/>
              </w:rPr>
            </w:pPr>
            <w:r w:rsidRPr="00F955C6">
              <w:rPr>
                <w:rFonts w:cs="Arial"/>
                <w:sz w:val="18"/>
                <w:szCs w:val="18"/>
              </w:rPr>
              <w:t>3.0 - 5.0</w:t>
            </w:r>
          </w:p>
          <w:p w14:paraId="24F97649" w14:textId="77777777" w:rsidR="000923BB" w:rsidRPr="00F955C6" w:rsidRDefault="000923BB" w:rsidP="003A385F">
            <w:pPr>
              <w:jc w:val="center"/>
              <w:rPr>
                <w:rFonts w:cs="Arial"/>
                <w:sz w:val="18"/>
                <w:szCs w:val="18"/>
              </w:rPr>
            </w:pPr>
          </w:p>
        </w:tc>
      </w:tr>
      <w:tr w:rsidR="000923BB" w:rsidRPr="00F955C6" w14:paraId="4F017B58" w14:textId="77777777" w:rsidTr="003C12FD">
        <w:tc>
          <w:tcPr>
            <w:tcW w:w="1622" w:type="dxa"/>
          </w:tcPr>
          <w:p w14:paraId="3880058D" w14:textId="77777777" w:rsidR="000923BB" w:rsidRPr="00F955C6" w:rsidRDefault="000923BB" w:rsidP="003A385F">
            <w:pPr>
              <w:rPr>
                <w:rFonts w:cs="Arial"/>
              </w:rPr>
            </w:pPr>
            <w:r w:rsidRPr="00F955C6">
              <w:rPr>
                <w:rFonts w:cs="Arial"/>
              </w:rPr>
              <w:t>Hospital 271</w:t>
            </w:r>
          </w:p>
        </w:tc>
        <w:tc>
          <w:tcPr>
            <w:tcW w:w="953" w:type="dxa"/>
          </w:tcPr>
          <w:p w14:paraId="2261CD30" w14:textId="77777777" w:rsidR="000923BB" w:rsidRPr="00F955C6" w:rsidRDefault="000923BB" w:rsidP="003A385F">
            <w:pPr>
              <w:rPr>
                <w:rFonts w:cs="Arial"/>
                <w:sz w:val="18"/>
                <w:szCs w:val="18"/>
              </w:rPr>
            </w:pPr>
            <w:r w:rsidRPr="00F955C6">
              <w:rPr>
                <w:rFonts w:cs="Arial"/>
                <w:sz w:val="18"/>
                <w:szCs w:val="18"/>
              </w:rPr>
              <w:t>4.6</w:t>
            </w:r>
          </w:p>
          <w:p w14:paraId="1D09718C" w14:textId="77777777" w:rsidR="000923BB" w:rsidRPr="00F955C6" w:rsidRDefault="000923BB" w:rsidP="003A385F">
            <w:pPr>
              <w:jc w:val="center"/>
              <w:rPr>
                <w:rFonts w:cs="Arial"/>
                <w:sz w:val="18"/>
                <w:szCs w:val="18"/>
              </w:rPr>
            </w:pPr>
          </w:p>
        </w:tc>
        <w:tc>
          <w:tcPr>
            <w:tcW w:w="1270" w:type="dxa"/>
          </w:tcPr>
          <w:p w14:paraId="0E55C9CD" w14:textId="77777777" w:rsidR="000923BB" w:rsidRPr="00F955C6" w:rsidRDefault="000923BB" w:rsidP="003A385F">
            <w:pPr>
              <w:rPr>
                <w:rFonts w:cs="Arial"/>
                <w:sz w:val="18"/>
                <w:szCs w:val="18"/>
              </w:rPr>
            </w:pPr>
            <w:r w:rsidRPr="00F955C6">
              <w:rPr>
                <w:rFonts w:cs="Arial"/>
                <w:sz w:val="18"/>
                <w:szCs w:val="18"/>
              </w:rPr>
              <w:t>1.1</w:t>
            </w:r>
          </w:p>
          <w:p w14:paraId="0C2B6AF5" w14:textId="77777777" w:rsidR="000923BB" w:rsidRPr="00F955C6" w:rsidRDefault="000923BB" w:rsidP="003A385F">
            <w:pPr>
              <w:jc w:val="center"/>
              <w:rPr>
                <w:rFonts w:cs="Arial"/>
                <w:sz w:val="18"/>
                <w:szCs w:val="18"/>
              </w:rPr>
            </w:pPr>
          </w:p>
        </w:tc>
        <w:tc>
          <w:tcPr>
            <w:tcW w:w="1043" w:type="dxa"/>
          </w:tcPr>
          <w:p w14:paraId="78B2F64B" w14:textId="77777777" w:rsidR="000923BB" w:rsidRPr="00F955C6" w:rsidRDefault="000923BB" w:rsidP="003A385F">
            <w:pPr>
              <w:rPr>
                <w:rFonts w:cs="Arial"/>
                <w:sz w:val="18"/>
                <w:szCs w:val="18"/>
              </w:rPr>
            </w:pPr>
            <w:r w:rsidRPr="00F955C6">
              <w:rPr>
                <w:rFonts w:cs="Arial"/>
                <w:sz w:val="18"/>
                <w:szCs w:val="18"/>
              </w:rPr>
              <w:t>5.0</w:t>
            </w:r>
          </w:p>
          <w:p w14:paraId="049F8B6B" w14:textId="77777777" w:rsidR="000923BB" w:rsidRPr="00F955C6" w:rsidRDefault="000923BB" w:rsidP="003A385F">
            <w:pPr>
              <w:jc w:val="center"/>
              <w:rPr>
                <w:rFonts w:cs="Arial"/>
                <w:sz w:val="18"/>
                <w:szCs w:val="18"/>
              </w:rPr>
            </w:pPr>
          </w:p>
        </w:tc>
        <w:tc>
          <w:tcPr>
            <w:tcW w:w="1348" w:type="dxa"/>
          </w:tcPr>
          <w:p w14:paraId="77B43832" w14:textId="77777777" w:rsidR="000923BB" w:rsidRPr="00F955C6" w:rsidRDefault="000923BB" w:rsidP="003A385F">
            <w:pPr>
              <w:rPr>
                <w:rFonts w:cs="Arial"/>
                <w:sz w:val="18"/>
                <w:szCs w:val="18"/>
              </w:rPr>
            </w:pPr>
            <w:r w:rsidRPr="00F955C6">
              <w:rPr>
                <w:rFonts w:cs="Arial"/>
                <w:sz w:val="18"/>
                <w:szCs w:val="18"/>
              </w:rPr>
              <w:t>1.0 - 6.0</w:t>
            </w:r>
          </w:p>
          <w:p w14:paraId="57DCDC6F" w14:textId="77777777" w:rsidR="000923BB" w:rsidRPr="00F955C6" w:rsidRDefault="000923BB" w:rsidP="003A385F">
            <w:pPr>
              <w:jc w:val="center"/>
              <w:rPr>
                <w:rFonts w:cs="Arial"/>
                <w:sz w:val="18"/>
                <w:szCs w:val="18"/>
              </w:rPr>
            </w:pPr>
          </w:p>
        </w:tc>
      </w:tr>
      <w:tr w:rsidR="000923BB" w:rsidRPr="00F955C6" w14:paraId="2C5FE3C9" w14:textId="77777777" w:rsidTr="003C12FD">
        <w:tc>
          <w:tcPr>
            <w:tcW w:w="1622" w:type="dxa"/>
          </w:tcPr>
          <w:p w14:paraId="06E5C3D3" w14:textId="77777777" w:rsidR="000923BB" w:rsidRPr="00F955C6" w:rsidRDefault="000923BB" w:rsidP="003A385F">
            <w:pPr>
              <w:rPr>
                <w:rFonts w:cs="Arial"/>
              </w:rPr>
            </w:pPr>
            <w:r w:rsidRPr="00F955C6">
              <w:rPr>
                <w:rFonts w:cs="Arial"/>
              </w:rPr>
              <w:t>Hospital 415</w:t>
            </w:r>
          </w:p>
        </w:tc>
        <w:tc>
          <w:tcPr>
            <w:tcW w:w="953" w:type="dxa"/>
          </w:tcPr>
          <w:p w14:paraId="37963BDC" w14:textId="77777777" w:rsidR="000923BB" w:rsidRPr="00F955C6" w:rsidRDefault="000923BB" w:rsidP="003A385F">
            <w:pPr>
              <w:rPr>
                <w:rFonts w:cs="Arial"/>
                <w:sz w:val="18"/>
                <w:szCs w:val="18"/>
              </w:rPr>
            </w:pPr>
            <w:r w:rsidRPr="00F955C6">
              <w:rPr>
                <w:rFonts w:cs="Arial"/>
                <w:sz w:val="18"/>
                <w:szCs w:val="18"/>
              </w:rPr>
              <w:t>4.2</w:t>
            </w:r>
          </w:p>
          <w:p w14:paraId="19834855" w14:textId="77777777" w:rsidR="000923BB" w:rsidRPr="00F955C6" w:rsidRDefault="000923BB" w:rsidP="003A385F">
            <w:pPr>
              <w:jc w:val="center"/>
              <w:rPr>
                <w:rFonts w:cs="Arial"/>
                <w:sz w:val="18"/>
                <w:szCs w:val="18"/>
              </w:rPr>
            </w:pPr>
          </w:p>
        </w:tc>
        <w:tc>
          <w:tcPr>
            <w:tcW w:w="1270" w:type="dxa"/>
          </w:tcPr>
          <w:p w14:paraId="5C7A9D73" w14:textId="77777777" w:rsidR="000923BB" w:rsidRPr="00F955C6" w:rsidRDefault="000923BB" w:rsidP="003A385F">
            <w:pPr>
              <w:rPr>
                <w:rFonts w:cs="Arial"/>
                <w:sz w:val="18"/>
                <w:szCs w:val="18"/>
              </w:rPr>
            </w:pPr>
            <w:r w:rsidRPr="00F955C6">
              <w:rPr>
                <w:rFonts w:cs="Arial"/>
                <w:sz w:val="18"/>
                <w:szCs w:val="18"/>
              </w:rPr>
              <w:t>1.0</w:t>
            </w:r>
          </w:p>
          <w:p w14:paraId="66F723EF" w14:textId="77777777" w:rsidR="000923BB" w:rsidRPr="00F955C6" w:rsidRDefault="000923BB" w:rsidP="003A385F">
            <w:pPr>
              <w:jc w:val="center"/>
              <w:rPr>
                <w:rFonts w:cs="Arial"/>
                <w:sz w:val="18"/>
                <w:szCs w:val="18"/>
              </w:rPr>
            </w:pPr>
          </w:p>
        </w:tc>
        <w:tc>
          <w:tcPr>
            <w:tcW w:w="1043" w:type="dxa"/>
          </w:tcPr>
          <w:p w14:paraId="322A7BE4" w14:textId="77777777" w:rsidR="000923BB" w:rsidRPr="00F955C6" w:rsidRDefault="000923BB" w:rsidP="003A385F">
            <w:pPr>
              <w:rPr>
                <w:rFonts w:cs="Arial"/>
                <w:sz w:val="18"/>
                <w:szCs w:val="18"/>
              </w:rPr>
            </w:pPr>
            <w:r w:rsidRPr="00F955C6">
              <w:rPr>
                <w:rFonts w:cs="Arial"/>
                <w:sz w:val="18"/>
                <w:szCs w:val="18"/>
              </w:rPr>
              <w:t>4.0</w:t>
            </w:r>
          </w:p>
          <w:p w14:paraId="22DF9B2B" w14:textId="77777777" w:rsidR="000923BB" w:rsidRPr="00F955C6" w:rsidRDefault="000923BB" w:rsidP="003A385F">
            <w:pPr>
              <w:rPr>
                <w:rFonts w:cs="Arial"/>
                <w:sz w:val="18"/>
                <w:szCs w:val="18"/>
              </w:rPr>
            </w:pPr>
          </w:p>
        </w:tc>
        <w:tc>
          <w:tcPr>
            <w:tcW w:w="1348" w:type="dxa"/>
          </w:tcPr>
          <w:p w14:paraId="77508314" w14:textId="77777777" w:rsidR="000923BB" w:rsidRPr="00F955C6" w:rsidRDefault="000923BB" w:rsidP="003A385F">
            <w:pPr>
              <w:rPr>
                <w:rFonts w:cs="Arial"/>
                <w:sz w:val="18"/>
                <w:szCs w:val="18"/>
              </w:rPr>
            </w:pPr>
            <w:r w:rsidRPr="00F955C6">
              <w:rPr>
                <w:rFonts w:cs="Arial"/>
                <w:sz w:val="18"/>
                <w:szCs w:val="18"/>
              </w:rPr>
              <w:t>1.0 - 6.0</w:t>
            </w:r>
          </w:p>
          <w:p w14:paraId="66C19AE3" w14:textId="77777777" w:rsidR="000923BB" w:rsidRPr="00F955C6" w:rsidRDefault="000923BB" w:rsidP="003A385F">
            <w:pPr>
              <w:jc w:val="center"/>
              <w:rPr>
                <w:rFonts w:cs="Arial"/>
                <w:sz w:val="18"/>
                <w:szCs w:val="18"/>
              </w:rPr>
            </w:pPr>
          </w:p>
        </w:tc>
      </w:tr>
      <w:tr w:rsidR="000923BB" w:rsidRPr="00F955C6" w14:paraId="0E2FD75A" w14:textId="77777777" w:rsidTr="003C12FD">
        <w:tc>
          <w:tcPr>
            <w:tcW w:w="1622" w:type="dxa"/>
          </w:tcPr>
          <w:p w14:paraId="75B27061" w14:textId="77777777" w:rsidR="000923BB" w:rsidRPr="00F955C6" w:rsidRDefault="000923BB" w:rsidP="003A385F">
            <w:pPr>
              <w:rPr>
                <w:rFonts w:cs="Arial"/>
              </w:rPr>
            </w:pPr>
            <w:r w:rsidRPr="00F955C6">
              <w:rPr>
                <w:rFonts w:cs="Arial"/>
              </w:rPr>
              <w:t>Hospital 420</w:t>
            </w:r>
          </w:p>
        </w:tc>
        <w:tc>
          <w:tcPr>
            <w:tcW w:w="953" w:type="dxa"/>
          </w:tcPr>
          <w:p w14:paraId="598E3BB0" w14:textId="77777777" w:rsidR="000923BB" w:rsidRPr="00F955C6" w:rsidRDefault="000923BB" w:rsidP="003A385F">
            <w:pPr>
              <w:rPr>
                <w:rFonts w:cs="Arial"/>
                <w:sz w:val="18"/>
                <w:szCs w:val="18"/>
              </w:rPr>
            </w:pPr>
            <w:r w:rsidRPr="00F955C6">
              <w:rPr>
                <w:rFonts w:cs="Arial"/>
                <w:sz w:val="18"/>
                <w:szCs w:val="18"/>
              </w:rPr>
              <w:t>3.8</w:t>
            </w:r>
          </w:p>
          <w:p w14:paraId="4094B1EB" w14:textId="77777777" w:rsidR="000923BB" w:rsidRPr="00F955C6" w:rsidRDefault="000923BB" w:rsidP="003A385F">
            <w:pPr>
              <w:jc w:val="center"/>
              <w:rPr>
                <w:rFonts w:cs="Arial"/>
                <w:sz w:val="18"/>
                <w:szCs w:val="18"/>
              </w:rPr>
            </w:pPr>
          </w:p>
        </w:tc>
        <w:tc>
          <w:tcPr>
            <w:tcW w:w="1270" w:type="dxa"/>
          </w:tcPr>
          <w:p w14:paraId="237A5C30" w14:textId="77777777" w:rsidR="000923BB" w:rsidRPr="00F955C6" w:rsidRDefault="000923BB" w:rsidP="003A385F">
            <w:pPr>
              <w:rPr>
                <w:rFonts w:cs="Arial"/>
                <w:sz w:val="18"/>
                <w:szCs w:val="18"/>
              </w:rPr>
            </w:pPr>
            <w:r w:rsidRPr="00F955C6">
              <w:rPr>
                <w:rFonts w:cs="Arial"/>
                <w:sz w:val="18"/>
                <w:szCs w:val="18"/>
              </w:rPr>
              <w:t>1.5</w:t>
            </w:r>
          </w:p>
          <w:p w14:paraId="282F72C8" w14:textId="77777777" w:rsidR="000923BB" w:rsidRPr="00F955C6" w:rsidRDefault="000923BB" w:rsidP="003A385F">
            <w:pPr>
              <w:jc w:val="center"/>
              <w:rPr>
                <w:rFonts w:cs="Arial"/>
                <w:sz w:val="18"/>
                <w:szCs w:val="18"/>
              </w:rPr>
            </w:pPr>
          </w:p>
        </w:tc>
        <w:tc>
          <w:tcPr>
            <w:tcW w:w="1043" w:type="dxa"/>
          </w:tcPr>
          <w:p w14:paraId="3F53383A" w14:textId="77777777" w:rsidR="000923BB" w:rsidRPr="00F955C6" w:rsidRDefault="000923BB" w:rsidP="003A385F">
            <w:pPr>
              <w:rPr>
                <w:rFonts w:cs="Arial"/>
                <w:sz w:val="18"/>
                <w:szCs w:val="18"/>
              </w:rPr>
            </w:pPr>
            <w:r w:rsidRPr="00F955C6">
              <w:rPr>
                <w:rFonts w:cs="Arial"/>
                <w:sz w:val="18"/>
                <w:szCs w:val="18"/>
              </w:rPr>
              <w:t>3.0</w:t>
            </w:r>
          </w:p>
          <w:p w14:paraId="76A0CD2D" w14:textId="77777777" w:rsidR="000923BB" w:rsidRPr="00F955C6" w:rsidRDefault="000923BB" w:rsidP="003A385F">
            <w:pPr>
              <w:jc w:val="center"/>
              <w:rPr>
                <w:rFonts w:cs="Arial"/>
                <w:sz w:val="18"/>
                <w:szCs w:val="18"/>
              </w:rPr>
            </w:pPr>
          </w:p>
        </w:tc>
        <w:tc>
          <w:tcPr>
            <w:tcW w:w="1348" w:type="dxa"/>
          </w:tcPr>
          <w:p w14:paraId="11EC3BD3" w14:textId="77777777" w:rsidR="000923BB" w:rsidRPr="00F955C6" w:rsidRDefault="000923BB" w:rsidP="003A385F">
            <w:pPr>
              <w:rPr>
                <w:rFonts w:cs="Arial"/>
                <w:sz w:val="18"/>
                <w:szCs w:val="18"/>
              </w:rPr>
            </w:pPr>
            <w:r w:rsidRPr="00F955C6">
              <w:rPr>
                <w:rFonts w:cs="Arial"/>
                <w:sz w:val="18"/>
                <w:szCs w:val="18"/>
              </w:rPr>
              <w:t>1.0 - 6.0</w:t>
            </w:r>
          </w:p>
          <w:p w14:paraId="2EBFC686" w14:textId="77777777" w:rsidR="000923BB" w:rsidRPr="00F955C6" w:rsidRDefault="000923BB" w:rsidP="003A385F">
            <w:pPr>
              <w:jc w:val="center"/>
              <w:rPr>
                <w:rFonts w:cs="Arial"/>
                <w:sz w:val="18"/>
                <w:szCs w:val="18"/>
              </w:rPr>
            </w:pPr>
          </w:p>
        </w:tc>
      </w:tr>
      <w:tr w:rsidR="000923BB" w:rsidRPr="00F955C6" w14:paraId="1458D656" w14:textId="77777777" w:rsidTr="003C12FD">
        <w:tc>
          <w:tcPr>
            <w:tcW w:w="1622" w:type="dxa"/>
          </w:tcPr>
          <w:p w14:paraId="5C6554E9" w14:textId="77777777" w:rsidR="000923BB" w:rsidRPr="00F955C6" w:rsidRDefault="000923BB" w:rsidP="003A385F">
            <w:pPr>
              <w:rPr>
                <w:rFonts w:cs="Arial"/>
              </w:rPr>
            </w:pPr>
            <w:r w:rsidRPr="00F955C6">
              <w:rPr>
                <w:rFonts w:cs="Arial"/>
              </w:rPr>
              <w:t>Hospital 439</w:t>
            </w:r>
          </w:p>
        </w:tc>
        <w:tc>
          <w:tcPr>
            <w:tcW w:w="953" w:type="dxa"/>
          </w:tcPr>
          <w:p w14:paraId="367757D8" w14:textId="77777777" w:rsidR="000923BB" w:rsidRPr="00F955C6" w:rsidRDefault="000923BB" w:rsidP="003A385F">
            <w:pPr>
              <w:rPr>
                <w:rFonts w:cs="Arial"/>
                <w:sz w:val="18"/>
                <w:szCs w:val="18"/>
              </w:rPr>
            </w:pPr>
            <w:r w:rsidRPr="00F955C6">
              <w:rPr>
                <w:rFonts w:cs="Arial"/>
                <w:sz w:val="18"/>
                <w:szCs w:val="18"/>
              </w:rPr>
              <w:t>4.6</w:t>
            </w:r>
          </w:p>
          <w:p w14:paraId="1B71D436" w14:textId="77777777" w:rsidR="000923BB" w:rsidRPr="00F955C6" w:rsidRDefault="000923BB" w:rsidP="003A385F">
            <w:pPr>
              <w:jc w:val="center"/>
              <w:rPr>
                <w:rFonts w:cs="Arial"/>
                <w:sz w:val="18"/>
                <w:szCs w:val="18"/>
              </w:rPr>
            </w:pPr>
          </w:p>
        </w:tc>
        <w:tc>
          <w:tcPr>
            <w:tcW w:w="1270" w:type="dxa"/>
          </w:tcPr>
          <w:p w14:paraId="78E6CDD1" w14:textId="77777777" w:rsidR="000923BB" w:rsidRPr="00F955C6" w:rsidRDefault="000923BB" w:rsidP="003A385F">
            <w:pPr>
              <w:rPr>
                <w:rFonts w:cs="Arial"/>
                <w:sz w:val="18"/>
                <w:szCs w:val="18"/>
              </w:rPr>
            </w:pPr>
            <w:r w:rsidRPr="00F955C6">
              <w:rPr>
                <w:rFonts w:cs="Arial"/>
                <w:sz w:val="18"/>
                <w:szCs w:val="18"/>
              </w:rPr>
              <w:t>1.1</w:t>
            </w:r>
          </w:p>
          <w:p w14:paraId="4972BF97" w14:textId="77777777" w:rsidR="000923BB" w:rsidRPr="00F955C6" w:rsidRDefault="000923BB" w:rsidP="003A385F">
            <w:pPr>
              <w:jc w:val="center"/>
              <w:rPr>
                <w:rFonts w:cs="Arial"/>
                <w:sz w:val="18"/>
                <w:szCs w:val="18"/>
              </w:rPr>
            </w:pPr>
          </w:p>
        </w:tc>
        <w:tc>
          <w:tcPr>
            <w:tcW w:w="1043" w:type="dxa"/>
          </w:tcPr>
          <w:p w14:paraId="522CD6A7" w14:textId="77777777" w:rsidR="000923BB" w:rsidRPr="00F955C6" w:rsidRDefault="000923BB" w:rsidP="003A385F">
            <w:pPr>
              <w:rPr>
                <w:rFonts w:cs="Arial"/>
                <w:sz w:val="18"/>
                <w:szCs w:val="18"/>
              </w:rPr>
            </w:pPr>
            <w:r w:rsidRPr="00F955C6">
              <w:rPr>
                <w:rFonts w:cs="Arial"/>
                <w:sz w:val="18"/>
                <w:szCs w:val="18"/>
              </w:rPr>
              <w:t>5.0</w:t>
            </w:r>
          </w:p>
          <w:p w14:paraId="1D33937F" w14:textId="77777777" w:rsidR="000923BB" w:rsidRPr="00F955C6" w:rsidRDefault="000923BB" w:rsidP="003A385F">
            <w:pPr>
              <w:jc w:val="center"/>
              <w:rPr>
                <w:rFonts w:cs="Arial"/>
                <w:sz w:val="18"/>
                <w:szCs w:val="18"/>
              </w:rPr>
            </w:pPr>
          </w:p>
        </w:tc>
        <w:tc>
          <w:tcPr>
            <w:tcW w:w="1348" w:type="dxa"/>
          </w:tcPr>
          <w:p w14:paraId="5EAE25E8" w14:textId="77777777" w:rsidR="000923BB" w:rsidRPr="00F955C6" w:rsidRDefault="000923BB" w:rsidP="003A385F">
            <w:pPr>
              <w:rPr>
                <w:rFonts w:cs="Arial"/>
                <w:sz w:val="18"/>
                <w:szCs w:val="18"/>
              </w:rPr>
            </w:pPr>
            <w:r w:rsidRPr="00F955C6">
              <w:rPr>
                <w:rFonts w:cs="Arial"/>
                <w:sz w:val="18"/>
                <w:szCs w:val="18"/>
              </w:rPr>
              <w:t>1.0 - 6.0</w:t>
            </w:r>
          </w:p>
          <w:p w14:paraId="59F12D04" w14:textId="77777777" w:rsidR="000923BB" w:rsidRPr="00F955C6" w:rsidRDefault="000923BB" w:rsidP="003A385F">
            <w:pPr>
              <w:jc w:val="center"/>
              <w:rPr>
                <w:rFonts w:cs="Arial"/>
                <w:sz w:val="18"/>
                <w:szCs w:val="18"/>
              </w:rPr>
            </w:pPr>
          </w:p>
        </w:tc>
      </w:tr>
      <w:tr w:rsidR="000923BB" w:rsidRPr="00F955C6" w14:paraId="5F192AD0" w14:textId="77777777" w:rsidTr="003C12FD">
        <w:tc>
          <w:tcPr>
            <w:tcW w:w="1622" w:type="dxa"/>
          </w:tcPr>
          <w:p w14:paraId="2F235997" w14:textId="77777777" w:rsidR="000923BB" w:rsidRPr="00F955C6" w:rsidRDefault="000923BB" w:rsidP="003A385F">
            <w:pPr>
              <w:rPr>
                <w:rFonts w:cs="Arial"/>
              </w:rPr>
            </w:pPr>
            <w:r w:rsidRPr="00F955C6">
              <w:rPr>
                <w:rFonts w:cs="Arial"/>
              </w:rPr>
              <w:t>Hospital 441</w:t>
            </w:r>
          </w:p>
        </w:tc>
        <w:tc>
          <w:tcPr>
            <w:tcW w:w="953" w:type="dxa"/>
          </w:tcPr>
          <w:p w14:paraId="7A30C01B" w14:textId="77777777" w:rsidR="000923BB" w:rsidRPr="00F955C6" w:rsidRDefault="000923BB" w:rsidP="003A385F">
            <w:pPr>
              <w:rPr>
                <w:rFonts w:cs="Arial"/>
                <w:sz w:val="18"/>
                <w:szCs w:val="18"/>
              </w:rPr>
            </w:pPr>
            <w:r w:rsidRPr="00F955C6">
              <w:rPr>
                <w:rFonts w:cs="Arial"/>
                <w:sz w:val="18"/>
                <w:szCs w:val="18"/>
              </w:rPr>
              <w:t>5.3</w:t>
            </w:r>
          </w:p>
          <w:p w14:paraId="3B46CC3C" w14:textId="77777777" w:rsidR="000923BB" w:rsidRPr="00F955C6" w:rsidRDefault="000923BB" w:rsidP="003A385F">
            <w:pPr>
              <w:jc w:val="center"/>
              <w:rPr>
                <w:rFonts w:cs="Arial"/>
                <w:sz w:val="18"/>
                <w:szCs w:val="18"/>
              </w:rPr>
            </w:pPr>
          </w:p>
        </w:tc>
        <w:tc>
          <w:tcPr>
            <w:tcW w:w="1270" w:type="dxa"/>
          </w:tcPr>
          <w:p w14:paraId="26160087" w14:textId="77777777" w:rsidR="000923BB" w:rsidRPr="00F955C6" w:rsidRDefault="000923BB" w:rsidP="003A385F">
            <w:pPr>
              <w:rPr>
                <w:rFonts w:cs="Arial"/>
                <w:sz w:val="18"/>
                <w:szCs w:val="18"/>
              </w:rPr>
            </w:pPr>
            <w:r w:rsidRPr="00F955C6">
              <w:rPr>
                <w:rFonts w:cs="Arial"/>
                <w:sz w:val="18"/>
                <w:szCs w:val="18"/>
              </w:rPr>
              <w:t>0.9</w:t>
            </w:r>
          </w:p>
          <w:p w14:paraId="351EEFA5" w14:textId="77777777" w:rsidR="000923BB" w:rsidRPr="00F955C6" w:rsidRDefault="000923BB" w:rsidP="003A385F">
            <w:pPr>
              <w:jc w:val="center"/>
              <w:rPr>
                <w:rFonts w:cs="Arial"/>
                <w:sz w:val="18"/>
                <w:szCs w:val="18"/>
              </w:rPr>
            </w:pPr>
          </w:p>
        </w:tc>
        <w:tc>
          <w:tcPr>
            <w:tcW w:w="1043" w:type="dxa"/>
          </w:tcPr>
          <w:p w14:paraId="7EDC540B" w14:textId="77777777" w:rsidR="000923BB" w:rsidRPr="00F955C6" w:rsidRDefault="000923BB" w:rsidP="003A385F">
            <w:pPr>
              <w:rPr>
                <w:rFonts w:cs="Arial"/>
                <w:sz w:val="18"/>
                <w:szCs w:val="18"/>
              </w:rPr>
            </w:pPr>
            <w:r w:rsidRPr="00F955C6">
              <w:rPr>
                <w:rFonts w:cs="Arial"/>
                <w:sz w:val="18"/>
                <w:szCs w:val="18"/>
              </w:rPr>
              <w:t>6.0</w:t>
            </w:r>
          </w:p>
          <w:p w14:paraId="659138A8" w14:textId="77777777" w:rsidR="000923BB" w:rsidRPr="00F955C6" w:rsidRDefault="000923BB" w:rsidP="003A385F">
            <w:pPr>
              <w:jc w:val="center"/>
              <w:rPr>
                <w:rFonts w:cs="Arial"/>
                <w:sz w:val="18"/>
                <w:szCs w:val="18"/>
              </w:rPr>
            </w:pPr>
          </w:p>
        </w:tc>
        <w:tc>
          <w:tcPr>
            <w:tcW w:w="1348" w:type="dxa"/>
          </w:tcPr>
          <w:p w14:paraId="0F377F3E" w14:textId="77777777" w:rsidR="000923BB" w:rsidRPr="00F955C6" w:rsidRDefault="000923BB" w:rsidP="003A385F">
            <w:pPr>
              <w:rPr>
                <w:rFonts w:cs="Arial"/>
                <w:sz w:val="18"/>
                <w:szCs w:val="18"/>
              </w:rPr>
            </w:pPr>
            <w:r w:rsidRPr="00F955C6">
              <w:rPr>
                <w:rFonts w:cs="Arial"/>
                <w:sz w:val="18"/>
                <w:szCs w:val="18"/>
              </w:rPr>
              <w:t>2.0 - 6.0</w:t>
            </w:r>
          </w:p>
        </w:tc>
      </w:tr>
      <w:tr w:rsidR="000923BB" w:rsidRPr="00F955C6" w14:paraId="0D751F6C" w14:textId="77777777" w:rsidTr="003C12FD">
        <w:tc>
          <w:tcPr>
            <w:tcW w:w="1622" w:type="dxa"/>
          </w:tcPr>
          <w:p w14:paraId="638C5DBA" w14:textId="77777777" w:rsidR="000923BB" w:rsidRPr="00F955C6" w:rsidRDefault="000923BB" w:rsidP="003A385F">
            <w:pPr>
              <w:rPr>
                <w:rFonts w:cs="Arial"/>
              </w:rPr>
            </w:pPr>
            <w:r w:rsidRPr="00F955C6">
              <w:rPr>
                <w:rFonts w:cs="Arial"/>
              </w:rPr>
              <w:t>Hospital 452</w:t>
            </w:r>
          </w:p>
        </w:tc>
        <w:tc>
          <w:tcPr>
            <w:tcW w:w="953" w:type="dxa"/>
          </w:tcPr>
          <w:p w14:paraId="1AF4A58E" w14:textId="77777777" w:rsidR="000923BB" w:rsidRPr="00F955C6" w:rsidRDefault="000923BB" w:rsidP="003A385F">
            <w:pPr>
              <w:rPr>
                <w:rFonts w:cs="Arial"/>
                <w:sz w:val="18"/>
                <w:szCs w:val="18"/>
              </w:rPr>
            </w:pPr>
            <w:r w:rsidRPr="00F955C6">
              <w:rPr>
                <w:rFonts w:cs="Arial"/>
                <w:sz w:val="18"/>
                <w:szCs w:val="18"/>
              </w:rPr>
              <w:t>4.0</w:t>
            </w:r>
          </w:p>
          <w:p w14:paraId="367FEB2A" w14:textId="77777777" w:rsidR="000923BB" w:rsidRPr="00F955C6" w:rsidRDefault="000923BB" w:rsidP="003A385F">
            <w:pPr>
              <w:jc w:val="center"/>
              <w:rPr>
                <w:rFonts w:cs="Arial"/>
                <w:sz w:val="18"/>
                <w:szCs w:val="18"/>
              </w:rPr>
            </w:pPr>
          </w:p>
        </w:tc>
        <w:tc>
          <w:tcPr>
            <w:tcW w:w="1270" w:type="dxa"/>
          </w:tcPr>
          <w:p w14:paraId="646D7509" w14:textId="77777777" w:rsidR="000923BB" w:rsidRPr="00F955C6" w:rsidRDefault="000923BB" w:rsidP="003A385F">
            <w:pPr>
              <w:rPr>
                <w:rFonts w:cs="Arial"/>
                <w:sz w:val="18"/>
                <w:szCs w:val="18"/>
              </w:rPr>
            </w:pPr>
            <w:r w:rsidRPr="00F955C6">
              <w:rPr>
                <w:rFonts w:cs="Arial"/>
                <w:sz w:val="18"/>
                <w:szCs w:val="18"/>
              </w:rPr>
              <w:t>1.3</w:t>
            </w:r>
          </w:p>
          <w:p w14:paraId="562FBEBF" w14:textId="77777777" w:rsidR="000923BB" w:rsidRPr="00F955C6" w:rsidRDefault="000923BB" w:rsidP="003A385F">
            <w:pPr>
              <w:jc w:val="center"/>
              <w:rPr>
                <w:rFonts w:cs="Arial"/>
                <w:sz w:val="18"/>
                <w:szCs w:val="18"/>
              </w:rPr>
            </w:pPr>
          </w:p>
        </w:tc>
        <w:tc>
          <w:tcPr>
            <w:tcW w:w="1043" w:type="dxa"/>
          </w:tcPr>
          <w:p w14:paraId="00B5957C" w14:textId="77777777" w:rsidR="000923BB" w:rsidRPr="00F955C6" w:rsidRDefault="000923BB" w:rsidP="003A385F">
            <w:pPr>
              <w:rPr>
                <w:rFonts w:cs="Arial"/>
                <w:sz w:val="18"/>
                <w:szCs w:val="18"/>
              </w:rPr>
            </w:pPr>
            <w:r w:rsidRPr="00F955C6">
              <w:rPr>
                <w:rFonts w:cs="Arial"/>
                <w:sz w:val="18"/>
                <w:szCs w:val="18"/>
              </w:rPr>
              <w:t>4.0</w:t>
            </w:r>
          </w:p>
          <w:p w14:paraId="51345F55" w14:textId="77777777" w:rsidR="000923BB" w:rsidRPr="00F955C6" w:rsidRDefault="000923BB" w:rsidP="003A385F">
            <w:pPr>
              <w:jc w:val="center"/>
              <w:rPr>
                <w:rFonts w:cs="Arial"/>
                <w:sz w:val="18"/>
                <w:szCs w:val="18"/>
              </w:rPr>
            </w:pPr>
          </w:p>
        </w:tc>
        <w:tc>
          <w:tcPr>
            <w:tcW w:w="1348" w:type="dxa"/>
          </w:tcPr>
          <w:p w14:paraId="613A1CF0" w14:textId="77777777" w:rsidR="000923BB" w:rsidRPr="00F955C6" w:rsidRDefault="000923BB" w:rsidP="003A385F">
            <w:pPr>
              <w:rPr>
                <w:rFonts w:cs="Arial"/>
                <w:sz w:val="18"/>
                <w:szCs w:val="18"/>
              </w:rPr>
            </w:pPr>
            <w:r w:rsidRPr="00F955C6">
              <w:rPr>
                <w:rFonts w:cs="Arial"/>
                <w:sz w:val="18"/>
                <w:szCs w:val="18"/>
              </w:rPr>
              <w:t>1.0 -6.0</w:t>
            </w:r>
          </w:p>
        </w:tc>
      </w:tr>
    </w:tbl>
    <w:p w14:paraId="61432BDA" w14:textId="77777777" w:rsidR="000923BB" w:rsidRPr="00FB3AC0" w:rsidRDefault="000923BB" w:rsidP="000923BB">
      <w:pPr>
        <w:rPr>
          <w:rFonts w:cs="Arial"/>
          <w:b/>
          <w:sz w:val="28"/>
          <w:szCs w:val="28"/>
        </w:rPr>
      </w:pPr>
    </w:p>
    <w:p w14:paraId="68F63E2F" w14:textId="77777777" w:rsidR="004932C5" w:rsidRDefault="004932C5" w:rsidP="000923BB">
      <w:pPr>
        <w:rPr>
          <w:rFonts w:cs="Arial"/>
          <w:b/>
          <w:sz w:val="28"/>
          <w:szCs w:val="28"/>
        </w:rPr>
      </w:pPr>
    </w:p>
    <w:p w14:paraId="49BC71CE" w14:textId="77777777" w:rsidR="004932C5" w:rsidRDefault="004932C5" w:rsidP="000923BB">
      <w:pPr>
        <w:rPr>
          <w:rFonts w:cs="Arial"/>
          <w:b/>
          <w:sz w:val="28"/>
          <w:szCs w:val="28"/>
        </w:rPr>
      </w:pPr>
    </w:p>
    <w:p w14:paraId="5D66D8C8" w14:textId="77777777" w:rsidR="004932C5" w:rsidRDefault="004932C5" w:rsidP="000923BB">
      <w:pPr>
        <w:rPr>
          <w:rFonts w:cs="Arial"/>
          <w:b/>
          <w:sz w:val="28"/>
          <w:szCs w:val="28"/>
        </w:rPr>
      </w:pPr>
    </w:p>
    <w:p w14:paraId="4D974E8A" w14:textId="77777777" w:rsidR="004932C5" w:rsidRDefault="004932C5" w:rsidP="000923BB">
      <w:pPr>
        <w:rPr>
          <w:rFonts w:cs="Arial"/>
          <w:b/>
          <w:sz w:val="28"/>
          <w:szCs w:val="28"/>
        </w:rPr>
      </w:pPr>
    </w:p>
    <w:p w14:paraId="40ACF4D3" w14:textId="77777777" w:rsidR="004932C5" w:rsidRDefault="004932C5" w:rsidP="000923BB">
      <w:pPr>
        <w:rPr>
          <w:rFonts w:cs="Arial"/>
          <w:b/>
          <w:sz w:val="28"/>
          <w:szCs w:val="28"/>
        </w:rPr>
      </w:pPr>
    </w:p>
    <w:p w14:paraId="463923AF" w14:textId="77777777" w:rsidR="004932C5" w:rsidRDefault="004932C5" w:rsidP="000923BB">
      <w:pPr>
        <w:rPr>
          <w:rFonts w:cs="Arial"/>
          <w:b/>
          <w:sz w:val="28"/>
          <w:szCs w:val="28"/>
        </w:rPr>
      </w:pPr>
    </w:p>
    <w:p w14:paraId="191AD308" w14:textId="77777777" w:rsidR="000923BB" w:rsidRPr="00FB3AC0" w:rsidRDefault="000923BB" w:rsidP="000923BB">
      <w:pPr>
        <w:rPr>
          <w:rFonts w:cs="Arial"/>
          <w:b/>
          <w:sz w:val="28"/>
          <w:szCs w:val="28"/>
        </w:rPr>
      </w:pPr>
      <w:r w:rsidRPr="00FB3AC0">
        <w:rPr>
          <w:rFonts w:cs="Arial"/>
          <w:b/>
          <w:sz w:val="28"/>
          <w:szCs w:val="28"/>
        </w:rPr>
        <w:t xml:space="preserve">Criterion based review: initial management phase </w:t>
      </w:r>
    </w:p>
    <w:p w14:paraId="351EA74F" w14:textId="77777777" w:rsidR="000923BB" w:rsidRPr="00FB3AC0" w:rsidRDefault="000923BB" w:rsidP="000923BB">
      <w:pPr>
        <w:rPr>
          <w:rFonts w:cs="Arial"/>
          <w:b/>
          <w:sz w:val="28"/>
          <w:szCs w:val="28"/>
        </w:rPr>
      </w:pPr>
    </w:p>
    <w:p w14:paraId="74054D86" w14:textId="77777777" w:rsidR="000923BB" w:rsidRPr="00FB3AC0" w:rsidRDefault="000923BB" w:rsidP="000923BB">
      <w:pPr>
        <w:tabs>
          <w:tab w:val="center" w:pos="3312"/>
        </w:tabs>
        <w:autoSpaceDE w:val="0"/>
        <w:autoSpaceDN w:val="0"/>
        <w:adjustRightInd w:val="0"/>
        <w:rPr>
          <w:rFonts w:cs="Arial"/>
          <w:b/>
          <w:bCs/>
          <w:color w:val="000000"/>
          <w:sz w:val="18"/>
          <w:szCs w:val="18"/>
          <w:lang w:val="en-US"/>
        </w:rPr>
      </w:pPr>
      <w:r w:rsidRPr="00FB3AC0">
        <w:rPr>
          <w:rFonts w:cs="Arial"/>
          <w:b/>
          <w:bCs/>
          <w:color w:val="000000"/>
          <w:sz w:val="18"/>
          <w:szCs w:val="18"/>
          <w:lang w:val="en-US"/>
        </w:rPr>
        <w:t>Were antibiotics prescribed?</w:t>
      </w:r>
    </w:p>
    <w:p w14:paraId="0A7C06FE" w14:textId="77777777" w:rsidR="000923BB" w:rsidRPr="00FB3AC0" w:rsidRDefault="000923BB" w:rsidP="000923BB">
      <w:pPr>
        <w:tabs>
          <w:tab w:val="center" w:pos="3312"/>
        </w:tabs>
        <w:autoSpaceDE w:val="0"/>
        <w:autoSpaceDN w:val="0"/>
        <w:adjustRightInd w:val="0"/>
        <w:rPr>
          <w:rFonts w:cs="Arial"/>
          <w:b/>
          <w:bCs/>
          <w:color w:val="000000"/>
          <w:sz w:val="18"/>
          <w:szCs w:val="18"/>
          <w:lang w:val="en-US"/>
        </w:rPr>
      </w:pPr>
    </w:p>
    <w:tbl>
      <w:tblPr>
        <w:tblW w:w="0" w:type="auto"/>
        <w:tblInd w:w="93" w:type="dxa"/>
        <w:tblLayout w:type="fixed"/>
        <w:tblCellMar>
          <w:left w:w="93" w:type="dxa"/>
          <w:right w:w="93" w:type="dxa"/>
        </w:tblCellMar>
        <w:tblLook w:val="0000" w:firstRow="0" w:lastRow="0" w:firstColumn="0" w:lastColumn="0" w:noHBand="0" w:noVBand="0"/>
      </w:tblPr>
      <w:tblGrid>
        <w:gridCol w:w="206"/>
        <w:gridCol w:w="1291"/>
        <w:gridCol w:w="1123"/>
        <w:gridCol w:w="1080"/>
      </w:tblGrid>
      <w:tr w:rsidR="000923BB" w:rsidRPr="00FB3AC0" w14:paraId="17F07C77" w14:textId="77777777" w:rsidTr="003A385F">
        <w:trPr>
          <w:trHeight w:val="504"/>
        </w:trPr>
        <w:tc>
          <w:tcPr>
            <w:tcW w:w="1497"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5324F4BF"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4BCE1F40"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n</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3D91A840"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Percent</w:t>
            </w:r>
          </w:p>
        </w:tc>
      </w:tr>
      <w:tr w:rsidR="000923BB" w:rsidRPr="00FB3AC0" w14:paraId="5B1189DE" w14:textId="77777777" w:rsidTr="003A385F">
        <w:trPr>
          <w:trHeight w:val="273"/>
        </w:trPr>
        <w:tc>
          <w:tcPr>
            <w:tcW w:w="206" w:type="dxa"/>
            <w:tcBorders>
              <w:top w:val="single" w:sz="12" w:space="0" w:color="000000"/>
              <w:left w:val="single" w:sz="12" w:space="0" w:color="000000"/>
              <w:bottom w:val="nil"/>
              <w:right w:val="nil"/>
            </w:tcBorders>
            <w:shd w:val="clear" w:color="000000" w:fill="FFFFFF"/>
          </w:tcPr>
          <w:p w14:paraId="7FE39334" w14:textId="77777777" w:rsidR="000923BB" w:rsidRPr="00FB3AC0" w:rsidRDefault="000923BB" w:rsidP="003A385F">
            <w:pPr>
              <w:autoSpaceDE w:val="0"/>
              <w:autoSpaceDN w:val="0"/>
              <w:adjustRightInd w:val="0"/>
              <w:rPr>
                <w:rFonts w:cs="Arial"/>
                <w:color w:val="000000"/>
                <w:sz w:val="18"/>
                <w:szCs w:val="18"/>
                <w:lang w:val="en-US"/>
              </w:rPr>
            </w:pPr>
          </w:p>
        </w:tc>
        <w:tc>
          <w:tcPr>
            <w:tcW w:w="1291" w:type="dxa"/>
            <w:tcBorders>
              <w:top w:val="single" w:sz="12" w:space="0" w:color="000000"/>
              <w:left w:val="nil"/>
              <w:bottom w:val="nil"/>
              <w:right w:val="single" w:sz="12" w:space="0" w:color="000000"/>
            </w:tcBorders>
            <w:shd w:val="clear" w:color="000000" w:fill="FFFFFF"/>
          </w:tcPr>
          <w:p w14:paraId="58933803"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no</w:t>
            </w:r>
          </w:p>
        </w:tc>
        <w:tc>
          <w:tcPr>
            <w:tcW w:w="1123" w:type="dxa"/>
            <w:tcBorders>
              <w:top w:val="single" w:sz="12" w:space="0" w:color="000000"/>
              <w:left w:val="single" w:sz="12" w:space="0" w:color="000000"/>
              <w:bottom w:val="nil"/>
              <w:right w:val="single" w:sz="2" w:space="0" w:color="000000"/>
            </w:tcBorders>
            <w:shd w:val="clear" w:color="000000" w:fill="FFFFFF"/>
          </w:tcPr>
          <w:p w14:paraId="22D8AA53" w14:textId="77777777" w:rsidR="000923BB" w:rsidRPr="00FB3AC0" w:rsidRDefault="000923BB" w:rsidP="003A385F">
            <w:pPr>
              <w:rPr>
                <w:rFonts w:cs="Arial"/>
                <w:sz w:val="20"/>
                <w:szCs w:val="20"/>
              </w:rPr>
            </w:pPr>
            <w:r w:rsidRPr="00FB3AC0">
              <w:rPr>
                <w:rFonts w:cs="Arial"/>
                <w:sz w:val="20"/>
                <w:szCs w:val="20"/>
              </w:rPr>
              <w:t>5</w:t>
            </w:r>
          </w:p>
        </w:tc>
        <w:tc>
          <w:tcPr>
            <w:tcW w:w="1080" w:type="dxa"/>
            <w:tcBorders>
              <w:top w:val="single" w:sz="12" w:space="0" w:color="000000"/>
              <w:left w:val="single" w:sz="2" w:space="0" w:color="000000"/>
              <w:bottom w:val="nil"/>
              <w:right w:val="single" w:sz="2" w:space="0" w:color="000000"/>
            </w:tcBorders>
            <w:shd w:val="clear" w:color="000000" w:fill="FFFFFF"/>
          </w:tcPr>
          <w:p w14:paraId="6D0B06D2" w14:textId="77777777" w:rsidR="000923BB" w:rsidRPr="00FB3AC0" w:rsidRDefault="000923BB" w:rsidP="003A385F">
            <w:pPr>
              <w:rPr>
                <w:rFonts w:cs="Arial"/>
                <w:sz w:val="20"/>
                <w:szCs w:val="20"/>
              </w:rPr>
            </w:pPr>
            <w:r w:rsidRPr="00FB3AC0">
              <w:rPr>
                <w:rFonts w:cs="Arial"/>
                <w:sz w:val="20"/>
                <w:szCs w:val="20"/>
              </w:rPr>
              <w:t>13.9</w:t>
            </w:r>
          </w:p>
        </w:tc>
      </w:tr>
      <w:tr w:rsidR="000923BB" w:rsidRPr="00FB3AC0" w14:paraId="48A780A2" w14:textId="77777777" w:rsidTr="003A385F">
        <w:trPr>
          <w:trHeight w:val="273"/>
        </w:trPr>
        <w:tc>
          <w:tcPr>
            <w:tcW w:w="206" w:type="dxa"/>
            <w:tcBorders>
              <w:top w:val="nil"/>
              <w:left w:val="single" w:sz="12" w:space="0" w:color="000000"/>
              <w:bottom w:val="nil"/>
              <w:right w:val="nil"/>
            </w:tcBorders>
            <w:shd w:val="clear" w:color="000000" w:fill="FFFFFF"/>
          </w:tcPr>
          <w:p w14:paraId="4AE2F2EC"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291" w:type="dxa"/>
            <w:tcBorders>
              <w:top w:val="nil"/>
              <w:left w:val="nil"/>
              <w:bottom w:val="nil"/>
              <w:right w:val="single" w:sz="12" w:space="0" w:color="000000"/>
            </w:tcBorders>
            <w:shd w:val="clear" w:color="000000" w:fill="FFFFFF"/>
          </w:tcPr>
          <w:p w14:paraId="7F8E2970"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yes</w:t>
            </w:r>
          </w:p>
        </w:tc>
        <w:tc>
          <w:tcPr>
            <w:tcW w:w="1123" w:type="dxa"/>
            <w:tcBorders>
              <w:top w:val="nil"/>
              <w:left w:val="single" w:sz="12" w:space="0" w:color="000000"/>
              <w:bottom w:val="nil"/>
              <w:right w:val="single" w:sz="2" w:space="0" w:color="000000"/>
            </w:tcBorders>
            <w:shd w:val="clear" w:color="000000" w:fill="FFFFFF"/>
          </w:tcPr>
          <w:p w14:paraId="0BD8A880" w14:textId="77777777" w:rsidR="000923BB" w:rsidRPr="00FB3AC0" w:rsidRDefault="000923BB" w:rsidP="003A385F">
            <w:pPr>
              <w:rPr>
                <w:rFonts w:cs="Arial"/>
                <w:sz w:val="20"/>
                <w:szCs w:val="20"/>
              </w:rPr>
            </w:pPr>
            <w:r w:rsidRPr="00FB3AC0">
              <w:rPr>
                <w:rFonts w:cs="Arial"/>
                <w:sz w:val="20"/>
                <w:szCs w:val="20"/>
              </w:rPr>
              <w:t>31</w:t>
            </w:r>
          </w:p>
        </w:tc>
        <w:tc>
          <w:tcPr>
            <w:tcW w:w="1080" w:type="dxa"/>
            <w:tcBorders>
              <w:top w:val="nil"/>
              <w:left w:val="single" w:sz="2" w:space="0" w:color="000000"/>
              <w:bottom w:val="nil"/>
              <w:right w:val="single" w:sz="2" w:space="0" w:color="000000"/>
            </w:tcBorders>
            <w:shd w:val="clear" w:color="000000" w:fill="FFFFFF"/>
          </w:tcPr>
          <w:p w14:paraId="11C4DEE4" w14:textId="77777777" w:rsidR="000923BB" w:rsidRPr="00FB3AC0" w:rsidRDefault="000923BB" w:rsidP="003A385F">
            <w:pPr>
              <w:rPr>
                <w:rFonts w:cs="Arial"/>
                <w:sz w:val="20"/>
                <w:szCs w:val="20"/>
              </w:rPr>
            </w:pPr>
            <w:r w:rsidRPr="00FB3AC0">
              <w:rPr>
                <w:rFonts w:cs="Arial"/>
                <w:sz w:val="20"/>
                <w:szCs w:val="20"/>
              </w:rPr>
              <w:t>86.1</w:t>
            </w:r>
          </w:p>
        </w:tc>
      </w:tr>
      <w:tr w:rsidR="000923BB" w:rsidRPr="00FB3AC0" w14:paraId="050BEACE" w14:textId="77777777" w:rsidTr="003A385F">
        <w:trPr>
          <w:trHeight w:val="273"/>
        </w:trPr>
        <w:tc>
          <w:tcPr>
            <w:tcW w:w="206" w:type="dxa"/>
            <w:tcBorders>
              <w:top w:val="nil"/>
              <w:left w:val="single" w:sz="12" w:space="0" w:color="000000"/>
              <w:bottom w:val="single" w:sz="12" w:space="0" w:color="000000"/>
              <w:right w:val="nil"/>
            </w:tcBorders>
            <w:shd w:val="clear" w:color="000000" w:fill="FFFFFF"/>
          </w:tcPr>
          <w:p w14:paraId="5CFE9C58"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291" w:type="dxa"/>
            <w:tcBorders>
              <w:top w:val="nil"/>
              <w:left w:val="nil"/>
              <w:bottom w:val="single" w:sz="12" w:space="0" w:color="000000"/>
              <w:right w:val="single" w:sz="12" w:space="0" w:color="000000"/>
            </w:tcBorders>
            <w:shd w:val="clear" w:color="000000" w:fill="FFFFFF"/>
          </w:tcPr>
          <w:p w14:paraId="2EC0BF7A"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Total</w:t>
            </w:r>
          </w:p>
        </w:tc>
        <w:tc>
          <w:tcPr>
            <w:tcW w:w="1123" w:type="dxa"/>
            <w:tcBorders>
              <w:top w:val="nil"/>
              <w:left w:val="single" w:sz="12" w:space="0" w:color="000000"/>
              <w:bottom w:val="single" w:sz="12" w:space="0" w:color="000000"/>
              <w:right w:val="single" w:sz="2" w:space="0" w:color="000000"/>
            </w:tcBorders>
            <w:shd w:val="clear" w:color="000000" w:fill="FFFFFF"/>
          </w:tcPr>
          <w:p w14:paraId="337E6730" w14:textId="77777777" w:rsidR="000923BB" w:rsidRPr="00FB3AC0" w:rsidRDefault="000923BB" w:rsidP="003A385F">
            <w:pPr>
              <w:rPr>
                <w:rFonts w:cs="Arial"/>
                <w:sz w:val="20"/>
                <w:szCs w:val="20"/>
              </w:rPr>
            </w:pPr>
            <w:r w:rsidRPr="00FB3AC0">
              <w:rPr>
                <w:rFonts w:cs="Arial"/>
                <w:sz w:val="20"/>
                <w:szCs w:val="20"/>
              </w:rPr>
              <w:t>36</w:t>
            </w:r>
          </w:p>
        </w:tc>
        <w:tc>
          <w:tcPr>
            <w:tcW w:w="1080" w:type="dxa"/>
            <w:tcBorders>
              <w:top w:val="nil"/>
              <w:left w:val="single" w:sz="2" w:space="0" w:color="000000"/>
              <w:bottom w:val="single" w:sz="12" w:space="0" w:color="000000"/>
              <w:right w:val="single" w:sz="2" w:space="0" w:color="000000"/>
            </w:tcBorders>
            <w:shd w:val="clear" w:color="000000" w:fill="FFFFFF"/>
          </w:tcPr>
          <w:p w14:paraId="13497B4D" w14:textId="77777777" w:rsidR="000923BB" w:rsidRPr="00FB3AC0" w:rsidRDefault="000923BB" w:rsidP="003A385F">
            <w:pPr>
              <w:rPr>
                <w:rFonts w:cs="Arial"/>
                <w:sz w:val="20"/>
                <w:szCs w:val="20"/>
              </w:rPr>
            </w:pPr>
            <w:r w:rsidRPr="00FB3AC0">
              <w:rPr>
                <w:rFonts w:cs="Arial"/>
                <w:sz w:val="20"/>
                <w:szCs w:val="20"/>
              </w:rPr>
              <w:t>100.0</w:t>
            </w:r>
          </w:p>
        </w:tc>
      </w:tr>
    </w:tbl>
    <w:p w14:paraId="353B8C4C" w14:textId="77777777" w:rsidR="000923BB" w:rsidRPr="00FB3AC0" w:rsidRDefault="000923BB" w:rsidP="000923BB">
      <w:pPr>
        <w:autoSpaceDE w:val="0"/>
        <w:autoSpaceDN w:val="0"/>
        <w:adjustRightInd w:val="0"/>
        <w:rPr>
          <w:rFonts w:cs="Arial"/>
          <w:color w:val="000000"/>
          <w:sz w:val="18"/>
          <w:szCs w:val="18"/>
          <w:lang w:val="en-US"/>
        </w:rPr>
      </w:pPr>
    </w:p>
    <w:p w14:paraId="48820092" w14:textId="77777777" w:rsidR="000923BB" w:rsidRPr="00FB3AC0" w:rsidRDefault="000923BB" w:rsidP="000923BB">
      <w:pPr>
        <w:tabs>
          <w:tab w:val="center" w:pos="3312"/>
        </w:tabs>
        <w:autoSpaceDE w:val="0"/>
        <w:autoSpaceDN w:val="0"/>
        <w:adjustRightInd w:val="0"/>
        <w:rPr>
          <w:rFonts w:cs="Arial"/>
          <w:b/>
          <w:bCs/>
          <w:color w:val="000000"/>
          <w:sz w:val="18"/>
          <w:szCs w:val="18"/>
          <w:lang w:val="en-US"/>
        </w:rPr>
      </w:pPr>
      <w:r w:rsidRPr="00FB3AC0">
        <w:rPr>
          <w:rFonts w:cs="Arial"/>
          <w:b/>
          <w:bCs/>
          <w:color w:val="000000"/>
          <w:sz w:val="18"/>
          <w:szCs w:val="18"/>
          <w:lang w:val="en-US"/>
        </w:rPr>
        <w:t>Were nebulised bronchodilators prescribed?</w:t>
      </w:r>
    </w:p>
    <w:p w14:paraId="3E5CCD63" w14:textId="77777777" w:rsidR="000923BB" w:rsidRPr="00FB3AC0" w:rsidRDefault="000923BB" w:rsidP="000923BB">
      <w:pPr>
        <w:tabs>
          <w:tab w:val="center" w:pos="3312"/>
        </w:tabs>
        <w:autoSpaceDE w:val="0"/>
        <w:autoSpaceDN w:val="0"/>
        <w:adjustRightInd w:val="0"/>
        <w:rPr>
          <w:rFonts w:cs="Arial"/>
          <w:b/>
          <w:bCs/>
          <w:color w:val="000000"/>
          <w:sz w:val="18"/>
          <w:szCs w:val="18"/>
          <w:lang w:val="en-US"/>
        </w:rPr>
      </w:pPr>
    </w:p>
    <w:tbl>
      <w:tblPr>
        <w:tblW w:w="0" w:type="auto"/>
        <w:tblInd w:w="93" w:type="dxa"/>
        <w:tblLayout w:type="fixed"/>
        <w:tblCellMar>
          <w:left w:w="93" w:type="dxa"/>
          <w:right w:w="93" w:type="dxa"/>
        </w:tblCellMar>
        <w:tblLook w:val="0000" w:firstRow="0" w:lastRow="0" w:firstColumn="0" w:lastColumn="0" w:noHBand="0" w:noVBand="0"/>
      </w:tblPr>
      <w:tblGrid>
        <w:gridCol w:w="206"/>
        <w:gridCol w:w="1291"/>
        <w:gridCol w:w="1123"/>
        <w:gridCol w:w="1080"/>
      </w:tblGrid>
      <w:tr w:rsidR="000923BB" w:rsidRPr="00FB3AC0" w14:paraId="2309339C" w14:textId="77777777" w:rsidTr="003A385F">
        <w:trPr>
          <w:trHeight w:val="504"/>
        </w:trPr>
        <w:tc>
          <w:tcPr>
            <w:tcW w:w="1497"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09401B78"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7B6A8F86"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n</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42110C14"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Percent</w:t>
            </w:r>
          </w:p>
        </w:tc>
      </w:tr>
      <w:tr w:rsidR="000923BB" w:rsidRPr="00FB3AC0" w14:paraId="5B3EB8F2" w14:textId="77777777" w:rsidTr="003A385F">
        <w:trPr>
          <w:trHeight w:val="273"/>
        </w:trPr>
        <w:tc>
          <w:tcPr>
            <w:tcW w:w="206" w:type="dxa"/>
            <w:tcBorders>
              <w:top w:val="single" w:sz="12" w:space="0" w:color="000000"/>
              <w:left w:val="single" w:sz="12" w:space="0" w:color="000000"/>
              <w:bottom w:val="nil"/>
              <w:right w:val="nil"/>
            </w:tcBorders>
            <w:shd w:val="clear" w:color="000000" w:fill="FFFFFF"/>
          </w:tcPr>
          <w:p w14:paraId="330DA111" w14:textId="77777777" w:rsidR="000923BB" w:rsidRPr="00FB3AC0" w:rsidRDefault="000923BB" w:rsidP="003A385F">
            <w:pPr>
              <w:autoSpaceDE w:val="0"/>
              <w:autoSpaceDN w:val="0"/>
              <w:adjustRightInd w:val="0"/>
              <w:rPr>
                <w:rFonts w:cs="Arial"/>
                <w:color w:val="000000"/>
                <w:sz w:val="18"/>
                <w:szCs w:val="18"/>
                <w:lang w:val="en-US"/>
              </w:rPr>
            </w:pPr>
          </w:p>
        </w:tc>
        <w:tc>
          <w:tcPr>
            <w:tcW w:w="1291" w:type="dxa"/>
            <w:tcBorders>
              <w:top w:val="single" w:sz="12" w:space="0" w:color="000000"/>
              <w:left w:val="nil"/>
              <w:bottom w:val="nil"/>
              <w:right w:val="single" w:sz="12" w:space="0" w:color="000000"/>
            </w:tcBorders>
            <w:shd w:val="clear" w:color="000000" w:fill="FFFFFF"/>
          </w:tcPr>
          <w:p w14:paraId="2CE8E843"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no</w:t>
            </w:r>
          </w:p>
        </w:tc>
        <w:tc>
          <w:tcPr>
            <w:tcW w:w="1123" w:type="dxa"/>
            <w:tcBorders>
              <w:top w:val="single" w:sz="12" w:space="0" w:color="000000"/>
              <w:left w:val="single" w:sz="12" w:space="0" w:color="000000"/>
              <w:bottom w:val="nil"/>
              <w:right w:val="single" w:sz="2" w:space="0" w:color="000000"/>
            </w:tcBorders>
            <w:shd w:val="clear" w:color="000000" w:fill="FFFFFF"/>
          </w:tcPr>
          <w:p w14:paraId="7E231912" w14:textId="77777777" w:rsidR="000923BB" w:rsidRPr="00FB3AC0" w:rsidRDefault="000923BB" w:rsidP="003A385F">
            <w:pPr>
              <w:rPr>
                <w:rFonts w:cs="Arial"/>
                <w:sz w:val="20"/>
                <w:szCs w:val="20"/>
              </w:rPr>
            </w:pPr>
            <w:r w:rsidRPr="00FB3AC0">
              <w:rPr>
                <w:rFonts w:cs="Arial"/>
                <w:sz w:val="20"/>
                <w:szCs w:val="20"/>
              </w:rPr>
              <w:t>3</w:t>
            </w:r>
          </w:p>
        </w:tc>
        <w:tc>
          <w:tcPr>
            <w:tcW w:w="1080" w:type="dxa"/>
            <w:tcBorders>
              <w:top w:val="single" w:sz="12" w:space="0" w:color="000000"/>
              <w:left w:val="single" w:sz="2" w:space="0" w:color="000000"/>
              <w:bottom w:val="nil"/>
              <w:right w:val="single" w:sz="2" w:space="0" w:color="000000"/>
            </w:tcBorders>
            <w:shd w:val="clear" w:color="000000" w:fill="FFFFFF"/>
          </w:tcPr>
          <w:p w14:paraId="2385B35D" w14:textId="77777777" w:rsidR="000923BB" w:rsidRPr="00FB3AC0" w:rsidRDefault="000923BB" w:rsidP="003A385F">
            <w:pPr>
              <w:rPr>
                <w:rFonts w:cs="Arial"/>
                <w:sz w:val="20"/>
                <w:szCs w:val="20"/>
              </w:rPr>
            </w:pPr>
            <w:r w:rsidRPr="00FB3AC0">
              <w:rPr>
                <w:rFonts w:cs="Arial"/>
                <w:sz w:val="20"/>
                <w:szCs w:val="20"/>
              </w:rPr>
              <w:t>8.3</w:t>
            </w:r>
          </w:p>
        </w:tc>
      </w:tr>
      <w:tr w:rsidR="000923BB" w:rsidRPr="00FB3AC0" w14:paraId="063E19B4" w14:textId="77777777" w:rsidTr="003A385F">
        <w:trPr>
          <w:trHeight w:val="273"/>
        </w:trPr>
        <w:tc>
          <w:tcPr>
            <w:tcW w:w="206" w:type="dxa"/>
            <w:tcBorders>
              <w:top w:val="nil"/>
              <w:left w:val="single" w:sz="12" w:space="0" w:color="000000"/>
              <w:bottom w:val="nil"/>
              <w:right w:val="nil"/>
            </w:tcBorders>
            <w:shd w:val="clear" w:color="000000" w:fill="FFFFFF"/>
          </w:tcPr>
          <w:p w14:paraId="104A04AB"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291" w:type="dxa"/>
            <w:tcBorders>
              <w:top w:val="nil"/>
              <w:left w:val="nil"/>
              <w:bottom w:val="nil"/>
              <w:right w:val="single" w:sz="12" w:space="0" w:color="000000"/>
            </w:tcBorders>
            <w:shd w:val="clear" w:color="000000" w:fill="FFFFFF"/>
          </w:tcPr>
          <w:p w14:paraId="02A1C50E"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yes</w:t>
            </w:r>
          </w:p>
        </w:tc>
        <w:tc>
          <w:tcPr>
            <w:tcW w:w="1123" w:type="dxa"/>
            <w:tcBorders>
              <w:top w:val="nil"/>
              <w:left w:val="single" w:sz="12" w:space="0" w:color="000000"/>
              <w:bottom w:val="nil"/>
              <w:right w:val="single" w:sz="2" w:space="0" w:color="000000"/>
            </w:tcBorders>
            <w:shd w:val="clear" w:color="000000" w:fill="FFFFFF"/>
          </w:tcPr>
          <w:p w14:paraId="13114EA7" w14:textId="77777777" w:rsidR="000923BB" w:rsidRPr="00FB3AC0" w:rsidRDefault="000923BB" w:rsidP="003A385F">
            <w:pPr>
              <w:rPr>
                <w:rFonts w:cs="Arial"/>
                <w:sz w:val="20"/>
                <w:szCs w:val="20"/>
              </w:rPr>
            </w:pPr>
            <w:r w:rsidRPr="00FB3AC0">
              <w:rPr>
                <w:rFonts w:cs="Arial"/>
                <w:sz w:val="20"/>
                <w:szCs w:val="20"/>
              </w:rPr>
              <w:t>33</w:t>
            </w:r>
          </w:p>
        </w:tc>
        <w:tc>
          <w:tcPr>
            <w:tcW w:w="1080" w:type="dxa"/>
            <w:tcBorders>
              <w:top w:val="nil"/>
              <w:left w:val="single" w:sz="2" w:space="0" w:color="000000"/>
              <w:bottom w:val="nil"/>
              <w:right w:val="single" w:sz="2" w:space="0" w:color="000000"/>
            </w:tcBorders>
            <w:shd w:val="clear" w:color="000000" w:fill="FFFFFF"/>
          </w:tcPr>
          <w:p w14:paraId="1A0328BA" w14:textId="77777777" w:rsidR="000923BB" w:rsidRPr="00FB3AC0" w:rsidRDefault="000923BB" w:rsidP="003A385F">
            <w:pPr>
              <w:rPr>
                <w:rFonts w:cs="Arial"/>
                <w:sz w:val="20"/>
                <w:szCs w:val="20"/>
              </w:rPr>
            </w:pPr>
            <w:r w:rsidRPr="00FB3AC0">
              <w:rPr>
                <w:rFonts w:cs="Arial"/>
                <w:sz w:val="20"/>
                <w:szCs w:val="20"/>
              </w:rPr>
              <w:t>91.7</w:t>
            </w:r>
          </w:p>
        </w:tc>
      </w:tr>
      <w:tr w:rsidR="000923BB" w:rsidRPr="00FB3AC0" w14:paraId="17AF1ACD" w14:textId="77777777" w:rsidTr="003A385F">
        <w:trPr>
          <w:trHeight w:val="273"/>
        </w:trPr>
        <w:tc>
          <w:tcPr>
            <w:tcW w:w="206" w:type="dxa"/>
            <w:tcBorders>
              <w:top w:val="nil"/>
              <w:left w:val="single" w:sz="12" w:space="0" w:color="000000"/>
              <w:bottom w:val="single" w:sz="12" w:space="0" w:color="000000"/>
              <w:right w:val="nil"/>
            </w:tcBorders>
            <w:shd w:val="clear" w:color="000000" w:fill="FFFFFF"/>
          </w:tcPr>
          <w:p w14:paraId="176CAF5D"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291" w:type="dxa"/>
            <w:tcBorders>
              <w:top w:val="nil"/>
              <w:left w:val="nil"/>
              <w:bottom w:val="single" w:sz="12" w:space="0" w:color="000000"/>
              <w:right w:val="single" w:sz="12" w:space="0" w:color="000000"/>
            </w:tcBorders>
            <w:shd w:val="clear" w:color="000000" w:fill="FFFFFF"/>
          </w:tcPr>
          <w:p w14:paraId="3F903344"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Total</w:t>
            </w:r>
          </w:p>
        </w:tc>
        <w:tc>
          <w:tcPr>
            <w:tcW w:w="1123" w:type="dxa"/>
            <w:tcBorders>
              <w:top w:val="nil"/>
              <w:left w:val="single" w:sz="12" w:space="0" w:color="000000"/>
              <w:bottom w:val="single" w:sz="12" w:space="0" w:color="000000"/>
              <w:right w:val="single" w:sz="2" w:space="0" w:color="000000"/>
            </w:tcBorders>
            <w:shd w:val="clear" w:color="000000" w:fill="FFFFFF"/>
          </w:tcPr>
          <w:p w14:paraId="1A0B7F30" w14:textId="77777777" w:rsidR="000923BB" w:rsidRPr="00FB3AC0" w:rsidRDefault="000923BB" w:rsidP="003A385F">
            <w:pPr>
              <w:rPr>
                <w:rFonts w:cs="Arial"/>
                <w:sz w:val="20"/>
                <w:szCs w:val="20"/>
              </w:rPr>
            </w:pPr>
            <w:r w:rsidRPr="00FB3AC0">
              <w:rPr>
                <w:rFonts w:cs="Arial"/>
                <w:sz w:val="20"/>
                <w:szCs w:val="20"/>
              </w:rPr>
              <w:t>36</w:t>
            </w:r>
          </w:p>
        </w:tc>
        <w:tc>
          <w:tcPr>
            <w:tcW w:w="1080" w:type="dxa"/>
            <w:tcBorders>
              <w:top w:val="nil"/>
              <w:left w:val="single" w:sz="2" w:space="0" w:color="000000"/>
              <w:bottom w:val="single" w:sz="12" w:space="0" w:color="000000"/>
              <w:right w:val="single" w:sz="2" w:space="0" w:color="000000"/>
            </w:tcBorders>
            <w:shd w:val="clear" w:color="000000" w:fill="FFFFFF"/>
          </w:tcPr>
          <w:p w14:paraId="461B12DA" w14:textId="77777777" w:rsidR="000923BB" w:rsidRPr="00FB3AC0" w:rsidRDefault="000923BB" w:rsidP="003A385F">
            <w:pPr>
              <w:rPr>
                <w:rFonts w:cs="Arial"/>
                <w:sz w:val="20"/>
                <w:szCs w:val="20"/>
              </w:rPr>
            </w:pPr>
            <w:r w:rsidRPr="00FB3AC0">
              <w:rPr>
                <w:rFonts w:cs="Arial"/>
                <w:sz w:val="20"/>
                <w:szCs w:val="20"/>
              </w:rPr>
              <w:t>100.0</w:t>
            </w:r>
          </w:p>
        </w:tc>
      </w:tr>
    </w:tbl>
    <w:p w14:paraId="33A3E9A3" w14:textId="77777777" w:rsidR="000923BB" w:rsidRPr="00FB3AC0" w:rsidRDefault="000923BB" w:rsidP="000923BB">
      <w:pPr>
        <w:autoSpaceDE w:val="0"/>
        <w:autoSpaceDN w:val="0"/>
        <w:adjustRightInd w:val="0"/>
        <w:rPr>
          <w:rFonts w:cs="Arial"/>
          <w:color w:val="000000"/>
          <w:sz w:val="18"/>
          <w:szCs w:val="18"/>
          <w:lang w:val="en-US"/>
        </w:rPr>
      </w:pPr>
    </w:p>
    <w:p w14:paraId="3246F0C7" w14:textId="77777777" w:rsidR="000923BB" w:rsidRPr="00FB3AC0" w:rsidRDefault="000923BB" w:rsidP="000923BB">
      <w:pPr>
        <w:tabs>
          <w:tab w:val="center" w:pos="3312"/>
        </w:tabs>
        <w:autoSpaceDE w:val="0"/>
        <w:autoSpaceDN w:val="0"/>
        <w:adjustRightInd w:val="0"/>
        <w:rPr>
          <w:rFonts w:cs="Arial"/>
          <w:b/>
          <w:bCs/>
          <w:color w:val="000000"/>
          <w:sz w:val="18"/>
          <w:szCs w:val="18"/>
          <w:lang w:val="en-US"/>
        </w:rPr>
      </w:pPr>
      <w:r w:rsidRPr="00FB3AC0">
        <w:rPr>
          <w:rFonts w:cs="Arial"/>
          <w:b/>
          <w:bCs/>
          <w:color w:val="000000"/>
          <w:sz w:val="18"/>
          <w:szCs w:val="18"/>
          <w:lang w:val="en-US"/>
        </w:rPr>
        <w:t>Did patient receive systemic corticosteroids?</w:t>
      </w:r>
    </w:p>
    <w:p w14:paraId="668FBE9C" w14:textId="77777777" w:rsidR="000923BB" w:rsidRPr="00FB3AC0" w:rsidRDefault="000923BB" w:rsidP="000923BB">
      <w:pPr>
        <w:tabs>
          <w:tab w:val="center" w:pos="3312"/>
        </w:tabs>
        <w:autoSpaceDE w:val="0"/>
        <w:autoSpaceDN w:val="0"/>
        <w:adjustRightInd w:val="0"/>
        <w:rPr>
          <w:rFonts w:cs="Arial"/>
          <w:b/>
          <w:bCs/>
          <w:color w:val="000000"/>
          <w:sz w:val="18"/>
          <w:szCs w:val="18"/>
          <w:lang w:val="en-US"/>
        </w:rPr>
      </w:pPr>
    </w:p>
    <w:tbl>
      <w:tblPr>
        <w:tblW w:w="0" w:type="auto"/>
        <w:tblInd w:w="93" w:type="dxa"/>
        <w:tblLayout w:type="fixed"/>
        <w:tblCellMar>
          <w:left w:w="93" w:type="dxa"/>
          <w:right w:w="93" w:type="dxa"/>
        </w:tblCellMar>
        <w:tblLook w:val="0000" w:firstRow="0" w:lastRow="0" w:firstColumn="0" w:lastColumn="0" w:noHBand="0" w:noVBand="0"/>
      </w:tblPr>
      <w:tblGrid>
        <w:gridCol w:w="206"/>
        <w:gridCol w:w="1291"/>
        <w:gridCol w:w="1123"/>
        <w:gridCol w:w="1080"/>
      </w:tblGrid>
      <w:tr w:rsidR="000923BB" w:rsidRPr="00FB3AC0" w14:paraId="4F0D3D12" w14:textId="77777777" w:rsidTr="003A385F">
        <w:trPr>
          <w:trHeight w:val="632"/>
        </w:trPr>
        <w:tc>
          <w:tcPr>
            <w:tcW w:w="1497"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339048FB"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414C84A6"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n</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2F89A860"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Percent</w:t>
            </w:r>
          </w:p>
        </w:tc>
      </w:tr>
      <w:tr w:rsidR="000923BB" w:rsidRPr="00FB3AC0" w14:paraId="1DBE4DF8" w14:textId="77777777" w:rsidTr="003A385F">
        <w:trPr>
          <w:trHeight w:val="273"/>
        </w:trPr>
        <w:tc>
          <w:tcPr>
            <w:tcW w:w="206" w:type="dxa"/>
            <w:tcBorders>
              <w:top w:val="single" w:sz="12" w:space="0" w:color="000000"/>
              <w:left w:val="single" w:sz="12" w:space="0" w:color="000000"/>
              <w:bottom w:val="nil"/>
              <w:right w:val="nil"/>
            </w:tcBorders>
            <w:shd w:val="clear" w:color="000000" w:fill="FFFFFF"/>
          </w:tcPr>
          <w:p w14:paraId="49ECBF58" w14:textId="77777777" w:rsidR="000923BB" w:rsidRPr="00FB3AC0" w:rsidRDefault="000923BB" w:rsidP="003A385F">
            <w:pPr>
              <w:autoSpaceDE w:val="0"/>
              <w:autoSpaceDN w:val="0"/>
              <w:adjustRightInd w:val="0"/>
              <w:rPr>
                <w:rFonts w:cs="Arial"/>
                <w:color w:val="000000"/>
                <w:sz w:val="18"/>
                <w:szCs w:val="18"/>
                <w:lang w:val="en-US"/>
              </w:rPr>
            </w:pPr>
          </w:p>
        </w:tc>
        <w:tc>
          <w:tcPr>
            <w:tcW w:w="1291" w:type="dxa"/>
            <w:tcBorders>
              <w:top w:val="single" w:sz="12" w:space="0" w:color="000000"/>
              <w:left w:val="nil"/>
              <w:bottom w:val="nil"/>
              <w:right w:val="single" w:sz="12" w:space="0" w:color="000000"/>
            </w:tcBorders>
            <w:shd w:val="clear" w:color="000000" w:fill="FFFFFF"/>
          </w:tcPr>
          <w:p w14:paraId="1A756AB6"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no</w:t>
            </w:r>
          </w:p>
        </w:tc>
        <w:tc>
          <w:tcPr>
            <w:tcW w:w="1123" w:type="dxa"/>
            <w:tcBorders>
              <w:top w:val="single" w:sz="12" w:space="0" w:color="000000"/>
              <w:left w:val="single" w:sz="12" w:space="0" w:color="000000"/>
              <w:bottom w:val="nil"/>
              <w:right w:val="single" w:sz="2" w:space="0" w:color="000000"/>
            </w:tcBorders>
            <w:shd w:val="clear" w:color="000000" w:fill="FFFFFF"/>
          </w:tcPr>
          <w:p w14:paraId="258B967E" w14:textId="77777777" w:rsidR="000923BB" w:rsidRPr="00FB3AC0" w:rsidRDefault="000923BB" w:rsidP="003A385F">
            <w:pPr>
              <w:rPr>
                <w:rFonts w:cs="Arial"/>
                <w:sz w:val="20"/>
                <w:szCs w:val="20"/>
              </w:rPr>
            </w:pPr>
            <w:r w:rsidRPr="00FB3AC0">
              <w:rPr>
                <w:rFonts w:cs="Arial"/>
                <w:sz w:val="20"/>
                <w:szCs w:val="20"/>
              </w:rPr>
              <w:t>2</w:t>
            </w:r>
          </w:p>
        </w:tc>
        <w:tc>
          <w:tcPr>
            <w:tcW w:w="1080" w:type="dxa"/>
            <w:tcBorders>
              <w:top w:val="single" w:sz="12" w:space="0" w:color="000000"/>
              <w:left w:val="single" w:sz="2" w:space="0" w:color="000000"/>
              <w:bottom w:val="nil"/>
              <w:right w:val="single" w:sz="2" w:space="0" w:color="000000"/>
            </w:tcBorders>
            <w:shd w:val="clear" w:color="000000" w:fill="FFFFFF"/>
          </w:tcPr>
          <w:p w14:paraId="77193976" w14:textId="77777777" w:rsidR="000923BB" w:rsidRPr="00FB3AC0" w:rsidRDefault="000923BB" w:rsidP="003A385F">
            <w:pPr>
              <w:rPr>
                <w:rFonts w:cs="Arial"/>
                <w:sz w:val="20"/>
                <w:szCs w:val="20"/>
              </w:rPr>
            </w:pPr>
            <w:r w:rsidRPr="00FB3AC0">
              <w:rPr>
                <w:rFonts w:cs="Arial"/>
                <w:sz w:val="20"/>
                <w:szCs w:val="20"/>
              </w:rPr>
              <w:t>5.6</w:t>
            </w:r>
          </w:p>
        </w:tc>
      </w:tr>
      <w:tr w:rsidR="000923BB" w:rsidRPr="00FB3AC0" w14:paraId="6080B844" w14:textId="77777777" w:rsidTr="003A385F">
        <w:trPr>
          <w:trHeight w:val="273"/>
        </w:trPr>
        <w:tc>
          <w:tcPr>
            <w:tcW w:w="206" w:type="dxa"/>
            <w:tcBorders>
              <w:top w:val="nil"/>
              <w:left w:val="single" w:sz="12" w:space="0" w:color="000000"/>
              <w:bottom w:val="nil"/>
              <w:right w:val="nil"/>
            </w:tcBorders>
            <w:shd w:val="clear" w:color="000000" w:fill="FFFFFF"/>
          </w:tcPr>
          <w:p w14:paraId="28C1DE5D"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291" w:type="dxa"/>
            <w:tcBorders>
              <w:top w:val="nil"/>
              <w:left w:val="nil"/>
              <w:bottom w:val="nil"/>
              <w:right w:val="single" w:sz="12" w:space="0" w:color="000000"/>
            </w:tcBorders>
            <w:shd w:val="clear" w:color="000000" w:fill="FFFFFF"/>
          </w:tcPr>
          <w:p w14:paraId="307C6343"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yes</w:t>
            </w:r>
          </w:p>
        </w:tc>
        <w:tc>
          <w:tcPr>
            <w:tcW w:w="1123" w:type="dxa"/>
            <w:tcBorders>
              <w:top w:val="nil"/>
              <w:left w:val="single" w:sz="12" w:space="0" w:color="000000"/>
              <w:bottom w:val="nil"/>
              <w:right w:val="single" w:sz="2" w:space="0" w:color="000000"/>
            </w:tcBorders>
            <w:shd w:val="clear" w:color="000000" w:fill="FFFFFF"/>
          </w:tcPr>
          <w:p w14:paraId="2EF8D423" w14:textId="77777777" w:rsidR="000923BB" w:rsidRPr="00FB3AC0" w:rsidRDefault="000923BB" w:rsidP="003A385F">
            <w:pPr>
              <w:rPr>
                <w:rFonts w:cs="Arial"/>
                <w:sz w:val="20"/>
                <w:szCs w:val="20"/>
              </w:rPr>
            </w:pPr>
            <w:r w:rsidRPr="00FB3AC0">
              <w:rPr>
                <w:rFonts w:cs="Arial"/>
                <w:sz w:val="20"/>
                <w:szCs w:val="20"/>
              </w:rPr>
              <w:t>34</w:t>
            </w:r>
          </w:p>
        </w:tc>
        <w:tc>
          <w:tcPr>
            <w:tcW w:w="1080" w:type="dxa"/>
            <w:tcBorders>
              <w:top w:val="nil"/>
              <w:left w:val="single" w:sz="2" w:space="0" w:color="000000"/>
              <w:bottom w:val="nil"/>
              <w:right w:val="single" w:sz="2" w:space="0" w:color="000000"/>
            </w:tcBorders>
            <w:shd w:val="clear" w:color="000000" w:fill="FFFFFF"/>
          </w:tcPr>
          <w:p w14:paraId="1AEF118B" w14:textId="77777777" w:rsidR="000923BB" w:rsidRPr="00FB3AC0" w:rsidRDefault="000923BB" w:rsidP="003A385F">
            <w:pPr>
              <w:rPr>
                <w:rFonts w:cs="Arial"/>
                <w:sz w:val="20"/>
                <w:szCs w:val="20"/>
              </w:rPr>
            </w:pPr>
            <w:r w:rsidRPr="00FB3AC0">
              <w:rPr>
                <w:rFonts w:cs="Arial"/>
                <w:sz w:val="20"/>
                <w:szCs w:val="20"/>
              </w:rPr>
              <w:t>94.4</w:t>
            </w:r>
          </w:p>
        </w:tc>
      </w:tr>
      <w:tr w:rsidR="000923BB" w:rsidRPr="00FB3AC0" w14:paraId="653BDB68" w14:textId="77777777" w:rsidTr="003A385F">
        <w:trPr>
          <w:trHeight w:val="273"/>
        </w:trPr>
        <w:tc>
          <w:tcPr>
            <w:tcW w:w="206" w:type="dxa"/>
            <w:tcBorders>
              <w:top w:val="nil"/>
              <w:left w:val="single" w:sz="12" w:space="0" w:color="000000"/>
              <w:bottom w:val="single" w:sz="12" w:space="0" w:color="000000"/>
              <w:right w:val="nil"/>
            </w:tcBorders>
            <w:shd w:val="clear" w:color="000000" w:fill="FFFFFF"/>
          </w:tcPr>
          <w:p w14:paraId="452A0070"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291" w:type="dxa"/>
            <w:tcBorders>
              <w:top w:val="nil"/>
              <w:left w:val="nil"/>
              <w:bottom w:val="single" w:sz="12" w:space="0" w:color="000000"/>
              <w:right w:val="single" w:sz="12" w:space="0" w:color="000000"/>
            </w:tcBorders>
            <w:shd w:val="clear" w:color="000000" w:fill="FFFFFF"/>
          </w:tcPr>
          <w:p w14:paraId="775FAC90"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Total</w:t>
            </w:r>
          </w:p>
        </w:tc>
        <w:tc>
          <w:tcPr>
            <w:tcW w:w="1123" w:type="dxa"/>
            <w:tcBorders>
              <w:top w:val="nil"/>
              <w:left w:val="single" w:sz="12" w:space="0" w:color="000000"/>
              <w:bottom w:val="single" w:sz="12" w:space="0" w:color="000000"/>
              <w:right w:val="single" w:sz="2" w:space="0" w:color="000000"/>
            </w:tcBorders>
            <w:shd w:val="clear" w:color="000000" w:fill="FFFFFF"/>
          </w:tcPr>
          <w:p w14:paraId="2C6C1563" w14:textId="77777777" w:rsidR="000923BB" w:rsidRPr="00FB3AC0" w:rsidRDefault="000923BB" w:rsidP="003A385F">
            <w:pPr>
              <w:rPr>
                <w:rFonts w:cs="Arial"/>
                <w:sz w:val="20"/>
                <w:szCs w:val="20"/>
              </w:rPr>
            </w:pPr>
            <w:r w:rsidRPr="00FB3AC0">
              <w:rPr>
                <w:rFonts w:cs="Arial"/>
                <w:sz w:val="20"/>
                <w:szCs w:val="20"/>
              </w:rPr>
              <w:t>36</w:t>
            </w:r>
          </w:p>
        </w:tc>
        <w:tc>
          <w:tcPr>
            <w:tcW w:w="1080" w:type="dxa"/>
            <w:tcBorders>
              <w:top w:val="nil"/>
              <w:left w:val="single" w:sz="2" w:space="0" w:color="000000"/>
              <w:bottom w:val="single" w:sz="12" w:space="0" w:color="000000"/>
              <w:right w:val="single" w:sz="2" w:space="0" w:color="000000"/>
            </w:tcBorders>
            <w:shd w:val="clear" w:color="000000" w:fill="FFFFFF"/>
          </w:tcPr>
          <w:p w14:paraId="497D4138" w14:textId="77777777" w:rsidR="000923BB" w:rsidRPr="00FB3AC0" w:rsidRDefault="000923BB" w:rsidP="003A385F">
            <w:pPr>
              <w:rPr>
                <w:rFonts w:cs="Arial"/>
                <w:sz w:val="20"/>
                <w:szCs w:val="20"/>
              </w:rPr>
            </w:pPr>
            <w:r w:rsidRPr="00FB3AC0">
              <w:rPr>
                <w:rFonts w:cs="Arial"/>
                <w:sz w:val="20"/>
                <w:szCs w:val="20"/>
              </w:rPr>
              <w:t>100.0</w:t>
            </w:r>
          </w:p>
        </w:tc>
      </w:tr>
    </w:tbl>
    <w:p w14:paraId="445D0B5C" w14:textId="77777777" w:rsidR="004932C5" w:rsidRDefault="004932C5" w:rsidP="000923BB">
      <w:pPr>
        <w:tabs>
          <w:tab w:val="center" w:pos="3312"/>
        </w:tabs>
        <w:autoSpaceDE w:val="0"/>
        <w:autoSpaceDN w:val="0"/>
        <w:adjustRightInd w:val="0"/>
        <w:rPr>
          <w:rFonts w:cs="Arial"/>
          <w:b/>
          <w:bCs/>
          <w:color w:val="000000"/>
          <w:sz w:val="18"/>
          <w:szCs w:val="18"/>
          <w:lang w:val="en-US"/>
        </w:rPr>
      </w:pPr>
    </w:p>
    <w:p w14:paraId="40899573" w14:textId="77777777" w:rsidR="004932C5" w:rsidRDefault="004932C5" w:rsidP="000923BB">
      <w:pPr>
        <w:tabs>
          <w:tab w:val="center" w:pos="3312"/>
        </w:tabs>
        <w:autoSpaceDE w:val="0"/>
        <w:autoSpaceDN w:val="0"/>
        <w:adjustRightInd w:val="0"/>
        <w:rPr>
          <w:rFonts w:cs="Arial"/>
          <w:b/>
          <w:bCs/>
          <w:color w:val="000000"/>
          <w:sz w:val="18"/>
          <w:szCs w:val="18"/>
          <w:lang w:val="en-US"/>
        </w:rPr>
      </w:pPr>
    </w:p>
    <w:p w14:paraId="79372C20" w14:textId="77777777" w:rsidR="004932C5" w:rsidRDefault="004932C5" w:rsidP="000923BB">
      <w:pPr>
        <w:tabs>
          <w:tab w:val="center" w:pos="3312"/>
        </w:tabs>
        <w:autoSpaceDE w:val="0"/>
        <w:autoSpaceDN w:val="0"/>
        <w:adjustRightInd w:val="0"/>
        <w:rPr>
          <w:rFonts w:cs="Arial"/>
          <w:b/>
          <w:bCs/>
          <w:color w:val="000000"/>
          <w:sz w:val="18"/>
          <w:szCs w:val="18"/>
          <w:lang w:val="en-US"/>
        </w:rPr>
      </w:pPr>
    </w:p>
    <w:p w14:paraId="54A4AF2D" w14:textId="77777777" w:rsidR="004932C5" w:rsidRDefault="004932C5" w:rsidP="000923BB">
      <w:pPr>
        <w:tabs>
          <w:tab w:val="center" w:pos="3312"/>
        </w:tabs>
        <w:autoSpaceDE w:val="0"/>
        <w:autoSpaceDN w:val="0"/>
        <w:adjustRightInd w:val="0"/>
        <w:rPr>
          <w:rFonts w:cs="Arial"/>
          <w:b/>
          <w:bCs/>
          <w:color w:val="000000"/>
          <w:sz w:val="18"/>
          <w:szCs w:val="18"/>
          <w:lang w:val="en-US"/>
        </w:rPr>
      </w:pPr>
    </w:p>
    <w:p w14:paraId="4CE12C63" w14:textId="77777777" w:rsidR="004932C5" w:rsidRDefault="004932C5" w:rsidP="000923BB">
      <w:pPr>
        <w:tabs>
          <w:tab w:val="center" w:pos="3312"/>
        </w:tabs>
        <w:autoSpaceDE w:val="0"/>
        <w:autoSpaceDN w:val="0"/>
        <w:adjustRightInd w:val="0"/>
        <w:rPr>
          <w:rFonts w:cs="Arial"/>
          <w:b/>
          <w:bCs/>
          <w:color w:val="000000"/>
          <w:sz w:val="18"/>
          <w:szCs w:val="18"/>
          <w:lang w:val="en-US"/>
        </w:rPr>
      </w:pPr>
    </w:p>
    <w:p w14:paraId="7570A00A" w14:textId="77777777" w:rsidR="004932C5" w:rsidRDefault="004932C5" w:rsidP="000923BB">
      <w:pPr>
        <w:tabs>
          <w:tab w:val="center" w:pos="3312"/>
        </w:tabs>
        <w:autoSpaceDE w:val="0"/>
        <w:autoSpaceDN w:val="0"/>
        <w:adjustRightInd w:val="0"/>
        <w:rPr>
          <w:rFonts w:cs="Arial"/>
          <w:b/>
          <w:bCs/>
          <w:color w:val="000000"/>
          <w:sz w:val="18"/>
          <w:szCs w:val="18"/>
          <w:lang w:val="en-US"/>
        </w:rPr>
      </w:pPr>
    </w:p>
    <w:p w14:paraId="7CB883CF" w14:textId="77777777" w:rsidR="004932C5" w:rsidRDefault="004932C5" w:rsidP="000923BB">
      <w:pPr>
        <w:tabs>
          <w:tab w:val="center" w:pos="3312"/>
        </w:tabs>
        <w:autoSpaceDE w:val="0"/>
        <w:autoSpaceDN w:val="0"/>
        <w:adjustRightInd w:val="0"/>
        <w:rPr>
          <w:rFonts w:cs="Arial"/>
          <w:b/>
          <w:bCs/>
          <w:color w:val="000000"/>
          <w:sz w:val="18"/>
          <w:szCs w:val="18"/>
          <w:lang w:val="en-US"/>
        </w:rPr>
      </w:pPr>
    </w:p>
    <w:p w14:paraId="4DA596DB" w14:textId="77777777" w:rsidR="000923BB" w:rsidRPr="00FB3AC0" w:rsidRDefault="000923BB" w:rsidP="000923BB">
      <w:pPr>
        <w:tabs>
          <w:tab w:val="center" w:pos="3312"/>
        </w:tabs>
        <w:autoSpaceDE w:val="0"/>
        <w:autoSpaceDN w:val="0"/>
        <w:adjustRightInd w:val="0"/>
        <w:rPr>
          <w:rFonts w:cs="Arial"/>
          <w:b/>
          <w:bCs/>
          <w:color w:val="000000"/>
          <w:sz w:val="18"/>
          <w:szCs w:val="18"/>
          <w:lang w:val="en-US"/>
        </w:rPr>
      </w:pPr>
      <w:r w:rsidRPr="00FB3AC0">
        <w:rPr>
          <w:rFonts w:cs="Arial"/>
          <w:b/>
          <w:bCs/>
          <w:color w:val="000000"/>
          <w:sz w:val="18"/>
          <w:szCs w:val="18"/>
          <w:lang w:val="en-US"/>
        </w:rPr>
        <w:t>Number of arterial blood gas results</w:t>
      </w:r>
    </w:p>
    <w:p w14:paraId="649936BC" w14:textId="77777777" w:rsidR="000923BB" w:rsidRPr="00FB3AC0" w:rsidRDefault="000923BB" w:rsidP="000923BB">
      <w:pPr>
        <w:tabs>
          <w:tab w:val="center" w:pos="2145"/>
        </w:tabs>
        <w:autoSpaceDE w:val="0"/>
        <w:autoSpaceDN w:val="0"/>
        <w:adjustRightInd w:val="0"/>
        <w:rPr>
          <w:rFonts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206"/>
        <w:gridCol w:w="1594"/>
        <w:gridCol w:w="1123"/>
        <w:gridCol w:w="1080"/>
      </w:tblGrid>
      <w:tr w:rsidR="000923BB" w:rsidRPr="00FB3AC0" w14:paraId="6C9CE4CD" w14:textId="77777777" w:rsidTr="003A385F">
        <w:trPr>
          <w:trHeight w:val="504"/>
        </w:trPr>
        <w:tc>
          <w:tcPr>
            <w:tcW w:w="180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64D5A8B4"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73B5FC7F" w14:textId="77777777" w:rsidR="000923BB" w:rsidRPr="00FB3AC0" w:rsidRDefault="000923BB" w:rsidP="003A385F">
            <w:pPr>
              <w:autoSpaceDE w:val="0"/>
              <w:autoSpaceDN w:val="0"/>
              <w:adjustRightInd w:val="0"/>
              <w:jc w:val="center"/>
              <w:rPr>
                <w:rFonts w:cs="Arial"/>
                <w:color w:val="000000"/>
                <w:sz w:val="18"/>
                <w:szCs w:val="18"/>
              </w:rPr>
            </w:pPr>
            <w:r w:rsidRPr="00FB3AC0">
              <w:rPr>
                <w:rFonts w:cs="Arial"/>
                <w:color w:val="000000"/>
                <w:sz w:val="18"/>
                <w:szCs w:val="18"/>
              </w:rPr>
              <w:t>n</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27A47EB0" w14:textId="77777777" w:rsidR="000923BB" w:rsidRPr="00FB3AC0" w:rsidRDefault="000923BB" w:rsidP="003A385F">
            <w:pPr>
              <w:autoSpaceDE w:val="0"/>
              <w:autoSpaceDN w:val="0"/>
              <w:adjustRightInd w:val="0"/>
              <w:jc w:val="center"/>
              <w:rPr>
                <w:rFonts w:cs="Arial"/>
                <w:color w:val="000000"/>
                <w:sz w:val="18"/>
                <w:szCs w:val="18"/>
              </w:rPr>
            </w:pPr>
            <w:r w:rsidRPr="00FB3AC0">
              <w:rPr>
                <w:rFonts w:cs="Arial"/>
                <w:color w:val="000000"/>
                <w:sz w:val="18"/>
                <w:szCs w:val="18"/>
              </w:rPr>
              <w:t>Percent</w:t>
            </w:r>
          </w:p>
        </w:tc>
      </w:tr>
      <w:tr w:rsidR="000923BB" w:rsidRPr="00FB3AC0" w14:paraId="4D976E52" w14:textId="77777777" w:rsidTr="003A385F">
        <w:trPr>
          <w:trHeight w:val="273"/>
        </w:trPr>
        <w:tc>
          <w:tcPr>
            <w:tcW w:w="206" w:type="dxa"/>
            <w:vMerge w:val="restart"/>
            <w:tcBorders>
              <w:top w:val="single" w:sz="12" w:space="0" w:color="000000"/>
              <w:left w:val="single" w:sz="12" w:space="0" w:color="000000"/>
              <w:bottom w:val="nil"/>
              <w:right w:val="nil"/>
            </w:tcBorders>
            <w:shd w:val="clear" w:color="000000" w:fill="FFFFFF"/>
          </w:tcPr>
          <w:p w14:paraId="5A027585"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594" w:type="dxa"/>
            <w:tcBorders>
              <w:top w:val="single" w:sz="12" w:space="0" w:color="000000"/>
              <w:left w:val="nil"/>
              <w:bottom w:val="nil"/>
              <w:right w:val="single" w:sz="12" w:space="0" w:color="000000"/>
            </w:tcBorders>
            <w:shd w:val="clear" w:color="000000" w:fill="FFFFFF"/>
          </w:tcPr>
          <w:p w14:paraId="2B6362A2"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0</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14:paraId="1ECBA93C"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7</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0628281C"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19.4</w:t>
            </w:r>
          </w:p>
        </w:tc>
      </w:tr>
      <w:tr w:rsidR="000923BB" w:rsidRPr="00FB3AC0" w14:paraId="1F8199CA" w14:textId="77777777" w:rsidTr="003A385F">
        <w:trPr>
          <w:trHeight w:val="273"/>
        </w:trPr>
        <w:tc>
          <w:tcPr>
            <w:tcW w:w="206" w:type="dxa"/>
            <w:vMerge w:val="restart"/>
            <w:tcBorders>
              <w:top w:val="nil"/>
              <w:left w:val="single" w:sz="12" w:space="0" w:color="000000"/>
              <w:bottom w:val="nil"/>
              <w:right w:val="nil"/>
            </w:tcBorders>
            <w:shd w:val="clear" w:color="000000" w:fill="FFFFFF"/>
          </w:tcPr>
          <w:p w14:paraId="457029D0"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594" w:type="dxa"/>
            <w:tcBorders>
              <w:top w:val="nil"/>
              <w:left w:val="nil"/>
              <w:bottom w:val="nil"/>
              <w:right w:val="single" w:sz="12" w:space="0" w:color="000000"/>
            </w:tcBorders>
            <w:shd w:val="clear" w:color="000000" w:fill="FFFFFF"/>
          </w:tcPr>
          <w:p w14:paraId="7B00EB39"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1</w:t>
            </w:r>
          </w:p>
        </w:tc>
        <w:tc>
          <w:tcPr>
            <w:tcW w:w="1123" w:type="dxa"/>
            <w:tcBorders>
              <w:top w:val="nil"/>
              <w:left w:val="single" w:sz="12" w:space="0" w:color="000000"/>
              <w:bottom w:val="nil"/>
              <w:right w:val="single" w:sz="2" w:space="0" w:color="000000"/>
            </w:tcBorders>
            <w:shd w:val="clear" w:color="000000" w:fill="FFFFFF"/>
            <w:vAlign w:val="center"/>
          </w:tcPr>
          <w:p w14:paraId="6D4CE1AA"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18</w:t>
            </w:r>
          </w:p>
        </w:tc>
        <w:tc>
          <w:tcPr>
            <w:tcW w:w="1080" w:type="dxa"/>
            <w:tcBorders>
              <w:top w:val="nil"/>
              <w:left w:val="single" w:sz="2" w:space="0" w:color="000000"/>
              <w:bottom w:val="nil"/>
              <w:right w:val="single" w:sz="2" w:space="0" w:color="000000"/>
            </w:tcBorders>
            <w:shd w:val="clear" w:color="000000" w:fill="FFFFFF"/>
            <w:vAlign w:val="center"/>
          </w:tcPr>
          <w:p w14:paraId="397A2F9E"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50.0</w:t>
            </w:r>
          </w:p>
        </w:tc>
      </w:tr>
      <w:tr w:rsidR="000923BB" w:rsidRPr="00FB3AC0" w14:paraId="55B2B9C7" w14:textId="77777777" w:rsidTr="003A385F">
        <w:trPr>
          <w:trHeight w:val="273"/>
        </w:trPr>
        <w:tc>
          <w:tcPr>
            <w:tcW w:w="206" w:type="dxa"/>
            <w:vMerge w:val="restart"/>
            <w:tcBorders>
              <w:top w:val="nil"/>
              <w:left w:val="single" w:sz="12" w:space="0" w:color="000000"/>
              <w:bottom w:val="nil"/>
              <w:right w:val="nil"/>
            </w:tcBorders>
            <w:shd w:val="clear" w:color="000000" w:fill="FFFFFF"/>
          </w:tcPr>
          <w:p w14:paraId="49F5A89C"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594" w:type="dxa"/>
            <w:tcBorders>
              <w:top w:val="nil"/>
              <w:left w:val="nil"/>
              <w:bottom w:val="nil"/>
              <w:right w:val="single" w:sz="12" w:space="0" w:color="000000"/>
            </w:tcBorders>
            <w:shd w:val="clear" w:color="000000" w:fill="FFFFFF"/>
          </w:tcPr>
          <w:p w14:paraId="7052346C"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2</w:t>
            </w:r>
          </w:p>
        </w:tc>
        <w:tc>
          <w:tcPr>
            <w:tcW w:w="1123" w:type="dxa"/>
            <w:tcBorders>
              <w:top w:val="nil"/>
              <w:left w:val="single" w:sz="12" w:space="0" w:color="000000"/>
              <w:bottom w:val="nil"/>
              <w:right w:val="single" w:sz="2" w:space="0" w:color="000000"/>
            </w:tcBorders>
            <w:shd w:val="clear" w:color="000000" w:fill="FFFFFF"/>
            <w:vAlign w:val="center"/>
          </w:tcPr>
          <w:p w14:paraId="1CB20594"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14:paraId="748CB96E"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5.6</w:t>
            </w:r>
          </w:p>
        </w:tc>
      </w:tr>
      <w:tr w:rsidR="000923BB" w:rsidRPr="00FB3AC0" w14:paraId="15A28DDE" w14:textId="77777777" w:rsidTr="003A385F">
        <w:trPr>
          <w:trHeight w:val="273"/>
        </w:trPr>
        <w:tc>
          <w:tcPr>
            <w:tcW w:w="206" w:type="dxa"/>
            <w:vMerge w:val="restart"/>
            <w:tcBorders>
              <w:top w:val="nil"/>
              <w:left w:val="single" w:sz="12" w:space="0" w:color="000000"/>
              <w:bottom w:val="nil"/>
              <w:right w:val="nil"/>
            </w:tcBorders>
            <w:shd w:val="clear" w:color="000000" w:fill="FFFFFF"/>
          </w:tcPr>
          <w:p w14:paraId="448DFB35"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594" w:type="dxa"/>
            <w:tcBorders>
              <w:top w:val="nil"/>
              <w:left w:val="nil"/>
              <w:bottom w:val="nil"/>
              <w:right w:val="single" w:sz="12" w:space="0" w:color="000000"/>
            </w:tcBorders>
            <w:shd w:val="clear" w:color="000000" w:fill="FFFFFF"/>
          </w:tcPr>
          <w:p w14:paraId="15EAFA05"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3</w:t>
            </w:r>
          </w:p>
        </w:tc>
        <w:tc>
          <w:tcPr>
            <w:tcW w:w="1123" w:type="dxa"/>
            <w:tcBorders>
              <w:top w:val="nil"/>
              <w:left w:val="single" w:sz="12" w:space="0" w:color="000000"/>
              <w:bottom w:val="nil"/>
              <w:right w:val="single" w:sz="2" w:space="0" w:color="000000"/>
            </w:tcBorders>
            <w:shd w:val="clear" w:color="000000" w:fill="FFFFFF"/>
            <w:vAlign w:val="center"/>
          </w:tcPr>
          <w:p w14:paraId="72865C84"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4</w:t>
            </w:r>
          </w:p>
        </w:tc>
        <w:tc>
          <w:tcPr>
            <w:tcW w:w="1080" w:type="dxa"/>
            <w:tcBorders>
              <w:top w:val="nil"/>
              <w:left w:val="single" w:sz="2" w:space="0" w:color="000000"/>
              <w:bottom w:val="nil"/>
              <w:right w:val="single" w:sz="2" w:space="0" w:color="000000"/>
            </w:tcBorders>
            <w:shd w:val="clear" w:color="000000" w:fill="FFFFFF"/>
            <w:vAlign w:val="center"/>
          </w:tcPr>
          <w:p w14:paraId="279837D4"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11.1</w:t>
            </w:r>
          </w:p>
        </w:tc>
      </w:tr>
      <w:tr w:rsidR="000923BB" w:rsidRPr="00FB3AC0" w14:paraId="3BD167B9" w14:textId="77777777" w:rsidTr="003A385F">
        <w:trPr>
          <w:trHeight w:val="273"/>
        </w:trPr>
        <w:tc>
          <w:tcPr>
            <w:tcW w:w="206" w:type="dxa"/>
            <w:vMerge w:val="restart"/>
            <w:tcBorders>
              <w:top w:val="nil"/>
              <w:left w:val="single" w:sz="12" w:space="0" w:color="000000"/>
              <w:bottom w:val="nil"/>
              <w:right w:val="nil"/>
            </w:tcBorders>
            <w:shd w:val="clear" w:color="000000" w:fill="FFFFFF"/>
          </w:tcPr>
          <w:p w14:paraId="18294CED"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594" w:type="dxa"/>
            <w:tcBorders>
              <w:top w:val="nil"/>
              <w:left w:val="nil"/>
              <w:bottom w:val="nil"/>
              <w:right w:val="single" w:sz="12" w:space="0" w:color="000000"/>
            </w:tcBorders>
            <w:shd w:val="clear" w:color="000000" w:fill="FFFFFF"/>
          </w:tcPr>
          <w:p w14:paraId="0378DA52"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14:paraId="4E5C346F"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14:paraId="42546C74"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5.6</w:t>
            </w:r>
          </w:p>
        </w:tc>
      </w:tr>
      <w:tr w:rsidR="000923BB" w:rsidRPr="00FB3AC0" w14:paraId="7B4FA5AD" w14:textId="77777777" w:rsidTr="003A385F">
        <w:trPr>
          <w:trHeight w:val="273"/>
        </w:trPr>
        <w:tc>
          <w:tcPr>
            <w:tcW w:w="206" w:type="dxa"/>
            <w:vMerge w:val="restart"/>
            <w:tcBorders>
              <w:top w:val="nil"/>
              <w:left w:val="single" w:sz="12" w:space="0" w:color="000000"/>
              <w:bottom w:val="nil"/>
              <w:right w:val="nil"/>
            </w:tcBorders>
            <w:shd w:val="clear" w:color="000000" w:fill="FFFFFF"/>
          </w:tcPr>
          <w:p w14:paraId="6B84E5EB"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594" w:type="dxa"/>
            <w:tcBorders>
              <w:top w:val="nil"/>
              <w:left w:val="nil"/>
              <w:bottom w:val="nil"/>
              <w:right w:val="single" w:sz="12" w:space="0" w:color="000000"/>
            </w:tcBorders>
            <w:shd w:val="clear" w:color="000000" w:fill="FFFFFF"/>
          </w:tcPr>
          <w:p w14:paraId="64754DAC"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14:paraId="0331AF82"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14:paraId="2426B08C"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2.8</w:t>
            </w:r>
          </w:p>
        </w:tc>
      </w:tr>
      <w:tr w:rsidR="000923BB" w:rsidRPr="00FB3AC0" w14:paraId="2026A5C2" w14:textId="77777777" w:rsidTr="003A385F">
        <w:trPr>
          <w:trHeight w:val="273"/>
        </w:trPr>
        <w:tc>
          <w:tcPr>
            <w:tcW w:w="206" w:type="dxa"/>
            <w:vMerge w:val="restart"/>
            <w:tcBorders>
              <w:top w:val="nil"/>
              <w:left w:val="single" w:sz="12" w:space="0" w:color="000000"/>
              <w:bottom w:val="nil"/>
              <w:right w:val="nil"/>
            </w:tcBorders>
            <w:shd w:val="clear" w:color="000000" w:fill="FFFFFF"/>
          </w:tcPr>
          <w:p w14:paraId="3993E53E"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594" w:type="dxa"/>
            <w:tcBorders>
              <w:top w:val="nil"/>
              <w:left w:val="nil"/>
              <w:bottom w:val="nil"/>
              <w:right w:val="single" w:sz="12" w:space="0" w:color="000000"/>
            </w:tcBorders>
            <w:shd w:val="clear" w:color="000000" w:fill="FFFFFF"/>
          </w:tcPr>
          <w:p w14:paraId="79CE5E0D"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6</w:t>
            </w:r>
          </w:p>
        </w:tc>
        <w:tc>
          <w:tcPr>
            <w:tcW w:w="1123" w:type="dxa"/>
            <w:tcBorders>
              <w:top w:val="nil"/>
              <w:left w:val="single" w:sz="12" w:space="0" w:color="000000"/>
              <w:bottom w:val="nil"/>
              <w:right w:val="single" w:sz="2" w:space="0" w:color="000000"/>
            </w:tcBorders>
            <w:shd w:val="clear" w:color="000000" w:fill="FFFFFF"/>
            <w:vAlign w:val="center"/>
          </w:tcPr>
          <w:p w14:paraId="7CFB1374"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14:paraId="4726375C"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5.6</w:t>
            </w:r>
          </w:p>
        </w:tc>
      </w:tr>
      <w:tr w:rsidR="000923BB" w:rsidRPr="00FB3AC0" w14:paraId="59D1CFAD" w14:textId="77777777" w:rsidTr="003A385F">
        <w:trPr>
          <w:trHeight w:val="273"/>
        </w:trPr>
        <w:tc>
          <w:tcPr>
            <w:tcW w:w="206" w:type="dxa"/>
            <w:tcBorders>
              <w:top w:val="nil"/>
              <w:left w:val="single" w:sz="12" w:space="0" w:color="000000"/>
              <w:bottom w:val="single" w:sz="12" w:space="0" w:color="000000"/>
              <w:right w:val="nil"/>
            </w:tcBorders>
            <w:shd w:val="clear" w:color="000000" w:fill="FFFFFF"/>
          </w:tcPr>
          <w:p w14:paraId="05B1B515"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594" w:type="dxa"/>
            <w:tcBorders>
              <w:top w:val="nil"/>
              <w:left w:val="nil"/>
              <w:bottom w:val="single" w:sz="12" w:space="0" w:color="000000"/>
              <w:right w:val="single" w:sz="12" w:space="0" w:color="000000"/>
            </w:tcBorders>
            <w:shd w:val="clear" w:color="000000" w:fill="FFFFFF"/>
          </w:tcPr>
          <w:p w14:paraId="0D7CA38D"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14:paraId="019AFF31"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36</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323C994C"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100.0</w:t>
            </w:r>
          </w:p>
        </w:tc>
      </w:tr>
    </w:tbl>
    <w:p w14:paraId="611907BC" w14:textId="77777777" w:rsidR="000923BB" w:rsidRPr="00FB3AC0" w:rsidRDefault="000923BB" w:rsidP="000923BB">
      <w:pPr>
        <w:autoSpaceDE w:val="0"/>
        <w:autoSpaceDN w:val="0"/>
        <w:adjustRightInd w:val="0"/>
        <w:rPr>
          <w:rFonts w:cs="Arial"/>
          <w:color w:val="000000"/>
          <w:sz w:val="18"/>
          <w:szCs w:val="18"/>
          <w:lang w:val="en-US"/>
        </w:rPr>
      </w:pPr>
    </w:p>
    <w:p w14:paraId="184A9E67" w14:textId="77777777" w:rsidR="000923BB" w:rsidRPr="00FB3AC0" w:rsidRDefault="000923BB" w:rsidP="000923BB">
      <w:pPr>
        <w:tabs>
          <w:tab w:val="center" w:pos="3312"/>
        </w:tabs>
        <w:autoSpaceDE w:val="0"/>
        <w:autoSpaceDN w:val="0"/>
        <w:adjustRightInd w:val="0"/>
        <w:rPr>
          <w:rFonts w:cs="Arial"/>
          <w:b/>
          <w:bCs/>
          <w:color w:val="000000"/>
          <w:sz w:val="18"/>
          <w:szCs w:val="18"/>
          <w:lang w:val="en-US"/>
        </w:rPr>
      </w:pPr>
      <w:r w:rsidRPr="00FB3AC0">
        <w:rPr>
          <w:rFonts w:cs="Arial"/>
          <w:b/>
          <w:bCs/>
          <w:color w:val="000000"/>
          <w:sz w:val="18"/>
          <w:szCs w:val="18"/>
          <w:lang w:val="en-US"/>
        </w:rPr>
        <w:t>pH less than 735 at any time?</w:t>
      </w:r>
    </w:p>
    <w:p w14:paraId="01AB8680" w14:textId="77777777" w:rsidR="000923BB" w:rsidRPr="00FB3AC0" w:rsidRDefault="000923BB" w:rsidP="000923BB">
      <w:pPr>
        <w:tabs>
          <w:tab w:val="center" w:pos="3312"/>
        </w:tabs>
        <w:autoSpaceDE w:val="0"/>
        <w:autoSpaceDN w:val="0"/>
        <w:adjustRightInd w:val="0"/>
        <w:rPr>
          <w:rFonts w:cs="Arial"/>
          <w:b/>
          <w:bCs/>
          <w:color w:val="000000"/>
          <w:sz w:val="18"/>
          <w:szCs w:val="18"/>
          <w:lang w:val="en-US"/>
        </w:rPr>
      </w:pPr>
    </w:p>
    <w:tbl>
      <w:tblPr>
        <w:tblW w:w="0" w:type="auto"/>
        <w:tblInd w:w="93" w:type="dxa"/>
        <w:tblLayout w:type="fixed"/>
        <w:tblCellMar>
          <w:left w:w="93" w:type="dxa"/>
          <w:right w:w="93" w:type="dxa"/>
        </w:tblCellMar>
        <w:tblLook w:val="0000" w:firstRow="0" w:lastRow="0" w:firstColumn="0" w:lastColumn="0" w:noHBand="0" w:noVBand="0"/>
      </w:tblPr>
      <w:tblGrid>
        <w:gridCol w:w="206"/>
        <w:gridCol w:w="1291"/>
        <w:gridCol w:w="1123"/>
        <w:gridCol w:w="1080"/>
      </w:tblGrid>
      <w:tr w:rsidR="000923BB" w:rsidRPr="00FB3AC0" w14:paraId="37EAC125" w14:textId="77777777" w:rsidTr="003A385F">
        <w:trPr>
          <w:trHeight w:val="504"/>
        </w:trPr>
        <w:tc>
          <w:tcPr>
            <w:tcW w:w="1497"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2C538F01"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1CA1DD2E"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n</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08AEE097"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Percent</w:t>
            </w:r>
          </w:p>
        </w:tc>
      </w:tr>
      <w:tr w:rsidR="000923BB" w:rsidRPr="00FB3AC0" w14:paraId="012804B4" w14:textId="77777777" w:rsidTr="003A385F">
        <w:trPr>
          <w:trHeight w:val="428"/>
        </w:trPr>
        <w:tc>
          <w:tcPr>
            <w:tcW w:w="206" w:type="dxa"/>
            <w:tcBorders>
              <w:top w:val="single" w:sz="12" w:space="0" w:color="000000"/>
              <w:left w:val="single" w:sz="12" w:space="0" w:color="000000"/>
              <w:bottom w:val="nil"/>
              <w:right w:val="nil"/>
            </w:tcBorders>
            <w:shd w:val="clear" w:color="000000" w:fill="FFFFFF"/>
          </w:tcPr>
          <w:p w14:paraId="44007C70" w14:textId="77777777" w:rsidR="000923BB" w:rsidRPr="00FB3AC0" w:rsidRDefault="000923BB" w:rsidP="003A385F">
            <w:pPr>
              <w:autoSpaceDE w:val="0"/>
              <w:autoSpaceDN w:val="0"/>
              <w:adjustRightInd w:val="0"/>
              <w:rPr>
                <w:rFonts w:cs="Arial"/>
                <w:color w:val="000000"/>
                <w:sz w:val="18"/>
                <w:szCs w:val="18"/>
                <w:lang w:val="en-US"/>
              </w:rPr>
            </w:pPr>
          </w:p>
        </w:tc>
        <w:tc>
          <w:tcPr>
            <w:tcW w:w="1291" w:type="dxa"/>
            <w:tcBorders>
              <w:top w:val="single" w:sz="12" w:space="0" w:color="000000"/>
              <w:left w:val="nil"/>
              <w:bottom w:val="nil"/>
              <w:right w:val="single" w:sz="12" w:space="0" w:color="000000"/>
            </w:tcBorders>
            <w:shd w:val="clear" w:color="000000" w:fill="FFFFFF"/>
          </w:tcPr>
          <w:p w14:paraId="61B29FEA"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Missing data</w:t>
            </w:r>
          </w:p>
        </w:tc>
        <w:tc>
          <w:tcPr>
            <w:tcW w:w="1123" w:type="dxa"/>
            <w:tcBorders>
              <w:top w:val="single" w:sz="12" w:space="0" w:color="000000"/>
              <w:left w:val="single" w:sz="12" w:space="0" w:color="000000"/>
              <w:bottom w:val="nil"/>
              <w:right w:val="single" w:sz="2" w:space="0" w:color="000000"/>
            </w:tcBorders>
            <w:shd w:val="clear" w:color="000000" w:fill="FFFFFF"/>
          </w:tcPr>
          <w:p w14:paraId="1CADBBF0" w14:textId="77777777" w:rsidR="000923BB" w:rsidRPr="00FB3AC0" w:rsidRDefault="000923BB" w:rsidP="003A385F">
            <w:pPr>
              <w:rPr>
                <w:rFonts w:cs="Arial"/>
                <w:sz w:val="20"/>
                <w:szCs w:val="20"/>
              </w:rPr>
            </w:pPr>
            <w:r w:rsidRPr="00FB3AC0">
              <w:rPr>
                <w:rFonts w:cs="Arial"/>
                <w:sz w:val="20"/>
                <w:szCs w:val="20"/>
              </w:rPr>
              <w:t>6</w:t>
            </w:r>
          </w:p>
        </w:tc>
        <w:tc>
          <w:tcPr>
            <w:tcW w:w="1080" w:type="dxa"/>
            <w:tcBorders>
              <w:top w:val="single" w:sz="12" w:space="0" w:color="000000"/>
              <w:left w:val="single" w:sz="2" w:space="0" w:color="000000"/>
              <w:bottom w:val="nil"/>
              <w:right w:val="single" w:sz="2" w:space="0" w:color="000000"/>
            </w:tcBorders>
            <w:shd w:val="clear" w:color="000000" w:fill="FFFFFF"/>
          </w:tcPr>
          <w:p w14:paraId="500F9731" w14:textId="77777777" w:rsidR="000923BB" w:rsidRPr="00FB3AC0" w:rsidRDefault="000923BB" w:rsidP="003A385F">
            <w:pPr>
              <w:rPr>
                <w:rFonts w:cs="Arial"/>
                <w:sz w:val="20"/>
                <w:szCs w:val="20"/>
              </w:rPr>
            </w:pPr>
            <w:r w:rsidRPr="00FB3AC0">
              <w:rPr>
                <w:rFonts w:cs="Arial"/>
                <w:sz w:val="20"/>
                <w:szCs w:val="20"/>
              </w:rPr>
              <w:t>16.7</w:t>
            </w:r>
          </w:p>
        </w:tc>
      </w:tr>
      <w:tr w:rsidR="000923BB" w:rsidRPr="00FB3AC0" w14:paraId="5E7A81CD" w14:textId="77777777" w:rsidTr="003A385F">
        <w:trPr>
          <w:trHeight w:val="273"/>
        </w:trPr>
        <w:tc>
          <w:tcPr>
            <w:tcW w:w="206" w:type="dxa"/>
            <w:tcBorders>
              <w:top w:val="nil"/>
              <w:left w:val="single" w:sz="12" w:space="0" w:color="000000"/>
              <w:bottom w:val="nil"/>
              <w:right w:val="nil"/>
            </w:tcBorders>
            <w:shd w:val="clear" w:color="000000" w:fill="FFFFFF"/>
          </w:tcPr>
          <w:p w14:paraId="77490EF5"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291" w:type="dxa"/>
            <w:tcBorders>
              <w:top w:val="nil"/>
              <w:left w:val="nil"/>
              <w:bottom w:val="nil"/>
              <w:right w:val="single" w:sz="12" w:space="0" w:color="000000"/>
            </w:tcBorders>
            <w:shd w:val="clear" w:color="000000" w:fill="FFFFFF"/>
          </w:tcPr>
          <w:p w14:paraId="48CFB53B"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no</w:t>
            </w:r>
          </w:p>
        </w:tc>
        <w:tc>
          <w:tcPr>
            <w:tcW w:w="1123" w:type="dxa"/>
            <w:tcBorders>
              <w:top w:val="nil"/>
              <w:left w:val="single" w:sz="12" w:space="0" w:color="000000"/>
              <w:bottom w:val="nil"/>
              <w:right w:val="single" w:sz="2" w:space="0" w:color="000000"/>
            </w:tcBorders>
            <w:shd w:val="clear" w:color="000000" w:fill="FFFFFF"/>
          </w:tcPr>
          <w:p w14:paraId="636870EC" w14:textId="77777777" w:rsidR="000923BB" w:rsidRPr="00FB3AC0" w:rsidRDefault="000923BB" w:rsidP="003A385F">
            <w:pPr>
              <w:rPr>
                <w:rFonts w:cs="Arial"/>
                <w:sz w:val="20"/>
                <w:szCs w:val="20"/>
              </w:rPr>
            </w:pPr>
            <w:r w:rsidRPr="00FB3AC0">
              <w:rPr>
                <w:rFonts w:cs="Arial"/>
                <w:sz w:val="20"/>
                <w:szCs w:val="20"/>
              </w:rPr>
              <w:t>17</w:t>
            </w:r>
          </w:p>
        </w:tc>
        <w:tc>
          <w:tcPr>
            <w:tcW w:w="1080" w:type="dxa"/>
            <w:tcBorders>
              <w:top w:val="nil"/>
              <w:left w:val="single" w:sz="2" w:space="0" w:color="000000"/>
              <w:bottom w:val="nil"/>
              <w:right w:val="single" w:sz="2" w:space="0" w:color="000000"/>
            </w:tcBorders>
            <w:shd w:val="clear" w:color="000000" w:fill="FFFFFF"/>
          </w:tcPr>
          <w:p w14:paraId="38C0FB6E" w14:textId="77777777" w:rsidR="000923BB" w:rsidRPr="00FB3AC0" w:rsidRDefault="000923BB" w:rsidP="003A385F">
            <w:pPr>
              <w:rPr>
                <w:rFonts w:cs="Arial"/>
                <w:sz w:val="20"/>
                <w:szCs w:val="20"/>
              </w:rPr>
            </w:pPr>
            <w:r w:rsidRPr="00FB3AC0">
              <w:rPr>
                <w:rFonts w:cs="Arial"/>
                <w:sz w:val="20"/>
                <w:szCs w:val="20"/>
              </w:rPr>
              <w:t>47.2</w:t>
            </w:r>
          </w:p>
        </w:tc>
      </w:tr>
      <w:tr w:rsidR="000923BB" w:rsidRPr="00FB3AC0" w14:paraId="4EAAFE9B" w14:textId="77777777" w:rsidTr="003A385F">
        <w:trPr>
          <w:trHeight w:val="273"/>
        </w:trPr>
        <w:tc>
          <w:tcPr>
            <w:tcW w:w="206" w:type="dxa"/>
            <w:tcBorders>
              <w:top w:val="nil"/>
              <w:left w:val="single" w:sz="12" w:space="0" w:color="000000"/>
              <w:bottom w:val="nil"/>
              <w:right w:val="nil"/>
            </w:tcBorders>
            <w:shd w:val="clear" w:color="000000" w:fill="FFFFFF"/>
          </w:tcPr>
          <w:p w14:paraId="1CD28352"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291" w:type="dxa"/>
            <w:tcBorders>
              <w:top w:val="nil"/>
              <w:left w:val="nil"/>
              <w:bottom w:val="nil"/>
              <w:right w:val="single" w:sz="12" w:space="0" w:color="000000"/>
            </w:tcBorders>
            <w:shd w:val="clear" w:color="000000" w:fill="FFFFFF"/>
          </w:tcPr>
          <w:p w14:paraId="53049F34"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yes</w:t>
            </w:r>
          </w:p>
        </w:tc>
        <w:tc>
          <w:tcPr>
            <w:tcW w:w="1123" w:type="dxa"/>
            <w:tcBorders>
              <w:top w:val="nil"/>
              <w:left w:val="single" w:sz="12" w:space="0" w:color="000000"/>
              <w:bottom w:val="nil"/>
              <w:right w:val="single" w:sz="2" w:space="0" w:color="000000"/>
            </w:tcBorders>
            <w:shd w:val="clear" w:color="000000" w:fill="FFFFFF"/>
          </w:tcPr>
          <w:p w14:paraId="735C737E" w14:textId="77777777" w:rsidR="000923BB" w:rsidRPr="00FB3AC0" w:rsidRDefault="000923BB" w:rsidP="003A385F">
            <w:pPr>
              <w:rPr>
                <w:rFonts w:cs="Arial"/>
                <w:sz w:val="20"/>
                <w:szCs w:val="20"/>
              </w:rPr>
            </w:pPr>
            <w:r w:rsidRPr="00FB3AC0">
              <w:rPr>
                <w:rFonts w:cs="Arial"/>
                <w:sz w:val="20"/>
                <w:szCs w:val="20"/>
              </w:rPr>
              <w:t>13</w:t>
            </w:r>
          </w:p>
        </w:tc>
        <w:tc>
          <w:tcPr>
            <w:tcW w:w="1080" w:type="dxa"/>
            <w:tcBorders>
              <w:top w:val="nil"/>
              <w:left w:val="single" w:sz="2" w:space="0" w:color="000000"/>
              <w:bottom w:val="nil"/>
              <w:right w:val="single" w:sz="2" w:space="0" w:color="000000"/>
            </w:tcBorders>
            <w:shd w:val="clear" w:color="000000" w:fill="FFFFFF"/>
          </w:tcPr>
          <w:p w14:paraId="3CC78E4D" w14:textId="77777777" w:rsidR="000923BB" w:rsidRPr="00FB3AC0" w:rsidRDefault="000923BB" w:rsidP="003A385F">
            <w:pPr>
              <w:rPr>
                <w:rFonts w:cs="Arial"/>
                <w:sz w:val="20"/>
                <w:szCs w:val="20"/>
              </w:rPr>
            </w:pPr>
            <w:r w:rsidRPr="00FB3AC0">
              <w:rPr>
                <w:rFonts w:cs="Arial"/>
                <w:sz w:val="20"/>
                <w:szCs w:val="20"/>
              </w:rPr>
              <w:t>36.1</w:t>
            </w:r>
          </w:p>
        </w:tc>
      </w:tr>
      <w:tr w:rsidR="000923BB" w:rsidRPr="00FB3AC0" w14:paraId="760AB4A7" w14:textId="77777777" w:rsidTr="003A385F">
        <w:trPr>
          <w:trHeight w:val="273"/>
        </w:trPr>
        <w:tc>
          <w:tcPr>
            <w:tcW w:w="206" w:type="dxa"/>
            <w:tcBorders>
              <w:top w:val="nil"/>
              <w:left w:val="single" w:sz="12" w:space="0" w:color="000000"/>
              <w:bottom w:val="single" w:sz="12" w:space="0" w:color="000000"/>
              <w:right w:val="nil"/>
            </w:tcBorders>
            <w:shd w:val="clear" w:color="000000" w:fill="FFFFFF"/>
          </w:tcPr>
          <w:p w14:paraId="10F669F6"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291" w:type="dxa"/>
            <w:tcBorders>
              <w:top w:val="nil"/>
              <w:left w:val="nil"/>
              <w:bottom w:val="single" w:sz="12" w:space="0" w:color="000000"/>
              <w:right w:val="single" w:sz="12" w:space="0" w:color="000000"/>
            </w:tcBorders>
            <w:shd w:val="clear" w:color="000000" w:fill="FFFFFF"/>
          </w:tcPr>
          <w:p w14:paraId="584BBA30"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Total</w:t>
            </w:r>
          </w:p>
        </w:tc>
        <w:tc>
          <w:tcPr>
            <w:tcW w:w="1123" w:type="dxa"/>
            <w:tcBorders>
              <w:top w:val="nil"/>
              <w:left w:val="single" w:sz="12" w:space="0" w:color="000000"/>
              <w:bottom w:val="single" w:sz="12" w:space="0" w:color="000000"/>
              <w:right w:val="single" w:sz="2" w:space="0" w:color="000000"/>
            </w:tcBorders>
            <w:shd w:val="clear" w:color="000000" w:fill="FFFFFF"/>
          </w:tcPr>
          <w:p w14:paraId="6C32A9A3" w14:textId="77777777" w:rsidR="000923BB" w:rsidRPr="00FB3AC0" w:rsidRDefault="000923BB" w:rsidP="003A385F">
            <w:pPr>
              <w:rPr>
                <w:rFonts w:cs="Arial"/>
                <w:sz w:val="20"/>
                <w:szCs w:val="20"/>
              </w:rPr>
            </w:pPr>
            <w:r w:rsidRPr="00FB3AC0">
              <w:rPr>
                <w:rFonts w:cs="Arial"/>
                <w:sz w:val="20"/>
                <w:szCs w:val="20"/>
              </w:rPr>
              <w:t>36</w:t>
            </w:r>
          </w:p>
        </w:tc>
        <w:tc>
          <w:tcPr>
            <w:tcW w:w="1080" w:type="dxa"/>
            <w:tcBorders>
              <w:top w:val="nil"/>
              <w:left w:val="single" w:sz="2" w:space="0" w:color="000000"/>
              <w:bottom w:val="single" w:sz="12" w:space="0" w:color="000000"/>
              <w:right w:val="single" w:sz="2" w:space="0" w:color="000000"/>
            </w:tcBorders>
            <w:shd w:val="clear" w:color="000000" w:fill="FFFFFF"/>
          </w:tcPr>
          <w:p w14:paraId="6EA2C920" w14:textId="77777777" w:rsidR="000923BB" w:rsidRPr="00FB3AC0" w:rsidRDefault="000923BB" w:rsidP="003A385F">
            <w:pPr>
              <w:rPr>
                <w:rFonts w:cs="Arial"/>
                <w:sz w:val="20"/>
                <w:szCs w:val="20"/>
              </w:rPr>
            </w:pPr>
            <w:r w:rsidRPr="00FB3AC0">
              <w:rPr>
                <w:rFonts w:cs="Arial"/>
                <w:sz w:val="20"/>
                <w:szCs w:val="20"/>
              </w:rPr>
              <w:t>100.0</w:t>
            </w:r>
          </w:p>
        </w:tc>
      </w:tr>
    </w:tbl>
    <w:p w14:paraId="13C15764" w14:textId="77777777" w:rsidR="000923BB" w:rsidRPr="00FB3AC0" w:rsidRDefault="000923BB" w:rsidP="000923BB">
      <w:pPr>
        <w:autoSpaceDE w:val="0"/>
        <w:autoSpaceDN w:val="0"/>
        <w:adjustRightInd w:val="0"/>
        <w:rPr>
          <w:rFonts w:cs="Arial"/>
          <w:color w:val="000000"/>
          <w:sz w:val="18"/>
          <w:szCs w:val="18"/>
          <w:lang w:val="en-US"/>
        </w:rPr>
      </w:pPr>
    </w:p>
    <w:p w14:paraId="7B426061" w14:textId="77777777" w:rsidR="000923BB" w:rsidRPr="00FB3AC0" w:rsidRDefault="000923BB" w:rsidP="000923BB">
      <w:pPr>
        <w:rPr>
          <w:rFonts w:cs="Arial"/>
          <w:b/>
          <w:sz w:val="28"/>
          <w:szCs w:val="28"/>
        </w:rPr>
      </w:pPr>
    </w:p>
    <w:p w14:paraId="3C786D43" w14:textId="77777777" w:rsidR="000923BB" w:rsidRPr="00FB3AC0" w:rsidRDefault="000923BB" w:rsidP="000923BB">
      <w:pPr>
        <w:rPr>
          <w:rFonts w:cs="Arial"/>
          <w:b/>
          <w:sz w:val="28"/>
          <w:szCs w:val="28"/>
        </w:rPr>
      </w:pPr>
    </w:p>
    <w:p w14:paraId="73047F46" w14:textId="77777777" w:rsidR="000923BB" w:rsidRDefault="000923BB" w:rsidP="000923BB">
      <w:pPr>
        <w:rPr>
          <w:rFonts w:cs="Arial"/>
          <w:b/>
          <w:sz w:val="28"/>
          <w:szCs w:val="28"/>
        </w:rPr>
      </w:pPr>
    </w:p>
    <w:p w14:paraId="0E939BC4" w14:textId="77777777" w:rsidR="000923BB" w:rsidRDefault="000923BB" w:rsidP="000923BB">
      <w:pPr>
        <w:rPr>
          <w:rFonts w:cs="Arial"/>
          <w:b/>
          <w:sz w:val="28"/>
          <w:szCs w:val="28"/>
        </w:rPr>
      </w:pPr>
    </w:p>
    <w:p w14:paraId="4FCB6114" w14:textId="77777777" w:rsidR="000923BB" w:rsidRDefault="000923BB" w:rsidP="000923BB">
      <w:pPr>
        <w:rPr>
          <w:rFonts w:cs="Arial"/>
          <w:b/>
          <w:sz w:val="28"/>
          <w:szCs w:val="28"/>
        </w:rPr>
      </w:pPr>
    </w:p>
    <w:p w14:paraId="485822EB" w14:textId="77777777" w:rsidR="000923BB" w:rsidRDefault="000923BB" w:rsidP="000923BB">
      <w:pPr>
        <w:rPr>
          <w:rFonts w:cs="Arial"/>
          <w:b/>
          <w:sz w:val="28"/>
          <w:szCs w:val="28"/>
        </w:rPr>
      </w:pPr>
    </w:p>
    <w:p w14:paraId="7840655D" w14:textId="77777777" w:rsidR="000923BB" w:rsidRDefault="000923BB" w:rsidP="000923BB">
      <w:pPr>
        <w:rPr>
          <w:rFonts w:cs="Arial"/>
          <w:b/>
          <w:sz w:val="28"/>
          <w:szCs w:val="28"/>
        </w:rPr>
      </w:pPr>
    </w:p>
    <w:p w14:paraId="597D9260" w14:textId="77777777" w:rsidR="000923BB" w:rsidRDefault="000923BB" w:rsidP="000923BB">
      <w:pPr>
        <w:rPr>
          <w:rFonts w:cs="Arial"/>
          <w:b/>
          <w:sz w:val="28"/>
          <w:szCs w:val="28"/>
        </w:rPr>
      </w:pPr>
    </w:p>
    <w:p w14:paraId="416554CD" w14:textId="77777777" w:rsidR="000923BB" w:rsidRPr="00FB3AC0" w:rsidRDefault="000923BB" w:rsidP="000923BB">
      <w:pPr>
        <w:rPr>
          <w:rFonts w:cs="Arial"/>
          <w:b/>
          <w:sz w:val="28"/>
          <w:szCs w:val="28"/>
        </w:rPr>
      </w:pPr>
      <w:r w:rsidRPr="00FB3AC0">
        <w:rPr>
          <w:rFonts w:cs="Arial"/>
          <w:b/>
          <w:sz w:val="28"/>
          <w:szCs w:val="28"/>
        </w:rPr>
        <w:lastRenderedPageBreak/>
        <w:t>Pre-discharge phase</w:t>
      </w:r>
    </w:p>
    <w:p w14:paraId="677313D6" w14:textId="77777777" w:rsidR="000923BB" w:rsidRPr="00FB3AC0" w:rsidRDefault="000923BB" w:rsidP="000923BB">
      <w:pPr>
        <w:rPr>
          <w:rFonts w:cs="Arial"/>
          <w:b/>
          <w:sz w:val="28"/>
          <w:szCs w:val="28"/>
        </w:rPr>
      </w:pPr>
    </w:p>
    <w:p w14:paraId="44CCF101" w14:textId="77777777" w:rsidR="000923BB" w:rsidRPr="004932C5" w:rsidRDefault="000923BB" w:rsidP="000923BB">
      <w:pPr>
        <w:rPr>
          <w:rFonts w:cs="Arial"/>
          <w:b/>
        </w:rPr>
      </w:pPr>
      <w:r w:rsidRPr="004932C5">
        <w:rPr>
          <w:rFonts w:cs="Arial"/>
          <w:b/>
        </w:rPr>
        <w:t xml:space="preserve">Rating scale results: quality of care ratings for the pre-discharge phase </w:t>
      </w:r>
    </w:p>
    <w:p w14:paraId="05467B4C" w14:textId="77777777" w:rsidR="000923BB" w:rsidRPr="00FB3AC0" w:rsidRDefault="000923BB" w:rsidP="000923BB">
      <w:pPr>
        <w:rPr>
          <w:rFonts w:cs="Arial"/>
          <w:b/>
          <w:sz w:val="28"/>
          <w:szCs w:val="28"/>
        </w:rPr>
      </w:pPr>
    </w:p>
    <w:p w14:paraId="7BF4D478" w14:textId="77777777" w:rsidR="000923BB" w:rsidRDefault="000923BB" w:rsidP="000923BB">
      <w:pPr>
        <w:rPr>
          <w:rFonts w:cs="Arial"/>
          <w:b/>
          <w:sz w:val="22"/>
          <w:szCs w:val="22"/>
        </w:rPr>
      </w:pPr>
      <w:r w:rsidRPr="00FB3AC0">
        <w:rPr>
          <w:rFonts w:cs="Arial"/>
          <w:b/>
          <w:sz w:val="22"/>
          <w:szCs w:val="22"/>
        </w:rPr>
        <w:t>Please note, some of these results are subjective and are the opinions of the individual</w:t>
      </w:r>
      <w:r>
        <w:rPr>
          <w:rFonts w:cs="Arial"/>
          <w:b/>
          <w:sz w:val="22"/>
          <w:szCs w:val="22"/>
        </w:rPr>
        <w:t xml:space="preserve"> reviewers</w:t>
      </w:r>
      <w:r w:rsidRPr="00FB3AC0">
        <w:rPr>
          <w:rFonts w:cs="Arial"/>
          <w:b/>
          <w:sz w:val="22"/>
          <w:szCs w:val="22"/>
        </w:rPr>
        <w:t xml:space="preserve"> </w:t>
      </w:r>
    </w:p>
    <w:p w14:paraId="7A87F2D5" w14:textId="77777777" w:rsidR="000923BB" w:rsidRDefault="000923BB" w:rsidP="000923BB">
      <w:pPr>
        <w:rPr>
          <w:rFonts w:cs="Arial"/>
          <w:b/>
          <w:sz w:val="22"/>
          <w:szCs w:val="22"/>
        </w:rPr>
      </w:pPr>
    </w:p>
    <w:p w14:paraId="4C7BBD4E" w14:textId="77777777" w:rsidR="000923BB" w:rsidRPr="00FB3AC0" w:rsidRDefault="000923BB" w:rsidP="000923BB">
      <w:pPr>
        <w:rPr>
          <w:rFonts w:cs="Arial"/>
          <w:b/>
          <w:sz w:val="28"/>
          <w:szCs w:val="28"/>
        </w:rPr>
      </w:pPr>
      <w:r>
        <w:rPr>
          <w:rFonts w:cs="Arial"/>
          <w:noProof/>
          <w:sz w:val="14"/>
          <w:szCs w:val="14"/>
          <w:lang w:eastAsia="en-GB" w:bidi="ar-SA"/>
        </w:rPr>
        <w:drawing>
          <wp:inline distT="0" distB="0" distL="0" distR="0" wp14:anchorId="1692CCA1" wp14:editId="18C0F091">
            <wp:extent cx="4500245" cy="4222115"/>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cstate="print"/>
                    <a:srcRect/>
                    <a:stretch>
                      <a:fillRect/>
                    </a:stretch>
                  </pic:blipFill>
                  <pic:spPr bwMode="auto">
                    <a:xfrm>
                      <a:off x="0" y="0"/>
                      <a:ext cx="4500245" cy="4222115"/>
                    </a:xfrm>
                    <a:prstGeom prst="rect">
                      <a:avLst/>
                    </a:prstGeom>
                    <a:noFill/>
                    <a:ln w="9525">
                      <a:noFill/>
                      <a:miter lim="800000"/>
                      <a:headEnd/>
                      <a:tailEnd/>
                    </a:ln>
                  </pic:spPr>
                </pic:pic>
              </a:graphicData>
            </a:graphic>
          </wp:inline>
        </w:drawing>
      </w:r>
    </w:p>
    <w:p w14:paraId="421A30C7" w14:textId="77777777" w:rsidR="000923BB" w:rsidRPr="00F54264" w:rsidRDefault="000923BB" w:rsidP="000923BB">
      <w:pPr>
        <w:rPr>
          <w:rFonts w:cs="Arial"/>
          <w:b/>
        </w:rPr>
      </w:pPr>
      <w:r w:rsidRPr="00F54264">
        <w:rPr>
          <w:rFonts w:cs="Arial"/>
          <w:b/>
        </w:rPr>
        <w:t>1 = unsatisfactory</w:t>
      </w:r>
    </w:p>
    <w:p w14:paraId="01CE1B29" w14:textId="77777777" w:rsidR="000923BB" w:rsidRPr="00F54264" w:rsidRDefault="000923BB" w:rsidP="000923BB">
      <w:pPr>
        <w:rPr>
          <w:rFonts w:cs="Arial"/>
          <w:b/>
        </w:rPr>
      </w:pPr>
      <w:r w:rsidRPr="00F54264">
        <w:rPr>
          <w:rFonts w:cs="Arial"/>
          <w:b/>
        </w:rPr>
        <w:t>6 = very best care</w:t>
      </w:r>
    </w:p>
    <w:p w14:paraId="5AF4B7B4" w14:textId="77777777" w:rsidR="000923BB" w:rsidRDefault="000923BB" w:rsidP="000923BB">
      <w:pPr>
        <w:rPr>
          <w:rFonts w:cs="Arial"/>
          <w:b/>
          <w:sz w:val="28"/>
          <w:szCs w:val="28"/>
        </w:rPr>
      </w:pPr>
    </w:p>
    <w:p w14:paraId="79385CFD" w14:textId="77777777" w:rsidR="004932C5" w:rsidRDefault="004932C5" w:rsidP="000923BB">
      <w:pPr>
        <w:rPr>
          <w:rFonts w:cs="Arial"/>
          <w:b/>
          <w:sz w:val="28"/>
          <w:szCs w:val="28"/>
        </w:rPr>
      </w:pPr>
    </w:p>
    <w:p w14:paraId="02545CA3" w14:textId="77777777" w:rsidR="004932C5" w:rsidRDefault="004932C5" w:rsidP="000923BB">
      <w:pPr>
        <w:rPr>
          <w:rFonts w:cs="Arial"/>
          <w:b/>
          <w:sz w:val="28"/>
          <w:szCs w:val="28"/>
        </w:rPr>
      </w:pPr>
    </w:p>
    <w:p w14:paraId="79727D1A" w14:textId="77777777" w:rsidR="004932C5" w:rsidRPr="00FB3AC0" w:rsidRDefault="004932C5" w:rsidP="000923BB">
      <w:pPr>
        <w:rPr>
          <w:rFonts w:cs="Arial"/>
          <w:b/>
          <w:sz w:val="28"/>
          <w:szCs w:val="28"/>
        </w:rPr>
      </w:pPr>
    </w:p>
    <w:p w14:paraId="38364EE0" w14:textId="77777777" w:rsidR="000923BB" w:rsidRPr="00FB3AC0" w:rsidRDefault="000923BB" w:rsidP="004932C5">
      <w:pPr>
        <w:rPr>
          <w:rFonts w:cs="Arial"/>
          <w:b/>
        </w:rPr>
      </w:pPr>
      <w:r w:rsidRPr="00FB3AC0">
        <w:rPr>
          <w:rFonts w:cs="Arial"/>
          <w:b/>
        </w:rPr>
        <w:lastRenderedPageBreak/>
        <w:t>Quality of care rating for the pre-discharge phase: all reviewers from site 439</w:t>
      </w:r>
    </w:p>
    <w:p w14:paraId="167CBEAB" w14:textId="77777777" w:rsidR="000923BB" w:rsidRPr="00FB3AC0" w:rsidRDefault="000923BB" w:rsidP="000923BB">
      <w:pPr>
        <w:rPr>
          <w:rFonts w:cs="Arial"/>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4"/>
        <w:gridCol w:w="1714"/>
        <w:gridCol w:w="1731"/>
        <w:gridCol w:w="1717"/>
        <w:gridCol w:w="1436"/>
      </w:tblGrid>
      <w:tr w:rsidR="000923BB" w:rsidRPr="00F955C6" w14:paraId="17D0115E" w14:textId="77777777" w:rsidTr="003C12FD">
        <w:tc>
          <w:tcPr>
            <w:tcW w:w="1624" w:type="dxa"/>
          </w:tcPr>
          <w:p w14:paraId="4AAB710D" w14:textId="77777777" w:rsidR="000923BB" w:rsidRPr="00F955C6" w:rsidRDefault="000923BB" w:rsidP="003A385F">
            <w:pPr>
              <w:jc w:val="center"/>
              <w:rPr>
                <w:rFonts w:cs="Arial"/>
                <w:b/>
                <w:sz w:val="22"/>
                <w:szCs w:val="22"/>
              </w:rPr>
            </w:pPr>
            <w:r w:rsidRPr="00F955C6">
              <w:rPr>
                <w:rFonts w:cs="Arial"/>
                <w:b/>
                <w:sz w:val="22"/>
                <w:szCs w:val="22"/>
              </w:rPr>
              <w:t>Reviewer</w:t>
            </w:r>
          </w:p>
        </w:tc>
        <w:tc>
          <w:tcPr>
            <w:tcW w:w="1714" w:type="dxa"/>
          </w:tcPr>
          <w:p w14:paraId="2E1CCBC7" w14:textId="77777777" w:rsidR="000923BB" w:rsidRPr="00F955C6" w:rsidRDefault="000923BB" w:rsidP="003A385F">
            <w:pPr>
              <w:jc w:val="center"/>
              <w:rPr>
                <w:rFonts w:cs="Arial"/>
                <w:b/>
                <w:sz w:val="22"/>
                <w:szCs w:val="22"/>
              </w:rPr>
            </w:pPr>
            <w:r w:rsidRPr="00F955C6">
              <w:rPr>
                <w:rFonts w:cs="Arial"/>
                <w:b/>
                <w:sz w:val="22"/>
                <w:szCs w:val="22"/>
              </w:rPr>
              <w:t>Mean quality of care rating</w:t>
            </w:r>
          </w:p>
        </w:tc>
        <w:tc>
          <w:tcPr>
            <w:tcW w:w="1731" w:type="dxa"/>
          </w:tcPr>
          <w:p w14:paraId="21C252C8" w14:textId="77777777" w:rsidR="000923BB" w:rsidRPr="00F955C6" w:rsidRDefault="000923BB" w:rsidP="003A385F">
            <w:pPr>
              <w:jc w:val="center"/>
              <w:rPr>
                <w:rFonts w:cs="Arial"/>
                <w:b/>
                <w:sz w:val="22"/>
                <w:szCs w:val="22"/>
              </w:rPr>
            </w:pPr>
            <w:r w:rsidRPr="00F955C6">
              <w:rPr>
                <w:rFonts w:cs="Arial"/>
                <w:b/>
                <w:sz w:val="22"/>
                <w:szCs w:val="22"/>
              </w:rPr>
              <w:t>Standard deviation</w:t>
            </w:r>
          </w:p>
        </w:tc>
        <w:tc>
          <w:tcPr>
            <w:tcW w:w="1717" w:type="dxa"/>
          </w:tcPr>
          <w:p w14:paraId="36EE930E" w14:textId="77777777" w:rsidR="000923BB" w:rsidRPr="00F955C6" w:rsidRDefault="000923BB" w:rsidP="003A385F">
            <w:pPr>
              <w:jc w:val="center"/>
              <w:rPr>
                <w:rFonts w:cs="Arial"/>
                <w:b/>
                <w:sz w:val="22"/>
                <w:szCs w:val="22"/>
              </w:rPr>
            </w:pPr>
            <w:r w:rsidRPr="00F955C6">
              <w:rPr>
                <w:rFonts w:cs="Arial"/>
                <w:b/>
                <w:sz w:val="22"/>
                <w:szCs w:val="22"/>
              </w:rPr>
              <w:t>Median</w:t>
            </w:r>
          </w:p>
        </w:tc>
        <w:tc>
          <w:tcPr>
            <w:tcW w:w="1436" w:type="dxa"/>
          </w:tcPr>
          <w:p w14:paraId="798C561A" w14:textId="77777777" w:rsidR="000923BB" w:rsidRPr="00F955C6" w:rsidRDefault="000923BB" w:rsidP="003A385F">
            <w:pPr>
              <w:jc w:val="center"/>
              <w:rPr>
                <w:rFonts w:cs="Arial"/>
                <w:b/>
                <w:sz w:val="22"/>
                <w:szCs w:val="22"/>
              </w:rPr>
            </w:pPr>
            <w:r w:rsidRPr="00F955C6">
              <w:rPr>
                <w:rFonts w:cs="Arial"/>
                <w:b/>
                <w:sz w:val="22"/>
                <w:szCs w:val="22"/>
              </w:rPr>
              <w:t>Range</w:t>
            </w:r>
          </w:p>
        </w:tc>
      </w:tr>
      <w:tr w:rsidR="000923BB" w:rsidRPr="00F955C6" w14:paraId="5040EA91" w14:textId="77777777" w:rsidTr="003C12FD">
        <w:tc>
          <w:tcPr>
            <w:tcW w:w="1624" w:type="dxa"/>
          </w:tcPr>
          <w:p w14:paraId="2437089C" w14:textId="77777777" w:rsidR="000923BB" w:rsidRPr="00F955C6" w:rsidRDefault="000923BB" w:rsidP="003A385F">
            <w:pPr>
              <w:jc w:val="center"/>
              <w:rPr>
                <w:rFonts w:cs="Arial"/>
                <w:sz w:val="22"/>
                <w:szCs w:val="22"/>
              </w:rPr>
            </w:pPr>
            <w:r w:rsidRPr="00F955C6">
              <w:rPr>
                <w:rFonts w:cs="Arial"/>
                <w:sz w:val="22"/>
                <w:szCs w:val="22"/>
              </w:rPr>
              <w:t>5731</w:t>
            </w:r>
          </w:p>
        </w:tc>
        <w:tc>
          <w:tcPr>
            <w:tcW w:w="1714" w:type="dxa"/>
            <w:vAlign w:val="center"/>
          </w:tcPr>
          <w:p w14:paraId="6E520AC2" w14:textId="77777777" w:rsidR="000923BB" w:rsidRPr="00F955C6" w:rsidRDefault="000923BB" w:rsidP="003A385F">
            <w:pPr>
              <w:autoSpaceDE w:val="0"/>
              <w:autoSpaceDN w:val="0"/>
              <w:adjustRightInd w:val="0"/>
              <w:jc w:val="center"/>
              <w:rPr>
                <w:rFonts w:cs="Arial"/>
                <w:color w:val="000000"/>
                <w:sz w:val="22"/>
                <w:szCs w:val="22"/>
                <w:lang w:val="en-US"/>
              </w:rPr>
            </w:pPr>
            <w:r w:rsidRPr="00F955C6">
              <w:rPr>
                <w:rFonts w:cs="Arial"/>
                <w:color w:val="000000"/>
                <w:sz w:val="22"/>
                <w:szCs w:val="22"/>
                <w:lang w:val="en-US"/>
              </w:rPr>
              <w:t>4.5</w:t>
            </w:r>
          </w:p>
        </w:tc>
        <w:tc>
          <w:tcPr>
            <w:tcW w:w="1731" w:type="dxa"/>
            <w:vAlign w:val="center"/>
          </w:tcPr>
          <w:p w14:paraId="5C739642" w14:textId="77777777" w:rsidR="000923BB" w:rsidRPr="00F955C6" w:rsidRDefault="000923BB" w:rsidP="003A385F">
            <w:pPr>
              <w:autoSpaceDE w:val="0"/>
              <w:autoSpaceDN w:val="0"/>
              <w:adjustRightInd w:val="0"/>
              <w:jc w:val="center"/>
              <w:rPr>
                <w:rFonts w:cs="Arial"/>
                <w:color w:val="000000"/>
                <w:sz w:val="22"/>
                <w:szCs w:val="22"/>
                <w:lang w:val="en-US"/>
              </w:rPr>
            </w:pPr>
            <w:r w:rsidRPr="00F955C6">
              <w:rPr>
                <w:rFonts w:cs="Arial"/>
                <w:color w:val="000000"/>
                <w:sz w:val="22"/>
                <w:szCs w:val="22"/>
                <w:lang w:val="en-US"/>
              </w:rPr>
              <w:t>0.85</w:t>
            </w:r>
          </w:p>
        </w:tc>
        <w:tc>
          <w:tcPr>
            <w:tcW w:w="1717" w:type="dxa"/>
            <w:vAlign w:val="center"/>
          </w:tcPr>
          <w:p w14:paraId="59583D76" w14:textId="77777777" w:rsidR="000923BB" w:rsidRPr="00F955C6" w:rsidRDefault="000923BB" w:rsidP="003A385F">
            <w:pPr>
              <w:autoSpaceDE w:val="0"/>
              <w:autoSpaceDN w:val="0"/>
              <w:adjustRightInd w:val="0"/>
              <w:jc w:val="center"/>
              <w:rPr>
                <w:rFonts w:cs="Arial"/>
                <w:color w:val="000000"/>
                <w:sz w:val="22"/>
                <w:szCs w:val="22"/>
                <w:lang w:val="en-US"/>
              </w:rPr>
            </w:pPr>
            <w:r w:rsidRPr="00F955C6">
              <w:rPr>
                <w:rFonts w:cs="Arial"/>
                <w:color w:val="000000"/>
                <w:sz w:val="22"/>
                <w:szCs w:val="22"/>
                <w:lang w:val="en-US"/>
              </w:rPr>
              <w:t>5.0</w:t>
            </w:r>
          </w:p>
        </w:tc>
        <w:tc>
          <w:tcPr>
            <w:tcW w:w="1436" w:type="dxa"/>
          </w:tcPr>
          <w:p w14:paraId="293ACFC1" w14:textId="77777777" w:rsidR="000923BB" w:rsidRPr="00F955C6" w:rsidRDefault="000923BB" w:rsidP="003A385F">
            <w:pPr>
              <w:autoSpaceDE w:val="0"/>
              <w:autoSpaceDN w:val="0"/>
              <w:adjustRightInd w:val="0"/>
              <w:rPr>
                <w:rFonts w:cs="Arial"/>
                <w:color w:val="000000"/>
                <w:sz w:val="22"/>
                <w:szCs w:val="22"/>
                <w:lang w:val="en-US"/>
              </w:rPr>
            </w:pPr>
            <w:r w:rsidRPr="00F955C6">
              <w:rPr>
                <w:rFonts w:cs="Arial"/>
                <w:color w:val="000000"/>
                <w:sz w:val="22"/>
                <w:szCs w:val="22"/>
                <w:lang w:val="en-US"/>
              </w:rPr>
              <w:t xml:space="preserve">2.0 – 5.0 </w:t>
            </w:r>
          </w:p>
        </w:tc>
      </w:tr>
      <w:tr w:rsidR="000923BB" w:rsidRPr="00F955C6" w14:paraId="43A57A6B" w14:textId="77777777" w:rsidTr="003C12FD">
        <w:tc>
          <w:tcPr>
            <w:tcW w:w="1624" w:type="dxa"/>
          </w:tcPr>
          <w:p w14:paraId="65739324" w14:textId="77777777" w:rsidR="000923BB" w:rsidRPr="00F955C6" w:rsidRDefault="000923BB" w:rsidP="003A385F">
            <w:pPr>
              <w:jc w:val="center"/>
              <w:rPr>
                <w:rFonts w:cs="Arial"/>
                <w:sz w:val="22"/>
                <w:szCs w:val="22"/>
              </w:rPr>
            </w:pPr>
            <w:r w:rsidRPr="00F955C6">
              <w:rPr>
                <w:rFonts w:cs="Arial"/>
                <w:sz w:val="22"/>
                <w:szCs w:val="22"/>
              </w:rPr>
              <w:t>5732</w:t>
            </w:r>
          </w:p>
        </w:tc>
        <w:tc>
          <w:tcPr>
            <w:tcW w:w="1714" w:type="dxa"/>
            <w:vAlign w:val="center"/>
          </w:tcPr>
          <w:p w14:paraId="1DE0BD72" w14:textId="77777777" w:rsidR="000923BB" w:rsidRPr="00F955C6" w:rsidRDefault="000923BB" w:rsidP="003A385F">
            <w:pPr>
              <w:autoSpaceDE w:val="0"/>
              <w:autoSpaceDN w:val="0"/>
              <w:adjustRightInd w:val="0"/>
              <w:jc w:val="center"/>
              <w:rPr>
                <w:rFonts w:cs="Arial"/>
                <w:color w:val="000000"/>
                <w:sz w:val="22"/>
                <w:szCs w:val="22"/>
                <w:lang w:val="en-US"/>
              </w:rPr>
            </w:pPr>
            <w:r w:rsidRPr="00F955C6">
              <w:rPr>
                <w:rFonts w:cs="Arial"/>
                <w:color w:val="000000"/>
                <w:sz w:val="22"/>
                <w:szCs w:val="22"/>
                <w:lang w:val="en-US"/>
              </w:rPr>
              <w:t>4.4</w:t>
            </w:r>
          </w:p>
        </w:tc>
        <w:tc>
          <w:tcPr>
            <w:tcW w:w="1731" w:type="dxa"/>
            <w:vAlign w:val="center"/>
          </w:tcPr>
          <w:p w14:paraId="51D0916F" w14:textId="77777777" w:rsidR="000923BB" w:rsidRPr="00F955C6" w:rsidRDefault="000923BB" w:rsidP="003A385F">
            <w:pPr>
              <w:autoSpaceDE w:val="0"/>
              <w:autoSpaceDN w:val="0"/>
              <w:adjustRightInd w:val="0"/>
              <w:jc w:val="center"/>
              <w:rPr>
                <w:rFonts w:cs="Arial"/>
                <w:color w:val="000000"/>
                <w:sz w:val="22"/>
                <w:szCs w:val="22"/>
                <w:lang w:val="en-US"/>
              </w:rPr>
            </w:pPr>
            <w:r w:rsidRPr="00F955C6">
              <w:rPr>
                <w:rFonts w:cs="Arial"/>
                <w:color w:val="000000"/>
                <w:sz w:val="22"/>
                <w:szCs w:val="22"/>
                <w:lang w:val="en-US"/>
              </w:rPr>
              <w:t>0.89</w:t>
            </w:r>
          </w:p>
        </w:tc>
        <w:tc>
          <w:tcPr>
            <w:tcW w:w="1717" w:type="dxa"/>
            <w:vAlign w:val="center"/>
          </w:tcPr>
          <w:p w14:paraId="4968330E" w14:textId="77777777" w:rsidR="000923BB" w:rsidRPr="00F955C6" w:rsidRDefault="000923BB" w:rsidP="003A385F">
            <w:pPr>
              <w:autoSpaceDE w:val="0"/>
              <w:autoSpaceDN w:val="0"/>
              <w:adjustRightInd w:val="0"/>
              <w:jc w:val="center"/>
              <w:rPr>
                <w:rFonts w:cs="Arial"/>
                <w:color w:val="000000"/>
                <w:sz w:val="22"/>
                <w:szCs w:val="22"/>
                <w:lang w:val="en-US"/>
              </w:rPr>
            </w:pPr>
            <w:r w:rsidRPr="00F955C6">
              <w:rPr>
                <w:rFonts w:cs="Arial"/>
                <w:color w:val="000000"/>
                <w:sz w:val="22"/>
                <w:szCs w:val="22"/>
                <w:lang w:val="en-US"/>
              </w:rPr>
              <w:t>5.0</w:t>
            </w:r>
          </w:p>
        </w:tc>
        <w:tc>
          <w:tcPr>
            <w:tcW w:w="1436" w:type="dxa"/>
          </w:tcPr>
          <w:p w14:paraId="3D7B70DC" w14:textId="77777777" w:rsidR="000923BB" w:rsidRPr="00F955C6" w:rsidRDefault="000923BB" w:rsidP="003A385F">
            <w:pPr>
              <w:autoSpaceDE w:val="0"/>
              <w:autoSpaceDN w:val="0"/>
              <w:adjustRightInd w:val="0"/>
              <w:rPr>
                <w:rFonts w:cs="Arial"/>
                <w:color w:val="000000"/>
                <w:sz w:val="22"/>
                <w:szCs w:val="22"/>
                <w:lang w:val="en-US"/>
              </w:rPr>
            </w:pPr>
            <w:r w:rsidRPr="00F955C6">
              <w:rPr>
                <w:rFonts w:cs="Arial"/>
                <w:color w:val="000000"/>
                <w:sz w:val="22"/>
                <w:szCs w:val="22"/>
                <w:lang w:val="en-US"/>
              </w:rPr>
              <w:t xml:space="preserve">2.0 – 6.0 </w:t>
            </w:r>
          </w:p>
        </w:tc>
      </w:tr>
      <w:tr w:rsidR="000923BB" w:rsidRPr="00F955C6" w14:paraId="70C89526" w14:textId="77777777" w:rsidTr="003C12FD">
        <w:tc>
          <w:tcPr>
            <w:tcW w:w="1624" w:type="dxa"/>
          </w:tcPr>
          <w:p w14:paraId="3E563430" w14:textId="77777777" w:rsidR="000923BB" w:rsidRPr="00F955C6" w:rsidRDefault="000923BB" w:rsidP="003A385F">
            <w:pPr>
              <w:jc w:val="center"/>
              <w:rPr>
                <w:rFonts w:cs="Arial"/>
                <w:sz w:val="22"/>
                <w:szCs w:val="22"/>
              </w:rPr>
            </w:pPr>
            <w:r w:rsidRPr="00F955C6">
              <w:rPr>
                <w:rFonts w:cs="Arial"/>
                <w:sz w:val="22"/>
                <w:szCs w:val="22"/>
              </w:rPr>
              <w:t>5833</w:t>
            </w:r>
          </w:p>
        </w:tc>
        <w:tc>
          <w:tcPr>
            <w:tcW w:w="1714" w:type="dxa"/>
          </w:tcPr>
          <w:p w14:paraId="0C1CDCB3" w14:textId="77777777" w:rsidR="000923BB" w:rsidRPr="00F955C6" w:rsidRDefault="000923BB" w:rsidP="003A385F">
            <w:pPr>
              <w:jc w:val="center"/>
              <w:rPr>
                <w:rFonts w:cs="Arial"/>
                <w:sz w:val="22"/>
                <w:szCs w:val="22"/>
              </w:rPr>
            </w:pPr>
            <w:r w:rsidRPr="00F955C6">
              <w:rPr>
                <w:rFonts w:cs="Arial"/>
                <w:sz w:val="22"/>
                <w:szCs w:val="22"/>
              </w:rPr>
              <w:t>4.4</w:t>
            </w:r>
          </w:p>
        </w:tc>
        <w:tc>
          <w:tcPr>
            <w:tcW w:w="1731" w:type="dxa"/>
          </w:tcPr>
          <w:p w14:paraId="4A4B688A" w14:textId="77777777" w:rsidR="000923BB" w:rsidRPr="00F955C6" w:rsidRDefault="000923BB" w:rsidP="003A385F">
            <w:pPr>
              <w:jc w:val="center"/>
              <w:rPr>
                <w:rFonts w:cs="Arial"/>
                <w:sz w:val="22"/>
                <w:szCs w:val="22"/>
              </w:rPr>
            </w:pPr>
            <w:r w:rsidRPr="00F955C6">
              <w:rPr>
                <w:rFonts w:cs="Arial"/>
                <w:sz w:val="22"/>
                <w:szCs w:val="22"/>
              </w:rPr>
              <w:t>1.14</w:t>
            </w:r>
          </w:p>
        </w:tc>
        <w:tc>
          <w:tcPr>
            <w:tcW w:w="1717" w:type="dxa"/>
          </w:tcPr>
          <w:p w14:paraId="49F641BC" w14:textId="77777777" w:rsidR="000923BB" w:rsidRPr="00F955C6" w:rsidRDefault="000923BB" w:rsidP="003A385F">
            <w:pPr>
              <w:jc w:val="center"/>
              <w:rPr>
                <w:rFonts w:cs="Arial"/>
                <w:sz w:val="22"/>
                <w:szCs w:val="22"/>
              </w:rPr>
            </w:pPr>
            <w:r w:rsidRPr="00F955C6">
              <w:rPr>
                <w:rFonts w:cs="Arial"/>
                <w:sz w:val="22"/>
                <w:szCs w:val="22"/>
              </w:rPr>
              <w:t>5.0</w:t>
            </w:r>
          </w:p>
        </w:tc>
        <w:tc>
          <w:tcPr>
            <w:tcW w:w="1436" w:type="dxa"/>
          </w:tcPr>
          <w:p w14:paraId="0744ADB4" w14:textId="77777777" w:rsidR="000923BB" w:rsidRPr="00F955C6" w:rsidRDefault="000923BB" w:rsidP="003A385F">
            <w:pPr>
              <w:autoSpaceDE w:val="0"/>
              <w:autoSpaceDN w:val="0"/>
              <w:adjustRightInd w:val="0"/>
              <w:rPr>
                <w:rFonts w:cs="Arial"/>
                <w:sz w:val="22"/>
                <w:szCs w:val="22"/>
              </w:rPr>
            </w:pPr>
            <w:r w:rsidRPr="00F955C6">
              <w:rPr>
                <w:rFonts w:cs="Arial"/>
                <w:sz w:val="22"/>
                <w:szCs w:val="22"/>
              </w:rPr>
              <w:t xml:space="preserve">1.0 – 6.0 </w:t>
            </w:r>
          </w:p>
        </w:tc>
      </w:tr>
      <w:tr w:rsidR="000923BB" w:rsidRPr="00F955C6" w14:paraId="324D492D" w14:textId="77777777" w:rsidTr="003C12FD">
        <w:tc>
          <w:tcPr>
            <w:tcW w:w="1624" w:type="dxa"/>
          </w:tcPr>
          <w:p w14:paraId="5A0ECCF0" w14:textId="77777777" w:rsidR="000923BB" w:rsidRPr="00F955C6" w:rsidRDefault="000923BB" w:rsidP="003A385F">
            <w:pPr>
              <w:jc w:val="center"/>
              <w:rPr>
                <w:rFonts w:cs="Arial"/>
                <w:sz w:val="22"/>
                <w:szCs w:val="22"/>
              </w:rPr>
            </w:pPr>
            <w:r w:rsidRPr="00F955C6">
              <w:rPr>
                <w:rFonts w:cs="Arial"/>
                <w:sz w:val="22"/>
                <w:szCs w:val="22"/>
              </w:rPr>
              <w:t>5834</w:t>
            </w:r>
          </w:p>
        </w:tc>
        <w:tc>
          <w:tcPr>
            <w:tcW w:w="1714" w:type="dxa"/>
          </w:tcPr>
          <w:p w14:paraId="04D8F007" w14:textId="77777777" w:rsidR="000923BB" w:rsidRPr="00F955C6" w:rsidRDefault="000923BB" w:rsidP="003A385F">
            <w:pPr>
              <w:jc w:val="center"/>
              <w:rPr>
                <w:rFonts w:cs="Arial"/>
                <w:sz w:val="22"/>
                <w:szCs w:val="22"/>
              </w:rPr>
            </w:pPr>
            <w:r w:rsidRPr="00F955C6">
              <w:rPr>
                <w:rFonts w:cs="Arial"/>
                <w:sz w:val="22"/>
                <w:szCs w:val="22"/>
              </w:rPr>
              <w:t>4.6</w:t>
            </w:r>
          </w:p>
        </w:tc>
        <w:tc>
          <w:tcPr>
            <w:tcW w:w="1731" w:type="dxa"/>
          </w:tcPr>
          <w:p w14:paraId="117CF20C" w14:textId="77777777" w:rsidR="000923BB" w:rsidRPr="00F955C6" w:rsidRDefault="000923BB" w:rsidP="003A385F">
            <w:pPr>
              <w:jc w:val="center"/>
              <w:rPr>
                <w:rFonts w:cs="Arial"/>
                <w:sz w:val="22"/>
                <w:szCs w:val="22"/>
              </w:rPr>
            </w:pPr>
            <w:r w:rsidRPr="00F955C6">
              <w:rPr>
                <w:rFonts w:cs="Arial"/>
                <w:sz w:val="22"/>
                <w:szCs w:val="22"/>
              </w:rPr>
              <w:t>1.23</w:t>
            </w:r>
          </w:p>
        </w:tc>
        <w:tc>
          <w:tcPr>
            <w:tcW w:w="1717" w:type="dxa"/>
          </w:tcPr>
          <w:p w14:paraId="015E5E00" w14:textId="77777777" w:rsidR="000923BB" w:rsidRPr="00F955C6" w:rsidRDefault="000923BB" w:rsidP="003A385F">
            <w:pPr>
              <w:jc w:val="center"/>
              <w:rPr>
                <w:rFonts w:cs="Arial"/>
                <w:sz w:val="22"/>
                <w:szCs w:val="22"/>
              </w:rPr>
            </w:pPr>
            <w:r w:rsidRPr="00F955C6">
              <w:rPr>
                <w:rFonts w:cs="Arial"/>
                <w:sz w:val="22"/>
                <w:szCs w:val="22"/>
              </w:rPr>
              <w:t>5.0</w:t>
            </w:r>
          </w:p>
        </w:tc>
        <w:tc>
          <w:tcPr>
            <w:tcW w:w="1436" w:type="dxa"/>
          </w:tcPr>
          <w:p w14:paraId="1C48DCDA" w14:textId="77777777" w:rsidR="000923BB" w:rsidRPr="00F955C6" w:rsidRDefault="000923BB" w:rsidP="003A385F">
            <w:pPr>
              <w:autoSpaceDE w:val="0"/>
              <w:autoSpaceDN w:val="0"/>
              <w:adjustRightInd w:val="0"/>
              <w:rPr>
                <w:rFonts w:cs="Arial"/>
                <w:sz w:val="22"/>
                <w:szCs w:val="22"/>
              </w:rPr>
            </w:pPr>
            <w:r w:rsidRPr="00F955C6">
              <w:rPr>
                <w:rFonts w:cs="Arial"/>
                <w:sz w:val="22"/>
                <w:szCs w:val="22"/>
              </w:rPr>
              <w:t xml:space="preserve">1.0 – 6.0 </w:t>
            </w:r>
          </w:p>
        </w:tc>
      </w:tr>
    </w:tbl>
    <w:p w14:paraId="59FD083E" w14:textId="77777777" w:rsidR="000923BB" w:rsidRPr="00FB3AC0" w:rsidRDefault="000923BB" w:rsidP="000923BB">
      <w:pPr>
        <w:rPr>
          <w:rFonts w:cs="Arial"/>
          <w:b/>
        </w:rPr>
      </w:pPr>
    </w:p>
    <w:p w14:paraId="5B322041" w14:textId="77777777" w:rsidR="000923BB" w:rsidRPr="00FB3AC0" w:rsidRDefault="000923BB" w:rsidP="000923BB">
      <w:pPr>
        <w:rPr>
          <w:rFonts w:cs="Arial"/>
          <w:b/>
        </w:rPr>
      </w:pPr>
      <w:r w:rsidRPr="00FB3AC0">
        <w:rPr>
          <w:rFonts w:cs="Arial"/>
          <w:b/>
        </w:rPr>
        <w:t>Quality of care rating for the pre-discharge phase: all hospitals</w:t>
      </w:r>
    </w:p>
    <w:p w14:paraId="2D0C4B29" w14:textId="77777777" w:rsidR="000923BB" w:rsidRPr="00FB3AC0" w:rsidRDefault="000923BB" w:rsidP="000923BB">
      <w:pPr>
        <w:rPr>
          <w:rFonts w:cs="Arial"/>
          <w:b/>
        </w:rPr>
      </w:pPr>
    </w:p>
    <w:tbl>
      <w:tblPr>
        <w:tblW w:w="62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2"/>
        <w:gridCol w:w="953"/>
        <w:gridCol w:w="1270"/>
        <w:gridCol w:w="1043"/>
        <w:gridCol w:w="1348"/>
      </w:tblGrid>
      <w:tr w:rsidR="000923BB" w:rsidRPr="00F955C6" w14:paraId="30A81B32" w14:textId="77777777" w:rsidTr="003C12FD">
        <w:tc>
          <w:tcPr>
            <w:tcW w:w="1622" w:type="dxa"/>
          </w:tcPr>
          <w:p w14:paraId="4BAC2CCD" w14:textId="77777777" w:rsidR="000923BB" w:rsidRPr="00F955C6" w:rsidRDefault="000923BB" w:rsidP="003A385F">
            <w:pPr>
              <w:rPr>
                <w:rFonts w:cs="Arial"/>
                <w:b/>
              </w:rPr>
            </w:pPr>
            <w:r w:rsidRPr="00F955C6">
              <w:rPr>
                <w:rFonts w:cs="Arial"/>
                <w:b/>
              </w:rPr>
              <w:t>Hospital</w:t>
            </w:r>
          </w:p>
        </w:tc>
        <w:tc>
          <w:tcPr>
            <w:tcW w:w="953" w:type="dxa"/>
          </w:tcPr>
          <w:p w14:paraId="273F8433" w14:textId="77777777" w:rsidR="000923BB" w:rsidRPr="00F955C6" w:rsidRDefault="000923BB" w:rsidP="003A385F">
            <w:pPr>
              <w:rPr>
                <w:rFonts w:cs="Arial"/>
                <w:b/>
              </w:rPr>
            </w:pPr>
            <w:r w:rsidRPr="00F955C6">
              <w:rPr>
                <w:rFonts w:cs="Arial"/>
                <w:b/>
              </w:rPr>
              <w:t xml:space="preserve">Mean </w:t>
            </w:r>
          </w:p>
        </w:tc>
        <w:tc>
          <w:tcPr>
            <w:tcW w:w="1270" w:type="dxa"/>
          </w:tcPr>
          <w:p w14:paraId="4ABF5631" w14:textId="77777777" w:rsidR="000923BB" w:rsidRPr="00F955C6" w:rsidRDefault="000923BB" w:rsidP="003A385F">
            <w:pPr>
              <w:rPr>
                <w:rFonts w:cs="Arial"/>
                <w:b/>
              </w:rPr>
            </w:pPr>
            <w:r w:rsidRPr="00F955C6">
              <w:rPr>
                <w:rFonts w:cs="Arial"/>
                <w:b/>
              </w:rPr>
              <w:t>Standard deviation</w:t>
            </w:r>
          </w:p>
        </w:tc>
        <w:tc>
          <w:tcPr>
            <w:tcW w:w="1043" w:type="dxa"/>
          </w:tcPr>
          <w:p w14:paraId="295A8273" w14:textId="77777777" w:rsidR="000923BB" w:rsidRPr="00F955C6" w:rsidRDefault="000923BB" w:rsidP="003A385F">
            <w:pPr>
              <w:rPr>
                <w:rFonts w:cs="Arial"/>
                <w:b/>
              </w:rPr>
            </w:pPr>
            <w:r w:rsidRPr="00F955C6">
              <w:rPr>
                <w:rFonts w:cs="Arial"/>
                <w:b/>
              </w:rPr>
              <w:t xml:space="preserve">Median </w:t>
            </w:r>
          </w:p>
        </w:tc>
        <w:tc>
          <w:tcPr>
            <w:tcW w:w="1348" w:type="dxa"/>
          </w:tcPr>
          <w:p w14:paraId="104B37CB" w14:textId="77777777" w:rsidR="000923BB" w:rsidRPr="00F955C6" w:rsidRDefault="000923BB" w:rsidP="003A385F">
            <w:pPr>
              <w:rPr>
                <w:rFonts w:cs="Arial"/>
                <w:b/>
              </w:rPr>
            </w:pPr>
            <w:r w:rsidRPr="00F955C6">
              <w:rPr>
                <w:rFonts w:cs="Arial"/>
                <w:b/>
              </w:rPr>
              <w:t>Range</w:t>
            </w:r>
          </w:p>
        </w:tc>
      </w:tr>
      <w:tr w:rsidR="000923BB" w:rsidRPr="00F955C6" w14:paraId="3B7D13B6" w14:textId="77777777" w:rsidTr="003C12FD">
        <w:tc>
          <w:tcPr>
            <w:tcW w:w="1622" w:type="dxa"/>
          </w:tcPr>
          <w:p w14:paraId="3C282CB3" w14:textId="77777777" w:rsidR="000923BB" w:rsidRPr="00F955C6" w:rsidRDefault="000923BB" w:rsidP="003A385F">
            <w:pPr>
              <w:rPr>
                <w:rFonts w:cs="Arial"/>
              </w:rPr>
            </w:pPr>
            <w:r w:rsidRPr="00F955C6">
              <w:rPr>
                <w:rFonts w:cs="Arial"/>
              </w:rPr>
              <w:t>Hospital 203</w:t>
            </w:r>
          </w:p>
        </w:tc>
        <w:tc>
          <w:tcPr>
            <w:tcW w:w="953" w:type="dxa"/>
          </w:tcPr>
          <w:p w14:paraId="6C479934" w14:textId="77777777" w:rsidR="000923BB" w:rsidRPr="00F955C6" w:rsidRDefault="000923BB" w:rsidP="003A385F">
            <w:pPr>
              <w:jc w:val="center"/>
              <w:rPr>
                <w:rFonts w:cs="Arial"/>
              </w:rPr>
            </w:pPr>
            <w:r w:rsidRPr="00F955C6">
              <w:rPr>
                <w:rFonts w:cs="Arial"/>
              </w:rPr>
              <w:t>4.74</w:t>
            </w:r>
          </w:p>
        </w:tc>
        <w:tc>
          <w:tcPr>
            <w:tcW w:w="1270" w:type="dxa"/>
          </w:tcPr>
          <w:p w14:paraId="11CD595A" w14:textId="77777777" w:rsidR="000923BB" w:rsidRPr="00F955C6" w:rsidRDefault="000923BB" w:rsidP="003A385F">
            <w:pPr>
              <w:jc w:val="center"/>
              <w:rPr>
                <w:rFonts w:cs="Arial"/>
              </w:rPr>
            </w:pPr>
            <w:r w:rsidRPr="00F955C6">
              <w:rPr>
                <w:rFonts w:cs="Arial"/>
              </w:rPr>
              <w:t>0.76</w:t>
            </w:r>
          </w:p>
        </w:tc>
        <w:tc>
          <w:tcPr>
            <w:tcW w:w="1043" w:type="dxa"/>
          </w:tcPr>
          <w:p w14:paraId="0DE9961C" w14:textId="77777777" w:rsidR="000923BB" w:rsidRPr="00F955C6" w:rsidRDefault="000923BB" w:rsidP="003A385F">
            <w:pPr>
              <w:jc w:val="center"/>
              <w:rPr>
                <w:rFonts w:cs="Arial"/>
              </w:rPr>
            </w:pPr>
            <w:r w:rsidRPr="00F955C6">
              <w:rPr>
                <w:rFonts w:cs="Arial"/>
              </w:rPr>
              <w:t>5.0</w:t>
            </w:r>
          </w:p>
        </w:tc>
        <w:tc>
          <w:tcPr>
            <w:tcW w:w="1348" w:type="dxa"/>
          </w:tcPr>
          <w:p w14:paraId="55305D6D" w14:textId="77777777" w:rsidR="000923BB" w:rsidRPr="00F955C6" w:rsidRDefault="000923BB" w:rsidP="003A385F">
            <w:pPr>
              <w:jc w:val="center"/>
              <w:rPr>
                <w:rFonts w:cs="Arial"/>
              </w:rPr>
            </w:pPr>
            <w:r w:rsidRPr="00F955C6">
              <w:rPr>
                <w:rFonts w:cs="Arial"/>
              </w:rPr>
              <w:t>1 - 6</w:t>
            </w:r>
          </w:p>
        </w:tc>
      </w:tr>
      <w:tr w:rsidR="000923BB" w:rsidRPr="00F955C6" w14:paraId="58938367" w14:textId="77777777" w:rsidTr="003C12FD">
        <w:tc>
          <w:tcPr>
            <w:tcW w:w="1622" w:type="dxa"/>
          </w:tcPr>
          <w:p w14:paraId="486A0349" w14:textId="77777777" w:rsidR="000923BB" w:rsidRPr="00F955C6" w:rsidRDefault="000923BB" w:rsidP="003A385F">
            <w:pPr>
              <w:rPr>
                <w:rFonts w:cs="Arial"/>
              </w:rPr>
            </w:pPr>
            <w:r w:rsidRPr="00F955C6">
              <w:rPr>
                <w:rFonts w:cs="Arial"/>
              </w:rPr>
              <w:t>Hospital 211</w:t>
            </w:r>
          </w:p>
        </w:tc>
        <w:tc>
          <w:tcPr>
            <w:tcW w:w="953" w:type="dxa"/>
          </w:tcPr>
          <w:p w14:paraId="260CDD04" w14:textId="77777777" w:rsidR="000923BB" w:rsidRPr="00F955C6" w:rsidRDefault="000923BB" w:rsidP="003A385F">
            <w:pPr>
              <w:jc w:val="center"/>
              <w:rPr>
                <w:rFonts w:cs="Arial"/>
              </w:rPr>
            </w:pPr>
            <w:r w:rsidRPr="00F955C6">
              <w:rPr>
                <w:rFonts w:cs="Arial"/>
              </w:rPr>
              <w:t>4.8</w:t>
            </w:r>
          </w:p>
        </w:tc>
        <w:tc>
          <w:tcPr>
            <w:tcW w:w="1270" w:type="dxa"/>
          </w:tcPr>
          <w:p w14:paraId="56879F98" w14:textId="77777777" w:rsidR="000923BB" w:rsidRPr="00F955C6" w:rsidRDefault="000923BB" w:rsidP="003A385F">
            <w:pPr>
              <w:jc w:val="center"/>
              <w:rPr>
                <w:rFonts w:cs="Arial"/>
              </w:rPr>
            </w:pPr>
            <w:r w:rsidRPr="00F955C6">
              <w:rPr>
                <w:rFonts w:cs="Arial"/>
              </w:rPr>
              <w:t>0.84</w:t>
            </w:r>
          </w:p>
        </w:tc>
        <w:tc>
          <w:tcPr>
            <w:tcW w:w="1043" w:type="dxa"/>
          </w:tcPr>
          <w:p w14:paraId="2C026C74" w14:textId="77777777" w:rsidR="000923BB" w:rsidRPr="00F955C6" w:rsidRDefault="000923BB" w:rsidP="003A385F">
            <w:pPr>
              <w:jc w:val="center"/>
              <w:rPr>
                <w:rFonts w:cs="Arial"/>
              </w:rPr>
            </w:pPr>
            <w:r w:rsidRPr="00F955C6">
              <w:rPr>
                <w:rFonts w:cs="Arial"/>
              </w:rPr>
              <w:t>5.0</w:t>
            </w:r>
          </w:p>
        </w:tc>
        <w:tc>
          <w:tcPr>
            <w:tcW w:w="1348" w:type="dxa"/>
          </w:tcPr>
          <w:p w14:paraId="740756A2" w14:textId="77777777" w:rsidR="000923BB" w:rsidRPr="00F955C6" w:rsidRDefault="000923BB" w:rsidP="003A385F">
            <w:pPr>
              <w:jc w:val="center"/>
              <w:rPr>
                <w:rFonts w:cs="Arial"/>
              </w:rPr>
            </w:pPr>
            <w:r w:rsidRPr="00F955C6">
              <w:rPr>
                <w:rFonts w:cs="Arial"/>
              </w:rPr>
              <w:t>1 - 5</w:t>
            </w:r>
          </w:p>
        </w:tc>
      </w:tr>
      <w:tr w:rsidR="000923BB" w:rsidRPr="00F955C6" w14:paraId="2B3A261F" w14:textId="77777777" w:rsidTr="003C12FD">
        <w:tc>
          <w:tcPr>
            <w:tcW w:w="1622" w:type="dxa"/>
          </w:tcPr>
          <w:p w14:paraId="2E24FEAE" w14:textId="77777777" w:rsidR="000923BB" w:rsidRPr="00F955C6" w:rsidRDefault="000923BB" w:rsidP="003A385F">
            <w:pPr>
              <w:rPr>
                <w:rFonts w:cs="Arial"/>
              </w:rPr>
            </w:pPr>
            <w:r w:rsidRPr="00F955C6">
              <w:rPr>
                <w:rFonts w:cs="Arial"/>
              </w:rPr>
              <w:t>Hospital 260</w:t>
            </w:r>
          </w:p>
        </w:tc>
        <w:tc>
          <w:tcPr>
            <w:tcW w:w="953" w:type="dxa"/>
          </w:tcPr>
          <w:p w14:paraId="5C4B2124" w14:textId="77777777" w:rsidR="000923BB" w:rsidRPr="00F955C6" w:rsidRDefault="000923BB" w:rsidP="003A385F">
            <w:pPr>
              <w:jc w:val="center"/>
              <w:rPr>
                <w:rFonts w:cs="Arial"/>
              </w:rPr>
            </w:pPr>
            <w:r w:rsidRPr="00F955C6">
              <w:rPr>
                <w:rFonts w:cs="Arial"/>
              </w:rPr>
              <w:t>4.3</w:t>
            </w:r>
          </w:p>
        </w:tc>
        <w:tc>
          <w:tcPr>
            <w:tcW w:w="1270" w:type="dxa"/>
          </w:tcPr>
          <w:p w14:paraId="49434A4E" w14:textId="77777777" w:rsidR="000923BB" w:rsidRPr="00F955C6" w:rsidRDefault="000923BB" w:rsidP="003A385F">
            <w:pPr>
              <w:jc w:val="center"/>
              <w:rPr>
                <w:rFonts w:cs="Arial"/>
              </w:rPr>
            </w:pPr>
            <w:r w:rsidRPr="00F955C6">
              <w:rPr>
                <w:rFonts w:cs="Arial"/>
              </w:rPr>
              <w:t>0.57</w:t>
            </w:r>
          </w:p>
        </w:tc>
        <w:tc>
          <w:tcPr>
            <w:tcW w:w="1043" w:type="dxa"/>
          </w:tcPr>
          <w:p w14:paraId="35865F37" w14:textId="77777777" w:rsidR="000923BB" w:rsidRPr="00F955C6" w:rsidRDefault="000923BB" w:rsidP="003A385F">
            <w:pPr>
              <w:jc w:val="center"/>
              <w:rPr>
                <w:rFonts w:cs="Arial"/>
              </w:rPr>
            </w:pPr>
            <w:r w:rsidRPr="00F955C6">
              <w:rPr>
                <w:rFonts w:cs="Arial"/>
              </w:rPr>
              <w:t>4.0</w:t>
            </w:r>
          </w:p>
        </w:tc>
        <w:tc>
          <w:tcPr>
            <w:tcW w:w="1348" w:type="dxa"/>
          </w:tcPr>
          <w:p w14:paraId="7EFF8264" w14:textId="77777777" w:rsidR="000923BB" w:rsidRPr="00F955C6" w:rsidRDefault="000923BB" w:rsidP="003A385F">
            <w:pPr>
              <w:jc w:val="center"/>
              <w:rPr>
                <w:rFonts w:cs="Arial"/>
              </w:rPr>
            </w:pPr>
            <w:r w:rsidRPr="00F955C6">
              <w:rPr>
                <w:rFonts w:cs="Arial"/>
              </w:rPr>
              <w:t>3 - 5</w:t>
            </w:r>
          </w:p>
        </w:tc>
      </w:tr>
      <w:tr w:rsidR="000923BB" w:rsidRPr="00F955C6" w14:paraId="21511A1C" w14:textId="77777777" w:rsidTr="003C12FD">
        <w:tc>
          <w:tcPr>
            <w:tcW w:w="1622" w:type="dxa"/>
          </w:tcPr>
          <w:p w14:paraId="70D54D66" w14:textId="77777777" w:rsidR="000923BB" w:rsidRPr="00F955C6" w:rsidRDefault="000923BB" w:rsidP="003A385F">
            <w:pPr>
              <w:rPr>
                <w:rFonts w:cs="Arial"/>
              </w:rPr>
            </w:pPr>
            <w:r w:rsidRPr="00F955C6">
              <w:rPr>
                <w:rFonts w:cs="Arial"/>
              </w:rPr>
              <w:t>Hospital 271</w:t>
            </w:r>
          </w:p>
        </w:tc>
        <w:tc>
          <w:tcPr>
            <w:tcW w:w="953" w:type="dxa"/>
          </w:tcPr>
          <w:p w14:paraId="42072F9A" w14:textId="77777777" w:rsidR="000923BB" w:rsidRPr="00F955C6" w:rsidRDefault="000923BB" w:rsidP="003A385F">
            <w:pPr>
              <w:jc w:val="center"/>
              <w:rPr>
                <w:rFonts w:cs="Arial"/>
              </w:rPr>
            </w:pPr>
            <w:r w:rsidRPr="00F955C6">
              <w:rPr>
                <w:rFonts w:cs="Arial"/>
              </w:rPr>
              <w:t>4.5</w:t>
            </w:r>
          </w:p>
        </w:tc>
        <w:tc>
          <w:tcPr>
            <w:tcW w:w="1270" w:type="dxa"/>
          </w:tcPr>
          <w:p w14:paraId="28B9F001" w14:textId="77777777" w:rsidR="000923BB" w:rsidRPr="00F955C6" w:rsidRDefault="000923BB" w:rsidP="003A385F">
            <w:pPr>
              <w:jc w:val="center"/>
              <w:rPr>
                <w:rFonts w:cs="Arial"/>
              </w:rPr>
            </w:pPr>
            <w:r w:rsidRPr="00F955C6">
              <w:rPr>
                <w:rFonts w:cs="Arial"/>
              </w:rPr>
              <w:t>1.36</w:t>
            </w:r>
          </w:p>
        </w:tc>
        <w:tc>
          <w:tcPr>
            <w:tcW w:w="1043" w:type="dxa"/>
          </w:tcPr>
          <w:p w14:paraId="00390DAA" w14:textId="77777777" w:rsidR="000923BB" w:rsidRPr="00F955C6" w:rsidRDefault="000923BB" w:rsidP="003A385F">
            <w:pPr>
              <w:jc w:val="center"/>
              <w:rPr>
                <w:rFonts w:cs="Arial"/>
              </w:rPr>
            </w:pPr>
            <w:r w:rsidRPr="00F955C6">
              <w:rPr>
                <w:rFonts w:cs="Arial"/>
              </w:rPr>
              <w:t>5.0</w:t>
            </w:r>
          </w:p>
        </w:tc>
        <w:tc>
          <w:tcPr>
            <w:tcW w:w="1348" w:type="dxa"/>
          </w:tcPr>
          <w:p w14:paraId="27CDE82F" w14:textId="77777777" w:rsidR="000923BB" w:rsidRPr="00F955C6" w:rsidRDefault="000923BB" w:rsidP="003A385F">
            <w:pPr>
              <w:jc w:val="center"/>
              <w:rPr>
                <w:rFonts w:cs="Arial"/>
              </w:rPr>
            </w:pPr>
            <w:r w:rsidRPr="00F955C6">
              <w:rPr>
                <w:rFonts w:cs="Arial"/>
              </w:rPr>
              <w:t>1 - 6</w:t>
            </w:r>
          </w:p>
        </w:tc>
      </w:tr>
      <w:tr w:rsidR="000923BB" w:rsidRPr="00F955C6" w14:paraId="4E2A5270" w14:textId="77777777" w:rsidTr="003C12FD">
        <w:tc>
          <w:tcPr>
            <w:tcW w:w="1622" w:type="dxa"/>
          </w:tcPr>
          <w:p w14:paraId="3F636D87" w14:textId="77777777" w:rsidR="000923BB" w:rsidRPr="00F955C6" w:rsidRDefault="000923BB" w:rsidP="003A385F">
            <w:pPr>
              <w:rPr>
                <w:rFonts w:cs="Arial"/>
              </w:rPr>
            </w:pPr>
            <w:r w:rsidRPr="00F955C6">
              <w:rPr>
                <w:rFonts w:cs="Arial"/>
              </w:rPr>
              <w:t>Hospital 415</w:t>
            </w:r>
          </w:p>
        </w:tc>
        <w:tc>
          <w:tcPr>
            <w:tcW w:w="953" w:type="dxa"/>
          </w:tcPr>
          <w:p w14:paraId="646DA736" w14:textId="77777777" w:rsidR="000923BB" w:rsidRPr="00F955C6" w:rsidRDefault="000923BB" w:rsidP="003A385F">
            <w:pPr>
              <w:jc w:val="center"/>
              <w:rPr>
                <w:rFonts w:cs="Arial"/>
              </w:rPr>
            </w:pPr>
            <w:r w:rsidRPr="00F955C6">
              <w:rPr>
                <w:rFonts w:cs="Arial"/>
              </w:rPr>
              <w:t>4.2</w:t>
            </w:r>
          </w:p>
        </w:tc>
        <w:tc>
          <w:tcPr>
            <w:tcW w:w="1270" w:type="dxa"/>
          </w:tcPr>
          <w:p w14:paraId="5DB4B448" w14:textId="77777777" w:rsidR="000923BB" w:rsidRPr="00F955C6" w:rsidRDefault="000923BB" w:rsidP="003A385F">
            <w:pPr>
              <w:jc w:val="center"/>
              <w:rPr>
                <w:rFonts w:cs="Arial"/>
              </w:rPr>
            </w:pPr>
            <w:r w:rsidRPr="00F955C6">
              <w:rPr>
                <w:rFonts w:cs="Arial"/>
              </w:rPr>
              <w:t>1.16</w:t>
            </w:r>
          </w:p>
        </w:tc>
        <w:tc>
          <w:tcPr>
            <w:tcW w:w="1043" w:type="dxa"/>
          </w:tcPr>
          <w:p w14:paraId="78751D0C" w14:textId="77777777" w:rsidR="000923BB" w:rsidRPr="00F955C6" w:rsidRDefault="000923BB" w:rsidP="003A385F">
            <w:pPr>
              <w:jc w:val="center"/>
              <w:rPr>
                <w:rFonts w:cs="Arial"/>
              </w:rPr>
            </w:pPr>
            <w:r w:rsidRPr="00F955C6">
              <w:rPr>
                <w:rFonts w:cs="Arial"/>
              </w:rPr>
              <w:t>4.0</w:t>
            </w:r>
          </w:p>
        </w:tc>
        <w:tc>
          <w:tcPr>
            <w:tcW w:w="1348" w:type="dxa"/>
          </w:tcPr>
          <w:p w14:paraId="3FE84EF8" w14:textId="77777777" w:rsidR="000923BB" w:rsidRPr="00F955C6" w:rsidRDefault="000923BB" w:rsidP="003A385F">
            <w:pPr>
              <w:jc w:val="center"/>
              <w:rPr>
                <w:rFonts w:cs="Arial"/>
              </w:rPr>
            </w:pPr>
            <w:r w:rsidRPr="00F955C6">
              <w:rPr>
                <w:rFonts w:cs="Arial"/>
              </w:rPr>
              <w:t>1 -6</w:t>
            </w:r>
          </w:p>
        </w:tc>
      </w:tr>
      <w:tr w:rsidR="000923BB" w:rsidRPr="00F955C6" w14:paraId="501AD103" w14:textId="77777777" w:rsidTr="003C12FD">
        <w:tc>
          <w:tcPr>
            <w:tcW w:w="1622" w:type="dxa"/>
          </w:tcPr>
          <w:p w14:paraId="48A9846E" w14:textId="77777777" w:rsidR="000923BB" w:rsidRPr="00F955C6" w:rsidRDefault="000923BB" w:rsidP="003A385F">
            <w:pPr>
              <w:rPr>
                <w:rFonts w:cs="Arial"/>
              </w:rPr>
            </w:pPr>
            <w:r w:rsidRPr="00F955C6">
              <w:rPr>
                <w:rFonts w:cs="Arial"/>
              </w:rPr>
              <w:t>Hospital 420</w:t>
            </w:r>
          </w:p>
        </w:tc>
        <w:tc>
          <w:tcPr>
            <w:tcW w:w="953" w:type="dxa"/>
          </w:tcPr>
          <w:p w14:paraId="2A4A3F76" w14:textId="77777777" w:rsidR="000923BB" w:rsidRPr="00F955C6" w:rsidRDefault="000923BB" w:rsidP="003A385F">
            <w:pPr>
              <w:jc w:val="center"/>
              <w:rPr>
                <w:rFonts w:cs="Arial"/>
              </w:rPr>
            </w:pPr>
            <w:r w:rsidRPr="00F955C6">
              <w:rPr>
                <w:rFonts w:cs="Arial"/>
              </w:rPr>
              <w:t>3.4</w:t>
            </w:r>
          </w:p>
        </w:tc>
        <w:tc>
          <w:tcPr>
            <w:tcW w:w="1270" w:type="dxa"/>
          </w:tcPr>
          <w:p w14:paraId="7D7160FD" w14:textId="77777777" w:rsidR="000923BB" w:rsidRPr="00F955C6" w:rsidRDefault="000923BB" w:rsidP="003A385F">
            <w:pPr>
              <w:jc w:val="center"/>
              <w:rPr>
                <w:rFonts w:cs="Arial"/>
              </w:rPr>
            </w:pPr>
            <w:r w:rsidRPr="00F955C6">
              <w:rPr>
                <w:rFonts w:cs="Arial"/>
              </w:rPr>
              <w:t>1.67</w:t>
            </w:r>
          </w:p>
        </w:tc>
        <w:tc>
          <w:tcPr>
            <w:tcW w:w="1043" w:type="dxa"/>
          </w:tcPr>
          <w:p w14:paraId="01A2C2EC" w14:textId="77777777" w:rsidR="000923BB" w:rsidRPr="00F955C6" w:rsidRDefault="000923BB" w:rsidP="003A385F">
            <w:pPr>
              <w:jc w:val="center"/>
              <w:rPr>
                <w:rFonts w:cs="Arial"/>
              </w:rPr>
            </w:pPr>
            <w:r w:rsidRPr="00F955C6">
              <w:rPr>
                <w:rFonts w:cs="Arial"/>
              </w:rPr>
              <w:t>3.0</w:t>
            </w:r>
          </w:p>
        </w:tc>
        <w:tc>
          <w:tcPr>
            <w:tcW w:w="1348" w:type="dxa"/>
          </w:tcPr>
          <w:p w14:paraId="5C1C98B2" w14:textId="77777777" w:rsidR="000923BB" w:rsidRPr="00F955C6" w:rsidRDefault="000923BB" w:rsidP="003A385F">
            <w:pPr>
              <w:jc w:val="center"/>
              <w:rPr>
                <w:rFonts w:cs="Arial"/>
              </w:rPr>
            </w:pPr>
            <w:r w:rsidRPr="00F955C6">
              <w:rPr>
                <w:rFonts w:cs="Arial"/>
              </w:rPr>
              <w:t>1 -6</w:t>
            </w:r>
          </w:p>
        </w:tc>
      </w:tr>
      <w:tr w:rsidR="000923BB" w:rsidRPr="00F955C6" w14:paraId="0463B58E" w14:textId="77777777" w:rsidTr="003C12FD">
        <w:tc>
          <w:tcPr>
            <w:tcW w:w="1622" w:type="dxa"/>
          </w:tcPr>
          <w:p w14:paraId="2FD1380F" w14:textId="77777777" w:rsidR="000923BB" w:rsidRPr="00F955C6" w:rsidRDefault="000923BB" w:rsidP="003A385F">
            <w:pPr>
              <w:rPr>
                <w:rFonts w:cs="Arial"/>
              </w:rPr>
            </w:pPr>
            <w:r w:rsidRPr="00F955C6">
              <w:rPr>
                <w:rFonts w:cs="Arial"/>
              </w:rPr>
              <w:t>Hospital 439</w:t>
            </w:r>
          </w:p>
        </w:tc>
        <w:tc>
          <w:tcPr>
            <w:tcW w:w="953" w:type="dxa"/>
          </w:tcPr>
          <w:p w14:paraId="0860545F" w14:textId="77777777" w:rsidR="000923BB" w:rsidRPr="00F955C6" w:rsidRDefault="000923BB" w:rsidP="003A385F">
            <w:pPr>
              <w:jc w:val="center"/>
              <w:rPr>
                <w:rFonts w:cs="Arial"/>
              </w:rPr>
            </w:pPr>
            <w:r w:rsidRPr="00F955C6">
              <w:rPr>
                <w:rFonts w:cs="Arial"/>
              </w:rPr>
              <w:t>4.5</w:t>
            </w:r>
          </w:p>
        </w:tc>
        <w:tc>
          <w:tcPr>
            <w:tcW w:w="1270" w:type="dxa"/>
          </w:tcPr>
          <w:p w14:paraId="72916779" w14:textId="77777777" w:rsidR="000923BB" w:rsidRPr="00F955C6" w:rsidRDefault="000923BB" w:rsidP="003A385F">
            <w:pPr>
              <w:jc w:val="center"/>
              <w:rPr>
                <w:rFonts w:cs="Arial"/>
              </w:rPr>
            </w:pPr>
            <w:r w:rsidRPr="00F955C6">
              <w:rPr>
                <w:rFonts w:cs="Arial"/>
              </w:rPr>
              <w:t>1.14</w:t>
            </w:r>
          </w:p>
        </w:tc>
        <w:tc>
          <w:tcPr>
            <w:tcW w:w="1043" w:type="dxa"/>
          </w:tcPr>
          <w:p w14:paraId="4F3B782E" w14:textId="77777777" w:rsidR="000923BB" w:rsidRPr="00F955C6" w:rsidRDefault="000923BB" w:rsidP="003A385F">
            <w:pPr>
              <w:jc w:val="center"/>
              <w:rPr>
                <w:rFonts w:cs="Arial"/>
              </w:rPr>
            </w:pPr>
            <w:r w:rsidRPr="00F955C6">
              <w:rPr>
                <w:rFonts w:cs="Arial"/>
              </w:rPr>
              <w:t>5.0</w:t>
            </w:r>
          </w:p>
        </w:tc>
        <w:tc>
          <w:tcPr>
            <w:tcW w:w="1348" w:type="dxa"/>
          </w:tcPr>
          <w:p w14:paraId="377E53DA" w14:textId="77777777" w:rsidR="000923BB" w:rsidRPr="00F955C6" w:rsidRDefault="000923BB" w:rsidP="003A385F">
            <w:pPr>
              <w:jc w:val="center"/>
              <w:rPr>
                <w:rFonts w:cs="Arial"/>
              </w:rPr>
            </w:pPr>
            <w:r w:rsidRPr="00F955C6">
              <w:rPr>
                <w:rFonts w:cs="Arial"/>
              </w:rPr>
              <w:t>1 - 6</w:t>
            </w:r>
          </w:p>
        </w:tc>
      </w:tr>
      <w:tr w:rsidR="000923BB" w:rsidRPr="00F955C6" w14:paraId="661DE3D2" w14:textId="77777777" w:rsidTr="003C12FD">
        <w:tc>
          <w:tcPr>
            <w:tcW w:w="1622" w:type="dxa"/>
          </w:tcPr>
          <w:p w14:paraId="0038B685" w14:textId="77777777" w:rsidR="000923BB" w:rsidRPr="00F955C6" w:rsidRDefault="000923BB" w:rsidP="003A385F">
            <w:pPr>
              <w:rPr>
                <w:rFonts w:cs="Arial"/>
              </w:rPr>
            </w:pPr>
            <w:r w:rsidRPr="00F955C6">
              <w:rPr>
                <w:rFonts w:cs="Arial"/>
              </w:rPr>
              <w:t>Hospital 441</w:t>
            </w:r>
          </w:p>
        </w:tc>
        <w:tc>
          <w:tcPr>
            <w:tcW w:w="953" w:type="dxa"/>
          </w:tcPr>
          <w:p w14:paraId="1ABECD0F" w14:textId="77777777" w:rsidR="000923BB" w:rsidRPr="00F955C6" w:rsidRDefault="000923BB" w:rsidP="003A385F">
            <w:pPr>
              <w:jc w:val="center"/>
              <w:rPr>
                <w:rFonts w:cs="Arial"/>
              </w:rPr>
            </w:pPr>
            <w:r w:rsidRPr="00F955C6">
              <w:rPr>
                <w:rFonts w:cs="Arial"/>
              </w:rPr>
              <w:t>4.8</w:t>
            </w:r>
          </w:p>
        </w:tc>
        <w:tc>
          <w:tcPr>
            <w:tcW w:w="1270" w:type="dxa"/>
          </w:tcPr>
          <w:p w14:paraId="24CD6988" w14:textId="77777777" w:rsidR="000923BB" w:rsidRPr="00F955C6" w:rsidRDefault="000923BB" w:rsidP="003A385F">
            <w:pPr>
              <w:jc w:val="center"/>
              <w:rPr>
                <w:rFonts w:cs="Arial"/>
              </w:rPr>
            </w:pPr>
            <w:r w:rsidRPr="00F955C6">
              <w:rPr>
                <w:rFonts w:cs="Arial"/>
              </w:rPr>
              <w:t>0.98</w:t>
            </w:r>
          </w:p>
        </w:tc>
        <w:tc>
          <w:tcPr>
            <w:tcW w:w="1043" w:type="dxa"/>
          </w:tcPr>
          <w:p w14:paraId="7756474B" w14:textId="77777777" w:rsidR="000923BB" w:rsidRPr="00F955C6" w:rsidRDefault="000923BB" w:rsidP="003A385F">
            <w:pPr>
              <w:jc w:val="center"/>
              <w:rPr>
                <w:rFonts w:cs="Arial"/>
              </w:rPr>
            </w:pPr>
            <w:r w:rsidRPr="00F955C6">
              <w:rPr>
                <w:rFonts w:cs="Arial"/>
              </w:rPr>
              <w:t>5.0</w:t>
            </w:r>
          </w:p>
        </w:tc>
        <w:tc>
          <w:tcPr>
            <w:tcW w:w="1348" w:type="dxa"/>
          </w:tcPr>
          <w:p w14:paraId="43F9EDA0" w14:textId="77777777" w:rsidR="000923BB" w:rsidRPr="00F955C6" w:rsidRDefault="000923BB" w:rsidP="003A385F">
            <w:pPr>
              <w:jc w:val="center"/>
              <w:rPr>
                <w:rFonts w:cs="Arial"/>
              </w:rPr>
            </w:pPr>
            <w:r w:rsidRPr="00F955C6">
              <w:rPr>
                <w:rFonts w:cs="Arial"/>
              </w:rPr>
              <w:t>2 -6</w:t>
            </w:r>
          </w:p>
        </w:tc>
      </w:tr>
      <w:tr w:rsidR="000923BB" w:rsidRPr="00F955C6" w14:paraId="3DB74986" w14:textId="77777777" w:rsidTr="003C12FD">
        <w:tc>
          <w:tcPr>
            <w:tcW w:w="1622" w:type="dxa"/>
          </w:tcPr>
          <w:p w14:paraId="23B9E12F" w14:textId="77777777" w:rsidR="000923BB" w:rsidRPr="00F955C6" w:rsidRDefault="000923BB" w:rsidP="003A385F">
            <w:pPr>
              <w:rPr>
                <w:rFonts w:cs="Arial"/>
              </w:rPr>
            </w:pPr>
            <w:r w:rsidRPr="00F955C6">
              <w:rPr>
                <w:rFonts w:cs="Arial"/>
              </w:rPr>
              <w:t>Hospital 452</w:t>
            </w:r>
          </w:p>
        </w:tc>
        <w:tc>
          <w:tcPr>
            <w:tcW w:w="953" w:type="dxa"/>
          </w:tcPr>
          <w:p w14:paraId="2D007F26" w14:textId="77777777" w:rsidR="000923BB" w:rsidRPr="00F955C6" w:rsidRDefault="000923BB" w:rsidP="003A385F">
            <w:pPr>
              <w:jc w:val="center"/>
              <w:rPr>
                <w:rFonts w:cs="Arial"/>
              </w:rPr>
            </w:pPr>
            <w:r w:rsidRPr="00F955C6">
              <w:rPr>
                <w:rFonts w:cs="Arial"/>
              </w:rPr>
              <w:t>3.6</w:t>
            </w:r>
          </w:p>
        </w:tc>
        <w:tc>
          <w:tcPr>
            <w:tcW w:w="1270" w:type="dxa"/>
          </w:tcPr>
          <w:p w14:paraId="071A9BB1" w14:textId="77777777" w:rsidR="000923BB" w:rsidRPr="00F955C6" w:rsidRDefault="000923BB" w:rsidP="003A385F">
            <w:pPr>
              <w:jc w:val="center"/>
              <w:rPr>
                <w:rFonts w:cs="Arial"/>
              </w:rPr>
            </w:pPr>
            <w:r w:rsidRPr="00F955C6">
              <w:rPr>
                <w:rFonts w:cs="Arial"/>
              </w:rPr>
              <w:t>1.53</w:t>
            </w:r>
          </w:p>
        </w:tc>
        <w:tc>
          <w:tcPr>
            <w:tcW w:w="1043" w:type="dxa"/>
          </w:tcPr>
          <w:p w14:paraId="22D38256" w14:textId="77777777" w:rsidR="000923BB" w:rsidRPr="00F955C6" w:rsidRDefault="000923BB" w:rsidP="003A385F">
            <w:pPr>
              <w:jc w:val="center"/>
              <w:rPr>
                <w:rFonts w:cs="Arial"/>
              </w:rPr>
            </w:pPr>
            <w:r w:rsidRPr="00F955C6">
              <w:rPr>
                <w:rFonts w:cs="Arial"/>
              </w:rPr>
              <w:t>3.0</w:t>
            </w:r>
          </w:p>
        </w:tc>
        <w:tc>
          <w:tcPr>
            <w:tcW w:w="1348" w:type="dxa"/>
          </w:tcPr>
          <w:p w14:paraId="273BD717" w14:textId="77777777" w:rsidR="000923BB" w:rsidRPr="00F955C6" w:rsidRDefault="000923BB" w:rsidP="003A385F">
            <w:pPr>
              <w:jc w:val="center"/>
              <w:rPr>
                <w:rFonts w:cs="Arial"/>
              </w:rPr>
            </w:pPr>
            <w:r w:rsidRPr="00F955C6">
              <w:rPr>
                <w:rFonts w:cs="Arial"/>
              </w:rPr>
              <w:t>1 - 6</w:t>
            </w:r>
          </w:p>
        </w:tc>
      </w:tr>
    </w:tbl>
    <w:p w14:paraId="3B8C6E0D" w14:textId="77777777" w:rsidR="000923BB" w:rsidRPr="00FB3AC0" w:rsidRDefault="000923BB" w:rsidP="000923BB">
      <w:pPr>
        <w:rPr>
          <w:rFonts w:cs="Arial"/>
          <w:b/>
          <w:sz w:val="28"/>
          <w:szCs w:val="28"/>
        </w:rPr>
      </w:pPr>
    </w:p>
    <w:p w14:paraId="1566B06F" w14:textId="77777777" w:rsidR="004932C5" w:rsidRDefault="004932C5" w:rsidP="000923BB">
      <w:pPr>
        <w:rPr>
          <w:rFonts w:cs="Arial"/>
          <w:b/>
          <w:sz w:val="28"/>
          <w:szCs w:val="28"/>
        </w:rPr>
      </w:pPr>
    </w:p>
    <w:p w14:paraId="1F8B3F49" w14:textId="77777777" w:rsidR="004932C5" w:rsidRDefault="004932C5" w:rsidP="000923BB">
      <w:pPr>
        <w:rPr>
          <w:rFonts w:cs="Arial"/>
          <w:b/>
          <w:sz w:val="28"/>
          <w:szCs w:val="28"/>
        </w:rPr>
      </w:pPr>
    </w:p>
    <w:p w14:paraId="3C078665" w14:textId="77777777" w:rsidR="004932C5" w:rsidRDefault="004932C5" w:rsidP="000923BB">
      <w:pPr>
        <w:rPr>
          <w:rFonts w:cs="Arial"/>
          <w:b/>
          <w:sz w:val="28"/>
          <w:szCs w:val="28"/>
        </w:rPr>
      </w:pPr>
    </w:p>
    <w:p w14:paraId="07BBB759" w14:textId="77777777" w:rsidR="004932C5" w:rsidRDefault="004932C5" w:rsidP="000923BB">
      <w:pPr>
        <w:rPr>
          <w:rFonts w:cs="Arial"/>
          <w:b/>
          <w:sz w:val="28"/>
          <w:szCs w:val="28"/>
        </w:rPr>
      </w:pPr>
    </w:p>
    <w:p w14:paraId="47757EF7" w14:textId="77777777" w:rsidR="000923BB" w:rsidRPr="00FB3AC0" w:rsidRDefault="000923BB" w:rsidP="000923BB">
      <w:pPr>
        <w:rPr>
          <w:rFonts w:cs="Arial"/>
          <w:b/>
          <w:sz w:val="28"/>
          <w:szCs w:val="28"/>
        </w:rPr>
      </w:pPr>
      <w:r w:rsidRPr="00FB3AC0">
        <w:rPr>
          <w:rFonts w:cs="Arial"/>
          <w:b/>
          <w:sz w:val="28"/>
          <w:szCs w:val="28"/>
        </w:rPr>
        <w:t>Criterion based audit: pre-discharge phase</w:t>
      </w:r>
    </w:p>
    <w:p w14:paraId="019494F6" w14:textId="77777777" w:rsidR="000923BB" w:rsidRPr="00FB3AC0" w:rsidRDefault="000923BB" w:rsidP="000923BB">
      <w:pPr>
        <w:rPr>
          <w:rFonts w:cs="Arial"/>
          <w:b/>
          <w:sz w:val="28"/>
          <w:szCs w:val="28"/>
        </w:rPr>
      </w:pPr>
    </w:p>
    <w:p w14:paraId="3C2362EE" w14:textId="77777777" w:rsidR="000923BB" w:rsidRPr="00FB3AC0" w:rsidRDefault="000923BB" w:rsidP="000923BB">
      <w:pPr>
        <w:tabs>
          <w:tab w:val="center" w:pos="3312"/>
        </w:tabs>
        <w:autoSpaceDE w:val="0"/>
        <w:autoSpaceDN w:val="0"/>
        <w:adjustRightInd w:val="0"/>
        <w:rPr>
          <w:rFonts w:cs="Arial"/>
          <w:b/>
          <w:bCs/>
          <w:color w:val="000000"/>
          <w:sz w:val="18"/>
          <w:szCs w:val="18"/>
          <w:lang w:val="en-US"/>
        </w:rPr>
      </w:pPr>
      <w:r w:rsidRPr="00FB3AC0">
        <w:rPr>
          <w:rFonts w:cs="Arial"/>
          <w:b/>
          <w:bCs/>
          <w:color w:val="000000"/>
          <w:sz w:val="18"/>
          <w:szCs w:val="18"/>
          <w:lang w:val="en-US"/>
        </w:rPr>
        <w:t>Oximetry within 48h of discharge?</w:t>
      </w:r>
    </w:p>
    <w:p w14:paraId="34971BD4" w14:textId="77777777" w:rsidR="000923BB" w:rsidRPr="00FB3AC0" w:rsidRDefault="000923BB" w:rsidP="000923BB">
      <w:pPr>
        <w:tabs>
          <w:tab w:val="center" w:pos="3312"/>
        </w:tabs>
        <w:autoSpaceDE w:val="0"/>
        <w:autoSpaceDN w:val="0"/>
        <w:adjustRightInd w:val="0"/>
        <w:rPr>
          <w:rFonts w:cs="Arial"/>
          <w:b/>
          <w:bCs/>
          <w:color w:val="000000"/>
          <w:sz w:val="18"/>
          <w:szCs w:val="18"/>
          <w:lang w:val="en-US"/>
        </w:rPr>
      </w:pPr>
    </w:p>
    <w:tbl>
      <w:tblPr>
        <w:tblW w:w="0" w:type="auto"/>
        <w:tblInd w:w="93" w:type="dxa"/>
        <w:tblLayout w:type="fixed"/>
        <w:tblCellMar>
          <w:left w:w="93" w:type="dxa"/>
          <w:right w:w="93" w:type="dxa"/>
        </w:tblCellMar>
        <w:tblLook w:val="0000" w:firstRow="0" w:lastRow="0" w:firstColumn="0" w:lastColumn="0" w:noHBand="0" w:noVBand="0"/>
      </w:tblPr>
      <w:tblGrid>
        <w:gridCol w:w="206"/>
        <w:gridCol w:w="1291"/>
        <w:gridCol w:w="1123"/>
        <w:gridCol w:w="1080"/>
      </w:tblGrid>
      <w:tr w:rsidR="000923BB" w:rsidRPr="00FB3AC0" w14:paraId="22E53269" w14:textId="77777777" w:rsidTr="003A385F">
        <w:trPr>
          <w:trHeight w:val="504"/>
        </w:trPr>
        <w:tc>
          <w:tcPr>
            <w:tcW w:w="1497"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24137161"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18F15628"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n</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7D82EDAE"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Percent</w:t>
            </w:r>
          </w:p>
        </w:tc>
      </w:tr>
      <w:tr w:rsidR="000923BB" w:rsidRPr="00FB3AC0" w14:paraId="38C5AB06" w14:textId="77777777" w:rsidTr="003A385F">
        <w:trPr>
          <w:trHeight w:val="273"/>
        </w:trPr>
        <w:tc>
          <w:tcPr>
            <w:tcW w:w="206" w:type="dxa"/>
            <w:tcBorders>
              <w:top w:val="single" w:sz="12" w:space="0" w:color="000000"/>
              <w:left w:val="single" w:sz="12" w:space="0" w:color="000000"/>
              <w:right w:val="nil"/>
            </w:tcBorders>
            <w:shd w:val="clear" w:color="000000" w:fill="FFFFFF"/>
          </w:tcPr>
          <w:p w14:paraId="4DCBA5E8" w14:textId="77777777" w:rsidR="000923BB" w:rsidRPr="00FB3AC0" w:rsidRDefault="000923BB" w:rsidP="003A385F">
            <w:pPr>
              <w:autoSpaceDE w:val="0"/>
              <w:autoSpaceDN w:val="0"/>
              <w:adjustRightInd w:val="0"/>
              <w:rPr>
                <w:rFonts w:cs="Arial"/>
                <w:color w:val="000000"/>
                <w:sz w:val="18"/>
                <w:szCs w:val="18"/>
                <w:lang w:val="en-US"/>
              </w:rPr>
            </w:pPr>
          </w:p>
        </w:tc>
        <w:tc>
          <w:tcPr>
            <w:tcW w:w="1291" w:type="dxa"/>
            <w:tcBorders>
              <w:top w:val="single" w:sz="12" w:space="0" w:color="000000"/>
              <w:left w:val="nil"/>
              <w:right w:val="single" w:sz="12" w:space="0" w:color="000000"/>
            </w:tcBorders>
            <w:shd w:val="clear" w:color="000000" w:fill="FFFFFF"/>
          </w:tcPr>
          <w:p w14:paraId="18A8A53A"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yes</w:t>
            </w:r>
          </w:p>
        </w:tc>
        <w:tc>
          <w:tcPr>
            <w:tcW w:w="1123" w:type="dxa"/>
            <w:tcBorders>
              <w:top w:val="single" w:sz="12" w:space="0" w:color="000000"/>
              <w:left w:val="single" w:sz="12" w:space="0" w:color="000000"/>
              <w:right w:val="single" w:sz="2" w:space="0" w:color="000000"/>
            </w:tcBorders>
            <w:shd w:val="clear" w:color="000000" w:fill="FFFFFF"/>
          </w:tcPr>
          <w:p w14:paraId="18D763C9" w14:textId="77777777" w:rsidR="000923BB" w:rsidRPr="00FB3AC0" w:rsidRDefault="000923BB" w:rsidP="003A385F">
            <w:pPr>
              <w:rPr>
                <w:rFonts w:cs="Arial"/>
                <w:sz w:val="20"/>
                <w:szCs w:val="20"/>
              </w:rPr>
            </w:pPr>
            <w:r w:rsidRPr="00FB3AC0">
              <w:rPr>
                <w:rFonts w:cs="Arial"/>
                <w:sz w:val="20"/>
                <w:szCs w:val="20"/>
              </w:rPr>
              <w:t>13</w:t>
            </w:r>
          </w:p>
        </w:tc>
        <w:tc>
          <w:tcPr>
            <w:tcW w:w="1080" w:type="dxa"/>
            <w:tcBorders>
              <w:top w:val="single" w:sz="12" w:space="0" w:color="000000"/>
              <w:left w:val="single" w:sz="2" w:space="0" w:color="000000"/>
              <w:right w:val="single" w:sz="2" w:space="0" w:color="000000"/>
            </w:tcBorders>
            <w:shd w:val="clear" w:color="000000" w:fill="FFFFFF"/>
          </w:tcPr>
          <w:p w14:paraId="1A1BD4F6" w14:textId="77777777" w:rsidR="000923BB" w:rsidRPr="00FB3AC0" w:rsidRDefault="000923BB" w:rsidP="003A385F">
            <w:pPr>
              <w:rPr>
                <w:rFonts w:cs="Arial"/>
                <w:sz w:val="20"/>
                <w:szCs w:val="20"/>
              </w:rPr>
            </w:pPr>
            <w:r w:rsidRPr="00FB3AC0">
              <w:rPr>
                <w:rFonts w:cs="Arial"/>
                <w:sz w:val="20"/>
                <w:szCs w:val="20"/>
              </w:rPr>
              <w:t>36.1</w:t>
            </w:r>
          </w:p>
        </w:tc>
      </w:tr>
      <w:tr w:rsidR="000923BB" w:rsidRPr="00FB3AC0" w14:paraId="3EA2BD5B" w14:textId="77777777" w:rsidTr="003A385F">
        <w:trPr>
          <w:trHeight w:val="273"/>
        </w:trPr>
        <w:tc>
          <w:tcPr>
            <w:tcW w:w="206" w:type="dxa"/>
            <w:tcBorders>
              <w:left w:val="single" w:sz="12" w:space="0" w:color="000000"/>
              <w:right w:val="nil"/>
            </w:tcBorders>
            <w:shd w:val="clear" w:color="000000" w:fill="FFFFFF"/>
          </w:tcPr>
          <w:p w14:paraId="123ECDDD" w14:textId="77777777" w:rsidR="000923BB" w:rsidRPr="00FB3AC0" w:rsidRDefault="000923BB" w:rsidP="003A385F">
            <w:pPr>
              <w:autoSpaceDE w:val="0"/>
              <w:autoSpaceDN w:val="0"/>
              <w:adjustRightInd w:val="0"/>
              <w:rPr>
                <w:rFonts w:cs="Arial"/>
                <w:color w:val="000000"/>
                <w:sz w:val="18"/>
                <w:szCs w:val="18"/>
                <w:lang w:val="en-US"/>
              </w:rPr>
            </w:pPr>
          </w:p>
        </w:tc>
        <w:tc>
          <w:tcPr>
            <w:tcW w:w="1291" w:type="dxa"/>
            <w:tcBorders>
              <w:left w:val="nil"/>
              <w:right w:val="single" w:sz="12" w:space="0" w:color="000000"/>
            </w:tcBorders>
            <w:shd w:val="clear" w:color="000000" w:fill="FFFFFF"/>
          </w:tcPr>
          <w:p w14:paraId="0E6C521B"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no</w:t>
            </w:r>
          </w:p>
        </w:tc>
        <w:tc>
          <w:tcPr>
            <w:tcW w:w="1123" w:type="dxa"/>
            <w:tcBorders>
              <w:left w:val="single" w:sz="12" w:space="0" w:color="000000"/>
              <w:right w:val="single" w:sz="2" w:space="0" w:color="000000"/>
            </w:tcBorders>
            <w:shd w:val="clear" w:color="000000" w:fill="FFFFFF"/>
          </w:tcPr>
          <w:p w14:paraId="6C969FD6" w14:textId="77777777" w:rsidR="000923BB" w:rsidRPr="00FB3AC0" w:rsidRDefault="000923BB" w:rsidP="003A385F">
            <w:pPr>
              <w:rPr>
                <w:rFonts w:cs="Arial"/>
                <w:sz w:val="20"/>
                <w:szCs w:val="20"/>
              </w:rPr>
            </w:pPr>
            <w:r w:rsidRPr="00FB3AC0">
              <w:rPr>
                <w:rFonts w:cs="Arial"/>
                <w:sz w:val="20"/>
                <w:szCs w:val="20"/>
              </w:rPr>
              <w:t>23</w:t>
            </w:r>
          </w:p>
        </w:tc>
        <w:tc>
          <w:tcPr>
            <w:tcW w:w="1080" w:type="dxa"/>
            <w:tcBorders>
              <w:left w:val="single" w:sz="2" w:space="0" w:color="000000"/>
              <w:right w:val="single" w:sz="2" w:space="0" w:color="000000"/>
            </w:tcBorders>
            <w:shd w:val="clear" w:color="000000" w:fill="FFFFFF"/>
          </w:tcPr>
          <w:p w14:paraId="697EC043" w14:textId="77777777" w:rsidR="000923BB" w:rsidRPr="00FB3AC0" w:rsidRDefault="000923BB" w:rsidP="003A385F">
            <w:pPr>
              <w:rPr>
                <w:rFonts w:cs="Arial"/>
                <w:sz w:val="20"/>
                <w:szCs w:val="20"/>
              </w:rPr>
            </w:pPr>
            <w:r w:rsidRPr="00FB3AC0">
              <w:rPr>
                <w:rFonts w:cs="Arial"/>
                <w:sz w:val="20"/>
                <w:szCs w:val="20"/>
              </w:rPr>
              <w:t>63.9</w:t>
            </w:r>
          </w:p>
        </w:tc>
      </w:tr>
      <w:tr w:rsidR="000923BB" w:rsidRPr="00FB3AC0" w14:paraId="15FB8C3C" w14:textId="77777777" w:rsidTr="003A385F">
        <w:trPr>
          <w:trHeight w:val="273"/>
        </w:trPr>
        <w:tc>
          <w:tcPr>
            <w:tcW w:w="206" w:type="dxa"/>
            <w:tcBorders>
              <w:left w:val="single" w:sz="12" w:space="0" w:color="000000"/>
              <w:bottom w:val="single" w:sz="12" w:space="0" w:color="000000"/>
              <w:right w:val="nil"/>
            </w:tcBorders>
            <w:shd w:val="clear" w:color="000000" w:fill="FFFFFF"/>
          </w:tcPr>
          <w:p w14:paraId="04471EEF" w14:textId="77777777" w:rsidR="000923BB" w:rsidRPr="00FB3AC0" w:rsidRDefault="000923BB" w:rsidP="003A385F">
            <w:pPr>
              <w:autoSpaceDE w:val="0"/>
              <w:autoSpaceDN w:val="0"/>
              <w:adjustRightInd w:val="0"/>
              <w:rPr>
                <w:rFonts w:cs="Arial"/>
                <w:color w:val="000000"/>
                <w:sz w:val="18"/>
                <w:szCs w:val="18"/>
                <w:lang w:val="en-US"/>
              </w:rPr>
            </w:pPr>
          </w:p>
        </w:tc>
        <w:tc>
          <w:tcPr>
            <w:tcW w:w="1291" w:type="dxa"/>
            <w:tcBorders>
              <w:left w:val="nil"/>
              <w:bottom w:val="single" w:sz="12" w:space="0" w:color="000000"/>
              <w:right w:val="single" w:sz="12" w:space="0" w:color="000000"/>
            </w:tcBorders>
            <w:shd w:val="clear" w:color="000000" w:fill="FFFFFF"/>
          </w:tcPr>
          <w:p w14:paraId="377A6641"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Total </w:t>
            </w:r>
          </w:p>
        </w:tc>
        <w:tc>
          <w:tcPr>
            <w:tcW w:w="1123" w:type="dxa"/>
            <w:tcBorders>
              <w:left w:val="single" w:sz="12" w:space="0" w:color="000000"/>
              <w:bottom w:val="single" w:sz="12" w:space="0" w:color="000000"/>
              <w:right w:val="single" w:sz="2" w:space="0" w:color="000000"/>
            </w:tcBorders>
            <w:shd w:val="clear" w:color="000000" w:fill="FFFFFF"/>
          </w:tcPr>
          <w:p w14:paraId="6DB1A4A0" w14:textId="77777777" w:rsidR="000923BB" w:rsidRPr="00FB3AC0" w:rsidRDefault="000923BB" w:rsidP="003A385F">
            <w:pPr>
              <w:rPr>
                <w:rFonts w:cs="Arial"/>
                <w:sz w:val="20"/>
                <w:szCs w:val="20"/>
              </w:rPr>
            </w:pPr>
            <w:r w:rsidRPr="00FB3AC0">
              <w:rPr>
                <w:rFonts w:cs="Arial"/>
                <w:sz w:val="20"/>
                <w:szCs w:val="20"/>
              </w:rPr>
              <w:t>36</w:t>
            </w:r>
          </w:p>
        </w:tc>
        <w:tc>
          <w:tcPr>
            <w:tcW w:w="1080" w:type="dxa"/>
            <w:tcBorders>
              <w:left w:val="single" w:sz="2" w:space="0" w:color="000000"/>
              <w:bottom w:val="single" w:sz="12" w:space="0" w:color="000000"/>
              <w:right w:val="single" w:sz="2" w:space="0" w:color="000000"/>
            </w:tcBorders>
            <w:shd w:val="clear" w:color="000000" w:fill="FFFFFF"/>
          </w:tcPr>
          <w:p w14:paraId="5305863C" w14:textId="77777777" w:rsidR="000923BB" w:rsidRPr="00FB3AC0" w:rsidRDefault="000923BB" w:rsidP="003A385F">
            <w:pPr>
              <w:rPr>
                <w:rFonts w:cs="Arial"/>
                <w:sz w:val="20"/>
                <w:szCs w:val="20"/>
              </w:rPr>
            </w:pPr>
            <w:r w:rsidRPr="00FB3AC0">
              <w:rPr>
                <w:rFonts w:cs="Arial"/>
                <w:sz w:val="20"/>
                <w:szCs w:val="20"/>
              </w:rPr>
              <w:t>100.0</w:t>
            </w:r>
          </w:p>
        </w:tc>
      </w:tr>
    </w:tbl>
    <w:p w14:paraId="6E3F8481" w14:textId="77777777" w:rsidR="000923BB" w:rsidRPr="00FB3AC0" w:rsidRDefault="000923BB" w:rsidP="000923BB">
      <w:pPr>
        <w:autoSpaceDE w:val="0"/>
        <w:autoSpaceDN w:val="0"/>
        <w:adjustRightInd w:val="0"/>
        <w:rPr>
          <w:rFonts w:cs="Arial"/>
          <w:color w:val="000000"/>
          <w:sz w:val="18"/>
          <w:szCs w:val="18"/>
          <w:lang w:val="en-US"/>
        </w:rPr>
      </w:pPr>
    </w:p>
    <w:p w14:paraId="15CB373C" w14:textId="77777777" w:rsidR="000923BB" w:rsidRPr="00FB3AC0" w:rsidRDefault="000923BB" w:rsidP="000923BB">
      <w:pPr>
        <w:tabs>
          <w:tab w:val="center" w:pos="3312"/>
        </w:tabs>
        <w:autoSpaceDE w:val="0"/>
        <w:autoSpaceDN w:val="0"/>
        <w:adjustRightInd w:val="0"/>
        <w:rPr>
          <w:rFonts w:cs="Arial"/>
          <w:b/>
          <w:bCs/>
          <w:color w:val="000000"/>
          <w:sz w:val="18"/>
          <w:szCs w:val="18"/>
          <w:lang w:val="en-US"/>
        </w:rPr>
      </w:pPr>
      <w:r w:rsidRPr="00FB3AC0">
        <w:rPr>
          <w:rFonts w:cs="Arial"/>
          <w:b/>
          <w:bCs/>
          <w:color w:val="000000"/>
          <w:sz w:val="18"/>
          <w:szCs w:val="18"/>
          <w:lang w:val="en-US"/>
        </w:rPr>
        <w:t>Assessment of home circumstances?</w:t>
      </w:r>
    </w:p>
    <w:p w14:paraId="3012C1B4" w14:textId="77777777" w:rsidR="000923BB" w:rsidRPr="00FB3AC0" w:rsidRDefault="000923BB" w:rsidP="000923BB">
      <w:pPr>
        <w:tabs>
          <w:tab w:val="center" w:pos="3312"/>
        </w:tabs>
        <w:autoSpaceDE w:val="0"/>
        <w:autoSpaceDN w:val="0"/>
        <w:adjustRightInd w:val="0"/>
        <w:rPr>
          <w:rFonts w:cs="Arial"/>
          <w:b/>
          <w:bCs/>
          <w:color w:val="000000"/>
          <w:sz w:val="18"/>
          <w:szCs w:val="18"/>
          <w:lang w:val="en-US"/>
        </w:rPr>
      </w:pPr>
    </w:p>
    <w:tbl>
      <w:tblPr>
        <w:tblW w:w="0" w:type="auto"/>
        <w:tblInd w:w="93" w:type="dxa"/>
        <w:tblLayout w:type="fixed"/>
        <w:tblCellMar>
          <w:left w:w="93" w:type="dxa"/>
          <w:right w:w="93" w:type="dxa"/>
        </w:tblCellMar>
        <w:tblLook w:val="0000" w:firstRow="0" w:lastRow="0" w:firstColumn="0" w:lastColumn="0" w:noHBand="0" w:noVBand="0"/>
      </w:tblPr>
      <w:tblGrid>
        <w:gridCol w:w="206"/>
        <w:gridCol w:w="1291"/>
        <w:gridCol w:w="1123"/>
        <w:gridCol w:w="1080"/>
      </w:tblGrid>
      <w:tr w:rsidR="000923BB" w:rsidRPr="00FB3AC0" w14:paraId="0653B988" w14:textId="77777777" w:rsidTr="003A385F">
        <w:trPr>
          <w:trHeight w:val="504"/>
        </w:trPr>
        <w:tc>
          <w:tcPr>
            <w:tcW w:w="1497"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5A9DE61D"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7691CA90"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n</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5214E2F5"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Percent</w:t>
            </w:r>
          </w:p>
        </w:tc>
      </w:tr>
      <w:tr w:rsidR="000923BB" w:rsidRPr="00FB3AC0" w14:paraId="0F62F8A4" w14:textId="77777777" w:rsidTr="003A385F">
        <w:trPr>
          <w:trHeight w:val="273"/>
        </w:trPr>
        <w:tc>
          <w:tcPr>
            <w:tcW w:w="206" w:type="dxa"/>
            <w:tcBorders>
              <w:top w:val="single" w:sz="12" w:space="0" w:color="000000"/>
              <w:left w:val="single" w:sz="12" w:space="0" w:color="000000"/>
              <w:bottom w:val="nil"/>
              <w:right w:val="nil"/>
            </w:tcBorders>
            <w:shd w:val="clear" w:color="000000" w:fill="FFFFFF"/>
          </w:tcPr>
          <w:p w14:paraId="550158CB" w14:textId="77777777" w:rsidR="000923BB" w:rsidRPr="00FB3AC0" w:rsidRDefault="000923BB" w:rsidP="003A385F">
            <w:pPr>
              <w:autoSpaceDE w:val="0"/>
              <w:autoSpaceDN w:val="0"/>
              <w:adjustRightInd w:val="0"/>
              <w:rPr>
                <w:rFonts w:cs="Arial"/>
                <w:color w:val="000000"/>
                <w:sz w:val="18"/>
                <w:szCs w:val="18"/>
                <w:lang w:val="en-US"/>
              </w:rPr>
            </w:pPr>
          </w:p>
        </w:tc>
        <w:tc>
          <w:tcPr>
            <w:tcW w:w="1291" w:type="dxa"/>
            <w:tcBorders>
              <w:top w:val="single" w:sz="12" w:space="0" w:color="000000"/>
              <w:left w:val="nil"/>
              <w:bottom w:val="nil"/>
              <w:right w:val="single" w:sz="12" w:space="0" w:color="000000"/>
            </w:tcBorders>
            <w:shd w:val="clear" w:color="000000" w:fill="FFFFFF"/>
          </w:tcPr>
          <w:p w14:paraId="2FB83B0A"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no</w:t>
            </w:r>
          </w:p>
        </w:tc>
        <w:tc>
          <w:tcPr>
            <w:tcW w:w="1123" w:type="dxa"/>
            <w:tcBorders>
              <w:top w:val="single" w:sz="12" w:space="0" w:color="000000"/>
              <w:left w:val="single" w:sz="12" w:space="0" w:color="000000"/>
              <w:bottom w:val="nil"/>
              <w:right w:val="single" w:sz="2" w:space="0" w:color="000000"/>
            </w:tcBorders>
            <w:shd w:val="clear" w:color="000000" w:fill="FFFFFF"/>
          </w:tcPr>
          <w:p w14:paraId="49BDB990" w14:textId="77777777" w:rsidR="000923BB" w:rsidRPr="00FB3AC0" w:rsidRDefault="000923BB" w:rsidP="003A385F">
            <w:pPr>
              <w:rPr>
                <w:rFonts w:cs="Arial"/>
                <w:sz w:val="20"/>
                <w:szCs w:val="20"/>
              </w:rPr>
            </w:pPr>
            <w:r w:rsidRPr="00FB3AC0">
              <w:rPr>
                <w:rFonts w:cs="Arial"/>
                <w:sz w:val="20"/>
                <w:szCs w:val="20"/>
              </w:rPr>
              <w:t>30</w:t>
            </w:r>
          </w:p>
        </w:tc>
        <w:tc>
          <w:tcPr>
            <w:tcW w:w="1080" w:type="dxa"/>
            <w:tcBorders>
              <w:top w:val="single" w:sz="12" w:space="0" w:color="000000"/>
              <w:left w:val="single" w:sz="2" w:space="0" w:color="000000"/>
              <w:bottom w:val="nil"/>
              <w:right w:val="single" w:sz="2" w:space="0" w:color="000000"/>
            </w:tcBorders>
            <w:shd w:val="clear" w:color="000000" w:fill="FFFFFF"/>
          </w:tcPr>
          <w:p w14:paraId="0E84955E" w14:textId="77777777" w:rsidR="000923BB" w:rsidRPr="00FB3AC0" w:rsidRDefault="000923BB" w:rsidP="003A385F">
            <w:pPr>
              <w:rPr>
                <w:rFonts w:cs="Arial"/>
                <w:sz w:val="20"/>
                <w:szCs w:val="20"/>
              </w:rPr>
            </w:pPr>
            <w:r w:rsidRPr="00FB3AC0">
              <w:rPr>
                <w:rFonts w:cs="Arial"/>
                <w:sz w:val="20"/>
                <w:szCs w:val="20"/>
              </w:rPr>
              <w:t>83.3</w:t>
            </w:r>
          </w:p>
        </w:tc>
      </w:tr>
      <w:tr w:rsidR="000923BB" w:rsidRPr="00FB3AC0" w14:paraId="3BAF8AA2" w14:textId="77777777" w:rsidTr="003A385F">
        <w:trPr>
          <w:trHeight w:val="273"/>
        </w:trPr>
        <w:tc>
          <w:tcPr>
            <w:tcW w:w="206" w:type="dxa"/>
            <w:tcBorders>
              <w:top w:val="nil"/>
              <w:left w:val="single" w:sz="12" w:space="0" w:color="000000"/>
              <w:bottom w:val="nil"/>
              <w:right w:val="nil"/>
            </w:tcBorders>
            <w:shd w:val="clear" w:color="000000" w:fill="FFFFFF"/>
          </w:tcPr>
          <w:p w14:paraId="62E9559C"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291" w:type="dxa"/>
            <w:tcBorders>
              <w:top w:val="nil"/>
              <w:left w:val="nil"/>
              <w:bottom w:val="nil"/>
              <w:right w:val="single" w:sz="12" w:space="0" w:color="000000"/>
            </w:tcBorders>
            <w:shd w:val="clear" w:color="000000" w:fill="FFFFFF"/>
          </w:tcPr>
          <w:p w14:paraId="2C863E0E"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yes</w:t>
            </w:r>
          </w:p>
        </w:tc>
        <w:tc>
          <w:tcPr>
            <w:tcW w:w="1123" w:type="dxa"/>
            <w:tcBorders>
              <w:top w:val="nil"/>
              <w:left w:val="single" w:sz="12" w:space="0" w:color="000000"/>
              <w:bottom w:val="nil"/>
              <w:right w:val="single" w:sz="2" w:space="0" w:color="000000"/>
            </w:tcBorders>
            <w:shd w:val="clear" w:color="000000" w:fill="FFFFFF"/>
          </w:tcPr>
          <w:p w14:paraId="350766A5" w14:textId="77777777" w:rsidR="000923BB" w:rsidRPr="00FB3AC0" w:rsidRDefault="000923BB" w:rsidP="003A385F">
            <w:pPr>
              <w:rPr>
                <w:rFonts w:cs="Arial"/>
                <w:sz w:val="20"/>
                <w:szCs w:val="20"/>
              </w:rPr>
            </w:pPr>
            <w:r w:rsidRPr="00FB3AC0">
              <w:rPr>
                <w:rFonts w:cs="Arial"/>
                <w:sz w:val="20"/>
                <w:szCs w:val="20"/>
              </w:rPr>
              <w:t>6</w:t>
            </w:r>
          </w:p>
        </w:tc>
        <w:tc>
          <w:tcPr>
            <w:tcW w:w="1080" w:type="dxa"/>
            <w:tcBorders>
              <w:top w:val="nil"/>
              <w:left w:val="single" w:sz="2" w:space="0" w:color="000000"/>
              <w:bottom w:val="nil"/>
              <w:right w:val="single" w:sz="2" w:space="0" w:color="000000"/>
            </w:tcBorders>
            <w:shd w:val="clear" w:color="000000" w:fill="FFFFFF"/>
          </w:tcPr>
          <w:p w14:paraId="77F98D52" w14:textId="77777777" w:rsidR="000923BB" w:rsidRPr="00FB3AC0" w:rsidRDefault="000923BB" w:rsidP="003A385F">
            <w:pPr>
              <w:rPr>
                <w:rFonts w:cs="Arial"/>
                <w:sz w:val="20"/>
                <w:szCs w:val="20"/>
              </w:rPr>
            </w:pPr>
            <w:r w:rsidRPr="00FB3AC0">
              <w:rPr>
                <w:rFonts w:cs="Arial"/>
                <w:sz w:val="20"/>
                <w:szCs w:val="20"/>
              </w:rPr>
              <w:t>16.7</w:t>
            </w:r>
          </w:p>
        </w:tc>
      </w:tr>
      <w:tr w:rsidR="000923BB" w:rsidRPr="00FB3AC0" w14:paraId="690E41FA" w14:textId="77777777" w:rsidTr="003A385F">
        <w:trPr>
          <w:trHeight w:val="273"/>
        </w:trPr>
        <w:tc>
          <w:tcPr>
            <w:tcW w:w="206" w:type="dxa"/>
            <w:tcBorders>
              <w:top w:val="nil"/>
              <w:left w:val="single" w:sz="12" w:space="0" w:color="000000"/>
              <w:bottom w:val="single" w:sz="12" w:space="0" w:color="000000"/>
              <w:right w:val="nil"/>
            </w:tcBorders>
            <w:shd w:val="clear" w:color="000000" w:fill="FFFFFF"/>
          </w:tcPr>
          <w:p w14:paraId="58664ED4"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291" w:type="dxa"/>
            <w:tcBorders>
              <w:top w:val="nil"/>
              <w:left w:val="nil"/>
              <w:bottom w:val="single" w:sz="12" w:space="0" w:color="000000"/>
              <w:right w:val="single" w:sz="12" w:space="0" w:color="000000"/>
            </w:tcBorders>
            <w:shd w:val="clear" w:color="000000" w:fill="FFFFFF"/>
          </w:tcPr>
          <w:p w14:paraId="67EAFD05"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Total</w:t>
            </w:r>
          </w:p>
        </w:tc>
        <w:tc>
          <w:tcPr>
            <w:tcW w:w="1123" w:type="dxa"/>
            <w:tcBorders>
              <w:top w:val="nil"/>
              <w:left w:val="single" w:sz="12" w:space="0" w:color="000000"/>
              <w:bottom w:val="single" w:sz="12" w:space="0" w:color="000000"/>
              <w:right w:val="single" w:sz="2" w:space="0" w:color="000000"/>
            </w:tcBorders>
            <w:shd w:val="clear" w:color="000000" w:fill="FFFFFF"/>
          </w:tcPr>
          <w:p w14:paraId="3CF99922" w14:textId="77777777" w:rsidR="000923BB" w:rsidRPr="00FB3AC0" w:rsidRDefault="000923BB" w:rsidP="003A385F">
            <w:pPr>
              <w:rPr>
                <w:rFonts w:cs="Arial"/>
                <w:sz w:val="20"/>
                <w:szCs w:val="20"/>
              </w:rPr>
            </w:pPr>
            <w:r w:rsidRPr="00FB3AC0">
              <w:rPr>
                <w:rFonts w:cs="Arial"/>
                <w:sz w:val="20"/>
                <w:szCs w:val="20"/>
              </w:rPr>
              <w:t>36</w:t>
            </w:r>
          </w:p>
        </w:tc>
        <w:tc>
          <w:tcPr>
            <w:tcW w:w="1080" w:type="dxa"/>
            <w:tcBorders>
              <w:top w:val="nil"/>
              <w:left w:val="single" w:sz="2" w:space="0" w:color="000000"/>
              <w:bottom w:val="single" w:sz="12" w:space="0" w:color="000000"/>
              <w:right w:val="single" w:sz="2" w:space="0" w:color="000000"/>
            </w:tcBorders>
            <w:shd w:val="clear" w:color="000000" w:fill="FFFFFF"/>
          </w:tcPr>
          <w:p w14:paraId="4E7491E8" w14:textId="77777777" w:rsidR="000923BB" w:rsidRPr="00FB3AC0" w:rsidRDefault="000923BB" w:rsidP="003A385F">
            <w:pPr>
              <w:rPr>
                <w:rFonts w:cs="Arial"/>
                <w:sz w:val="20"/>
                <w:szCs w:val="20"/>
              </w:rPr>
            </w:pPr>
            <w:r w:rsidRPr="00FB3AC0">
              <w:rPr>
                <w:rFonts w:cs="Arial"/>
                <w:sz w:val="20"/>
                <w:szCs w:val="20"/>
              </w:rPr>
              <w:t>100.0</w:t>
            </w:r>
          </w:p>
        </w:tc>
      </w:tr>
    </w:tbl>
    <w:p w14:paraId="630605B6" w14:textId="77777777" w:rsidR="000923BB" w:rsidRPr="00FB3AC0" w:rsidRDefault="000923BB" w:rsidP="000923BB">
      <w:pPr>
        <w:tabs>
          <w:tab w:val="center" w:pos="4104"/>
        </w:tabs>
        <w:autoSpaceDE w:val="0"/>
        <w:autoSpaceDN w:val="0"/>
        <w:adjustRightInd w:val="0"/>
        <w:rPr>
          <w:rFonts w:cs="Arial"/>
          <w:b/>
          <w:bCs/>
          <w:color w:val="000000"/>
          <w:sz w:val="18"/>
          <w:szCs w:val="18"/>
          <w:lang w:val="en-US"/>
        </w:rPr>
      </w:pPr>
    </w:p>
    <w:p w14:paraId="7915F48D" w14:textId="77777777" w:rsidR="000923BB" w:rsidRPr="00FB3AC0" w:rsidRDefault="000923BB" w:rsidP="000923BB">
      <w:pPr>
        <w:tabs>
          <w:tab w:val="center" w:pos="4104"/>
        </w:tabs>
        <w:autoSpaceDE w:val="0"/>
        <w:autoSpaceDN w:val="0"/>
        <w:adjustRightInd w:val="0"/>
        <w:rPr>
          <w:rFonts w:cs="Arial"/>
          <w:b/>
          <w:bCs/>
          <w:color w:val="000000"/>
          <w:sz w:val="18"/>
          <w:szCs w:val="18"/>
          <w:lang w:val="en-US"/>
        </w:rPr>
      </w:pPr>
      <w:r w:rsidRPr="00FB3AC0">
        <w:rPr>
          <w:rFonts w:cs="Arial"/>
          <w:b/>
          <w:bCs/>
          <w:color w:val="000000"/>
          <w:sz w:val="18"/>
          <w:szCs w:val="18"/>
          <w:lang w:val="en-US"/>
        </w:rPr>
        <w:t>Where was patient discharged to?</w:t>
      </w:r>
    </w:p>
    <w:p w14:paraId="5A53B278" w14:textId="77777777" w:rsidR="000923BB" w:rsidRPr="00FB3AC0" w:rsidRDefault="000923BB" w:rsidP="000923BB">
      <w:pPr>
        <w:tabs>
          <w:tab w:val="center" w:pos="4104"/>
        </w:tabs>
        <w:autoSpaceDE w:val="0"/>
        <w:autoSpaceDN w:val="0"/>
        <w:adjustRightInd w:val="0"/>
        <w:rPr>
          <w:rFonts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206"/>
        <w:gridCol w:w="2832"/>
        <w:gridCol w:w="1123"/>
        <w:gridCol w:w="1080"/>
      </w:tblGrid>
      <w:tr w:rsidR="000923BB" w:rsidRPr="00FB3AC0" w14:paraId="28EB1FBD" w14:textId="77777777" w:rsidTr="003A385F">
        <w:trPr>
          <w:trHeight w:val="504"/>
        </w:trPr>
        <w:tc>
          <w:tcPr>
            <w:tcW w:w="3038"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57F27923"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0C1E21DD" w14:textId="77777777" w:rsidR="000923BB" w:rsidRPr="00FB3AC0" w:rsidRDefault="000923BB" w:rsidP="003A385F">
            <w:pPr>
              <w:autoSpaceDE w:val="0"/>
              <w:autoSpaceDN w:val="0"/>
              <w:adjustRightInd w:val="0"/>
              <w:jc w:val="center"/>
              <w:rPr>
                <w:rFonts w:cs="Arial"/>
                <w:color w:val="000000"/>
                <w:sz w:val="18"/>
                <w:szCs w:val="18"/>
              </w:rPr>
            </w:pPr>
            <w:r w:rsidRPr="00FB3AC0">
              <w:rPr>
                <w:rFonts w:cs="Arial"/>
                <w:color w:val="000000"/>
                <w:sz w:val="18"/>
                <w:szCs w:val="18"/>
              </w:rPr>
              <w:t>n</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7B05CF35" w14:textId="77777777" w:rsidR="000923BB" w:rsidRPr="00FB3AC0" w:rsidRDefault="000923BB" w:rsidP="003A385F">
            <w:pPr>
              <w:autoSpaceDE w:val="0"/>
              <w:autoSpaceDN w:val="0"/>
              <w:adjustRightInd w:val="0"/>
              <w:jc w:val="center"/>
              <w:rPr>
                <w:rFonts w:cs="Arial"/>
                <w:color w:val="000000"/>
                <w:sz w:val="18"/>
                <w:szCs w:val="18"/>
              </w:rPr>
            </w:pPr>
            <w:r w:rsidRPr="00FB3AC0">
              <w:rPr>
                <w:rFonts w:cs="Arial"/>
                <w:color w:val="000000"/>
                <w:sz w:val="18"/>
                <w:szCs w:val="18"/>
              </w:rPr>
              <w:t>Percent</w:t>
            </w:r>
          </w:p>
        </w:tc>
      </w:tr>
      <w:tr w:rsidR="000923BB" w:rsidRPr="00FB3AC0" w14:paraId="192E2A38" w14:textId="77777777" w:rsidTr="003A385F">
        <w:trPr>
          <w:trHeight w:val="504"/>
        </w:trPr>
        <w:tc>
          <w:tcPr>
            <w:tcW w:w="206" w:type="dxa"/>
            <w:tcBorders>
              <w:top w:val="single" w:sz="12" w:space="0" w:color="000000"/>
              <w:left w:val="single" w:sz="12" w:space="0" w:color="000000"/>
              <w:bottom w:val="nil"/>
              <w:right w:val="nil"/>
            </w:tcBorders>
            <w:shd w:val="clear" w:color="000000" w:fill="FFFFFF"/>
          </w:tcPr>
          <w:p w14:paraId="5F2D5652" w14:textId="77777777" w:rsidR="000923BB" w:rsidRPr="00FB3AC0" w:rsidRDefault="000923BB" w:rsidP="003A385F">
            <w:pPr>
              <w:autoSpaceDE w:val="0"/>
              <w:autoSpaceDN w:val="0"/>
              <w:adjustRightInd w:val="0"/>
              <w:rPr>
                <w:rFonts w:cs="Arial"/>
                <w:color w:val="000000"/>
                <w:sz w:val="18"/>
                <w:szCs w:val="18"/>
              </w:rPr>
            </w:pPr>
          </w:p>
        </w:tc>
        <w:tc>
          <w:tcPr>
            <w:tcW w:w="2832" w:type="dxa"/>
            <w:tcBorders>
              <w:top w:val="single" w:sz="12" w:space="0" w:color="000000"/>
              <w:left w:val="nil"/>
              <w:bottom w:val="nil"/>
              <w:right w:val="single" w:sz="12" w:space="0" w:color="000000"/>
            </w:tcBorders>
            <w:shd w:val="clear" w:color="000000" w:fill="FFFFFF"/>
          </w:tcPr>
          <w:p w14:paraId="69557EA0"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not applicable - died in hospital</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14:paraId="0FE79D1D"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438324F9"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2.8</w:t>
            </w:r>
          </w:p>
        </w:tc>
      </w:tr>
      <w:tr w:rsidR="000923BB" w:rsidRPr="00FB3AC0" w14:paraId="7B85666F" w14:textId="77777777" w:rsidTr="003A385F">
        <w:trPr>
          <w:trHeight w:val="504"/>
        </w:trPr>
        <w:tc>
          <w:tcPr>
            <w:tcW w:w="206" w:type="dxa"/>
            <w:tcBorders>
              <w:top w:val="nil"/>
              <w:left w:val="single" w:sz="12" w:space="0" w:color="000000"/>
              <w:bottom w:val="nil"/>
              <w:right w:val="nil"/>
            </w:tcBorders>
            <w:shd w:val="clear" w:color="000000" w:fill="FFFFFF"/>
          </w:tcPr>
          <w:p w14:paraId="1B165DF1"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2832" w:type="dxa"/>
            <w:tcBorders>
              <w:top w:val="nil"/>
              <w:left w:val="nil"/>
              <w:bottom w:val="nil"/>
              <w:right w:val="single" w:sz="12" w:space="0" w:color="000000"/>
            </w:tcBorders>
            <w:shd w:val="clear" w:color="000000" w:fill="FFFFFF"/>
          </w:tcPr>
          <w:p w14:paraId="441EB7D9"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nursing or residential care</w:t>
            </w:r>
          </w:p>
        </w:tc>
        <w:tc>
          <w:tcPr>
            <w:tcW w:w="1123" w:type="dxa"/>
            <w:tcBorders>
              <w:top w:val="nil"/>
              <w:left w:val="single" w:sz="12" w:space="0" w:color="000000"/>
              <w:bottom w:val="nil"/>
              <w:right w:val="single" w:sz="2" w:space="0" w:color="000000"/>
            </w:tcBorders>
            <w:shd w:val="clear" w:color="000000" w:fill="FFFFFF"/>
            <w:vAlign w:val="center"/>
          </w:tcPr>
          <w:p w14:paraId="697FDCBE"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14:paraId="694447DA"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2.8</w:t>
            </w:r>
          </w:p>
        </w:tc>
      </w:tr>
      <w:tr w:rsidR="000923BB" w:rsidRPr="00FB3AC0" w14:paraId="60681E90" w14:textId="77777777" w:rsidTr="003A385F">
        <w:trPr>
          <w:trHeight w:val="273"/>
        </w:trPr>
        <w:tc>
          <w:tcPr>
            <w:tcW w:w="206" w:type="dxa"/>
            <w:tcBorders>
              <w:top w:val="nil"/>
              <w:left w:val="single" w:sz="12" w:space="0" w:color="000000"/>
              <w:bottom w:val="nil"/>
              <w:right w:val="nil"/>
            </w:tcBorders>
            <w:shd w:val="clear" w:color="000000" w:fill="FFFFFF"/>
          </w:tcPr>
          <w:p w14:paraId="47B7B446"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2832" w:type="dxa"/>
            <w:tcBorders>
              <w:top w:val="nil"/>
              <w:left w:val="nil"/>
              <w:bottom w:val="nil"/>
              <w:right w:val="single" w:sz="12" w:space="0" w:color="000000"/>
            </w:tcBorders>
            <w:shd w:val="clear" w:color="000000" w:fill="FFFFFF"/>
          </w:tcPr>
          <w:p w14:paraId="6D8BB652"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other hospital</w:t>
            </w:r>
          </w:p>
        </w:tc>
        <w:tc>
          <w:tcPr>
            <w:tcW w:w="1123" w:type="dxa"/>
            <w:tcBorders>
              <w:top w:val="nil"/>
              <w:left w:val="single" w:sz="12" w:space="0" w:color="000000"/>
              <w:bottom w:val="nil"/>
              <w:right w:val="single" w:sz="2" w:space="0" w:color="000000"/>
            </w:tcBorders>
            <w:shd w:val="clear" w:color="000000" w:fill="FFFFFF"/>
            <w:vAlign w:val="center"/>
          </w:tcPr>
          <w:p w14:paraId="23DE6047"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14:paraId="25203A45"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2.8</w:t>
            </w:r>
          </w:p>
        </w:tc>
      </w:tr>
      <w:tr w:rsidR="000923BB" w:rsidRPr="00FB3AC0" w14:paraId="66F7844F" w14:textId="77777777" w:rsidTr="003A385F">
        <w:trPr>
          <w:trHeight w:val="504"/>
        </w:trPr>
        <w:tc>
          <w:tcPr>
            <w:tcW w:w="206" w:type="dxa"/>
            <w:tcBorders>
              <w:top w:val="nil"/>
              <w:left w:val="single" w:sz="12" w:space="0" w:color="000000"/>
              <w:bottom w:val="nil"/>
              <w:right w:val="nil"/>
            </w:tcBorders>
            <w:shd w:val="clear" w:color="000000" w:fill="FFFFFF"/>
          </w:tcPr>
          <w:p w14:paraId="15696EAE"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2832" w:type="dxa"/>
            <w:tcBorders>
              <w:top w:val="nil"/>
              <w:left w:val="nil"/>
              <w:bottom w:val="nil"/>
              <w:right w:val="single" w:sz="12" w:space="0" w:color="000000"/>
            </w:tcBorders>
            <w:shd w:val="clear" w:color="000000" w:fill="FFFFFF"/>
          </w:tcPr>
          <w:p w14:paraId="08C7C010"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own home - independent of help</w:t>
            </w:r>
          </w:p>
        </w:tc>
        <w:tc>
          <w:tcPr>
            <w:tcW w:w="1123" w:type="dxa"/>
            <w:tcBorders>
              <w:top w:val="nil"/>
              <w:left w:val="single" w:sz="12" w:space="0" w:color="000000"/>
              <w:bottom w:val="nil"/>
              <w:right w:val="single" w:sz="2" w:space="0" w:color="000000"/>
            </w:tcBorders>
            <w:shd w:val="clear" w:color="000000" w:fill="FFFFFF"/>
            <w:vAlign w:val="center"/>
          </w:tcPr>
          <w:p w14:paraId="721FD7C9"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25</w:t>
            </w:r>
          </w:p>
        </w:tc>
        <w:tc>
          <w:tcPr>
            <w:tcW w:w="1080" w:type="dxa"/>
            <w:tcBorders>
              <w:top w:val="nil"/>
              <w:left w:val="single" w:sz="2" w:space="0" w:color="000000"/>
              <w:bottom w:val="nil"/>
              <w:right w:val="single" w:sz="2" w:space="0" w:color="000000"/>
            </w:tcBorders>
            <w:shd w:val="clear" w:color="000000" w:fill="FFFFFF"/>
            <w:vAlign w:val="center"/>
          </w:tcPr>
          <w:p w14:paraId="4AA64024"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69.4</w:t>
            </w:r>
          </w:p>
        </w:tc>
      </w:tr>
      <w:tr w:rsidR="000923BB" w:rsidRPr="00FB3AC0" w14:paraId="3D2DD9D4" w14:textId="77777777" w:rsidTr="003A385F">
        <w:trPr>
          <w:trHeight w:val="504"/>
        </w:trPr>
        <w:tc>
          <w:tcPr>
            <w:tcW w:w="206" w:type="dxa"/>
            <w:tcBorders>
              <w:top w:val="nil"/>
              <w:left w:val="single" w:sz="12" w:space="0" w:color="000000"/>
              <w:bottom w:val="nil"/>
              <w:right w:val="nil"/>
            </w:tcBorders>
            <w:shd w:val="clear" w:color="000000" w:fill="FFFFFF"/>
          </w:tcPr>
          <w:p w14:paraId="409BC5BB"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2832" w:type="dxa"/>
            <w:tcBorders>
              <w:top w:val="nil"/>
              <w:left w:val="nil"/>
              <w:bottom w:val="nil"/>
              <w:right w:val="single" w:sz="12" w:space="0" w:color="000000"/>
            </w:tcBorders>
            <w:shd w:val="clear" w:color="000000" w:fill="FFFFFF"/>
          </w:tcPr>
          <w:p w14:paraId="32FD7A84"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own home - with additional social support</w:t>
            </w:r>
          </w:p>
        </w:tc>
        <w:tc>
          <w:tcPr>
            <w:tcW w:w="1123" w:type="dxa"/>
            <w:tcBorders>
              <w:top w:val="nil"/>
              <w:left w:val="single" w:sz="12" w:space="0" w:color="000000"/>
              <w:bottom w:val="nil"/>
              <w:right w:val="single" w:sz="2" w:space="0" w:color="000000"/>
            </w:tcBorders>
            <w:shd w:val="clear" w:color="000000" w:fill="FFFFFF"/>
            <w:vAlign w:val="center"/>
          </w:tcPr>
          <w:p w14:paraId="4151DCCA"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4</w:t>
            </w:r>
          </w:p>
        </w:tc>
        <w:tc>
          <w:tcPr>
            <w:tcW w:w="1080" w:type="dxa"/>
            <w:tcBorders>
              <w:top w:val="nil"/>
              <w:left w:val="single" w:sz="2" w:space="0" w:color="000000"/>
              <w:bottom w:val="nil"/>
              <w:right w:val="single" w:sz="2" w:space="0" w:color="000000"/>
            </w:tcBorders>
            <w:shd w:val="clear" w:color="000000" w:fill="FFFFFF"/>
            <w:vAlign w:val="center"/>
          </w:tcPr>
          <w:p w14:paraId="7C900C1E"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11.1</w:t>
            </w:r>
          </w:p>
        </w:tc>
      </w:tr>
      <w:tr w:rsidR="000923BB" w:rsidRPr="00FB3AC0" w14:paraId="71DA2167" w14:textId="77777777" w:rsidTr="003A385F">
        <w:trPr>
          <w:trHeight w:val="504"/>
        </w:trPr>
        <w:tc>
          <w:tcPr>
            <w:tcW w:w="206" w:type="dxa"/>
            <w:tcBorders>
              <w:top w:val="nil"/>
              <w:left w:val="single" w:sz="12" w:space="0" w:color="000000"/>
              <w:bottom w:val="nil"/>
              <w:right w:val="nil"/>
            </w:tcBorders>
            <w:shd w:val="clear" w:color="000000" w:fill="FFFFFF"/>
          </w:tcPr>
          <w:p w14:paraId="230A6878"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2832" w:type="dxa"/>
            <w:tcBorders>
              <w:top w:val="nil"/>
              <w:left w:val="nil"/>
              <w:bottom w:val="nil"/>
              <w:right w:val="single" w:sz="12" w:space="0" w:color="000000"/>
            </w:tcBorders>
            <w:shd w:val="clear" w:color="000000" w:fill="FFFFFF"/>
          </w:tcPr>
          <w:p w14:paraId="61567DE3"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sheltered housing or living with relative</w:t>
            </w:r>
          </w:p>
        </w:tc>
        <w:tc>
          <w:tcPr>
            <w:tcW w:w="1123" w:type="dxa"/>
            <w:tcBorders>
              <w:top w:val="nil"/>
              <w:left w:val="single" w:sz="12" w:space="0" w:color="000000"/>
              <w:bottom w:val="nil"/>
              <w:right w:val="single" w:sz="2" w:space="0" w:color="000000"/>
            </w:tcBorders>
            <w:shd w:val="clear" w:color="000000" w:fill="FFFFFF"/>
            <w:vAlign w:val="center"/>
          </w:tcPr>
          <w:p w14:paraId="4E285371"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4</w:t>
            </w:r>
          </w:p>
        </w:tc>
        <w:tc>
          <w:tcPr>
            <w:tcW w:w="1080" w:type="dxa"/>
            <w:tcBorders>
              <w:top w:val="nil"/>
              <w:left w:val="single" w:sz="2" w:space="0" w:color="000000"/>
              <w:bottom w:val="nil"/>
              <w:right w:val="single" w:sz="2" w:space="0" w:color="000000"/>
            </w:tcBorders>
            <w:shd w:val="clear" w:color="000000" w:fill="FFFFFF"/>
            <w:vAlign w:val="center"/>
          </w:tcPr>
          <w:p w14:paraId="7C15F80E"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11.1</w:t>
            </w:r>
          </w:p>
        </w:tc>
      </w:tr>
      <w:tr w:rsidR="000923BB" w:rsidRPr="00FB3AC0" w14:paraId="6017ADEB" w14:textId="77777777" w:rsidTr="003A385F">
        <w:trPr>
          <w:trHeight w:val="273"/>
        </w:trPr>
        <w:tc>
          <w:tcPr>
            <w:tcW w:w="206" w:type="dxa"/>
            <w:tcBorders>
              <w:top w:val="nil"/>
              <w:left w:val="single" w:sz="12" w:space="0" w:color="000000"/>
              <w:bottom w:val="single" w:sz="12" w:space="0" w:color="000000"/>
              <w:right w:val="nil"/>
            </w:tcBorders>
            <w:shd w:val="clear" w:color="000000" w:fill="FFFFFF"/>
          </w:tcPr>
          <w:p w14:paraId="5840510C"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2832" w:type="dxa"/>
            <w:tcBorders>
              <w:top w:val="nil"/>
              <w:left w:val="nil"/>
              <w:bottom w:val="single" w:sz="12" w:space="0" w:color="000000"/>
              <w:right w:val="single" w:sz="12" w:space="0" w:color="000000"/>
            </w:tcBorders>
            <w:shd w:val="clear" w:color="000000" w:fill="FFFFFF"/>
          </w:tcPr>
          <w:p w14:paraId="3672111A"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14:paraId="5106E0D2"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36</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0FEBB1FB"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100.0</w:t>
            </w:r>
          </w:p>
        </w:tc>
      </w:tr>
    </w:tbl>
    <w:p w14:paraId="0777F202" w14:textId="77777777" w:rsidR="000923BB" w:rsidRPr="00FB3AC0" w:rsidRDefault="000923BB" w:rsidP="000923BB">
      <w:pPr>
        <w:autoSpaceDE w:val="0"/>
        <w:autoSpaceDN w:val="0"/>
        <w:adjustRightInd w:val="0"/>
        <w:rPr>
          <w:rFonts w:cs="Arial"/>
          <w:color w:val="000000"/>
          <w:sz w:val="18"/>
          <w:szCs w:val="18"/>
          <w:lang w:val="en-US"/>
        </w:rPr>
      </w:pPr>
    </w:p>
    <w:p w14:paraId="1F8BDDD7" w14:textId="77777777" w:rsidR="004932C5" w:rsidRDefault="004932C5" w:rsidP="000923BB">
      <w:pPr>
        <w:tabs>
          <w:tab w:val="center" w:pos="3312"/>
        </w:tabs>
        <w:autoSpaceDE w:val="0"/>
        <w:autoSpaceDN w:val="0"/>
        <w:adjustRightInd w:val="0"/>
        <w:rPr>
          <w:rFonts w:cs="Arial"/>
          <w:b/>
          <w:bCs/>
          <w:color w:val="000000"/>
          <w:sz w:val="18"/>
          <w:szCs w:val="18"/>
          <w:lang w:val="en-US"/>
        </w:rPr>
      </w:pPr>
    </w:p>
    <w:p w14:paraId="53CA53E6" w14:textId="77777777" w:rsidR="000923BB" w:rsidRPr="00FB3AC0" w:rsidRDefault="000923BB" w:rsidP="000923BB">
      <w:pPr>
        <w:tabs>
          <w:tab w:val="center" w:pos="3312"/>
        </w:tabs>
        <w:autoSpaceDE w:val="0"/>
        <w:autoSpaceDN w:val="0"/>
        <w:adjustRightInd w:val="0"/>
        <w:rPr>
          <w:rFonts w:cs="Arial"/>
          <w:b/>
          <w:bCs/>
          <w:color w:val="000000"/>
          <w:sz w:val="18"/>
          <w:szCs w:val="18"/>
          <w:lang w:val="en-US"/>
        </w:rPr>
      </w:pPr>
      <w:r w:rsidRPr="00FB3AC0">
        <w:rPr>
          <w:rFonts w:cs="Arial"/>
          <w:b/>
          <w:bCs/>
          <w:color w:val="000000"/>
          <w:sz w:val="18"/>
          <w:szCs w:val="18"/>
          <w:lang w:val="en-US"/>
        </w:rPr>
        <w:t>Discharge letter to primary care team?</w:t>
      </w:r>
    </w:p>
    <w:p w14:paraId="140193BF" w14:textId="77777777" w:rsidR="000923BB" w:rsidRPr="00FB3AC0" w:rsidRDefault="000923BB" w:rsidP="000923BB">
      <w:pPr>
        <w:tabs>
          <w:tab w:val="center" w:pos="3312"/>
        </w:tabs>
        <w:autoSpaceDE w:val="0"/>
        <w:autoSpaceDN w:val="0"/>
        <w:adjustRightInd w:val="0"/>
        <w:rPr>
          <w:rFonts w:cs="Arial"/>
          <w:b/>
          <w:bCs/>
          <w:color w:val="000000"/>
          <w:sz w:val="18"/>
          <w:szCs w:val="18"/>
          <w:lang w:val="en-US"/>
        </w:rPr>
      </w:pPr>
    </w:p>
    <w:tbl>
      <w:tblPr>
        <w:tblW w:w="0" w:type="auto"/>
        <w:tblInd w:w="93" w:type="dxa"/>
        <w:tblLayout w:type="fixed"/>
        <w:tblCellMar>
          <w:left w:w="93" w:type="dxa"/>
          <w:right w:w="93" w:type="dxa"/>
        </w:tblCellMar>
        <w:tblLook w:val="0000" w:firstRow="0" w:lastRow="0" w:firstColumn="0" w:lastColumn="0" w:noHBand="0" w:noVBand="0"/>
      </w:tblPr>
      <w:tblGrid>
        <w:gridCol w:w="206"/>
        <w:gridCol w:w="1291"/>
        <w:gridCol w:w="1123"/>
        <w:gridCol w:w="1080"/>
      </w:tblGrid>
      <w:tr w:rsidR="000923BB" w:rsidRPr="00FB3AC0" w14:paraId="376B4DD7" w14:textId="77777777" w:rsidTr="003A385F">
        <w:trPr>
          <w:trHeight w:val="504"/>
        </w:trPr>
        <w:tc>
          <w:tcPr>
            <w:tcW w:w="1497"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1B8DBD29"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279E9F45"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n</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0B50D796" w14:textId="77777777" w:rsidR="000923BB" w:rsidRPr="00FB3AC0" w:rsidRDefault="000923BB" w:rsidP="003A385F">
            <w:pPr>
              <w:autoSpaceDE w:val="0"/>
              <w:autoSpaceDN w:val="0"/>
              <w:adjustRightInd w:val="0"/>
              <w:jc w:val="center"/>
              <w:rPr>
                <w:rFonts w:cs="Arial"/>
                <w:color w:val="000000"/>
                <w:sz w:val="18"/>
                <w:szCs w:val="18"/>
                <w:lang w:val="en-US"/>
              </w:rPr>
            </w:pPr>
            <w:r w:rsidRPr="00FB3AC0">
              <w:rPr>
                <w:rFonts w:cs="Arial"/>
                <w:color w:val="000000"/>
                <w:sz w:val="18"/>
                <w:szCs w:val="18"/>
                <w:lang w:val="en-US"/>
              </w:rPr>
              <w:t>Percent</w:t>
            </w:r>
          </w:p>
        </w:tc>
      </w:tr>
      <w:tr w:rsidR="000923BB" w:rsidRPr="00FB3AC0" w14:paraId="67CB9F84" w14:textId="77777777" w:rsidTr="003A385F">
        <w:trPr>
          <w:trHeight w:val="273"/>
        </w:trPr>
        <w:tc>
          <w:tcPr>
            <w:tcW w:w="206" w:type="dxa"/>
            <w:tcBorders>
              <w:top w:val="single" w:sz="12" w:space="0" w:color="000000"/>
              <w:left w:val="single" w:sz="12" w:space="0" w:color="000000"/>
              <w:bottom w:val="nil"/>
              <w:right w:val="nil"/>
            </w:tcBorders>
            <w:shd w:val="clear" w:color="000000" w:fill="FFFFFF"/>
          </w:tcPr>
          <w:p w14:paraId="2A95FB5C" w14:textId="77777777" w:rsidR="000923BB" w:rsidRPr="00FB3AC0" w:rsidRDefault="000923BB" w:rsidP="003A385F">
            <w:pPr>
              <w:autoSpaceDE w:val="0"/>
              <w:autoSpaceDN w:val="0"/>
              <w:adjustRightInd w:val="0"/>
              <w:rPr>
                <w:rFonts w:cs="Arial"/>
                <w:color w:val="000000"/>
                <w:sz w:val="18"/>
                <w:szCs w:val="18"/>
                <w:lang w:val="en-US"/>
              </w:rPr>
            </w:pPr>
          </w:p>
        </w:tc>
        <w:tc>
          <w:tcPr>
            <w:tcW w:w="1291" w:type="dxa"/>
            <w:tcBorders>
              <w:top w:val="single" w:sz="12" w:space="0" w:color="000000"/>
              <w:left w:val="nil"/>
              <w:bottom w:val="nil"/>
              <w:right w:val="single" w:sz="12" w:space="0" w:color="000000"/>
            </w:tcBorders>
            <w:shd w:val="clear" w:color="000000" w:fill="FFFFFF"/>
          </w:tcPr>
          <w:p w14:paraId="56D8D27C"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no</w:t>
            </w:r>
          </w:p>
        </w:tc>
        <w:tc>
          <w:tcPr>
            <w:tcW w:w="1123" w:type="dxa"/>
            <w:tcBorders>
              <w:top w:val="single" w:sz="12" w:space="0" w:color="000000"/>
              <w:left w:val="single" w:sz="12" w:space="0" w:color="000000"/>
              <w:bottom w:val="nil"/>
              <w:right w:val="single" w:sz="2" w:space="0" w:color="000000"/>
            </w:tcBorders>
            <w:shd w:val="clear" w:color="000000" w:fill="FFFFFF"/>
          </w:tcPr>
          <w:p w14:paraId="570FC59F" w14:textId="77777777" w:rsidR="000923BB" w:rsidRPr="00FB3AC0" w:rsidRDefault="000923BB" w:rsidP="003A385F">
            <w:pPr>
              <w:rPr>
                <w:rFonts w:cs="Arial"/>
                <w:sz w:val="20"/>
                <w:szCs w:val="20"/>
              </w:rPr>
            </w:pPr>
            <w:r w:rsidRPr="00FB3AC0">
              <w:rPr>
                <w:rFonts w:cs="Arial"/>
                <w:sz w:val="20"/>
                <w:szCs w:val="20"/>
              </w:rPr>
              <w:t>4</w:t>
            </w:r>
          </w:p>
        </w:tc>
        <w:tc>
          <w:tcPr>
            <w:tcW w:w="1080" w:type="dxa"/>
            <w:tcBorders>
              <w:top w:val="single" w:sz="12" w:space="0" w:color="000000"/>
              <w:left w:val="single" w:sz="2" w:space="0" w:color="000000"/>
              <w:bottom w:val="nil"/>
              <w:right w:val="single" w:sz="2" w:space="0" w:color="000000"/>
            </w:tcBorders>
            <w:shd w:val="clear" w:color="000000" w:fill="FFFFFF"/>
          </w:tcPr>
          <w:p w14:paraId="131D5828" w14:textId="77777777" w:rsidR="000923BB" w:rsidRPr="00FB3AC0" w:rsidRDefault="000923BB" w:rsidP="003A385F">
            <w:pPr>
              <w:rPr>
                <w:rFonts w:cs="Arial"/>
                <w:sz w:val="20"/>
                <w:szCs w:val="20"/>
              </w:rPr>
            </w:pPr>
            <w:r w:rsidRPr="00FB3AC0">
              <w:rPr>
                <w:rFonts w:cs="Arial"/>
                <w:sz w:val="20"/>
                <w:szCs w:val="20"/>
              </w:rPr>
              <w:t>11.1</w:t>
            </w:r>
          </w:p>
        </w:tc>
      </w:tr>
      <w:tr w:rsidR="000923BB" w:rsidRPr="00FB3AC0" w14:paraId="7D3139F3" w14:textId="77777777" w:rsidTr="003A385F">
        <w:trPr>
          <w:trHeight w:val="273"/>
        </w:trPr>
        <w:tc>
          <w:tcPr>
            <w:tcW w:w="206" w:type="dxa"/>
            <w:tcBorders>
              <w:top w:val="nil"/>
              <w:left w:val="single" w:sz="12" w:space="0" w:color="000000"/>
              <w:bottom w:val="nil"/>
              <w:right w:val="nil"/>
            </w:tcBorders>
            <w:shd w:val="clear" w:color="000000" w:fill="FFFFFF"/>
          </w:tcPr>
          <w:p w14:paraId="09B37282"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291" w:type="dxa"/>
            <w:tcBorders>
              <w:top w:val="nil"/>
              <w:left w:val="nil"/>
              <w:bottom w:val="nil"/>
              <w:right w:val="single" w:sz="12" w:space="0" w:color="000000"/>
            </w:tcBorders>
            <w:shd w:val="clear" w:color="000000" w:fill="FFFFFF"/>
          </w:tcPr>
          <w:p w14:paraId="443C99C0"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yes</w:t>
            </w:r>
          </w:p>
        </w:tc>
        <w:tc>
          <w:tcPr>
            <w:tcW w:w="1123" w:type="dxa"/>
            <w:tcBorders>
              <w:top w:val="nil"/>
              <w:left w:val="single" w:sz="12" w:space="0" w:color="000000"/>
              <w:bottom w:val="nil"/>
              <w:right w:val="single" w:sz="2" w:space="0" w:color="000000"/>
            </w:tcBorders>
            <w:shd w:val="clear" w:color="000000" w:fill="FFFFFF"/>
          </w:tcPr>
          <w:p w14:paraId="63E34140" w14:textId="77777777" w:rsidR="000923BB" w:rsidRPr="00FB3AC0" w:rsidRDefault="000923BB" w:rsidP="003A385F">
            <w:pPr>
              <w:rPr>
                <w:rFonts w:cs="Arial"/>
                <w:sz w:val="20"/>
                <w:szCs w:val="20"/>
              </w:rPr>
            </w:pPr>
            <w:r w:rsidRPr="00FB3AC0">
              <w:rPr>
                <w:rFonts w:cs="Arial"/>
                <w:sz w:val="20"/>
                <w:szCs w:val="20"/>
              </w:rPr>
              <w:t>32</w:t>
            </w:r>
          </w:p>
        </w:tc>
        <w:tc>
          <w:tcPr>
            <w:tcW w:w="1080" w:type="dxa"/>
            <w:tcBorders>
              <w:top w:val="nil"/>
              <w:left w:val="single" w:sz="2" w:space="0" w:color="000000"/>
              <w:bottom w:val="nil"/>
              <w:right w:val="single" w:sz="2" w:space="0" w:color="000000"/>
            </w:tcBorders>
            <w:shd w:val="clear" w:color="000000" w:fill="FFFFFF"/>
          </w:tcPr>
          <w:p w14:paraId="204B20AC" w14:textId="77777777" w:rsidR="000923BB" w:rsidRPr="00FB3AC0" w:rsidRDefault="000923BB" w:rsidP="003A385F">
            <w:pPr>
              <w:rPr>
                <w:rFonts w:cs="Arial"/>
                <w:sz w:val="20"/>
                <w:szCs w:val="20"/>
              </w:rPr>
            </w:pPr>
            <w:r w:rsidRPr="00FB3AC0">
              <w:rPr>
                <w:rFonts w:cs="Arial"/>
                <w:sz w:val="20"/>
                <w:szCs w:val="20"/>
              </w:rPr>
              <w:t>88.9</w:t>
            </w:r>
          </w:p>
        </w:tc>
      </w:tr>
      <w:tr w:rsidR="000923BB" w:rsidRPr="00FB3AC0" w14:paraId="33F38F00" w14:textId="77777777" w:rsidTr="003A385F">
        <w:trPr>
          <w:trHeight w:val="273"/>
        </w:trPr>
        <w:tc>
          <w:tcPr>
            <w:tcW w:w="206" w:type="dxa"/>
            <w:tcBorders>
              <w:top w:val="nil"/>
              <w:left w:val="single" w:sz="12" w:space="0" w:color="000000"/>
              <w:bottom w:val="single" w:sz="12" w:space="0" w:color="000000"/>
              <w:right w:val="nil"/>
            </w:tcBorders>
            <w:shd w:val="clear" w:color="000000" w:fill="FFFFFF"/>
          </w:tcPr>
          <w:p w14:paraId="64892CD1"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 xml:space="preserve"> </w:t>
            </w:r>
          </w:p>
        </w:tc>
        <w:tc>
          <w:tcPr>
            <w:tcW w:w="1291" w:type="dxa"/>
            <w:tcBorders>
              <w:top w:val="nil"/>
              <w:left w:val="nil"/>
              <w:bottom w:val="single" w:sz="12" w:space="0" w:color="000000"/>
              <w:right w:val="single" w:sz="12" w:space="0" w:color="000000"/>
            </w:tcBorders>
            <w:shd w:val="clear" w:color="000000" w:fill="FFFFFF"/>
          </w:tcPr>
          <w:p w14:paraId="7D892C68" w14:textId="77777777" w:rsidR="000923BB" w:rsidRPr="00FB3AC0" w:rsidRDefault="000923BB" w:rsidP="003A385F">
            <w:pPr>
              <w:autoSpaceDE w:val="0"/>
              <w:autoSpaceDN w:val="0"/>
              <w:adjustRightInd w:val="0"/>
              <w:rPr>
                <w:rFonts w:cs="Arial"/>
                <w:color w:val="000000"/>
                <w:sz w:val="18"/>
                <w:szCs w:val="18"/>
                <w:lang w:val="en-US"/>
              </w:rPr>
            </w:pPr>
            <w:r w:rsidRPr="00FB3AC0">
              <w:rPr>
                <w:rFonts w:cs="Arial"/>
                <w:color w:val="000000"/>
                <w:sz w:val="18"/>
                <w:szCs w:val="18"/>
                <w:lang w:val="en-US"/>
              </w:rPr>
              <w:t>Total</w:t>
            </w:r>
          </w:p>
        </w:tc>
        <w:tc>
          <w:tcPr>
            <w:tcW w:w="1123" w:type="dxa"/>
            <w:tcBorders>
              <w:top w:val="nil"/>
              <w:left w:val="single" w:sz="12" w:space="0" w:color="000000"/>
              <w:bottom w:val="single" w:sz="12" w:space="0" w:color="000000"/>
              <w:right w:val="single" w:sz="2" w:space="0" w:color="000000"/>
            </w:tcBorders>
            <w:shd w:val="clear" w:color="000000" w:fill="FFFFFF"/>
          </w:tcPr>
          <w:p w14:paraId="127993DC" w14:textId="77777777" w:rsidR="000923BB" w:rsidRPr="00FB3AC0" w:rsidRDefault="000923BB" w:rsidP="003A385F">
            <w:pPr>
              <w:rPr>
                <w:rFonts w:cs="Arial"/>
                <w:sz w:val="20"/>
                <w:szCs w:val="20"/>
              </w:rPr>
            </w:pPr>
            <w:r w:rsidRPr="00FB3AC0">
              <w:rPr>
                <w:rFonts w:cs="Arial"/>
                <w:sz w:val="20"/>
                <w:szCs w:val="20"/>
              </w:rPr>
              <w:t>36</w:t>
            </w:r>
          </w:p>
        </w:tc>
        <w:tc>
          <w:tcPr>
            <w:tcW w:w="1080" w:type="dxa"/>
            <w:tcBorders>
              <w:top w:val="nil"/>
              <w:left w:val="single" w:sz="2" w:space="0" w:color="000000"/>
              <w:bottom w:val="single" w:sz="12" w:space="0" w:color="000000"/>
              <w:right w:val="single" w:sz="2" w:space="0" w:color="000000"/>
            </w:tcBorders>
            <w:shd w:val="clear" w:color="000000" w:fill="FFFFFF"/>
          </w:tcPr>
          <w:p w14:paraId="5D2A1EFC" w14:textId="77777777" w:rsidR="000923BB" w:rsidRPr="00FB3AC0" w:rsidRDefault="000923BB" w:rsidP="003A385F">
            <w:pPr>
              <w:rPr>
                <w:rFonts w:cs="Arial"/>
                <w:sz w:val="20"/>
                <w:szCs w:val="20"/>
              </w:rPr>
            </w:pPr>
            <w:r w:rsidRPr="00FB3AC0">
              <w:rPr>
                <w:rFonts w:cs="Arial"/>
                <w:sz w:val="20"/>
                <w:szCs w:val="20"/>
              </w:rPr>
              <w:t>100.0</w:t>
            </w:r>
          </w:p>
        </w:tc>
      </w:tr>
    </w:tbl>
    <w:p w14:paraId="21C1CA98" w14:textId="77777777" w:rsidR="000923BB" w:rsidRPr="00FB3AC0" w:rsidRDefault="000923BB" w:rsidP="000923BB">
      <w:pPr>
        <w:tabs>
          <w:tab w:val="center" w:pos="3312"/>
        </w:tabs>
        <w:autoSpaceDE w:val="0"/>
        <w:autoSpaceDN w:val="0"/>
        <w:adjustRightInd w:val="0"/>
        <w:rPr>
          <w:rFonts w:cs="Arial"/>
          <w:b/>
          <w:bCs/>
          <w:color w:val="000000"/>
          <w:sz w:val="18"/>
          <w:szCs w:val="18"/>
          <w:lang w:val="en-US"/>
        </w:rPr>
      </w:pPr>
    </w:p>
    <w:p w14:paraId="2285E9A9" w14:textId="77777777" w:rsidR="000923BB" w:rsidRPr="00FB3AC0" w:rsidRDefault="000923BB" w:rsidP="000923BB">
      <w:pPr>
        <w:tabs>
          <w:tab w:val="center" w:pos="3312"/>
        </w:tabs>
        <w:autoSpaceDE w:val="0"/>
        <w:autoSpaceDN w:val="0"/>
        <w:adjustRightInd w:val="0"/>
        <w:rPr>
          <w:rFonts w:cs="Arial"/>
          <w:b/>
          <w:bCs/>
          <w:color w:val="000000"/>
          <w:sz w:val="18"/>
          <w:szCs w:val="18"/>
          <w:lang w:val="en-US"/>
        </w:rPr>
      </w:pPr>
      <w:r w:rsidRPr="00FB3AC0">
        <w:rPr>
          <w:rFonts w:cs="Arial"/>
          <w:b/>
          <w:bCs/>
          <w:color w:val="000000"/>
          <w:sz w:val="18"/>
          <w:szCs w:val="18"/>
          <w:lang w:val="en-US"/>
        </w:rPr>
        <w:t>If yes, is there a clear list of medications?</w:t>
      </w:r>
    </w:p>
    <w:p w14:paraId="0661B3F7" w14:textId="77777777" w:rsidR="000923BB" w:rsidRPr="00FB3AC0" w:rsidRDefault="000923BB" w:rsidP="000923BB">
      <w:pPr>
        <w:tabs>
          <w:tab w:val="center" w:pos="2145"/>
        </w:tabs>
        <w:autoSpaceDE w:val="0"/>
        <w:autoSpaceDN w:val="0"/>
        <w:adjustRightInd w:val="0"/>
        <w:rPr>
          <w:rFonts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206"/>
        <w:gridCol w:w="1594"/>
        <w:gridCol w:w="1123"/>
        <w:gridCol w:w="1080"/>
      </w:tblGrid>
      <w:tr w:rsidR="000923BB" w:rsidRPr="00FB3AC0" w14:paraId="4176147B" w14:textId="77777777" w:rsidTr="003A385F">
        <w:trPr>
          <w:trHeight w:val="504"/>
        </w:trPr>
        <w:tc>
          <w:tcPr>
            <w:tcW w:w="180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6D41CDB7"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107DCE29" w14:textId="77777777" w:rsidR="000923BB" w:rsidRPr="00FB3AC0" w:rsidRDefault="000923BB" w:rsidP="003A385F">
            <w:pPr>
              <w:autoSpaceDE w:val="0"/>
              <w:autoSpaceDN w:val="0"/>
              <w:adjustRightInd w:val="0"/>
              <w:jc w:val="center"/>
              <w:rPr>
                <w:rFonts w:cs="Arial"/>
                <w:color w:val="000000"/>
                <w:sz w:val="18"/>
                <w:szCs w:val="18"/>
              </w:rPr>
            </w:pPr>
            <w:r w:rsidRPr="00FB3AC0">
              <w:rPr>
                <w:rFonts w:cs="Arial"/>
                <w:color w:val="000000"/>
                <w:sz w:val="18"/>
                <w:szCs w:val="18"/>
              </w:rPr>
              <w:t>n</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455AA4EE" w14:textId="77777777" w:rsidR="000923BB" w:rsidRPr="00FB3AC0" w:rsidRDefault="000923BB" w:rsidP="003A385F">
            <w:pPr>
              <w:autoSpaceDE w:val="0"/>
              <w:autoSpaceDN w:val="0"/>
              <w:adjustRightInd w:val="0"/>
              <w:jc w:val="center"/>
              <w:rPr>
                <w:rFonts w:cs="Arial"/>
                <w:color w:val="000000"/>
                <w:sz w:val="18"/>
                <w:szCs w:val="18"/>
              </w:rPr>
            </w:pPr>
            <w:r w:rsidRPr="00FB3AC0">
              <w:rPr>
                <w:rFonts w:cs="Arial"/>
                <w:color w:val="000000"/>
                <w:sz w:val="18"/>
                <w:szCs w:val="18"/>
              </w:rPr>
              <w:t>Percent</w:t>
            </w:r>
          </w:p>
        </w:tc>
      </w:tr>
      <w:tr w:rsidR="000923BB" w:rsidRPr="00FB3AC0" w14:paraId="567FAC0F" w14:textId="77777777" w:rsidTr="003A385F">
        <w:trPr>
          <w:trHeight w:val="273"/>
        </w:trPr>
        <w:tc>
          <w:tcPr>
            <w:tcW w:w="206" w:type="dxa"/>
            <w:vMerge w:val="restart"/>
            <w:tcBorders>
              <w:top w:val="single" w:sz="12" w:space="0" w:color="000000"/>
              <w:left w:val="single" w:sz="12" w:space="0" w:color="000000"/>
              <w:bottom w:val="nil"/>
              <w:right w:val="nil"/>
            </w:tcBorders>
            <w:shd w:val="clear" w:color="000000" w:fill="FFFFFF"/>
          </w:tcPr>
          <w:p w14:paraId="69FC7A3D"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594" w:type="dxa"/>
            <w:tcBorders>
              <w:top w:val="single" w:sz="12" w:space="0" w:color="000000"/>
              <w:left w:val="nil"/>
              <w:bottom w:val="nil"/>
              <w:right w:val="single" w:sz="12" w:space="0" w:color="000000"/>
            </w:tcBorders>
            <w:shd w:val="clear" w:color="000000" w:fill="FFFFFF"/>
          </w:tcPr>
          <w:p w14:paraId="15EA61E9"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No discharge letter</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14:paraId="5BBAE2C3"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4</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2B9A38BE"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11.1</w:t>
            </w:r>
          </w:p>
        </w:tc>
      </w:tr>
      <w:tr w:rsidR="000923BB" w:rsidRPr="00FB3AC0" w14:paraId="66E807FE" w14:textId="77777777" w:rsidTr="003A385F">
        <w:trPr>
          <w:trHeight w:val="273"/>
        </w:trPr>
        <w:tc>
          <w:tcPr>
            <w:tcW w:w="206" w:type="dxa"/>
            <w:vMerge w:val="restart"/>
            <w:tcBorders>
              <w:top w:val="nil"/>
              <w:left w:val="single" w:sz="12" w:space="0" w:color="000000"/>
              <w:bottom w:val="nil"/>
              <w:right w:val="nil"/>
            </w:tcBorders>
            <w:shd w:val="clear" w:color="000000" w:fill="FFFFFF"/>
          </w:tcPr>
          <w:p w14:paraId="7AF8AFE2"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594" w:type="dxa"/>
            <w:tcBorders>
              <w:top w:val="nil"/>
              <w:left w:val="nil"/>
              <w:bottom w:val="nil"/>
              <w:right w:val="single" w:sz="12" w:space="0" w:color="000000"/>
            </w:tcBorders>
            <w:shd w:val="clear" w:color="000000" w:fill="FFFFFF"/>
          </w:tcPr>
          <w:p w14:paraId="31807BA5"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no</w:t>
            </w:r>
          </w:p>
        </w:tc>
        <w:tc>
          <w:tcPr>
            <w:tcW w:w="1123" w:type="dxa"/>
            <w:tcBorders>
              <w:top w:val="nil"/>
              <w:left w:val="single" w:sz="12" w:space="0" w:color="000000"/>
              <w:bottom w:val="nil"/>
              <w:right w:val="single" w:sz="2" w:space="0" w:color="000000"/>
            </w:tcBorders>
            <w:shd w:val="clear" w:color="000000" w:fill="FFFFFF"/>
            <w:vAlign w:val="center"/>
          </w:tcPr>
          <w:p w14:paraId="29143D3D"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14:paraId="087E0DE7"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2.8</w:t>
            </w:r>
          </w:p>
        </w:tc>
      </w:tr>
      <w:tr w:rsidR="000923BB" w:rsidRPr="00FB3AC0" w14:paraId="20F3CD65" w14:textId="77777777" w:rsidTr="003A385F">
        <w:trPr>
          <w:trHeight w:val="273"/>
        </w:trPr>
        <w:tc>
          <w:tcPr>
            <w:tcW w:w="206" w:type="dxa"/>
            <w:vMerge w:val="restart"/>
            <w:tcBorders>
              <w:top w:val="nil"/>
              <w:left w:val="single" w:sz="12" w:space="0" w:color="000000"/>
              <w:bottom w:val="nil"/>
              <w:right w:val="nil"/>
            </w:tcBorders>
            <w:shd w:val="clear" w:color="000000" w:fill="FFFFFF"/>
          </w:tcPr>
          <w:p w14:paraId="6E879A80"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594" w:type="dxa"/>
            <w:tcBorders>
              <w:top w:val="nil"/>
              <w:left w:val="nil"/>
              <w:bottom w:val="nil"/>
              <w:right w:val="single" w:sz="12" w:space="0" w:color="000000"/>
            </w:tcBorders>
            <w:shd w:val="clear" w:color="000000" w:fill="FFFFFF"/>
          </w:tcPr>
          <w:p w14:paraId="633F0AAC"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yes</w:t>
            </w:r>
          </w:p>
        </w:tc>
        <w:tc>
          <w:tcPr>
            <w:tcW w:w="1123" w:type="dxa"/>
            <w:tcBorders>
              <w:top w:val="nil"/>
              <w:left w:val="single" w:sz="12" w:space="0" w:color="000000"/>
              <w:bottom w:val="nil"/>
              <w:right w:val="single" w:sz="2" w:space="0" w:color="000000"/>
            </w:tcBorders>
            <w:shd w:val="clear" w:color="000000" w:fill="FFFFFF"/>
            <w:vAlign w:val="center"/>
          </w:tcPr>
          <w:p w14:paraId="0489512A"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31</w:t>
            </w:r>
          </w:p>
        </w:tc>
        <w:tc>
          <w:tcPr>
            <w:tcW w:w="1080" w:type="dxa"/>
            <w:tcBorders>
              <w:top w:val="nil"/>
              <w:left w:val="single" w:sz="2" w:space="0" w:color="000000"/>
              <w:bottom w:val="nil"/>
              <w:right w:val="single" w:sz="2" w:space="0" w:color="000000"/>
            </w:tcBorders>
            <w:shd w:val="clear" w:color="000000" w:fill="FFFFFF"/>
            <w:vAlign w:val="center"/>
          </w:tcPr>
          <w:p w14:paraId="22FB6238"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86.1</w:t>
            </w:r>
          </w:p>
        </w:tc>
      </w:tr>
      <w:tr w:rsidR="000923BB" w:rsidRPr="00FB3AC0" w14:paraId="1749F9FE" w14:textId="77777777" w:rsidTr="003A385F">
        <w:trPr>
          <w:trHeight w:val="273"/>
        </w:trPr>
        <w:tc>
          <w:tcPr>
            <w:tcW w:w="206" w:type="dxa"/>
            <w:tcBorders>
              <w:top w:val="nil"/>
              <w:left w:val="single" w:sz="12" w:space="0" w:color="000000"/>
              <w:bottom w:val="single" w:sz="12" w:space="0" w:color="000000"/>
              <w:right w:val="nil"/>
            </w:tcBorders>
            <w:shd w:val="clear" w:color="000000" w:fill="FFFFFF"/>
          </w:tcPr>
          <w:p w14:paraId="441B675E"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594" w:type="dxa"/>
            <w:tcBorders>
              <w:top w:val="nil"/>
              <w:left w:val="nil"/>
              <w:bottom w:val="single" w:sz="12" w:space="0" w:color="000000"/>
              <w:right w:val="single" w:sz="12" w:space="0" w:color="000000"/>
            </w:tcBorders>
            <w:shd w:val="clear" w:color="000000" w:fill="FFFFFF"/>
          </w:tcPr>
          <w:p w14:paraId="6A596C85"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14:paraId="03A50F53"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36</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6E4990EE"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100.0</w:t>
            </w:r>
          </w:p>
        </w:tc>
      </w:tr>
    </w:tbl>
    <w:p w14:paraId="0C083EBF" w14:textId="77777777" w:rsidR="000923BB" w:rsidRPr="00FB3AC0" w:rsidRDefault="000923BB" w:rsidP="000923BB">
      <w:pPr>
        <w:tabs>
          <w:tab w:val="center" w:pos="4060"/>
        </w:tabs>
        <w:autoSpaceDE w:val="0"/>
        <w:autoSpaceDN w:val="0"/>
        <w:adjustRightInd w:val="0"/>
        <w:rPr>
          <w:rFonts w:cs="Arial"/>
          <w:b/>
          <w:bCs/>
          <w:color w:val="000000"/>
          <w:sz w:val="18"/>
          <w:szCs w:val="18"/>
          <w:lang w:val="en-US"/>
        </w:rPr>
      </w:pPr>
    </w:p>
    <w:p w14:paraId="335BE514" w14:textId="77777777" w:rsidR="000923BB" w:rsidRPr="00FB3AC0" w:rsidRDefault="000923BB" w:rsidP="000923BB">
      <w:pPr>
        <w:tabs>
          <w:tab w:val="center" w:pos="4060"/>
        </w:tabs>
        <w:autoSpaceDE w:val="0"/>
        <w:autoSpaceDN w:val="0"/>
        <w:adjustRightInd w:val="0"/>
        <w:rPr>
          <w:rFonts w:cs="Arial"/>
          <w:b/>
          <w:bCs/>
          <w:color w:val="000000"/>
          <w:sz w:val="18"/>
          <w:szCs w:val="18"/>
          <w:lang w:val="en-US"/>
        </w:rPr>
      </w:pPr>
      <w:r w:rsidRPr="00FB3AC0">
        <w:rPr>
          <w:rFonts w:cs="Arial"/>
          <w:b/>
          <w:bCs/>
          <w:color w:val="000000"/>
          <w:sz w:val="18"/>
          <w:szCs w:val="18"/>
          <w:lang w:val="en-US"/>
        </w:rPr>
        <w:t>Type of consultant at discharge?</w:t>
      </w:r>
    </w:p>
    <w:p w14:paraId="676FF2E0" w14:textId="77777777" w:rsidR="000923BB" w:rsidRPr="00FB3AC0" w:rsidRDefault="000923BB" w:rsidP="000923BB">
      <w:pPr>
        <w:tabs>
          <w:tab w:val="center" w:pos="2894"/>
        </w:tabs>
        <w:autoSpaceDE w:val="0"/>
        <w:autoSpaceDN w:val="0"/>
        <w:adjustRightInd w:val="0"/>
        <w:rPr>
          <w:rFonts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206"/>
        <w:gridCol w:w="3106"/>
        <w:gridCol w:w="1123"/>
        <w:gridCol w:w="1080"/>
      </w:tblGrid>
      <w:tr w:rsidR="000923BB" w:rsidRPr="00FB3AC0" w14:paraId="78F89F59" w14:textId="77777777" w:rsidTr="003A385F">
        <w:trPr>
          <w:trHeight w:val="504"/>
        </w:trPr>
        <w:tc>
          <w:tcPr>
            <w:tcW w:w="331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4CC56792"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4C2330F8" w14:textId="77777777" w:rsidR="000923BB" w:rsidRPr="00FB3AC0" w:rsidRDefault="000923BB" w:rsidP="003A385F">
            <w:pPr>
              <w:autoSpaceDE w:val="0"/>
              <w:autoSpaceDN w:val="0"/>
              <w:adjustRightInd w:val="0"/>
              <w:jc w:val="center"/>
              <w:rPr>
                <w:rFonts w:cs="Arial"/>
                <w:color w:val="000000"/>
                <w:sz w:val="18"/>
                <w:szCs w:val="18"/>
              </w:rPr>
            </w:pPr>
            <w:r w:rsidRPr="00FB3AC0">
              <w:rPr>
                <w:rFonts w:cs="Arial"/>
                <w:color w:val="000000"/>
                <w:sz w:val="18"/>
                <w:szCs w:val="18"/>
              </w:rPr>
              <w:t>n</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7D1A6744" w14:textId="77777777" w:rsidR="000923BB" w:rsidRPr="00FB3AC0" w:rsidRDefault="000923BB" w:rsidP="003A385F">
            <w:pPr>
              <w:autoSpaceDE w:val="0"/>
              <w:autoSpaceDN w:val="0"/>
              <w:adjustRightInd w:val="0"/>
              <w:jc w:val="center"/>
              <w:rPr>
                <w:rFonts w:cs="Arial"/>
                <w:color w:val="000000"/>
                <w:sz w:val="18"/>
                <w:szCs w:val="18"/>
              </w:rPr>
            </w:pPr>
            <w:r w:rsidRPr="00FB3AC0">
              <w:rPr>
                <w:rFonts w:cs="Arial"/>
                <w:color w:val="000000"/>
                <w:sz w:val="18"/>
                <w:szCs w:val="18"/>
              </w:rPr>
              <w:t>Percent</w:t>
            </w:r>
          </w:p>
        </w:tc>
      </w:tr>
      <w:tr w:rsidR="000923BB" w:rsidRPr="00FB3AC0" w14:paraId="484641F2" w14:textId="77777777" w:rsidTr="003A385F">
        <w:trPr>
          <w:trHeight w:val="273"/>
        </w:trPr>
        <w:tc>
          <w:tcPr>
            <w:tcW w:w="206" w:type="dxa"/>
            <w:vMerge w:val="restart"/>
            <w:tcBorders>
              <w:top w:val="single" w:sz="12" w:space="0" w:color="000000"/>
              <w:left w:val="single" w:sz="12" w:space="0" w:color="000000"/>
              <w:bottom w:val="nil"/>
              <w:right w:val="nil"/>
            </w:tcBorders>
            <w:shd w:val="clear" w:color="000000" w:fill="FFFFFF"/>
          </w:tcPr>
          <w:p w14:paraId="75061F13"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3106" w:type="dxa"/>
            <w:tcBorders>
              <w:top w:val="single" w:sz="12" w:space="0" w:color="000000"/>
              <w:left w:val="nil"/>
              <w:bottom w:val="nil"/>
              <w:right w:val="single" w:sz="12" w:space="0" w:color="000000"/>
            </w:tcBorders>
            <w:shd w:val="clear" w:color="000000" w:fill="FFFFFF"/>
          </w:tcPr>
          <w:p w14:paraId="06E324F3"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care of elderly physician</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14:paraId="530D3A4B"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5</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3D823C0B"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13.9</w:t>
            </w:r>
          </w:p>
        </w:tc>
      </w:tr>
      <w:tr w:rsidR="000923BB" w:rsidRPr="00FB3AC0" w14:paraId="72DAD278" w14:textId="77777777" w:rsidTr="003A385F">
        <w:trPr>
          <w:trHeight w:val="273"/>
        </w:trPr>
        <w:tc>
          <w:tcPr>
            <w:tcW w:w="206" w:type="dxa"/>
            <w:vMerge w:val="restart"/>
            <w:tcBorders>
              <w:top w:val="nil"/>
              <w:left w:val="single" w:sz="12" w:space="0" w:color="000000"/>
              <w:bottom w:val="nil"/>
              <w:right w:val="nil"/>
            </w:tcBorders>
            <w:shd w:val="clear" w:color="000000" w:fill="FFFFFF"/>
          </w:tcPr>
          <w:p w14:paraId="4A5CB37C"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3106" w:type="dxa"/>
            <w:tcBorders>
              <w:top w:val="nil"/>
              <w:left w:val="nil"/>
              <w:bottom w:val="nil"/>
              <w:right w:val="single" w:sz="12" w:space="0" w:color="000000"/>
            </w:tcBorders>
            <w:shd w:val="clear" w:color="000000" w:fill="FFFFFF"/>
          </w:tcPr>
          <w:p w14:paraId="615E7C54"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general physician</w:t>
            </w:r>
          </w:p>
        </w:tc>
        <w:tc>
          <w:tcPr>
            <w:tcW w:w="1123" w:type="dxa"/>
            <w:tcBorders>
              <w:top w:val="nil"/>
              <w:left w:val="single" w:sz="12" w:space="0" w:color="000000"/>
              <w:bottom w:val="nil"/>
              <w:right w:val="single" w:sz="2" w:space="0" w:color="000000"/>
            </w:tcBorders>
            <w:shd w:val="clear" w:color="000000" w:fill="FFFFFF"/>
            <w:vAlign w:val="center"/>
          </w:tcPr>
          <w:p w14:paraId="00D48C05"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9</w:t>
            </w:r>
          </w:p>
        </w:tc>
        <w:tc>
          <w:tcPr>
            <w:tcW w:w="1080" w:type="dxa"/>
            <w:tcBorders>
              <w:top w:val="nil"/>
              <w:left w:val="single" w:sz="2" w:space="0" w:color="000000"/>
              <w:bottom w:val="nil"/>
              <w:right w:val="single" w:sz="2" w:space="0" w:color="000000"/>
            </w:tcBorders>
            <w:shd w:val="clear" w:color="000000" w:fill="FFFFFF"/>
            <w:vAlign w:val="center"/>
          </w:tcPr>
          <w:p w14:paraId="750C45B3"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25.0</w:t>
            </w:r>
          </w:p>
        </w:tc>
      </w:tr>
      <w:tr w:rsidR="000923BB" w:rsidRPr="00FB3AC0" w14:paraId="061E4193" w14:textId="77777777" w:rsidTr="003A385F">
        <w:trPr>
          <w:trHeight w:val="273"/>
        </w:trPr>
        <w:tc>
          <w:tcPr>
            <w:tcW w:w="206" w:type="dxa"/>
            <w:vMerge w:val="restart"/>
            <w:tcBorders>
              <w:top w:val="nil"/>
              <w:left w:val="single" w:sz="12" w:space="0" w:color="000000"/>
              <w:bottom w:val="nil"/>
              <w:right w:val="nil"/>
            </w:tcBorders>
            <w:shd w:val="clear" w:color="000000" w:fill="FFFFFF"/>
          </w:tcPr>
          <w:p w14:paraId="4FC9474B"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3106" w:type="dxa"/>
            <w:tcBorders>
              <w:top w:val="nil"/>
              <w:left w:val="nil"/>
              <w:bottom w:val="nil"/>
              <w:right w:val="single" w:sz="12" w:space="0" w:color="000000"/>
            </w:tcBorders>
            <w:shd w:val="clear" w:color="000000" w:fill="FFFFFF"/>
          </w:tcPr>
          <w:p w14:paraId="77C0F244"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other</w:t>
            </w:r>
          </w:p>
        </w:tc>
        <w:tc>
          <w:tcPr>
            <w:tcW w:w="1123" w:type="dxa"/>
            <w:tcBorders>
              <w:top w:val="nil"/>
              <w:left w:val="single" w:sz="12" w:space="0" w:color="000000"/>
              <w:bottom w:val="nil"/>
              <w:right w:val="single" w:sz="2" w:space="0" w:color="000000"/>
            </w:tcBorders>
            <w:shd w:val="clear" w:color="000000" w:fill="FFFFFF"/>
            <w:vAlign w:val="center"/>
          </w:tcPr>
          <w:p w14:paraId="401B1BBB"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14:paraId="6B03A6AE"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5.6</w:t>
            </w:r>
          </w:p>
        </w:tc>
      </w:tr>
      <w:tr w:rsidR="000923BB" w:rsidRPr="00FB3AC0" w14:paraId="528E97A3" w14:textId="77777777" w:rsidTr="003A385F">
        <w:trPr>
          <w:trHeight w:val="273"/>
        </w:trPr>
        <w:tc>
          <w:tcPr>
            <w:tcW w:w="206" w:type="dxa"/>
            <w:vMerge w:val="restart"/>
            <w:tcBorders>
              <w:top w:val="nil"/>
              <w:left w:val="single" w:sz="12" w:space="0" w:color="000000"/>
              <w:bottom w:val="nil"/>
              <w:right w:val="nil"/>
            </w:tcBorders>
            <w:shd w:val="clear" w:color="000000" w:fill="FFFFFF"/>
          </w:tcPr>
          <w:p w14:paraId="51C6484B"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3106" w:type="dxa"/>
            <w:tcBorders>
              <w:top w:val="nil"/>
              <w:left w:val="nil"/>
              <w:bottom w:val="nil"/>
              <w:right w:val="single" w:sz="12" w:space="0" w:color="000000"/>
            </w:tcBorders>
            <w:shd w:val="clear" w:color="000000" w:fill="FFFFFF"/>
          </w:tcPr>
          <w:p w14:paraId="3ED03F4F"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respiratory physician</w:t>
            </w:r>
          </w:p>
        </w:tc>
        <w:tc>
          <w:tcPr>
            <w:tcW w:w="1123" w:type="dxa"/>
            <w:tcBorders>
              <w:top w:val="nil"/>
              <w:left w:val="single" w:sz="12" w:space="0" w:color="000000"/>
              <w:bottom w:val="nil"/>
              <w:right w:val="single" w:sz="2" w:space="0" w:color="000000"/>
            </w:tcBorders>
            <w:shd w:val="clear" w:color="000000" w:fill="FFFFFF"/>
            <w:vAlign w:val="center"/>
          </w:tcPr>
          <w:p w14:paraId="5619A046"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20</w:t>
            </w:r>
          </w:p>
        </w:tc>
        <w:tc>
          <w:tcPr>
            <w:tcW w:w="1080" w:type="dxa"/>
            <w:tcBorders>
              <w:top w:val="nil"/>
              <w:left w:val="single" w:sz="2" w:space="0" w:color="000000"/>
              <w:bottom w:val="nil"/>
              <w:right w:val="single" w:sz="2" w:space="0" w:color="000000"/>
            </w:tcBorders>
            <w:shd w:val="clear" w:color="000000" w:fill="FFFFFF"/>
            <w:vAlign w:val="center"/>
          </w:tcPr>
          <w:p w14:paraId="302690D2"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55.6</w:t>
            </w:r>
          </w:p>
        </w:tc>
      </w:tr>
      <w:tr w:rsidR="000923BB" w:rsidRPr="00FB3AC0" w14:paraId="05F9B2A8" w14:textId="77777777" w:rsidTr="003A385F">
        <w:trPr>
          <w:trHeight w:val="273"/>
        </w:trPr>
        <w:tc>
          <w:tcPr>
            <w:tcW w:w="206" w:type="dxa"/>
            <w:tcBorders>
              <w:top w:val="nil"/>
              <w:left w:val="single" w:sz="12" w:space="0" w:color="000000"/>
              <w:bottom w:val="single" w:sz="12" w:space="0" w:color="000000"/>
              <w:right w:val="nil"/>
            </w:tcBorders>
            <w:shd w:val="clear" w:color="000000" w:fill="FFFFFF"/>
          </w:tcPr>
          <w:p w14:paraId="435C2FC4"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 xml:space="preserve"> </w:t>
            </w:r>
          </w:p>
        </w:tc>
        <w:tc>
          <w:tcPr>
            <w:tcW w:w="3106" w:type="dxa"/>
            <w:tcBorders>
              <w:top w:val="nil"/>
              <w:left w:val="nil"/>
              <w:bottom w:val="single" w:sz="12" w:space="0" w:color="000000"/>
              <w:right w:val="single" w:sz="12" w:space="0" w:color="000000"/>
            </w:tcBorders>
            <w:shd w:val="clear" w:color="000000" w:fill="FFFFFF"/>
          </w:tcPr>
          <w:p w14:paraId="42A14D17" w14:textId="77777777" w:rsidR="000923BB" w:rsidRPr="00FB3AC0" w:rsidRDefault="000923BB" w:rsidP="003A385F">
            <w:pPr>
              <w:autoSpaceDE w:val="0"/>
              <w:autoSpaceDN w:val="0"/>
              <w:adjustRightInd w:val="0"/>
              <w:rPr>
                <w:rFonts w:cs="Arial"/>
                <w:color w:val="000000"/>
                <w:sz w:val="18"/>
                <w:szCs w:val="18"/>
              </w:rPr>
            </w:pPr>
            <w:r w:rsidRPr="00FB3AC0">
              <w:rPr>
                <w:rFonts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14:paraId="411751DC"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36</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36AC2AFB" w14:textId="77777777" w:rsidR="000923BB" w:rsidRPr="00FB3AC0" w:rsidRDefault="000923BB" w:rsidP="003A385F">
            <w:pPr>
              <w:autoSpaceDE w:val="0"/>
              <w:autoSpaceDN w:val="0"/>
              <w:adjustRightInd w:val="0"/>
              <w:jc w:val="right"/>
              <w:rPr>
                <w:rFonts w:cs="Arial"/>
                <w:color w:val="000000"/>
                <w:sz w:val="18"/>
                <w:szCs w:val="18"/>
              </w:rPr>
            </w:pPr>
            <w:r w:rsidRPr="00FB3AC0">
              <w:rPr>
                <w:rFonts w:cs="Arial"/>
                <w:color w:val="000000"/>
                <w:sz w:val="18"/>
                <w:szCs w:val="18"/>
              </w:rPr>
              <w:t>100.0</w:t>
            </w:r>
          </w:p>
        </w:tc>
      </w:tr>
    </w:tbl>
    <w:p w14:paraId="574797D8" w14:textId="77777777" w:rsidR="000923BB" w:rsidRPr="00FB3AC0" w:rsidRDefault="000923BB" w:rsidP="000923BB">
      <w:pPr>
        <w:autoSpaceDE w:val="0"/>
        <w:autoSpaceDN w:val="0"/>
        <w:adjustRightInd w:val="0"/>
        <w:rPr>
          <w:rFonts w:cs="Arial"/>
          <w:color w:val="000000"/>
          <w:sz w:val="18"/>
          <w:szCs w:val="18"/>
        </w:rPr>
      </w:pPr>
    </w:p>
    <w:p w14:paraId="709917E0" w14:textId="77777777" w:rsidR="000923BB" w:rsidRPr="00FB3AC0" w:rsidRDefault="000923BB" w:rsidP="000923BB">
      <w:pPr>
        <w:rPr>
          <w:rFonts w:cs="Arial"/>
          <w:b/>
          <w:sz w:val="28"/>
          <w:szCs w:val="28"/>
        </w:rPr>
      </w:pPr>
    </w:p>
    <w:p w14:paraId="3C35E77C" w14:textId="77777777" w:rsidR="000923BB" w:rsidRPr="00FB3AC0" w:rsidRDefault="000923BB" w:rsidP="000923BB">
      <w:pPr>
        <w:rPr>
          <w:rFonts w:cs="Arial"/>
          <w:b/>
          <w:sz w:val="28"/>
          <w:szCs w:val="28"/>
        </w:rPr>
      </w:pPr>
    </w:p>
    <w:p w14:paraId="7AFE444E" w14:textId="77777777" w:rsidR="000923BB" w:rsidRPr="00FB3AC0" w:rsidRDefault="000923BB" w:rsidP="000923BB">
      <w:pPr>
        <w:rPr>
          <w:rFonts w:cs="Arial"/>
          <w:b/>
          <w:sz w:val="28"/>
          <w:szCs w:val="28"/>
        </w:rPr>
      </w:pPr>
    </w:p>
    <w:p w14:paraId="078F5063" w14:textId="77777777" w:rsidR="000923BB" w:rsidRPr="00FB3AC0" w:rsidRDefault="000923BB" w:rsidP="000923BB">
      <w:pPr>
        <w:rPr>
          <w:rFonts w:cs="Arial"/>
          <w:b/>
          <w:sz w:val="28"/>
          <w:szCs w:val="28"/>
        </w:rPr>
      </w:pPr>
    </w:p>
    <w:p w14:paraId="200B96BF" w14:textId="77777777" w:rsidR="000923BB" w:rsidRPr="00FB3AC0" w:rsidRDefault="000923BB" w:rsidP="000923BB">
      <w:pPr>
        <w:rPr>
          <w:rFonts w:cs="Arial"/>
          <w:b/>
          <w:sz w:val="28"/>
          <w:szCs w:val="28"/>
        </w:rPr>
      </w:pPr>
    </w:p>
    <w:p w14:paraId="77A2DA60" w14:textId="77777777" w:rsidR="000923BB" w:rsidRPr="00FB3AC0" w:rsidRDefault="000923BB" w:rsidP="000923BB">
      <w:pPr>
        <w:rPr>
          <w:rFonts w:cs="Arial"/>
          <w:b/>
          <w:sz w:val="28"/>
          <w:szCs w:val="28"/>
        </w:rPr>
      </w:pPr>
      <w:r w:rsidRPr="00FB3AC0">
        <w:rPr>
          <w:rFonts w:cs="Arial"/>
          <w:b/>
          <w:sz w:val="28"/>
          <w:szCs w:val="28"/>
        </w:rPr>
        <w:t>Overall care</w:t>
      </w:r>
    </w:p>
    <w:p w14:paraId="3DA08F88" w14:textId="77777777" w:rsidR="000923BB" w:rsidRPr="00FB3AC0" w:rsidRDefault="000923BB" w:rsidP="000923BB">
      <w:pPr>
        <w:rPr>
          <w:rFonts w:cs="Arial"/>
          <w:b/>
          <w:sz w:val="28"/>
          <w:szCs w:val="28"/>
        </w:rPr>
      </w:pPr>
    </w:p>
    <w:p w14:paraId="53AF3B95" w14:textId="77777777" w:rsidR="000923BB" w:rsidRPr="004932C5" w:rsidRDefault="000923BB" w:rsidP="000923BB">
      <w:pPr>
        <w:rPr>
          <w:rFonts w:cs="Arial"/>
          <w:b/>
        </w:rPr>
      </w:pPr>
      <w:r w:rsidRPr="004932C5">
        <w:rPr>
          <w:rFonts w:cs="Arial"/>
          <w:b/>
        </w:rPr>
        <w:t>Rating scale results: quality of care ratings for the overall care</w:t>
      </w:r>
    </w:p>
    <w:p w14:paraId="048DA18B" w14:textId="77777777" w:rsidR="000923BB" w:rsidRPr="00FB3AC0" w:rsidRDefault="000923BB" w:rsidP="000923BB">
      <w:pPr>
        <w:rPr>
          <w:rFonts w:cs="Arial"/>
          <w:b/>
          <w:sz w:val="28"/>
          <w:szCs w:val="28"/>
        </w:rPr>
      </w:pPr>
    </w:p>
    <w:p w14:paraId="487AFFE0" w14:textId="77777777" w:rsidR="000923BB" w:rsidRPr="00FB3AC0" w:rsidRDefault="000923BB" w:rsidP="000923BB">
      <w:pPr>
        <w:rPr>
          <w:rFonts w:cs="Arial"/>
          <w:b/>
          <w:sz w:val="22"/>
          <w:szCs w:val="22"/>
        </w:rPr>
      </w:pPr>
      <w:r w:rsidRPr="00FB3AC0">
        <w:rPr>
          <w:rFonts w:cs="Arial"/>
          <w:b/>
          <w:sz w:val="22"/>
          <w:szCs w:val="22"/>
        </w:rPr>
        <w:t>Please note, some of these results are subjective and are the opinions of the individual reviewers</w:t>
      </w:r>
    </w:p>
    <w:p w14:paraId="31B71EED" w14:textId="77777777" w:rsidR="000923BB" w:rsidRPr="00FB3AC0" w:rsidRDefault="000923BB" w:rsidP="000923BB">
      <w:pPr>
        <w:rPr>
          <w:rFonts w:cs="Arial"/>
          <w:b/>
          <w:sz w:val="28"/>
          <w:szCs w:val="28"/>
        </w:rPr>
      </w:pPr>
    </w:p>
    <w:p w14:paraId="592A28D0" w14:textId="77777777" w:rsidR="000923BB" w:rsidRPr="008C2D10" w:rsidRDefault="000923BB" w:rsidP="000923BB">
      <w:pPr>
        <w:rPr>
          <w:rFonts w:cs="Arial"/>
          <w:b/>
          <w:sz w:val="28"/>
          <w:szCs w:val="28"/>
        </w:rPr>
      </w:pPr>
      <w:r>
        <w:rPr>
          <w:rFonts w:cs="Arial"/>
          <w:noProof/>
          <w:sz w:val="14"/>
          <w:szCs w:val="14"/>
          <w:lang w:eastAsia="en-GB" w:bidi="ar-SA"/>
        </w:rPr>
        <w:drawing>
          <wp:inline distT="0" distB="0" distL="0" distR="0" wp14:anchorId="3CD9A75E" wp14:editId="04F69FF0">
            <wp:extent cx="4284009" cy="3955312"/>
            <wp:effectExtent l="19050" t="0" r="2241"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cstate="print"/>
                    <a:srcRect/>
                    <a:stretch>
                      <a:fillRect/>
                    </a:stretch>
                  </pic:blipFill>
                  <pic:spPr bwMode="auto">
                    <a:xfrm>
                      <a:off x="0" y="0"/>
                      <a:ext cx="4285831" cy="3956994"/>
                    </a:xfrm>
                    <a:prstGeom prst="rect">
                      <a:avLst/>
                    </a:prstGeom>
                    <a:noFill/>
                    <a:ln w="9525">
                      <a:noFill/>
                      <a:miter lim="800000"/>
                      <a:headEnd/>
                      <a:tailEnd/>
                    </a:ln>
                  </pic:spPr>
                </pic:pic>
              </a:graphicData>
            </a:graphic>
          </wp:inline>
        </w:drawing>
      </w:r>
    </w:p>
    <w:p w14:paraId="416C8EAD" w14:textId="77777777" w:rsidR="000923BB" w:rsidRPr="004932C5" w:rsidRDefault="005332D1" w:rsidP="000923BB">
      <w:pPr>
        <w:rPr>
          <w:rFonts w:cs="Arial"/>
        </w:rPr>
      </w:pPr>
      <w:r>
        <w:rPr>
          <w:rFonts w:cs="Arial"/>
        </w:rPr>
        <w:t xml:space="preserve">    </w:t>
      </w:r>
      <w:r w:rsidR="000923BB" w:rsidRPr="004932C5">
        <w:rPr>
          <w:rFonts w:cs="Arial"/>
        </w:rPr>
        <w:t xml:space="preserve">1 = unsatisfactory </w:t>
      </w:r>
    </w:p>
    <w:p w14:paraId="7CAA57E3" w14:textId="77777777" w:rsidR="000923BB" w:rsidRPr="004932C5" w:rsidRDefault="005332D1" w:rsidP="000923BB">
      <w:pPr>
        <w:rPr>
          <w:rFonts w:cs="Arial"/>
        </w:rPr>
      </w:pPr>
      <w:r>
        <w:rPr>
          <w:rFonts w:cs="Arial"/>
        </w:rPr>
        <w:t xml:space="preserve">    </w:t>
      </w:r>
      <w:r w:rsidR="000923BB" w:rsidRPr="004932C5">
        <w:rPr>
          <w:rFonts w:cs="Arial"/>
        </w:rPr>
        <w:t>10 = very best care</w:t>
      </w:r>
    </w:p>
    <w:p w14:paraId="2DFAA5E3" w14:textId="77777777" w:rsidR="000923BB" w:rsidRPr="00FB3AC0" w:rsidRDefault="000923BB" w:rsidP="000923BB">
      <w:pPr>
        <w:rPr>
          <w:rFonts w:cs="Arial"/>
          <w:sz w:val="28"/>
          <w:szCs w:val="28"/>
        </w:rPr>
      </w:pPr>
    </w:p>
    <w:p w14:paraId="03BACA36" w14:textId="77777777" w:rsidR="004932C5" w:rsidRDefault="004932C5" w:rsidP="000923BB">
      <w:pPr>
        <w:rPr>
          <w:rFonts w:cs="Arial"/>
          <w:b/>
        </w:rPr>
      </w:pPr>
    </w:p>
    <w:p w14:paraId="2FEC3DCE" w14:textId="77777777" w:rsidR="004932C5" w:rsidRDefault="004932C5" w:rsidP="000923BB">
      <w:pPr>
        <w:rPr>
          <w:rFonts w:cs="Arial"/>
          <w:b/>
        </w:rPr>
      </w:pPr>
    </w:p>
    <w:p w14:paraId="150BC68E" w14:textId="77777777" w:rsidR="004932C5" w:rsidRDefault="004932C5" w:rsidP="000923BB">
      <w:pPr>
        <w:rPr>
          <w:rFonts w:cs="Arial"/>
          <w:b/>
        </w:rPr>
      </w:pPr>
    </w:p>
    <w:p w14:paraId="7FCCEA55" w14:textId="77777777" w:rsidR="004932C5" w:rsidRDefault="004932C5" w:rsidP="000923BB">
      <w:pPr>
        <w:rPr>
          <w:rFonts w:cs="Arial"/>
          <w:b/>
        </w:rPr>
      </w:pPr>
    </w:p>
    <w:p w14:paraId="7346BA48" w14:textId="77777777" w:rsidR="000923BB" w:rsidRPr="00FB3AC0" w:rsidRDefault="000923BB" w:rsidP="000923BB">
      <w:pPr>
        <w:rPr>
          <w:rFonts w:cs="Arial"/>
          <w:b/>
        </w:rPr>
      </w:pPr>
      <w:r w:rsidRPr="00FB3AC0">
        <w:rPr>
          <w:rFonts w:cs="Arial"/>
          <w:b/>
        </w:rPr>
        <w:t>Quality of care rating overall: all reviewers from site 439</w:t>
      </w:r>
    </w:p>
    <w:p w14:paraId="7B6562A6" w14:textId="77777777" w:rsidR="000923BB" w:rsidRPr="00FB3AC0" w:rsidRDefault="000923BB" w:rsidP="000923BB">
      <w:pPr>
        <w:rPr>
          <w:rFonts w:cs="Arial"/>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4"/>
        <w:gridCol w:w="1714"/>
        <w:gridCol w:w="1731"/>
        <w:gridCol w:w="1717"/>
        <w:gridCol w:w="1436"/>
      </w:tblGrid>
      <w:tr w:rsidR="000923BB" w:rsidRPr="00F955C6" w14:paraId="02F8AE94" w14:textId="77777777" w:rsidTr="003C12FD">
        <w:trPr>
          <w:trHeight w:val="647"/>
        </w:trPr>
        <w:tc>
          <w:tcPr>
            <w:tcW w:w="1624" w:type="dxa"/>
          </w:tcPr>
          <w:p w14:paraId="7B867C4D" w14:textId="77777777" w:rsidR="000923BB" w:rsidRPr="00F955C6" w:rsidRDefault="000923BB" w:rsidP="003A385F">
            <w:pPr>
              <w:jc w:val="center"/>
              <w:rPr>
                <w:rFonts w:cs="Arial"/>
                <w:b/>
                <w:sz w:val="22"/>
                <w:szCs w:val="22"/>
              </w:rPr>
            </w:pPr>
            <w:r w:rsidRPr="00F955C6">
              <w:rPr>
                <w:rFonts w:cs="Arial"/>
                <w:b/>
                <w:sz w:val="22"/>
                <w:szCs w:val="22"/>
              </w:rPr>
              <w:t>Reviewer</w:t>
            </w:r>
          </w:p>
        </w:tc>
        <w:tc>
          <w:tcPr>
            <w:tcW w:w="1714" w:type="dxa"/>
          </w:tcPr>
          <w:p w14:paraId="715B9BDE" w14:textId="77777777" w:rsidR="000923BB" w:rsidRPr="00F955C6" w:rsidRDefault="000923BB" w:rsidP="003A385F">
            <w:pPr>
              <w:jc w:val="center"/>
              <w:rPr>
                <w:rFonts w:cs="Arial"/>
                <w:b/>
                <w:sz w:val="22"/>
                <w:szCs w:val="22"/>
              </w:rPr>
            </w:pPr>
            <w:r w:rsidRPr="00F955C6">
              <w:rPr>
                <w:rFonts w:cs="Arial"/>
                <w:b/>
                <w:sz w:val="22"/>
                <w:szCs w:val="22"/>
              </w:rPr>
              <w:t>Mean quality of care rating</w:t>
            </w:r>
          </w:p>
        </w:tc>
        <w:tc>
          <w:tcPr>
            <w:tcW w:w="1731" w:type="dxa"/>
          </w:tcPr>
          <w:p w14:paraId="62778444" w14:textId="77777777" w:rsidR="000923BB" w:rsidRPr="00F955C6" w:rsidRDefault="000923BB" w:rsidP="003A385F">
            <w:pPr>
              <w:jc w:val="center"/>
              <w:rPr>
                <w:rFonts w:cs="Arial"/>
                <w:b/>
                <w:sz w:val="22"/>
                <w:szCs w:val="22"/>
              </w:rPr>
            </w:pPr>
            <w:r w:rsidRPr="00F955C6">
              <w:rPr>
                <w:rFonts w:cs="Arial"/>
                <w:b/>
                <w:sz w:val="22"/>
                <w:szCs w:val="22"/>
              </w:rPr>
              <w:t>Standard deviation</w:t>
            </w:r>
          </w:p>
        </w:tc>
        <w:tc>
          <w:tcPr>
            <w:tcW w:w="1717" w:type="dxa"/>
          </w:tcPr>
          <w:p w14:paraId="1E19FED8" w14:textId="77777777" w:rsidR="000923BB" w:rsidRPr="00F955C6" w:rsidRDefault="000923BB" w:rsidP="003A385F">
            <w:pPr>
              <w:jc w:val="center"/>
              <w:rPr>
                <w:rFonts w:cs="Arial"/>
                <w:b/>
                <w:sz w:val="22"/>
                <w:szCs w:val="22"/>
              </w:rPr>
            </w:pPr>
            <w:r w:rsidRPr="00F955C6">
              <w:rPr>
                <w:rFonts w:cs="Arial"/>
                <w:b/>
                <w:sz w:val="22"/>
                <w:szCs w:val="22"/>
              </w:rPr>
              <w:t>Median</w:t>
            </w:r>
          </w:p>
        </w:tc>
        <w:tc>
          <w:tcPr>
            <w:tcW w:w="1436" w:type="dxa"/>
          </w:tcPr>
          <w:p w14:paraId="66526BA6" w14:textId="77777777" w:rsidR="000923BB" w:rsidRPr="00F955C6" w:rsidRDefault="000923BB" w:rsidP="003A385F">
            <w:pPr>
              <w:jc w:val="center"/>
              <w:rPr>
                <w:rFonts w:cs="Arial"/>
                <w:b/>
                <w:sz w:val="22"/>
                <w:szCs w:val="22"/>
              </w:rPr>
            </w:pPr>
            <w:r w:rsidRPr="00F955C6">
              <w:rPr>
                <w:rFonts w:cs="Arial"/>
                <w:b/>
                <w:sz w:val="22"/>
                <w:szCs w:val="22"/>
              </w:rPr>
              <w:t>Range</w:t>
            </w:r>
          </w:p>
        </w:tc>
      </w:tr>
      <w:tr w:rsidR="000923BB" w:rsidRPr="00F955C6" w14:paraId="7473E748" w14:textId="77777777" w:rsidTr="003C12FD">
        <w:tc>
          <w:tcPr>
            <w:tcW w:w="1624" w:type="dxa"/>
          </w:tcPr>
          <w:p w14:paraId="194E0D21" w14:textId="77777777" w:rsidR="000923BB" w:rsidRPr="00F955C6" w:rsidRDefault="000923BB" w:rsidP="003A385F">
            <w:pPr>
              <w:jc w:val="center"/>
              <w:rPr>
                <w:rFonts w:cs="Arial"/>
                <w:sz w:val="22"/>
                <w:szCs w:val="22"/>
              </w:rPr>
            </w:pPr>
            <w:r w:rsidRPr="00F955C6">
              <w:rPr>
                <w:rFonts w:cs="Arial"/>
                <w:sz w:val="22"/>
                <w:szCs w:val="22"/>
              </w:rPr>
              <w:t>5731</w:t>
            </w:r>
          </w:p>
        </w:tc>
        <w:tc>
          <w:tcPr>
            <w:tcW w:w="1714" w:type="dxa"/>
          </w:tcPr>
          <w:p w14:paraId="625A68A8" w14:textId="77777777" w:rsidR="000923BB" w:rsidRPr="00F955C6" w:rsidRDefault="000923BB" w:rsidP="003A385F">
            <w:pPr>
              <w:autoSpaceDE w:val="0"/>
              <w:autoSpaceDN w:val="0"/>
              <w:adjustRightInd w:val="0"/>
              <w:rPr>
                <w:rFonts w:cs="Arial"/>
                <w:color w:val="000000"/>
                <w:sz w:val="22"/>
                <w:szCs w:val="22"/>
                <w:lang w:val="en-US"/>
              </w:rPr>
            </w:pPr>
            <w:r w:rsidRPr="00F955C6">
              <w:rPr>
                <w:rFonts w:cs="Arial"/>
                <w:color w:val="000000"/>
                <w:sz w:val="22"/>
                <w:szCs w:val="22"/>
                <w:lang w:val="en-US"/>
              </w:rPr>
              <w:t>7.4</w:t>
            </w:r>
          </w:p>
        </w:tc>
        <w:tc>
          <w:tcPr>
            <w:tcW w:w="1731" w:type="dxa"/>
          </w:tcPr>
          <w:p w14:paraId="416DD251" w14:textId="77777777" w:rsidR="000923BB" w:rsidRPr="00F955C6" w:rsidRDefault="000923BB" w:rsidP="003A385F">
            <w:pPr>
              <w:rPr>
                <w:rFonts w:cs="Arial"/>
                <w:sz w:val="22"/>
                <w:szCs w:val="22"/>
              </w:rPr>
            </w:pPr>
            <w:r w:rsidRPr="00F955C6">
              <w:rPr>
                <w:rFonts w:cs="Arial"/>
                <w:sz w:val="22"/>
                <w:szCs w:val="22"/>
              </w:rPr>
              <w:t>1.90</w:t>
            </w:r>
          </w:p>
        </w:tc>
        <w:tc>
          <w:tcPr>
            <w:tcW w:w="1717" w:type="dxa"/>
          </w:tcPr>
          <w:p w14:paraId="2D2A4CBC" w14:textId="77777777" w:rsidR="000923BB" w:rsidRPr="00F955C6" w:rsidRDefault="000923BB" w:rsidP="003A385F">
            <w:pPr>
              <w:autoSpaceDE w:val="0"/>
              <w:autoSpaceDN w:val="0"/>
              <w:adjustRightInd w:val="0"/>
              <w:rPr>
                <w:rFonts w:cs="Arial"/>
                <w:color w:val="000000"/>
                <w:sz w:val="22"/>
                <w:szCs w:val="22"/>
                <w:lang w:val="en-US"/>
              </w:rPr>
            </w:pPr>
            <w:r w:rsidRPr="00F955C6">
              <w:rPr>
                <w:rFonts w:cs="Arial"/>
                <w:color w:val="000000"/>
                <w:sz w:val="22"/>
                <w:szCs w:val="22"/>
                <w:lang w:val="en-US"/>
              </w:rPr>
              <w:t>8.0</w:t>
            </w:r>
          </w:p>
        </w:tc>
        <w:tc>
          <w:tcPr>
            <w:tcW w:w="1436" w:type="dxa"/>
          </w:tcPr>
          <w:p w14:paraId="4ACEA3EF" w14:textId="77777777" w:rsidR="000923BB" w:rsidRPr="00F955C6" w:rsidRDefault="000923BB" w:rsidP="003A385F">
            <w:pPr>
              <w:autoSpaceDE w:val="0"/>
              <w:autoSpaceDN w:val="0"/>
              <w:adjustRightInd w:val="0"/>
              <w:rPr>
                <w:rFonts w:cs="Arial"/>
                <w:color w:val="000000"/>
                <w:sz w:val="22"/>
                <w:szCs w:val="22"/>
                <w:lang w:val="en-US"/>
              </w:rPr>
            </w:pPr>
            <w:r w:rsidRPr="00F955C6">
              <w:rPr>
                <w:rFonts w:cs="Arial"/>
                <w:color w:val="000000"/>
                <w:sz w:val="22"/>
                <w:szCs w:val="22"/>
                <w:lang w:val="en-US"/>
              </w:rPr>
              <w:t xml:space="preserve">2.0 – 10.0 </w:t>
            </w:r>
          </w:p>
        </w:tc>
      </w:tr>
      <w:tr w:rsidR="000923BB" w:rsidRPr="00F955C6" w14:paraId="7D8554CC" w14:textId="77777777" w:rsidTr="003C12FD">
        <w:tc>
          <w:tcPr>
            <w:tcW w:w="1624" w:type="dxa"/>
          </w:tcPr>
          <w:p w14:paraId="1D7C9EBC" w14:textId="77777777" w:rsidR="000923BB" w:rsidRPr="00F955C6" w:rsidRDefault="000923BB" w:rsidP="003A385F">
            <w:pPr>
              <w:jc w:val="center"/>
              <w:rPr>
                <w:rFonts w:cs="Arial"/>
                <w:sz w:val="22"/>
                <w:szCs w:val="22"/>
              </w:rPr>
            </w:pPr>
            <w:r w:rsidRPr="00F955C6">
              <w:rPr>
                <w:rFonts w:cs="Arial"/>
                <w:sz w:val="22"/>
                <w:szCs w:val="22"/>
              </w:rPr>
              <w:t>5732</w:t>
            </w:r>
          </w:p>
        </w:tc>
        <w:tc>
          <w:tcPr>
            <w:tcW w:w="1714" w:type="dxa"/>
          </w:tcPr>
          <w:p w14:paraId="50E24339" w14:textId="77777777" w:rsidR="000923BB" w:rsidRPr="00F955C6" w:rsidRDefault="000923BB" w:rsidP="003A385F">
            <w:pPr>
              <w:autoSpaceDE w:val="0"/>
              <w:autoSpaceDN w:val="0"/>
              <w:adjustRightInd w:val="0"/>
              <w:rPr>
                <w:rFonts w:cs="Arial"/>
                <w:color w:val="000000"/>
                <w:sz w:val="22"/>
                <w:szCs w:val="22"/>
                <w:lang w:val="en-US"/>
              </w:rPr>
            </w:pPr>
            <w:r w:rsidRPr="00F955C6">
              <w:rPr>
                <w:rFonts w:cs="Arial"/>
                <w:color w:val="000000"/>
                <w:sz w:val="22"/>
                <w:szCs w:val="22"/>
                <w:lang w:val="en-US"/>
              </w:rPr>
              <w:t>7.3</w:t>
            </w:r>
          </w:p>
        </w:tc>
        <w:tc>
          <w:tcPr>
            <w:tcW w:w="1731" w:type="dxa"/>
          </w:tcPr>
          <w:p w14:paraId="1339D300" w14:textId="77777777" w:rsidR="000923BB" w:rsidRPr="00F955C6" w:rsidRDefault="000923BB" w:rsidP="003A385F">
            <w:pPr>
              <w:rPr>
                <w:rFonts w:cs="Arial"/>
                <w:sz w:val="22"/>
                <w:szCs w:val="22"/>
              </w:rPr>
            </w:pPr>
            <w:r w:rsidRPr="00F955C6">
              <w:rPr>
                <w:rFonts w:cs="Arial"/>
                <w:sz w:val="22"/>
                <w:szCs w:val="22"/>
              </w:rPr>
              <w:t>1.31</w:t>
            </w:r>
          </w:p>
        </w:tc>
        <w:tc>
          <w:tcPr>
            <w:tcW w:w="1717" w:type="dxa"/>
          </w:tcPr>
          <w:p w14:paraId="2C60730E" w14:textId="77777777" w:rsidR="000923BB" w:rsidRPr="00F955C6" w:rsidRDefault="000923BB" w:rsidP="003A385F">
            <w:pPr>
              <w:autoSpaceDE w:val="0"/>
              <w:autoSpaceDN w:val="0"/>
              <w:adjustRightInd w:val="0"/>
              <w:rPr>
                <w:rFonts w:cs="Arial"/>
                <w:color w:val="000000"/>
                <w:sz w:val="22"/>
                <w:szCs w:val="22"/>
                <w:lang w:val="en-US"/>
              </w:rPr>
            </w:pPr>
            <w:r w:rsidRPr="00F955C6">
              <w:rPr>
                <w:rFonts w:cs="Arial"/>
                <w:color w:val="000000"/>
                <w:sz w:val="22"/>
                <w:szCs w:val="22"/>
                <w:lang w:val="en-US"/>
              </w:rPr>
              <w:t>7.0</w:t>
            </w:r>
          </w:p>
        </w:tc>
        <w:tc>
          <w:tcPr>
            <w:tcW w:w="1436" w:type="dxa"/>
          </w:tcPr>
          <w:p w14:paraId="0B2AA194" w14:textId="77777777" w:rsidR="000923BB" w:rsidRPr="00F955C6" w:rsidRDefault="000923BB" w:rsidP="003A385F">
            <w:pPr>
              <w:autoSpaceDE w:val="0"/>
              <w:autoSpaceDN w:val="0"/>
              <w:adjustRightInd w:val="0"/>
              <w:rPr>
                <w:rFonts w:cs="Arial"/>
                <w:color w:val="000000"/>
                <w:sz w:val="22"/>
                <w:szCs w:val="22"/>
                <w:lang w:val="en-US"/>
              </w:rPr>
            </w:pPr>
            <w:r w:rsidRPr="00F955C6">
              <w:rPr>
                <w:rFonts w:cs="Arial"/>
                <w:color w:val="000000"/>
                <w:sz w:val="22"/>
                <w:szCs w:val="22"/>
                <w:lang w:val="en-US"/>
              </w:rPr>
              <w:t xml:space="preserve">3.0 – 9.0 </w:t>
            </w:r>
          </w:p>
        </w:tc>
      </w:tr>
      <w:tr w:rsidR="000923BB" w:rsidRPr="00F955C6" w14:paraId="17BD18C9" w14:textId="77777777" w:rsidTr="003C12FD">
        <w:tc>
          <w:tcPr>
            <w:tcW w:w="1624" w:type="dxa"/>
          </w:tcPr>
          <w:p w14:paraId="7F13127D" w14:textId="77777777" w:rsidR="000923BB" w:rsidRPr="00F955C6" w:rsidRDefault="000923BB" w:rsidP="003A385F">
            <w:pPr>
              <w:jc w:val="center"/>
              <w:rPr>
                <w:rFonts w:cs="Arial"/>
                <w:sz w:val="22"/>
                <w:szCs w:val="22"/>
              </w:rPr>
            </w:pPr>
            <w:r w:rsidRPr="00F955C6">
              <w:rPr>
                <w:rFonts w:cs="Arial"/>
                <w:sz w:val="22"/>
                <w:szCs w:val="22"/>
              </w:rPr>
              <w:t>5833</w:t>
            </w:r>
          </w:p>
        </w:tc>
        <w:tc>
          <w:tcPr>
            <w:tcW w:w="1714" w:type="dxa"/>
          </w:tcPr>
          <w:p w14:paraId="19B93355" w14:textId="77777777" w:rsidR="000923BB" w:rsidRPr="00F955C6" w:rsidRDefault="000923BB" w:rsidP="003A385F">
            <w:pPr>
              <w:rPr>
                <w:rFonts w:cs="Arial"/>
                <w:sz w:val="22"/>
                <w:szCs w:val="22"/>
              </w:rPr>
            </w:pPr>
            <w:r w:rsidRPr="00F955C6">
              <w:rPr>
                <w:rFonts w:cs="Arial"/>
                <w:sz w:val="22"/>
                <w:szCs w:val="22"/>
              </w:rPr>
              <w:t>7.4</w:t>
            </w:r>
          </w:p>
        </w:tc>
        <w:tc>
          <w:tcPr>
            <w:tcW w:w="1731" w:type="dxa"/>
          </w:tcPr>
          <w:p w14:paraId="70F30956" w14:textId="77777777" w:rsidR="000923BB" w:rsidRPr="00F955C6" w:rsidRDefault="000923BB" w:rsidP="003A385F">
            <w:pPr>
              <w:rPr>
                <w:rFonts w:cs="Arial"/>
                <w:sz w:val="22"/>
                <w:szCs w:val="22"/>
              </w:rPr>
            </w:pPr>
            <w:r w:rsidRPr="00F955C6">
              <w:rPr>
                <w:rFonts w:cs="Arial"/>
                <w:sz w:val="22"/>
                <w:szCs w:val="22"/>
              </w:rPr>
              <w:t>2.21</w:t>
            </w:r>
          </w:p>
        </w:tc>
        <w:tc>
          <w:tcPr>
            <w:tcW w:w="1717" w:type="dxa"/>
          </w:tcPr>
          <w:p w14:paraId="36BA10B1" w14:textId="77777777" w:rsidR="000923BB" w:rsidRPr="00F955C6" w:rsidRDefault="000923BB" w:rsidP="003A385F">
            <w:pPr>
              <w:rPr>
                <w:rFonts w:cs="Arial"/>
                <w:sz w:val="22"/>
                <w:szCs w:val="22"/>
              </w:rPr>
            </w:pPr>
            <w:r w:rsidRPr="00F955C6">
              <w:rPr>
                <w:rFonts w:cs="Arial"/>
                <w:sz w:val="22"/>
                <w:szCs w:val="22"/>
              </w:rPr>
              <w:t>8.0</w:t>
            </w:r>
          </w:p>
        </w:tc>
        <w:tc>
          <w:tcPr>
            <w:tcW w:w="1436" w:type="dxa"/>
          </w:tcPr>
          <w:p w14:paraId="1B1F383C" w14:textId="77777777" w:rsidR="000923BB" w:rsidRPr="00F955C6" w:rsidRDefault="000923BB" w:rsidP="003A385F">
            <w:pPr>
              <w:autoSpaceDE w:val="0"/>
              <w:autoSpaceDN w:val="0"/>
              <w:adjustRightInd w:val="0"/>
              <w:rPr>
                <w:rFonts w:cs="Arial"/>
                <w:sz w:val="22"/>
                <w:szCs w:val="22"/>
              </w:rPr>
            </w:pPr>
            <w:r w:rsidRPr="00F955C6">
              <w:rPr>
                <w:rFonts w:cs="Arial"/>
                <w:sz w:val="22"/>
                <w:szCs w:val="22"/>
              </w:rPr>
              <w:t xml:space="preserve">2.0 – 10.0 </w:t>
            </w:r>
          </w:p>
        </w:tc>
      </w:tr>
      <w:tr w:rsidR="000923BB" w:rsidRPr="00F955C6" w14:paraId="223D99F2" w14:textId="77777777" w:rsidTr="003C12FD">
        <w:tc>
          <w:tcPr>
            <w:tcW w:w="1624" w:type="dxa"/>
          </w:tcPr>
          <w:p w14:paraId="4C6C9955" w14:textId="77777777" w:rsidR="000923BB" w:rsidRPr="00F955C6" w:rsidRDefault="000923BB" w:rsidP="003A385F">
            <w:pPr>
              <w:jc w:val="center"/>
              <w:rPr>
                <w:rFonts w:cs="Arial"/>
                <w:sz w:val="22"/>
                <w:szCs w:val="22"/>
              </w:rPr>
            </w:pPr>
            <w:r w:rsidRPr="00F955C6">
              <w:rPr>
                <w:rFonts w:cs="Arial"/>
                <w:sz w:val="22"/>
                <w:szCs w:val="22"/>
              </w:rPr>
              <w:t>5834</w:t>
            </w:r>
          </w:p>
        </w:tc>
        <w:tc>
          <w:tcPr>
            <w:tcW w:w="1714" w:type="dxa"/>
          </w:tcPr>
          <w:p w14:paraId="7D432233" w14:textId="77777777" w:rsidR="000923BB" w:rsidRPr="00F955C6" w:rsidRDefault="000923BB" w:rsidP="003A385F">
            <w:pPr>
              <w:rPr>
                <w:rFonts w:cs="Arial"/>
                <w:sz w:val="22"/>
                <w:szCs w:val="22"/>
              </w:rPr>
            </w:pPr>
            <w:r w:rsidRPr="00F955C6">
              <w:rPr>
                <w:rFonts w:cs="Arial"/>
                <w:sz w:val="22"/>
                <w:szCs w:val="22"/>
              </w:rPr>
              <w:t>7.9</w:t>
            </w:r>
          </w:p>
        </w:tc>
        <w:tc>
          <w:tcPr>
            <w:tcW w:w="1731" w:type="dxa"/>
          </w:tcPr>
          <w:p w14:paraId="1383F3F1" w14:textId="77777777" w:rsidR="000923BB" w:rsidRPr="00F955C6" w:rsidRDefault="000923BB" w:rsidP="003A385F">
            <w:pPr>
              <w:rPr>
                <w:rFonts w:cs="Arial"/>
                <w:sz w:val="22"/>
                <w:szCs w:val="22"/>
              </w:rPr>
            </w:pPr>
            <w:r w:rsidRPr="00F955C6">
              <w:rPr>
                <w:rFonts w:cs="Arial"/>
                <w:sz w:val="22"/>
                <w:szCs w:val="22"/>
              </w:rPr>
              <w:t>1.54</w:t>
            </w:r>
          </w:p>
        </w:tc>
        <w:tc>
          <w:tcPr>
            <w:tcW w:w="1717" w:type="dxa"/>
          </w:tcPr>
          <w:p w14:paraId="4832304E" w14:textId="77777777" w:rsidR="000923BB" w:rsidRPr="00F955C6" w:rsidRDefault="000923BB" w:rsidP="003A385F">
            <w:pPr>
              <w:rPr>
                <w:rFonts w:cs="Arial"/>
                <w:sz w:val="22"/>
                <w:szCs w:val="22"/>
              </w:rPr>
            </w:pPr>
            <w:r w:rsidRPr="00F955C6">
              <w:rPr>
                <w:rFonts w:cs="Arial"/>
                <w:sz w:val="22"/>
                <w:szCs w:val="22"/>
              </w:rPr>
              <w:t>8.0</w:t>
            </w:r>
          </w:p>
        </w:tc>
        <w:tc>
          <w:tcPr>
            <w:tcW w:w="1436" w:type="dxa"/>
          </w:tcPr>
          <w:p w14:paraId="4873EC50" w14:textId="77777777" w:rsidR="000923BB" w:rsidRPr="00F955C6" w:rsidRDefault="000923BB" w:rsidP="003A385F">
            <w:pPr>
              <w:autoSpaceDE w:val="0"/>
              <w:autoSpaceDN w:val="0"/>
              <w:adjustRightInd w:val="0"/>
              <w:rPr>
                <w:rFonts w:cs="Arial"/>
                <w:sz w:val="22"/>
                <w:szCs w:val="22"/>
              </w:rPr>
            </w:pPr>
            <w:r w:rsidRPr="00F955C6">
              <w:rPr>
                <w:rFonts w:cs="Arial"/>
                <w:sz w:val="22"/>
                <w:szCs w:val="22"/>
              </w:rPr>
              <w:t xml:space="preserve">3.0 – 10.0 </w:t>
            </w:r>
          </w:p>
        </w:tc>
      </w:tr>
    </w:tbl>
    <w:p w14:paraId="3047AD6F" w14:textId="77777777" w:rsidR="000923BB" w:rsidRPr="00FB3AC0" w:rsidRDefault="000923BB" w:rsidP="000923BB">
      <w:pPr>
        <w:rPr>
          <w:rFonts w:cs="Arial"/>
          <w:b/>
        </w:rPr>
      </w:pPr>
    </w:p>
    <w:p w14:paraId="48D550F8" w14:textId="77777777" w:rsidR="000923BB" w:rsidRDefault="000923BB" w:rsidP="000923BB">
      <w:pPr>
        <w:rPr>
          <w:rFonts w:cs="Arial"/>
          <w:b/>
        </w:rPr>
      </w:pPr>
    </w:p>
    <w:p w14:paraId="3A90052C" w14:textId="77777777" w:rsidR="000923BB" w:rsidRPr="00FB3AC0" w:rsidRDefault="000923BB" w:rsidP="000923BB">
      <w:pPr>
        <w:rPr>
          <w:rFonts w:cs="Arial"/>
          <w:b/>
        </w:rPr>
      </w:pPr>
      <w:r w:rsidRPr="00FB3AC0">
        <w:rPr>
          <w:rFonts w:cs="Arial"/>
          <w:b/>
        </w:rPr>
        <w:t>Overall quality of care rating: all hospitals</w:t>
      </w:r>
    </w:p>
    <w:p w14:paraId="422342F9" w14:textId="77777777" w:rsidR="000923BB" w:rsidRPr="00FB3AC0" w:rsidRDefault="000923BB" w:rsidP="000923BB">
      <w:pPr>
        <w:rPr>
          <w:rFonts w:cs="Arial"/>
          <w:b/>
          <w:sz w:val="28"/>
          <w:szCs w:val="28"/>
        </w:rPr>
      </w:pPr>
    </w:p>
    <w:tbl>
      <w:tblPr>
        <w:tblW w:w="62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2"/>
        <w:gridCol w:w="953"/>
        <w:gridCol w:w="1270"/>
        <w:gridCol w:w="1043"/>
        <w:gridCol w:w="1348"/>
      </w:tblGrid>
      <w:tr w:rsidR="000923BB" w:rsidRPr="00F955C6" w14:paraId="19587F2A" w14:textId="77777777" w:rsidTr="003C12FD">
        <w:tc>
          <w:tcPr>
            <w:tcW w:w="1622" w:type="dxa"/>
          </w:tcPr>
          <w:p w14:paraId="5DCD2A10" w14:textId="77777777" w:rsidR="000923BB" w:rsidRPr="00F955C6" w:rsidRDefault="000923BB" w:rsidP="003A385F">
            <w:pPr>
              <w:rPr>
                <w:rFonts w:cs="Arial"/>
                <w:b/>
              </w:rPr>
            </w:pPr>
            <w:r w:rsidRPr="00F955C6">
              <w:rPr>
                <w:rFonts w:cs="Arial"/>
                <w:b/>
              </w:rPr>
              <w:t>Hospital</w:t>
            </w:r>
          </w:p>
        </w:tc>
        <w:tc>
          <w:tcPr>
            <w:tcW w:w="953" w:type="dxa"/>
          </w:tcPr>
          <w:p w14:paraId="22D39F53" w14:textId="77777777" w:rsidR="000923BB" w:rsidRPr="00F955C6" w:rsidRDefault="000923BB" w:rsidP="003A385F">
            <w:pPr>
              <w:rPr>
                <w:rFonts w:cs="Arial"/>
                <w:b/>
              </w:rPr>
            </w:pPr>
            <w:r w:rsidRPr="00F955C6">
              <w:rPr>
                <w:rFonts w:cs="Arial"/>
                <w:b/>
              </w:rPr>
              <w:t xml:space="preserve">Mean </w:t>
            </w:r>
          </w:p>
        </w:tc>
        <w:tc>
          <w:tcPr>
            <w:tcW w:w="1270" w:type="dxa"/>
          </w:tcPr>
          <w:p w14:paraId="2B940221" w14:textId="77777777" w:rsidR="000923BB" w:rsidRPr="00F955C6" w:rsidRDefault="000923BB" w:rsidP="003A385F">
            <w:pPr>
              <w:rPr>
                <w:rFonts w:cs="Arial"/>
                <w:b/>
              </w:rPr>
            </w:pPr>
            <w:r w:rsidRPr="00F955C6">
              <w:rPr>
                <w:rFonts w:cs="Arial"/>
                <w:b/>
              </w:rPr>
              <w:t>Standard deviation</w:t>
            </w:r>
          </w:p>
        </w:tc>
        <w:tc>
          <w:tcPr>
            <w:tcW w:w="1043" w:type="dxa"/>
          </w:tcPr>
          <w:p w14:paraId="682270B2" w14:textId="77777777" w:rsidR="000923BB" w:rsidRPr="00F955C6" w:rsidRDefault="000923BB" w:rsidP="003A385F">
            <w:pPr>
              <w:rPr>
                <w:rFonts w:cs="Arial"/>
                <w:b/>
              </w:rPr>
            </w:pPr>
            <w:r w:rsidRPr="00F955C6">
              <w:rPr>
                <w:rFonts w:cs="Arial"/>
                <w:b/>
              </w:rPr>
              <w:t xml:space="preserve">Median </w:t>
            </w:r>
          </w:p>
        </w:tc>
        <w:tc>
          <w:tcPr>
            <w:tcW w:w="1348" w:type="dxa"/>
          </w:tcPr>
          <w:p w14:paraId="0C4A4C29" w14:textId="77777777" w:rsidR="000923BB" w:rsidRPr="00F955C6" w:rsidRDefault="000923BB" w:rsidP="003A385F">
            <w:pPr>
              <w:rPr>
                <w:rFonts w:cs="Arial"/>
                <w:b/>
              </w:rPr>
            </w:pPr>
            <w:r w:rsidRPr="00F955C6">
              <w:rPr>
                <w:rFonts w:cs="Arial"/>
                <w:b/>
              </w:rPr>
              <w:t>Range</w:t>
            </w:r>
          </w:p>
        </w:tc>
      </w:tr>
      <w:tr w:rsidR="000923BB" w:rsidRPr="00F955C6" w14:paraId="6C56FBF7" w14:textId="77777777" w:rsidTr="003C12FD">
        <w:tc>
          <w:tcPr>
            <w:tcW w:w="1622" w:type="dxa"/>
          </w:tcPr>
          <w:p w14:paraId="73131F8F" w14:textId="77777777" w:rsidR="000923BB" w:rsidRPr="00F955C6" w:rsidRDefault="000923BB" w:rsidP="003A385F">
            <w:pPr>
              <w:rPr>
                <w:rFonts w:cs="Arial"/>
              </w:rPr>
            </w:pPr>
            <w:r w:rsidRPr="00F955C6">
              <w:rPr>
                <w:rFonts w:cs="Arial"/>
              </w:rPr>
              <w:t>Hospital 203</w:t>
            </w:r>
          </w:p>
        </w:tc>
        <w:tc>
          <w:tcPr>
            <w:tcW w:w="953" w:type="dxa"/>
          </w:tcPr>
          <w:p w14:paraId="3FAE9EB8" w14:textId="77777777" w:rsidR="000923BB" w:rsidRPr="00F955C6" w:rsidRDefault="000923BB" w:rsidP="003A385F">
            <w:pPr>
              <w:jc w:val="center"/>
              <w:rPr>
                <w:rFonts w:cs="Arial"/>
              </w:rPr>
            </w:pPr>
            <w:r w:rsidRPr="00F955C6">
              <w:rPr>
                <w:rFonts w:cs="Arial"/>
              </w:rPr>
              <w:t>8.0</w:t>
            </w:r>
          </w:p>
        </w:tc>
        <w:tc>
          <w:tcPr>
            <w:tcW w:w="1270" w:type="dxa"/>
          </w:tcPr>
          <w:p w14:paraId="290BD6BB" w14:textId="77777777" w:rsidR="000923BB" w:rsidRPr="00F955C6" w:rsidRDefault="000923BB" w:rsidP="003A385F">
            <w:pPr>
              <w:jc w:val="center"/>
              <w:rPr>
                <w:rFonts w:cs="Arial"/>
              </w:rPr>
            </w:pPr>
            <w:r w:rsidRPr="00F955C6">
              <w:rPr>
                <w:rFonts w:cs="Arial"/>
              </w:rPr>
              <w:t>1.26</w:t>
            </w:r>
          </w:p>
        </w:tc>
        <w:tc>
          <w:tcPr>
            <w:tcW w:w="1043" w:type="dxa"/>
          </w:tcPr>
          <w:p w14:paraId="46398E43" w14:textId="77777777" w:rsidR="000923BB" w:rsidRPr="00F955C6" w:rsidRDefault="000923BB" w:rsidP="003A385F">
            <w:pPr>
              <w:jc w:val="center"/>
              <w:rPr>
                <w:rFonts w:cs="Arial"/>
              </w:rPr>
            </w:pPr>
            <w:r w:rsidRPr="00F955C6">
              <w:rPr>
                <w:rFonts w:cs="Arial"/>
              </w:rPr>
              <w:t>8.0</w:t>
            </w:r>
          </w:p>
        </w:tc>
        <w:tc>
          <w:tcPr>
            <w:tcW w:w="1348" w:type="dxa"/>
          </w:tcPr>
          <w:p w14:paraId="29138160" w14:textId="77777777" w:rsidR="000923BB" w:rsidRPr="00F955C6" w:rsidRDefault="000923BB" w:rsidP="003A385F">
            <w:pPr>
              <w:jc w:val="center"/>
              <w:rPr>
                <w:rFonts w:cs="Arial"/>
              </w:rPr>
            </w:pPr>
            <w:r w:rsidRPr="00F955C6">
              <w:rPr>
                <w:rFonts w:cs="Arial"/>
              </w:rPr>
              <w:t>3 - 10</w:t>
            </w:r>
          </w:p>
        </w:tc>
      </w:tr>
      <w:tr w:rsidR="000923BB" w:rsidRPr="00F955C6" w14:paraId="5CBF152B" w14:textId="77777777" w:rsidTr="003C12FD">
        <w:tc>
          <w:tcPr>
            <w:tcW w:w="1622" w:type="dxa"/>
          </w:tcPr>
          <w:p w14:paraId="600D267E" w14:textId="77777777" w:rsidR="000923BB" w:rsidRPr="00F955C6" w:rsidRDefault="000923BB" w:rsidP="003A385F">
            <w:pPr>
              <w:rPr>
                <w:rFonts w:cs="Arial"/>
              </w:rPr>
            </w:pPr>
            <w:r w:rsidRPr="00F955C6">
              <w:rPr>
                <w:rFonts w:cs="Arial"/>
              </w:rPr>
              <w:t>Hospital 211</w:t>
            </w:r>
          </w:p>
        </w:tc>
        <w:tc>
          <w:tcPr>
            <w:tcW w:w="953" w:type="dxa"/>
          </w:tcPr>
          <w:p w14:paraId="738AA209" w14:textId="77777777" w:rsidR="000923BB" w:rsidRPr="00F955C6" w:rsidRDefault="000923BB" w:rsidP="003A385F">
            <w:pPr>
              <w:jc w:val="center"/>
              <w:rPr>
                <w:rFonts w:cs="Arial"/>
              </w:rPr>
            </w:pPr>
            <w:r w:rsidRPr="00F955C6">
              <w:rPr>
                <w:rFonts w:cs="Arial"/>
              </w:rPr>
              <w:t>8.2</w:t>
            </w:r>
          </w:p>
        </w:tc>
        <w:tc>
          <w:tcPr>
            <w:tcW w:w="1270" w:type="dxa"/>
          </w:tcPr>
          <w:p w14:paraId="2877338C" w14:textId="77777777" w:rsidR="000923BB" w:rsidRPr="00F955C6" w:rsidRDefault="000923BB" w:rsidP="003A385F">
            <w:pPr>
              <w:jc w:val="center"/>
              <w:rPr>
                <w:rFonts w:cs="Arial"/>
              </w:rPr>
            </w:pPr>
            <w:r w:rsidRPr="00F955C6">
              <w:rPr>
                <w:rFonts w:cs="Arial"/>
              </w:rPr>
              <w:t>1.46</w:t>
            </w:r>
          </w:p>
        </w:tc>
        <w:tc>
          <w:tcPr>
            <w:tcW w:w="1043" w:type="dxa"/>
          </w:tcPr>
          <w:p w14:paraId="00015A81" w14:textId="77777777" w:rsidR="000923BB" w:rsidRPr="00F955C6" w:rsidRDefault="000923BB" w:rsidP="003A385F">
            <w:pPr>
              <w:jc w:val="center"/>
              <w:rPr>
                <w:rFonts w:cs="Arial"/>
              </w:rPr>
            </w:pPr>
            <w:r w:rsidRPr="00F955C6">
              <w:rPr>
                <w:rFonts w:cs="Arial"/>
              </w:rPr>
              <w:t>9.0</w:t>
            </w:r>
          </w:p>
        </w:tc>
        <w:tc>
          <w:tcPr>
            <w:tcW w:w="1348" w:type="dxa"/>
          </w:tcPr>
          <w:p w14:paraId="4EF9B5C5" w14:textId="77777777" w:rsidR="000923BB" w:rsidRPr="00F955C6" w:rsidRDefault="000923BB" w:rsidP="003A385F">
            <w:pPr>
              <w:jc w:val="center"/>
              <w:rPr>
                <w:rFonts w:cs="Arial"/>
              </w:rPr>
            </w:pPr>
            <w:r w:rsidRPr="00F955C6">
              <w:rPr>
                <w:rFonts w:cs="Arial"/>
              </w:rPr>
              <w:t>2 - 9</w:t>
            </w:r>
          </w:p>
        </w:tc>
      </w:tr>
      <w:tr w:rsidR="000923BB" w:rsidRPr="00F955C6" w14:paraId="6E9774EC" w14:textId="77777777" w:rsidTr="003C12FD">
        <w:tc>
          <w:tcPr>
            <w:tcW w:w="1622" w:type="dxa"/>
          </w:tcPr>
          <w:p w14:paraId="299BE8B7" w14:textId="77777777" w:rsidR="000923BB" w:rsidRPr="00F955C6" w:rsidRDefault="000923BB" w:rsidP="003A385F">
            <w:pPr>
              <w:rPr>
                <w:rFonts w:cs="Arial"/>
              </w:rPr>
            </w:pPr>
            <w:r w:rsidRPr="00F955C6">
              <w:rPr>
                <w:rFonts w:cs="Arial"/>
              </w:rPr>
              <w:t>Hospital 260</w:t>
            </w:r>
          </w:p>
        </w:tc>
        <w:tc>
          <w:tcPr>
            <w:tcW w:w="953" w:type="dxa"/>
          </w:tcPr>
          <w:p w14:paraId="5D3B8301" w14:textId="77777777" w:rsidR="000923BB" w:rsidRPr="00F955C6" w:rsidRDefault="000923BB" w:rsidP="003A385F">
            <w:pPr>
              <w:jc w:val="center"/>
              <w:rPr>
                <w:rFonts w:cs="Arial"/>
              </w:rPr>
            </w:pPr>
            <w:r w:rsidRPr="00F955C6">
              <w:rPr>
                <w:rFonts w:cs="Arial"/>
              </w:rPr>
              <w:t>7.2</w:t>
            </w:r>
          </w:p>
        </w:tc>
        <w:tc>
          <w:tcPr>
            <w:tcW w:w="1270" w:type="dxa"/>
          </w:tcPr>
          <w:p w14:paraId="4F1DA4FD" w14:textId="77777777" w:rsidR="000923BB" w:rsidRPr="00F955C6" w:rsidRDefault="000923BB" w:rsidP="003A385F">
            <w:pPr>
              <w:jc w:val="center"/>
              <w:rPr>
                <w:rFonts w:cs="Arial"/>
              </w:rPr>
            </w:pPr>
            <w:r w:rsidRPr="00F955C6">
              <w:rPr>
                <w:rFonts w:cs="Arial"/>
              </w:rPr>
              <w:t>1.00</w:t>
            </w:r>
          </w:p>
        </w:tc>
        <w:tc>
          <w:tcPr>
            <w:tcW w:w="1043" w:type="dxa"/>
          </w:tcPr>
          <w:p w14:paraId="3F4F5FC4" w14:textId="77777777" w:rsidR="000923BB" w:rsidRPr="00F955C6" w:rsidRDefault="000923BB" w:rsidP="003A385F">
            <w:pPr>
              <w:jc w:val="center"/>
              <w:rPr>
                <w:rFonts w:cs="Arial"/>
              </w:rPr>
            </w:pPr>
            <w:r w:rsidRPr="00F955C6">
              <w:rPr>
                <w:rFonts w:cs="Arial"/>
              </w:rPr>
              <w:t>7.0</w:t>
            </w:r>
          </w:p>
        </w:tc>
        <w:tc>
          <w:tcPr>
            <w:tcW w:w="1348" w:type="dxa"/>
          </w:tcPr>
          <w:p w14:paraId="6319C495" w14:textId="77777777" w:rsidR="000923BB" w:rsidRPr="00F955C6" w:rsidRDefault="000923BB" w:rsidP="003A385F">
            <w:pPr>
              <w:jc w:val="center"/>
              <w:rPr>
                <w:rFonts w:cs="Arial"/>
              </w:rPr>
            </w:pPr>
            <w:r w:rsidRPr="00F955C6">
              <w:rPr>
                <w:rFonts w:cs="Arial"/>
              </w:rPr>
              <w:t>4 -9</w:t>
            </w:r>
          </w:p>
        </w:tc>
      </w:tr>
      <w:tr w:rsidR="000923BB" w:rsidRPr="00F955C6" w14:paraId="282FD7EA" w14:textId="77777777" w:rsidTr="003C12FD">
        <w:tc>
          <w:tcPr>
            <w:tcW w:w="1622" w:type="dxa"/>
          </w:tcPr>
          <w:p w14:paraId="436D780C" w14:textId="77777777" w:rsidR="000923BB" w:rsidRPr="00F955C6" w:rsidRDefault="000923BB" w:rsidP="003A385F">
            <w:pPr>
              <w:rPr>
                <w:rFonts w:cs="Arial"/>
              </w:rPr>
            </w:pPr>
            <w:r w:rsidRPr="00F955C6">
              <w:rPr>
                <w:rFonts w:cs="Arial"/>
              </w:rPr>
              <w:t>Hospital 271</w:t>
            </w:r>
          </w:p>
        </w:tc>
        <w:tc>
          <w:tcPr>
            <w:tcW w:w="953" w:type="dxa"/>
          </w:tcPr>
          <w:p w14:paraId="59A33701" w14:textId="77777777" w:rsidR="000923BB" w:rsidRPr="00F955C6" w:rsidRDefault="000923BB" w:rsidP="003A385F">
            <w:pPr>
              <w:jc w:val="center"/>
              <w:rPr>
                <w:rFonts w:cs="Arial"/>
              </w:rPr>
            </w:pPr>
            <w:r w:rsidRPr="00F955C6">
              <w:rPr>
                <w:rFonts w:cs="Arial"/>
              </w:rPr>
              <w:t>7.6</w:t>
            </w:r>
          </w:p>
        </w:tc>
        <w:tc>
          <w:tcPr>
            <w:tcW w:w="1270" w:type="dxa"/>
          </w:tcPr>
          <w:p w14:paraId="6582089D" w14:textId="77777777" w:rsidR="000923BB" w:rsidRPr="00F955C6" w:rsidRDefault="000923BB" w:rsidP="003A385F">
            <w:pPr>
              <w:jc w:val="center"/>
              <w:rPr>
                <w:rFonts w:cs="Arial"/>
              </w:rPr>
            </w:pPr>
            <w:r w:rsidRPr="00F955C6">
              <w:rPr>
                <w:rFonts w:cs="Arial"/>
              </w:rPr>
              <w:t>1.90</w:t>
            </w:r>
          </w:p>
        </w:tc>
        <w:tc>
          <w:tcPr>
            <w:tcW w:w="1043" w:type="dxa"/>
          </w:tcPr>
          <w:p w14:paraId="4891546A" w14:textId="77777777" w:rsidR="000923BB" w:rsidRPr="00F955C6" w:rsidRDefault="000923BB" w:rsidP="003A385F">
            <w:pPr>
              <w:jc w:val="center"/>
              <w:rPr>
                <w:rFonts w:cs="Arial"/>
              </w:rPr>
            </w:pPr>
            <w:r w:rsidRPr="00F955C6">
              <w:rPr>
                <w:rFonts w:cs="Arial"/>
              </w:rPr>
              <w:t>8.0</w:t>
            </w:r>
          </w:p>
        </w:tc>
        <w:tc>
          <w:tcPr>
            <w:tcW w:w="1348" w:type="dxa"/>
          </w:tcPr>
          <w:p w14:paraId="0A603722" w14:textId="77777777" w:rsidR="000923BB" w:rsidRPr="00F955C6" w:rsidRDefault="000923BB" w:rsidP="003A385F">
            <w:pPr>
              <w:jc w:val="center"/>
              <w:rPr>
                <w:rFonts w:cs="Arial"/>
              </w:rPr>
            </w:pPr>
            <w:r w:rsidRPr="00F955C6">
              <w:rPr>
                <w:rFonts w:cs="Arial"/>
              </w:rPr>
              <w:t>1 -10</w:t>
            </w:r>
          </w:p>
        </w:tc>
      </w:tr>
      <w:tr w:rsidR="000923BB" w:rsidRPr="00F955C6" w14:paraId="44A8D62A" w14:textId="77777777" w:rsidTr="003C12FD">
        <w:tc>
          <w:tcPr>
            <w:tcW w:w="1622" w:type="dxa"/>
          </w:tcPr>
          <w:p w14:paraId="4E7AE733" w14:textId="77777777" w:rsidR="000923BB" w:rsidRPr="00F955C6" w:rsidRDefault="000923BB" w:rsidP="003A385F">
            <w:pPr>
              <w:rPr>
                <w:rFonts w:cs="Arial"/>
              </w:rPr>
            </w:pPr>
            <w:r w:rsidRPr="00F955C6">
              <w:rPr>
                <w:rFonts w:cs="Arial"/>
              </w:rPr>
              <w:t>Hospital 415</w:t>
            </w:r>
          </w:p>
        </w:tc>
        <w:tc>
          <w:tcPr>
            <w:tcW w:w="953" w:type="dxa"/>
          </w:tcPr>
          <w:p w14:paraId="5C047C66" w14:textId="77777777" w:rsidR="000923BB" w:rsidRPr="00F955C6" w:rsidRDefault="000923BB" w:rsidP="003A385F">
            <w:pPr>
              <w:jc w:val="center"/>
              <w:rPr>
                <w:rFonts w:cs="Arial"/>
              </w:rPr>
            </w:pPr>
            <w:r w:rsidRPr="00F955C6">
              <w:rPr>
                <w:rFonts w:cs="Arial"/>
              </w:rPr>
              <w:t>7.3</w:t>
            </w:r>
          </w:p>
        </w:tc>
        <w:tc>
          <w:tcPr>
            <w:tcW w:w="1270" w:type="dxa"/>
          </w:tcPr>
          <w:p w14:paraId="33252BF9" w14:textId="77777777" w:rsidR="000923BB" w:rsidRPr="00F955C6" w:rsidRDefault="000923BB" w:rsidP="003A385F">
            <w:pPr>
              <w:jc w:val="center"/>
              <w:rPr>
                <w:rFonts w:cs="Arial"/>
              </w:rPr>
            </w:pPr>
            <w:r w:rsidRPr="00F955C6">
              <w:rPr>
                <w:rFonts w:cs="Arial"/>
              </w:rPr>
              <w:t>1.50</w:t>
            </w:r>
          </w:p>
        </w:tc>
        <w:tc>
          <w:tcPr>
            <w:tcW w:w="1043" w:type="dxa"/>
          </w:tcPr>
          <w:p w14:paraId="3414BDE8" w14:textId="77777777" w:rsidR="000923BB" w:rsidRPr="00F955C6" w:rsidRDefault="000923BB" w:rsidP="003A385F">
            <w:pPr>
              <w:jc w:val="center"/>
              <w:rPr>
                <w:rFonts w:cs="Arial"/>
              </w:rPr>
            </w:pPr>
            <w:r w:rsidRPr="00F955C6">
              <w:rPr>
                <w:rFonts w:cs="Arial"/>
              </w:rPr>
              <w:t>8.0</w:t>
            </w:r>
          </w:p>
        </w:tc>
        <w:tc>
          <w:tcPr>
            <w:tcW w:w="1348" w:type="dxa"/>
          </w:tcPr>
          <w:p w14:paraId="1AC64DF1" w14:textId="77777777" w:rsidR="000923BB" w:rsidRPr="00F955C6" w:rsidRDefault="000923BB" w:rsidP="003A385F">
            <w:pPr>
              <w:jc w:val="center"/>
              <w:rPr>
                <w:rFonts w:cs="Arial"/>
              </w:rPr>
            </w:pPr>
            <w:r w:rsidRPr="00F955C6">
              <w:rPr>
                <w:rFonts w:cs="Arial"/>
              </w:rPr>
              <w:t>1 -10</w:t>
            </w:r>
          </w:p>
        </w:tc>
      </w:tr>
      <w:tr w:rsidR="000923BB" w:rsidRPr="00F955C6" w14:paraId="74AB843F" w14:textId="77777777" w:rsidTr="003C12FD">
        <w:tc>
          <w:tcPr>
            <w:tcW w:w="1622" w:type="dxa"/>
          </w:tcPr>
          <w:p w14:paraId="1C2CEB44" w14:textId="77777777" w:rsidR="000923BB" w:rsidRPr="00F955C6" w:rsidRDefault="000923BB" w:rsidP="003A385F">
            <w:pPr>
              <w:rPr>
                <w:rFonts w:cs="Arial"/>
              </w:rPr>
            </w:pPr>
            <w:r w:rsidRPr="00F955C6">
              <w:rPr>
                <w:rFonts w:cs="Arial"/>
              </w:rPr>
              <w:t>Hospital 420</w:t>
            </w:r>
          </w:p>
        </w:tc>
        <w:tc>
          <w:tcPr>
            <w:tcW w:w="953" w:type="dxa"/>
          </w:tcPr>
          <w:p w14:paraId="024A59A9" w14:textId="77777777" w:rsidR="000923BB" w:rsidRPr="00F955C6" w:rsidRDefault="000923BB" w:rsidP="003A385F">
            <w:pPr>
              <w:jc w:val="center"/>
              <w:rPr>
                <w:rFonts w:cs="Arial"/>
              </w:rPr>
            </w:pPr>
            <w:r w:rsidRPr="00F955C6">
              <w:rPr>
                <w:rFonts w:cs="Arial"/>
              </w:rPr>
              <w:t>5.9</w:t>
            </w:r>
          </w:p>
        </w:tc>
        <w:tc>
          <w:tcPr>
            <w:tcW w:w="1270" w:type="dxa"/>
          </w:tcPr>
          <w:p w14:paraId="795E6695" w14:textId="77777777" w:rsidR="000923BB" w:rsidRPr="00F955C6" w:rsidRDefault="000923BB" w:rsidP="003A385F">
            <w:pPr>
              <w:jc w:val="center"/>
              <w:rPr>
                <w:rFonts w:cs="Arial"/>
              </w:rPr>
            </w:pPr>
            <w:r w:rsidRPr="00F955C6">
              <w:rPr>
                <w:rFonts w:cs="Arial"/>
              </w:rPr>
              <w:t>2.40</w:t>
            </w:r>
          </w:p>
        </w:tc>
        <w:tc>
          <w:tcPr>
            <w:tcW w:w="1043" w:type="dxa"/>
          </w:tcPr>
          <w:p w14:paraId="35925931" w14:textId="77777777" w:rsidR="000923BB" w:rsidRPr="00F955C6" w:rsidRDefault="000923BB" w:rsidP="003A385F">
            <w:pPr>
              <w:jc w:val="center"/>
              <w:rPr>
                <w:rFonts w:cs="Arial"/>
              </w:rPr>
            </w:pPr>
            <w:r w:rsidRPr="00F955C6">
              <w:rPr>
                <w:rFonts w:cs="Arial"/>
              </w:rPr>
              <w:t>6.0</w:t>
            </w:r>
          </w:p>
        </w:tc>
        <w:tc>
          <w:tcPr>
            <w:tcW w:w="1348" w:type="dxa"/>
          </w:tcPr>
          <w:p w14:paraId="4A748F55" w14:textId="77777777" w:rsidR="000923BB" w:rsidRPr="00F955C6" w:rsidRDefault="000923BB" w:rsidP="003A385F">
            <w:pPr>
              <w:jc w:val="center"/>
              <w:rPr>
                <w:rFonts w:cs="Arial"/>
              </w:rPr>
            </w:pPr>
            <w:r w:rsidRPr="00F955C6">
              <w:rPr>
                <w:rFonts w:cs="Arial"/>
              </w:rPr>
              <w:t>2 -10</w:t>
            </w:r>
          </w:p>
        </w:tc>
      </w:tr>
      <w:tr w:rsidR="000923BB" w:rsidRPr="00F955C6" w14:paraId="7C59C166" w14:textId="77777777" w:rsidTr="003C12FD">
        <w:tc>
          <w:tcPr>
            <w:tcW w:w="1622" w:type="dxa"/>
          </w:tcPr>
          <w:p w14:paraId="72FD52F4" w14:textId="77777777" w:rsidR="000923BB" w:rsidRPr="00F955C6" w:rsidRDefault="000923BB" w:rsidP="003A385F">
            <w:pPr>
              <w:rPr>
                <w:rFonts w:cs="Arial"/>
              </w:rPr>
            </w:pPr>
            <w:r w:rsidRPr="00F955C6">
              <w:rPr>
                <w:rFonts w:cs="Arial"/>
              </w:rPr>
              <w:t>Hospital 439</w:t>
            </w:r>
          </w:p>
        </w:tc>
        <w:tc>
          <w:tcPr>
            <w:tcW w:w="953" w:type="dxa"/>
          </w:tcPr>
          <w:p w14:paraId="7B645465" w14:textId="77777777" w:rsidR="000923BB" w:rsidRPr="00F955C6" w:rsidRDefault="000923BB" w:rsidP="003A385F">
            <w:pPr>
              <w:jc w:val="center"/>
              <w:rPr>
                <w:rFonts w:cs="Arial"/>
              </w:rPr>
            </w:pPr>
            <w:r w:rsidRPr="00F955C6">
              <w:rPr>
                <w:rFonts w:cs="Arial"/>
              </w:rPr>
              <w:t>7.5</w:t>
            </w:r>
          </w:p>
        </w:tc>
        <w:tc>
          <w:tcPr>
            <w:tcW w:w="1270" w:type="dxa"/>
          </w:tcPr>
          <w:p w14:paraId="5306AD56" w14:textId="77777777" w:rsidR="000923BB" w:rsidRPr="00F955C6" w:rsidRDefault="000923BB" w:rsidP="003A385F">
            <w:pPr>
              <w:jc w:val="center"/>
              <w:rPr>
                <w:rFonts w:cs="Arial"/>
              </w:rPr>
            </w:pPr>
            <w:r w:rsidRPr="00F955C6">
              <w:rPr>
                <w:rFonts w:cs="Arial"/>
              </w:rPr>
              <w:t>1.79</w:t>
            </w:r>
          </w:p>
        </w:tc>
        <w:tc>
          <w:tcPr>
            <w:tcW w:w="1043" w:type="dxa"/>
          </w:tcPr>
          <w:p w14:paraId="4234A5D1" w14:textId="77777777" w:rsidR="000923BB" w:rsidRPr="00F955C6" w:rsidRDefault="000923BB" w:rsidP="003A385F">
            <w:pPr>
              <w:jc w:val="center"/>
              <w:rPr>
                <w:rFonts w:cs="Arial"/>
              </w:rPr>
            </w:pPr>
            <w:r w:rsidRPr="00F955C6">
              <w:rPr>
                <w:rFonts w:cs="Arial"/>
              </w:rPr>
              <w:t>8.0</w:t>
            </w:r>
          </w:p>
        </w:tc>
        <w:tc>
          <w:tcPr>
            <w:tcW w:w="1348" w:type="dxa"/>
          </w:tcPr>
          <w:p w14:paraId="78CA1A24" w14:textId="77777777" w:rsidR="000923BB" w:rsidRPr="00F955C6" w:rsidRDefault="000923BB" w:rsidP="003A385F">
            <w:pPr>
              <w:jc w:val="center"/>
              <w:rPr>
                <w:rFonts w:cs="Arial"/>
              </w:rPr>
            </w:pPr>
            <w:r w:rsidRPr="00F955C6">
              <w:rPr>
                <w:rFonts w:cs="Arial"/>
              </w:rPr>
              <w:t>2 -10</w:t>
            </w:r>
          </w:p>
        </w:tc>
      </w:tr>
      <w:tr w:rsidR="000923BB" w:rsidRPr="00F955C6" w14:paraId="734A5B65" w14:textId="77777777" w:rsidTr="003C12FD">
        <w:tc>
          <w:tcPr>
            <w:tcW w:w="1622" w:type="dxa"/>
          </w:tcPr>
          <w:p w14:paraId="1A5D5CAB" w14:textId="77777777" w:rsidR="000923BB" w:rsidRPr="00F955C6" w:rsidRDefault="000923BB" w:rsidP="003A385F">
            <w:pPr>
              <w:rPr>
                <w:rFonts w:cs="Arial"/>
              </w:rPr>
            </w:pPr>
            <w:r w:rsidRPr="00F955C6">
              <w:rPr>
                <w:rFonts w:cs="Arial"/>
              </w:rPr>
              <w:t>Hospital 441</w:t>
            </w:r>
          </w:p>
        </w:tc>
        <w:tc>
          <w:tcPr>
            <w:tcW w:w="953" w:type="dxa"/>
          </w:tcPr>
          <w:p w14:paraId="0AB8D448" w14:textId="77777777" w:rsidR="000923BB" w:rsidRPr="00F955C6" w:rsidRDefault="000923BB" w:rsidP="003A385F">
            <w:pPr>
              <w:jc w:val="center"/>
              <w:rPr>
                <w:rFonts w:cs="Arial"/>
              </w:rPr>
            </w:pPr>
            <w:r w:rsidRPr="00F955C6">
              <w:rPr>
                <w:rFonts w:cs="Arial"/>
              </w:rPr>
              <w:t>8.3</w:t>
            </w:r>
          </w:p>
        </w:tc>
        <w:tc>
          <w:tcPr>
            <w:tcW w:w="1270" w:type="dxa"/>
          </w:tcPr>
          <w:p w14:paraId="6FB47E8F" w14:textId="77777777" w:rsidR="000923BB" w:rsidRPr="00F955C6" w:rsidRDefault="000923BB" w:rsidP="003A385F">
            <w:pPr>
              <w:jc w:val="center"/>
              <w:rPr>
                <w:rFonts w:cs="Arial"/>
              </w:rPr>
            </w:pPr>
            <w:r w:rsidRPr="00F955C6">
              <w:rPr>
                <w:rFonts w:cs="Arial"/>
              </w:rPr>
              <w:t>1.25</w:t>
            </w:r>
          </w:p>
        </w:tc>
        <w:tc>
          <w:tcPr>
            <w:tcW w:w="1043" w:type="dxa"/>
          </w:tcPr>
          <w:p w14:paraId="7A681AD3" w14:textId="77777777" w:rsidR="000923BB" w:rsidRPr="00F955C6" w:rsidRDefault="000923BB" w:rsidP="003A385F">
            <w:pPr>
              <w:jc w:val="center"/>
              <w:rPr>
                <w:rFonts w:cs="Arial"/>
              </w:rPr>
            </w:pPr>
            <w:r w:rsidRPr="00F955C6">
              <w:rPr>
                <w:rFonts w:cs="Arial"/>
              </w:rPr>
              <w:t>8.0</w:t>
            </w:r>
          </w:p>
        </w:tc>
        <w:tc>
          <w:tcPr>
            <w:tcW w:w="1348" w:type="dxa"/>
          </w:tcPr>
          <w:p w14:paraId="06D9F9A1" w14:textId="77777777" w:rsidR="000923BB" w:rsidRPr="00F955C6" w:rsidRDefault="000923BB" w:rsidP="003A385F">
            <w:pPr>
              <w:jc w:val="center"/>
              <w:rPr>
                <w:rFonts w:cs="Arial"/>
              </w:rPr>
            </w:pPr>
            <w:r w:rsidRPr="00F955C6">
              <w:rPr>
                <w:rFonts w:cs="Arial"/>
              </w:rPr>
              <w:t>6 -10</w:t>
            </w:r>
          </w:p>
        </w:tc>
      </w:tr>
      <w:tr w:rsidR="000923BB" w:rsidRPr="00F955C6" w14:paraId="282D6926" w14:textId="77777777" w:rsidTr="003C12FD">
        <w:tc>
          <w:tcPr>
            <w:tcW w:w="1622" w:type="dxa"/>
          </w:tcPr>
          <w:p w14:paraId="06A11D98" w14:textId="77777777" w:rsidR="000923BB" w:rsidRPr="00F955C6" w:rsidRDefault="000923BB" w:rsidP="003A385F">
            <w:pPr>
              <w:rPr>
                <w:rFonts w:cs="Arial"/>
              </w:rPr>
            </w:pPr>
            <w:r w:rsidRPr="00F955C6">
              <w:rPr>
                <w:rFonts w:cs="Arial"/>
              </w:rPr>
              <w:t>Hospital 452</w:t>
            </w:r>
          </w:p>
        </w:tc>
        <w:tc>
          <w:tcPr>
            <w:tcW w:w="953" w:type="dxa"/>
          </w:tcPr>
          <w:p w14:paraId="6DF8F2E8" w14:textId="77777777" w:rsidR="000923BB" w:rsidRPr="00F955C6" w:rsidRDefault="000923BB" w:rsidP="003A385F">
            <w:pPr>
              <w:jc w:val="center"/>
              <w:rPr>
                <w:rFonts w:cs="Arial"/>
              </w:rPr>
            </w:pPr>
            <w:r w:rsidRPr="00F955C6">
              <w:rPr>
                <w:rFonts w:cs="Arial"/>
              </w:rPr>
              <w:t>5.7</w:t>
            </w:r>
          </w:p>
        </w:tc>
        <w:tc>
          <w:tcPr>
            <w:tcW w:w="1270" w:type="dxa"/>
          </w:tcPr>
          <w:p w14:paraId="028BB24F" w14:textId="77777777" w:rsidR="000923BB" w:rsidRPr="00F955C6" w:rsidRDefault="000923BB" w:rsidP="003A385F">
            <w:pPr>
              <w:jc w:val="center"/>
              <w:rPr>
                <w:rFonts w:cs="Arial"/>
              </w:rPr>
            </w:pPr>
            <w:r w:rsidRPr="00F955C6">
              <w:rPr>
                <w:rFonts w:cs="Arial"/>
              </w:rPr>
              <w:t>2.09</w:t>
            </w:r>
          </w:p>
        </w:tc>
        <w:tc>
          <w:tcPr>
            <w:tcW w:w="1043" w:type="dxa"/>
          </w:tcPr>
          <w:p w14:paraId="44443646" w14:textId="77777777" w:rsidR="000923BB" w:rsidRPr="00F955C6" w:rsidRDefault="000923BB" w:rsidP="003A385F">
            <w:pPr>
              <w:jc w:val="center"/>
              <w:rPr>
                <w:rFonts w:cs="Arial"/>
              </w:rPr>
            </w:pPr>
            <w:r w:rsidRPr="00F955C6">
              <w:rPr>
                <w:rFonts w:cs="Arial"/>
              </w:rPr>
              <w:t>6.0</w:t>
            </w:r>
          </w:p>
        </w:tc>
        <w:tc>
          <w:tcPr>
            <w:tcW w:w="1348" w:type="dxa"/>
          </w:tcPr>
          <w:p w14:paraId="07E2F068" w14:textId="77777777" w:rsidR="000923BB" w:rsidRPr="00F955C6" w:rsidRDefault="000923BB" w:rsidP="003A385F">
            <w:pPr>
              <w:jc w:val="center"/>
              <w:rPr>
                <w:rFonts w:cs="Arial"/>
              </w:rPr>
            </w:pPr>
            <w:r w:rsidRPr="00F955C6">
              <w:rPr>
                <w:rFonts w:cs="Arial"/>
              </w:rPr>
              <w:t>1 -10</w:t>
            </w:r>
          </w:p>
        </w:tc>
      </w:tr>
    </w:tbl>
    <w:p w14:paraId="7127A673" w14:textId="77777777" w:rsidR="000923BB" w:rsidRPr="00FB3AC0" w:rsidRDefault="000923BB" w:rsidP="000923BB">
      <w:pPr>
        <w:rPr>
          <w:rFonts w:cs="Arial"/>
          <w:b/>
          <w:sz w:val="28"/>
          <w:szCs w:val="28"/>
        </w:rPr>
      </w:pPr>
    </w:p>
    <w:p w14:paraId="19298D34" w14:textId="77777777" w:rsidR="004932C5" w:rsidRDefault="004932C5" w:rsidP="000923BB">
      <w:pPr>
        <w:rPr>
          <w:rFonts w:cs="Arial"/>
          <w:b/>
          <w:sz w:val="28"/>
          <w:szCs w:val="28"/>
        </w:rPr>
      </w:pPr>
    </w:p>
    <w:p w14:paraId="6A1ACE71" w14:textId="77777777" w:rsidR="004932C5" w:rsidRDefault="004932C5" w:rsidP="000923BB">
      <w:pPr>
        <w:rPr>
          <w:rFonts w:cs="Arial"/>
          <w:b/>
          <w:sz w:val="28"/>
          <w:szCs w:val="28"/>
        </w:rPr>
      </w:pPr>
    </w:p>
    <w:p w14:paraId="216EBAFD" w14:textId="77777777" w:rsidR="004932C5" w:rsidRDefault="004932C5" w:rsidP="000923BB">
      <w:pPr>
        <w:rPr>
          <w:rFonts w:cs="Arial"/>
          <w:b/>
          <w:sz w:val="28"/>
          <w:szCs w:val="28"/>
        </w:rPr>
      </w:pPr>
    </w:p>
    <w:p w14:paraId="30085201" w14:textId="77777777" w:rsidR="000923BB" w:rsidRPr="00FB3AC0" w:rsidRDefault="000923BB" w:rsidP="000923BB">
      <w:pPr>
        <w:rPr>
          <w:rFonts w:cs="Arial"/>
          <w:b/>
          <w:sz w:val="28"/>
          <w:szCs w:val="28"/>
        </w:rPr>
      </w:pPr>
      <w:r w:rsidRPr="00FB3AC0">
        <w:rPr>
          <w:rFonts w:cs="Arial"/>
          <w:b/>
          <w:sz w:val="28"/>
          <w:szCs w:val="28"/>
        </w:rPr>
        <w:t>Patient records</w:t>
      </w:r>
    </w:p>
    <w:p w14:paraId="4A3EBEE3" w14:textId="77777777" w:rsidR="000923BB" w:rsidRPr="00FB3AC0" w:rsidRDefault="000923BB" w:rsidP="000923BB">
      <w:pPr>
        <w:rPr>
          <w:rFonts w:cs="Arial"/>
          <w:b/>
          <w:sz w:val="28"/>
          <w:szCs w:val="28"/>
        </w:rPr>
      </w:pPr>
    </w:p>
    <w:p w14:paraId="642DF217" w14:textId="77777777" w:rsidR="000923BB" w:rsidRPr="00F54264" w:rsidRDefault="000923BB" w:rsidP="000923BB">
      <w:pPr>
        <w:rPr>
          <w:rFonts w:cs="Arial"/>
          <w:b/>
        </w:rPr>
      </w:pPr>
      <w:r w:rsidRPr="00F54264">
        <w:rPr>
          <w:rFonts w:cs="Arial"/>
          <w:b/>
        </w:rPr>
        <w:t xml:space="preserve">Rating scale results: ratings for the quality of patient records </w:t>
      </w:r>
    </w:p>
    <w:p w14:paraId="51AD3E36" w14:textId="77777777" w:rsidR="000923BB" w:rsidRPr="00FB3AC0" w:rsidRDefault="000923BB" w:rsidP="000923BB">
      <w:pPr>
        <w:rPr>
          <w:rFonts w:cs="Arial"/>
          <w:b/>
          <w:sz w:val="28"/>
          <w:szCs w:val="28"/>
        </w:rPr>
      </w:pPr>
    </w:p>
    <w:p w14:paraId="7E387FFF" w14:textId="77777777" w:rsidR="000923BB" w:rsidRPr="00FB3AC0" w:rsidRDefault="000923BB" w:rsidP="000923BB">
      <w:pPr>
        <w:rPr>
          <w:rFonts w:cs="Arial"/>
          <w:b/>
          <w:sz w:val="28"/>
          <w:szCs w:val="28"/>
        </w:rPr>
      </w:pPr>
      <w:r>
        <w:rPr>
          <w:rFonts w:cs="Arial"/>
          <w:noProof/>
          <w:sz w:val="14"/>
          <w:szCs w:val="14"/>
          <w:lang w:eastAsia="en-GB" w:bidi="ar-SA"/>
        </w:rPr>
        <w:drawing>
          <wp:inline distT="0" distB="0" distL="0" distR="0" wp14:anchorId="0462650D" wp14:editId="4DCB534D">
            <wp:extent cx="4500245" cy="4222115"/>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cstate="print"/>
                    <a:srcRect/>
                    <a:stretch>
                      <a:fillRect/>
                    </a:stretch>
                  </pic:blipFill>
                  <pic:spPr bwMode="auto">
                    <a:xfrm>
                      <a:off x="0" y="0"/>
                      <a:ext cx="4500245" cy="4222115"/>
                    </a:xfrm>
                    <a:prstGeom prst="rect">
                      <a:avLst/>
                    </a:prstGeom>
                    <a:noFill/>
                    <a:ln w="9525">
                      <a:noFill/>
                      <a:miter lim="800000"/>
                      <a:headEnd/>
                      <a:tailEnd/>
                    </a:ln>
                  </pic:spPr>
                </pic:pic>
              </a:graphicData>
            </a:graphic>
          </wp:inline>
        </w:drawing>
      </w:r>
    </w:p>
    <w:p w14:paraId="5893466E" w14:textId="77777777" w:rsidR="000923BB" w:rsidRPr="00FB3AC0" w:rsidRDefault="000923BB" w:rsidP="000923BB">
      <w:pPr>
        <w:rPr>
          <w:rFonts w:cs="Arial"/>
          <w:sz w:val="28"/>
          <w:szCs w:val="28"/>
        </w:rPr>
      </w:pPr>
    </w:p>
    <w:p w14:paraId="2501E046" w14:textId="77777777" w:rsidR="000923BB" w:rsidRPr="00F54264" w:rsidRDefault="000923BB" w:rsidP="000923BB">
      <w:pPr>
        <w:rPr>
          <w:rFonts w:cs="Arial"/>
          <w:b/>
        </w:rPr>
      </w:pPr>
      <w:r w:rsidRPr="00F54264">
        <w:rPr>
          <w:rFonts w:cs="Arial"/>
          <w:b/>
        </w:rPr>
        <w:t>1 = inadequate</w:t>
      </w:r>
    </w:p>
    <w:p w14:paraId="5405B000" w14:textId="77777777" w:rsidR="000923BB" w:rsidRPr="00F44C92" w:rsidRDefault="000923BB" w:rsidP="000923BB">
      <w:pPr>
        <w:rPr>
          <w:rFonts w:cs="Arial"/>
          <w:b/>
          <w:bCs/>
          <w:sz w:val="32"/>
          <w:szCs w:val="32"/>
        </w:rPr>
      </w:pPr>
      <w:r w:rsidRPr="00F54264">
        <w:rPr>
          <w:rFonts w:cs="Arial"/>
          <w:b/>
        </w:rPr>
        <w:t>6 = excellent</w:t>
      </w:r>
      <w:r>
        <w:br w:type="page"/>
      </w:r>
      <w:r w:rsidRPr="004932C5">
        <w:rPr>
          <w:rFonts w:cs="Arial"/>
          <w:b/>
          <w:bCs/>
          <w:sz w:val="28"/>
          <w:szCs w:val="28"/>
        </w:rPr>
        <w:lastRenderedPageBreak/>
        <w:t>Appendix 7</w:t>
      </w:r>
    </w:p>
    <w:p w14:paraId="793DD048" w14:textId="77777777" w:rsidR="000923BB" w:rsidRDefault="000923BB" w:rsidP="000923BB">
      <w:pPr>
        <w:jc w:val="both"/>
        <w:rPr>
          <w:rFonts w:cs="Arial"/>
          <w:b/>
          <w:bCs/>
          <w:sz w:val="22"/>
        </w:rPr>
      </w:pPr>
    </w:p>
    <w:p w14:paraId="536C43A8" w14:textId="77777777" w:rsidR="000923BB" w:rsidRDefault="000923BB" w:rsidP="000923BB">
      <w:pPr>
        <w:jc w:val="both"/>
        <w:rPr>
          <w:rFonts w:cs="Arial"/>
          <w:b/>
          <w:bCs/>
          <w:sz w:val="22"/>
        </w:rPr>
      </w:pPr>
      <w:r>
        <w:rPr>
          <w:rFonts w:cs="Arial"/>
          <w:b/>
          <w:bCs/>
          <w:sz w:val="22"/>
        </w:rPr>
        <w:t xml:space="preserve">COPD – correlations between holistic mean overall scale scores </w:t>
      </w:r>
      <w:r w:rsidR="005332D1">
        <w:rPr>
          <w:rFonts w:cs="Arial"/>
          <w:b/>
          <w:bCs/>
          <w:sz w:val="22"/>
        </w:rPr>
        <w:t xml:space="preserve">                               </w:t>
      </w:r>
      <w:r w:rsidRPr="007849B6">
        <w:rPr>
          <w:rFonts w:cs="Arial"/>
          <w:b/>
          <w:sz w:val="22"/>
          <w:szCs w:val="22"/>
        </w:rPr>
        <w:t xml:space="preserve">(1 = unsatisfactory to 6 = </w:t>
      </w:r>
      <w:r>
        <w:rPr>
          <w:rFonts w:cs="Arial"/>
          <w:b/>
          <w:sz w:val="22"/>
          <w:szCs w:val="22"/>
        </w:rPr>
        <w:t>very best care</w:t>
      </w:r>
      <w:r w:rsidRPr="007849B6">
        <w:rPr>
          <w:rFonts w:cs="Arial"/>
          <w:b/>
          <w:sz w:val="22"/>
          <w:szCs w:val="22"/>
        </w:rPr>
        <w:t>)</w:t>
      </w:r>
      <w:r>
        <w:rPr>
          <w:rFonts w:cs="Arial"/>
          <w:b/>
          <w:bCs/>
          <w:sz w:val="22"/>
        </w:rPr>
        <w:t xml:space="preserve"> and outcome variables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1"/>
        <w:gridCol w:w="1257"/>
        <w:gridCol w:w="893"/>
        <w:gridCol w:w="1391"/>
      </w:tblGrid>
      <w:tr w:rsidR="000923BB" w:rsidRPr="00F955C6" w14:paraId="1D12CF4F" w14:textId="77777777" w:rsidTr="005332D1">
        <w:tc>
          <w:tcPr>
            <w:tcW w:w="4860" w:type="dxa"/>
          </w:tcPr>
          <w:p w14:paraId="7B6C5447" w14:textId="77777777" w:rsidR="000923BB" w:rsidRPr="00F955C6" w:rsidRDefault="000923BB" w:rsidP="003A385F">
            <w:pPr>
              <w:rPr>
                <w:rFonts w:cs="Arial"/>
                <w:sz w:val="20"/>
                <w:szCs w:val="20"/>
              </w:rPr>
            </w:pPr>
            <w:r w:rsidRPr="00F955C6">
              <w:rPr>
                <w:rFonts w:cs="Arial"/>
                <w:sz w:val="20"/>
                <w:szCs w:val="20"/>
              </w:rPr>
              <w:t>Variable</w:t>
            </w:r>
          </w:p>
        </w:tc>
        <w:tc>
          <w:tcPr>
            <w:tcW w:w="1260" w:type="dxa"/>
          </w:tcPr>
          <w:p w14:paraId="05EA163E" w14:textId="77777777" w:rsidR="000923BB" w:rsidRPr="00F955C6" w:rsidRDefault="000923BB" w:rsidP="003A385F">
            <w:pPr>
              <w:jc w:val="center"/>
              <w:rPr>
                <w:rFonts w:cs="Arial"/>
                <w:sz w:val="20"/>
                <w:szCs w:val="20"/>
              </w:rPr>
            </w:pPr>
            <w:r w:rsidRPr="00F955C6">
              <w:rPr>
                <w:rFonts w:cs="Arial"/>
                <w:sz w:val="20"/>
                <w:szCs w:val="20"/>
              </w:rPr>
              <w:t>Correlation coefficient</w:t>
            </w:r>
          </w:p>
        </w:tc>
        <w:tc>
          <w:tcPr>
            <w:tcW w:w="900" w:type="dxa"/>
          </w:tcPr>
          <w:p w14:paraId="0063F21D" w14:textId="77777777" w:rsidR="000923BB" w:rsidRPr="00F955C6" w:rsidRDefault="000923BB" w:rsidP="003A385F">
            <w:pPr>
              <w:jc w:val="center"/>
              <w:rPr>
                <w:rFonts w:cs="Arial"/>
                <w:sz w:val="20"/>
                <w:szCs w:val="20"/>
              </w:rPr>
            </w:pPr>
            <w:r w:rsidRPr="00F955C6">
              <w:rPr>
                <w:rFonts w:cs="Arial"/>
                <w:sz w:val="20"/>
                <w:szCs w:val="20"/>
              </w:rPr>
              <w:t>p-value</w:t>
            </w:r>
          </w:p>
        </w:tc>
        <w:tc>
          <w:tcPr>
            <w:tcW w:w="1394" w:type="dxa"/>
          </w:tcPr>
          <w:p w14:paraId="154BEEBF" w14:textId="77777777" w:rsidR="000923BB" w:rsidRPr="00F955C6" w:rsidRDefault="000923BB" w:rsidP="003A385F">
            <w:pPr>
              <w:jc w:val="center"/>
              <w:rPr>
                <w:rFonts w:cs="Arial"/>
                <w:sz w:val="20"/>
                <w:szCs w:val="20"/>
              </w:rPr>
            </w:pPr>
            <w:r w:rsidRPr="00F955C6">
              <w:rPr>
                <w:rFonts w:cs="Arial"/>
                <w:sz w:val="20"/>
                <w:szCs w:val="20"/>
              </w:rPr>
              <w:t>Relationship</w:t>
            </w:r>
          </w:p>
        </w:tc>
      </w:tr>
      <w:tr w:rsidR="000923BB" w:rsidRPr="00F955C6" w14:paraId="609F149C" w14:textId="77777777" w:rsidTr="005332D1">
        <w:tc>
          <w:tcPr>
            <w:tcW w:w="4860" w:type="dxa"/>
          </w:tcPr>
          <w:p w14:paraId="75A7DB33" w14:textId="77777777" w:rsidR="000923BB" w:rsidRPr="00F955C6" w:rsidRDefault="000923BB" w:rsidP="003A385F">
            <w:pPr>
              <w:rPr>
                <w:rFonts w:cs="Arial"/>
                <w:sz w:val="20"/>
                <w:szCs w:val="20"/>
              </w:rPr>
            </w:pPr>
            <w:r w:rsidRPr="00F955C6">
              <w:rPr>
                <w:rFonts w:cs="Arial"/>
                <w:sz w:val="20"/>
                <w:szCs w:val="20"/>
              </w:rPr>
              <w:t>Percentage of COPD patients who die in hospital within 28 days</w:t>
            </w:r>
          </w:p>
        </w:tc>
        <w:tc>
          <w:tcPr>
            <w:tcW w:w="1260" w:type="dxa"/>
          </w:tcPr>
          <w:p w14:paraId="43912D36" w14:textId="77777777" w:rsidR="000923BB" w:rsidRPr="00F955C6" w:rsidRDefault="000923BB" w:rsidP="003A385F">
            <w:pPr>
              <w:jc w:val="center"/>
              <w:rPr>
                <w:rFonts w:cs="Arial"/>
                <w:sz w:val="20"/>
                <w:szCs w:val="20"/>
              </w:rPr>
            </w:pPr>
            <w:r w:rsidRPr="00F955C6">
              <w:rPr>
                <w:rFonts w:cs="Arial"/>
                <w:sz w:val="20"/>
                <w:szCs w:val="20"/>
              </w:rPr>
              <w:t>-0.295</w:t>
            </w:r>
          </w:p>
        </w:tc>
        <w:tc>
          <w:tcPr>
            <w:tcW w:w="900" w:type="dxa"/>
          </w:tcPr>
          <w:p w14:paraId="338049DC" w14:textId="77777777" w:rsidR="000923BB" w:rsidRPr="00F955C6" w:rsidRDefault="000923BB" w:rsidP="003A385F">
            <w:pPr>
              <w:jc w:val="center"/>
              <w:rPr>
                <w:rFonts w:cs="Arial"/>
                <w:sz w:val="20"/>
                <w:szCs w:val="20"/>
              </w:rPr>
            </w:pPr>
            <w:r w:rsidRPr="00F955C6">
              <w:rPr>
                <w:rFonts w:cs="Arial"/>
                <w:sz w:val="20"/>
                <w:szCs w:val="20"/>
              </w:rPr>
              <w:t>0.207</w:t>
            </w:r>
          </w:p>
        </w:tc>
        <w:tc>
          <w:tcPr>
            <w:tcW w:w="1394" w:type="dxa"/>
          </w:tcPr>
          <w:p w14:paraId="5B9E3D36"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4972FC9E" w14:textId="77777777" w:rsidTr="005332D1">
        <w:tc>
          <w:tcPr>
            <w:tcW w:w="4860" w:type="dxa"/>
            <w:tcBorders>
              <w:bottom w:val="single" w:sz="4" w:space="0" w:color="auto"/>
            </w:tcBorders>
          </w:tcPr>
          <w:p w14:paraId="51E69643" w14:textId="77777777" w:rsidR="000923BB" w:rsidRPr="00F955C6" w:rsidRDefault="000923BB" w:rsidP="003A385F">
            <w:pPr>
              <w:rPr>
                <w:rFonts w:cs="Arial"/>
                <w:sz w:val="20"/>
                <w:szCs w:val="20"/>
              </w:rPr>
            </w:pPr>
            <w:r w:rsidRPr="00F955C6">
              <w:rPr>
                <w:rFonts w:cs="Arial"/>
                <w:sz w:val="20"/>
                <w:szCs w:val="20"/>
              </w:rPr>
              <w:t>HSMR from Dr. Foster (3 year mortality)</w:t>
            </w:r>
          </w:p>
        </w:tc>
        <w:tc>
          <w:tcPr>
            <w:tcW w:w="1260" w:type="dxa"/>
            <w:tcBorders>
              <w:bottom w:val="single" w:sz="4" w:space="0" w:color="auto"/>
            </w:tcBorders>
          </w:tcPr>
          <w:p w14:paraId="161F7045" w14:textId="77777777" w:rsidR="000923BB" w:rsidRPr="00F955C6" w:rsidRDefault="000923BB" w:rsidP="003A385F">
            <w:pPr>
              <w:jc w:val="center"/>
              <w:rPr>
                <w:rFonts w:cs="Arial"/>
                <w:sz w:val="20"/>
                <w:szCs w:val="20"/>
              </w:rPr>
            </w:pPr>
            <w:r w:rsidRPr="00F955C6">
              <w:rPr>
                <w:rFonts w:cs="Arial"/>
                <w:sz w:val="20"/>
                <w:szCs w:val="20"/>
              </w:rPr>
              <w:t>-0.157</w:t>
            </w:r>
          </w:p>
        </w:tc>
        <w:tc>
          <w:tcPr>
            <w:tcW w:w="900" w:type="dxa"/>
            <w:tcBorders>
              <w:bottom w:val="single" w:sz="4" w:space="0" w:color="auto"/>
            </w:tcBorders>
          </w:tcPr>
          <w:p w14:paraId="4F22B812" w14:textId="77777777" w:rsidR="000923BB" w:rsidRPr="00F955C6" w:rsidRDefault="000923BB" w:rsidP="003A385F">
            <w:pPr>
              <w:jc w:val="center"/>
              <w:rPr>
                <w:rFonts w:cs="Arial"/>
                <w:sz w:val="20"/>
                <w:szCs w:val="20"/>
              </w:rPr>
            </w:pPr>
            <w:r w:rsidRPr="00F955C6">
              <w:rPr>
                <w:rFonts w:cs="Arial"/>
                <w:sz w:val="20"/>
                <w:szCs w:val="20"/>
              </w:rPr>
              <w:t>0.508</w:t>
            </w:r>
          </w:p>
        </w:tc>
        <w:tc>
          <w:tcPr>
            <w:tcW w:w="1394" w:type="dxa"/>
            <w:tcBorders>
              <w:bottom w:val="single" w:sz="4" w:space="0" w:color="auto"/>
            </w:tcBorders>
          </w:tcPr>
          <w:p w14:paraId="01FC5C71"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5F594398" w14:textId="77777777" w:rsidTr="005332D1">
        <w:tc>
          <w:tcPr>
            <w:tcW w:w="4860" w:type="dxa"/>
            <w:tcBorders>
              <w:bottom w:val="single" w:sz="4" w:space="0" w:color="auto"/>
            </w:tcBorders>
          </w:tcPr>
          <w:p w14:paraId="5B5221A0" w14:textId="77777777" w:rsidR="000923BB" w:rsidRPr="00F955C6" w:rsidRDefault="000923BB" w:rsidP="003A385F">
            <w:pPr>
              <w:rPr>
                <w:rFonts w:cs="Arial"/>
                <w:sz w:val="20"/>
                <w:szCs w:val="20"/>
              </w:rPr>
            </w:pPr>
            <w:r w:rsidRPr="00F955C6">
              <w:rPr>
                <w:rFonts w:cs="Arial"/>
                <w:sz w:val="20"/>
                <w:szCs w:val="20"/>
              </w:rPr>
              <w:t>HSMR from Dr. Foster (1 year mortality)</w:t>
            </w:r>
          </w:p>
        </w:tc>
        <w:tc>
          <w:tcPr>
            <w:tcW w:w="1260" w:type="dxa"/>
            <w:tcBorders>
              <w:bottom w:val="single" w:sz="4" w:space="0" w:color="auto"/>
            </w:tcBorders>
          </w:tcPr>
          <w:p w14:paraId="78E0DB00" w14:textId="77777777" w:rsidR="000923BB" w:rsidRPr="00F955C6" w:rsidRDefault="000923BB" w:rsidP="003A385F">
            <w:pPr>
              <w:jc w:val="center"/>
              <w:rPr>
                <w:rFonts w:cs="Arial"/>
                <w:sz w:val="20"/>
                <w:szCs w:val="20"/>
              </w:rPr>
            </w:pPr>
            <w:r w:rsidRPr="00F955C6">
              <w:rPr>
                <w:rFonts w:cs="Arial"/>
                <w:sz w:val="20"/>
                <w:szCs w:val="20"/>
              </w:rPr>
              <w:t>-0.072</w:t>
            </w:r>
          </w:p>
        </w:tc>
        <w:tc>
          <w:tcPr>
            <w:tcW w:w="900" w:type="dxa"/>
            <w:tcBorders>
              <w:bottom w:val="single" w:sz="4" w:space="0" w:color="auto"/>
            </w:tcBorders>
          </w:tcPr>
          <w:p w14:paraId="653E9412" w14:textId="77777777" w:rsidR="000923BB" w:rsidRPr="00F955C6" w:rsidRDefault="000923BB" w:rsidP="003A385F">
            <w:pPr>
              <w:jc w:val="center"/>
              <w:rPr>
                <w:rFonts w:cs="Arial"/>
                <w:sz w:val="20"/>
                <w:szCs w:val="20"/>
              </w:rPr>
            </w:pPr>
            <w:r w:rsidRPr="00F955C6">
              <w:rPr>
                <w:rFonts w:cs="Arial"/>
                <w:sz w:val="20"/>
                <w:szCs w:val="20"/>
              </w:rPr>
              <w:t>0.763</w:t>
            </w:r>
          </w:p>
        </w:tc>
        <w:tc>
          <w:tcPr>
            <w:tcW w:w="1394" w:type="dxa"/>
            <w:tcBorders>
              <w:bottom w:val="single" w:sz="4" w:space="0" w:color="auto"/>
            </w:tcBorders>
          </w:tcPr>
          <w:p w14:paraId="2CC36728"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733DE0D2" w14:textId="77777777" w:rsidTr="005332D1">
        <w:tc>
          <w:tcPr>
            <w:tcW w:w="4860" w:type="dxa"/>
            <w:shd w:val="clear" w:color="auto" w:fill="auto"/>
          </w:tcPr>
          <w:p w14:paraId="7E8304CB" w14:textId="77777777" w:rsidR="000923BB" w:rsidRPr="00F955C6" w:rsidRDefault="000923BB" w:rsidP="003A385F">
            <w:pPr>
              <w:rPr>
                <w:rFonts w:cs="Arial"/>
                <w:sz w:val="20"/>
                <w:szCs w:val="20"/>
              </w:rPr>
            </w:pPr>
            <w:r w:rsidRPr="00F955C6">
              <w:rPr>
                <w:rFonts w:cs="Arial"/>
                <w:sz w:val="20"/>
                <w:szCs w:val="20"/>
              </w:rPr>
              <w:t>Incidents to NPSA per 100 bed days</w:t>
            </w:r>
          </w:p>
        </w:tc>
        <w:tc>
          <w:tcPr>
            <w:tcW w:w="1260" w:type="dxa"/>
            <w:shd w:val="clear" w:color="auto" w:fill="auto"/>
          </w:tcPr>
          <w:p w14:paraId="035BD324" w14:textId="77777777" w:rsidR="000923BB" w:rsidRPr="00F955C6" w:rsidRDefault="000923BB" w:rsidP="003A385F">
            <w:pPr>
              <w:jc w:val="center"/>
              <w:rPr>
                <w:rFonts w:cs="Arial"/>
                <w:sz w:val="20"/>
                <w:szCs w:val="20"/>
              </w:rPr>
            </w:pPr>
            <w:r w:rsidRPr="00F955C6">
              <w:rPr>
                <w:rFonts w:cs="Arial"/>
                <w:sz w:val="20"/>
                <w:szCs w:val="20"/>
              </w:rPr>
              <w:t>-0.345</w:t>
            </w:r>
          </w:p>
        </w:tc>
        <w:tc>
          <w:tcPr>
            <w:tcW w:w="900" w:type="dxa"/>
            <w:shd w:val="clear" w:color="auto" w:fill="auto"/>
          </w:tcPr>
          <w:p w14:paraId="74BFB510" w14:textId="77777777" w:rsidR="000923BB" w:rsidRPr="00F955C6" w:rsidRDefault="000923BB" w:rsidP="003A385F">
            <w:pPr>
              <w:jc w:val="center"/>
              <w:rPr>
                <w:rFonts w:cs="Arial"/>
                <w:sz w:val="20"/>
                <w:szCs w:val="20"/>
              </w:rPr>
            </w:pPr>
            <w:r w:rsidRPr="00F955C6">
              <w:rPr>
                <w:rFonts w:cs="Arial"/>
                <w:sz w:val="20"/>
                <w:szCs w:val="20"/>
              </w:rPr>
              <w:t>0.136</w:t>
            </w:r>
          </w:p>
        </w:tc>
        <w:tc>
          <w:tcPr>
            <w:tcW w:w="1394" w:type="dxa"/>
            <w:shd w:val="clear" w:color="auto" w:fill="auto"/>
          </w:tcPr>
          <w:p w14:paraId="79920E5C"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2CEED235" w14:textId="77777777" w:rsidTr="005332D1">
        <w:tc>
          <w:tcPr>
            <w:tcW w:w="4860" w:type="dxa"/>
          </w:tcPr>
          <w:p w14:paraId="27E6CCCE" w14:textId="77777777" w:rsidR="000923BB" w:rsidRPr="00F955C6" w:rsidRDefault="000923BB" w:rsidP="003A385F">
            <w:pPr>
              <w:rPr>
                <w:rFonts w:cs="Arial"/>
                <w:sz w:val="20"/>
                <w:szCs w:val="20"/>
              </w:rPr>
            </w:pPr>
            <w:r w:rsidRPr="00F955C6">
              <w:rPr>
                <w:rFonts w:cs="Arial"/>
                <w:sz w:val="20"/>
                <w:szCs w:val="20"/>
              </w:rPr>
              <w:t>SMR for deaths in low mortality HRG’s</w:t>
            </w:r>
          </w:p>
        </w:tc>
        <w:tc>
          <w:tcPr>
            <w:tcW w:w="1260" w:type="dxa"/>
          </w:tcPr>
          <w:p w14:paraId="5C4BBFB2" w14:textId="77777777" w:rsidR="000923BB" w:rsidRPr="00F955C6" w:rsidRDefault="000923BB" w:rsidP="003A385F">
            <w:pPr>
              <w:jc w:val="center"/>
              <w:rPr>
                <w:rFonts w:cs="Arial"/>
                <w:sz w:val="20"/>
                <w:szCs w:val="20"/>
              </w:rPr>
            </w:pPr>
            <w:r w:rsidRPr="00F955C6">
              <w:rPr>
                <w:rFonts w:cs="Arial"/>
                <w:sz w:val="20"/>
                <w:szCs w:val="20"/>
              </w:rPr>
              <w:t>0.049</w:t>
            </w:r>
          </w:p>
        </w:tc>
        <w:tc>
          <w:tcPr>
            <w:tcW w:w="900" w:type="dxa"/>
          </w:tcPr>
          <w:p w14:paraId="6105E6BB" w14:textId="77777777" w:rsidR="000923BB" w:rsidRPr="00F955C6" w:rsidRDefault="000923BB" w:rsidP="003A385F">
            <w:pPr>
              <w:jc w:val="center"/>
              <w:rPr>
                <w:rFonts w:cs="Arial"/>
                <w:sz w:val="20"/>
                <w:szCs w:val="20"/>
              </w:rPr>
            </w:pPr>
            <w:r w:rsidRPr="00F955C6">
              <w:rPr>
                <w:rFonts w:cs="Arial"/>
                <w:sz w:val="20"/>
                <w:szCs w:val="20"/>
              </w:rPr>
              <w:t>0.838</w:t>
            </w:r>
          </w:p>
        </w:tc>
        <w:tc>
          <w:tcPr>
            <w:tcW w:w="1394" w:type="dxa"/>
          </w:tcPr>
          <w:p w14:paraId="3A717052"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32B725D6" w14:textId="77777777" w:rsidTr="005332D1">
        <w:tc>
          <w:tcPr>
            <w:tcW w:w="4860" w:type="dxa"/>
          </w:tcPr>
          <w:p w14:paraId="6102FB9E" w14:textId="77777777" w:rsidR="000923BB" w:rsidRPr="00F955C6" w:rsidRDefault="000923BB" w:rsidP="003A385F">
            <w:pPr>
              <w:rPr>
                <w:rFonts w:cs="Arial"/>
                <w:sz w:val="20"/>
                <w:szCs w:val="20"/>
              </w:rPr>
            </w:pPr>
            <w:r w:rsidRPr="00F955C6">
              <w:rPr>
                <w:rFonts w:cs="Arial"/>
                <w:sz w:val="20"/>
                <w:szCs w:val="20"/>
              </w:rPr>
              <w:t>COPD finished consultant episodes</w:t>
            </w:r>
          </w:p>
        </w:tc>
        <w:tc>
          <w:tcPr>
            <w:tcW w:w="1260" w:type="dxa"/>
          </w:tcPr>
          <w:p w14:paraId="4A7BB75C" w14:textId="77777777" w:rsidR="000923BB" w:rsidRPr="00F955C6" w:rsidRDefault="000923BB" w:rsidP="003A385F">
            <w:pPr>
              <w:jc w:val="center"/>
              <w:rPr>
                <w:rFonts w:cs="Arial"/>
                <w:sz w:val="20"/>
                <w:szCs w:val="20"/>
              </w:rPr>
            </w:pPr>
            <w:r w:rsidRPr="00F955C6">
              <w:rPr>
                <w:rFonts w:cs="Arial"/>
                <w:sz w:val="20"/>
                <w:szCs w:val="20"/>
              </w:rPr>
              <w:t>0.125</w:t>
            </w:r>
          </w:p>
        </w:tc>
        <w:tc>
          <w:tcPr>
            <w:tcW w:w="900" w:type="dxa"/>
          </w:tcPr>
          <w:p w14:paraId="073631E5" w14:textId="77777777" w:rsidR="000923BB" w:rsidRPr="00F955C6" w:rsidRDefault="000923BB" w:rsidP="003A385F">
            <w:pPr>
              <w:jc w:val="center"/>
              <w:rPr>
                <w:rFonts w:cs="Arial"/>
                <w:sz w:val="20"/>
                <w:szCs w:val="20"/>
              </w:rPr>
            </w:pPr>
            <w:r w:rsidRPr="00F955C6">
              <w:rPr>
                <w:rFonts w:cs="Arial"/>
                <w:sz w:val="20"/>
                <w:szCs w:val="20"/>
              </w:rPr>
              <w:t>0.610</w:t>
            </w:r>
          </w:p>
        </w:tc>
        <w:tc>
          <w:tcPr>
            <w:tcW w:w="1394" w:type="dxa"/>
          </w:tcPr>
          <w:p w14:paraId="4524E021"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53424FD4" w14:textId="77777777" w:rsidTr="005332D1">
        <w:tc>
          <w:tcPr>
            <w:tcW w:w="4860" w:type="dxa"/>
          </w:tcPr>
          <w:p w14:paraId="37334009" w14:textId="77777777" w:rsidR="000923BB" w:rsidRPr="00F955C6" w:rsidRDefault="000923BB" w:rsidP="003A385F">
            <w:pPr>
              <w:rPr>
                <w:rFonts w:cs="Arial"/>
                <w:sz w:val="20"/>
                <w:szCs w:val="20"/>
              </w:rPr>
            </w:pPr>
            <w:r w:rsidRPr="00F955C6">
              <w:rPr>
                <w:rFonts w:cs="Arial"/>
                <w:sz w:val="20"/>
                <w:szCs w:val="20"/>
              </w:rPr>
              <w:t>COPD bed days</w:t>
            </w:r>
          </w:p>
        </w:tc>
        <w:tc>
          <w:tcPr>
            <w:tcW w:w="1260" w:type="dxa"/>
          </w:tcPr>
          <w:p w14:paraId="442C6313" w14:textId="77777777" w:rsidR="000923BB" w:rsidRPr="00F955C6" w:rsidRDefault="000923BB" w:rsidP="003A385F">
            <w:pPr>
              <w:jc w:val="center"/>
              <w:rPr>
                <w:rFonts w:cs="Arial"/>
                <w:sz w:val="20"/>
                <w:szCs w:val="20"/>
              </w:rPr>
            </w:pPr>
            <w:r w:rsidRPr="00F955C6">
              <w:rPr>
                <w:rFonts w:cs="Arial"/>
                <w:sz w:val="20"/>
                <w:szCs w:val="20"/>
              </w:rPr>
              <w:t>0.102</w:t>
            </w:r>
          </w:p>
        </w:tc>
        <w:tc>
          <w:tcPr>
            <w:tcW w:w="900" w:type="dxa"/>
          </w:tcPr>
          <w:p w14:paraId="75E1A684" w14:textId="77777777" w:rsidR="000923BB" w:rsidRPr="00F955C6" w:rsidRDefault="000923BB" w:rsidP="003A385F">
            <w:pPr>
              <w:jc w:val="center"/>
              <w:rPr>
                <w:rFonts w:cs="Arial"/>
                <w:sz w:val="20"/>
                <w:szCs w:val="20"/>
              </w:rPr>
            </w:pPr>
            <w:r w:rsidRPr="00F955C6">
              <w:rPr>
                <w:rFonts w:cs="Arial"/>
                <w:sz w:val="20"/>
                <w:szCs w:val="20"/>
              </w:rPr>
              <w:t>0.677</w:t>
            </w:r>
          </w:p>
        </w:tc>
        <w:tc>
          <w:tcPr>
            <w:tcW w:w="1394" w:type="dxa"/>
          </w:tcPr>
          <w:p w14:paraId="6CBE1541"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2939CA93" w14:textId="77777777" w:rsidTr="005332D1">
        <w:tc>
          <w:tcPr>
            <w:tcW w:w="4860" w:type="dxa"/>
          </w:tcPr>
          <w:p w14:paraId="31FD638A" w14:textId="77777777" w:rsidR="000923BB" w:rsidRPr="00F955C6" w:rsidRDefault="000923BB" w:rsidP="003A385F">
            <w:pPr>
              <w:rPr>
                <w:rFonts w:cs="Arial"/>
                <w:sz w:val="20"/>
                <w:szCs w:val="20"/>
              </w:rPr>
            </w:pPr>
            <w:r w:rsidRPr="00F955C6">
              <w:rPr>
                <w:rFonts w:cs="Arial"/>
                <w:sz w:val="20"/>
                <w:szCs w:val="20"/>
              </w:rPr>
              <w:t>COPD mean length of stay</w:t>
            </w:r>
          </w:p>
        </w:tc>
        <w:tc>
          <w:tcPr>
            <w:tcW w:w="1260" w:type="dxa"/>
          </w:tcPr>
          <w:p w14:paraId="60E071B5" w14:textId="77777777" w:rsidR="000923BB" w:rsidRPr="00F955C6" w:rsidRDefault="000923BB" w:rsidP="003A385F">
            <w:pPr>
              <w:jc w:val="center"/>
              <w:rPr>
                <w:rFonts w:cs="Arial"/>
                <w:sz w:val="20"/>
                <w:szCs w:val="20"/>
              </w:rPr>
            </w:pPr>
            <w:r w:rsidRPr="00F955C6">
              <w:rPr>
                <w:rFonts w:cs="Arial"/>
                <w:sz w:val="20"/>
                <w:szCs w:val="20"/>
              </w:rPr>
              <w:t>-0.167</w:t>
            </w:r>
          </w:p>
        </w:tc>
        <w:tc>
          <w:tcPr>
            <w:tcW w:w="900" w:type="dxa"/>
          </w:tcPr>
          <w:p w14:paraId="1D771F06" w14:textId="77777777" w:rsidR="000923BB" w:rsidRPr="00F955C6" w:rsidRDefault="000923BB" w:rsidP="003A385F">
            <w:pPr>
              <w:jc w:val="center"/>
              <w:rPr>
                <w:rFonts w:cs="Arial"/>
                <w:sz w:val="20"/>
                <w:szCs w:val="20"/>
              </w:rPr>
            </w:pPr>
            <w:r w:rsidRPr="00F955C6">
              <w:rPr>
                <w:rFonts w:cs="Arial"/>
                <w:sz w:val="20"/>
                <w:szCs w:val="20"/>
              </w:rPr>
              <w:t>0.495</w:t>
            </w:r>
          </w:p>
        </w:tc>
        <w:tc>
          <w:tcPr>
            <w:tcW w:w="1394" w:type="dxa"/>
          </w:tcPr>
          <w:p w14:paraId="7DEDDCBA"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4053AC2D" w14:textId="77777777" w:rsidTr="005332D1">
        <w:tc>
          <w:tcPr>
            <w:tcW w:w="4860" w:type="dxa"/>
          </w:tcPr>
          <w:p w14:paraId="291D3EBF" w14:textId="77777777" w:rsidR="000923BB" w:rsidRPr="00F955C6" w:rsidRDefault="000923BB" w:rsidP="003A385F">
            <w:pPr>
              <w:rPr>
                <w:rFonts w:cs="Arial"/>
                <w:sz w:val="20"/>
                <w:szCs w:val="20"/>
              </w:rPr>
            </w:pPr>
            <w:r w:rsidRPr="00F955C6">
              <w:rPr>
                <w:rFonts w:cs="Arial"/>
                <w:sz w:val="20"/>
                <w:szCs w:val="20"/>
              </w:rPr>
              <w:t>COPD mean age</w:t>
            </w:r>
          </w:p>
        </w:tc>
        <w:tc>
          <w:tcPr>
            <w:tcW w:w="1260" w:type="dxa"/>
          </w:tcPr>
          <w:p w14:paraId="61FCFAF4" w14:textId="77777777" w:rsidR="000923BB" w:rsidRPr="00F955C6" w:rsidRDefault="000923BB" w:rsidP="003A385F">
            <w:pPr>
              <w:jc w:val="center"/>
              <w:rPr>
                <w:rFonts w:cs="Arial"/>
                <w:sz w:val="20"/>
                <w:szCs w:val="20"/>
              </w:rPr>
            </w:pPr>
            <w:r w:rsidRPr="00F955C6">
              <w:rPr>
                <w:rFonts w:cs="Arial"/>
                <w:sz w:val="20"/>
                <w:szCs w:val="20"/>
              </w:rPr>
              <w:t>0.011</w:t>
            </w:r>
          </w:p>
        </w:tc>
        <w:tc>
          <w:tcPr>
            <w:tcW w:w="900" w:type="dxa"/>
          </w:tcPr>
          <w:p w14:paraId="41344D1D" w14:textId="77777777" w:rsidR="000923BB" w:rsidRPr="00F955C6" w:rsidRDefault="000923BB" w:rsidP="003A385F">
            <w:pPr>
              <w:jc w:val="center"/>
              <w:rPr>
                <w:rFonts w:cs="Arial"/>
                <w:sz w:val="20"/>
                <w:szCs w:val="20"/>
              </w:rPr>
            </w:pPr>
            <w:r w:rsidRPr="00F955C6">
              <w:rPr>
                <w:rFonts w:cs="Arial"/>
                <w:sz w:val="20"/>
                <w:szCs w:val="20"/>
              </w:rPr>
              <w:t>0.963</w:t>
            </w:r>
          </w:p>
        </w:tc>
        <w:tc>
          <w:tcPr>
            <w:tcW w:w="1394" w:type="dxa"/>
          </w:tcPr>
          <w:p w14:paraId="0E7F2FA6"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59FB0D6C" w14:textId="77777777" w:rsidTr="005332D1">
        <w:tc>
          <w:tcPr>
            <w:tcW w:w="4860" w:type="dxa"/>
          </w:tcPr>
          <w:p w14:paraId="65010F04" w14:textId="77777777" w:rsidR="000923BB" w:rsidRPr="00F955C6" w:rsidRDefault="000923BB" w:rsidP="003A385F">
            <w:pPr>
              <w:rPr>
                <w:rFonts w:cs="Arial"/>
                <w:sz w:val="20"/>
                <w:szCs w:val="20"/>
              </w:rPr>
            </w:pPr>
            <w:r w:rsidRPr="00F955C6">
              <w:rPr>
                <w:rFonts w:cs="Arial"/>
                <w:sz w:val="20"/>
                <w:szCs w:val="20"/>
              </w:rPr>
              <w:t>Star rating (0 worst to 3 best)</w:t>
            </w:r>
          </w:p>
        </w:tc>
        <w:tc>
          <w:tcPr>
            <w:tcW w:w="1260" w:type="dxa"/>
          </w:tcPr>
          <w:p w14:paraId="74A9F008" w14:textId="77777777" w:rsidR="000923BB" w:rsidRPr="00F955C6" w:rsidRDefault="000923BB" w:rsidP="003A385F">
            <w:pPr>
              <w:jc w:val="center"/>
              <w:rPr>
                <w:rFonts w:cs="Arial"/>
                <w:sz w:val="20"/>
                <w:szCs w:val="20"/>
              </w:rPr>
            </w:pPr>
            <w:r w:rsidRPr="00F955C6">
              <w:rPr>
                <w:rFonts w:cs="Arial"/>
                <w:sz w:val="20"/>
                <w:szCs w:val="20"/>
              </w:rPr>
              <w:t>-0.077*</w:t>
            </w:r>
          </w:p>
        </w:tc>
        <w:tc>
          <w:tcPr>
            <w:tcW w:w="900" w:type="dxa"/>
          </w:tcPr>
          <w:p w14:paraId="366A4C1B" w14:textId="77777777" w:rsidR="000923BB" w:rsidRPr="00F955C6" w:rsidRDefault="000923BB" w:rsidP="003A385F">
            <w:pPr>
              <w:jc w:val="center"/>
              <w:rPr>
                <w:rFonts w:cs="Arial"/>
                <w:sz w:val="20"/>
                <w:szCs w:val="20"/>
              </w:rPr>
            </w:pPr>
            <w:r w:rsidRPr="00F955C6">
              <w:rPr>
                <w:rFonts w:cs="Arial"/>
                <w:sz w:val="20"/>
                <w:szCs w:val="20"/>
              </w:rPr>
              <w:t>0.746</w:t>
            </w:r>
          </w:p>
        </w:tc>
        <w:tc>
          <w:tcPr>
            <w:tcW w:w="1394" w:type="dxa"/>
          </w:tcPr>
          <w:p w14:paraId="26F6828C"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2B76732F" w14:textId="77777777" w:rsidTr="005332D1">
        <w:tc>
          <w:tcPr>
            <w:tcW w:w="4860" w:type="dxa"/>
          </w:tcPr>
          <w:p w14:paraId="0F3EDCE7" w14:textId="77777777" w:rsidR="000923BB" w:rsidRPr="00F955C6" w:rsidRDefault="000923BB" w:rsidP="003A385F">
            <w:pPr>
              <w:rPr>
                <w:rFonts w:cs="Arial"/>
                <w:sz w:val="20"/>
                <w:szCs w:val="20"/>
              </w:rPr>
            </w:pPr>
            <w:r w:rsidRPr="00F955C6">
              <w:rPr>
                <w:rFonts w:cs="Arial"/>
                <w:sz w:val="20"/>
                <w:szCs w:val="20"/>
              </w:rPr>
              <w:t>Use of resources HCC</w:t>
            </w:r>
          </w:p>
        </w:tc>
        <w:tc>
          <w:tcPr>
            <w:tcW w:w="1260" w:type="dxa"/>
          </w:tcPr>
          <w:p w14:paraId="79AD3646" w14:textId="77777777" w:rsidR="000923BB" w:rsidRPr="00F955C6" w:rsidRDefault="000923BB" w:rsidP="003A385F">
            <w:pPr>
              <w:jc w:val="center"/>
              <w:rPr>
                <w:rFonts w:cs="Arial"/>
                <w:sz w:val="20"/>
                <w:szCs w:val="20"/>
              </w:rPr>
            </w:pPr>
            <w:r w:rsidRPr="00F955C6">
              <w:rPr>
                <w:rFonts w:cs="Arial"/>
                <w:sz w:val="20"/>
                <w:szCs w:val="20"/>
              </w:rPr>
              <w:t>-0.184*</w:t>
            </w:r>
          </w:p>
        </w:tc>
        <w:tc>
          <w:tcPr>
            <w:tcW w:w="900" w:type="dxa"/>
          </w:tcPr>
          <w:p w14:paraId="050809A7" w14:textId="77777777" w:rsidR="000923BB" w:rsidRPr="00F955C6" w:rsidRDefault="000923BB" w:rsidP="003A385F">
            <w:pPr>
              <w:jc w:val="center"/>
              <w:rPr>
                <w:rFonts w:cs="Arial"/>
                <w:sz w:val="20"/>
                <w:szCs w:val="20"/>
              </w:rPr>
            </w:pPr>
            <w:r w:rsidRPr="00F955C6">
              <w:rPr>
                <w:rFonts w:cs="Arial"/>
                <w:sz w:val="20"/>
                <w:szCs w:val="20"/>
              </w:rPr>
              <w:t>0.437</w:t>
            </w:r>
          </w:p>
        </w:tc>
        <w:tc>
          <w:tcPr>
            <w:tcW w:w="1394" w:type="dxa"/>
          </w:tcPr>
          <w:p w14:paraId="206706A4"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2384124E" w14:textId="77777777" w:rsidTr="005332D1">
        <w:tc>
          <w:tcPr>
            <w:tcW w:w="4860" w:type="dxa"/>
          </w:tcPr>
          <w:p w14:paraId="7A2D8EFD" w14:textId="77777777" w:rsidR="000923BB" w:rsidRPr="00F955C6" w:rsidRDefault="000923BB" w:rsidP="003A385F">
            <w:pPr>
              <w:rPr>
                <w:rFonts w:cs="Arial"/>
                <w:sz w:val="20"/>
                <w:szCs w:val="20"/>
              </w:rPr>
            </w:pPr>
            <w:r w:rsidRPr="00F955C6">
              <w:rPr>
                <w:rFonts w:cs="Arial"/>
                <w:sz w:val="20"/>
                <w:szCs w:val="20"/>
              </w:rPr>
              <w:t>Patient’s experience</w:t>
            </w:r>
          </w:p>
        </w:tc>
        <w:tc>
          <w:tcPr>
            <w:tcW w:w="1260" w:type="dxa"/>
          </w:tcPr>
          <w:p w14:paraId="40D3739A" w14:textId="77777777" w:rsidR="000923BB" w:rsidRPr="00F955C6" w:rsidRDefault="000923BB" w:rsidP="003A385F">
            <w:pPr>
              <w:jc w:val="center"/>
              <w:rPr>
                <w:rFonts w:cs="Arial"/>
                <w:sz w:val="20"/>
                <w:szCs w:val="20"/>
              </w:rPr>
            </w:pPr>
            <w:r w:rsidRPr="00F955C6">
              <w:rPr>
                <w:rFonts w:cs="Arial"/>
                <w:sz w:val="20"/>
                <w:szCs w:val="20"/>
              </w:rPr>
              <w:t>0.222</w:t>
            </w:r>
          </w:p>
        </w:tc>
        <w:tc>
          <w:tcPr>
            <w:tcW w:w="900" w:type="dxa"/>
          </w:tcPr>
          <w:p w14:paraId="0B069FCF" w14:textId="77777777" w:rsidR="000923BB" w:rsidRPr="00F955C6" w:rsidRDefault="000923BB" w:rsidP="003A385F">
            <w:pPr>
              <w:jc w:val="center"/>
              <w:rPr>
                <w:rFonts w:cs="Arial"/>
                <w:sz w:val="20"/>
                <w:szCs w:val="20"/>
              </w:rPr>
            </w:pPr>
            <w:r w:rsidRPr="00F955C6">
              <w:rPr>
                <w:rFonts w:cs="Arial"/>
                <w:sz w:val="20"/>
                <w:szCs w:val="20"/>
              </w:rPr>
              <w:t>0.347</w:t>
            </w:r>
          </w:p>
        </w:tc>
        <w:tc>
          <w:tcPr>
            <w:tcW w:w="1394" w:type="dxa"/>
          </w:tcPr>
          <w:p w14:paraId="182D78E8"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4FA1E66D" w14:textId="77777777" w:rsidTr="005332D1">
        <w:tc>
          <w:tcPr>
            <w:tcW w:w="4860" w:type="dxa"/>
          </w:tcPr>
          <w:p w14:paraId="1CBF12C1" w14:textId="77777777" w:rsidR="000923BB" w:rsidRPr="00F955C6" w:rsidRDefault="000923BB" w:rsidP="003A385F">
            <w:pPr>
              <w:rPr>
                <w:rFonts w:cs="Arial"/>
                <w:sz w:val="20"/>
                <w:szCs w:val="20"/>
              </w:rPr>
            </w:pPr>
            <w:r w:rsidRPr="00F955C6">
              <w:rPr>
                <w:rFonts w:cs="Arial"/>
                <w:sz w:val="20"/>
                <w:szCs w:val="20"/>
              </w:rPr>
              <w:t>Quality of services</w:t>
            </w:r>
          </w:p>
        </w:tc>
        <w:tc>
          <w:tcPr>
            <w:tcW w:w="1260" w:type="dxa"/>
          </w:tcPr>
          <w:p w14:paraId="693F3679" w14:textId="77777777" w:rsidR="000923BB" w:rsidRPr="00F955C6" w:rsidRDefault="000923BB" w:rsidP="003A385F">
            <w:pPr>
              <w:jc w:val="center"/>
              <w:rPr>
                <w:rFonts w:cs="Arial"/>
                <w:sz w:val="20"/>
                <w:szCs w:val="20"/>
              </w:rPr>
            </w:pPr>
            <w:r w:rsidRPr="00F955C6">
              <w:rPr>
                <w:rFonts w:cs="Arial"/>
                <w:sz w:val="20"/>
                <w:szCs w:val="20"/>
              </w:rPr>
              <w:t>-0.118*</w:t>
            </w:r>
          </w:p>
        </w:tc>
        <w:tc>
          <w:tcPr>
            <w:tcW w:w="900" w:type="dxa"/>
          </w:tcPr>
          <w:p w14:paraId="3919C149" w14:textId="77777777" w:rsidR="000923BB" w:rsidRPr="00F955C6" w:rsidRDefault="000923BB" w:rsidP="003A385F">
            <w:pPr>
              <w:jc w:val="center"/>
              <w:rPr>
                <w:rFonts w:cs="Arial"/>
                <w:sz w:val="20"/>
                <w:szCs w:val="20"/>
              </w:rPr>
            </w:pPr>
            <w:r w:rsidRPr="00F955C6">
              <w:rPr>
                <w:rFonts w:cs="Arial"/>
                <w:sz w:val="20"/>
                <w:szCs w:val="20"/>
              </w:rPr>
              <w:t>0.620</w:t>
            </w:r>
          </w:p>
        </w:tc>
        <w:tc>
          <w:tcPr>
            <w:tcW w:w="1394" w:type="dxa"/>
          </w:tcPr>
          <w:p w14:paraId="2C18D4A1"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06C7997D" w14:textId="77777777" w:rsidTr="005332D1">
        <w:tc>
          <w:tcPr>
            <w:tcW w:w="4860" w:type="dxa"/>
          </w:tcPr>
          <w:p w14:paraId="1111B772" w14:textId="77777777" w:rsidR="000923BB" w:rsidRPr="00F955C6" w:rsidRDefault="000923BB" w:rsidP="003A385F">
            <w:pPr>
              <w:rPr>
                <w:rFonts w:cs="Arial"/>
                <w:sz w:val="20"/>
                <w:szCs w:val="20"/>
              </w:rPr>
            </w:pPr>
            <w:r w:rsidRPr="00F955C6">
              <w:rPr>
                <w:rFonts w:cs="Arial"/>
                <w:sz w:val="20"/>
                <w:szCs w:val="20"/>
              </w:rPr>
              <w:t>Percentage of patient’s with acute MI receiving thrombolysis</w:t>
            </w:r>
          </w:p>
        </w:tc>
        <w:tc>
          <w:tcPr>
            <w:tcW w:w="1260" w:type="dxa"/>
          </w:tcPr>
          <w:p w14:paraId="6FB74DB4" w14:textId="77777777" w:rsidR="000923BB" w:rsidRPr="00F955C6" w:rsidRDefault="000923BB" w:rsidP="003A385F">
            <w:pPr>
              <w:jc w:val="center"/>
              <w:rPr>
                <w:rFonts w:cs="Arial"/>
                <w:sz w:val="20"/>
                <w:szCs w:val="20"/>
              </w:rPr>
            </w:pPr>
            <w:r w:rsidRPr="00F955C6">
              <w:rPr>
                <w:rFonts w:cs="Arial"/>
                <w:sz w:val="20"/>
                <w:szCs w:val="20"/>
              </w:rPr>
              <w:t>0.185</w:t>
            </w:r>
          </w:p>
        </w:tc>
        <w:tc>
          <w:tcPr>
            <w:tcW w:w="900" w:type="dxa"/>
          </w:tcPr>
          <w:p w14:paraId="662CE28E" w14:textId="77777777" w:rsidR="000923BB" w:rsidRPr="00F955C6" w:rsidRDefault="000923BB" w:rsidP="003A385F">
            <w:pPr>
              <w:jc w:val="center"/>
              <w:rPr>
                <w:rFonts w:cs="Arial"/>
                <w:sz w:val="20"/>
                <w:szCs w:val="20"/>
              </w:rPr>
            </w:pPr>
            <w:r w:rsidRPr="00F955C6">
              <w:rPr>
                <w:rFonts w:cs="Arial"/>
                <w:sz w:val="20"/>
                <w:szCs w:val="20"/>
              </w:rPr>
              <w:t>0.448</w:t>
            </w:r>
          </w:p>
        </w:tc>
        <w:tc>
          <w:tcPr>
            <w:tcW w:w="1394" w:type="dxa"/>
          </w:tcPr>
          <w:p w14:paraId="62FC5EA4"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7A7A0E6D" w14:textId="77777777" w:rsidTr="005332D1">
        <w:tc>
          <w:tcPr>
            <w:tcW w:w="4860" w:type="dxa"/>
          </w:tcPr>
          <w:p w14:paraId="32581712" w14:textId="77777777" w:rsidR="000923BB" w:rsidRPr="00F955C6" w:rsidRDefault="000923BB" w:rsidP="003A385F">
            <w:pPr>
              <w:rPr>
                <w:rFonts w:cs="Arial"/>
                <w:sz w:val="20"/>
                <w:szCs w:val="20"/>
              </w:rPr>
            </w:pPr>
            <w:r w:rsidRPr="00F955C6">
              <w:rPr>
                <w:rFonts w:cs="Arial"/>
                <w:sz w:val="20"/>
                <w:szCs w:val="20"/>
              </w:rPr>
              <w:t>Existing national targets</w:t>
            </w:r>
          </w:p>
        </w:tc>
        <w:tc>
          <w:tcPr>
            <w:tcW w:w="1260" w:type="dxa"/>
          </w:tcPr>
          <w:p w14:paraId="7879CC07" w14:textId="77777777" w:rsidR="000923BB" w:rsidRPr="00F955C6" w:rsidRDefault="000923BB" w:rsidP="003A385F">
            <w:pPr>
              <w:jc w:val="center"/>
              <w:rPr>
                <w:rFonts w:cs="Arial"/>
                <w:sz w:val="20"/>
                <w:szCs w:val="20"/>
              </w:rPr>
            </w:pPr>
            <w:r w:rsidRPr="00F955C6">
              <w:rPr>
                <w:rFonts w:cs="Arial"/>
                <w:sz w:val="20"/>
                <w:szCs w:val="20"/>
              </w:rPr>
              <w:t>-0.072*</w:t>
            </w:r>
          </w:p>
        </w:tc>
        <w:tc>
          <w:tcPr>
            <w:tcW w:w="900" w:type="dxa"/>
          </w:tcPr>
          <w:p w14:paraId="7395151C" w14:textId="77777777" w:rsidR="000923BB" w:rsidRPr="00F955C6" w:rsidRDefault="000923BB" w:rsidP="003A385F">
            <w:pPr>
              <w:jc w:val="center"/>
              <w:rPr>
                <w:rFonts w:cs="Arial"/>
                <w:sz w:val="20"/>
                <w:szCs w:val="20"/>
              </w:rPr>
            </w:pPr>
            <w:r w:rsidRPr="00F955C6">
              <w:rPr>
                <w:rFonts w:cs="Arial"/>
                <w:sz w:val="20"/>
                <w:szCs w:val="20"/>
              </w:rPr>
              <w:t>0.764</w:t>
            </w:r>
          </w:p>
        </w:tc>
        <w:tc>
          <w:tcPr>
            <w:tcW w:w="1394" w:type="dxa"/>
          </w:tcPr>
          <w:p w14:paraId="3957DB05"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44AF7F48" w14:textId="77777777" w:rsidTr="005332D1">
        <w:tc>
          <w:tcPr>
            <w:tcW w:w="4860" w:type="dxa"/>
          </w:tcPr>
          <w:p w14:paraId="378873F8" w14:textId="77777777" w:rsidR="000923BB" w:rsidRPr="00F955C6" w:rsidRDefault="000923BB" w:rsidP="003A385F">
            <w:pPr>
              <w:rPr>
                <w:rFonts w:cs="Arial"/>
                <w:sz w:val="20"/>
                <w:szCs w:val="20"/>
              </w:rPr>
            </w:pPr>
            <w:r w:rsidRPr="00F955C6">
              <w:rPr>
                <w:rFonts w:cs="Arial"/>
                <w:sz w:val="20"/>
                <w:szCs w:val="20"/>
              </w:rPr>
              <w:t>New national targets</w:t>
            </w:r>
          </w:p>
        </w:tc>
        <w:tc>
          <w:tcPr>
            <w:tcW w:w="1260" w:type="dxa"/>
          </w:tcPr>
          <w:p w14:paraId="08D5BB0D" w14:textId="77777777" w:rsidR="000923BB" w:rsidRPr="00F955C6" w:rsidRDefault="000923BB" w:rsidP="003A385F">
            <w:pPr>
              <w:jc w:val="center"/>
              <w:rPr>
                <w:rFonts w:cs="Arial"/>
                <w:sz w:val="20"/>
                <w:szCs w:val="20"/>
              </w:rPr>
            </w:pPr>
            <w:r w:rsidRPr="00F955C6">
              <w:rPr>
                <w:rFonts w:cs="Arial"/>
                <w:sz w:val="20"/>
                <w:szCs w:val="20"/>
              </w:rPr>
              <w:t>0.105*</w:t>
            </w:r>
          </w:p>
        </w:tc>
        <w:tc>
          <w:tcPr>
            <w:tcW w:w="900" w:type="dxa"/>
          </w:tcPr>
          <w:p w14:paraId="0A759FEB" w14:textId="77777777" w:rsidR="000923BB" w:rsidRPr="00F955C6" w:rsidRDefault="000923BB" w:rsidP="003A385F">
            <w:pPr>
              <w:jc w:val="center"/>
              <w:rPr>
                <w:rFonts w:cs="Arial"/>
                <w:sz w:val="20"/>
                <w:szCs w:val="20"/>
              </w:rPr>
            </w:pPr>
            <w:r w:rsidRPr="00F955C6">
              <w:rPr>
                <w:rFonts w:cs="Arial"/>
                <w:sz w:val="20"/>
                <w:szCs w:val="20"/>
              </w:rPr>
              <w:t>0.658</w:t>
            </w:r>
          </w:p>
        </w:tc>
        <w:tc>
          <w:tcPr>
            <w:tcW w:w="1394" w:type="dxa"/>
          </w:tcPr>
          <w:p w14:paraId="5D84A4B4"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30E1BF98" w14:textId="77777777" w:rsidTr="005332D1">
        <w:tc>
          <w:tcPr>
            <w:tcW w:w="4860" w:type="dxa"/>
            <w:tcBorders>
              <w:bottom w:val="single" w:sz="4" w:space="0" w:color="auto"/>
            </w:tcBorders>
          </w:tcPr>
          <w:p w14:paraId="1BB2CA98" w14:textId="77777777" w:rsidR="000923BB" w:rsidRPr="00F955C6" w:rsidRDefault="000923BB" w:rsidP="003A385F">
            <w:pPr>
              <w:rPr>
                <w:rFonts w:cs="Arial"/>
                <w:sz w:val="20"/>
                <w:szCs w:val="20"/>
              </w:rPr>
            </w:pPr>
            <w:r w:rsidRPr="00F955C6">
              <w:rPr>
                <w:rFonts w:cs="Arial"/>
                <w:sz w:val="20"/>
                <w:szCs w:val="20"/>
              </w:rPr>
              <w:t>NHS staff survey Q25a: Seen errors in the past month (% yes)</w:t>
            </w:r>
          </w:p>
        </w:tc>
        <w:tc>
          <w:tcPr>
            <w:tcW w:w="1260" w:type="dxa"/>
            <w:tcBorders>
              <w:bottom w:val="single" w:sz="4" w:space="0" w:color="auto"/>
            </w:tcBorders>
          </w:tcPr>
          <w:p w14:paraId="3512F01A" w14:textId="77777777" w:rsidR="000923BB" w:rsidRPr="00F955C6" w:rsidRDefault="000923BB" w:rsidP="003A385F">
            <w:pPr>
              <w:jc w:val="center"/>
              <w:rPr>
                <w:rFonts w:cs="Arial"/>
                <w:sz w:val="20"/>
                <w:szCs w:val="20"/>
              </w:rPr>
            </w:pPr>
            <w:r w:rsidRPr="00F955C6">
              <w:rPr>
                <w:rFonts w:cs="Arial"/>
                <w:sz w:val="20"/>
                <w:szCs w:val="20"/>
              </w:rPr>
              <w:t>-0.328</w:t>
            </w:r>
          </w:p>
        </w:tc>
        <w:tc>
          <w:tcPr>
            <w:tcW w:w="900" w:type="dxa"/>
            <w:tcBorders>
              <w:bottom w:val="single" w:sz="4" w:space="0" w:color="auto"/>
            </w:tcBorders>
          </w:tcPr>
          <w:p w14:paraId="3291E8D7" w14:textId="77777777" w:rsidR="000923BB" w:rsidRPr="00F955C6" w:rsidRDefault="000923BB" w:rsidP="003A385F">
            <w:pPr>
              <w:jc w:val="center"/>
              <w:rPr>
                <w:rFonts w:cs="Arial"/>
                <w:sz w:val="20"/>
                <w:szCs w:val="20"/>
              </w:rPr>
            </w:pPr>
            <w:r w:rsidRPr="00F955C6">
              <w:rPr>
                <w:rFonts w:cs="Arial"/>
                <w:sz w:val="20"/>
                <w:szCs w:val="20"/>
              </w:rPr>
              <w:t>0.158</w:t>
            </w:r>
          </w:p>
        </w:tc>
        <w:tc>
          <w:tcPr>
            <w:tcW w:w="1394" w:type="dxa"/>
            <w:tcBorders>
              <w:bottom w:val="single" w:sz="4" w:space="0" w:color="auto"/>
            </w:tcBorders>
          </w:tcPr>
          <w:p w14:paraId="229E6051"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26FC3E02" w14:textId="77777777" w:rsidTr="005332D1">
        <w:tc>
          <w:tcPr>
            <w:tcW w:w="4860" w:type="dxa"/>
            <w:shd w:val="clear" w:color="auto" w:fill="CCFFCC"/>
          </w:tcPr>
          <w:p w14:paraId="5F7FFE96" w14:textId="77777777" w:rsidR="000923BB" w:rsidRPr="00F955C6" w:rsidRDefault="000923BB" w:rsidP="003A385F">
            <w:pPr>
              <w:rPr>
                <w:rFonts w:cs="Arial"/>
                <w:sz w:val="20"/>
                <w:szCs w:val="20"/>
              </w:rPr>
            </w:pPr>
            <w:r w:rsidRPr="00F955C6">
              <w:rPr>
                <w:rFonts w:cs="Arial"/>
                <w:sz w:val="20"/>
                <w:szCs w:val="20"/>
              </w:rPr>
              <w:t>NHS staff survey Q27b: Encouraged to report errors (mean)</w:t>
            </w:r>
          </w:p>
        </w:tc>
        <w:tc>
          <w:tcPr>
            <w:tcW w:w="1260" w:type="dxa"/>
            <w:shd w:val="clear" w:color="auto" w:fill="CCFFCC"/>
          </w:tcPr>
          <w:p w14:paraId="4C56AE90" w14:textId="77777777" w:rsidR="000923BB" w:rsidRPr="00F955C6" w:rsidRDefault="000923BB" w:rsidP="003A385F">
            <w:pPr>
              <w:jc w:val="center"/>
              <w:rPr>
                <w:rFonts w:cs="Arial"/>
                <w:sz w:val="20"/>
                <w:szCs w:val="20"/>
              </w:rPr>
            </w:pPr>
            <w:r w:rsidRPr="00F955C6">
              <w:rPr>
                <w:rFonts w:cs="Arial"/>
                <w:sz w:val="20"/>
                <w:szCs w:val="20"/>
              </w:rPr>
              <w:t>-0.490</w:t>
            </w:r>
          </w:p>
        </w:tc>
        <w:tc>
          <w:tcPr>
            <w:tcW w:w="900" w:type="dxa"/>
            <w:shd w:val="clear" w:color="auto" w:fill="CCFFCC"/>
          </w:tcPr>
          <w:p w14:paraId="34739DA2" w14:textId="77777777" w:rsidR="000923BB" w:rsidRPr="00F955C6" w:rsidRDefault="000923BB" w:rsidP="003A385F">
            <w:pPr>
              <w:jc w:val="center"/>
              <w:rPr>
                <w:rFonts w:cs="Arial"/>
                <w:sz w:val="20"/>
                <w:szCs w:val="20"/>
              </w:rPr>
            </w:pPr>
            <w:r w:rsidRPr="00F955C6">
              <w:rPr>
                <w:rFonts w:cs="Arial"/>
                <w:sz w:val="20"/>
                <w:szCs w:val="20"/>
              </w:rPr>
              <w:t>0.028</w:t>
            </w:r>
          </w:p>
        </w:tc>
        <w:tc>
          <w:tcPr>
            <w:tcW w:w="1394" w:type="dxa"/>
            <w:shd w:val="clear" w:color="auto" w:fill="CCFFCC"/>
          </w:tcPr>
          <w:p w14:paraId="52732917" w14:textId="77777777" w:rsidR="000923BB" w:rsidRPr="00F955C6" w:rsidRDefault="000923BB" w:rsidP="003A385F">
            <w:pPr>
              <w:jc w:val="center"/>
              <w:rPr>
                <w:rFonts w:cs="Arial"/>
                <w:sz w:val="20"/>
                <w:szCs w:val="20"/>
              </w:rPr>
            </w:pPr>
            <w:r w:rsidRPr="00F955C6">
              <w:rPr>
                <w:rFonts w:cs="Arial"/>
                <w:sz w:val="20"/>
                <w:szCs w:val="20"/>
              </w:rPr>
              <w:t>Moderate</w:t>
            </w:r>
          </w:p>
        </w:tc>
      </w:tr>
      <w:tr w:rsidR="000923BB" w:rsidRPr="00F955C6" w14:paraId="2743C92B" w14:textId="77777777" w:rsidTr="005332D1">
        <w:tc>
          <w:tcPr>
            <w:tcW w:w="4860" w:type="dxa"/>
          </w:tcPr>
          <w:p w14:paraId="35E3A6B9" w14:textId="77777777" w:rsidR="000923BB" w:rsidRPr="00F955C6" w:rsidRDefault="000923BB" w:rsidP="003A385F">
            <w:pPr>
              <w:rPr>
                <w:rFonts w:cs="Arial"/>
                <w:sz w:val="20"/>
                <w:szCs w:val="20"/>
              </w:rPr>
            </w:pPr>
            <w:r w:rsidRPr="00F955C6">
              <w:rPr>
                <w:rFonts w:cs="Arial"/>
                <w:sz w:val="20"/>
                <w:szCs w:val="20"/>
              </w:rPr>
              <w:t>NHS staff survey Q27e: Trust takes action to ensure does not happen again (mean)</w:t>
            </w:r>
          </w:p>
        </w:tc>
        <w:tc>
          <w:tcPr>
            <w:tcW w:w="1260" w:type="dxa"/>
          </w:tcPr>
          <w:p w14:paraId="797FD26F" w14:textId="77777777" w:rsidR="000923BB" w:rsidRPr="00F955C6" w:rsidRDefault="000923BB" w:rsidP="003A385F">
            <w:pPr>
              <w:jc w:val="center"/>
              <w:rPr>
                <w:rFonts w:cs="Arial"/>
                <w:sz w:val="20"/>
                <w:szCs w:val="20"/>
              </w:rPr>
            </w:pPr>
            <w:r w:rsidRPr="00F955C6">
              <w:rPr>
                <w:rFonts w:cs="Arial"/>
                <w:sz w:val="20"/>
                <w:szCs w:val="20"/>
              </w:rPr>
              <w:t>-0.131</w:t>
            </w:r>
          </w:p>
        </w:tc>
        <w:tc>
          <w:tcPr>
            <w:tcW w:w="900" w:type="dxa"/>
          </w:tcPr>
          <w:p w14:paraId="37B8D440" w14:textId="77777777" w:rsidR="000923BB" w:rsidRPr="00F955C6" w:rsidRDefault="000923BB" w:rsidP="003A385F">
            <w:pPr>
              <w:jc w:val="center"/>
              <w:rPr>
                <w:rFonts w:cs="Arial"/>
                <w:sz w:val="20"/>
                <w:szCs w:val="20"/>
              </w:rPr>
            </w:pPr>
            <w:r w:rsidRPr="00F955C6">
              <w:rPr>
                <w:rFonts w:cs="Arial"/>
                <w:sz w:val="20"/>
                <w:szCs w:val="20"/>
              </w:rPr>
              <w:t>0.581</w:t>
            </w:r>
          </w:p>
        </w:tc>
        <w:tc>
          <w:tcPr>
            <w:tcW w:w="1394" w:type="dxa"/>
          </w:tcPr>
          <w:p w14:paraId="48B372B1"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5AD7228C" w14:textId="77777777" w:rsidTr="005332D1">
        <w:tc>
          <w:tcPr>
            <w:tcW w:w="4860" w:type="dxa"/>
          </w:tcPr>
          <w:p w14:paraId="6E893A6E" w14:textId="77777777" w:rsidR="000923BB" w:rsidRPr="00F955C6" w:rsidRDefault="000923BB" w:rsidP="003A385F">
            <w:pPr>
              <w:rPr>
                <w:rFonts w:cs="Arial"/>
                <w:sz w:val="20"/>
                <w:szCs w:val="20"/>
              </w:rPr>
            </w:pPr>
            <w:r w:rsidRPr="00F955C6">
              <w:rPr>
                <w:rFonts w:cs="Arial"/>
                <w:sz w:val="20"/>
                <w:szCs w:val="20"/>
              </w:rPr>
              <w:t>NHS staff survey Q24a: Know how to report (% yes)</w:t>
            </w:r>
          </w:p>
        </w:tc>
        <w:tc>
          <w:tcPr>
            <w:tcW w:w="1260" w:type="dxa"/>
          </w:tcPr>
          <w:p w14:paraId="21937690" w14:textId="77777777" w:rsidR="000923BB" w:rsidRPr="00F955C6" w:rsidRDefault="000923BB" w:rsidP="003A385F">
            <w:pPr>
              <w:jc w:val="center"/>
              <w:rPr>
                <w:rFonts w:cs="Arial"/>
                <w:sz w:val="20"/>
                <w:szCs w:val="20"/>
              </w:rPr>
            </w:pPr>
            <w:r w:rsidRPr="00F955C6">
              <w:rPr>
                <w:rFonts w:cs="Arial"/>
                <w:sz w:val="20"/>
                <w:szCs w:val="20"/>
              </w:rPr>
              <w:t>-0.230</w:t>
            </w:r>
          </w:p>
        </w:tc>
        <w:tc>
          <w:tcPr>
            <w:tcW w:w="900" w:type="dxa"/>
          </w:tcPr>
          <w:p w14:paraId="31383BAB" w14:textId="77777777" w:rsidR="000923BB" w:rsidRPr="00F955C6" w:rsidRDefault="000923BB" w:rsidP="003A385F">
            <w:pPr>
              <w:jc w:val="center"/>
              <w:rPr>
                <w:rFonts w:cs="Arial"/>
                <w:sz w:val="20"/>
                <w:szCs w:val="20"/>
              </w:rPr>
            </w:pPr>
            <w:r w:rsidRPr="00F955C6">
              <w:rPr>
                <w:rFonts w:cs="Arial"/>
                <w:sz w:val="20"/>
                <w:szCs w:val="20"/>
              </w:rPr>
              <w:t>0.329</w:t>
            </w:r>
          </w:p>
        </w:tc>
        <w:tc>
          <w:tcPr>
            <w:tcW w:w="1394" w:type="dxa"/>
          </w:tcPr>
          <w:p w14:paraId="5555E24A"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1415DA86" w14:textId="77777777" w:rsidTr="005332D1">
        <w:tc>
          <w:tcPr>
            <w:tcW w:w="4860" w:type="dxa"/>
          </w:tcPr>
          <w:p w14:paraId="0A5543C2" w14:textId="77777777" w:rsidR="000923BB" w:rsidRPr="00F955C6" w:rsidRDefault="000923BB" w:rsidP="003A385F">
            <w:pPr>
              <w:rPr>
                <w:rFonts w:cs="Arial"/>
                <w:sz w:val="20"/>
                <w:szCs w:val="20"/>
              </w:rPr>
            </w:pPr>
            <w:r w:rsidRPr="00F955C6">
              <w:rPr>
                <w:rFonts w:cs="Arial"/>
                <w:sz w:val="20"/>
                <w:szCs w:val="20"/>
              </w:rPr>
              <w:t xml:space="preserve">NHS staff survey Q24b: System for reporting (% </w:t>
            </w:r>
            <w:r w:rsidRPr="00F955C6">
              <w:rPr>
                <w:rFonts w:cs="Arial"/>
                <w:sz w:val="20"/>
                <w:szCs w:val="20"/>
              </w:rPr>
              <w:lastRenderedPageBreak/>
              <w:t xml:space="preserve">yes) </w:t>
            </w:r>
          </w:p>
        </w:tc>
        <w:tc>
          <w:tcPr>
            <w:tcW w:w="1260" w:type="dxa"/>
          </w:tcPr>
          <w:p w14:paraId="0415165D" w14:textId="77777777" w:rsidR="000923BB" w:rsidRPr="00F955C6" w:rsidRDefault="000923BB" w:rsidP="003A385F">
            <w:pPr>
              <w:jc w:val="center"/>
              <w:rPr>
                <w:rFonts w:cs="Arial"/>
                <w:sz w:val="20"/>
                <w:szCs w:val="20"/>
              </w:rPr>
            </w:pPr>
            <w:r w:rsidRPr="00F955C6">
              <w:rPr>
                <w:rFonts w:cs="Arial"/>
                <w:sz w:val="20"/>
                <w:szCs w:val="20"/>
              </w:rPr>
              <w:lastRenderedPageBreak/>
              <w:t>-0.243</w:t>
            </w:r>
          </w:p>
        </w:tc>
        <w:tc>
          <w:tcPr>
            <w:tcW w:w="900" w:type="dxa"/>
          </w:tcPr>
          <w:p w14:paraId="380799B2" w14:textId="77777777" w:rsidR="000923BB" w:rsidRPr="00F955C6" w:rsidRDefault="000923BB" w:rsidP="003A385F">
            <w:pPr>
              <w:jc w:val="center"/>
              <w:rPr>
                <w:rFonts w:cs="Arial"/>
                <w:sz w:val="20"/>
                <w:szCs w:val="20"/>
              </w:rPr>
            </w:pPr>
            <w:r w:rsidRPr="00F955C6">
              <w:rPr>
                <w:rFonts w:cs="Arial"/>
                <w:sz w:val="20"/>
                <w:szCs w:val="20"/>
              </w:rPr>
              <w:t>0.303</w:t>
            </w:r>
          </w:p>
        </w:tc>
        <w:tc>
          <w:tcPr>
            <w:tcW w:w="1394" w:type="dxa"/>
          </w:tcPr>
          <w:p w14:paraId="16A00614"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0CA4DBAC" w14:textId="77777777" w:rsidTr="005332D1">
        <w:tc>
          <w:tcPr>
            <w:tcW w:w="4860" w:type="dxa"/>
          </w:tcPr>
          <w:p w14:paraId="256D156E" w14:textId="77777777" w:rsidR="000923BB" w:rsidRPr="00F955C6" w:rsidRDefault="000923BB" w:rsidP="003A385F">
            <w:pPr>
              <w:rPr>
                <w:rFonts w:cs="Arial"/>
                <w:sz w:val="20"/>
                <w:szCs w:val="20"/>
              </w:rPr>
            </w:pPr>
            <w:r w:rsidRPr="00F955C6">
              <w:rPr>
                <w:rFonts w:cs="Arial"/>
                <w:sz w:val="20"/>
                <w:szCs w:val="20"/>
              </w:rPr>
              <w:t>NHS staff survey Q24b: System for reporting (% no)</w:t>
            </w:r>
          </w:p>
        </w:tc>
        <w:tc>
          <w:tcPr>
            <w:tcW w:w="1260" w:type="dxa"/>
          </w:tcPr>
          <w:p w14:paraId="64DBF320" w14:textId="77777777" w:rsidR="000923BB" w:rsidRPr="00F955C6" w:rsidRDefault="000923BB" w:rsidP="003A385F">
            <w:pPr>
              <w:jc w:val="center"/>
              <w:rPr>
                <w:rFonts w:cs="Arial"/>
                <w:sz w:val="20"/>
                <w:szCs w:val="20"/>
              </w:rPr>
            </w:pPr>
            <w:r w:rsidRPr="00F955C6">
              <w:rPr>
                <w:rFonts w:cs="Arial"/>
                <w:sz w:val="20"/>
                <w:szCs w:val="20"/>
              </w:rPr>
              <w:t>-0.154</w:t>
            </w:r>
          </w:p>
        </w:tc>
        <w:tc>
          <w:tcPr>
            <w:tcW w:w="900" w:type="dxa"/>
          </w:tcPr>
          <w:p w14:paraId="650B0E7B" w14:textId="77777777" w:rsidR="000923BB" w:rsidRPr="00F955C6" w:rsidRDefault="000923BB" w:rsidP="003A385F">
            <w:pPr>
              <w:jc w:val="center"/>
              <w:rPr>
                <w:rFonts w:cs="Arial"/>
                <w:sz w:val="20"/>
                <w:szCs w:val="20"/>
              </w:rPr>
            </w:pPr>
            <w:r w:rsidRPr="00F955C6">
              <w:rPr>
                <w:rFonts w:cs="Arial"/>
                <w:sz w:val="20"/>
                <w:szCs w:val="20"/>
              </w:rPr>
              <w:t>0.516</w:t>
            </w:r>
          </w:p>
        </w:tc>
        <w:tc>
          <w:tcPr>
            <w:tcW w:w="1394" w:type="dxa"/>
          </w:tcPr>
          <w:p w14:paraId="7437682F"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71BBCE9F" w14:textId="77777777" w:rsidTr="005332D1">
        <w:tc>
          <w:tcPr>
            <w:tcW w:w="4860" w:type="dxa"/>
            <w:tcBorders>
              <w:bottom w:val="single" w:sz="4" w:space="0" w:color="auto"/>
            </w:tcBorders>
          </w:tcPr>
          <w:p w14:paraId="2B8C0E0F" w14:textId="77777777" w:rsidR="000923BB" w:rsidRPr="00F955C6" w:rsidRDefault="000923BB" w:rsidP="003A385F">
            <w:pPr>
              <w:rPr>
                <w:rFonts w:cs="Arial"/>
                <w:sz w:val="20"/>
                <w:szCs w:val="20"/>
              </w:rPr>
            </w:pPr>
            <w:r w:rsidRPr="00F955C6">
              <w:rPr>
                <w:rFonts w:cs="Arial"/>
                <w:sz w:val="20"/>
                <w:szCs w:val="20"/>
              </w:rPr>
              <w:t>NHS staff survey Q24b: System for reporting (% DK)</w:t>
            </w:r>
          </w:p>
        </w:tc>
        <w:tc>
          <w:tcPr>
            <w:tcW w:w="1260" w:type="dxa"/>
            <w:tcBorders>
              <w:bottom w:val="single" w:sz="4" w:space="0" w:color="auto"/>
            </w:tcBorders>
          </w:tcPr>
          <w:p w14:paraId="37040E3F" w14:textId="77777777" w:rsidR="000923BB" w:rsidRPr="00F955C6" w:rsidRDefault="000923BB" w:rsidP="003A385F">
            <w:pPr>
              <w:jc w:val="center"/>
              <w:rPr>
                <w:rFonts w:cs="Arial"/>
                <w:sz w:val="20"/>
                <w:szCs w:val="20"/>
              </w:rPr>
            </w:pPr>
            <w:r w:rsidRPr="00F955C6">
              <w:rPr>
                <w:rFonts w:cs="Arial"/>
                <w:sz w:val="20"/>
                <w:szCs w:val="20"/>
              </w:rPr>
              <w:t>0.294</w:t>
            </w:r>
          </w:p>
        </w:tc>
        <w:tc>
          <w:tcPr>
            <w:tcW w:w="900" w:type="dxa"/>
            <w:tcBorders>
              <w:bottom w:val="single" w:sz="4" w:space="0" w:color="auto"/>
            </w:tcBorders>
          </w:tcPr>
          <w:p w14:paraId="31A35497" w14:textId="77777777" w:rsidR="000923BB" w:rsidRPr="00F955C6" w:rsidRDefault="000923BB" w:rsidP="003A385F">
            <w:pPr>
              <w:jc w:val="center"/>
              <w:rPr>
                <w:rFonts w:cs="Arial"/>
                <w:sz w:val="20"/>
                <w:szCs w:val="20"/>
              </w:rPr>
            </w:pPr>
            <w:r w:rsidRPr="00F955C6">
              <w:rPr>
                <w:rFonts w:cs="Arial"/>
                <w:sz w:val="20"/>
                <w:szCs w:val="20"/>
              </w:rPr>
              <w:t>0.208</w:t>
            </w:r>
          </w:p>
        </w:tc>
        <w:tc>
          <w:tcPr>
            <w:tcW w:w="1394" w:type="dxa"/>
            <w:tcBorders>
              <w:bottom w:val="single" w:sz="4" w:space="0" w:color="auto"/>
            </w:tcBorders>
          </w:tcPr>
          <w:p w14:paraId="61F0E631"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04DDB59B" w14:textId="77777777" w:rsidTr="005332D1">
        <w:tc>
          <w:tcPr>
            <w:tcW w:w="4860" w:type="dxa"/>
            <w:tcBorders>
              <w:bottom w:val="single" w:sz="4" w:space="0" w:color="auto"/>
            </w:tcBorders>
            <w:shd w:val="clear" w:color="auto" w:fill="CCFFCC"/>
          </w:tcPr>
          <w:p w14:paraId="4CF2AE62" w14:textId="77777777" w:rsidR="000923BB" w:rsidRPr="00F955C6" w:rsidRDefault="000923BB" w:rsidP="003A385F">
            <w:pPr>
              <w:rPr>
                <w:rFonts w:cs="Arial"/>
                <w:sz w:val="20"/>
                <w:szCs w:val="20"/>
              </w:rPr>
            </w:pPr>
            <w:r w:rsidRPr="00F955C6">
              <w:rPr>
                <w:rFonts w:cs="Arial"/>
                <w:sz w:val="20"/>
                <w:szCs w:val="20"/>
              </w:rPr>
              <w:t>NHS staff survey Q22e: Care of patient/service user is top priority (mean)</w:t>
            </w:r>
          </w:p>
        </w:tc>
        <w:tc>
          <w:tcPr>
            <w:tcW w:w="1260" w:type="dxa"/>
            <w:tcBorders>
              <w:bottom w:val="single" w:sz="4" w:space="0" w:color="auto"/>
            </w:tcBorders>
            <w:shd w:val="clear" w:color="auto" w:fill="CCFFCC"/>
          </w:tcPr>
          <w:p w14:paraId="1518D2ED" w14:textId="77777777" w:rsidR="000923BB" w:rsidRPr="00F955C6" w:rsidRDefault="000923BB" w:rsidP="003A385F">
            <w:pPr>
              <w:jc w:val="center"/>
              <w:rPr>
                <w:rFonts w:cs="Arial"/>
                <w:sz w:val="20"/>
                <w:szCs w:val="20"/>
              </w:rPr>
            </w:pPr>
            <w:r w:rsidRPr="00F955C6">
              <w:rPr>
                <w:rFonts w:cs="Arial"/>
                <w:sz w:val="20"/>
                <w:szCs w:val="20"/>
              </w:rPr>
              <w:t>-0.503</w:t>
            </w:r>
          </w:p>
        </w:tc>
        <w:tc>
          <w:tcPr>
            <w:tcW w:w="900" w:type="dxa"/>
            <w:tcBorders>
              <w:bottom w:val="single" w:sz="4" w:space="0" w:color="auto"/>
            </w:tcBorders>
            <w:shd w:val="clear" w:color="auto" w:fill="CCFFCC"/>
          </w:tcPr>
          <w:p w14:paraId="74608218" w14:textId="77777777" w:rsidR="000923BB" w:rsidRPr="00F955C6" w:rsidRDefault="000923BB" w:rsidP="003A385F">
            <w:pPr>
              <w:jc w:val="center"/>
              <w:rPr>
                <w:rFonts w:cs="Arial"/>
                <w:sz w:val="20"/>
                <w:szCs w:val="20"/>
              </w:rPr>
            </w:pPr>
            <w:r w:rsidRPr="00F955C6">
              <w:rPr>
                <w:rFonts w:cs="Arial"/>
                <w:sz w:val="20"/>
                <w:szCs w:val="20"/>
              </w:rPr>
              <w:t>0.024</w:t>
            </w:r>
          </w:p>
        </w:tc>
        <w:tc>
          <w:tcPr>
            <w:tcW w:w="1394" w:type="dxa"/>
            <w:tcBorders>
              <w:bottom w:val="single" w:sz="4" w:space="0" w:color="auto"/>
            </w:tcBorders>
            <w:shd w:val="clear" w:color="auto" w:fill="CCFFCC"/>
          </w:tcPr>
          <w:p w14:paraId="356BD52B" w14:textId="77777777" w:rsidR="000923BB" w:rsidRPr="00F955C6" w:rsidRDefault="000923BB" w:rsidP="003A385F">
            <w:pPr>
              <w:jc w:val="center"/>
              <w:rPr>
                <w:rFonts w:cs="Arial"/>
                <w:sz w:val="20"/>
                <w:szCs w:val="20"/>
              </w:rPr>
            </w:pPr>
            <w:r w:rsidRPr="00F955C6">
              <w:rPr>
                <w:rFonts w:cs="Arial"/>
                <w:sz w:val="20"/>
                <w:szCs w:val="20"/>
              </w:rPr>
              <w:t>Moderate</w:t>
            </w:r>
          </w:p>
        </w:tc>
      </w:tr>
      <w:tr w:rsidR="000923BB" w:rsidRPr="00F955C6" w14:paraId="582B28D5" w14:textId="77777777" w:rsidTr="005332D1">
        <w:tc>
          <w:tcPr>
            <w:tcW w:w="4860" w:type="dxa"/>
            <w:shd w:val="clear" w:color="auto" w:fill="auto"/>
          </w:tcPr>
          <w:p w14:paraId="488CACC3" w14:textId="77777777" w:rsidR="000923BB" w:rsidRPr="00F955C6" w:rsidRDefault="000923BB" w:rsidP="003A385F">
            <w:pPr>
              <w:rPr>
                <w:rFonts w:cs="Arial"/>
                <w:sz w:val="20"/>
                <w:szCs w:val="20"/>
              </w:rPr>
            </w:pPr>
            <w:r w:rsidRPr="00F955C6">
              <w:rPr>
                <w:rFonts w:cs="Arial"/>
                <w:sz w:val="20"/>
                <w:szCs w:val="20"/>
              </w:rPr>
              <w:t>NHS staff survey Q22f: Happy with standard of care provided (mean)</w:t>
            </w:r>
          </w:p>
        </w:tc>
        <w:tc>
          <w:tcPr>
            <w:tcW w:w="1260" w:type="dxa"/>
            <w:shd w:val="clear" w:color="auto" w:fill="auto"/>
          </w:tcPr>
          <w:p w14:paraId="57CC8A2F" w14:textId="77777777" w:rsidR="000923BB" w:rsidRPr="00F955C6" w:rsidRDefault="000923BB" w:rsidP="003A385F">
            <w:pPr>
              <w:jc w:val="center"/>
              <w:rPr>
                <w:rFonts w:cs="Arial"/>
                <w:sz w:val="20"/>
                <w:szCs w:val="20"/>
              </w:rPr>
            </w:pPr>
            <w:r w:rsidRPr="00F955C6">
              <w:rPr>
                <w:rFonts w:cs="Arial"/>
                <w:sz w:val="20"/>
                <w:szCs w:val="20"/>
              </w:rPr>
              <w:t>-0.282</w:t>
            </w:r>
          </w:p>
        </w:tc>
        <w:tc>
          <w:tcPr>
            <w:tcW w:w="900" w:type="dxa"/>
            <w:shd w:val="clear" w:color="auto" w:fill="auto"/>
          </w:tcPr>
          <w:p w14:paraId="5CDE02A4" w14:textId="77777777" w:rsidR="000923BB" w:rsidRPr="00F955C6" w:rsidRDefault="000923BB" w:rsidP="003A385F">
            <w:pPr>
              <w:jc w:val="center"/>
              <w:rPr>
                <w:rFonts w:cs="Arial"/>
                <w:sz w:val="20"/>
                <w:szCs w:val="20"/>
              </w:rPr>
            </w:pPr>
            <w:r w:rsidRPr="00F955C6">
              <w:rPr>
                <w:rFonts w:cs="Arial"/>
                <w:sz w:val="20"/>
                <w:szCs w:val="20"/>
              </w:rPr>
              <w:t>0.228</w:t>
            </w:r>
          </w:p>
        </w:tc>
        <w:tc>
          <w:tcPr>
            <w:tcW w:w="1394" w:type="dxa"/>
            <w:shd w:val="clear" w:color="auto" w:fill="auto"/>
          </w:tcPr>
          <w:p w14:paraId="4C18380D" w14:textId="77777777" w:rsidR="000923BB" w:rsidRPr="00F955C6" w:rsidRDefault="000923BB" w:rsidP="003A385F">
            <w:pPr>
              <w:jc w:val="center"/>
              <w:rPr>
                <w:rFonts w:cs="Arial"/>
                <w:sz w:val="20"/>
                <w:szCs w:val="20"/>
              </w:rPr>
            </w:pPr>
            <w:r w:rsidRPr="00F955C6">
              <w:rPr>
                <w:rFonts w:cs="Arial"/>
                <w:sz w:val="20"/>
                <w:szCs w:val="20"/>
              </w:rPr>
              <w:t>Weak</w:t>
            </w:r>
          </w:p>
        </w:tc>
      </w:tr>
    </w:tbl>
    <w:p w14:paraId="0ACA529E" w14:textId="77777777" w:rsidR="000923BB" w:rsidRDefault="000923BB" w:rsidP="000923BB">
      <w:pPr>
        <w:rPr>
          <w:rFonts w:cs="Arial"/>
          <w:sz w:val="18"/>
          <w:szCs w:val="18"/>
        </w:rPr>
      </w:pPr>
      <w:r w:rsidRPr="00D77319">
        <w:rPr>
          <w:rFonts w:cs="Arial"/>
          <w:sz w:val="18"/>
          <w:szCs w:val="18"/>
        </w:rPr>
        <w:t>* Spearman’s rank correlation used</w:t>
      </w:r>
    </w:p>
    <w:p w14:paraId="0ED025B5" w14:textId="77777777" w:rsidR="000923BB" w:rsidRPr="00D77319" w:rsidRDefault="000923BB" w:rsidP="000923BB">
      <w:pPr>
        <w:rPr>
          <w:rFonts w:cs="Arial"/>
          <w:sz w:val="18"/>
          <w:szCs w:val="18"/>
        </w:rPr>
      </w:pPr>
      <w:r>
        <w:rPr>
          <w:rFonts w:cs="Arial"/>
          <w:sz w:val="18"/>
          <w:szCs w:val="18"/>
        </w:rPr>
        <w:t xml:space="preserve">Correlations at the &lt; 0.05 significance level highlighted </w:t>
      </w:r>
    </w:p>
    <w:p w14:paraId="62434DF8" w14:textId="77777777" w:rsidR="000923BB" w:rsidRPr="004932C5" w:rsidRDefault="000923BB" w:rsidP="000923BB">
      <w:pPr>
        <w:jc w:val="center"/>
        <w:rPr>
          <w:rFonts w:cs="Arial"/>
          <w:b/>
          <w:sz w:val="28"/>
          <w:szCs w:val="28"/>
        </w:rPr>
      </w:pPr>
      <w:r>
        <w:rPr>
          <w:rFonts w:cs="Arial"/>
          <w:sz w:val="22"/>
        </w:rPr>
        <w:br w:type="page"/>
      </w:r>
      <w:r w:rsidRPr="004932C5">
        <w:rPr>
          <w:rFonts w:cs="Arial"/>
          <w:b/>
          <w:sz w:val="28"/>
          <w:szCs w:val="28"/>
        </w:rPr>
        <w:lastRenderedPageBreak/>
        <w:t>Appendix 8</w:t>
      </w:r>
    </w:p>
    <w:p w14:paraId="4B130C4B" w14:textId="77777777" w:rsidR="000923BB" w:rsidRPr="00F44C92" w:rsidRDefault="000923BB" w:rsidP="000923BB">
      <w:pPr>
        <w:jc w:val="center"/>
        <w:rPr>
          <w:rFonts w:cs="Arial"/>
          <w:b/>
        </w:rPr>
      </w:pPr>
    </w:p>
    <w:p w14:paraId="34CB73FC" w14:textId="77777777" w:rsidR="000923BB" w:rsidRPr="007849B6" w:rsidRDefault="000923BB" w:rsidP="000923BB">
      <w:pPr>
        <w:jc w:val="both"/>
        <w:rPr>
          <w:rFonts w:cs="Arial"/>
          <w:b/>
          <w:bCs/>
          <w:sz w:val="22"/>
        </w:rPr>
      </w:pPr>
      <w:r>
        <w:rPr>
          <w:rFonts w:cs="Arial"/>
          <w:b/>
          <w:bCs/>
          <w:sz w:val="22"/>
        </w:rPr>
        <w:t>Heart Failure – correlations between holistic mean overall scale scores</w:t>
      </w:r>
      <w:r w:rsidR="005332D1">
        <w:rPr>
          <w:rFonts w:cs="Arial"/>
          <w:b/>
          <w:bCs/>
          <w:sz w:val="22"/>
        </w:rPr>
        <w:t xml:space="preserve">                </w:t>
      </w:r>
      <w:r>
        <w:rPr>
          <w:rFonts w:cs="Arial"/>
          <w:b/>
          <w:bCs/>
          <w:sz w:val="22"/>
        </w:rPr>
        <w:t xml:space="preserve"> </w:t>
      </w:r>
      <w:r w:rsidRPr="007849B6">
        <w:rPr>
          <w:rFonts w:cs="Arial"/>
          <w:b/>
          <w:sz w:val="22"/>
          <w:szCs w:val="22"/>
        </w:rPr>
        <w:t xml:space="preserve">(1 = unsatisfactory to 6 = </w:t>
      </w:r>
      <w:r>
        <w:rPr>
          <w:rFonts w:cs="Arial"/>
          <w:b/>
          <w:sz w:val="22"/>
          <w:szCs w:val="22"/>
        </w:rPr>
        <w:t>very best care</w:t>
      </w:r>
      <w:r w:rsidRPr="007849B6">
        <w:rPr>
          <w:rFonts w:cs="Arial"/>
          <w:b/>
          <w:sz w:val="22"/>
          <w:szCs w:val="22"/>
        </w:rPr>
        <w:t xml:space="preserve">) </w:t>
      </w:r>
      <w:r w:rsidRPr="007849B6">
        <w:rPr>
          <w:rFonts w:cs="Arial"/>
          <w:b/>
          <w:bCs/>
          <w:sz w:val="22"/>
        </w:rPr>
        <w:t>and outcome variables</w:t>
      </w:r>
    </w:p>
    <w:p w14:paraId="7C2D631C" w14:textId="77777777" w:rsidR="000923BB" w:rsidRDefault="000923BB" w:rsidP="000923BB">
      <w:pPr>
        <w:rPr>
          <w:rFonts w:cs="Arial"/>
          <w:i/>
          <w:sz w:val="22"/>
          <w:szCs w:val="22"/>
        </w:rPr>
      </w:pPr>
      <w:r>
        <w:rPr>
          <w:rFonts w:cs="Arial"/>
          <w:i/>
          <w:sz w:val="22"/>
          <w:szCs w:val="22"/>
        </w:rPr>
        <w:t>Correlations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9"/>
        <w:gridCol w:w="1257"/>
        <w:gridCol w:w="893"/>
        <w:gridCol w:w="1391"/>
      </w:tblGrid>
      <w:tr w:rsidR="000923BB" w:rsidRPr="00F955C6" w14:paraId="2A2CE158" w14:textId="77777777" w:rsidTr="005332D1">
        <w:tc>
          <w:tcPr>
            <w:tcW w:w="4718" w:type="dxa"/>
          </w:tcPr>
          <w:p w14:paraId="74401DD5" w14:textId="77777777" w:rsidR="000923BB" w:rsidRPr="00F955C6" w:rsidRDefault="000923BB" w:rsidP="003A385F">
            <w:pPr>
              <w:rPr>
                <w:rFonts w:cs="Arial"/>
                <w:sz w:val="20"/>
                <w:szCs w:val="20"/>
              </w:rPr>
            </w:pPr>
            <w:r w:rsidRPr="00F955C6">
              <w:rPr>
                <w:rFonts w:cs="Arial"/>
                <w:sz w:val="20"/>
                <w:szCs w:val="20"/>
              </w:rPr>
              <w:t>Variable</w:t>
            </w:r>
          </w:p>
        </w:tc>
        <w:tc>
          <w:tcPr>
            <w:tcW w:w="1260" w:type="dxa"/>
          </w:tcPr>
          <w:p w14:paraId="5AC56D89" w14:textId="77777777" w:rsidR="000923BB" w:rsidRPr="00F955C6" w:rsidRDefault="000923BB" w:rsidP="003A385F">
            <w:pPr>
              <w:jc w:val="center"/>
              <w:rPr>
                <w:rFonts w:cs="Arial"/>
                <w:sz w:val="20"/>
                <w:szCs w:val="20"/>
              </w:rPr>
            </w:pPr>
            <w:r w:rsidRPr="00F955C6">
              <w:rPr>
                <w:rFonts w:cs="Arial"/>
                <w:sz w:val="20"/>
                <w:szCs w:val="20"/>
              </w:rPr>
              <w:t>Correlation coefficient</w:t>
            </w:r>
          </w:p>
        </w:tc>
        <w:tc>
          <w:tcPr>
            <w:tcW w:w="900" w:type="dxa"/>
          </w:tcPr>
          <w:p w14:paraId="63081608" w14:textId="77777777" w:rsidR="000923BB" w:rsidRPr="00F955C6" w:rsidRDefault="000923BB" w:rsidP="003A385F">
            <w:pPr>
              <w:jc w:val="center"/>
              <w:rPr>
                <w:rFonts w:cs="Arial"/>
                <w:sz w:val="20"/>
                <w:szCs w:val="20"/>
              </w:rPr>
            </w:pPr>
            <w:r w:rsidRPr="00F955C6">
              <w:rPr>
                <w:rFonts w:cs="Arial"/>
                <w:sz w:val="20"/>
                <w:szCs w:val="20"/>
              </w:rPr>
              <w:t>p-value</w:t>
            </w:r>
          </w:p>
        </w:tc>
        <w:tc>
          <w:tcPr>
            <w:tcW w:w="1394" w:type="dxa"/>
          </w:tcPr>
          <w:p w14:paraId="48421503" w14:textId="77777777" w:rsidR="000923BB" w:rsidRPr="00F955C6" w:rsidRDefault="000923BB" w:rsidP="003A385F">
            <w:pPr>
              <w:jc w:val="center"/>
              <w:rPr>
                <w:rFonts w:cs="Arial"/>
                <w:sz w:val="20"/>
                <w:szCs w:val="20"/>
              </w:rPr>
            </w:pPr>
            <w:r w:rsidRPr="00F955C6">
              <w:rPr>
                <w:rFonts w:cs="Arial"/>
                <w:sz w:val="20"/>
                <w:szCs w:val="20"/>
              </w:rPr>
              <w:t>Relationship</w:t>
            </w:r>
          </w:p>
        </w:tc>
      </w:tr>
      <w:tr w:rsidR="000923BB" w:rsidRPr="00F955C6" w14:paraId="0A571A10" w14:textId="77777777" w:rsidTr="005332D1">
        <w:tc>
          <w:tcPr>
            <w:tcW w:w="4718" w:type="dxa"/>
          </w:tcPr>
          <w:p w14:paraId="16CDAADD" w14:textId="77777777" w:rsidR="000923BB" w:rsidRPr="00F955C6" w:rsidRDefault="000923BB" w:rsidP="003A385F">
            <w:pPr>
              <w:rPr>
                <w:rFonts w:cs="Arial"/>
                <w:sz w:val="20"/>
                <w:szCs w:val="20"/>
              </w:rPr>
            </w:pPr>
            <w:r w:rsidRPr="00F955C6">
              <w:rPr>
                <w:rFonts w:cs="Arial"/>
                <w:sz w:val="20"/>
                <w:szCs w:val="20"/>
              </w:rPr>
              <w:t>Percentage of HF patients who die in hospital within 28 days</w:t>
            </w:r>
          </w:p>
        </w:tc>
        <w:tc>
          <w:tcPr>
            <w:tcW w:w="1260" w:type="dxa"/>
          </w:tcPr>
          <w:p w14:paraId="6B20951B" w14:textId="77777777" w:rsidR="000923BB" w:rsidRPr="00F955C6" w:rsidRDefault="000923BB" w:rsidP="003A385F">
            <w:pPr>
              <w:jc w:val="center"/>
              <w:rPr>
                <w:rFonts w:cs="Arial"/>
                <w:sz w:val="20"/>
                <w:szCs w:val="20"/>
              </w:rPr>
            </w:pPr>
            <w:r w:rsidRPr="00F955C6">
              <w:rPr>
                <w:rFonts w:cs="Arial"/>
                <w:sz w:val="20"/>
                <w:szCs w:val="20"/>
              </w:rPr>
              <w:t>-0.334</w:t>
            </w:r>
          </w:p>
        </w:tc>
        <w:tc>
          <w:tcPr>
            <w:tcW w:w="900" w:type="dxa"/>
          </w:tcPr>
          <w:p w14:paraId="5C052F2F" w14:textId="77777777" w:rsidR="000923BB" w:rsidRPr="00F955C6" w:rsidRDefault="000923BB" w:rsidP="003A385F">
            <w:pPr>
              <w:jc w:val="center"/>
              <w:rPr>
                <w:rFonts w:cs="Arial"/>
                <w:sz w:val="20"/>
                <w:szCs w:val="20"/>
              </w:rPr>
            </w:pPr>
            <w:r w:rsidRPr="00F955C6">
              <w:rPr>
                <w:rFonts w:cs="Arial"/>
                <w:sz w:val="20"/>
                <w:szCs w:val="20"/>
              </w:rPr>
              <w:t>0.149</w:t>
            </w:r>
          </w:p>
        </w:tc>
        <w:tc>
          <w:tcPr>
            <w:tcW w:w="1394" w:type="dxa"/>
          </w:tcPr>
          <w:p w14:paraId="4DEFFA03"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7C8A424A" w14:textId="77777777" w:rsidTr="005332D1">
        <w:tc>
          <w:tcPr>
            <w:tcW w:w="4718" w:type="dxa"/>
            <w:tcBorders>
              <w:bottom w:val="single" w:sz="4" w:space="0" w:color="auto"/>
            </w:tcBorders>
          </w:tcPr>
          <w:p w14:paraId="4A8F8A8A" w14:textId="77777777" w:rsidR="000923BB" w:rsidRPr="00F955C6" w:rsidRDefault="000923BB" w:rsidP="003A385F">
            <w:pPr>
              <w:rPr>
                <w:rFonts w:cs="Arial"/>
                <w:sz w:val="20"/>
                <w:szCs w:val="20"/>
              </w:rPr>
            </w:pPr>
            <w:r w:rsidRPr="00F955C6">
              <w:rPr>
                <w:rFonts w:cs="Arial"/>
                <w:sz w:val="20"/>
                <w:szCs w:val="20"/>
              </w:rPr>
              <w:t>HSMR from Dr. Foster (3 year mortality)</w:t>
            </w:r>
          </w:p>
        </w:tc>
        <w:tc>
          <w:tcPr>
            <w:tcW w:w="1260" w:type="dxa"/>
            <w:tcBorders>
              <w:bottom w:val="single" w:sz="4" w:space="0" w:color="auto"/>
            </w:tcBorders>
          </w:tcPr>
          <w:p w14:paraId="7FC2A8D8" w14:textId="77777777" w:rsidR="000923BB" w:rsidRPr="00F955C6" w:rsidRDefault="000923BB" w:rsidP="003A385F">
            <w:pPr>
              <w:jc w:val="center"/>
              <w:rPr>
                <w:rFonts w:cs="Arial"/>
                <w:sz w:val="20"/>
                <w:szCs w:val="20"/>
              </w:rPr>
            </w:pPr>
            <w:r w:rsidRPr="00F955C6">
              <w:rPr>
                <w:rFonts w:cs="Arial"/>
                <w:sz w:val="20"/>
                <w:szCs w:val="20"/>
              </w:rPr>
              <w:t>-0.183</w:t>
            </w:r>
          </w:p>
        </w:tc>
        <w:tc>
          <w:tcPr>
            <w:tcW w:w="900" w:type="dxa"/>
            <w:tcBorders>
              <w:bottom w:val="single" w:sz="4" w:space="0" w:color="auto"/>
            </w:tcBorders>
          </w:tcPr>
          <w:p w14:paraId="69D46911" w14:textId="77777777" w:rsidR="000923BB" w:rsidRPr="00F955C6" w:rsidRDefault="000923BB" w:rsidP="003A385F">
            <w:pPr>
              <w:jc w:val="center"/>
              <w:rPr>
                <w:rFonts w:cs="Arial"/>
                <w:sz w:val="20"/>
                <w:szCs w:val="20"/>
              </w:rPr>
            </w:pPr>
            <w:r w:rsidRPr="00F955C6">
              <w:rPr>
                <w:rFonts w:cs="Arial"/>
                <w:sz w:val="20"/>
                <w:szCs w:val="20"/>
              </w:rPr>
              <w:t>0.439</w:t>
            </w:r>
          </w:p>
        </w:tc>
        <w:tc>
          <w:tcPr>
            <w:tcW w:w="1394" w:type="dxa"/>
            <w:tcBorders>
              <w:bottom w:val="single" w:sz="4" w:space="0" w:color="auto"/>
            </w:tcBorders>
          </w:tcPr>
          <w:p w14:paraId="14CFA218"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56625B69" w14:textId="77777777" w:rsidTr="005332D1">
        <w:tc>
          <w:tcPr>
            <w:tcW w:w="4718" w:type="dxa"/>
            <w:tcBorders>
              <w:bottom w:val="single" w:sz="4" w:space="0" w:color="auto"/>
            </w:tcBorders>
          </w:tcPr>
          <w:p w14:paraId="5F1E0D56" w14:textId="77777777" w:rsidR="000923BB" w:rsidRPr="00F955C6" w:rsidRDefault="000923BB" w:rsidP="003A385F">
            <w:pPr>
              <w:rPr>
                <w:rFonts w:cs="Arial"/>
                <w:sz w:val="20"/>
                <w:szCs w:val="20"/>
              </w:rPr>
            </w:pPr>
            <w:r w:rsidRPr="00F955C6">
              <w:rPr>
                <w:rFonts w:cs="Arial"/>
                <w:sz w:val="20"/>
                <w:szCs w:val="20"/>
              </w:rPr>
              <w:t>HSMR from Dr. Foster (1 year mortality)</w:t>
            </w:r>
          </w:p>
        </w:tc>
        <w:tc>
          <w:tcPr>
            <w:tcW w:w="1260" w:type="dxa"/>
            <w:tcBorders>
              <w:bottom w:val="single" w:sz="4" w:space="0" w:color="auto"/>
            </w:tcBorders>
          </w:tcPr>
          <w:p w14:paraId="1EF29135" w14:textId="77777777" w:rsidR="000923BB" w:rsidRPr="00F955C6" w:rsidRDefault="000923BB" w:rsidP="003A385F">
            <w:pPr>
              <w:jc w:val="center"/>
              <w:rPr>
                <w:rFonts w:cs="Arial"/>
                <w:sz w:val="20"/>
                <w:szCs w:val="20"/>
              </w:rPr>
            </w:pPr>
            <w:r w:rsidRPr="00F955C6">
              <w:rPr>
                <w:rFonts w:cs="Arial"/>
                <w:sz w:val="20"/>
                <w:szCs w:val="20"/>
              </w:rPr>
              <w:t>-0.308</w:t>
            </w:r>
          </w:p>
        </w:tc>
        <w:tc>
          <w:tcPr>
            <w:tcW w:w="900" w:type="dxa"/>
            <w:tcBorders>
              <w:bottom w:val="single" w:sz="4" w:space="0" w:color="auto"/>
            </w:tcBorders>
          </w:tcPr>
          <w:p w14:paraId="5AB9667C" w14:textId="77777777" w:rsidR="000923BB" w:rsidRPr="00F955C6" w:rsidRDefault="000923BB" w:rsidP="003A385F">
            <w:pPr>
              <w:jc w:val="center"/>
              <w:rPr>
                <w:rFonts w:cs="Arial"/>
                <w:sz w:val="20"/>
                <w:szCs w:val="20"/>
              </w:rPr>
            </w:pPr>
            <w:r w:rsidRPr="00F955C6">
              <w:rPr>
                <w:rFonts w:cs="Arial"/>
                <w:sz w:val="20"/>
                <w:szCs w:val="20"/>
              </w:rPr>
              <w:t>0.186</w:t>
            </w:r>
          </w:p>
        </w:tc>
        <w:tc>
          <w:tcPr>
            <w:tcW w:w="1394" w:type="dxa"/>
            <w:tcBorders>
              <w:bottom w:val="single" w:sz="4" w:space="0" w:color="auto"/>
            </w:tcBorders>
          </w:tcPr>
          <w:p w14:paraId="159D80C9"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03D2B273" w14:textId="77777777" w:rsidTr="005332D1">
        <w:tc>
          <w:tcPr>
            <w:tcW w:w="4718" w:type="dxa"/>
            <w:shd w:val="clear" w:color="auto" w:fill="auto"/>
          </w:tcPr>
          <w:p w14:paraId="1659B46C" w14:textId="77777777" w:rsidR="000923BB" w:rsidRPr="00F955C6" w:rsidRDefault="000923BB" w:rsidP="003A385F">
            <w:pPr>
              <w:rPr>
                <w:rFonts w:cs="Arial"/>
                <w:sz w:val="20"/>
                <w:szCs w:val="20"/>
              </w:rPr>
            </w:pPr>
            <w:r w:rsidRPr="00F955C6">
              <w:rPr>
                <w:rFonts w:cs="Arial"/>
                <w:sz w:val="20"/>
                <w:szCs w:val="20"/>
              </w:rPr>
              <w:t>Incidents to NPSA per 100 bed days</w:t>
            </w:r>
          </w:p>
        </w:tc>
        <w:tc>
          <w:tcPr>
            <w:tcW w:w="1260" w:type="dxa"/>
            <w:shd w:val="clear" w:color="auto" w:fill="auto"/>
          </w:tcPr>
          <w:p w14:paraId="0A6B4E95" w14:textId="77777777" w:rsidR="000923BB" w:rsidRPr="00F955C6" w:rsidRDefault="000923BB" w:rsidP="003A385F">
            <w:pPr>
              <w:jc w:val="center"/>
              <w:rPr>
                <w:rFonts w:cs="Arial"/>
                <w:sz w:val="20"/>
                <w:szCs w:val="20"/>
              </w:rPr>
            </w:pPr>
            <w:r w:rsidRPr="00F955C6">
              <w:rPr>
                <w:rFonts w:cs="Arial"/>
                <w:sz w:val="20"/>
                <w:szCs w:val="20"/>
              </w:rPr>
              <w:t>-0.228</w:t>
            </w:r>
          </w:p>
        </w:tc>
        <w:tc>
          <w:tcPr>
            <w:tcW w:w="900" w:type="dxa"/>
            <w:shd w:val="clear" w:color="auto" w:fill="auto"/>
          </w:tcPr>
          <w:p w14:paraId="51B25836" w14:textId="77777777" w:rsidR="000923BB" w:rsidRPr="00F955C6" w:rsidRDefault="000923BB" w:rsidP="003A385F">
            <w:pPr>
              <w:jc w:val="center"/>
              <w:rPr>
                <w:rFonts w:cs="Arial"/>
                <w:sz w:val="20"/>
                <w:szCs w:val="20"/>
              </w:rPr>
            </w:pPr>
            <w:r w:rsidRPr="00F955C6">
              <w:rPr>
                <w:rFonts w:cs="Arial"/>
                <w:sz w:val="20"/>
                <w:szCs w:val="20"/>
              </w:rPr>
              <w:t>0.335</w:t>
            </w:r>
          </w:p>
        </w:tc>
        <w:tc>
          <w:tcPr>
            <w:tcW w:w="1394" w:type="dxa"/>
            <w:shd w:val="clear" w:color="auto" w:fill="auto"/>
          </w:tcPr>
          <w:p w14:paraId="41EEDE4B"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1C8C0DA9" w14:textId="77777777" w:rsidTr="005332D1">
        <w:tc>
          <w:tcPr>
            <w:tcW w:w="4718" w:type="dxa"/>
          </w:tcPr>
          <w:p w14:paraId="45149907" w14:textId="77777777" w:rsidR="000923BB" w:rsidRPr="00F955C6" w:rsidRDefault="000923BB" w:rsidP="003A385F">
            <w:pPr>
              <w:rPr>
                <w:rFonts w:cs="Arial"/>
                <w:sz w:val="20"/>
                <w:szCs w:val="20"/>
              </w:rPr>
            </w:pPr>
            <w:r w:rsidRPr="00F955C6">
              <w:rPr>
                <w:rFonts w:cs="Arial"/>
                <w:sz w:val="20"/>
                <w:szCs w:val="20"/>
              </w:rPr>
              <w:t>SMR for deaths in low mortality HRG’s</w:t>
            </w:r>
          </w:p>
        </w:tc>
        <w:tc>
          <w:tcPr>
            <w:tcW w:w="1260" w:type="dxa"/>
          </w:tcPr>
          <w:p w14:paraId="423F84AC" w14:textId="77777777" w:rsidR="000923BB" w:rsidRPr="00F955C6" w:rsidRDefault="000923BB" w:rsidP="003A385F">
            <w:pPr>
              <w:jc w:val="center"/>
              <w:rPr>
                <w:rFonts w:cs="Arial"/>
                <w:sz w:val="20"/>
                <w:szCs w:val="20"/>
              </w:rPr>
            </w:pPr>
            <w:r w:rsidRPr="00F955C6">
              <w:rPr>
                <w:rFonts w:cs="Arial"/>
                <w:sz w:val="20"/>
                <w:szCs w:val="20"/>
              </w:rPr>
              <w:t>-0.093</w:t>
            </w:r>
          </w:p>
        </w:tc>
        <w:tc>
          <w:tcPr>
            <w:tcW w:w="900" w:type="dxa"/>
          </w:tcPr>
          <w:p w14:paraId="19D1A03D" w14:textId="77777777" w:rsidR="000923BB" w:rsidRPr="00F955C6" w:rsidRDefault="000923BB" w:rsidP="003A385F">
            <w:pPr>
              <w:jc w:val="center"/>
              <w:rPr>
                <w:rFonts w:cs="Arial"/>
                <w:sz w:val="20"/>
                <w:szCs w:val="20"/>
              </w:rPr>
            </w:pPr>
            <w:r w:rsidRPr="00F955C6">
              <w:rPr>
                <w:rFonts w:cs="Arial"/>
                <w:sz w:val="20"/>
                <w:szCs w:val="20"/>
              </w:rPr>
              <w:t>0.696</w:t>
            </w:r>
          </w:p>
        </w:tc>
        <w:tc>
          <w:tcPr>
            <w:tcW w:w="1394" w:type="dxa"/>
          </w:tcPr>
          <w:p w14:paraId="19FD1144"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38235BFD" w14:textId="77777777" w:rsidTr="005332D1">
        <w:tc>
          <w:tcPr>
            <w:tcW w:w="4718" w:type="dxa"/>
          </w:tcPr>
          <w:p w14:paraId="43F4C976" w14:textId="77777777" w:rsidR="000923BB" w:rsidRPr="00F955C6" w:rsidRDefault="000923BB" w:rsidP="003A385F">
            <w:pPr>
              <w:rPr>
                <w:rFonts w:cs="Arial"/>
                <w:sz w:val="20"/>
                <w:szCs w:val="20"/>
              </w:rPr>
            </w:pPr>
            <w:r w:rsidRPr="00F955C6">
              <w:rPr>
                <w:rFonts w:cs="Arial"/>
                <w:sz w:val="20"/>
                <w:szCs w:val="20"/>
              </w:rPr>
              <w:t>HF finished consultant episodes</w:t>
            </w:r>
          </w:p>
        </w:tc>
        <w:tc>
          <w:tcPr>
            <w:tcW w:w="1260" w:type="dxa"/>
          </w:tcPr>
          <w:p w14:paraId="20E18F22" w14:textId="77777777" w:rsidR="000923BB" w:rsidRPr="00F955C6" w:rsidRDefault="000923BB" w:rsidP="003A385F">
            <w:pPr>
              <w:jc w:val="center"/>
              <w:rPr>
                <w:rFonts w:cs="Arial"/>
                <w:sz w:val="20"/>
                <w:szCs w:val="20"/>
              </w:rPr>
            </w:pPr>
            <w:r w:rsidRPr="00F955C6">
              <w:rPr>
                <w:rFonts w:cs="Arial"/>
                <w:sz w:val="20"/>
                <w:szCs w:val="20"/>
              </w:rPr>
              <w:t>-0.174</w:t>
            </w:r>
          </w:p>
        </w:tc>
        <w:tc>
          <w:tcPr>
            <w:tcW w:w="900" w:type="dxa"/>
          </w:tcPr>
          <w:p w14:paraId="083CC7F9" w14:textId="77777777" w:rsidR="000923BB" w:rsidRPr="00F955C6" w:rsidRDefault="000923BB" w:rsidP="003A385F">
            <w:pPr>
              <w:jc w:val="center"/>
              <w:rPr>
                <w:rFonts w:cs="Arial"/>
                <w:sz w:val="20"/>
                <w:szCs w:val="20"/>
              </w:rPr>
            </w:pPr>
            <w:r w:rsidRPr="00F955C6">
              <w:rPr>
                <w:rFonts w:cs="Arial"/>
                <w:sz w:val="20"/>
                <w:szCs w:val="20"/>
              </w:rPr>
              <w:t>0.477</w:t>
            </w:r>
          </w:p>
        </w:tc>
        <w:tc>
          <w:tcPr>
            <w:tcW w:w="1394" w:type="dxa"/>
          </w:tcPr>
          <w:p w14:paraId="1ED04CE9"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6947A96A" w14:textId="77777777" w:rsidTr="005332D1">
        <w:tc>
          <w:tcPr>
            <w:tcW w:w="4718" w:type="dxa"/>
          </w:tcPr>
          <w:p w14:paraId="3F8CCE7B" w14:textId="77777777" w:rsidR="000923BB" w:rsidRPr="00F955C6" w:rsidRDefault="000923BB" w:rsidP="003A385F">
            <w:pPr>
              <w:rPr>
                <w:rFonts w:cs="Arial"/>
                <w:sz w:val="20"/>
                <w:szCs w:val="20"/>
              </w:rPr>
            </w:pPr>
            <w:r w:rsidRPr="00F955C6">
              <w:rPr>
                <w:rFonts w:cs="Arial"/>
                <w:sz w:val="20"/>
                <w:szCs w:val="20"/>
              </w:rPr>
              <w:t>HF bed days</w:t>
            </w:r>
          </w:p>
        </w:tc>
        <w:tc>
          <w:tcPr>
            <w:tcW w:w="1260" w:type="dxa"/>
          </w:tcPr>
          <w:p w14:paraId="17DA08CC" w14:textId="77777777" w:rsidR="000923BB" w:rsidRPr="00F955C6" w:rsidRDefault="000923BB" w:rsidP="003A385F">
            <w:pPr>
              <w:jc w:val="center"/>
              <w:rPr>
                <w:rFonts w:cs="Arial"/>
                <w:sz w:val="20"/>
                <w:szCs w:val="20"/>
              </w:rPr>
            </w:pPr>
            <w:r w:rsidRPr="00F955C6">
              <w:rPr>
                <w:rFonts w:cs="Arial"/>
                <w:sz w:val="20"/>
                <w:szCs w:val="20"/>
              </w:rPr>
              <w:t>-0.237</w:t>
            </w:r>
          </w:p>
        </w:tc>
        <w:tc>
          <w:tcPr>
            <w:tcW w:w="900" w:type="dxa"/>
          </w:tcPr>
          <w:p w14:paraId="229031DC" w14:textId="77777777" w:rsidR="000923BB" w:rsidRPr="00F955C6" w:rsidRDefault="000923BB" w:rsidP="003A385F">
            <w:pPr>
              <w:jc w:val="center"/>
              <w:rPr>
                <w:rFonts w:cs="Arial"/>
                <w:sz w:val="20"/>
                <w:szCs w:val="20"/>
              </w:rPr>
            </w:pPr>
            <w:r w:rsidRPr="00F955C6">
              <w:rPr>
                <w:rFonts w:cs="Arial"/>
                <w:sz w:val="20"/>
                <w:szCs w:val="20"/>
              </w:rPr>
              <w:t>0.329</w:t>
            </w:r>
          </w:p>
        </w:tc>
        <w:tc>
          <w:tcPr>
            <w:tcW w:w="1394" w:type="dxa"/>
          </w:tcPr>
          <w:p w14:paraId="10D57DCC"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3552B57A" w14:textId="77777777" w:rsidTr="005332D1">
        <w:tc>
          <w:tcPr>
            <w:tcW w:w="4718" w:type="dxa"/>
          </w:tcPr>
          <w:p w14:paraId="7D3B2B16" w14:textId="77777777" w:rsidR="000923BB" w:rsidRPr="00F955C6" w:rsidRDefault="000923BB" w:rsidP="003A385F">
            <w:pPr>
              <w:rPr>
                <w:rFonts w:cs="Arial"/>
                <w:sz w:val="20"/>
                <w:szCs w:val="20"/>
              </w:rPr>
            </w:pPr>
            <w:r w:rsidRPr="00F955C6">
              <w:rPr>
                <w:rFonts w:cs="Arial"/>
                <w:sz w:val="20"/>
                <w:szCs w:val="20"/>
              </w:rPr>
              <w:t>HF mean length of stay</w:t>
            </w:r>
          </w:p>
        </w:tc>
        <w:tc>
          <w:tcPr>
            <w:tcW w:w="1260" w:type="dxa"/>
          </w:tcPr>
          <w:p w14:paraId="61F0D431" w14:textId="77777777" w:rsidR="000923BB" w:rsidRPr="00F955C6" w:rsidRDefault="000923BB" w:rsidP="003A385F">
            <w:pPr>
              <w:jc w:val="center"/>
              <w:rPr>
                <w:rFonts w:cs="Arial"/>
                <w:sz w:val="20"/>
                <w:szCs w:val="20"/>
              </w:rPr>
            </w:pPr>
            <w:r w:rsidRPr="00F955C6">
              <w:rPr>
                <w:rFonts w:cs="Arial"/>
                <w:sz w:val="20"/>
                <w:szCs w:val="20"/>
              </w:rPr>
              <w:t>0.064</w:t>
            </w:r>
          </w:p>
        </w:tc>
        <w:tc>
          <w:tcPr>
            <w:tcW w:w="900" w:type="dxa"/>
          </w:tcPr>
          <w:p w14:paraId="6F093689" w14:textId="77777777" w:rsidR="000923BB" w:rsidRPr="00F955C6" w:rsidRDefault="000923BB" w:rsidP="003A385F">
            <w:pPr>
              <w:jc w:val="center"/>
              <w:rPr>
                <w:rFonts w:cs="Arial"/>
                <w:sz w:val="20"/>
                <w:szCs w:val="20"/>
              </w:rPr>
            </w:pPr>
            <w:r w:rsidRPr="00F955C6">
              <w:rPr>
                <w:rFonts w:cs="Arial"/>
                <w:sz w:val="20"/>
                <w:szCs w:val="20"/>
              </w:rPr>
              <w:t>0.795</w:t>
            </w:r>
          </w:p>
        </w:tc>
        <w:tc>
          <w:tcPr>
            <w:tcW w:w="1394" w:type="dxa"/>
          </w:tcPr>
          <w:p w14:paraId="4F7E24B3"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78C7D0D2" w14:textId="77777777" w:rsidTr="005332D1">
        <w:tc>
          <w:tcPr>
            <w:tcW w:w="4718" w:type="dxa"/>
          </w:tcPr>
          <w:p w14:paraId="4108E9FA" w14:textId="77777777" w:rsidR="000923BB" w:rsidRPr="00F955C6" w:rsidRDefault="000923BB" w:rsidP="003A385F">
            <w:pPr>
              <w:rPr>
                <w:rFonts w:cs="Arial"/>
                <w:sz w:val="20"/>
                <w:szCs w:val="20"/>
              </w:rPr>
            </w:pPr>
            <w:r w:rsidRPr="00F955C6">
              <w:rPr>
                <w:rFonts w:cs="Arial"/>
                <w:sz w:val="20"/>
                <w:szCs w:val="20"/>
              </w:rPr>
              <w:t>HF mean age</w:t>
            </w:r>
          </w:p>
        </w:tc>
        <w:tc>
          <w:tcPr>
            <w:tcW w:w="1260" w:type="dxa"/>
          </w:tcPr>
          <w:p w14:paraId="0E0501CD" w14:textId="77777777" w:rsidR="000923BB" w:rsidRPr="00F955C6" w:rsidRDefault="000923BB" w:rsidP="003A385F">
            <w:pPr>
              <w:jc w:val="center"/>
              <w:rPr>
                <w:rFonts w:cs="Arial"/>
                <w:sz w:val="20"/>
                <w:szCs w:val="20"/>
              </w:rPr>
            </w:pPr>
            <w:r w:rsidRPr="00F955C6">
              <w:rPr>
                <w:rFonts w:cs="Arial"/>
                <w:sz w:val="20"/>
                <w:szCs w:val="20"/>
              </w:rPr>
              <w:t>-0.445</w:t>
            </w:r>
          </w:p>
        </w:tc>
        <w:tc>
          <w:tcPr>
            <w:tcW w:w="900" w:type="dxa"/>
          </w:tcPr>
          <w:p w14:paraId="7122D11D" w14:textId="77777777" w:rsidR="000923BB" w:rsidRPr="00F955C6" w:rsidRDefault="000923BB" w:rsidP="003A385F">
            <w:pPr>
              <w:jc w:val="center"/>
              <w:rPr>
                <w:rFonts w:cs="Arial"/>
                <w:sz w:val="20"/>
                <w:szCs w:val="20"/>
              </w:rPr>
            </w:pPr>
            <w:r w:rsidRPr="00F955C6">
              <w:rPr>
                <w:rFonts w:cs="Arial"/>
                <w:sz w:val="20"/>
                <w:szCs w:val="20"/>
              </w:rPr>
              <w:t>0.056</w:t>
            </w:r>
          </w:p>
        </w:tc>
        <w:tc>
          <w:tcPr>
            <w:tcW w:w="1394" w:type="dxa"/>
          </w:tcPr>
          <w:p w14:paraId="5FBD35DA" w14:textId="77777777" w:rsidR="000923BB" w:rsidRPr="00F955C6" w:rsidRDefault="000923BB" w:rsidP="003A385F">
            <w:pPr>
              <w:jc w:val="center"/>
              <w:rPr>
                <w:rFonts w:cs="Arial"/>
                <w:sz w:val="20"/>
                <w:szCs w:val="20"/>
              </w:rPr>
            </w:pPr>
            <w:r w:rsidRPr="00F955C6">
              <w:rPr>
                <w:rFonts w:cs="Arial"/>
                <w:sz w:val="20"/>
                <w:szCs w:val="20"/>
              </w:rPr>
              <w:t>Moderate</w:t>
            </w:r>
          </w:p>
        </w:tc>
      </w:tr>
      <w:tr w:rsidR="000923BB" w:rsidRPr="00F955C6" w14:paraId="06F92A46" w14:textId="77777777" w:rsidTr="005332D1">
        <w:tc>
          <w:tcPr>
            <w:tcW w:w="4718" w:type="dxa"/>
          </w:tcPr>
          <w:p w14:paraId="24A30652" w14:textId="77777777" w:rsidR="000923BB" w:rsidRPr="00F955C6" w:rsidRDefault="000923BB" w:rsidP="003A385F">
            <w:pPr>
              <w:rPr>
                <w:rFonts w:cs="Arial"/>
                <w:sz w:val="20"/>
                <w:szCs w:val="20"/>
              </w:rPr>
            </w:pPr>
            <w:r w:rsidRPr="00F955C6">
              <w:rPr>
                <w:rFonts w:cs="Arial"/>
                <w:sz w:val="20"/>
                <w:szCs w:val="20"/>
              </w:rPr>
              <w:t>Star rating (0 worst to 3 best)</w:t>
            </w:r>
          </w:p>
        </w:tc>
        <w:tc>
          <w:tcPr>
            <w:tcW w:w="1260" w:type="dxa"/>
          </w:tcPr>
          <w:p w14:paraId="1D363F59" w14:textId="77777777" w:rsidR="000923BB" w:rsidRPr="00F955C6" w:rsidRDefault="000923BB" w:rsidP="003A385F">
            <w:pPr>
              <w:jc w:val="center"/>
              <w:rPr>
                <w:rFonts w:cs="Arial"/>
                <w:sz w:val="20"/>
                <w:szCs w:val="20"/>
              </w:rPr>
            </w:pPr>
            <w:r w:rsidRPr="00F955C6">
              <w:rPr>
                <w:rFonts w:cs="Arial"/>
                <w:sz w:val="20"/>
                <w:szCs w:val="20"/>
              </w:rPr>
              <w:t>0.240*</w:t>
            </w:r>
          </w:p>
        </w:tc>
        <w:tc>
          <w:tcPr>
            <w:tcW w:w="900" w:type="dxa"/>
          </w:tcPr>
          <w:p w14:paraId="4528FEB7" w14:textId="77777777" w:rsidR="000923BB" w:rsidRPr="00F955C6" w:rsidRDefault="000923BB" w:rsidP="003A385F">
            <w:pPr>
              <w:jc w:val="center"/>
              <w:rPr>
                <w:rFonts w:cs="Arial"/>
                <w:sz w:val="20"/>
                <w:szCs w:val="20"/>
              </w:rPr>
            </w:pPr>
            <w:r w:rsidRPr="00F955C6">
              <w:rPr>
                <w:rFonts w:cs="Arial"/>
                <w:sz w:val="20"/>
                <w:szCs w:val="20"/>
              </w:rPr>
              <w:t>0.309</w:t>
            </w:r>
          </w:p>
        </w:tc>
        <w:tc>
          <w:tcPr>
            <w:tcW w:w="1394" w:type="dxa"/>
          </w:tcPr>
          <w:p w14:paraId="50C093F6"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4981EC02" w14:textId="77777777" w:rsidTr="005332D1">
        <w:tc>
          <w:tcPr>
            <w:tcW w:w="4718" w:type="dxa"/>
          </w:tcPr>
          <w:p w14:paraId="1FD7741B" w14:textId="77777777" w:rsidR="000923BB" w:rsidRPr="00F955C6" w:rsidRDefault="000923BB" w:rsidP="003A385F">
            <w:pPr>
              <w:rPr>
                <w:rFonts w:cs="Arial"/>
                <w:sz w:val="20"/>
                <w:szCs w:val="20"/>
              </w:rPr>
            </w:pPr>
            <w:r w:rsidRPr="00F955C6">
              <w:rPr>
                <w:rFonts w:cs="Arial"/>
                <w:sz w:val="20"/>
                <w:szCs w:val="20"/>
              </w:rPr>
              <w:t>Use of resources HCC</w:t>
            </w:r>
          </w:p>
        </w:tc>
        <w:tc>
          <w:tcPr>
            <w:tcW w:w="1260" w:type="dxa"/>
          </w:tcPr>
          <w:p w14:paraId="278DFDE3" w14:textId="77777777" w:rsidR="000923BB" w:rsidRPr="00F955C6" w:rsidRDefault="000923BB" w:rsidP="003A385F">
            <w:pPr>
              <w:jc w:val="center"/>
              <w:rPr>
                <w:rFonts w:cs="Arial"/>
                <w:sz w:val="20"/>
                <w:szCs w:val="20"/>
              </w:rPr>
            </w:pPr>
            <w:r w:rsidRPr="00F955C6">
              <w:rPr>
                <w:rFonts w:cs="Arial"/>
                <w:sz w:val="20"/>
                <w:szCs w:val="20"/>
              </w:rPr>
              <w:t>0.345*</w:t>
            </w:r>
          </w:p>
        </w:tc>
        <w:tc>
          <w:tcPr>
            <w:tcW w:w="900" w:type="dxa"/>
          </w:tcPr>
          <w:p w14:paraId="0D51AB49" w14:textId="77777777" w:rsidR="000923BB" w:rsidRPr="00F955C6" w:rsidRDefault="000923BB" w:rsidP="003A385F">
            <w:pPr>
              <w:jc w:val="center"/>
              <w:rPr>
                <w:rFonts w:cs="Arial"/>
                <w:sz w:val="20"/>
                <w:szCs w:val="20"/>
              </w:rPr>
            </w:pPr>
            <w:r w:rsidRPr="00F955C6">
              <w:rPr>
                <w:rFonts w:cs="Arial"/>
                <w:sz w:val="20"/>
                <w:szCs w:val="20"/>
              </w:rPr>
              <w:t>0.136</w:t>
            </w:r>
          </w:p>
        </w:tc>
        <w:tc>
          <w:tcPr>
            <w:tcW w:w="1394" w:type="dxa"/>
          </w:tcPr>
          <w:p w14:paraId="1124BD61"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2A3FF791" w14:textId="77777777" w:rsidTr="005332D1">
        <w:tc>
          <w:tcPr>
            <w:tcW w:w="4718" w:type="dxa"/>
            <w:tcBorders>
              <w:bottom w:val="single" w:sz="4" w:space="0" w:color="auto"/>
            </w:tcBorders>
          </w:tcPr>
          <w:p w14:paraId="1847E44B" w14:textId="77777777" w:rsidR="000923BB" w:rsidRPr="00F955C6" w:rsidRDefault="000923BB" w:rsidP="003A385F">
            <w:pPr>
              <w:rPr>
                <w:rFonts w:cs="Arial"/>
                <w:sz w:val="20"/>
                <w:szCs w:val="20"/>
              </w:rPr>
            </w:pPr>
            <w:r w:rsidRPr="00F955C6">
              <w:rPr>
                <w:rFonts w:cs="Arial"/>
                <w:sz w:val="20"/>
                <w:szCs w:val="20"/>
              </w:rPr>
              <w:t>Patient’s experience</w:t>
            </w:r>
          </w:p>
        </w:tc>
        <w:tc>
          <w:tcPr>
            <w:tcW w:w="1260" w:type="dxa"/>
            <w:tcBorders>
              <w:bottom w:val="single" w:sz="4" w:space="0" w:color="auto"/>
            </w:tcBorders>
          </w:tcPr>
          <w:p w14:paraId="190DC360" w14:textId="77777777" w:rsidR="000923BB" w:rsidRPr="00F955C6" w:rsidRDefault="000923BB" w:rsidP="003A385F">
            <w:pPr>
              <w:jc w:val="center"/>
              <w:rPr>
                <w:rFonts w:cs="Arial"/>
                <w:sz w:val="20"/>
                <w:szCs w:val="20"/>
              </w:rPr>
            </w:pPr>
            <w:r w:rsidRPr="00F955C6">
              <w:rPr>
                <w:rFonts w:cs="Arial"/>
                <w:sz w:val="20"/>
                <w:szCs w:val="20"/>
              </w:rPr>
              <w:t>-0.365</w:t>
            </w:r>
          </w:p>
        </w:tc>
        <w:tc>
          <w:tcPr>
            <w:tcW w:w="900" w:type="dxa"/>
            <w:tcBorders>
              <w:bottom w:val="single" w:sz="4" w:space="0" w:color="auto"/>
            </w:tcBorders>
          </w:tcPr>
          <w:p w14:paraId="400D0135" w14:textId="77777777" w:rsidR="000923BB" w:rsidRPr="00F955C6" w:rsidRDefault="000923BB" w:rsidP="003A385F">
            <w:pPr>
              <w:jc w:val="center"/>
              <w:rPr>
                <w:rFonts w:cs="Arial"/>
                <w:sz w:val="20"/>
                <w:szCs w:val="20"/>
              </w:rPr>
            </w:pPr>
            <w:r w:rsidRPr="00F955C6">
              <w:rPr>
                <w:rFonts w:cs="Arial"/>
                <w:sz w:val="20"/>
                <w:szCs w:val="20"/>
              </w:rPr>
              <w:t>0.114</w:t>
            </w:r>
          </w:p>
        </w:tc>
        <w:tc>
          <w:tcPr>
            <w:tcW w:w="1394" w:type="dxa"/>
            <w:tcBorders>
              <w:bottom w:val="single" w:sz="4" w:space="0" w:color="auto"/>
            </w:tcBorders>
          </w:tcPr>
          <w:p w14:paraId="4DF42518"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62786C69" w14:textId="77777777" w:rsidTr="005332D1">
        <w:tc>
          <w:tcPr>
            <w:tcW w:w="4718" w:type="dxa"/>
            <w:shd w:val="clear" w:color="auto" w:fill="CCFFCC"/>
          </w:tcPr>
          <w:p w14:paraId="73093417" w14:textId="77777777" w:rsidR="000923BB" w:rsidRPr="00F955C6" w:rsidRDefault="000923BB" w:rsidP="003A385F">
            <w:pPr>
              <w:rPr>
                <w:rFonts w:cs="Arial"/>
                <w:sz w:val="20"/>
                <w:szCs w:val="20"/>
              </w:rPr>
            </w:pPr>
            <w:r w:rsidRPr="00F955C6">
              <w:rPr>
                <w:rFonts w:cs="Arial"/>
                <w:sz w:val="20"/>
                <w:szCs w:val="20"/>
              </w:rPr>
              <w:t>Quality of services</w:t>
            </w:r>
          </w:p>
        </w:tc>
        <w:tc>
          <w:tcPr>
            <w:tcW w:w="1260" w:type="dxa"/>
            <w:shd w:val="clear" w:color="auto" w:fill="CCFFCC"/>
          </w:tcPr>
          <w:p w14:paraId="43203BF5" w14:textId="77777777" w:rsidR="000923BB" w:rsidRPr="00F955C6" w:rsidRDefault="000923BB" w:rsidP="003A385F">
            <w:pPr>
              <w:jc w:val="center"/>
              <w:rPr>
                <w:rFonts w:cs="Arial"/>
                <w:sz w:val="20"/>
                <w:szCs w:val="20"/>
              </w:rPr>
            </w:pPr>
            <w:r w:rsidRPr="00F955C6">
              <w:rPr>
                <w:rFonts w:cs="Arial"/>
                <w:sz w:val="20"/>
                <w:szCs w:val="20"/>
              </w:rPr>
              <w:t>0.651*</w:t>
            </w:r>
          </w:p>
        </w:tc>
        <w:tc>
          <w:tcPr>
            <w:tcW w:w="900" w:type="dxa"/>
            <w:shd w:val="clear" w:color="auto" w:fill="CCFFCC"/>
          </w:tcPr>
          <w:p w14:paraId="46A90B88" w14:textId="77777777" w:rsidR="000923BB" w:rsidRPr="00F955C6" w:rsidRDefault="000923BB" w:rsidP="003A385F">
            <w:pPr>
              <w:jc w:val="center"/>
              <w:rPr>
                <w:rFonts w:cs="Arial"/>
                <w:sz w:val="20"/>
                <w:szCs w:val="20"/>
              </w:rPr>
            </w:pPr>
            <w:r w:rsidRPr="00F955C6">
              <w:rPr>
                <w:rFonts w:cs="Arial"/>
                <w:sz w:val="20"/>
                <w:szCs w:val="20"/>
              </w:rPr>
              <w:t>0.002</w:t>
            </w:r>
          </w:p>
        </w:tc>
        <w:tc>
          <w:tcPr>
            <w:tcW w:w="1394" w:type="dxa"/>
            <w:shd w:val="clear" w:color="auto" w:fill="CCFFCC"/>
          </w:tcPr>
          <w:p w14:paraId="5E2C3EF7" w14:textId="77777777" w:rsidR="000923BB" w:rsidRPr="00F955C6" w:rsidRDefault="000923BB" w:rsidP="003A385F">
            <w:pPr>
              <w:jc w:val="center"/>
              <w:rPr>
                <w:rFonts w:cs="Arial"/>
                <w:sz w:val="20"/>
                <w:szCs w:val="20"/>
              </w:rPr>
            </w:pPr>
            <w:r w:rsidRPr="00F955C6">
              <w:rPr>
                <w:rFonts w:cs="Arial"/>
                <w:sz w:val="20"/>
                <w:szCs w:val="20"/>
              </w:rPr>
              <w:t>Strong</w:t>
            </w:r>
          </w:p>
        </w:tc>
      </w:tr>
      <w:tr w:rsidR="000923BB" w:rsidRPr="00F955C6" w14:paraId="0E4E4085" w14:textId="77777777" w:rsidTr="005332D1">
        <w:tc>
          <w:tcPr>
            <w:tcW w:w="4718" w:type="dxa"/>
            <w:tcBorders>
              <w:bottom w:val="single" w:sz="4" w:space="0" w:color="auto"/>
            </w:tcBorders>
          </w:tcPr>
          <w:p w14:paraId="40E3DA73" w14:textId="77777777" w:rsidR="000923BB" w:rsidRPr="00F955C6" w:rsidRDefault="000923BB" w:rsidP="003A385F">
            <w:pPr>
              <w:rPr>
                <w:rFonts w:cs="Arial"/>
                <w:sz w:val="20"/>
                <w:szCs w:val="20"/>
              </w:rPr>
            </w:pPr>
            <w:r w:rsidRPr="00F955C6">
              <w:rPr>
                <w:rFonts w:cs="Arial"/>
                <w:sz w:val="20"/>
                <w:szCs w:val="20"/>
              </w:rPr>
              <w:t>Percentage of patient’s with acute MI receiving thrombolysis</w:t>
            </w:r>
          </w:p>
        </w:tc>
        <w:tc>
          <w:tcPr>
            <w:tcW w:w="1260" w:type="dxa"/>
            <w:tcBorders>
              <w:bottom w:val="single" w:sz="4" w:space="0" w:color="auto"/>
            </w:tcBorders>
          </w:tcPr>
          <w:p w14:paraId="0040539C" w14:textId="77777777" w:rsidR="000923BB" w:rsidRPr="00F955C6" w:rsidRDefault="000923BB" w:rsidP="003A385F">
            <w:pPr>
              <w:jc w:val="center"/>
              <w:rPr>
                <w:rFonts w:cs="Arial"/>
                <w:sz w:val="20"/>
                <w:szCs w:val="20"/>
              </w:rPr>
            </w:pPr>
            <w:r w:rsidRPr="00F955C6">
              <w:rPr>
                <w:rFonts w:cs="Arial"/>
                <w:sz w:val="20"/>
                <w:szCs w:val="20"/>
              </w:rPr>
              <w:t>0.350</w:t>
            </w:r>
          </w:p>
        </w:tc>
        <w:tc>
          <w:tcPr>
            <w:tcW w:w="900" w:type="dxa"/>
            <w:tcBorders>
              <w:bottom w:val="single" w:sz="4" w:space="0" w:color="auto"/>
            </w:tcBorders>
          </w:tcPr>
          <w:p w14:paraId="3ED43561" w14:textId="77777777" w:rsidR="000923BB" w:rsidRPr="00F955C6" w:rsidRDefault="000923BB" w:rsidP="003A385F">
            <w:pPr>
              <w:jc w:val="center"/>
              <w:rPr>
                <w:rFonts w:cs="Arial"/>
                <w:sz w:val="20"/>
                <w:szCs w:val="20"/>
              </w:rPr>
            </w:pPr>
            <w:r w:rsidRPr="00F955C6">
              <w:rPr>
                <w:rFonts w:cs="Arial"/>
                <w:sz w:val="20"/>
                <w:szCs w:val="20"/>
              </w:rPr>
              <w:t>0.142</w:t>
            </w:r>
          </w:p>
        </w:tc>
        <w:tc>
          <w:tcPr>
            <w:tcW w:w="1394" w:type="dxa"/>
            <w:tcBorders>
              <w:bottom w:val="single" w:sz="4" w:space="0" w:color="auto"/>
            </w:tcBorders>
          </w:tcPr>
          <w:p w14:paraId="6E109C6F"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3E21C06A" w14:textId="77777777" w:rsidTr="005332D1">
        <w:tc>
          <w:tcPr>
            <w:tcW w:w="4718" w:type="dxa"/>
            <w:tcBorders>
              <w:bottom w:val="single" w:sz="4" w:space="0" w:color="auto"/>
            </w:tcBorders>
            <w:shd w:val="clear" w:color="auto" w:fill="CCFFCC"/>
          </w:tcPr>
          <w:p w14:paraId="6B0DDAE5" w14:textId="77777777" w:rsidR="000923BB" w:rsidRPr="00F955C6" w:rsidRDefault="000923BB" w:rsidP="003A385F">
            <w:pPr>
              <w:rPr>
                <w:rFonts w:cs="Arial"/>
                <w:sz w:val="20"/>
                <w:szCs w:val="20"/>
              </w:rPr>
            </w:pPr>
            <w:r w:rsidRPr="00F955C6">
              <w:rPr>
                <w:rFonts w:cs="Arial"/>
                <w:sz w:val="20"/>
                <w:szCs w:val="20"/>
              </w:rPr>
              <w:t>Existing national targets</w:t>
            </w:r>
          </w:p>
        </w:tc>
        <w:tc>
          <w:tcPr>
            <w:tcW w:w="1260" w:type="dxa"/>
            <w:tcBorders>
              <w:bottom w:val="single" w:sz="4" w:space="0" w:color="auto"/>
            </w:tcBorders>
            <w:shd w:val="clear" w:color="auto" w:fill="CCFFCC"/>
          </w:tcPr>
          <w:p w14:paraId="0D938652" w14:textId="77777777" w:rsidR="000923BB" w:rsidRPr="00F955C6" w:rsidRDefault="000923BB" w:rsidP="003A385F">
            <w:pPr>
              <w:jc w:val="center"/>
              <w:rPr>
                <w:rFonts w:cs="Arial"/>
                <w:sz w:val="20"/>
                <w:szCs w:val="20"/>
              </w:rPr>
            </w:pPr>
            <w:r w:rsidRPr="00F955C6">
              <w:rPr>
                <w:rFonts w:cs="Arial"/>
                <w:sz w:val="20"/>
                <w:szCs w:val="20"/>
              </w:rPr>
              <w:t>0.765*</w:t>
            </w:r>
          </w:p>
        </w:tc>
        <w:tc>
          <w:tcPr>
            <w:tcW w:w="900" w:type="dxa"/>
            <w:tcBorders>
              <w:bottom w:val="single" w:sz="4" w:space="0" w:color="auto"/>
            </w:tcBorders>
            <w:shd w:val="clear" w:color="auto" w:fill="CCFFCC"/>
          </w:tcPr>
          <w:p w14:paraId="6F94A678" w14:textId="77777777" w:rsidR="000923BB" w:rsidRPr="00F955C6" w:rsidRDefault="000923BB" w:rsidP="003A385F">
            <w:pPr>
              <w:rPr>
                <w:rFonts w:cs="Arial"/>
                <w:sz w:val="20"/>
                <w:szCs w:val="20"/>
              </w:rPr>
            </w:pPr>
            <w:r w:rsidRPr="00F955C6">
              <w:rPr>
                <w:rFonts w:cs="Arial"/>
                <w:sz w:val="20"/>
                <w:szCs w:val="20"/>
              </w:rPr>
              <w:t>&lt; 0.001</w:t>
            </w:r>
          </w:p>
        </w:tc>
        <w:tc>
          <w:tcPr>
            <w:tcW w:w="1394" w:type="dxa"/>
            <w:tcBorders>
              <w:bottom w:val="single" w:sz="4" w:space="0" w:color="auto"/>
            </w:tcBorders>
            <w:shd w:val="clear" w:color="auto" w:fill="CCFFCC"/>
          </w:tcPr>
          <w:p w14:paraId="34C329A7" w14:textId="77777777" w:rsidR="000923BB" w:rsidRPr="00F955C6" w:rsidRDefault="000923BB" w:rsidP="003A385F">
            <w:pPr>
              <w:jc w:val="center"/>
              <w:rPr>
                <w:rFonts w:cs="Arial"/>
                <w:sz w:val="20"/>
                <w:szCs w:val="20"/>
              </w:rPr>
            </w:pPr>
            <w:r w:rsidRPr="00F955C6">
              <w:rPr>
                <w:rFonts w:cs="Arial"/>
                <w:sz w:val="20"/>
                <w:szCs w:val="20"/>
              </w:rPr>
              <w:t>Strong</w:t>
            </w:r>
          </w:p>
        </w:tc>
      </w:tr>
      <w:tr w:rsidR="000923BB" w:rsidRPr="00F955C6" w14:paraId="34DD80CB" w14:textId="77777777" w:rsidTr="005332D1">
        <w:tc>
          <w:tcPr>
            <w:tcW w:w="4718" w:type="dxa"/>
            <w:shd w:val="clear" w:color="auto" w:fill="CCFFCC"/>
          </w:tcPr>
          <w:p w14:paraId="2FDF66B2" w14:textId="77777777" w:rsidR="000923BB" w:rsidRPr="00F955C6" w:rsidRDefault="000923BB" w:rsidP="003A385F">
            <w:pPr>
              <w:rPr>
                <w:rFonts w:cs="Arial"/>
                <w:sz w:val="20"/>
                <w:szCs w:val="20"/>
              </w:rPr>
            </w:pPr>
            <w:r w:rsidRPr="00F955C6">
              <w:rPr>
                <w:rFonts w:cs="Arial"/>
                <w:sz w:val="20"/>
                <w:szCs w:val="20"/>
              </w:rPr>
              <w:t>New national targets</w:t>
            </w:r>
          </w:p>
        </w:tc>
        <w:tc>
          <w:tcPr>
            <w:tcW w:w="1260" w:type="dxa"/>
            <w:shd w:val="clear" w:color="auto" w:fill="CCFFCC"/>
          </w:tcPr>
          <w:p w14:paraId="28737961" w14:textId="77777777" w:rsidR="000923BB" w:rsidRPr="00F955C6" w:rsidRDefault="000923BB" w:rsidP="003A385F">
            <w:pPr>
              <w:jc w:val="center"/>
              <w:rPr>
                <w:rFonts w:cs="Arial"/>
                <w:sz w:val="20"/>
                <w:szCs w:val="20"/>
              </w:rPr>
            </w:pPr>
            <w:r w:rsidRPr="00F955C6">
              <w:rPr>
                <w:rFonts w:cs="Arial"/>
                <w:sz w:val="20"/>
                <w:szCs w:val="20"/>
              </w:rPr>
              <w:t>0.453*</w:t>
            </w:r>
          </w:p>
        </w:tc>
        <w:tc>
          <w:tcPr>
            <w:tcW w:w="900" w:type="dxa"/>
            <w:shd w:val="clear" w:color="auto" w:fill="CCFFCC"/>
          </w:tcPr>
          <w:p w14:paraId="71045959" w14:textId="77777777" w:rsidR="000923BB" w:rsidRPr="00F955C6" w:rsidRDefault="000923BB" w:rsidP="003A385F">
            <w:pPr>
              <w:jc w:val="center"/>
              <w:rPr>
                <w:rFonts w:cs="Arial"/>
                <w:sz w:val="20"/>
                <w:szCs w:val="20"/>
              </w:rPr>
            </w:pPr>
            <w:r w:rsidRPr="00F955C6">
              <w:rPr>
                <w:rFonts w:cs="Arial"/>
                <w:sz w:val="20"/>
                <w:szCs w:val="20"/>
              </w:rPr>
              <w:t>0.045</w:t>
            </w:r>
          </w:p>
        </w:tc>
        <w:tc>
          <w:tcPr>
            <w:tcW w:w="1394" w:type="dxa"/>
            <w:shd w:val="clear" w:color="auto" w:fill="CCFFCC"/>
          </w:tcPr>
          <w:p w14:paraId="4EE4A6BD" w14:textId="77777777" w:rsidR="000923BB" w:rsidRPr="00F955C6" w:rsidRDefault="000923BB" w:rsidP="003A385F">
            <w:pPr>
              <w:jc w:val="center"/>
              <w:rPr>
                <w:rFonts w:cs="Arial"/>
                <w:sz w:val="20"/>
                <w:szCs w:val="20"/>
              </w:rPr>
            </w:pPr>
            <w:r w:rsidRPr="00F955C6">
              <w:rPr>
                <w:rFonts w:cs="Arial"/>
                <w:sz w:val="20"/>
                <w:szCs w:val="20"/>
              </w:rPr>
              <w:t>Moderate</w:t>
            </w:r>
          </w:p>
        </w:tc>
      </w:tr>
      <w:tr w:rsidR="000923BB" w:rsidRPr="00F955C6" w14:paraId="78EA51B8" w14:textId="77777777" w:rsidTr="005332D1">
        <w:tc>
          <w:tcPr>
            <w:tcW w:w="4718" w:type="dxa"/>
          </w:tcPr>
          <w:p w14:paraId="30A2C74F" w14:textId="77777777" w:rsidR="000923BB" w:rsidRPr="00F955C6" w:rsidRDefault="000923BB" w:rsidP="003A385F">
            <w:pPr>
              <w:rPr>
                <w:rFonts w:cs="Arial"/>
                <w:sz w:val="20"/>
                <w:szCs w:val="20"/>
              </w:rPr>
            </w:pPr>
            <w:r w:rsidRPr="00F955C6">
              <w:rPr>
                <w:rFonts w:cs="Arial"/>
                <w:sz w:val="20"/>
                <w:szCs w:val="20"/>
              </w:rPr>
              <w:t>NHS staff survey Q25a: Seen errors in the past month (% yes)</w:t>
            </w:r>
          </w:p>
        </w:tc>
        <w:tc>
          <w:tcPr>
            <w:tcW w:w="1260" w:type="dxa"/>
          </w:tcPr>
          <w:p w14:paraId="6FC4FA30" w14:textId="77777777" w:rsidR="000923BB" w:rsidRPr="00F955C6" w:rsidRDefault="000923BB" w:rsidP="003A385F">
            <w:pPr>
              <w:jc w:val="center"/>
              <w:rPr>
                <w:rFonts w:cs="Arial"/>
                <w:sz w:val="20"/>
                <w:szCs w:val="20"/>
              </w:rPr>
            </w:pPr>
            <w:r w:rsidRPr="00F955C6">
              <w:rPr>
                <w:rFonts w:cs="Arial"/>
                <w:sz w:val="20"/>
                <w:szCs w:val="20"/>
              </w:rPr>
              <w:t>-0.261</w:t>
            </w:r>
          </w:p>
        </w:tc>
        <w:tc>
          <w:tcPr>
            <w:tcW w:w="900" w:type="dxa"/>
          </w:tcPr>
          <w:p w14:paraId="72BEF121" w14:textId="77777777" w:rsidR="000923BB" w:rsidRPr="00F955C6" w:rsidRDefault="000923BB" w:rsidP="003A385F">
            <w:pPr>
              <w:jc w:val="center"/>
              <w:rPr>
                <w:rFonts w:cs="Arial"/>
                <w:sz w:val="20"/>
                <w:szCs w:val="20"/>
              </w:rPr>
            </w:pPr>
            <w:r w:rsidRPr="00F955C6">
              <w:rPr>
                <w:rFonts w:cs="Arial"/>
                <w:sz w:val="20"/>
                <w:szCs w:val="20"/>
              </w:rPr>
              <w:t>0.267</w:t>
            </w:r>
          </w:p>
        </w:tc>
        <w:tc>
          <w:tcPr>
            <w:tcW w:w="1394" w:type="dxa"/>
          </w:tcPr>
          <w:p w14:paraId="22357C32"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2E9A212A" w14:textId="77777777" w:rsidTr="005332D1">
        <w:tc>
          <w:tcPr>
            <w:tcW w:w="4718" w:type="dxa"/>
            <w:tcBorders>
              <w:bottom w:val="single" w:sz="4" w:space="0" w:color="auto"/>
            </w:tcBorders>
          </w:tcPr>
          <w:p w14:paraId="504DEB97" w14:textId="77777777" w:rsidR="000923BB" w:rsidRPr="00F955C6" w:rsidRDefault="000923BB" w:rsidP="003A385F">
            <w:pPr>
              <w:rPr>
                <w:rFonts w:cs="Arial"/>
                <w:sz w:val="20"/>
                <w:szCs w:val="20"/>
              </w:rPr>
            </w:pPr>
            <w:r w:rsidRPr="00F955C6">
              <w:rPr>
                <w:rFonts w:cs="Arial"/>
                <w:sz w:val="20"/>
                <w:szCs w:val="20"/>
              </w:rPr>
              <w:t>NHS staff survey Q27b: Encouraged to report errors (mean)</w:t>
            </w:r>
          </w:p>
        </w:tc>
        <w:tc>
          <w:tcPr>
            <w:tcW w:w="1260" w:type="dxa"/>
            <w:tcBorders>
              <w:bottom w:val="single" w:sz="4" w:space="0" w:color="auto"/>
            </w:tcBorders>
          </w:tcPr>
          <w:p w14:paraId="5853E17C" w14:textId="77777777" w:rsidR="000923BB" w:rsidRPr="00F955C6" w:rsidRDefault="000923BB" w:rsidP="003A385F">
            <w:pPr>
              <w:jc w:val="center"/>
              <w:rPr>
                <w:rFonts w:cs="Arial"/>
                <w:sz w:val="20"/>
                <w:szCs w:val="20"/>
              </w:rPr>
            </w:pPr>
            <w:r w:rsidRPr="00F955C6">
              <w:rPr>
                <w:rFonts w:cs="Arial"/>
                <w:sz w:val="20"/>
                <w:szCs w:val="20"/>
              </w:rPr>
              <w:t>0.308</w:t>
            </w:r>
          </w:p>
        </w:tc>
        <w:tc>
          <w:tcPr>
            <w:tcW w:w="900" w:type="dxa"/>
            <w:tcBorders>
              <w:bottom w:val="single" w:sz="4" w:space="0" w:color="auto"/>
            </w:tcBorders>
          </w:tcPr>
          <w:p w14:paraId="24FE45E3" w14:textId="77777777" w:rsidR="000923BB" w:rsidRPr="00F955C6" w:rsidRDefault="000923BB" w:rsidP="003A385F">
            <w:pPr>
              <w:jc w:val="center"/>
              <w:rPr>
                <w:rFonts w:cs="Arial"/>
                <w:sz w:val="20"/>
                <w:szCs w:val="20"/>
              </w:rPr>
            </w:pPr>
            <w:r w:rsidRPr="00F955C6">
              <w:rPr>
                <w:rFonts w:cs="Arial"/>
                <w:sz w:val="20"/>
                <w:szCs w:val="20"/>
              </w:rPr>
              <w:t>0.187</w:t>
            </w:r>
          </w:p>
        </w:tc>
        <w:tc>
          <w:tcPr>
            <w:tcW w:w="1394" w:type="dxa"/>
            <w:tcBorders>
              <w:bottom w:val="single" w:sz="4" w:space="0" w:color="auto"/>
            </w:tcBorders>
          </w:tcPr>
          <w:p w14:paraId="49CBE843"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5D143858" w14:textId="77777777" w:rsidTr="005332D1">
        <w:tc>
          <w:tcPr>
            <w:tcW w:w="4718" w:type="dxa"/>
            <w:tcBorders>
              <w:bottom w:val="single" w:sz="4" w:space="0" w:color="auto"/>
            </w:tcBorders>
            <w:shd w:val="clear" w:color="auto" w:fill="auto"/>
          </w:tcPr>
          <w:p w14:paraId="69F72564" w14:textId="77777777" w:rsidR="000923BB" w:rsidRPr="00F955C6" w:rsidRDefault="000923BB" w:rsidP="003A385F">
            <w:pPr>
              <w:rPr>
                <w:rFonts w:cs="Arial"/>
                <w:sz w:val="20"/>
                <w:szCs w:val="20"/>
              </w:rPr>
            </w:pPr>
            <w:r w:rsidRPr="00F955C6">
              <w:rPr>
                <w:rFonts w:cs="Arial"/>
                <w:sz w:val="20"/>
                <w:szCs w:val="20"/>
              </w:rPr>
              <w:t>NHS staff survey Q27e: Trust takes action to ensure does not happen again (mean)</w:t>
            </w:r>
          </w:p>
        </w:tc>
        <w:tc>
          <w:tcPr>
            <w:tcW w:w="1260" w:type="dxa"/>
            <w:tcBorders>
              <w:bottom w:val="single" w:sz="4" w:space="0" w:color="auto"/>
            </w:tcBorders>
            <w:shd w:val="clear" w:color="auto" w:fill="auto"/>
          </w:tcPr>
          <w:p w14:paraId="49626510" w14:textId="77777777" w:rsidR="000923BB" w:rsidRPr="00F955C6" w:rsidRDefault="000923BB" w:rsidP="003A385F">
            <w:pPr>
              <w:jc w:val="center"/>
              <w:rPr>
                <w:rFonts w:cs="Arial"/>
                <w:sz w:val="20"/>
                <w:szCs w:val="20"/>
              </w:rPr>
            </w:pPr>
            <w:r w:rsidRPr="00F955C6">
              <w:rPr>
                <w:rFonts w:cs="Arial"/>
                <w:sz w:val="20"/>
                <w:szCs w:val="20"/>
              </w:rPr>
              <w:t>0.430</w:t>
            </w:r>
          </w:p>
        </w:tc>
        <w:tc>
          <w:tcPr>
            <w:tcW w:w="900" w:type="dxa"/>
            <w:tcBorders>
              <w:bottom w:val="single" w:sz="4" w:space="0" w:color="auto"/>
            </w:tcBorders>
            <w:shd w:val="clear" w:color="auto" w:fill="auto"/>
          </w:tcPr>
          <w:p w14:paraId="5ECBFAB1" w14:textId="77777777" w:rsidR="000923BB" w:rsidRPr="00F955C6" w:rsidRDefault="000923BB" w:rsidP="003A385F">
            <w:pPr>
              <w:jc w:val="center"/>
              <w:rPr>
                <w:rFonts w:cs="Arial"/>
                <w:sz w:val="20"/>
                <w:szCs w:val="20"/>
              </w:rPr>
            </w:pPr>
            <w:r w:rsidRPr="00F955C6">
              <w:rPr>
                <w:rFonts w:cs="Arial"/>
                <w:sz w:val="20"/>
                <w:szCs w:val="20"/>
              </w:rPr>
              <w:t>0.059</w:t>
            </w:r>
          </w:p>
        </w:tc>
        <w:tc>
          <w:tcPr>
            <w:tcW w:w="1394" w:type="dxa"/>
            <w:tcBorders>
              <w:bottom w:val="single" w:sz="4" w:space="0" w:color="auto"/>
            </w:tcBorders>
            <w:shd w:val="clear" w:color="auto" w:fill="auto"/>
          </w:tcPr>
          <w:p w14:paraId="525D3702" w14:textId="77777777" w:rsidR="000923BB" w:rsidRPr="00F955C6" w:rsidRDefault="000923BB" w:rsidP="003A385F">
            <w:pPr>
              <w:jc w:val="center"/>
              <w:rPr>
                <w:rFonts w:cs="Arial"/>
                <w:sz w:val="20"/>
                <w:szCs w:val="20"/>
              </w:rPr>
            </w:pPr>
            <w:r w:rsidRPr="00F955C6">
              <w:rPr>
                <w:rFonts w:cs="Arial"/>
                <w:sz w:val="20"/>
                <w:szCs w:val="20"/>
              </w:rPr>
              <w:t>Moderate</w:t>
            </w:r>
          </w:p>
        </w:tc>
      </w:tr>
      <w:tr w:rsidR="000923BB" w:rsidRPr="00F955C6" w14:paraId="5AE961B1" w14:textId="77777777" w:rsidTr="005332D1">
        <w:tc>
          <w:tcPr>
            <w:tcW w:w="4718" w:type="dxa"/>
            <w:shd w:val="clear" w:color="auto" w:fill="CCFFCC"/>
          </w:tcPr>
          <w:p w14:paraId="6BC26208" w14:textId="77777777" w:rsidR="000923BB" w:rsidRPr="00F955C6" w:rsidRDefault="000923BB" w:rsidP="003A385F">
            <w:pPr>
              <w:rPr>
                <w:rFonts w:cs="Arial"/>
                <w:sz w:val="20"/>
                <w:szCs w:val="20"/>
              </w:rPr>
            </w:pPr>
            <w:r w:rsidRPr="00F955C6">
              <w:rPr>
                <w:rFonts w:cs="Arial"/>
                <w:sz w:val="20"/>
                <w:szCs w:val="20"/>
              </w:rPr>
              <w:t xml:space="preserve">NHS staff survey Q24a: Know how to report (% </w:t>
            </w:r>
            <w:r w:rsidRPr="00F955C6">
              <w:rPr>
                <w:rFonts w:cs="Arial"/>
                <w:sz w:val="20"/>
                <w:szCs w:val="20"/>
              </w:rPr>
              <w:lastRenderedPageBreak/>
              <w:t>yes)</w:t>
            </w:r>
          </w:p>
        </w:tc>
        <w:tc>
          <w:tcPr>
            <w:tcW w:w="1260" w:type="dxa"/>
            <w:shd w:val="clear" w:color="auto" w:fill="CCFFCC"/>
          </w:tcPr>
          <w:p w14:paraId="1B37B37C" w14:textId="77777777" w:rsidR="000923BB" w:rsidRPr="00F955C6" w:rsidRDefault="000923BB" w:rsidP="003A385F">
            <w:pPr>
              <w:jc w:val="center"/>
              <w:rPr>
                <w:rFonts w:cs="Arial"/>
                <w:sz w:val="20"/>
                <w:szCs w:val="20"/>
              </w:rPr>
            </w:pPr>
            <w:r w:rsidRPr="00F955C6">
              <w:rPr>
                <w:rFonts w:cs="Arial"/>
                <w:sz w:val="20"/>
                <w:szCs w:val="20"/>
              </w:rPr>
              <w:lastRenderedPageBreak/>
              <w:t>0.509</w:t>
            </w:r>
          </w:p>
        </w:tc>
        <w:tc>
          <w:tcPr>
            <w:tcW w:w="900" w:type="dxa"/>
            <w:shd w:val="clear" w:color="auto" w:fill="CCFFCC"/>
          </w:tcPr>
          <w:p w14:paraId="42ED6926" w14:textId="77777777" w:rsidR="000923BB" w:rsidRPr="00F955C6" w:rsidRDefault="000923BB" w:rsidP="003A385F">
            <w:pPr>
              <w:jc w:val="center"/>
              <w:rPr>
                <w:rFonts w:cs="Arial"/>
                <w:sz w:val="20"/>
                <w:szCs w:val="20"/>
              </w:rPr>
            </w:pPr>
            <w:r w:rsidRPr="00F955C6">
              <w:rPr>
                <w:rFonts w:cs="Arial"/>
                <w:sz w:val="20"/>
                <w:szCs w:val="20"/>
              </w:rPr>
              <w:t>0.022</w:t>
            </w:r>
          </w:p>
        </w:tc>
        <w:tc>
          <w:tcPr>
            <w:tcW w:w="1394" w:type="dxa"/>
            <w:shd w:val="clear" w:color="auto" w:fill="CCFFCC"/>
          </w:tcPr>
          <w:p w14:paraId="28E7AD20" w14:textId="77777777" w:rsidR="000923BB" w:rsidRPr="00F955C6" w:rsidRDefault="000923BB" w:rsidP="003A385F">
            <w:pPr>
              <w:jc w:val="center"/>
              <w:rPr>
                <w:rFonts w:cs="Arial"/>
                <w:sz w:val="20"/>
                <w:szCs w:val="20"/>
              </w:rPr>
            </w:pPr>
            <w:r w:rsidRPr="00F955C6">
              <w:rPr>
                <w:rFonts w:cs="Arial"/>
                <w:sz w:val="20"/>
                <w:szCs w:val="20"/>
              </w:rPr>
              <w:t>Moderate</w:t>
            </w:r>
          </w:p>
        </w:tc>
      </w:tr>
      <w:tr w:rsidR="000923BB" w:rsidRPr="00F955C6" w14:paraId="12E3111A" w14:textId="77777777" w:rsidTr="005332D1">
        <w:tc>
          <w:tcPr>
            <w:tcW w:w="4718" w:type="dxa"/>
            <w:tcBorders>
              <w:bottom w:val="single" w:sz="4" w:space="0" w:color="auto"/>
            </w:tcBorders>
          </w:tcPr>
          <w:p w14:paraId="46559E90" w14:textId="77777777" w:rsidR="000923BB" w:rsidRPr="00F955C6" w:rsidRDefault="000923BB" w:rsidP="003A385F">
            <w:pPr>
              <w:rPr>
                <w:rFonts w:cs="Arial"/>
                <w:sz w:val="20"/>
                <w:szCs w:val="20"/>
              </w:rPr>
            </w:pPr>
            <w:r w:rsidRPr="00F955C6">
              <w:rPr>
                <w:rFonts w:cs="Arial"/>
                <w:sz w:val="20"/>
                <w:szCs w:val="20"/>
              </w:rPr>
              <w:t xml:space="preserve">NHS staff survey Q24b: System for reporting (% yes) </w:t>
            </w:r>
          </w:p>
        </w:tc>
        <w:tc>
          <w:tcPr>
            <w:tcW w:w="1260" w:type="dxa"/>
            <w:tcBorders>
              <w:bottom w:val="single" w:sz="4" w:space="0" w:color="auto"/>
            </w:tcBorders>
          </w:tcPr>
          <w:p w14:paraId="5DB0DD4B" w14:textId="77777777" w:rsidR="000923BB" w:rsidRPr="00F955C6" w:rsidRDefault="000923BB" w:rsidP="003A385F">
            <w:pPr>
              <w:jc w:val="center"/>
              <w:rPr>
                <w:rFonts w:cs="Arial"/>
                <w:sz w:val="20"/>
                <w:szCs w:val="20"/>
              </w:rPr>
            </w:pPr>
            <w:r w:rsidRPr="00F955C6">
              <w:rPr>
                <w:rFonts w:cs="Arial"/>
                <w:sz w:val="20"/>
                <w:szCs w:val="20"/>
              </w:rPr>
              <w:t>0.264</w:t>
            </w:r>
          </w:p>
        </w:tc>
        <w:tc>
          <w:tcPr>
            <w:tcW w:w="900" w:type="dxa"/>
            <w:tcBorders>
              <w:bottom w:val="single" w:sz="4" w:space="0" w:color="auto"/>
            </w:tcBorders>
          </w:tcPr>
          <w:p w14:paraId="65265E0F" w14:textId="77777777" w:rsidR="000923BB" w:rsidRPr="00F955C6" w:rsidRDefault="000923BB" w:rsidP="003A385F">
            <w:pPr>
              <w:jc w:val="center"/>
              <w:rPr>
                <w:rFonts w:cs="Arial"/>
                <w:sz w:val="20"/>
                <w:szCs w:val="20"/>
              </w:rPr>
            </w:pPr>
            <w:r w:rsidRPr="00F955C6">
              <w:rPr>
                <w:rFonts w:cs="Arial"/>
                <w:sz w:val="20"/>
                <w:szCs w:val="20"/>
              </w:rPr>
              <w:t>0.261</w:t>
            </w:r>
          </w:p>
        </w:tc>
        <w:tc>
          <w:tcPr>
            <w:tcW w:w="1394" w:type="dxa"/>
            <w:tcBorders>
              <w:bottom w:val="single" w:sz="4" w:space="0" w:color="auto"/>
            </w:tcBorders>
          </w:tcPr>
          <w:p w14:paraId="0BF36129"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24159C70" w14:textId="77777777" w:rsidTr="005332D1">
        <w:tc>
          <w:tcPr>
            <w:tcW w:w="4718" w:type="dxa"/>
            <w:shd w:val="clear" w:color="auto" w:fill="auto"/>
          </w:tcPr>
          <w:p w14:paraId="2C13D68F" w14:textId="77777777" w:rsidR="000923BB" w:rsidRPr="00F955C6" w:rsidRDefault="000923BB" w:rsidP="003A385F">
            <w:pPr>
              <w:rPr>
                <w:rFonts w:cs="Arial"/>
                <w:sz w:val="20"/>
                <w:szCs w:val="20"/>
              </w:rPr>
            </w:pPr>
            <w:r w:rsidRPr="00F955C6">
              <w:rPr>
                <w:rFonts w:cs="Arial"/>
                <w:sz w:val="20"/>
                <w:szCs w:val="20"/>
              </w:rPr>
              <w:t>NHS staff survey Q24b: System for reporting (% no)</w:t>
            </w:r>
          </w:p>
        </w:tc>
        <w:tc>
          <w:tcPr>
            <w:tcW w:w="1260" w:type="dxa"/>
            <w:shd w:val="clear" w:color="auto" w:fill="auto"/>
          </w:tcPr>
          <w:p w14:paraId="101AE3B3" w14:textId="77777777" w:rsidR="000923BB" w:rsidRPr="00F955C6" w:rsidRDefault="000923BB" w:rsidP="003A385F">
            <w:pPr>
              <w:jc w:val="center"/>
              <w:rPr>
                <w:rFonts w:cs="Arial"/>
                <w:sz w:val="20"/>
                <w:szCs w:val="20"/>
              </w:rPr>
            </w:pPr>
            <w:r w:rsidRPr="00F955C6">
              <w:rPr>
                <w:rFonts w:cs="Arial"/>
                <w:sz w:val="20"/>
                <w:szCs w:val="20"/>
              </w:rPr>
              <w:t>0.126</w:t>
            </w:r>
          </w:p>
        </w:tc>
        <w:tc>
          <w:tcPr>
            <w:tcW w:w="900" w:type="dxa"/>
            <w:shd w:val="clear" w:color="auto" w:fill="auto"/>
          </w:tcPr>
          <w:p w14:paraId="729E02E5" w14:textId="77777777" w:rsidR="000923BB" w:rsidRPr="00F955C6" w:rsidRDefault="000923BB" w:rsidP="003A385F">
            <w:pPr>
              <w:jc w:val="center"/>
              <w:rPr>
                <w:rFonts w:cs="Arial"/>
                <w:sz w:val="20"/>
                <w:szCs w:val="20"/>
              </w:rPr>
            </w:pPr>
            <w:r w:rsidRPr="00F955C6">
              <w:rPr>
                <w:rFonts w:cs="Arial"/>
                <w:sz w:val="20"/>
                <w:szCs w:val="20"/>
              </w:rPr>
              <w:t>0.598</w:t>
            </w:r>
          </w:p>
        </w:tc>
        <w:tc>
          <w:tcPr>
            <w:tcW w:w="1394" w:type="dxa"/>
            <w:shd w:val="clear" w:color="auto" w:fill="auto"/>
          </w:tcPr>
          <w:p w14:paraId="32E2063A"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071C5A29" w14:textId="77777777" w:rsidTr="005332D1">
        <w:tc>
          <w:tcPr>
            <w:tcW w:w="4718" w:type="dxa"/>
            <w:tcBorders>
              <w:bottom w:val="single" w:sz="4" w:space="0" w:color="auto"/>
            </w:tcBorders>
          </w:tcPr>
          <w:p w14:paraId="6C1F4575" w14:textId="77777777" w:rsidR="000923BB" w:rsidRPr="00F955C6" w:rsidRDefault="000923BB" w:rsidP="003A385F">
            <w:pPr>
              <w:rPr>
                <w:rFonts w:cs="Arial"/>
                <w:sz w:val="20"/>
                <w:szCs w:val="20"/>
              </w:rPr>
            </w:pPr>
            <w:r w:rsidRPr="00F955C6">
              <w:rPr>
                <w:rFonts w:cs="Arial"/>
                <w:sz w:val="20"/>
                <w:szCs w:val="20"/>
              </w:rPr>
              <w:t>NHS staff survey Q24b: System for reporting (% DK)</w:t>
            </w:r>
          </w:p>
        </w:tc>
        <w:tc>
          <w:tcPr>
            <w:tcW w:w="1260" w:type="dxa"/>
            <w:tcBorders>
              <w:bottom w:val="single" w:sz="4" w:space="0" w:color="auto"/>
            </w:tcBorders>
          </w:tcPr>
          <w:p w14:paraId="06B8925E" w14:textId="77777777" w:rsidR="000923BB" w:rsidRPr="00F955C6" w:rsidRDefault="000923BB" w:rsidP="003A385F">
            <w:pPr>
              <w:jc w:val="center"/>
              <w:rPr>
                <w:rFonts w:cs="Arial"/>
                <w:sz w:val="20"/>
                <w:szCs w:val="20"/>
              </w:rPr>
            </w:pPr>
            <w:r w:rsidRPr="00F955C6">
              <w:rPr>
                <w:rFonts w:cs="Arial"/>
                <w:sz w:val="20"/>
                <w:szCs w:val="20"/>
              </w:rPr>
              <w:t>-0.306</w:t>
            </w:r>
          </w:p>
        </w:tc>
        <w:tc>
          <w:tcPr>
            <w:tcW w:w="900" w:type="dxa"/>
            <w:tcBorders>
              <w:bottom w:val="single" w:sz="4" w:space="0" w:color="auto"/>
            </w:tcBorders>
          </w:tcPr>
          <w:p w14:paraId="71D3D32C" w14:textId="77777777" w:rsidR="000923BB" w:rsidRPr="00F955C6" w:rsidRDefault="000923BB" w:rsidP="003A385F">
            <w:pPr>
              <w:jc w:val="center"/>
              <w:rPr>
                <w:rFonts w:cs="Arial"/>
                <w:sz w:val="20"/>
                <w:szCs w:val="20"/>
              </w:rPr>
            </w:pPr>
            <w:r w:rsidRPr="00F955C6">
              <w:rPr>
                <w:rFonts w:cs="Arial"/>
                <w:sz w:val="20"/>
                <w:szCs w:val="20"/>
              </w:rPr>
              <w:t>0.189</w:t>
            </w:r>
          </w:p>
        </w:tc>
        <w:tc>
          <w:tcPr>
            <w:tcW w:w="1394" w:type="dxa"/>
            <w:tcBorders>
              <w:bottom w:val="single" w:sz="4" w:space="0" w:color="auto"/>
            </w:tcBorders>
          </w:tcPr>
          <w:p w14:paraId="66593392"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3C40DBFE" w14:textId="77777777" w:rsidTr="005332D1">
        <w:tc>
          <w:tcPr>
            <w:tcW w:w="4718" w:type="dxa"/>
            <w:tcBorders>
              <w:bottom w:val="single" w:sz="4" w:space="0" w:color="auto"/>
            </w:tcBorders>
            <w:shd w:val="clear" w:color="auto" w:fill="auto"/>
          </w:tcPr>
          <w:p w14:paraId="65BB7C82" w14:textId="77777777" w:rsidR="000923BB" w:rsidRPr="00F955C6" w:rsidRDefault="000923BB" w:rsidP="003A385F">
            <w:pPr>
              <w:rPr>
                <w:rFonts w:cs="Arial"/>
                <w:sz w:val="20"/>
                <w:szCs w:val="20"/>
              </w:rPr>
            </w:pPr>
            <w:r w:rsidRPr="00F955C6">
              <w:rPr>
                <w:rFonts w:cs="Arial"/>
                <w:sz w:val="20"/>
                <w:szCs w:val="20"/>
              </w:rPr>
              <w:t>NHS staff survey Q22e: Care of patient/service user is top priority (mean)</w:t>
            </w:r>
          </w:p>
        </w:tc>
        <w:tc>
          <w:tcPr>
            <w:tcW w:w="1260" w:type="dxa"/>
            <w:tcBorders>
              <w:bottom w:val="single" w:sz="4" w:space="0" w:color="auto"/>
            </w:tcBorders>
            <w:shd w:val="clear" w:color="auto" w:fill="auto"/>
          </w:tcPr>
          <w:p w14:paraId="64A4681B" w14:textId="77777777" w:rsidR="000923BB" w:rsidRPr="00F955C6" w:rsidRDefault="000923BB" w:rsidP="003A385F">
            <w:pPr>
              <w:jc w:val="center"/>
              <w:rPr>
                <w:rFonts w:cs="Arial"/>
                <w:sz w:val="20"/>
                <w:szCs w:val="20"/>
              </w:rPr>
            </w:pPr>
            <w:r w:rsidRPr="00F955C6">
              <w:rPr>
                <w:rFonts w:cs="Arial"/>
                <w:sz w:val="20"/>
                <w:szCs w:val="20"/>
              </w:rPr>
              <w:t>0.442</w:t>
            </w:r>
          </w:p>
        </w:tc>
        <w:tc>
          <w:tcPr>
            <w:tcW w:w="900" w:type="dxa"/>
            <w:tcBorders>
              <w:bottom w:val="single" w:sz="4" w:space="0" w:color="auto"/>
            </w:tcBorders>
            <w:shd w:val="clear" w:color="auto" w:fill="auto"/>
          </w:tcPr>
          <w:p w14:paraId="123ACEB2" w14:textId="77777777" w:rsidR="000923BB" w:rsidRPr="00F955C6" w:rsidRDefault="000923BB" w:rsidP="003A385F">
            <w:pPr>
              <w:jc w:val="center"/>
              <w:rPr>
                <w:rFonts w:cs="Arial"/>
                <w:sz w:val="20"/>
                <w:szCs w:val="20"/>
              </w:rPr>
            </w:pPr>
            <w:r w:rsidRPr="00F955C6">
              <w:rPr>
                <w:rFonts w:cs="Arial"/>
                <w:sz w:val="20"/>
                <w:szCs w:val="20"/>
              </w:rPr>
              <w:t>0.051</w:t>
            </w:r>
          </w:p>
        </w:tc>
        <w:tc>
          <w:tcPr>
            <w:tcW w:w="1394" w:type="dxa"/>
            <w:tcBorders>
              <w:bottom w:val="single" w:sz="4" w:space="0" w:color="auto"/>
            </w:tcBorders>
            <w:shd w:val="clear" w:color="auto" w:fill="auto"/>
          </w:tcPr>
          <w:p w14:paraId="751831F1" w14:textId="77777777" w:rsidR="000923BB" w:rsidRPr="00F955C6" w:rsidRDefault="000923BB" w:rsidP="003A385F">
            <w:pPr>
              <w:jc w:val="center"/>
              <w:rPr>
                <w:rFonts w:cs="Arial"/>
                <w:sz w:val="20"/>
                <w:szCs w:val="20"/>
              </w:rPr>
            </w:pPr>
            <w:r w:rsidRPr="00F955C6">
              <w:rPr>
                <w:rFonts w:cs="Arial"/>
                <w:sz w:val="20"/>
                <w:szCs w:val="20"/>
              </w:rPr>
              <w:t>Moderate</w:t>
            </w:r>
          </w:p>
        </w:tc>
      </w:tr>
      <w:tr w:rsidR="000923BB" w:rsidRPr="00F955C6" w14:paraId="389937DA" w14:textId="77777777" w:rsidTr="005332D1">
        <w:tc>
          <w:tcPr>
            <w:tcW w:w="4718" w:type="dxa"/>
            <w:shd w:val="clear" w:color="auto" w:fill="auto"/>
          </w:tcPr>
          <w:p w14:paraId="1F44796A" w14:textId="77777777" w:rsidR="000923BB" w:rsidRPr="00F955C6" w:rsidRDefault="000923BB" w:rsidP="003A385F">
            <w:pPr>
              <w:rPr>
                <w:rFonts w:cs="Arial"/>
                <w:sz w:val="20"/>
                <w:szCs w:val="20"/>
              </w:rPr>
            </w:pPr>
            <w:r w:rsidRPr="00F955C6">
              <w:rPr>
                <w:rFonts w:cs="Arial"/>
                <w:sz w:val="20"/>
                <w:szCs w:val="20"/>
              </w:rPr>
              <w:t>NHS staff survey Q22f: Happy with standard of care provided (mean)</w:t>
            </w:r>
          </w:p>
        </w:tc>
        <w:tc>
          <w:tcPr>
            <w:tcW w:w="1260" w:type="dxa"/>
            <w:shd w:val="clear" w:color="auto" w:fill="auto"/>
          </w:tcPr>
          <w:p w14:paraId="20F29EB1" w14:textId="77777777" w:rsidR="000923BB" w:rsidRPr="00F955C6" w:rsidRDefault="000923BB" w:rsidP="003A385F">
            <w:pPr>
              <w:jc w:val="center"/>
              <w:rPr>
                <w:rFonts w:cs="Arial"/>
                <w:sz w:val="20"/>
                <w:szCs w:val="20"/>
              </w:rPr>
            </w:pPr>
            <w:r w:rsidRPr="00F955C6">
              <w:rPr>
                <w:rFonts w:cs="Arial"/>
                <w:sz w:val="20"/>
                <w:szCs w:val="20"/>
              </w:rPr>
              <w:t>0.078</w:t>
            </w:r>
          </w:p>
        </w:tc>
        <w:tc>
          <w:tcPr>
            <w:tcW w:w="900" w:type="dxa"/>
            <w:shd w:val="clear" w:color="auto" w:fill="auto"/>
          </w:tcPr>
          <w:p w14:paraId="16BEB535" w14:textId="77777777" w:rsidR="000923BB" w:rsidRPr="00F955C6" w:rsidRDefault="000923BB" w:rsidP="003A385F">
            <w:pPr>
              <w:jc w:val="center"/>
              <w:rPr>
                <w:rFonts w:cs="Arial"/>
                <w:sz w:val="20"/>
                <w:szCs w:val="20"/>
              </w:rPr>
            </w:pPr>
            <w:r w:rsidRPr="00F955C6">
              <w:rPr>
                <w:rFonts w:cs="Arial"/>
                <w:sz w:val="20"/>
                <w:szCs w:val="20"/>
              </w:rPr>
              <w:t>0.744</w:t>
            </w:r>
          </w:p>
        </w:tc>
        <w:tc>
          <w:tcPr>
            <w:tcW w:w="1394" w:type="dxa"/>
            <w:shd w:val="clear" w:color="auto" w:fill="auto"/>
          </w:tcPr>
          <w:p w14:paraId="2D3A81FB" w14:textId="77777777" w:rsidR="000923BB" w:rsidRPr="00F955C6" w:rsidRDefault="000923BB" w:rsidP="003A385F">
            <w:pPr>
              <w:jc w:val="center"/>
              <w:rPr>
                <w:rFonts w:cs="Arial"/>
                <w:sz w:val="20"/>
                <w:szCs w:val="20"/>
              </w:rPr>
            </w:pPr>
            <w:r w:rsidRPr="00F955C6">
              <w:rPr>
                <w:rFonts w:cs="Arial"/>
                <w:sz w:val="20"/>
                <w:szCs w:val="20"/>
              </w:rPr>
              <w:t>Very weak</w:t>
            </w:r>
          </w:p>
        </w:tc>
      </w:tr>
    </w:tbl>
    <w:p w14:paraId="69006C7A" w14:textId="77777777" w:rsidR="000923BB" w:rsidRDefault="005332D1" w:rsidP="000923BB">
      <w:pPr>
        <w:rPr>
          <w:rFonts w:cs="Arial"/>
          <w:sz w:val="18"/>
          <w:szCs w:val="18"/>
        </w:rPr>
      </w:pPr>
      <w:r>
        <w:rPr>
          <w:rFonts w:cs="Arial"/>
          <w:sz w:val="18"/>
          <w:szCs w:val="18"/>
        </w:rPr>
        <w:t xml:space="preserve">   </w:t>
      </w:r>
      <w:r w:rsidR="000923BB" w:rsidRPr="00D77319">
        <w:rPr>
          <w:rFonts w:cs="Arial"/>
          <w:sz w:val="18"/>
          <w:szCs w:val="18"/>
        </w:rPr>
        <w:t>* Spearman’s rank correlation used</w:t>
      </w:r>
    </w:p>
    <w:p w14:paraId="504E6CB2" w14:textId="77777777" w:rsidR="000923BB" w:rsidRPr="00D77319" w:rsidRDefault="005332D1" w:rsidP="000923BB">
      <w:pPr>
        <w:rPr>
          <w:rFonts w:cs="Arial"/>
          <w:sz w:val="18"/>
          <w:szCs w:val="18"/>
        </w:rPr>
      </w:pPr>
      <w:r>
        <w:rPr>
          <w:rFonts w:cs="Arial"/>
          <w:sz w:val="18"/>
          <w:szCs w:val="18"/>
        </w:rPr>
        <w:t xml:space="preserve">    </w:t>
      </w:r>
      <w:r w:rsidR="000923BB">
        <w:rPr>
          <w:rFonts w:cs="Arial"/>
          <w:sz w:val="18"/>
          <w:szCs w:val="18"/>
        </w:rPr>
        <w:t xml:space="preserve">Correlations at the &lt; 0.05 significance level highlighted </w:t>
      </w:r>
    </w:p>
    <w:p w14:paraId="6BACC37A" w14:textId="77777777" w:rsidR="000923BB" w:rsidRPr="00D77319" w:rsidRDefault="000923BB" w:rsidP="000923BB">
      <w:pPr>
        <w:rPr>
          <w:rFonts w:cs="Arial"/>
          <w:sz w:val="18"/>
          <w:szCs w:val="18"/>
        </w:rPr>
      </w:pPr>
    </w:p>
    <w:p w14:paraId="5DD3FEDA" w14:textId="77777777" w:rsidR="000923BB" w:rsidRPr="004932C5" w:rsidRDefault="000923BB" w:rsidP="000923BB">
      <w:pPr>
        <w:jc w:val="center"/>
        <w:rPr>
          <w:rFonts w:cs="Arial"/>
          <w:b/>
          <w:sz w:val="28"/>
          <w:szCs w:val="28"/>
        </w:rPr>
      </w:pPr>
      <w:r>
        <w:rPr>
          <w:rFonts w:cs="Arial"/>
          <w:b/>
          <w:bCs/>
          <w:sz w:val="22"/>
        </w:rPr>
        <w:br w:type="page"/>
      </w:r>
      <w:r w:rsidRPr="004932C5">
        <w:rPr>
          <w:rFonts w:cs="Arial"/>
          <w:b/>
          <w:sz w:val="28"/>
          <w:szCs w:val="28"/>
        </w:rPr>
        <w:lastRenderedPageBreak/>
        <w:t>Appendix 9</w:t>
      </w:r>
    </w:p>
    <w:p w14:paraId="28E4E1D0" w14:textId="77777777" w:rsidR="000923BB" w:rsidRPr="00F44C92" w:rsidRDefault="000923BB" w:rsidP="000923BB">
      <w:pPr>
        <w:jc w:val="center"/>
        <w:rPr>
          <w:rFonts w:cs="Arial"/>
          <w:b/>
        </w:rPr>
      </w:pPr>
    </w:p>
    <w:p w14:paraId="6FB7C2A0" w14:textId="77777777" w:rsidR="000923BB" w:rsidRDefault="000923BB" w:rsidP="000923BB">
      <w:pPr>
        <w:jc w:val="both"/>
        <w:rPr>
          <w:rFonts w:cs="Arial"/>
          <w:b/>
          <w:bCs/>
          <w:sz w:val="22"/>
        </w:rPr>
      </w:pPr>
      <w:r>
        <w:rPr>
          <w:rFonts w:cs="Arial"/>
          <w:b/>
          <w:bCs/>
          <w:sz w:val="22"/>
        </w:rPr>
        <w:t>COPD – correlations between holistic mean phase scale scores and outcome variables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4"/>
        <w:gridCol w:w="1418"/>
        <w:gridCol w:w="850"/>
        <w:gridCol w:w="1418"/>
      </w:tblGrid>
      <w:tr w:rsidR="000923BB" w:rsidRPr="00F955C6" w14:paraId="5106152C" w14:textId="77777777" w:rsidTr="000520F8">
        <w:tc>
          <w:tcPr>
            <w:tcW w:w="4394" w:type="dxa"/>
          </w:tcPr>
          <w:p w14:paraId="77B25AB3" w14:textId="77777777" w:rsidR="000923BB" w:rsidRPr="00F955C6" w:rsidRDefault="000923BB" w:rsidP="003A385F">
            <w:pPr>
              <w:rPr>
                <w:rFonts w:cs="Arial"/>
                <w:sz w:val="20"/>
                <w:szCs w:val="20"/>
              </w:rPr>
            </w:pPr>
            <w:r w:rsidRPr="00F955C6">
              <w:rPr>
                <w:rFonts w:cs="Arial"/>
                <w:sz w:val="20"/>
                <w:szCs w:val="20"/>
              </w:rPr>
              <w:t>Variable</w:t>
            </w:r>
          </w:p>
        </w:tc>
        <w:tc>
          <w:tcPr>
            <w:tcW w:w="1418" w:type="dxa"/>
          </w:tcPr>
          <w:p w14:paraId="104E787F" w14:textId="77777777" w:rsidR="000923BB" w:rsidRPr="00F955C6" w:rsidRDefault="000923BB" w:rsidP="003A385F">
            <w:pPr>
              <w:jc w:val="center"/>
              <w:rPr>
                <w:rFonts w:cs="Arial"/>
                <w:sz w:val="20"/>
                <w:szCs w:val="20"/>
              </w:rPr>
            </w:pPr>
            <w:r w:rsidRPr="00F955C6">
              <w:rPr>
                <w:rFonts w:cs="Arial"/>
                <w:sz w:val="20"/>
                <w:szCs w:val="20"/>
              </w:rPr>
              <w:t>Correlation coefficient</w:t>
            </w:r>
          </w:p>
        </w:tc>
        <w:tc>
          <w:tcPr>
            <w:tcW w:w="850" w:type="dxa"/>
          </w:tcPr>
          <w:p w14:paraId="2D71502B" w14:textId="77777777" w:rsidR="000923BB" w:rsidRPr="00F955C6" w:rsidRDefault="000923BB" w:rsidP="003A385F">
            <w:pPr>
              <w:jc w:val="center"/>
              <w:rPr>
                <w:rFonts w:cs="Arial"/>
                <w:sz w:val="20"/>
                <w:szCs w:val="20"/>
              </w:rPr>
            </w:pPr>
            <w:r w:rsidRPr="00F955C6">
              <w:rPr>
                <w:rFonts w:cs="Arial"/>
                <w:sz w:val="20"/>
                <w:szCs w:val="20"/>
              </w:rPr>
              <w:t>p-value</w:t>
            </w:r>
          </w:p>
        </w:tc>
        <w:tc>
          <w:tcPr>
            <w:tcW w:w="1418" w:type="dxa"/>
          </w:tcPr>
          <w:p w14:paraId="6F1D45A7" w14:textId="77777777" w:rsidR="000923BB" w:rsidRPr="00F955C6" w:rsidRDefault="000923BB" w:rsidP="003A385F">
            <w:pPr>
              <w:jc w:val="center"/>
              <w:rPr>
                <w:rFonts w:cs="Arial"/>
                <w:sz w:val="20"/>
                <w:szCs w:val="20"/>
              </w:rPr>
            </w:pPr>
            <w:r w:rsidRPr="00F955C6">
              <w:rPr>
                <w:rFonts w:cs="Arial"/>
                <w:sz w:val="20"/>
                <w:szCs w:val="20"/>
              </w:rPr>
              <w:t>Relationship</w:t>
            </w:r>
          </w:p>
        </w:tc>
      </w:tr>
      <w:tr w:rsidR="000923BB" w:rsidRPr="00F955C6" w14:paraId="66E614F8" w14:textId="77777777" w:rsidTr="000520F8">
        <w:tc>
          <w:tcPr>
            <w:tcW w:w="4394" w:type="dxa"/>
          </w:tcPr>
          <w:p w14:paraId="71671C69" w14:textId="77777777" w:rsidR="000923BB" w:rsidRPr="00F955C6" w:rsidRDefault="000923BB" w:rsidP="003A385F">
            <w:pPr>
              <w:rPr>
                <w:rFonts w:cs="Arial"/>
                <w:sz w:val="20"/>
                <w:szCs w:val="20"/>
              </w:rPr>
            </w:pPr>
            <w:r w:rsidRPr="00F955C6">
              <w:rPr>
                <w:rFonts w:cs="Arial"/>
                <w:sz w:val="20"/>
                <w:szCs w:val="20"/>
              </w:rPr>
              <w:t>Percentage of COPD patients who die in hospital within 28 days</w:t>
            </w:r>
          </w:p>
        </w:tc>
        <w:tc>
          <w:tcPr>
            <w:tcW w:w="1418" w:type="dxa"/>
          </w:tcPr>
          <w:p w14:paraId="1BB9E9C6" w14:textId="77777777" w:rsidR="000923BB" w:rsidRPr="00F955C6" w:rsidRDefault="000923BB" w:rsidP="003A385F">
            <w:pPr>
              <w:jc w:val="center"/>
              <w:rPr>
                <w:rFonts w:cs="Arial"/>
                <w:sz w:val="20"/>
                <w:szCs w:val="20"/>
              </w:rPr>
            </w:pPr>
            <w:r w:rsidRPr="00F955C6">
              <w:rPr>
                <w:rFonts w:cs="Arial"/>
                <w:sz w:val="20"/>
                <w:szCs w:val="20"/>
              </w:rPr>
              <w:t>-0.290</w:t>
            </w:r>
          </w:p>
        </w:tc>
        <w:tc>
          <w:tcPr>
            <w:tcW w:w="850" w:type="dxa"/>
          </w:tcPr>
          <w:p w14:paraId="464A0DB2" w14:textId="77777777" w:rsidR="000923BB" w:rsidRPr="00F955C6" w:rsidRDefault="000923BB" w:rsidP="003A385F">
            <w:pPr>
              <w:jc w:val="center"/>
              <w:rPr>
                <w:rFonts w:cs="Arial"/>
                <w:sz w:val="20"/>
                <w:szCs w:val="20"/>
              </w:rPr>
            </w:pPr>
            <w:r w:rsidRPr="00F955C6">
              <w:rPr>
                <w:rFonts w:cs="Arial"/>
                <w:sz w:val="20"/>
                <w:szCs w:val="20"/>
              </w:rPr>
              <w:t>0.215</w:t>
            </w:r>
          </w:p>
        </w:tc>
        <w:tc>
          <w:tcPr>
            <w:tcW w:w="1418" w:type="dxa"/>
          </w:tcPr>
          <w:p w14:paraId="21FC4B6B"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2CF66FDE" w14:textId="77777777" w:rsidTr="000520F8">
        <w:tc>
          <w:tcPr>
            <w:tcW w:w="4394" w:type="dxa"/>
            <w:tcBorders>
              <w:bottom w:val="single" w:sz="4" w:space="0" w:color="auto"/>
            </w:tcBorders>
          </w:tcPr>
          <w:p w14:paraId="23BF6AC7" w14:textId="77777777" w:rsidR="000923BB" w:rsidRPr="00F955C6" w:rsidRDefault="000923BB" w:rsidP="003A385F">
            <w:pPr>
              <w:rPr>
                <w:rFonts w:cs="Arial"/>
                <w:sz w:val="20"/>
                <w:szCs w:val="20"/>
              </w:rPr>
            </w:pPr>
            <w:r w:rsidRPr="00F955C6">
              <w:rPr>
                <w:rFonts w:cs="Arial"/>
                <w:sz w:val="20"/>
                <w:szCs w:val="20"/>
              </w:rPr>
              <w:t>HSMR from Dr. Foster (3 year mortality)</w:t>
            </w:r>
          </w:p>
        </w:tc>
        <w:tc>
          <w:tcPr>
            <w:tcW w:w="1418" w:type="dxa"/>
            <w:tcBorders>
              <w:bottom w:val="single" w:sz="4" w:space="0" w:color="auto"/>
            </w:tcBorders>
          </w:tcPr>
          <w:p w14:paraId="0170115D" w14:textId="77777777" w:rsidR="000923BB" w:rsidRPr="00F955C6" w:rsidRDefault="000923BB" w:rsidP="003A385F">
            <w:pPr>
              <w:jc w:val="center"/>
              <w:rPr>
                <w:rFonts w:cs="Arial"/>
                <w:sz w:val="20"/>
                <w:szCs w:val="20"/>
              </w:rPr>
            </w:pPr>
            <w:r w:rsidRPr="00F955C6">
              <w:rPr>
                <w:rFonts w:cs="Arial"/>
                <w:sz w:val="20"/>
                <w:szCs w:val="20"/>
              </w:rPr>
              <w:t>-0.135</w:t>
            </w:r>
          </w:p>
        </w:tc>
        <w:tc>
          <w:tcPr>
            <w:tcW w:w="850" w:type="dxa"/>
            <w:tcBorders>
              <w:bottom w:val="single" w:sz="4" w:space="0" w:color="auto"/>
            </w:tcBorders>
          </w:tcPr>
          <w:p w14:paraId="4356D1AF" w14:textId="77777777" w:rsidR="000923BB" w:rsidRPr="00F955C6" w:rsidRDefault="000923BB" w:rsidP="003A385F">
            <w:pPr>
              <w:jc w:val="center"/>
              <w:rPr>
                <w:rFonts w:cs="Arial"/>
                <w:sz w:val="20"/>
                <w:szCs w:val="20"/>
              </w:rPr>
            </w:pPr>
            <w:r w:rsidRPr="00F955C6">
              <w:rPr>
                <w:rFonts w:cs="Arial"/>
                <w:sz w:val="20"/>
                <w:szCs w:val="20"/>
              </w:rPr>
              <w:t>0.569</w:t>
            </w:r>
          </w:p>
        </w:tc>
        <w:tc>
          <w:tcPr>
            <w:tcW w:w="1418" w:type="dxa"/>
            <w:tcBorders>
              <w:bottom w:val="single" w:sz="4" w:space="0" w:color="auto"/>
            </w:tcBorders>
          </w:tcPr>
          <w:p w14:paraId="74B7098E"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64BC997E" w14:textId="77777777" w:rsidTr="000520F8">
        <w:tc>
          <w:tcPr>
            <w:tcW w:w="4394" w:type="dxa"/>
            <w:tcBorders>
              <w:bottom w:val="single" w:sz="4" w:space="0" w:color="auto"/>
            </w:tcBorders>
          </w:tcPr>
          <w:p w14:paraId="052E650E" w14:textId="77777777" w:rsidR="000923BB" w:rsidRPr="00F955C6" w:rsidRDefault="000923BB" w:rsidP="003A385F">
            <w:pPr>
              <w:rPr>
                <w:rFonts w:cs="Arial"/>
                <w:sz w:val="20"/>
                <w:szCs w:val="20"/>
              </w:rPr>
            </w:pPr>
            <w:r w:rsidRPr="00F955C6">
              <w:rPr>
                <w:rFonts w:cs="Arial"/>
                <w:sz w:val="20"/>
                <w:szCs w:val="20"/>
              </w:rPr>
              <w:t>HSMR from Dr. Foster (1 year mortality)</w:t>
            </w:r>
          </w:p>
        </w:tc>
        <w:tc>
          <w:tcPr>
            <w:tcW w:w="1418" w:type="dxa"/>
            <w:tcBorders>
              <w:bottom w:val="single" w:sz="4" w:space="0" w:color="auto"/>
            </w:tcBorders>
          </w:tcPr>
          <w:p w14:paraId="5FE76F8C" w14:textId="77777777" w:rsidR="000923BB" w:rsidRPr="00F955C6" w:rsidRDefault="000923BB" w:rsidP="003A385F">
            <w:pPr>
              <w:jc w:val="center"/>
              <w:rPr>
                <w:rFonts w:cs="Arial"/>
                <w:sz w:val="20"/>
                <w:szCs w:val="20"/>
              </w:rPr>
            </w:pPr>
            <w:r w:rsidRPr="00F955C6">
              <w:rPr>
                <w:rFonts w:cs="Arial"/>
                <w:sz w:val="20"/>
                <w:szCs w:val="20"/>
              </w:rPr>
              <w:t>-0.095</w:t>
            </w:r>
          </w:p>
        </w:tc>
        <w:tc>
          <w:tcPr>
            <w:tcW w:w="850" w:type="dxa"/>
            <w:tcBorders>
              <w:bottom w:val="single" w:sz="4" w:space="0" w:color="auto"/>
            </w:tcBorders>
          </w:tcPr>
          <w:p w14:paraId="4CAF472B" w14:textId="77777777" w:rsidR="000923BB" w:rsidRPr="00F955C6" w:rsidRDefault="000923BB" w:rsidP="003A385F">
            <w:pPr>
              <w:jc w:val="center"/>
              <w:rPr>
                <w:rFonts w:cs="Arial"/>
                <w:sz w:val="20"/>
                <w:szCs w:val="20"/>
              </w:rPr>
            </w:pPr>
            <w:r w:rsidRPr="00F955C6">
              <w:rPr>
                <w:rFonts w:cs="Arial"/>
                <w:sz w:val="20"/>
                <w:szCs w:val="20"/>
              </w:rPr>
              <w:t>0.691</w:t>
            </w:r>
          </w:p>
        </w:tc>
        <w:tc>
          <w:tcPr>
            <w:tcW w:w="1418" w:type="dxa"/>
            <w:tcBorders>
              <w:bottom w:val="single" w:sz="4" w:space="0" w:color="auto"/>
            </w:tcBorders>
          </w:tcPr>
          <w:p w14:paraId="7B4A1961"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62673729" w14:textId="77777777" w:rsidTr="000520F8">
        <w:tc>
          <w:tcPr>
            <w:tcW w:w="4394" w:type="dxa"/>
            <w:shd w:val="clear" w:color="auto" w:fill="auto"/>
          </w:tcPr>
          <w:p w14:paraId="32596F56" w14:textId="77777777" w:rsidR="000923BB" w:rsidRPr="00F955C6" w:rsidRDefault="000923BB" w:rsidP="003A385F">
            <w:pPr>
              <w:rPr>
                <w:rFonts w:cs="Arial"/>
                <w:sz w:val="20"/>
                <w:szCs w:val="20"/>
              </w:rPr>
            </w:pPr>
            <w:r w:rsidRPr="00F955C6">
              <w:rPr>
                <w:rFonts w:cs="Arial"/>
                <w:sz w:val="20"/>
                <w:szCs w:val="20"/>
              </w:rPr>
              <w:t>Incidents to NPSA per 100 bed days</w:t>
            </w:r>
          </w:p>
        </w:tc>
        <w:tc>
          <w:tcPr>
            <w:tcW w:w="1418" w:type="dxa"/>
            <w:shd w:val="clear" w:color="auto" w:fill="auto"/>
          </w:tcPr>
          <w:p w14:paraId="2C10F3AF" w14:textId="77777777" w:rsidR="000923BB" w:rsidRPr="00F955C6" w:rsidRDefault="000923BB" w:rsidP="003A385F">
            <w:pPr>
              <w:jc w:val="center"/>
              <w:rPr>
                <w:rFonts w:cs="Arial"/>
                <w:sz w:val="20"/>
                <w:szCs w:val="20"/>
              </w:rPr>
            </w:pPr>
            <w:r w:rsidRPr="00F955C6">
              <w:rPr>
                <w:rFonts w:cs="Arial"/>
                <w:sz w:val="20"/>
                <w:szCs w:val="20"/>
              </w:rPr>
              <w:t>-0.067</w:t>
            </w:r>
          </w:p>
        </w:tc>
        <w:tc>
          <w:tcPr>
            <w:tcW w:w="850" w:type="dxa"/>
            <w:shd w:val="clear" w:color="auto" w:fill="auto"/>
          </w:tcPr>
          <w:p w14:paraId="21615851" w14:textId="77777777" w:rsidR="000923BB" w:rsidRPr="00F955C6" w:rsidRDefault="000923BB" w:rsidP="003A385F">
            <w:pPr>
              <w:jc w:val="center"/>
              <w:rPr>
                <w:rFonts w:cs="Arial"/>
                <w:sz w:val="20"/>
                <w:szCs w:val="20"/>
              </w:rPr>
            </w:pPr>
            <w:r w:rsidRPr="00F955C6">
              <w:rPr>
                <w:rFonts w:cs="Arial"/>
                <w:sz w:val="20"/>
                <w:szCs w:val="20"/>
              </w:rPr>
              <w:t>0.778</w:t>
            </w:r>
          </w:p>
        </w:tc>
        <w:tc>
          <w:tcPr>
            <w:tcW w:w="1418" w:type="dxa"/>
            <w:shd w:val="clear" w:color="auto" w:fill="auto"/>
          </w:tcPr>
          <w:p w14:paraId="2E85E9CD"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1B1C6442" w14:textId="77777777" w:rsidTr="000520F8">
        <w:tc>
          <w:tcPr>
            <w:tcW w:w="4394" w:type="dxa"/>
          </w:tcPr>
          <w:p w14:paraId="2CBC09FF" w14:textId="77777777" w:rsidR="000923BB" w:rsidRPr="00F955C6" w:rsidRDefault="000923BB" w:rsidP="003A385F">
            <w:pPr>
              <w:rPr>
                <w:rFonts w:cs="Arial"/>
                <w:sz w:val="20"/>
                <w:szCs w:val="20"/>
              </w:rPr>
            </w:pPr>
            <w:r w:rsidRPr="00F955C6">
              <w:rPr>
                <w:rFonts w:cs="Arial"/>
                <w:sz w:val="20"/>
                <w:szCs w:val="20"/>
              </w:rPr>
              <w:t>SMR for deaths in low mortality HRG’s</w:t>
            </w:r>
          </w:p>
        </w:tc>
        <w:tc>
          <w:tcPr>
            <w:tcW w:w="1418" w:type="dxa"/>
          </w:tcPr>
          <w:p w14:paraId="44D836E8" w14:textId="77777777" w:rsidR="000923BB" w:rsidRPr="00F955C6" w:rsidRDefault="000923BB" w:rsidP="003A385F">
            <w:pPr>
              <w:jc w:val="center"/>
              <w:rPr>
                <w:rFonts w:cs="Arial"/>
                <w:sz w:val="20"/>
                <w:szCs w:val="20"/>
              </w:rPr>
            </w:pPr>
            <w:r w:rsidRPr="00F955C6">
              <w:rPr>
                <w:rFonts w:cs="Arial"/>
                <w:sz w:val="20"/>
                <w:szCs w:val="20"/>
              </w:rPr>
              <w:t>0.070</w:t>
            </w:r>
          </w:p>
        </w:tc>
        <w:tc>
          <w:tcPr>
            <w:tcW w:w="850" w:type="dxa"/>
          </w:tcPr>
          <w:p w14:paraId="35BF2FC2" w14:textId="77777777" w:rsidR="000923BB" w:rsidRPr="00F955C6" w:rsidRDefault="000923BB" w:rsidP="003A385F">
            <w:pPr>
              <w:jc w:val="center"/>
              <w:rPr>
                <w:rFonts w:cs="Arial"/>
                <w:sz w:val="20"/>
                <w:szCs w:val="20"/>
              </w:rPr>
            </w:pPr>
            <w:r w:rsidRPr="00F955C6">
              <w:rPr>
                <w:rFonts w:cs="Arial"/>
                <w:sz w:val="20"/>
                <w:szCs w:val="20"/>
              </w:rPr>
              <w:t>0.771</w:t>
            </w:r>
          </w:p>
        </w:tc>
        <w:tc>
          <w:tcPr>
            <w:tcW w:w="1418" w:type="dxa"/>
          </w:tcPr>
          <w:p w14:paraId="0297F847"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601766E2" w14:textId="77777777" w:rsidTr="000520F8">
        <w:tc>
          <w:tcPr>
            <w:tcW w:w="4394" w:type="dxa"/>
          </w:tcPr>
          <w:p w14:paraId="2B3EEEC1" w14:textId="77777777" w:rsidR="000923BB" w:rsidRPr="00F955C6" w:rsidRDefault="000923BB" w:rsidP="003A385F">
            <w:pPr>
              <w:rPr>
                <w:rFonts w:cs="Arial"/>
                <w:sz w:val="20"/>
                <w:szCs w:val="20"/>
              </w:rPr>
            </w:pPr>
            <w:r w:rsidRPr="00F955C6">
              <w:rPr>
                <w:rFonts w:cs="Arial"/>
                <w:sz w:val="20"/>
                <w:szCs w:val="20"/>
              </w:rPr>
              <w:t>COPD finished consultant episodes</w:t>
            </w:r>
          </w:p>
        </w:tc>
        <w:tc>
          <w:tcPr>
            <w:tcW w:w="1418" w:type="dxa"/>
          </w:tcPr>
          <w:p w14:paraId="285A2420" w14:textId="77777777" w:rsidR="000923BB" w:rsidRPr="00F955C6" w:rsidRDefault="000923BB" w:rsidP="003A385F">
            <w:pPr>
              <w:jc w:val="center"/>
              <w:rPr>
                <w:rFonts w:cs="Arial"/>
                <w:sz w:val="20"/>
                <w:szCs w:val="20"/>
              </w:rPr>
            </w:pPr>
            <w:r w:rsidRPr="00F955C6">
              <w:rPr>
                <w:rFonts w:cs="Arial"/>
                <w:sz w:val="20"/>
                <w:szCs w:val="20"/>
              </w:rPr>
              <w:t>0.422</w:t>
            </w:r>
          </w:p>
        </w:tc>
        <w:tc>
          <w:tcPr>
            <w:tcW w:w="850" w:type="dxa"/>
          </w:tcPr>
          <w:p w14:paraId="2528BA71" w14:textId="77777777" w:rsidR="000923BB" w:rsidRPr="00F955C6" w:rsidRDefault="000923BB" w:rsidP="003A385F">
            <w:pPr>
              <w:jc w:val="center"/>
              <w:rPr>
                <w:rFonts w:cs="Arial"/>
                <w:sz w:val="20"/>
                <w:szCs w:val="20"/>
              </w:rPr>
            </w:pPr>
            <w:r w:rsidRPr="00F955C6">
              <w:rPr>
                <w:rFonts w:cs="Arial"/>
                <w:sz w:val="20"/>
                <w:szCs w:val="20"/>
              </w:rPr>
              <w:t>0.072</w:t>
            </w:r>
          </w:p>
        </w:tc>
        <w:tc>
          <w:tcPr>
            <w:tcW w:w="1418" w:type="dxa"/>
          </w:tcPr>
          <w:p w14:paraId="26853A39" w14:textId="77777777" w:rsidR="000923BB" w:rsidRPr="00F955C6" w:rsidRDefault="000923BB" w:rsidP="003A385F">
            <w:pPr>
              <w:jc w:val="center"/>
              <w:rPr>
                <w:rFonts w:cs="Arial"/>
                <w:sz w:val="20"/>
                <w:szCs w:val="20"/>
              </w:rPr>
            </w:pPr>
            <w:r w:rsidRPr="00F955C6">
              <w:rPr>
                <w:rFonts w:cs="Arial"/>
                <w:sz w:val="20"/>
                <w:szCs w:val="20"/>
              </w:rPr>
              <w:t>Moderate</w:t>
            </w:r>
          </w:p>
        </w:tc>
      </w:tr>
      <w:tr w:rsidR="000923BB" w:rsidRPr="00F955C6" w14:paraId="11CEE52C" w14:textId="77777777" w:rsidTr="000520F8">
        <w:tc>
          <w:tcPr>
            <w:tcW w:w="4394" w:type="dxa"/>
          </w:tcPr>
          <w:p w14:paraId="7CD2E58F" w14:textId="77777777" w:rsidR="000923BB" w:rsidRPr="00F955C6" w:rsidRDefault="000923BB" w:rsidP="003A385F">
            <w:pPr>
              <w:rPr>
                <w:rFonts w:cs="Arial"/>
                <w:sz w:val="20"/>
                <w:szCs w:val="20"/>
              </w:rPr>
            </w:pPr>
            <w:r w:rsidRPr="00F955C6">
              <w:rPr>
                <w:rFonts w:cs="Arial"/>
                <w:sz w:val="20"/>
                <w:szCs w:val="20"/>
              </w:rPr>
              <w:t>COPD bed days</w:t>
            </w:r>
          </w:p>
        </w:tc>
        <w:tc>
          <w:tcPr>
            <w:tcW w:w="1418" w:type="dxa"/>
          </w:tcPr>
          <w:p w14:paraId="41BD89A6" w14:textId="77777777" w:rsidR="000923BB" w:rsidRPr="00F955C6" w:rsidRDefault="000923BB" w:rsidP="003A385F">
            <w:pPr>
              <w:jc w:val="center"/>
              <w:rPr>
                <w:rFonts w:cs="Arial"/>
                <w:sz w:val="20"/>
                <w:szCs w:val="20"/>
              </w:rPr>
            </w:pPr>
            <w:r w:rsidRPr="00F955C6">
              <w:rPr>
                <w:rFonts w:cs="Arial"/>
                <w:sz w:val="20"/>
                <w:szCs w:val="20"/>
              </w:rPr>
              <w:t>0.387</w:t>
            </w:r>
          </w:p>
        </w:tc>
        <w:tc>
          <w:tcPr>
            <w:tcW w:w="850" w:type="dxa"/>
          </w:tcPr>
          <w:p w14:paraId="1F5671F5" w14:textId="77777777" w:rsidR="000923BB" w:rsidRPr="00F955C6" w:rsidRDefault="000923BB" w:rsidP="003A385F">
            <w:pPr>
              <w:jc w:val="center"/>
              <w:rPr>
                <w:rFonts w:cs="Arial"/>
                <w:sz w:val="20"/>
                <w:szCs w:val="20"/>
              </w:rPr>
            </w:pPr>
            <w:r w:rsidRPr="00F955C6">
              <w:rPr>
                <w:rFonts w:cs="Arial"/>
                <w:sz w:val="20"/>
                <w:szCs w:val="20"/>
              </w:rPr>
              <w:t>0.102</w:t>
            </w:r>
          </w:p>
        </w:tc>
        <w:tc>
          <w:tcPr>
            <w:tcW w:w="1418" w:type="dxa"/>
          </w:tcPr>
          <w:p w14:paraId="525E96E0"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01FE240E" w14:textId="77777777" w:rsidTr="000520F8">
        <w:tc>
          <w:tcPr>
            <w:tcW w:w="4394" w:type="dxa"/>
          </w:tcPr>
          <w:p w14:paraId="493A7BA3" w14:textId="77777777" w:rsidR="000923BB" w:rsidRPr="00F955C6" w:rsidRDefault="000923BB" w:rsidP="003A385F">
            <w:pPr>
              <w:rPr>
                <w:rFonts w:cs="Arial"/>
                <w:sz w:val="20"/>
                <w:szCs w:val="20"/>
              </w:rPr>
            </w:pPr>
            <w:r w:rsidRPr="00F955C6">
              <w:rPr>
                <w:rFonts w:cs="Arial"/>
                <w:sz w:val="20"/>
                <w:szCs w:val="20"/>
              </w:rPr>
              <w:t>COPD mean length of stay</w:t>
            </w:r>
          </w:p>
        </w:tc>
        <w:tc>
          <w:tcPr>
            <w:tcW w:w="1418" w:type="dxa"/>
          </w:tcPr>
          <w:p w14:paraId="63A5EDF6" w14:textId="77777777" w:rsidR="000923BB" w:rsidRPr="00F955C6" w:rsidRDefault="000923BB" w:rsidP="003A385F">
            <w:pPr>
              <w:jc w:val="center"/>
              <w:rPr>
                <w:rFonts w:cs="Arial"/>
                <w:sz w:val="20"/>
                <w:szCs w:val="20"/>
              </w:rPr>
            </w:pPr>
            <w:r w:rsidRPr="00F955C6">
              <w:rPr>
                <w:rFonts w:cs="Arial"/>
                <w:sz w:val="20"/>
                <w:szCs w:val="20"/>
              </w:rPr>
              <w:t>-0.146</w:t>
            </w:r>
          </w:p>
        </w:tc>
        <w:tc>
          <w:tcPr>
            <w:tcW w:w="850" w:type="dxa"/>
          </w:tcPr>
          <w:p w14:paraId="6FA6D6B9" w14:textId="77777777" w:rsidR="000923BB" w:rsidRPr="00F955C6" w:rsidRDefault="000923BB" w:rsidP="003A385F">
            <w:pPr>
              <w:jc w:val="center"/>
              <w:rPr>
                <w:rFonts w:cs="Arial"/>
                <w:sz w:val="20"/>
                <w:szCs w:val="20"/>
              </w:rPr>
            </w:pPr>
            <w:r w:rsidRPr="00F955C6">
              <w:rPr>
                <w:rFonts w:cs="Arial"/>
                <w:sz w:val="20"/>
                <w:szCs w:val="20"/>
              </w:rPr>
              <w:t>0.550</w:t>
            </w:r>
          </w:p>
        </w:tc>
        <w:tc>
          <w:tcPr>
            <w:tcW w:w="1418" w:type="dxa"/>
          </w:tcPr>
          <w:p w14:paraId="6E8867AC"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242B77C6" w14:textId="77777777" w:rsidTr="000520F8">
        <w:tc>
          <w:tcPr>
            <w:tcW w:w="4394" w:type="dxa"/>
          </w:tcPr>
          <w:p w14:paraId="0DB9D63A" w14:textId="77777777" w:rsidR="000923BB" w:rsidRPr="00F955C6" w:rsidRDefault="000923BB" w:rsidP="003A385F">
            <w:pPr>
              <w:rPr>
                <w:rFonts w:cs="Arial"/>
                <w:sz w:val="20"/>
                <w:szCs w:val="20"/>
              </w:rPr>
            </w:pPr>
            <w:r w:rsidRPr="00F955C6">
              <w:rPr>
                <w:rFonts w:cs="Arial"/>
                <w:sz w:val="20"/>
                <w:szCs w:val="20"/>
              </w:rPr>
              <w:t>COPD mean age</w:t>
            </w:r>
          </w:p>
        </w:tc>
        <w:tc>
          <w:tcPr>
            <w:tcW w:w="1418" w:type="dxa"/>
          </w:tcPr>
          <w:p w14:paraId="2D5C17D6" w14:textId="77777777" w:rsidR="000923BB" w:rsidRPr="00F955C6" w:rsidRDefault="000923BB" w:rsidP="003A385F">
            <w:pPr>
              <w:jc w:val="center"/>
              <w:rPr>
                <w:rFonts w:cs="Arial"/>
                <w:sz w:val="20"/>
                <w:szCs w:val="20"/>
              </w:rPr>
            </w:pPr>
            <w:r w:rsidRPr="00F955C6">
              <w:rPr>
                <w:rFonts w:cs="Arial"/>
                <w:sz w:val="20"/>
                <w:szCs w:val="20"/>
              </w:rPr>
              <w:t>0.108</w:t>
            </w:r>
          </w:p>
        </w:tc>
        <w:tc>
          <w:tcPr>
            <w:tcW w:w="850" w:type="dxa"/>
          </w:tcPr>
          <w:p w14:paraId="410B3007" w14:textId="77777777" w:rsidR="000923BB" w:rsidRPr="00F955C6" w:rsidRDefault="000923BB" w:rsidP="003A385F">
            <w:pPr>
              <w:jc w:val="center"/>
              <w:rPr>
                <w:rFonts w:cs="Arial"/>
                <w:sz w:val="20"/>
                <w:szCs w:val="20"/>
              </w:rPr>
            </w:pPr>
            <w:r w:rsidRPr="00F955C6">
              <w:rPr>
                <w:rFonts w:cs="Arial"/>
                <w:sz w:val="20"/>
                <w:szCs w:val="20"/>
              </w:rPr>
              <w:t>0.658</w:t>
            </w:r>
          </w:p>
        </w:tc>
        <w:tc>
          <w:tcPr>
            <w:tcW w:w="1418" w:type="dxa"/>
          </w:tcPr>
          <w:p w14:paraId="653E5ABA"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10B6A0C7" w14:textId="77777777" w:rsidTr="000520F8">
        <w:tc>
          <w:tcPr>
            <w:tcW w:w="4394" w:type="dxa"/>
          </w:tcPr>
          <w:p w14:paraId="329EB77B" w14:textId="77777777" w:rsidR="000923BB" w:rsidRPr="00F955C6" w:rsidRDefault="000923BB" w:rsidP="003A385F">
            <w:pPr>
              <w:rPr>
                <w:rFonts w:cs="Arial"/>
                <w:sz w:val="20"/>
                <w:szCs w:val="20"/>
              </w:rPr>
            </w:pPr>
            <w:r w:rsidRPr="00F955C6">
              <w:rPr>
                <w:rFonts w:cs="Arial"/>
                <w:sz w:val="20"/>
                <w:szCs w:val="20"/>
              </w:rPr>
              <w:t>Star rating (0 worst to 3 best)</w:t>
            </w:r>
          </w:p>
        </w:tc>
        <w:tc>
          <w:tcPr>
            <w:tcW w:w="1418" w:type="dxa"/>
          </w:tcPr>
          <w:p w14:paraId="0DF1A747" w14:textId="77777777" w:rsidR="000923BB" w:rsidRPr="00F955C6" w:rsidRDefault="000923BB" w:rsidP="003A385F">
            <w:pPr>
              <w:jc w:val="center"/>
              <w:rPr>
                <w:rFonts w:cs="Arial"/>
                <w:sz w:val="20"/>
                <w:szCs w:val="20"/>
              </w:rPr>
            </w:pPr>
            <w:r w:rsidRPr="00F955C6">
              <w:rPr>
                <w:rFonts w:cs="Arial"/>
                <w:sz w:val="20"/>
                <w:szCs w:val="20"/>
              </w:rPr>
              <w:t>0.035*</w:t>
            </w:r>
          </w:p>
        </w:tc>
        <w:tc>
          <w:tcPr>
            <w:tcW w:w="850" w:type="dxa"/>
          </w:tcPr>
          <w:p w14:paraId="0AAB0E1C" w14:textId="77777777" w:rsidR="000923BB" w:rsidRPr="00F955C6" w:rsidRDefault="000923BB" w:rsidP="003A385F">
            <w:pPr>
              <w:jc w:val="center"/>
              <w:rPr>
                <w:rFonts w:cs="Arial"/>
                <w:sz w:val="20"/>
                <w:szCs w:val="20"/>
              </w:rPr>
            </w:pPr>
            <w:r w:rsidRPr="00F955C6">
              <w:rPr>
                <w:rFonts w:cs="Arial"/>
                <w:sz w:val="20"/>
                <w:szCs w:val="20"/>
              </w:rPr>
              <w:t>0.882</w:t>
            </w:r>
          </w:p>
        </w:tc>
        <w:tc>
          <w:tcPr>
            <w:tcW w:w="1418" w:type="dxa"/>
          </w:tcPr>
          <w:p w14:paraId="5F490E4E"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02D761EC" w14:textId="77777777" w:rsidTr="000520F8">
        <w:tc>
          <w:tcPr>
            <w:tcW w:w="4394" w:type="dxa"/>
          </w:tcPr>
          <w:p w14:paraId="4942AEFC" w14:textId="77777777" w:rsidR="000923BB" w:rsidRPr="00F955C6" w:rsidRDefault="000923BB" w:rsidP="003A385F">
            <w:pPr>
              <w:rPr>
                <w:rFonts w:cs="Arial"/>
                <w:sz w:val="20"/>
                <w:szCs w:val="20"/>
              </w:rPr>
            </w:pPr>
            <w:r w:rsidRPr="00F955C6">
              <w:rPr>
                <w:rFonts w:cs="Arial"/>
                <w:sz w:val="20"/>
                <w:szCs w:val="20"/>
              </w:rPr>
              <w:t>Use of resources HCC</w:t>
            </w:r>
          </w:p>
        </w:tc>
        <w:tc>
          <w:tcPr>
            <w:tcW w:w="1418" w:type="dxa"/>
          </w:tcPr>
          <w:p w14:paraId="1E3FD855" w14:textId="77777777" w:rsidR="000923BB" w:rsidRPr="00F955C6" w:rsidRDefault="000923BB" w:rsidP="003A385F">
            <w:pPr>
              <w:jc w:val="center"/>
              <w:rPr>
                <w:rFonts w:cs="Arial"/>
                <w:sz w:val="20"/>
                <w:szCs w:val="20"/>
              </w:rPr>
            </w:pPr>
            <w:r w:rsidRPr="00F955C6">
              <w:rPr>
                <w:rFonts w:cs="Arial"/>
                <w:sz w:val="20"/>
                <w:szCs w:val="20"/>
              </w:rPr>
              <w:t>-0.054*</w:t>
            </w:r>
          </w:p>
        </w:tc>
        <w:tc>
          <w:tcPr>
            <w:tcW w:w="850" w:type="dxa"/>
          </w:tcPr>
          <w:p w14:paraId="125B061B" w14:textId="77777777" w:rsidR="000923BB" w:rsidRPr="00F955C6" w:rsidRDefault="000923BB" w:rsidP="003A385F">
            <w:pPr>
              <w:jc w:val="center"/>
              <w:rPr>
                <w:rFonts w:cs="Arial"/>
                <w:sz w:val="20"/>
                <w:szCs w:val="20"/>
              </w:rPr>
            </w:pPr>
            <w:r w:rsidRPr="00F955C6">
              <w:rPr>
                <w:rFonts w:cs="Arial"/>
                <w:sz w:val="20"/>
                <w:szCs w:val="20"/>
              </w:rPr>
              <w:t>0.821</w:t>
            </w:r>
          </w:p>
        </w:tc>
        <w:tc>
          <w:tcPr>
            <w:tcW w:w="1418" w:type="dxa"/>
          </w:tcPr>
          <w:p w14:paraId="4905E963"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4F5978DA" w14:textId="77777777" w:rsidTr="000520F8">
        <w:tc>
          <w:tcPr>
            <w:tcW w:w="4394" w:type="dxa"/>
          </w:tcPr>
          <w:p w14:paraId="1BD43DE1" w14:textId="77777777" w:rsidR="000923BB" w:rsidRPr="00F955C6" w:rsidRDefault="000923BB" w:rsidP="003A385F">
            <w:pPr>
              <w:rPr>
                <w:rFonts w:cs="Arial"/>
                <w:sz w:val="20"/>
                <w:szCs w:val="20"/>
              </w:rPr>
            </w:pPr>
            <w:r w:rsidRPr="00F955C6">
              <w:rPr>
                <w:rFonts w:cs="Arial"/>
                <w:sz w:val="20"/>
                <w:szCs w:val="20"/>
              </w:rPr>
              <w:t>Patient’s experience</w:t>
            </w:r>
          </w:p>
        </w:tc>
        <w:tc>
          <w:tcPr>
            <w:tcW w:w="1418" w:type="dxa"/>
          </w:tcPr>
          <w:p w14:paraId="38569B7C" w14:textId="77777777" w:rsidR="000923BB" w:rsidRPr="00F955C6" w:rsidRDefault="000923BB" w:rsidP="003A385F">
            <w:pPr>
              <w:jc w:val="center"/>
              <w:rPr>
                <w:rFonts w:cs="Arial"/>
                <w:sz w:val="20"/>
                <w:szCs w:val="20"/>
              </w:rPr>
            </w:pPr>
            <w:r w:rsidRPr="00F955C6">
              <w:rPr>
                <w:rFonts w:cs="Arial"/>
                <w:sz w:val="20"/>
                <w:szCs w:val="20"/>
              </w:rPr>
              <w:t>-0.365</w:t>
            </w:r>
          </w:p>
        </w:tc>
        <w:tc>
          <w:tcPr>
            <w:tcW w:w="850" w:type="dxa"/>
          </w:tcPr>
          <w:p w14:paraId="6D97BE1C" w14:textId="77777777" w:rsidR="000923BB" w:rsidRPr="00F955C6" w:rsidRDefault="000923BB" w:rsidP="003A385F">
            <w:pPr>
              <w:jc w:val="center"/>
              <w:rPr>
                <w:rFonts w:cs="Arial"/>
                <w:sz w:val="20"/>
                <w:szCs w:val="20"/>
              </w:rPr>
            </w:pPr>
            <w:r w:rsidRPr="00F955C6">
              <w:rPr>
                <w:rFonts w:cs="Arial"/>
                <w:sz w:val="20"/>
                <w:szCs w:val="20"/>
              </w:rPr>
              <w:t>0.114</w:t>
            </w:r>
          </w:p>
        </w:tc>
        <w:tc>
          <w:tcPr>
            <w:tcW w:w="1418" w:type="dxa"/>
          </w:tcPr>
          <w:p w14:paraId="71651EBF"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27B1EF13" w14:textId="77777777" w:rsidTr="000520F8">
        <w:tc>
          <w:tcPr>
            <w:tcW w:w="4394" w:type="dxa"/>
          </w:tcPr>
          <w:p w14:paraId="367E1997" w14:textId="77777777" w:rsidR="000923BB" w:rsidRPr="00F955C6" w:rsidRDefault="000923BB" w:rsidP="003A385F">
            <w:pPr>
              <w:rPr>
                <w:rFonts w:cs="Arial"/>
                <w:sz w:val="20"/>
                <w:szCs w:val="20"/>
              </w:rPr>
            </w:pPr>
            <w:r w:rsidRPr="00F955C6">
              <w:rPr>
                <w:rFonts w:cs="Arial"/>
                <w:sz w:val="20"/>
                <w:szCs w:val="20"/>
              </w:rPr>
              <w:t>Quality of services</w:t>
            </w:r>
          </w:p>
        </w:tc>
        <w:tc>
          <w:tcPr>
            <w:tcW w:w="1418" w:type="dxa"/>
          </w:tcPr>
          <w:p w14:paraId="1EA879E5" w14:textId="77777777" w:rsidR="000923BB" w:rsidRPr="00F955C6" w:rsidRDefault="000923BB" w:rsidP="003A385F">
            <w:pPr>
              <w:jc w:val="center"/>
              <w:rPr>
                <w:rFonts w:cs="Arial"/>
                <w:sz w:val="20"/>
                <w:szCs w:val="20"/>
              </w:rPr>
            </w:pPr>
            <w:r w:rsidRPr="00F955C6">
              <w:rPr>
                <w:rFonts w:cs="Arial"/>
                <w:sz w:val="20"/>
                <w:szCs w:val="20"/>
              </w:rPr>
              <w:t>-0.083</w:t>
            </w:r>
          </w:p>
        </w:tc>
        <w:tc>
          <w:tcPr>
            <w:tcW w:w="850" w:type="dxa"/>
          </w:tcPr>
          <w:p w14:paraId="4058F6F8" w14:textId="77777777" w:rsidR="000923BB" w:rsidRPr="00F955C6" w:rsidRDefault="000923BB" w:rsidP="003A385F">
            <w:pPr>
              <w:jc w:val="center"/>
              <w:rPr>
                <w:rFonts w:cs="Arial"/>
                <w:sz w:val="20"/>
                <w:szCs w:val="20"/>
              </w:rPr>
            </w:pPr>
            <w:r w:rsidRPr="00F955C6">
              <w:rPr>
                <w:rFonts w:cs="Arial"/>
                <w:sz w:val="20"/>
                <w:szCs w:val="20"/>
              </w:rPr>
              <w:t>0.729</w:t>
            </w:r>
          </w:p>
        </w:tc>
        <w:tc>
          <w:tcPr>
            <w:tcW w:w="1418" w:type="dxa"/>
          </w:tcPr>
          <w:p w14:paraId="30076B73"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2EDA8618" w14:textId="77777777" w:rsidTr="000520F8">
        <w:tc>
          <w:tcPr>
            <w:tcW w:w="4394" w:type="dxa"/>
          </w:tcPr>
          <w:p w14:paraId="702D6CA3" w14:textId="77777777" w:rsidR="000923BB" w:rsidRPr="00F955C6" w:rsidRDefault="000923BB" w:rsidP="003A385F">
            <w:pPr>
              <w:rPr>
                <w:rFonts w:cs="Arial"/>
                <w:sz w:val="20"/>
                <w:szCs w:val="20"/>
              </w:rPr>
            </w:pPr>
            <w:r w:rsidRPr="00F955C6">
              <w:rPr>
                <w:rFonts w:cs="Arial"/>
                <w:sz w:val="20"/>
                <w:szCs w:val="20"/>
              </w:rPr>
              <w:t>Percentage of patient’s with acute MI receiving thrombolysis</w:t>
            </w:r>
          </w:p>
        </w:tc>
        <w:tc>
          <w:tcPr>
            <w:tcW w:w="1418" w:type="dxa"/>
          </w:tcPr>
          <w:p w14:paraId="19ADA706" w14:textId="77777777" w:rsidR="000923BB" w:rsidRPr="00F955C6" w:rsidRDefault="000923BB" w:rsidP="003A385F">
            <w:pPr>
              <w:jc w:val="center"/>
              <w:rPr>
                <w:rFonts w:cs="Arial"/>
                <w:sz w:val="20"/>
                <w:szCs w:val="20"/>
              </w:rPr>
            </w:pPr>
            <w:r w:rsidRPr="00F955C6">
              <w:rPr>
                <w:rFonts w:cs="Arial"/>
                <w:sz w:val="20"/>
                <w:szCs w:val="20"/>
              </w:rPr>
              <w:t>0.350</w:t>
            </w:r>
          </w:p>
        </w:tc>
        <w:tc>
          <w:tcPr>
            <w:tcW w:w="850" w:type="dxa"/>
          </w:tcPr>
          <w:p w14:paraId="35ED43C2" w14:textId="77777777" w:rsidR="000923BB" w:rsidRPr="00F955C6" w:rsidRDefault="000923BB" w:rsidP="003A385F">
            <w:pPr>
              <w:jc w:val="center"/>
              <w:rPr>
                <w:rFonts w:cs="Arial"/>
                <w:sz w:val="20"/>
                <w:szCs w:val="20"/>
              </w:rPr>
            </w:pPr>
            <w:r w:rsidRPr="00F955C6">
              <w:rPr>
                <w:rFonts w:cs="Arial"/>
                <w:sz w:val="20"/>
                <w:szCs w:val="20"/>
              </w:rPr>
              <w:t>0.142</w:t>
            </w:r>
          </w:p>
        </w:tc>
        <w:tc>
          <w:tcPr>
            <w:tcW w:w="1418" w:type="dxa"/>
          </w:tcPr>
          <w:p w14:paraId="6A4D3441"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35E04BED" w14:textId="77777777" w:rsidTr="000520F8">
        <w:tc>
          <w:tcPr>
            <w:tcW w:w="4394" w:type="dxa"/>
          </w:tcPr>
          <w:p w14:paraId="10571074" w14:textId="77777777" w:rsidR="000923BB" w:rsidRPr="00F955C6" w:rsidRDefault="000923BB" w:rsidP="003A385F">
            <w:pPr>
              <w:rPr>
                <w:rFonts w:cs="Arial"/>
                <w:sz w:val="20"/>
                <w:szCs w:val="20"/>
              </w:rPr>
            </w:pPr>
            <w:r w:rsidRPr="00F955C6">
              <w:rPr>
                <w:rFonts w:cs="Arial"/>
                <w:sz w:val="20"/>
                <w:szCs w:val="20"/>
              </w:rPr>
              <w:t>Existing national targets</w:t>
            </w:r>
          </w:p>
        </w:tc>
        <w:tc>
          <w:tcPr>
            <w:tcW w:w="1418" w:type="dxa"/>
          </w:tcPr>
          <w:p w14:paraId="771EDB6C" w14:textId="77777777" w:rsidR="000923BB" w:rsidRPr="00F955C6" w:rsidRDefault="000923BB" w:rsidP="003A385F">
            <w:pPr>
              <w:jc w:val="center"/>
              <w:rPr>
                <w:rFonts w:cs="Arial"/>
                <w:sz w:val="20"/>
                <w:szCs w:val="20"/>
              </w:rPr>
            </w:pPr>
            <w:r w:rsidRPr="00F955C6">
              <w:rPr>
                <w:rFonts w:cs="Arial"/>
                <w:sz w:val="20"/>
                <w:szCs w:val="20"/>
              </w:rPr>
              <w:t>-0.054*</w:t>
            </w:r>
          </w:p>
        </w:tc>
        <w:tc>
          <w:tcPr>
            <w:tcW w:w="850" w:type="dxa"/>
          </w:tcPr>
          <w:p w14:paraId="75D4C1A8" w14:textId="77777777" w:rsidR="000923BB" w:rsidRPr="00F955C6" w:rsidRDefault="000923BB" w:rsidP="003A385F">
            <w:pPr>
              <w:jc w:val="center"/>
              <w:rPr>
                <w:rFonts w:cs="Arial"/>
                <w:sz w:val="20"/>
                <w:szCs w:val="20"/>
              </w:rPr>
            </w:pPr>
            <w:r w:rsidRPr="00F955C6">
              <w:rPr>
                <w:rFonts w:cs="Arial"/>
                <w:sz w:val="20"/>
                <w:szCs w:val="20"/>
              </w:rPr>
              <w:t>0.821</w:t>
            </w:r>
          </w:p>
        </w:tc>
        <w:tc>
          <w:tcPr>
            <w:tcW w:w="1418" w:type="dxa"/>
          </w:tcPr>
          <w:p w14:paraId="7E163AF2"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1087D6A8" w14:textId="77777777" w:rsidTr="000520F8">
        <w:tc>
          <w:tcPr>
            <w:tcW w:w="4394" w:type="dxa"/>
          </w:tcPr>
          <w:p w14:paraId="78CDA03B" w14:textId="77777777" w:rsidR="000923BB" w:rsidRPr="00F955C6" w:rsidRDefault="000923BB" w:rsidP="003A385F">
            <w:pPr>
              <w:rPr>
                <w:rFonts w:cs="Arial"/>
                <w:sz w:val="20"/>
                <w:szCs w:val="20"/>
              </w:rPr>
            </w:pPr>
            <w:r w:rsidRPr="00F955C6">
              <w:rPr>
                <w:rFonts w:cs="Arial"/>
                <w:sz w:val="20"/>
                <w:szCs w:val="20"/>
              </w:rPr>
              <w:t>New national targets</w:t>
            </w:r>
          </w:p>
        </w:tc>
        <w:tc>
          <w:tcPr>
            <w:tcW w:w="1418" w:type="dxa"/>
          </w:tcPr>
          <w:p w14:paraId="0388EF2C" w14:textId="77777777" w:rsidR="000923BB" w:rsidRPr="00F955C6" w:rsidRDefault="000923BB" w:rsidP="003A385F">
            <w:pPr>
              <w:jc w:val="center"/>
              <w:rPr>
                <w:rFonts w:cs="Arial"/>
                <w:sz w:val="20"/>
                <w:szCs w:val="20"/>
              </w:rPr>
            </w:pPr>
            <w:r w:rsidRPr="00F955C6">
              <w:rPr>
                <w:rFonts w:cs="Arial"/>
                <w:sz w:val="20"/>
                <w:szCs w:val="20"/>
              </w:rPr>
              <w:t>0.073*</w:t>
            </w:r>
          </w:p>
        </w:tc>
        <w:tc>
          <w:tcPr>
            <w:tcW w:w="850" w:type="dxa"/>
          </w:tcPr>
          <w:p w14:paraId="374C28A7" w14:textId="77777777" w:rsidR="000923BB" w:rsidRPr="00F955C6" w:rsidRDefault="000923BB" w:rsidP="003A385F">
            <w:pPr>
              <w:jc w:val="center"/>
              <w:rPr>
                <w:rFonts w:cs="Arial"/>
                <w:sz w:val="20"/>
                <w:szCs w:val="20"/>
              </w:rPr>
            </w:pPr>
            <w:r w:rsidRPr="00F955C6">
              <w:rPr>
                <w:rFonts w:cs="Arial"/>
                <w:sz w:val="20"/>
                <w:szCs w:val="20"/>
              </w:rPr>
              <w:t>0.759</w:t>
            </w:r>
          </w:p>
        </w:tc>
        <w:tc>
          <w:tcPr>
            <w:tcW w:w="1418" w:type="dxa"/>
          </w:tcPr>
          <w:p w14:paraId="7FC054F2"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6889CBFF" w14:textId="77777777" w:rsidTr="000520F8">
        <w:tc>
          <w:tcPr>
            <w:tcW w:w="4394" w:type="dxa"/>
            <w:tcBorders>
              <w:bottom w:val="single" w:sz="4" w:space="0" w:color="auto"/>
            </w:tcBorders>
          </w:tcPr>
          <w:p w14:paraId="46429F8E" w14:textId="77777777" w:rsidR="000923BB" w:rsidRPr="00F955C6" w:rsidRDefault="000923BB" w:rsidP="003A385F">
            <w:pPr>
              <w:rPr>
                <w:rFonts w:cs="Arial"/>
                <w:sz w:val="20"/>
                <w:szCs w:val="20"/>
              </w:rPr>
            </w:pPr>
            <w:r w:rsidRPr="00F955C6">
              <w:rPr>
                <w:rFonts w:cs="Arial"/>
                <w:sz w:val="20"/>
                <w:szCs w:val="20"/>
              </w:rPr>
              <w:t>NHS staff survey Q25a: Seen errors in the past month (% yes)</w:t>
            </w:r>
          </w:p>
        </w:tc>
        <w:tc>
          <w:tcPr>
            <w:tcW w:w="1418" w:type="dxa"/>
            <w:tcBorders>
              <w:bottom w:val="single" w:sz="4" w:space="0" w:color="auto"/>
            </w:tcBorders>
          </w:tcPr>
          <w:p w14:paraId="04EFF117" w14:textId="77777777" w:rsidR="000923BB" w:rsidRPr="00F955C6" w:rsidRDefault="000923BB" w:rsidP="003A385F">
            <w:pPr>
              <w:jc w:val="center"/>
              <w:rPr>
                <w:rFonts w:cs="Arial"/>
                <w:sz w:val="20"/>
                <w:szCs w:val="20"/>
              </w:rPr>
            </w:pPr>
            <w:r w:rsidRPr="00F955C6">
              <w:rPr>
                <w:rFonts w:cs="Arial"/>
                <w:sz w:val="20"/>
                <w:szCs w:val="20"/>
              </w:rPr>
              <w:t>-0.236</w:t>
            </w:r>
          </w:p>
        </w:tc>
        <w:tc>
          <w:tcPr>
            <w:tcW w:w="850" w:type="dxa"/>
            <w:tcBorders>
              <w:bottom w:val="single" w:sz="4" w:space="0" w:color="auto"/>
            </w:tcBorders>
          </w:tcPr>
          <w:p w14:paraId="0400C56B" w14:textId="77777777" w:rsidR="000923BB" w:rsidRPr="00F955C6" w:rsidRDefault="000923BB" w:rsidP="003A385F">
            <w:pPr>
              <w:jc w:val="center"/>
              <w:rPr>
                <w:rFonts w:cs="Arial"/>
                <w:sz w:val="20"/>
                <w:szCs w:val="20"/>
              </w:rPr>
            </w:pPr>
            <w:r w:rsidRPr="00F955C6">
              <w:rPr>
                <w:rFonts w:cs="Arial"/>
                <w:sz w:val="20"/>
                <w:szCs w:val="20"/>
              </w:rPr>
              <w:t>0.316</w:t>
            </w:r>
          </w:p>
        </w:tc>
        <w:tc>
          <w:tcPr>
            <w:tcW w:w="1418" w:type="dxa"/>
            <w:tcBorders>
              <w:bottom w:val="single" w:sz="4" w:space="0" w:color="auto"/>
            </w:tcBorders>
          </w:tcPr>
          <w:p w14:paraId="2CA246FB"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23DE18CF" w14:textId="77777777" w:rsidTr="000520F8">
        <w:tc>
          <w:tcPr>
            <w:tcW w:w="4394" w:type="dxa"/>
            <w:shd w:val="clear" w:color="auto" w:fill="auto"/>
          </w:tcPr>
          <w:p w14:paraId="0963D40D" w14:textId="77777777" w:rsidR="000923BB" w:rsidRPr="00F955C6" w:rsidRDefault="000923BB" w:rsidP="003A385F">
            <w:pPr>
              <w:rPr>
                <w:rFonts w:cs="Arial"/>
                <w:sz w:val="20"/>
                <w:szCs w:val="20"/>
              </w:rPr>
            </w:pPr>
            <w:r w:rsidRPr="00F955C6">
              <w:rPr>
                <w:rFonts w:cs="Arial"/>
                <w:sz w:val="20"/>
                <w:szCs w:val="20"/>
              </w:rPr>
              <w:t>NHS staff survey Q27b: Encouraged to report errors (mean)</w:t>
            </w:r>
          </w:p>
        </w:tc>
        <w:tc>
          <w:tcPr>
            <w:tcW w:w="1418" w:type="dxa"/>
            <w:shd w:val="clear" w:color="auto" w:fill="auto"/>
          </w:tcPr>
          <w:p w14:paraId="55CAA51A" w14:textId="77777777" w:rsidR="000923BB" w:rsidRPr="00F955C6" w:rsidRDefault="000923BB" w:rsidP="003A385F">
            <w:pPr>
              <w:jc w:val="center"/>
              <w:rPr>
                <w:rFonts w:cs="Arial"/>
                <w:sz w:val="20"/>
                <w:szCs w:val="20"/>
              </w:rPr>
            </w:pPr>
            <w:r w:rsidRPr="00F955C6">
              <w:rPr>
                <w:rFonts w:cs="Arial"/>
                <w:sz w:val="20"/>
                <w:szCs w:val="20"/>
              </w:rPr>
              <w:t>-0.330</w:t>
            </w:r>
          </w:p>
        </w:tc>
        <w:tc>
          <w:tcPr>
            <w:tcW w:w="850" w:type="dxa"/>
            <w:shd w:val="clear" w:color="auto" w:fill="auto"/>
          </w:tcPr>
          <w:p w14:paraId="5A2CC0FE" w14:textId="77777777" w:rsidR="000923BB" w:rsidRPr="00F955C6" w:rsidRDefault="000923BB" w:rsidP="003A385F">
            <w:pPr>
              <w:jc w:val="center"/>
              <w:rPr>
                <w:rFonts w:cs="Arial"/>
                <w:sz w:val="20"/>
                <w:szCs w:val="20"/>
              </w:rPr>
            </w:pPr>
            <w:r w:rsidRPr="00F955C6">
              <w:rPr>
                <w:rFonts w:cs="Arial"/>
                <w:sz w:val="20"/>
                <w:szCs w:val="20"/>
              </w:rPr>
              <w:t>0.156</w:t>
            </w:r>
          </w:p>
        </w:tc>
        <w:tc>
          <w:tcPr>
            <w:tcW w:w="1418" w:type="dxa"/>
            <w:shd w:val="clear" w:color="auto" w:fill="auto"/>
          </w:tcPr>
          <w:p w14:paraId="01F4B55B"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36ACFA7F" w14:textId="77777777" w:rsidTr="000520F8">
        <w:tc>
          <w:tcPr>
            <w:tcW w:w="4394" w:type="dxa"/>
          </w:tcPr>
          <w:p w14:paraId="1A6A923F" w14:textId="77777777" w:rsidR="000923BB" w:rsidRPr="00F955C6" w:rsidRDefault="000923BB" w:rsidP="003A385F">
            <w:pPr>
              <w:rPr>
                <w:rFonts w:cs="Arial"/>
                <w:sz w:val="20"/>
                <w:szCs w:val="20"/>
              </w:rPr>
            </w:pPr>
            <w:r w:rsidRPr="00F955C6">
              <w:rPr>
                <w:rFonts w:cs="Arial"/>
                <w:sz w:val="20"/>
                <w:szCs w:val="20"/>
              </w:rPr>
              <w:t>NHS staff survey Q27e: Trust takes action to ensure does not happen again (mean)</w:t>
            </w:r>
          </w:p>
        </w:tc>
        <w:tc>
          <w:tcPr>
            <w:tcW w:w="1418" w:type="dxa"/>
          </w:tcPr>
          <w:p w14:paraId="05794B97" w14:textId="77777777" w:rsidR="000923BB" w:rsidRPr="00F955C6" w:rsidRDefault="000923BB" w:rsidP="003A385F">
            <w:pPr>
              <w:jc w:val="center"/>
              <w:rPr>
                <w:rFonts w:cs="Arial"/>
                <w:sz w:val="20"/>
                <w:szCs w:val="20"/>
              </w:rPr>
            </w:pPr>
            <w:r w:rsidRPr="00F955C6">
              <w:rPr>
                <w:rFonts w:cs="Arial"/>
                <w:sz w:val="20"/>
                <w:szCs w:val="20"/>
              </w:rPr>
              <w:t>0.038</w:t>
            </w:r>
          </w:p>
        </w:tc>
        <w:tc>
          <w:tcPr>
            <w:tcW w:w="850" w:type="dxa"/>
          </w:tcPr>
          <w:p w14:paraId="19558506" w14:textId="77777777" w:rsidR="000923BB" w:rsidRPr="00F955C6" w:rsidRDefault="000923BB" w:rsidP="003A385F">
            <w:pPr>
              <w:jc w:val="center"/>
              <w:rPr>
                <w:rFonts w:cs="Arial"/>
                <w:sz w:val="20"/>
                <w:szCs w:val="20"/>
              </w:rPr>
            </w:pPr>
            <w:r w:rsidRPr="00F955C6">
              <w:rPr>
                <w:rFonts w:cs="Arial"/>
                <w:sz w:val="20"/>
                <w:szCs w:val="20"/>
              </w:rPr>
              <w:t>0.872</w:t>
            </w:r>
          </w:p>
        </w:tc>
        <w:tc>
          <w:tcPr>
            <w:tcW w:w="1418" w:type="dxa"/>
          </w:tcPr>
          <w:p w14:paraId="00DCEE42"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15D66918" w14:textId="77777777" w:rsidTr="000520F8">
        <w:tc>
          <w:tcPr>
            <w:tcW w:w="4394" w:type="dxa"/>
          </w:tcPr>
          <w:p w14:paraId="2512AD89" w14:textId="77777777" w:rsidR="000923BB" w:rsidRPr="00F955C6" w:rsidRDefault="000923BB" w:rsidP="003A385F">
            <w:pPr>
              <w:rPr>
                <w:rFonts w:cs="Arial"/>
                <w:sz w:val="20"/>
                <w:szCs w:val="20"/>
              </w:rPr>
            </w:pPr>
            <w:r w:rsidRPr="00F955C6">
              <w:rPr>
                <w:rFonts w:cs="Arial"/>
                <w:sz w:val="20"/>
                <w:szCs w:val="20"/>
              </w:rPr>
              <w:t>NHS staff survey Q24a: Know how to report (% yes)</w:t>
            </w:r>
          </w:p>
        </w:tc>
        <w:tc>
          <w:tcPr>
            <w:tcW w:w="1418" w:type="dxa"/>
          </w:tcPr>
          <w:p w14:paraId="58982614" w14:textId="77777777" w:rsidR="000923BB" w:rsidRPr="00F955C6" w:rsidRDefault="000923BB" w:rsidP="003A385F">
            <w:pPr>
              <w:jc w:val="center"/>
              <w:rPr>
                <w:rFonts w:cs="Arial"/>
                <w:sz w:val="20"/>
                <w:szCs w:val="20"/>
              </w:rPr>
            </w:pPr>
            <w:r w:rsidRPr="00F955C6">
              <w:rPr>
                <w:rFonts w:cs="Arial"/>
                <w:sz w:val="20"/>
                <w:szCs w:val="20"/>
              </w:rPr>
              <w:t>-0.248</w:t>
            </w:r>
          </w:p>
        </w:tc>
        <w:tc>
          <w:tcPr>
            <w:tcW w:w="850" w:type="dxa"/>
          </w:tcPr>
          <w:p w14:paraId="5FF9A7C7" w14:textId="77777777" w:rsidR="000923BB" w:rsidRPr="00F955C6" w:rsidRDefault="000923BB" w:rsidP="003A385F">
            <w:pPr>
              <w:jc w:val="center"/>
              <w:rPr>
                <w:rFonts w:cs="Arial"/>
                <w:sz w:val="20"/>
                <w:szCs w:val="20"/>
              </w:rPr>
            </w:pPr>
            <w:r w:rsidRPr="00F955C6">
              <w:rPr>
                <w:rFonts w:cs="Arial"/>
                <w:sz w:val="20"/>
                <w:szCs w:val="20"/>
              </w:rPr>
              <w:t>0.292</w:t>
            </w:r>
          </w:p>
        </w:tc>
        <w:tc>
          <w:tcPr>
            <w:tcW w:w="1418" w:type="dxa"/>
          </w:tcPr>
          <w:p w14:paraId="07A66752"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48094BEE" w14:textId="77777777" w:rsidTr="000520F8">
        <w:tc>
          <w:tcPr>
            <w:tcW w:w="4394" w:type="dxa"/>
          </w:tcPr>
          <w:p w14:paraId="5D8A68F3" w14:textId="77777777" w:rsidR="000923BB" w:rsidRPr="00F955C6" w:rsidRDefault="000923BB" w:rsidP="003A385F">
            <w:pPr>
              <w:rPr>
                <w:rFonts w:cs="Arial"/>
                <w:sz w:val="20"/>
                <w:szCs w:val="20"/>
              </w:rPr>
            </w:pPr>
            <w:r w:rsidRPr="00F955C6">
              <w:rPr>
                <w:rFonts w:cs="Arial"/>
                <w:sz w:val="20"/>
                <w:szCs w:val="20"/>
              </w:rPr>
              <w:lastRenderedPageBreak/>
              <w:t xml:space="preserve">NHS staff survey Q24b: System for reporting (% yes) </w:t>
            </w:r>
          </w:p>
        </w:tc>
        <w:tc>
          <w:tcPr>
            <w:tcW w:w="1418" w:type="dxa"/>
          </w:tcPr>
          <w:p w14:paraId="21E92B10" w14:textId="77777777" w:rsidR="000923BB" w:rsidRPr="00F955C6" w:rsidRDefault="000923BB" w:rsidP="003A385F">
            <w:pPr>
              <w:jc w:val="center"/>
              <w:rPr>
                <w:rFonts w:cs="Arial"/>
                <w:sz w:val="20"/>
                <w:szCs w:val="20"/>
              </w:rPr>
            </w:pPr>
            <w:r w:rsidRPr="00F955C6">
              <w:rPr>
                <w:rFonts w:cs="Arial"/>
                <w:sz w:val="20"/>
                <w:szCs w:val="20"/>
              </w:rPr>
              <w:t>-0.203</w:t>
            </w:r>
          </w:p>
        </w:tc>
        <w:tc>
          <w:tcPr>
            <w:tcW w:w="850" w:type="dxa"/>
          </w:tcPr>
          <w:p w14:paraId="0925D72A" w14:textId="77777777" w:rsidR="000923BB" w:rsidRPr="00F955C6" w:rsidRDefault="000923BB" w:rsidP="003A385F">
            <w:pPr>
              <w:jc w:val="center"/>
              <w:rPr>
                <w:rFonts w:cs="Arial"/>
                <w:sz w:val="20"/>
                <w:szCs w:val="20"/>
              </w:rPr>
            </w:pPr>
            <w:r w:rsidRPr="00F955C6">
              <w:rPr>
                <w:rFonts w:cs="Arial"/>
                <w:sz w:val="20"/>
                <w:szCs w:val="20"/>
              </w:rPr>
              <w:t>0.390</w:t>
            </w:r>
          </w:p>
        </w:tc>
        <w:tc>
          <w:tcPr>
            <w:tcW w:w="1418" w:type="dxa"/>
          </w:tcPr>
          <w:p w14:paraId="0BBC0B47"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0A216DCC" w14:textId="77777777" w:rsidTr="000520F8">
        <w:tc>
          <w:tcPr>
            <w:tcW w:w="4394" w:type="dxa"/>
          </w:tcPr>
          <w:p w14:paraId="27B2B896" w14:textId="77777777" w:rsidR="000923BB" w:rsidRPr="00F955C6" w:rsidRDefault="000923BB" w:rsidP="003A385F">
            <w:pPr>
              <w:rPr>
                <w:rFonts w:cs="Arial"/>
                <w:sz w:val="20"/>
                <w:szCs w:val="20"/>
              </w:rPr>
            </w:pPr>
            <w:r w:rsidRPr="00F955C6">
              <w:rPr>
                <w:rFonts w:cs="Arial"/>
                <w:sz w:val="20"/>
                <w:szCs w:val="20"/>
              </w:rPr>
              <w:t>NHS staff survey Q24b: System for reporting (% no)</w:t>
            </w:r>
          </w:p>
        </w:tc>
        <w:tc>
          <w:tcPr>
            <w:tcW w:w="1418" w:type="dxa"/>
          </w:tcPr>
          <w:p w14:paraId="0E602524" w14:textId="77777777" w:rsidR="000923BB" w:rsidRPr="00F955C6" w:rsidRDefault="000923BB" w:rsidP="003A385F">
            <w:pPr>
              <w:jc w:val="center"/>
              <w:rPr>
                <w:rFonts w:cs="Arial"/>
                <w:sz w:val="20"/>
                <w:szCs w:val="20"/>
              </w:rPr>
            </w:pPr>
            <w:r w:rsidRPr="00F955C6">
              <w:rPr>
                <w:rFonts w:cs="Arial"/>
                <w:sz w:val="20"/>
                <w:szCs w:val="20"/>
              </w:rPr>
              <w:t>-0.103</w:t>
            </w:r>
          </w:p>
        </w:tc>
        <w:tc>
          <w:tcPr>
            <w:tcW w:w="850" w:type="dxa"/>
          </w:tcPr>
          <w:p w14:paraId="197D96F8" w14:textId="77777777" w:rsidR="000923BB" w:rsidRPr="00F955C6" w:rsidRDefault="000923BB" w:rsidP="003A385F">
            <w:pPr>
              <w:jc w:val="center"/>
              <w:rPr>
                <w:rFonts w:cs="Arial"/>
                <w:sz w:val="20"/>
                <w:szCs w:val="20"/>
              </w:rPr>
            </w:pPr>
            <w:r w:rsidRPr="00F955C6">
              <w:rPr>
                <w:rFonts w:cs="Arial"/>
                <w:sz w:val="20"/>
                <w:szCs w:val="20"/>
              </w:rPr>
              <w:t>0.664</w:t>
            </w:r>
          </w:p>
        </w:tc>
        <w:tc>
          <w:tcPr>
            <w:tcW w:w="1418" w:type="dxa"/>
          </w:tcPr>
          <w:p w14:paraId="0215671D"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2A656DCE" w14:textId="77777777" w:rsidTr="000520F8">
        <w:tc>
          <w:tcPr>
            <w:tcW w:w="4394" w:type="dxa"/>
            <w:tcBorders>
              <w:bottom w:val="single" w:sz="4" w:space="0" w:color="auto"/>
            </w:tcBorders>
          </w:tcPr>
          <w:p w14:paraId="3F7DEFAC" w14:textId="77777777" w:rsidR="000923BB" w:rsidRPr="00F955C6" w:rsidRDefault="000923BB" w:rsidP="003A385F">
            <w:pPr>
              <w:rPr>
                <w:rFonts w:cs="Arial"/>
                <w:sz w:val="20"/>
                <w:szCs w:val="20"/>
              </w:rPr>
            </w:pPr>
            <w:r w:rsidRPr="00F955C6">
              <w:rPr>
                <w:rFonts w:cs="Arial"/>
                <w:sz w:val="20"/>
                <w:szCs w:val="20"/>
              </w:rPr>
              <w:t>NHS staff survey Q24b: System for reporting (% DK)</w:t>
            </w:r>
          </w:p>
        </w:tc>
        <w:tc>
          <w:tcPr>
            <w:tcW w:w="1418" w:type="dxa"/>
            <w:tcBorders>
              <w:bottom w:val="single" w:sz="4" w:space="0" w:color="auto"/>
            </w:tcBorders>
          </w:tcPr>
          <w:p w14:paraId="5D606BAB" w14:textId="77777777" w:rsidR="000923BB" w:rsidRPr="00F955C6" w:rsidRDefault="000923BB" w:rsidP="003A385F">
            <w:pPr>
              <w:jc w:val="center"/>
              <w:rPr>
                <w:rFonts w:cs="Arial"/>
                <w:sz w:val="20"/>
                <w:szCs w:val="20"/>
              </w:rPr>
            </w:pPr>
            <w:r w:rsidRPr="00F955C6">
              <w:rPr>
                <w:rFonts w:cs="Arial"/>
                <w:sz w:val="20"/>
                <w:szCs w:val="20"/>
              </w:rPr>
              <w:t>0.238</w:t>
            </w:r>
          </w:p>
        </w:tc>
        <w:tc>
          <w:tcPr>
            <w:tcW w:w="850" w:type="dxa"/>
            <w:tcBorders>
              <w:bottom w:val="single" w:sz="4" w:space="0" w:color="auto"/>
            </w:tcBorders>
          </w:tcPr>
          <w:p w14:paraId="570F7A01" w14:textId="77777777" w:rsidR="000923BB" w:rsidRPr="00F955C6" w:rsidRDefault="000923BB" w:rsidP="003A385F">
            <w:pPr>
              <w:jc w:val="center"/>
              <w:rPr>
                <w:rFonts w:cs="Arial"/>
                <w:sz w:val="20"/>
                <w:szCs w:val="20"/>
              </w:rPr>
            </w:pPr>
            <w:r w:rsidRPr="00F955C6">
              <w:rPr>
                <w:rFonts w:cs="Arial"/>
                <w:sz w:val="20"/>
                <w:szCs w:val="20"/>
              </w:rPr>
              <w:t>0.312</w:t>
            </w:r>
          </w:p>
        </w:tc>
        <w:tc>
          <w:tcPr>
            <w:tcW w:w="1418" w:type="dxa"/>
            <w:tcBorders>
              <w:bottom w:val="single" w:sz="4" w:space="0" w:color="auto"/>
            </w:tcBorders>
          </w:tcPr>
          <w:p w14:paraId="07C84E03"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69AA268B" w14:textId="77777777" w:rsidTr="000520F8">
        <w:tc>
          <w:tcPr>
            <w:tcW w:w="4394" w:type="dxa"/>
            <w:tcBorders>
              <w:bottom w:val="single" w:sz="4" w:space="0" w:color="auto"/>
            </w:tcBorders>
            <w:shd w:val="clear" w:color="auto" w:fill="CCFFCC"/>
          </w:tcPr>
          <w:p w14:paraId="103251D4" w14:textId="77777777" w:rsidR="000923BB" w:rsidRPr="00F955C6" w:rsidRDefault="000923BB" w:rsidP="003A385F">
            <w:pPr>
              <w:rPr>
                <w:rFonts w:cs="Arial"/>
                <w:sz w:val="20"/>
                <w:szCs w:val="20"/>
              </w:rPr>
            </w:pPr>
            <w:r w:rsidRPr="00F955C6">
              <w:rPr>
                <w:rFonts w:cs="Arial"/>
                <w:sz w:val="20"/>
                <w:szCs w:val="20"/>
              </w:rPr>
              <w:t>NHS staff survey Q22e: Care of patient/service user is top priority (mean)</w:t>
            </w:r>
          </w:p>
        </w:tc>
        <w:tc>
          <w:tcPr>
            <w:tcW w:w="1418" w:type="dxa"/>
            <w:tcBorders>
              <w:bottom w:val="single" w:sz="4" w:space="0" w:color="auto"/>
            </w:tcBorders>
            <w:shd w:val="clear" w:color="auto" w:fill="CCFFCC"/>
          </w:tcPr>
          <w:p w14:paraId="7579EB42" w14:textId="77777777" w:rsidR="000923BB" w:rsidRPr="00F955C6" w:rsidRDefault="000923BB" w:rsidP="003A385F">
            <w:pPr>
              <w:jc w:val="center"/>
              <w:rPr>
                <w:rFonts w:cs="Arial"/>
                <w:sz w:val="20"/>
                <w:szCs w:val="20"/>
              </w:rPr>
            </w:pPr>
            <w:r w:rsidRPr="00F955C6">
              <w:rPr>
                <w:rFonts w:cs="Arial"/>
                <w:sz w:val="20"/>
                <w:szCs w:val="20"/>
              </w:rPr>
              <w:t>-0.454</w:t>
            </w:r>
          </w:p>
        </w:tc>
        <w:tc>
          <w:tcPr>
            <w:tcW w:w="850" w:type="dxa"/>
            <w:tcBorders>
              <w:bottom w:val="single" w:sz="4" w:space="0" w:color="auto"/>
            </w:tcBorders>
            <w:shd w:val="clear" w:color="auto" w:fill="CCFFCC"/>
          </w:tcPr>
          <w:p w14:paraId="61433A7C" w14:textId="77777777" w:rsidR="000923BB" w:rsidRPr="00F955C6" w:rsidRDefault="000923BB" w:rsidP="003A385F">
            <w:pPr>
              <w:jc w:val="center"/>
              <w:rPr>
                <w:rFonts w:cs="Arial"/>
                <w:sz w:val="20"/>
                <w:szCs w:val="20"/>
              </w:rPr>
            </w:pPr>
            <w:r w:rsidRPr="00F955C6">
              <w:rPr>
                <w:rFonts w:cs="Arial"/>
                <w:sz w:val="20"/>
                <w:szCs w:val="20"/>
              </w:rPr>
              <w:t>0.044</w:t>
            </w:r>
          </w:p>
        </w:tc>
        <w:tc>
          <w:tcPr>
            <w:tcW w:w="1418" w:type="dxa"/>
            <w:tcBorders>
              <w:bottom w:val="single" w:sz="4" w:space="0" w:color="auto"/>
            </w:tcBorders>
            <w:shd w:val="clear" w:color="auto" w:fill="CCFFCC"/>
          </w:tcPr>
          <w:p w14:paraId="6B279C75" w14:textId="77777777" w:rsidR="000923BB" w:rsidRPr="00F955C6" w:rsidRDefault="000923BB" w:rsidP="003A385F">
            <w:pPr>
              <w:jc w:val="center"/>
              <w:rPr>
                <w:rFonts w:cs="Arial"/>
                <w:sz w:val="20"/>
                <w:szCs w:val="20"/>
              </w:rPr>
            </w:pPr>
            <w:r w:rsidRPr="00F955C6">
              <w:rPr>
                <w:rFonts w:cs="Arial"/>
                <w:sz w:val="20"/>
                <w:szCs w:val="20"/>
              </w:rPr>
              <w:t>Moderate</w:t>
            </w:r>
          </w:p>
        </w:tc>
      </w:tr>
      <w:tr w:rsidR="000923BB" w:rsidRPr="00F955C6" w14:paraId="106BF5FF" w14:textId="77777777" w:rsidTr="000520F8">
        <w:tc>
          <w:tcPr>
            <w:tcW w:w="4394" w:type="dxa"/>
            <w:shd w:val="clear" w:color="auto" w:fill="auto"/>
          </w:tcPr>
          <w:p w14:paraId="3F958E05" w14:textId="77777777" w:rsidR="000923BB" w:rsidRPr="00F955C6" w:rsidRDefault="000923BB" w:rsidP="003A385F">
            <w:pPr>
              <w:rPr>
                <w:rFonts w:cs="Arial"/>
                <w:sz w:val="20"/>
                <w:szCs w:val="20"/>
              </w:rPr>
            </w:pPr>
            <w:r w:rsidRPr="00F955C6">
              <w:rPr>
                <w:rFonts w:cs="Arial"/>
                <w:sz w:val="20"/>
                <w:szCs w:val="20"/>
              </w:rPr>
              <w:t>NHS staff survey Q22f: Happy with standard of care provided (mean)</w:t>
            </w:r>
          </w:p>
        </w:tc>
        <w:tc>
          <w:tcPr>
            <w:tcW w:w="1418" w:type="dxa"/>
            <w:shd w:val="clear" w:color="auto" w:fill="auto"/>
          </w:tcPr>
          <w:p w14:paraId="67762264" w14:textId="77777777" w:rsidR="000923BB" w:rsidRPr="00F955C6" w:rsidRDefault="000923BB" w:rsidP="003A385F">
            <w:pPr>
              <w:jc w:val="center"/>
              <w:rPr>
                <w:rFonts w:cs="Arial"/>
                <w:sz w:val="20"/>
                <w:szCs w:val="20"/>
              </w:rPr>
            </w:pPr>
            <w:r w:rsidRPr="00F955C6">
              <w:rPr>
                <w:rFonts w:cs="Arial"/>
                <w:sz w:val="20"/>
                <w:szCs w:val="20"/>
              </w:rPr>
              <w:t>-0.268</w:t>
            </w:r>
          </w:p>
        </w:tc>
        <w:tc>
          <w:tcPr>
            <w:tcW w:w="850" w:type="dxa"/>
            <w:shd w:val="clear" w:color="auto" w:fill="auto"/>
          </w:tcPr>
          <w:p w14:paraId="3A124898" w14:textId="77777777" w:rsidR="000923BB" w:rsidRPr="00F955C6" w:rsidRDefault="000923BB" w:rsidP="003A385F">
            <w:pPr>
              <w:jc w:val="center"/>
              <w:rPr>
                <w:rFonts w:cs="Arial"/>
                <w:sz w:val="20"/>
                <w:szCs w:val="20"/>
              </w:rPr>
            </w:pPr>
            <w:r w:rsidRPr="00F955C6">
              <w:rPr>
                <w:rFonts w:cs="Arial"/>
                <w:sz w:val="20"/>
                <w:szCs w:val="20"/>
              </w:rPr>
              <w:t>0.252</w:t>
            </w:r>
          </w:p>
        </w:tc>
        <w:tc>
          <w:tcPr>
            <w:tcW w:w="1418" w:type="dxa"/>
            <w:shd w:val="clear" w:color="auto" w:fill="auto"/>
          </w:tcPr>
          <w:p w14:paraId="6A77C921" w14:textId="77777777" w:rsidR="000923BB" w:rsidRPr="00F955C6" w:rsidRDefault="000923BB" w:rsidP="003A385F">
            <w:pPr>
              <w:jc w:val="center"/>
              <w:rPr>
                <w:rFonts w:cs="Arial"/>
                <w:sz w:val="20"/>
                <w:szCs w:val="20"/>
              </w:rPr>
            </w:pPr>
            <w:r w:rsidRPr="00F955C6">
              <w:rPr>
                <w:rFonts w:cs="Arial"/>
                <w:sz w:val="20"/>
                <w:szCs w:val="20"/>
              </w:rPr>
              <w:t>Weak</w:t>
            </w:r>
          </w:p>
        </w:tc>
      </w:tr>
    </w:tbl>
    <w:p w14:paraId="18C8E68B" w14:textId="77777777" w:rsidR="000923BB" w:rsidRPr="00D77319" w:rsidRDefault="000520F8" w:rsidP="000923BB">
      <w:pPr>
        <w:rPr>
          <w:rFonts w:cs="Arial"/>
          <w:sz w:val="18"/>
          <w:szCs w:val="18"/>
        </w:rPr>
      </w:pPr>
      <w:r>
        <w:rPr>
          <w:rFonts w:cs="Arial"/>
          <w:sz w:val="18"/>
          <w:szCs w:val="18"/>
        </w:rPr>
        <w:t xml:space="preserve">   </w:t>
      </w:r>
      <w:r w:rsidR="000923BB" w:rsidRPr="00D77319">
        <w:rPr>
          <w:rFonts w:cs="Arial"/>
          <w:sz w:val="18"/>
          <w:szCs w:val="18"/>
        </w:rPr>
        <w:t>* Spearman’s rank correlation used</w:t>
      </w:r>
    </w:p>
    <w:p w14:paraId="6E413118" w14:textId="77777777" w:rsidR="000923BB" w:rsidRPr="00D77319" w:rsidRDefault="000520F8" w:rsidP="000923BB">
      <w:pPr>
        <w:rPr>
          <w:rFonts w:cs="Arial"/>
          <w:sz w:val="18"/>
          <w:szCs w:val="18"/>
        </w:rPr>
      </w:pPr>
      <w:r>
        <w:rPr>
          <w:rFonts w:cs="Arial"/>
          <w:sz w:val="18"/>
          <w:szCs w:val="18"/>
        </w:rPr>
        <w:t xml:space="preserve">   </w:t>
      </w:r>
      <w:r w:rsidR="000923BB">
        <w:rPr>
          <w:rFonts w:cs="Arial"/>
          <w:sz w:val="18"/>
          <w:szCs w:val="18"/>
        </w:rPr>
        <w:t xml:space="preserve">Correlations at the &lt; 0.05 significance level highlighted </w:t>
      </w:r>
    </w:p>
    <w:p w14:paraId="56055450" w14:textId="77777777" w:rsidR="000923BB" w:rsidRPr="004932C5" w:rsidRDefault="000923BB" w:rsidP="000923BB">
      <w:pPr>
        <w:jc w:val="center"/>
        <w:rPr>
          <w:rFonts w:cs="Arial"/>
          <w:b/>
          <w:sz w:val="28"/>
          <w:szCs w:val="28"/>
        </w:rPr>
      </w:pPr>
      <w:r>
        <w:rPr>
          <w:rFonts w:cs="Arial"/>
          <w:sz w:val="22"/>
        </w:rPr>
        <w:br w:type="page"/>
      </w:r>
      <w:r w:rsidRPr="004932C5">
        <w:rPr>
          <w:rFonts w:cs="Arial"/>
          <w:b/>
          <w:sz w:val="28"/>
          <w:szCs w:val="28"/>
        </w:rPr>
        <w:lastRenderedPageBreak/>
        <w:t>Appendix 10</w:t>
      </w:r>
    </w:p>
    <w:p w14:paraId="25805ECD" w14:textId="77777777" w:rsidR="000923BB" w:rsidRPr="00F44C92" w:rsidRDefault="000923BB" w:rsidP="000923BB">
      <w:pPr>
        <w:jc w:val="center"/>
        <w:rPr>
          <w:rFonts w:cs="Arial"/>
          <w:b/>
        </w:rPr>
      </w:pPr>
    </w:p>
    <w:p w14:paraId="48C19ADD" w14:textId="77777777" w:rsidR="000923BB" w:rsidRDefault="000923BB" w:rsidP="000923BB">
      <w:pPr>
        <w:jc w:val="both"/>
        <w:rPr>
          <w:rFonts w:cs="Arial"/>
          <w:b/>
          <w:bCs/>
          <w:sz w:val="22"/>
        </w:rPr>
      </w:pPr>
      <w:r>
        <w:rPr>
          <w:rFonts w:cs="Arial"/>
          <w:b/>
          <w:bCs/>
          <w:sz w:val="22"/>
        </w:rPr>
        <w:t>Heart Failure – correlations between holistic mean overall scale scores and outcome variables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9"/>
        <w:gridCol w:w="1257"/>
        <w:gridCol w:w="893"/>
        <w:gridCol w:w="1391"/>
      </w:tblGrid>
      <w:tr w:rsidR="000923BB" w:rsidRPr="00F955C6" w14:paraId="6D71A0D5" w14:textId="77777777" w:rsidTr="000520F8">
        <w:tc>
          <w:tcPr>
            <w:tcW w:w="4718" w:type="dxa"/>
          </w:tcPr>
          <w:p w14:paraId="465EF98F" w14:textId="77777777" w:rsidR="000923BB" w:rsidRPr="00F955C6" w:rsidRDefault="000923BB" w:rsidP="003A385F">
            <w:pPr>
              <w:rPr>
                <w:rFonts w:cs="Arial"/>
                <w:sz w:val="20"/>
                <w:szCs w:val="20"/>
              </w:rPr>
            </w:pPr>
            <w:r w:rsidRPr="00F955C6">
              <w:rPr>
                <w:rFonts w:cs="Arial"/>
                <w:sz w:val="20"/>
                <w:szCs w:val="20"/>
              </w:rPr>
              <w:t>Variable</w:t>
            </w:r>
          </w:p>
        </w:tc>
        <w:tc>
          <w:tcPr>
            <w:tcW w:w="1260" w:type="dxa"/>
          </w:tcPr>
          <w:p w14:paraId="4498C4A8" w14:textId="77777777" w:rsidR="000923BB" w:rsidRPr="00F955C6" w:rsidRDefault="000923BB" w:rsidP="003A385F">
            <w:pPr>
              <w:jc w:val="center"/>
              <w:rPr>
                <w:rFonts w:cs="Arial"/>
                <w:sz w:val="20"/>
                <w:szCs w:val="20"/>
              </w:rPr>
            </w:pPr>
            <w:r w:rsidRPr="00F955C6">
              <w:rPr>
                <w:rFonts w:cs="Arial"/>
                <w:sz w:val="20"/>
                <w:szCs w:val="20"/>
              </w:rPr>
              <w:t>Correlation coefficient</w:t>
            </w:r>
          </w:p>
        </w:tc>
        <w:tc>
          <w:tcPr>
            <w:tcW w:w="900" w:type="dxa"/>
          </w:tcPr>
          <w:p w14:paraId="33BD357A" w14:textId="77777777" w:rsidR="000923BB" w:rsidRPr="00F955C6" w:rsidRDefault="000923BB" w:rsidP="003A385F">
            <w:pPr>
              <w:jc w:val="center"/>
              <w:rPr>
                <w:rFonts w:cs="Arial"/>
                <w:sz w:val="20"/>
                <w:szCs w:val="20"/>
              </w:rPr>
            </w:pPr>
            <w:r w:rsidRPr="00F955C6">
              <w:rPr>
                <w:rFonts w:cs="Arial"/>
                <w:sz w:val="20"/>
                <w:szCs w:val="20"/>
              </w:rPr>
              <w:t>p-value</w:t>
            </w:r>
          </w:p>
        </w:tc>
        <w:tc>
          <w:tcPr>
            <w:tcW w:w="1394" w:type="dxa"/>
          </w:tcPr>
          <w:p w14:paraId="7CB957FE" w14:textId="77777777" w:rsidR="000923BB" w:rsidRPr="00F955C6" w:rsidRDefault="000923BB" w:rsidP="003A385F">
            <w:pPr>
              <w:jc w:val="center"/>
              <w:rPr>
                <w:rFonts w:cs="Arial"/>
                <w:sz w:val="20"/>
                <w:szCs w:val="20"/>
              </w:rPr>
            </w:pPr>
            <w:r w:rsidRPr="00F955C6">
              <w:rPr>
                <w:rFonts w:cs="Arial"/>
                <w:sz w:val="20"/>
                <w:szCs w:val="20"/>
              </w:rPr>
              <w:t>Relationship</w:t>
            </w:r>
          </w:p>
        </w:tc>
      </w:tr>
      <w:tr w:rsidR="000923BB" w:rsidRPr="00F955C6" w14:paraId="11A557E3" w14:textId="77777777" w:rsidTr="000520F8">
        <w:tc>
          <w:tcPr>
            <w:tcW w:w="4718" w:type="dxa"/>
          </w:tcPr>
          <w:p w14:paraId="3B340B6F" w14:textId="77777777" w:rsidR="000923BB" w:rsidRPr="00F955C6" w:rsidRDefault="000923BB" w:rsidP="003A385F">
            <w:pPr>
              <w:rPr>
                <w:rFonts w:cs="Arial"/>
                <w:sz w:val="20"/>
                <w:szCs w:val="20"/>
              </w:rPr>
            </w:pPr>
            <w:r w:rsidRPr="00F955C6">
              <w:rPr>
                <w:rFonts w:cs="Arial"/>
                <w:sz w:val="20"/>
                <w:szCs w:val="20"/>
              </w:rPr>
              <w:t>Percentage of HF patients who die in hospital within 28 days</w:t>
            </w:r>
          </w:p>
        </w:tc>
        <w:tc>
          <w:tcPr>
            <w:tcW w:w="1260" w:type="dxa"/>
          </w:tcPr>
          <w:p w14:paraId="56A76522" w14:textId="77777777" w:rsidR="000923BB" w:rsidRPr="00F955C6" w:rsidRDefault="000923BB" w:rsidP="003A385F">
            <w:pPr>
              <w:jc w:val="center"/>
              <w:rPr>
                <w:rFonts w:cs="Arial"/>
                <w:sz w:val="20"/>
                <w:szCs w:val="20"/>
              </w:rPr>
            </w:pPr>
            <w:r w:rsidRPr="00F955C6">
              <w:rPr>
                <w:rFonts w:cs="Arial"/>
                <w:sz w:val="20"/>
                <w:szCs w:val="20"/>
              </w:rPr>
              <w:t>-0.274</w:t>
            </w:r>
          </w:p>
        </w:tc>
        <w:tc>
          <w:tcPr>
            <w:tcW w:w="900" w:type="dxa"/>
          </w:tcPr>
          <w:p w14:paraId="6EDFB1F3" w14:textId="77777777" w:rsidR="000923BB" w:rsidRPr="00F955C6" w:rsidRDefault="000923BB" w:rsidP="003A385F">
            <w:pPr>
              <w:jc w:val="center"/>
              <w:rPr>
                <w:rFonts w:cs="Arial"/>
                <w:sz w:val="20"/>
                <w:szCs w:val="20"/>
              </w:rPr>
            </w:pPr>
            <w:r w:rsidRPr="00F955C6">
              <w:rPr>
                <w:rFonts w:cs="Arial"/>
                <w:sz w:val="20"/>
                <w:szCs w:val="20"/>
              </w:rPr>
              <w:t>0.242</w:t>
            </w:r>
          </w:p>
        </w:tc>
        <w:tc>
          <w:tcPr>
            <w:tcW w:w="1394" w:type="dxa"/>
          </w:tcPr>
          <w:p w14:paraId="16BAA700"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729B042E" w14:textId="77777777" w:rsidTr="000520F8">
        <w:tc>
          <w:tcPr>
            <w:tcW w:w="4718" w:type="dxa"/>
            <w:tcBorders>
              <w:bottom w:val="single" w:sz="4" w:space="0" w:color="auto"/>
            </w:tcBorders>
          </w:tcPr>
          <w:p w14:paraId="0F294B60" w14:textId="77777777" w:rsidR="000923BB" w:rsidRPr="00F955C6" w:rsidRDefault="000923BB" w:rsidP="003A385F">
            <w:pPr>
              <w:rPr>
                <w:rFonts w:cs="Arial"/>
                <w:sz w:val="20"/>
                <w:szCs w:val="20"/>
              </w:rPr>
            </w:pPr>
            <w:r w:rsidRPr="00F955C6">
              <w:rPr>
                <w:rFonts w:cs="Arial"/>
                <w:sz w:val="20"/>
                <w:szCs w:val="20"/>
              </w:rPr>
              <w:t>HSMR from Dr. Foster (3 year mortality)</w:t>
            </w:r>
          </w:p>
        </w:tc>
        <w:tc>
          <w:tcPr>
            <w:tcW w:w="1260" w:type="dxa"/>
            <w:tcBorders>
              <w:bottom w:val="single" w:sz="4" w:space="0" w:color="auto"/>
            </w:tcBorders>
          </w:tcPr>
          <w:p w14:paraId="3E3D6649" w14:textId="77777777" w:rsidR="000923BB" w:rsidRPr="00F955C6" w:rsidRDefault="000923BB" w:rsidP="003A385F">
            <w:pPr>
              <w:jc w:val="center"/>
              <w:rPr>
                <w:rFonts w:cs="Arial"/>
                <w:sz w:val="20"/>
                <w:szCs w:val="20"/>
              </w:rPr>
            </w:pPr>
            <w:r w:rsidRPr="00F955C6">
              <w:rPr>
                <w:rFonts w:cs="Arial"/>
                <w:sz w:val="20"/>
                <w:szCs w:val="20"/>
              </w:rPr>
              <w:t>-0.139</w:t>
            </w:r>
          </w:p>
        </w:tc>
        <w:tc>
          <w:tcPr>
            <w:tcW w:w="900" w:type="dxa"/>
            <w:tcBorders>
              <w:bottom w:val="single" w:sz="4" w:space="0" w:color="auto"/>
            </w:tcBorders>
          </w:tcPr>
          <w:p w14:paraId="5489D223" w14:textId="77777777" w:rsidR="000923BB" w:rsidRPr="00F955C6" w:rsidRDefault="000923BB" w:rsidP="003A385F">
            <w:pPr>
              <w:jc w:val="center"/>
              <w:rPr>
                <w:rFonts w:cs="Arial"/>
                <w:sz w:val="20"/>
                <w:szCs w:val="20"/>
              </w:rPr>
            </w:pPr>
            <w:r w:rsidRPr="00F955C6">
              <w:rPr>
                <w:rFonts w:cs="Arial"/>
                <w:sz w:val="20"/>
                <w:szCs w:val="20"/>
              </w:rPr>
              <w:t>0.560</w:t>
            </w:r>
          </w:p>
        </w:tc>
        <w:tc>
          <w:tcPr>
            <w:tcW w:w="1394" w:type="dxa"/>
            <w:tcBorders>
              <w:bottom w:val="single" w:sz="4" w:space="0" w:color="auto"/>
            </w:tcBorders>
          </w:tcPr>
          <w:p w14:paraId="464F7DD4"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6A3A9089" w14:textId="77777777" w:rsidTr="000520F8">
        <w:tc>
          <w:tcPr>
            <w:tcW w:w="4718" w:type="dxa"/>
            <w:tcBorders>
              <w:bottom w:val="single" w:sz="4" w:space="0" w:color="auto"/>
            </w:tcBorders>
          </w:tcPr>
          <w:p w14:paraId="3FFC5491" w14:textId="77777777" w:rsidR="000923BB" w:rsidRPr="00F955C6" w:rsidRDefault="000923BB" w:rsidP="003A385F">
            <w:pPr>
              <w:rPr>
                <w:rFonts w:cs="Arial"/>
                <w:sz w:val="20"/>
                <w:szCs w:val="20"/>
              </w:rPr>
            </w:pPr>
            <w:r w:rsidRPr="00F955C6">
              <w:rPr>
                <w:rFonts w:cs="Arial"/>
                <w:sz w:val="20"/>
                <w:szCs w:val="20"/>
              </w:rPr>
              <w:t>HSMR from Dr. Foster (1 year mortality)</w:t>
            </w:r>
          </w:p>
        </w:tc>
        <w:tc>
          <w:tcPr>
            <w:tcW w:w="1260" w:type="dxa"/>
            <w:tcBorders>
              <w:bottom w:val="single" w:sz="4" w:space="0" w:color="auto"/>
            </w:tcBorders>
          </w:tcPr>
          <w:p w14:paraId="4E452241" w14:textId="77777777" w:rsidR="000923BB" w:rsidRPr="00F955C6" w:rsidRDefault="000923BB" w:rsidP="003A385F">
            <w:pPr>
              <w:jc w:val="center"/>
              <w:rPr>
                <w:rFonts w:cs="Arial"/>
                <w:sz w:val="20"/>
                <w:szCs w:val="20"/>
              </w:rPr>
            </w:pPr>
            <w:r w:rsidRPr="00F955C6">
              <w:rPr>
                <w:rFonts w:cs="Arial"/>
                <w:sz w:val="20"/>
                <w:szCs w:val="20"/>
              </w:rPr>
              <w:t>-0.272</w:t>
            </w:r>
          </w:p>
        </w:tc>
        <w:tc>
          <w:tcPr>
            <w:tcW w:w="900" w:type="dxa"/>
            <w:tcBorders>
              <w:bottom w:val="single" w:sz="4" w:space="0" w:color="auto"/>
            </w:tcBorders>
          </w:tcPr>
          <w:p w14:paraId="4D4000D0" w14:textId="77777777" w:rsidR="000923BB" w:rsidRPr="00F955C6" w:rsidRDefault="000923BB" w:rsidP="003A385F">
            <w:pPr>
              <w:jc w:val="center"/>
              <w:rPr>
                <w:rFonts w:cs="Arial"/>
                <w:sz w:val="20"/>
                <w:szCs w:val="20"/>
              </w:rPr>
            </w:pPr>
            <w:r w:rsidRPr="00F955C6">
              <w:rPr>
                <w:rFonts w:cs="Arial"/>
                <w:sz w:val="20"/>
                <w:szCs w:val="20"/>
              </w:rPr>
              <w:t>0.245</w:t>
            </w:r>
          </w:p>
        </w:tc>
        <w:tc>
          <w:tcPr>
            <w:tcW w:w="1394" w:type="dxa"/>
            <w:tcBorders>
              <w:bottom w:val="single" w:sz="4" w:space="0" w:color="auto"/>
            </w:tcBorders>
          </w:tcPr>
          <w:p w14:paraId="2B6C064D"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553F5829" w14:textId="77777777" w:rsidTr="000520F8">
        <w:tc>
          <w:tcPr>
            <w:tcW w:w="4718" w:type="dxa"/>
            <w:shd w:val="clear" w:color="auto" w:fill="auto"/>
          </w:tcPr>
          <w:p w14:paraId="63C7CC6E" w14:textId="77777777" w:rsidR="000923BB" w:rsidRPr="00F955C6" w:rsidRDefault="000923BB" w:rsidP="003A385F">
            <w:pPr>
              <w:rPr>
                <w:rFonts w:cs="Arial"/>
                <w:sz w:val="20"/>
                <w:szCs w:val="20"/>
              </w:rPr>
            </w:pPr>
            <w:r w:rsidRPr="00F955C6">
              <w:rPr>
                <w:rFonts w:cs="Arial"/>
                <w:sz w:val="20"/>
                <w:szCs w:val="20"/>
              </w:rPr>
              <w:t>Incidents to NPSA per 100 bed days</w:t>
            </w:r>
          </w:p>
        </w:tc>
        <w:tc>
          <w:tcPr>
            <w:tcW w:w="1260" w:type="dxa"/>
            <w:shd w:val="clear" w:color="auto" w:fill="auto"/>
          </w:tcPr>
          <w:p w14:paraId="02FA910D" w14:textId="77777777" w:rsidR="000923BB" w:rsidRPr="00F955C6" w:rsidRDefault="000923BB" w:rsidP="003A385F">
            <w:pPr>
              <w:jc w:val="center"/>
              <w:rPr>
                <w:rFonts w:cs="Arial"/>
                <w:sz w:val="20"/>
                <w:szCs w:val="20"/>
              </w:rPr>
            </w:pPr>
            <w:r w:rsidRPr="00F955C6">
              <w:rPr>
                <w:rFonts w:cs="Arial"/>
                <w:sz w:val="20"/>
                <w:szCs w:val="20"/>
              </w:rPr>
              <w:t>-0.215</w:t>
            </w:r>
          </w:p>
        </w:tc>
        <w:tc>
          <w:tcPr>
            <w:tcW w:w="900" w:type="dxa"/>
            <w:shd w:val="clear" w:color="auto" w:fill="auto"/>
          </w:tcPr>
          <w:p w14:paraId="619B4137" w14:textId="77777777" w:rsidR="000923BB" w:rsidRPr="00F955C6" w:rsidRDefault="000923BB" w:rsidP="003A385F">
            <w:pPr>
              <w:jc w:val="center"/>
              <w:rPr>
                <w:rFonts w:cs="Arial"/>
                <w:sz w:val="20"/>
                <w:szCs w:val="20"/>
              </w:rPr>
            </w:pPr>
            <w:r w:rsidRPr="00F955C6">
              <w:rPr>
                <w:rFonts w:cs="Arial"/>
                <w:sz w:val="20"/>
                <w:szCs w:val="20"/>
              </w:rPr>
              <w:t>0.362</w:t>
            </w:r>
          </w:p>
        </w:tc>
        <w:tc>
          <w:tcPr>
            <w:tcW w:w="1394" w:type="dxa"/>
            <w:shd w:val="clear" w:color="auto" w:fill="auto"/>
          </w:tcPr>
          <w:p w14:paraId="1C21BC3E"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5F57B01A" w14:textId="77777777" w:rsidTr="000520F8">
        <w:tc>
          <w:tcPr>
            <w:tcW w:w="4718" w:type="dxa"/>
          </w:tcPr>
          <w:p w14:paraId="7A25FB3A" w14:textId="77777777" w:rsidR="000923BB" w:rsidRPr="00F955C6" w:rsidRDefault="000923BB" w:rsidP="003A385F">
            <w:pPr>
              <w:rPr>
                <w:rFonts w:cs="Arial"/>
                <w:sz w:val="20"/>
                <w:szCs w:val="20"/>
              </w:rPr>
            </w:pPr>
            <w:r w:rsidRPr="00F955C6">
              <w:rPr>
                <w:rFonts w:cs="Arial"/>
                <w:sz w:val="20"/>
                <w:szCs w:val="20"/>
              </w:rPr>
              <w:t>SMR for deaths in low mortality HRG’s</w:t>
            </w:r>
          </w:p>
        </w:tc>
        <w:tc>
          <w:tcPr>
            <w:tcW w:w="1260" w:type="dxa"/>
          </w:tcPr>
          <w:p w14:paraId="1E23D436" w14:textId="77777777" w:rsidR="000923BB" w:rsidRPr="00F955C6" w:rsidRDefault="000923BB" w:rsidP="003A385F">
            <w:pPr>
              <w:jc w:val="center"/>
              <w:rPr>
                <w:rFonts w:cs="Arial"/>
                <w:sz w:val="20"/>
                <w:szCs w:val="20"/>
              </w:rPr>
            </w:pPr>
            <w:r w:rsidRPr="00F955C6">
              <w:rPr>
                <w:rFonts w:cs="Arial"/>
                <w:sz w:val="20"/>
                <w:szCs w:val="20"/>
              </w:rPr>
              <w:t>-0.064</w:t>
            </w:r>
          </w:p>
        </w:tc>
        <w:tc>
          <w:tcPr>
            <w:tcW w:w="900" w:type="dxa"/>
          </w:tcPr>
          <w:p w14:paraId="5F90E412" w14:textId="77777777" w:rsidR="000923BB" w:rsidRPr="00F955C6" w:rsidRDefault="000923BB" w:rsidP="003A385F">
            <w:pPr>
              <w:jc w:val="center"/>
              <w:rPr>
                <w:rFonts w:cs="Arial"/>
                <w:sz w:val="20"/>
                <w:szCs w:val="20"/>
              </w:rPr>
            </w:pPr>
            <w:r w:rsidRPr="00F955C6">
              <w:rPr>
                <w:rFonts w:cs="Arial"/>
                <w:sz w:val="20"/>
                <w:szCs w:val="20"/>
              </w:rPr>
              <w:t>0.789</w:t>
            </w:r>
          </w:p>
        </w:tc>
        <w:tc>
          <w:tcPr>
            <w:tcW w:w="1394" w:type="dxa"/>
          </w:tcPr>
          <w:p w14:paraId="548A792E"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5DDEB4D8" w14:textId="77777777" w:rsidTr="000520F8">
        <w:tc>
          <w:tcPr>
            <w:tcW w:w="4718" w:type="dxa"/>
          </w:tcPr>
          <w:p w14:paraId="420BBFD8" w14:textId="77777777" w:rsidR="000923BB" w:rsidRPr="00F955C6" w:rsidRDefault="000923BB" w:rsidP="003A385F">
            <w:pPr>
              <w:rPr>
                <w:rFonts w:cs="Arial"/>
                <w:sz w:val="20"/>
                <w:szCs w:val="20"/>
              </w:rPr>
            </w:pPr>
            <w:r w:rsidRPr="00F955C6">
              <w:rPr>
                <w:rFonts w:cs="Arial"/>
                <w:sz w:val="20"/>
                <w:szCs w:val="20"/>
              </w:rPr>
              <w:t>HF finished consultant episodes</w:t>
            </w:r>
          </w:p>
        </w:tc>
        <w:tc>
          <w:tcPr>
            <w:tcW w:w="1260" w:type="dxa"/>
          </w:tcPr>
          <w:p w14:paraId="57CB989C" w14:textId="77777777" w:rsidR="000923BB" w:rsidRPr="00F955C6" w:rsidRDefault="000923BB" w:rsidP="003A385F">
            <w:pPr>
              <w:jc w:val="center"/>
              <w:rPr>
                <w:rFonts w:cs="Arial"/>
                <w:sz w:val="20"/>
                <w:szCs w:val="20"/>
              </w:rPr>
            </w:pPr>
            <w:r w:rsidRPr="00F955C6">
              <w:rPr>
                <w:rFonts w:cs="Arial"/>
                <w:sz w:val="20"/>
                <w:szCs w:val="20"/>
              </w:rPr>
              <w:t>-0.147</w:t>
            </w:r>
          </w:p>
        </w:tc>
        <w:tc>
          <w:tcPr>
            <w:tcW w:w="900" w:type="dxa"/>
          </w:tcPr>
          <w:p w14:paraId="38AA7C07" w14:textId="77777777" w:rsidR="000923BB" w:rsidRPr="00F955C6" w:rsidRDefault="000923BB" w:rsidP="003A385F">
            <w:pPr>
              <w:jc w:val="center"/>
              <w:rPr>
                <w:rFonts w:cs="Arial"/>
                <w:sz w:val="20"/>
                <w:szCs w:val="20"/>
              </w:rPr>
            </w:pPr>
            <w:r w:rsidRPr="00F955C6">
              <w:rPr>
                <w:rFonts w:cs="Arial"/>
                <w:sz w:val="20"/>
                <w:szCs w:val="20"/>
              </w:rPr>
              <w:t>0.549</w:t>
            </w:r>
          </w:p>
        </w:tc>
        <w:tc>
          <w:tcPr>
            <w:tcW w:w="1394" w:type="dxa"/>
          </w:tcPr>
          <w:p w14:paraId="7F64ECD5"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1288C864" w14:textId="77777777" w:rsidTr="000520F8">
        <w:tc>
          <w:tcPr>
            <w:tcW w:w="4718" w:type="dxa"/>
          </w:tcPr>
          <w:p w14:paraId="43CC99E9" w14:textId="77777777" w:rsidR="000923BB" w:rsidRPr="00F955C6" w:rsidRDefault="000923BB" w:rsidP="003A385F">
            <w:pPr>
              <w:rPr>
                <w:rFonts w:cs="Arial"/>
                <w:sz w:val="20"/>
                <w:szCs w:val="20"/>
              </w:rPr>
            </w:pPr>
            <w:r w:rsidRPr="00F955C6">
              <w:rPr>
                <w:rFonts w:cs="Arial"/>
                <w:sz w:val="20"/>
                <w:szCs w:val="20"/>
              </w:rPr>
              <w:t>HF bed days</w:t>
            </w:r>
          </w:p>
        </w:tc>
        <w:tc>
          <w:tcPr>
            <w:tcW w:w="1260" w:type="dxa"/>
          </w:tcPr>
          <w:p w14:paraId="1B395883" w14:textId="77777777" w:rsidR="000923BB" w:rsidRPr="00F955C6" w:rsidRDefault="000923BB" w:rsidP="003A385F">
            <w:pPr>
              <w:jc w:val="center"/>
              <w:rPr>
                <w:rFonts w:cs="Arial"/>
                <w:sz w:val="20"/>
                <w:szCs w:val="20"/>
              </w:rPr>
            </w:pPr>
            <w:r w:rsidRPr="00F955C6">
              <w:rPr>
                <w:rFonts w:cs="Arial"/>
                <w:sz w:val="20"/>
                <w:szCs w:val="20"/>
              </w:rPr>
              <w:t>-0.226</w:t>
            </w:r>
          </w:p>
        </w:tc>
        <w:tc>
          <w:tcPr>
            <w:tcW w:w="900" w:type="dxa"/>
          </w:tcPr>
          <w:p w14:paraId="02055D67" w14:textId="77777777" w:rsidR="000923BB" w:rsidRPr="00F955C6" w:rsidRDefault="000923BB" w:rsidP="003A385F">
            <w:pPr>
              <w:jc w:val="center"/>
              <w:rPr>
                <w:rFonts w:cs="Arial"/>
                <w:sz w:val="20"/>
                <w:szCs w:val="20"/>
              </w:rPr>
            </w:pPr>
            <w:r w:rsidRPr="00F955C6">
              <w:rPr>
                <w:rFonts w:cs="Arial"/>
                <w:sz w:val="20"/>
                <w:szCs w:val="20"/>
              </w:rPr>
              <w:t>0.353</w:t>
            </w:r>
          </w:p>
        </w:tc>
        <w:tc>
          <w:tcPr>
            <w:tcW w:w="1394" w:type="dxa"/>
          </w:tcPr>
          <w:p w14:paraId="22DCFAA8"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46E34652" w14:textId="77777777" w:rsidTr="000520F8">
        <w:tc>
          <w:tcPr>
            <w:tcW w:w="4718" w:type="dxa"/>
            <w:tcBorders>
              <w:bottom w:val="single" w:sz="4" w:space="0" w:color="auto"/>
            </w:tcBorders>
          </w:tcPr>
          <w:p w14:paraId="247C6824" w14:textId="77777777" w:rsidR="000923BB" w:rsidRPr="00F955C6" w:rsidRDefault="000923BB" w:rsidP="003A385F">
            <w:pPr>
              <w:rPr>
                <w:rFonts w:cs="Arial"/>
                <w:sz w:val="20"/>
                <w:szCs w:val="20"/>
              </w:rPr>
            </w:pPr>
            <w:r w:rsidRPr="00F955C6">
              <w:rPr>
                <w:rFonts w:cs="Arial"/>
                <w:sz w:val="20"/>
                <w:szCs w:val="20"/>
              </w:rPr>
              <w:t>HF mean length of stay</w:t>
            </w:r>
          </w:p>
        </w:tc>
        <w:tc>
          <w:tcPr>
            <w:tcW w:w="1260" w:type="dxa"/>
            <w:tcBorders>
              <w:bottom w:val="single" w:sz="4" w:space="0" w:color="auto"/>
            </w:tcBorders>
          </w:tcPr>
          <w:p w14:paraId="53B3EF50" w14:textId="77777777" w:rsidR="000923BB" w:rsidRPr="00F955C6" w:rsidRDefault="000923BB" w:rsidP="003A385F">
            <w:pPr>
              <w:jc w:val="center"/>
              <w:rPr>
                <w:rFonts w:cs="Arial"/>
                <w:sz w:val="20"/>
                <w:szCs w:val="20"/>
              </w:rPr>
            </w:pPr>
            <w:r w:rsidRPr="00F955C6">
              <w:rPr>
                <w:rFonts w:cs="Arial"/>
                <w:sz w:val="20"/>
                <w:szCs w:val="20"/>
              </w:rPr>
              <w:t>0.029</w:t>
            </w:r>
          </w:p>
        </w:tc>
        <w:tc>
          <w:tcPr>
            <w:tcW w:w="900" w:type="dxa"/>
            <w:tcBorders>
              <w:bottom w:val="single" w:sz="4" w:space="0" w:color="auto"/>
            </w:tcBorders>
          </w:tcPr>
          <w:p w14:paraId="38F0BFC8" w14:textId="77777777" w:rsidR="000923BB" w:rsidRPr="00F955C6" w:rsidRDefault="000923BB" w:rsidP="003A385F">
            <w:pPr>
              <w:jc w:val="center"/>
              <w:rPr>
                <w:rFonts w:cs="Arial"/>
                <w:sz w:val="20"/>
                <w:szCs w:val="20"/>
              </w:rPr>
            </w:pPr>
            <w:r w:rsidRPr="00F955C6">
              <w:rPr>
                <w:rFonts w:cs="Arial"/>
                <w:sz w:val="20"/>
                <w:szCs w:val="20"/>
              </w:rPr>
              <w:t>0.905</w:t>
            </w:r>
          </w:p>
        </w:tc>
        <w:tc>
          <w:tcPr>
            <w:tcW w:w="1394" w:type="dxa"/>
            <w:tcBorders>
              <w:bottom w:val="single" w:sz="4" w:space="0" w:color="auto"/>
            </w:tcBorders>
          </w:tcPr>
          <w:p w14:paraId="06FA2ED5"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5A7DA3E6" w14:textId="77777777" w:rsidTr="000520F8">
        <w:tc>
          <w:tcPr>
            <w:tcW w:w="4718" w:type="dxa"/>
            <w:shd w:val="clear" w:color="auto" w:fill="CCFFCC"/>
          </w:tcPr>
          <w:p w14:paraId="180D8053" w14:textId="77777777" w:rsidR="000923BB" w:rsidRPr="00F955C6" w:rsidRDefault="000923BB" w:rsidP="003A385F">
            <w:pPr>
              <w:rPr>
                <w:rFonts w:cs="Arial"/>
                <w:sz w:val="20"/>
                <w:szCs w:val="20"/>
              </w:rPr>
            </w:pPr>
            <w:r w:rsidRPr="00F955C6">
              <w:rPr>
                <w:rFonts w:cs="Arial"/>
                <w:sz w:val="20"/>
                <w:szCs w:val="20"/>
              </w:rPr>
              <w:t>HF mean age</w:t>
            </w:r>
          </w:p>
        </w:tc>
        <w:tc>
          <w:tcPr>
            <w:tcW w:w="1260" w:type="dxa"/>
            <w:shd w:val="clear" w:color="auto" w:fill="CCFFCC"/>
          </w:tcPr>
          <w:p w14:paraId="59009D08" w14:textId="77777777" w:rsidR="000923BB" w:rsidRPr="00F955C6" w:rsidRDefault="000923BB" w:rsidP="003A385F">
            <w:pPr>
              <w:jc w:val="center"/>
              <w:rPr>
                <w:rFonts w:cs="Arial"/>
                <w:sz w:val="20"/>
                <w:szCs w:val="20"/>
              </w:rPr>
            </w:pPr>
            <w:r w:rsidRPr="00F955C6">
              <w:rPr>
                <w:rFonts w:cs="Arial"/>
                <w:sz w:val="20"/>
                <w:szCs w:val="20"/>
              </w:rPr>
              <w:t>-0.552</w:t>
            </w:r>
          </w:p>
        </w:tc>
        <w:tc>
          <w:tcPr>
            <w:tcW w:w="900" w:type="dxa"/>
            <w:shd w:val="clear" w:color="auto" w:fill="CCFFCC"/>
          </w:tcPr>
          <w:p w14:paraId="0795348B" w14:textId="77777777" w:rsidR="000923BB" w:rsidRPr="00F955C6" w:rsidRDefault="000923BB" w:rsidP="003A385F">
            <w:pPr>
              <w:jc w:val="center"/>
              <w:rPr>
                <w:rFonts w:cs="Arial"/>
                <w:sz w:val="20"/>
                <w:szCs w:val="20"/>
              </w:rPr>
            </w:pPr>
            <w:r w:rsidRPr="00F955C6">
              <w:rPr>
                <w:rFonts w:cs="Arial"/>
                <w:sz w:val="20"/>
                <w:szCs w:val="20"/>
              </w:rPr>
              <w:t>0.014</w:t>
            </w:r>
          </w:p>
        </w:tc>
        <w:tc>
          <w:tcPr>
            <w:tcW w:w="1394" w:type="dxa"/>
            <w:shd w:val="clear" w:color="auto" w:fill="CCFFCC"/>
          </w:tcPr>
          <w:p w14:paraId="020D7CE9" w14:textId="77777777" w:rsidR="000923BB" w:rsidRPr="00F955C6" w:rsidRDefault="000923BB" w:rsidP="003A385F">
            <w:pPr>
              <w:jc w:val="center"/>
              <w:rPr>
                <w:rFonts w:cs="Arial"/>
                <w:sz w:val="20"/>
                <w:szCs w:val="20"/>
              </w:rPr>
            </w:pPr>
            <w:r w:rsidRPr="00F955C6">
              <w:rPr>
                <w:rFonts w:cs="Arial"/>
                <w:sz w:val="20"/>
                <w:szCs w:val="20"/>
              </w:rPr>
              <w:t>Moderate</w:t>
            </w:r>
          </w:p>
        </w:tc>
      </w:tr>
      <w:tr w:rsidR="000923BB" w:rsidRPr="00F955C6" w14:paraId="680FB4B7" w14:textId="77777777" w:rsidTr="000520F8">
        <w:tc>
          <w:tcPr>
            <w:tcW w:w="4718" w:type="dxa"/>
          </w:tcPr>
          <w:p w14:paraId="2105A3AC" w14:textId="77777777" w:rsidR="000923BB" w:rsidRPr="00F955C6" w:rsidRDefault="000923BB" w:rsidP="003A385F">
            <w:pPr>
              <w:rPr>
                <w:rFonts w:cs="Arial"/>
                <w:sz w:val="20"/>
                <w:szCs w:val="20"/>
              </w:rPr>
            </w:pPr>
            <w:r w:rsidRPr="00F955C6">
              <w:rPr>
                <w:rFonts w:cs="Arial"/>
                <w:sz w:val="20"/>
                <w:szCs w:val="20"/>
              </w:rPr>
              <w:t>Star rating (0 worst to 3 best)</w:t>
            </w:r>
          </w:p>
        </w:tc>
        <w:tc>
          <w:tcPr>
            <w:tcW w:w="1260" w:type="dxa"/>
          </w:tcPr>
          <w:p w14:paraId="7064C44A" w14:textId="77777777" w:rsidR="000923BB" w:rsidRPr="00F955C6" w:rsidRDefault="000923BB" w:rsidP="003A385F">
            <w:pPr>
              <w:jc w:val="center"/>
              <w:rPr>
                <w:rFonts w:cs="Arial"/>
                <w:sz w:val="20"/>
                <w:szCs w:val="20"/>
              </w:rPr>
            </w:pPr>
            <w:r w:rsidRPr="00F955C6">
              <w:rPr>
                <w:rFonts w:cs="Arial"/>
                <w:sz w:val="20"/>
                <w:szCs w:val="20"/>
              </w:rPr>
              <w:t>0.222*</w:t>
            </w:r>
          </w:p>
        </w:tc>
        <w:tc>
          <w:tcPr>
            <w:tcW w:w="900" w:type="dxa"/>
          </w:tcPr>
          <w:p w14:paraId="64CB3DAC" w14:textId="77777777" w:rsidR="000923BB" w:rsidRPr="00F955C6" w:rsidRDefault="000923BB" w:rsidP="003A385F">
            <w:pPr>
              <w:jc w:val="center"/>
              <w:rPr>
                <w:rFonts w:cs="Arial"/>
                <w:sz w:val="20"/>
                <w:szCs w:val="20"/>
              </w:rPr>
            </w:pPr>
            <w:r w:rsidRPr="00F955C6">
              <w:rPr>
                <w:rFonts w:cs="Arial"/>
                <w:sz w:val="20"/>
                <w:szCs w:val="20"/>
              </w:rPr>
              <w:t>0.347</w:t>
            </w:r>
          </w:p>
        </w:tc>
        <w:tc>
          <w:tcPr>
            <w:tcW w:w="1394" w:type="dxa"/>
          </w:tcPr>
          <w:p w14:paraId="6409D3D0"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6FD3371F" w14:textId="77777777" w:rsidTr="000520F8">
        <w:tc>
          <w:tcPr>
            <w:tcW w:w="4718" w:type="dxa"/>
          </w:tcPr>
          <w:p w14:paraId="3D94CEBC" w14:textId="77777777" w:rsidR="000923BB" w:rsidRPr="00F955C6" w:rsidRDefault="000923BB" w:rsidP="003A385F">
            <w:pPr>
              <w:rPr>
                <w:rFonts w:cs="Arial"/>
                <w:sz w:val="20"/>
                <w:szCs w:val="20"/>
              </w:rPr>
            </w:pPr>
            <w:r w:rsidRPr="00F955C6">
              <w:rPr>
                <w:rFonts w:cs="Arial"/>
                <w:sz w:val="20"/>
                <w:szCs w:val="20"/>
              </w:rPr>
              <w:t>Use of resources HCC</w:t>
            </w:r>
          </w:p>
        </w:tc>
        <w:tc>
          <w:tcPr>
            <w:tcW w:w="1260" w:type="dxa"/>
          </w:tcPr>
          <w:p w14:paraId="10CBDE9D" w14:textId="77777777" w:rsidR="000923BB" w:rsidRPr="00F955C6" w:rsidRDefault="000923BB" w:rsidP="003A385F">
            <w:pPr>
              <w:jc w:val="center"/>
              <w:rPr>
                <w:rFonts w:cs="Arial"/>
                <w:sz w:val="20"/>
                <w:szCs w:val="20"/>
              </w:rPr>
            </w:pPr>
            <w:r w:rsidRPr="00F955C6">
              <w:rPr>
                <w:rFonts w:cs="Arial"/>
                <w:sz w:val="20"/>
                <w:szCs w:val="20"/>
              </w:rPr>
              <w:t>0.248*</w:t>
            </w:r>
          </w:p>
        </w:tc>
        <w:tc>
          <w:tcPr>
            <w:tcW w:w="900" w:type="dxa"/>
          </w:tcPr>
          <w:p w14:paraId="7827D81E" w14:textId="77777777" w:rsidR="000923BB" w:rsidRPr="00F955C6" w:rsidRDefault="000923BB" w:rsidP="003A385F">
            <w:pPr>
              <w:jc w:val="center"/>
              <w:rPr>
                <w:rFonts w:cs="Arial"/>
                <w:sz w:val="20"/>
                <w:szCs w:val="20"/>
              </w:rPr>
            </w:pPr>
            <w:r w:rsidRPr="00F955C6">
              <w:rPr>
                <w:rFonts w:cs="Arial"/>
                <w:sz w:val="20"/>
                <w:szCs w:val="20"/>
              </w:rPr>
              <w:t>0.292</w:t>
            </w:r>
          </w:p>
        </w:tc>
        <w:tc>
          <w:tcPr>
            <w:tcW w:w="1394" w:type="dxa"/>
          </w:tcPr>
          <w:p w14:paraId="2B9AE1BF"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008783FD" w14:textId="77777777" w:rsidTr="000520F8">
        <w:tc>
          <w:tcPr>
            <w:tcW w:w="4718" w:type="dxa"/>
            <w:tcBorders>
              <w:bottom w:val="single" w:sz="4" w:space="0" w:color="auto"/>
            </w:tcBorders>
          </w:tcPr>
          <w:p w14:paraId="14F69F31" w14:textId="77777777" w:rsidR="000923BB" w:rsidRPr="00F955C6" w:rsidRDefault="000923BB" w:rsidP="003A385F">
            <w:pPr>
              <w:rPr>
                <w:rFonts w:cs="Arial"/>
                <w:sz w:val="20"/>
                <w:szCs w:val="20"/>
              </w:rPr>
            </w:pPr>
            <w:r w:rsidRPr="00F955C6">
              <w:rPr>
                <w:rFonts w:cs="Arial"/>
                <w:sz w:val="20"/>
                <w:szCs w:val="20"/>
              </w:rPr>
              <w:t>Patient’s experience</w:t>
            </w:r>
          </w:p>
        </w:tc>
        <w:tc>
          <w:tcPr>
            <w:tcW w:w="1260" w:type="dxa"/>
            <w:tcBorders>
              <w:bottom w:val="single" w:sz="4" w:space="0" w:color="auto"/>
            </w:tcBorders>
          </w:tcPr>
          <w:p w14:paraId="5445E940" w14:textId="77777777" w:rsidR="000923BB" w:rsidRPr="00F955C6" w:rsidRDefault="000923BB" w:rsidP="003A385F">
            <w:pPr>
              <w:jc w:val="center"/>
              <w:rPr>
                <w:rFonts w:cs="Arial"/>
                <w:sz w:val="20"/>
                <w:szCs w:val="20"/>
              </w:rPr>
            </w:pPr>
            <w:r w:rsidRPr="00F955C6">
              <w:rPr>
                <w:rFonts w:cs="Arial"/>
                <w:sz w:val="20"/>
                <w:szCs w:val="20"/>
              </w:rPr>
              <w:t>-0.292</w:t>
            </w:r>
          </w:p>
        </w:tc>
        <w:tc>
          <w:tcPr>
            <w:tcW w:w="900" w:type="dxa"/>
            <w:tcBorders>
              <w:bottom w:val="single" w:sz="4" w:space="0" w:color="auto"/>
            </w:tcBorders>
          </w:tcPr>
          <w:p w14:paraId="19121CE9" w14:textId="77777777" w:rsidR="000923BB" w:rsidRPr="00F955C6" w:rsidRDefault="000923BB" w:rsidP="003A385F">
            <w:pPr>
              <w:jc w:val="center"/>
              <w:rPr>
                <w:rFonts w:cs="Arial"/>
                <w:sz w:val="20"/>
                <w:szCs w:val="20"/>
              </w:rPr>
            </w:pPr>
            <w:r w:rsidRPr="00F955C6">
              <w:rPr>
                <w:rFonts w:cs="Arial"/>
                <w:sz w:val="20"/>
                <w:szCs w:val="20"/>
              </w:rPr>
              <w:t>0.211</w:t>
            </w:r>
          </w:p>
        </w:tc>
        <w:tc>
          <w:tcPr>
            <w:tcW w:w="1394" w:type="dxa"/>
            <w:tcBorders>
              <w:bottom w:val="single" w:sz="4" w:space="0" w:color="auto"/>
            </w:tcBorders>
          </w:tcPr>
          <w:p w14:paraId="66EBD642"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4E64D7A4" w14:textId="77777777" w:rsidTr="000520F8">
        <w:tc>
          <w:tcPr>
            <w:tcW w:w="4718" w:type="dxa"/>
            <w:tcBorders>
              <w:bottom w:val="single" w:sz="4" w:space="0" w:color="auto"/>
            </w:tcBorders>
            <w:shd w:val="clear" w:color="auto" w:fill="CCFFCC"/>
          </w:tcPr>
          <w:p w14:paraId="69DF2480" w14:textId="77777777" w:rsidR="000923BB" w:rsidRPr="00F955C6" w:rsidRDefault="000923BB" w:rsidP="003A385F">
            <w:pPr>
              <w:rPr>
                <w:rFonts w:cs="Arial"/>
                <w:sz w:val="20"/>
                <w:szCs w:val="20"/>
              </w:rPr>
            </w:pPr>
            <w:r w:rsidRPr="00F955C6">
              <w:rPr>
                <w:rFonts w:cs="Arial"/>
                <w:sz w:val="20"/>
                <w:szCs w:val="20"/>
              </w:rPr>
              <w:t>Quality of services</w:t>
            </w:r>
          </w:p>
        </w:tc>
        <w:tc>
          <w:tcPr>
            <w:tcW w:w="1260" w:type="dxa"/>
            <w:tcBorders>
              <w:bottom w:val="single" w:sz="4" w:space="0" w:color="auto"/>
            </w:tcBorders>
            <w:shd w:val="clear" w:color="auto" w:fill="CCFFCC"/>
          </w:tcPr>
          <w:p w14:paraId="3088270E" w14:textId="77777777" w:rsidR="000923BB" w:rsidRPr="00F955C6" w:rsidRDefault="000923BB" w:rsidP="003A385F">
            <w:pPr>
              <w:jc w:val="center"/>
              <w:rPr>
                <w:rFonts w:cs="Arial"/>
                <w:sz w:val="20"/>
                <w:szCs w:val="20"/>
              </w:rPr>
            </w:pPr>
            <w:r w:rsidRPr="00F955C6">
              <w:rPr>
                <w:rFonts w:cs="Arial"/>
                <w:sz w:val="20"/>
                <w:szCs w:val="20"/>
              </w:rPr>
              <w:t>0.486*</w:t>
            </w:r>
          </w:p>
        </w:tc>
        <w:tc>
          <w:tcPr>
            <w:tcW w:w="900" w:type="dxa"/>
            <w:tcBorders>
              <w:bottom w:val="single" w:sz="4" w:space="0" w:color="auto"/>
            </w:tcBorders>
            <w:shd w:val="clear" w:color="auto" w:fill="CCFFCC"/>
          </w:tcPr>
          <w:p w14:paraId="724F203F" w14:textId="77777777" w:rsidR="000923BB" w:rsidRPr="00F955C6" w:rsidRDefault="000923BB" w:rsidP="003A385F">
            <w:pPr>
              <w:jc w:val="center"/>
              <w:rPr>
                <w:rFonts w:cs="Arial"/>
                <w:sz w:val="20"/>
                <w:szCs w:val="20"/>
              </w:rPr>
            </w:pPr>
            <w:r w:rsidRPr="00F955C6">
              <w:rPr>
                <w:rFonts w:cs="Arial"/>
                <w:sz w:val="20"/>
                <w:szCs w:val="20"/>
              </w:rPr>
              <w:t>0.030</w:t>
            </w:r>
          </w:p>
        </w:tc>
        <w:tc>
          <w:tcPr>
            <w:tcW w:w="1394" w:type="dxa"/>
            <w:tcBorders>
              <w:bottom w:val="single" w:sz="4" w:space="0" w:color="auto"/>
            </w:tcBorders>
            <w:shd w:val="clear" w:color="auto" w:fill="CCFFCC"/>
          </w:tcPr>
          <w:p w14:paraId="6094FAC2" w14:textId="77777777" w:rsidR="000923BB" w:rsidRPr="00F955C6" w:rsidRDefault="000923BB" w:rsidP="003A385F">
            <w:pPr>
              <w:jc w:val="center"/>
              <w:rPr>
                <w:rFonts w:cs="Arial"/>
                <w:sz w:val="20"/>
                <w:szCs w:val="20"/>
              </w:rPr>
            </w:pPr>
            <w:r w:rsidRPr="00F955C6">
              <w:rPr>
                <w:rFonts w:cs="Arial"/>
                <w:sz w:val="20"/>
                <w:szCs w:val="20"/>
              </w:rPr>
              <w:t>Moderate</w:t>
            </w:r>
          </w:p>
        </w:tc>
      </w:tr>
      <w:tr w:rsidR="000923BB" w:rsidRPr="00F955C6" w14:paraId="6F7BB81C" w14:textId="77777777" w:rsidTr="000520F8">
        <w:tc>
          <w:tcPr>
            <w:tcW w:w="4718" w:type="dxa"/>
            <w:tcBorders>
              <w:bottom w:val="single" w:sz="4" w:space="0" w:color="auto"/>
            </w:tcBorders>
            <w:shd w:val="clear" w:color="auto" w:fill="CCFFCC"/>
          </w:tcPr>
          <w:p w14:paraId="0DB18F64" w14:textId="77777777" w:rsidR="000923BB" w:rsidRPr="00F955C6" w:rsidRDefault="000923BB" w:rsidP="003A385F">
            <w:pPr>
              <w:rPr>
                <w:rFonts w:cs="Arial"/>
                <w:sz w:val="20"/>
                <w:szCs w:val="20"/>
              </w:rPr>
            </w:pPr>
            <w:r w:rsidRPr="00F955C6">
              <w:rPr>
                <w:rFonts w:cs="Arial"/>
                <w:sz w:val="20"/>
                <w:szCs w:val="20"/>
              </w:rPr>
              <w:t>Percentage of patient’s with acute MI receiving thrombolysis</w:t>
            </w:r>
          </w:p>
        </w:tc>
        <w:tc>
          <w:tcPr>
            <w:tcW w:w="1260" w:type="dxa"/>
            <w:tcBorders>
              <w:bottom w:val="single" w:sz="4" w:space="0" w:color="auto"/>
            </w:tcBorders>
            <w:shd w:val="clear" w:color="auto" w:fill="CCFFCC"/>
          </w:tcPr>
          <w:p w14:paraId="6FD69683" w14:textId="77777777" w:rsidR="000923BB" w:rsidRPr="00F955C6" w:rsidRDefault="000923BB" w:rsidP="003A385F">
            <w:pPr>
              <w:jc w:val="center"/>
              <w:rPr>
                <w:rFonts w:cs="Arial"/>
                <w:sz w:val="20"/>
                <w:szCs w:val="20"/>
              </w:rPr>
            </w:pPr>
            <w:r w:rsidRPr="00F955C6">
              <w:rPr>
                <w:rFonts w:cs="Arial"/>
                <w:sz w:val="20"/>
                <w:szCs w:val="20"/>
              </w:rPr>
              <w:t>0.463</w:t>
            </w:r>
          </w:p>
        </w:tc>
        <w:tc>
          <w:tcPr>
            <w:tcW w:w="900" w:type="dxa"/>
            <w:tcBorders>
              <w:bottom w:val="single" w:sz="4" w:space="0" w:color="auto"/>
            </w:tcBorders>
            <w:shd w:val="clear" w:color="auto" w:fill="CCFFCC"/>
          </w:tcPr>
          <w:p w14:paraId="16591FB8" w14:textId="77777777" w:rsidR="000923BB" w:rsidRPr="00F955C6" w:rsidRDefault="000923BB" w:rsidP="003A385F">
            <w:pPr>
              <w:jc w:val="center"/>
              <w:rPr>
                <w:rFonts w:cs="Arial"/>
                <w:sz w:val="20"/>
                <w:szCs w:val="20"/>
              </w:rPr>
            </w:pPr>
            <w:r w:rsidRPr="00F955C6">
              <w:rPr>
                <w:rFonts w:cs="Arial"/>
                <w:sz w:val="20"/>
                <w:szCs w:val="20"/>
              </w:rPr>
              <w:t>0.046</w:t>
            </w:r>
          </w:p>
        </w:tc>
        <w:tc>
          <w:tcPr>
            <w:tcW w:w="1394" w:type="dxa"/>
            <w:tcBorders>
              <w:bottom w:val="single" w:sz="4" w:space="0" w:color="auto"/>
            </w:tcBorders>
            <w:shd w:val="clear" w:color="auto" w:fill="CCFFCC"/>
          </w:tcPr>
          <w:p w14:paraId="7422A0B2" w14:textId="77777777" w:rsidR="000923BB" w:rsidRPr="00F955C6" w:rsidRDefault="000923BB" w:rsidP="003A385F">
            <w:pPr>
              <w:jc w:val="center"/>
              <w:rPr>
                <w:rFonts w:cs="Arial"/>
                <w:sz w:val="20"/>
                <w:szCs w:val="20"/>
              </w:rPr>
            </w:pPr>
            <w:r w:rsidRPr="00F955C6">
              <w:rPr>
                <w:rFonts w:cs="Arial"/>
                <w:sz w:val="20"/>
                <w:szCs w:val="20"/>
              </w:rPr>
              <w:t>Moderate</w:t>
            </w:r>
          </w:p>
        </w:tc>
      </w:tr>
      <w:tr w:rsidR="000923BB" w:rsidRPr="00F955C6" w14:paraId="427DAA47" w14:textId="77777777" w:rsidTr="000520F8">
        <w:tc>
          <w:tcPr>
            <w:tcW w:w="4718" w:type="dxa"/>
            <w:tcBorders>
              <w:bottom w:val="single" w:sz="4" w:space="0" w:color="auto"/>
            </w:tcBorders>
            <w:shd w:val="clear" w:color="auto" w:fill="CCFFCC"/>
          </w:tcPr>
          <w:p w14:paraId="7852F64A" w14:textId="77777777" w:rsidR="000923BB" w:rsidRPr="00F955C6" w:rsidRDefault="000923BB" w:rsidP="003A385F">
            <w:pPr>
              <w:rPr>
                <w:rFonts w:cs="Arial"/>
                <w:sz w:val="20"/>
                <w:szCs w:val="20"/>
              </w:rPr>
            </w:pPr>
            <w:r w:rsidRPr="00F955C6">
              <w:rPr>
                <w:rFonts w:cs="Arial"/>
                <w:sz w:val="20"/>
                <w:szCs w:val="20"/>
              </w:rPr>
              <w:t>Existing national targets</w:t>
            </w:r>
          </w:p>
        </w:tc>
        <w:tc>
          <w:tcPr>
            <w:tcW w:w="1260" w:type="dxa"/>
            <w:tcBorders>
              <w:bottom w:val="single" w:sz="4" w:space="0" w:color="auto"/>
            </w:tcBorders>
            <w:shd w:val="clear" w:color="auto" w:fill="CCFFCC"/>
          </w:tcPr>
          <w:p w14:paraId="21BF7949" w14:textId="77777777" w:rsidR="000923BB" w:rsidRPr="00F955C6" w:rsidRDefault="000923BB" w:rsidP="003A385F">
            <w:pPr>
              <w:jc w:val="center"/>
              <w:rPr>
                <w:rFonts w:cs="Arial"/>
                <w:sz w:val="20"/>
                <w:szCs w:val="20"/>
              </w:rPr>
            </w:pPr>
            <w:r w:rsidRPr="00F955C6">
              <w:rPr>
                <w:rFonts w:cs="Arial"/>
                <w:sz w:val="20"/>
                <w:szCs w:val="20"/>
              </w:rPr>
              <w:t>0.691*</w:t>
            </w:r>
          </w:p>
        </w:tc>
        <w:tc>
          <w:tcPr>
            <w:tcW w:w="900" w:type="dxa"/>
            <w:tcBorders>
              <w:bottom w:val="single" w:sz="4" w:space="0" w:color="auto"/>
            </w:tcBorders>
            <w:shd w:val="clear" w:color="auto" w:fill="CCFFCC"/>
          </w:tcPr>
          <w:p w14:paraId="499C977F" w14:textId="77777777" w:rsidR="000923BB" w:rsidRPr="00F955C6" w:rsidRDefault="000923BB" w:rsidP="003A385F">
            <w:pPr>
              <w:jc w:val="center"/>
              <w:rPr>
                <w:rFonts w:cs="Arial"/>
                <w:sz w:val="20"/>
                <w:szCs w:val="20"/>
              </w:rPr>
            </w:pPr>
            <w:r w:rsidRPr="00F955C6">
              <w:rPr>
                <w:rFonts w:cs="Arial"/>
                <w:sz w:val="20"/>
                <w:szCs w:val="20"/>
              </w:rPr>
              <w:t>0.001</w:t>
            </w:r>
          </w:p>
        </w:tc>
        <w:tc>
          <w:tcPr>
            <w:tcW w:w="1394" w:type="dxa"/>
            <w:tcBorders>
              <w:bottom w:val="single" w:sz="4" w:space="0" w:color="auto"/>
            </w:tcBorders>
            <w:shd w:val="clear" w:color="auto" w:fill="CCFFCC"/>
          </w:tcPr>
          <w:p w14:paraId="176CC2E6" w14:textId="77777777" w:rsidR="000923BB" w:rsidRPr="00F955C6" w:rsidRDefault="000923BB" w:rsidP="003A385F">
            <w:pPr>
              <w:jc w:val="center"/>
              <w:rPr>
                <w:rFonts w:cs="Arial"/>
                <w:sz w:val="20"/>
                <w:szCs w:val="20"/>
              </w:rPr>
            </w:pPr>
            <w:r w:rsidRPr="00F955C6">
              <w:rPr>
                <w:rFonts w:cs="Arial"/>
                <w:sz w:val="20"/>
                <w:szCs w:val="20"/>
              </w:rPr>
              <w:t>Strong</w:t>
            </w:r>
          </w:p>
        </w:tc>
      </w:tr>
      <w:tr w:rsidR="000923BB" w:rsidRPr="00F955C6" w14:paraId="3045E8DD" w14:textId="77777777" w:rsidTr="000520F8">
        <w:tc>
          <w:tcPr>
            <w:tcW w:w="4718" w:type="dxa"/>
            <w:shd w:val="clear" w:color="auto" w:fill="auto"/>
          </w:tcPr>
          <w:p w14:paraId="69FA2C86" w14:textId="77777777" w:rsidR="000923BB" w:rsidRPr="00F955C6" w:rsidRDefault="000923BB" w:rsidP="003A385F">
            <w:pPr>
              <w:rPr>
                <w:rFonts w:cs="Arial"/>
                <w:sz w:val="20"/>
                <w:szCs w:val="20"/>
              </w:rPr>
            </w:pPr>
            <w:r w:rsidRPr="00F955C6">
              <w:rPr>
                <w:rFonts w:cs="Arial"/>
                <w:sz w:val="20"/>
                <w:szCs w:val="20"/>
              </w:rPr>
              <w:t>New national targets</w:t>
            </w:r>
          </w:p>
        </w:tc>
        <w:tc>
          <w:tcPr>
            <w:tcW w:w="1260" w:type="dxa"/>
            <w:shd w:val="clear" w:color="auto" w:fill="auto"/>
          </w:tcPr>
          <w:p w14:paraId="3D8AFC81" w14:textId="77777777" w:rsidR="000923BB" w:rsidRPr="00F955C6" w:rsidRDefault="000923BB" w:rsidP="003A385F">
            <w:pPr>
              <w:jc w:val="center"/>
              <w:rPr>
                <w:rFonts w:cs="Arial"/>
                <w:sz w:val="20"/>
                <w:szCs w:val="20"/>
              </w:rPr>
            </w:pPr>
            <w:r w:rsidRPr="00F955C6">
              <w:rPr>
                <w:rFonts w:cs="Arial"/>
                <w:sz w:val="20"/>
                <w:szCs w:val="20"/>
              </w:rPr>
              <w:t>0.226*</w:t>
            </w:r>
          </w:p>
        </w:tc>
        <w:tc>
          <w:tcPr>
            <w:tcW w:w="900" w:type="dxa"/>
            <w:shd w:val="clear" w:color="auto" w:fill="auto"/>
          </w:tcPr>
          <w:p w14:paraId="1805A2F4" w14:textId="77777777" w:rsidR="000923BB" w:rsidRPr="00F955C6" w:rsidRDefault="000923BB" w:rsidP="003A385F">
            <w:pPr>
              <w:jc w:val="center"/>
              <w:rPr>
                <w:rFonts w:cs="Arial"/>
                <w:sz w:val="20"/>
                <w:szCs w:val="20"/>
              </w:rPr>
            </w:pPr>
            <w:r w:rsidRPr="00F955C6">
              <w:rPr>
                <w:rFonts w:cs="Arial"/>
                <w:sz w:val="20"/>
                <w:szCs w:val="20"/>
              </w:rPr>
              <w:t>0.338</w:t>
            </w:r>
          </w:p>
        </w:tc>
        <w:tc>
          <w:tcPr>
            <w:tcW w:w="1394" w:type="dxa"/>
            <w:shd w:val="clear" w:color="auto" w:fill="auto"/>
          </w:tcPr>
          <w:p w14:paraId="2B49260F"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529CE98C" w14:textId="77777777" w:rsidTr="000520F8">
        <w:tc>
          <w:tcPr>
            <w:tcW w:w="4718" w:type="dxa"/>
          </w:tcPr>
          <w:p w14:paraId="050330D8" w14:textId="77777777" w:rsidR="000923BB" w:rsidRPr="00F955C6" w:rsidRDefault="000923BB" w:rsidP="003A385F">
            <w:pPr>
              <w:rPr>
                <w:rFonts w:cs="Arial"/>
                <w:sz w:val="20"/>
                <w:szCs w:val="20"/>
              </w:rPr>
            </w:pPr>
            <w:r w:rsidRPr="00F955C6">
              <w:rPr>
                <w:rFonts w:cs="Arial"/>
                <w:sz w:val="20"/>
                <w:szCs w:val="20"/>
              </w:rPr>
              <w:t>NHS staff survey Q25a: Seen errors in the past month (% yes)</w:t>
            </w:r>
          </w:p>
        </w:tc>
        <w:tc>
          <w:tcPr>
            <w:tcW w:w="1260" w:type="dxa"/>
          </w:tcPr>
          <w:p w14:paraId="667577AD" w14:textId="77777777" w:rsidR="000923BB" w:rsidRPr="00F955C6" w:rsidRDefault="000923BB" w:rsidP="003A385F">
            <w:pPr>
              <w:jc w:val="center"/>
              <w:rPr>
                <w:rFonts w:cs="Arial"/>
                <w:sz w:val="20"/>
                <w:szCs w:val="20"/>
              </w:rPr>
            </w:pPr>
            <w:r w:rsidRPr="00F955C6">
              <w:rPr>
                <w:rFonts w:cs="Arial"/>
                <w:sz w:val="20"/>
                <w:szCs w:val="20"/>
              </w:rPr>
              <w:t>-0.212</w:t>
            </w:r>
          </w:p>
        </w:tc>
        <w:tc>
          <w:tcPr>
            <w:tcW w:w="900" w:type="dxa"/>
          </w:tcPr>
          <w:p w14:paraId="437D244E" w14:textId="77777777" w:rsidR="000923BB" w:rsidRPr="00F955C6" w:rsidRDefault="000923BB" w:rsidP="003A385F">
            <w:pPr>
              <w:jc w:val="center"/>
              <w:rPr>
                <w:rFonts w:cs="Arial"/>
                <w:sz w:val="20"/>
                <w:szCs w:val="20"/>
              </w:rPr>
            </w:pPr>
            <w:r w:rsidRPr="00F955C6">
              <w:rPr>
                <w:rFonts w:cs="Arial"/>
                <w:sz w:val="20"/>
                <w:szCs w:val="20"/>
              </w:rPr>
              <w:t>0.369</w:t>
            </w:r>
          </w:p>
        </w:tc>
        <w:tc>
          <w:tcPr>
            <w:tcW w:w="1394" w:type="dxa"/>
          </w:tcPr>
          <w:p w14:paraId="32E692DD"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7500B350" w14:textId="77777777" w:rsidTr="000520F8">
        <w:tc>
          <w:tcPr>
            <w:tcW w:w="4718" w:type="dxa"/>
            <w:tcBorders>
              <w:bottom w:val="single" w:sz="4" w:space="0" w:color="auto"/>
            </w:tcBorders>
          </w:tcPr>
          <w:p w14:paraId="68B881B7" w14:textId="77777777" w:rsidR="000923BB" w:rsidRPr="00F955C6" w:rsidRDefault="000923BB" w:rsidP="003A385F">
            <w:pPr>
              <w:rPr>
                <w:rFonts w:cs="Arial"/>
                <w:sz w:val="20"/>
                <w:szCs w:val="20"/>
              </w:rPr>
            </w:pPr>
            <w:r w:rsidRPr="00F955C6">
              <w:rPr>
                <w:rFonts w:cs="Arial"/>
                <w:sz w:val="20"/>
                <w:szCs w:val="20"/>
              </w:rPr>
              <w:t>NHS staff survey Q27b: Encouraged to report errors (mean)</w:t>
            </w:r>
          </w:p>
        </w:tc>
        <w:tc>
          <w:tcPr>
            <w:tcW w:w="1260" w:type="dxa"/>
            <w:tcBorders>
              <w:bottom w:val="single" w:sz="4" w:space="0" w:color="auto"/>
            </w:tcBorders>
          </w:tcPr>
          <w:p w14:paraId="09552BDD" w14:textId="77777777" w:rsidR="000923BB" w:rsidRPr="00F955C6" w:rsidRDefault="000923BB" w:rsidP="003A385F">
            <w:pPr>
              <w:jc w:val="center"/>
              <w:rPr>
                <w:rFonts w:cs="Arial"/>
                <w:sz w:val="20"/>
                <w:szCs w:val="20"/>
              </w:rPr>
            </w:pPr>
            <w:r w:rsidRPr="00F955C6">
              <w:rPr>
                <w:rFonts w:cs="Arial"/>
                <w:sz w:val="20"/>
                <w:szCs w:val="20"/>
              </w:rPr>
              <w:t>0.331</w:t>
            </w:r>
          </w:p>
        </w:tc>
        <w:tc>
          <w:tcPr>
            <w:tcW w:w="900" w:type="dxa"/>
            <w:tcBorders>
              <w:bottom w:val="single" w:sz="4" w:space="0" w:color="auto"/>
            </w:tcBorders>
          </w:tcPr>
          <w:p w14:paraId="238083B8" w14:textId="77777777" w:rsidR="000923BB" w:rsidRPr="00F955C6" w:rsidRDefault="000923BB" w:rsidP="003A385F">
            <w:pPr>
              <w:jc w:val="center"/>
              <w:rPr>
                <w:rFonts w:cs="Arial"/>
                <w:sz w:val="20"/>
                <w:szCs w:val="20"/>
              </w:rPr>
            </w:pPr>
            <w:r w:rsidRPr="00F955C6">
              <w:rPr>
                <w:rFonts w:cs="Arial"/>
                <w:sz w:val="20"/>
                <w:szCs w:val="20"/>
              </w:rPr>
              <w:t>0.154</w:t>
            </w:r>
          </w:p>
        </w:tc>
        <w:tc>
          <w:tcPr>
            <w:tcW w:w="1394" w:type="dxa"/>
            <w:tcBorders>
              <w:bottom w:val="single" w:sz="4" w:space="0" w:color="auto"/>
            </w:tcBorders>
          </w:tcPr>
          <w:p w14:paraId="1449F9CC"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348FD027" w14:textId="77777777" w:rsidTr="000520F8">
        <w:tc>
          <w:tcPr>
            <w:tcW w:w="4718" w:type="dxa"/>
            <w:tcBorders>
              <w:bottom w:val="single" w:sz="4" w:space="0" w:color="auto"/>
            </w:tcBorders>
            <w:shd w:val="clear" w:color="auto" w:fill="CCFFCC"/>
          </w:tcPr>
          <w:p w14:paraId="36EC0AB6" w14:textId="77777777" w:rsidR="000923BB" w:rsidRPr="00F955C6" w:rsidRDefault="000923BB" w:rsidP="003A385F">
            <w:pPr>
              <w:rPr>
                <w:rFonts w:cs="Arial"/>
                <w:sz w:val="20"/>
                <w:szCs w:val="20"/>
              </w:rPr>
            </w:pPr>
            <w:r w:rsidRPr="00F955C6">
              <w:rPr>
                <w:rFonts w:cs="Arial"/>
                <w:sz w:val="20"/>
                <w:szCs w:val="20"/>
              </w:rPr>
              <w:t>NHS staff survey Q27e: Trust takes action to ensure does not happen again (mean)</w:t>
            </w:r>
          </w:p>
        </w:tc>
        <w:tc>
          <w:tcPr>
            <w:tcW w:w="1260" w:type="dxa"/>
            <w:tcBorders>
              <w:bottom w:val="single" w:sz="4" w:space="0" w:color="auto"/>
            </w:tcBorders>
            <w:shd w:val="clear" w:color="auto" w:fill="CCFFCC"/>
          </w:tcPr>
          <w:p w14:paraId="1863AB55" w14:textId="77777777" w:rsidR="000923BB" w:rsidRPr="00F955C6" w:rsidRDefault="000923BB" w:rsidP="003A385F">
            <w:pPr>
              <w:jc w:val="center"/>
              <w:rPr>
                <w:rFonts w:cs="Arial"/>
                <w:sz w:val="20"/>
                <w:szCs w:val="20"/>
              </w:rPr>
            </w:pPr>
            <w:r w:rsidRPr="00F955C6">
              <w:rPr>
                <w:rFonts w:cs="Arial"/>
                <w:sz w:val="20"/>
                <w:szCs w:val="20"/>
              </w:rPr>
              <w:t>0.470</w:t>
            </w:r>
          </w:p>
        </w:tc>
        <w:tc>
          <w:tcPr>
            <w:tcW w:w="900" w:type="dxa"/>
            <w:tcBorders>
              <w:bottom w:val="single" w:sz="4" w:space="0" w:color="auto"/>
            </w:tcBorders>
            <w:shd w:val="clear" w:color="auto" w:fill="CCFFCC"/>
          </w:tcPr>
          <w:p w14:paraId="42B08CBB" w14:textId="77777777" w:rsidR="000923BB" w:rsidRPr="00F955C6" w:rsidRDefault="000923BB" w:rsidP="003A385F">
            <w:pPr>
              <w:jc w:val="center"/>
              <w:rPr>
                <w:rFonts w:cs="Arial"/>
                <w:sz w:val="20"/>
                <w:szCs w:val="20"/>
              </w:rPr>
            </w:pPr>
            <w:r w:rsidRPr="00F955C6">
              <w:rPr>
                <w:rFonts w:cs="Arial"/>
                <w:sz w:val="20"/>
                <w:szCs w:val="20"/>
              </w:rPr>
              <w:t>0.037</w:t>
            </w:r>
          </w:p>
        </w:tc>
        <w:tc>
          <w:tcPr>
            <w:tcW w:w="1394" w:type="dxa"/>
            <w:tcBorders>
              <w:bottom w:val="single" w:sz="4" w:space="0" w:color="auto"/>
            </w:tcBorders>
            <w:shd w:val="clear" w:color="auto" w:fill="CCFFCC"/>
          </w:tcPr>
          <w:p w14:paraId="0A13CC43" w14:textId="77777777" w:rsidR="000923BB" w:rsidRPr="00F955C6" w:rsidRDefault="000923BB" w:rsidP="003A385F">
            <w:pPr>
              <w:jc w:val="center"/>
              <w:rPr>
                <w:rFonts w:cs="Arial"/>
                <w:sz w:val="20"/>
                <w:szCs w:val="20"/>
              </w:rPr>
            </w:pPr>
            <w:r w:rsidRPr="00F955C6">
              <w:rPr>
                <w:rFonts w:cs="Arial"/>
                <w:sz w:val="20"/>
                <w:szCs w:val="20"/>
              </w:rPr>
              <w:t>Moderate</w:t>
            </w:r>
          </w:p>
        </w:tc>
      </w:tr>
      <w:tr w:rsidR="000923BB" w:rsidRPr="00F955C6" w14:paraId="4C046090" w14:textId="77777777" w:rsidTr="000520F8">
        <w:tc>
          <w:tcPr>
            <w:tcW w:w="4718" w:type="dxa"/>
            <w:shd w:val="clear" w:color="auto" w:fill="CCFFCC"/>
          </w:tcPr>
          <w:p w14:paraId="0C312949" w14:textId="77777777" w:rsidR="000923BB" w:rsidRPr="00F955C6" w:rsidRDefault="000923BB" w:rsidP="003A385F">
            <w:pPr>
              <w:rPr>
                <w:rFonts w:cs="Arial"/>
                <w:sz w:val="20"/>
                <w:szCs w:val="20"/>
              </w:rPr>
            </w:pPr>
            <w:r w:rsidRPr="00F955C6">
              <w:rPr>
                <w:rFonts w:cs="Arial"/>
                <w:sz w:val="20"/>
                <w:szCs w:val="20"/>
              </w:rPr>
              <w:t>NHS staff survey Q24a: Know how to report (% yes)</w:t>
            </w:r>
          </w:p>
        </w:tc>
        <w:tc>
          <w:tcPr>
            <w:tcW w:w="1260" w:type="dxa"/>
            <w:shd w:val="clear" w:color="auto" w:fill="CCFFCC"/>
          </w:tcPr>
          <w:p w14:paraId="55098313" w14:textId="77777777" w:rsidR="000923BB" w:rsidRPr="00F955C6" w:rsidRDefault="000923BB" w:rsidP="003A385F">
            <w:pPr>
              <w:jc w:val="center"/>
              <w:rPr>
                <w:rFonts w:cs="Arial"/>
                <w:sz w:val="20"/>
                <w:szCs w:val="20"/>
              </w:rPr>
            </w:pPr>
            <w:r w:rsidRPr="00F955C6">
              <w:rPr>
                <w:rFonts w:cs="Arial"/>
                <w:sz w:val="20"/>
                <w:szCs w:val="20"/>
              </w:rPr>
              <w:t>0.546</w:t>
            </w:r>
          </w:p>
        </w:tc>
        <w:tc>
          <w:tcPr>
            <w:tcW w:w="900" w:type="dxa"/>
            <w:shd w:val="clear" w:color="auto" w:fill="CCFFCC"/>
          </w:tcPr>
          <w:p w14:paraId="68F65A86" w14:textId="77777777" w:rsidR="000923BB" w:rsidRPr="00F955C6" w:rsidRDefault="000923BB" w:rsidP="003A385F">
            <w:pPr>
              <w:jc w:val="center"/>
              <w:rPr>
                <w:rFonts w:cs="Arial"/>
                <w:sz w:val="20"/>
                <w:szCs w:val="20"/>
              </w:rPr>
            </w:pPr>
            <w:r w:rsidRPr="00F955C6">
              <w:rPr>
                <w:rFonts w:cs="Arial"/>
                <w:sz w:val="20"/>
                <w:szCs w:val="20"/>
              </w:rPr>
              <w:t>0.013</w:t>
            </w:r>
          </w:p>
        </w:tc>
        <w:tc>
          <w:tcPr>
            <w:tcW w:w="1394" w:type="dxa"/>
            <w:shd w:val="clear" w:color="auto" w:fill="CCFFCC"/>
          </w:tcPr>
          <w:p w14:paraId="4DFBB2BA" w14:textId="77777777" w:rsidR="000923BB" w:rsidRPr="00F955C6" w:rsidRDefault="000923BB" w:rsidP="003A385F">
            <w:pPr>
              <w:jc w:val="center"/>
              <w:rPr>
                <w:rFonts w:cs="Arial"/>
                <w:sz w:val="20"/>
                <w:szCs w:val="20"/>
              </w:rPr>
            </w:pPr>
            <w:r w:rsidRPr="00F955C6">
              <w:rPr>
                <w:rFonts w:cs="Arial"/>
                <w:sz w:val="20"/>
                <w:szCs w:val="20"/>
              </w:rPr>
              <w:t>Moderate</w:t>
            </w:r>
          </w:p>
        </w:tc>
      </w:tr>
      <w:tr w:rsidR="000923BB" w:rsidRPr="00F955C6" w14:paraId="719D2AC4" w14:textId="77777777" w:rsidTr="000520F8">
        <w:tc>
          <w:tcPr>
            <w:tcW w:w="4718" w:type="dxa"/>
            <w:tcBorders>
              <w:bottom w:val="single" w:sz="4" w:space="0" w:color="auto"/>
            </w:tcBorders>
          </w:tcPr>
          <w:p w14:paraId="5EF949BB" w14:textId="77777777" w:rsidR="000923BB" w:rsidRPr="00F955C6" w:rsidRDefault="000923BB" w:rsidP="003A385F">
            <w:pPr>
              <w:rPr>
                <w:rFonts w:cs="Arial"/>
                <w:sz w:val="20"/>
                <w:szCs w:val="20"/>
              </w:rPr>
            </w:pPr>
            <w:r w:rsidRPr="00F955C6">
              <w:rPr>
                <w:rFonts w:cs="Arial"/>
                <w:sz w:val="20"/>
                <w:szCs w:val="20"/>
              </w:rPr>
              <w:lastRenderedPageBreak/>
              <w:t xml:space="preserve">NHS staff survey Q24b: System for reporting (% yes) </w:t>
            </w:r>
          </w:p>
        </w:tc>
        <w:tc>
          <w:tcPr>
            <w:tcW w:w="1260" w:type="dxa"/>
            <w:tcBorders>
              <w:bottom w:val="single" w:sz="4" w:space="0" w:color="auto"/>
            </w:tcBorders>
          </w:tcPr>
          <w:p w14:paraId="1C8E6779" w14:textId="77777777" w:rsidR="000923BB" w:rsidRPr="00F955C6" w:rsidRDefault="000923BB" w:rsidP="003A385F">
            <w:pPr>
              <w:jc w:val="center"/>
              <w:rPr>
                <w:rFonts w:cs="Arial"/>
                <w:sz w:val="20"/>
                <w:szCs w:val="20"/>
              </w:rPr>
            </w:pPr>
            <w:r w:rsidRPr="00F955C6">
              <w:rPr>
                <w:rFonts w:cs="Arial"/>
                <w:sz w:val="20"/>
                <w:szCs w:val="20"/>
              </w:rPr>
              <w:t>0.286</w:t>
            </w:r>
          </w:p>
        </w:tc>
        <w:tc>
          <w:tcPr>
            <w:tcW w:w="900" w:type="dxa"/>
            <w:tcBorders>
              <w:bottom w:val="single" w:sz="4" w:space="0" w:color="auto"/>
            </w:tcBorders>
          </w:tcPr>
          <w:p w14:paraId="1E244CF3" w14:textId="77777777" w:rsidR="000923BB" w:rsidRPr="00F955C6" w:rsidRDefault="000923BB" w:rsidP="003A385F">
            <w:pPr>
              <w:jc w:val="center"/>
              <w:rPr>
                <w:rFonts w:cs="Arial"/>
                <w:sz w:val="20"/>
                <w:szCs w:val="20"/>
              </w:rPr>
            </w:pPr>
            <w:r w:rsidRPr="00F955C6">
              <w:rPr>
                <w:rFonts w:cs="Arial"/>
                <w:sz w:val="20"/>
                <w:szCs w:val="20"/>
              </w:rPr>
              <w:t>0.222</w:t>
            </w:r>
          </w:p>
        </w:tc>
        <w:tc>
          <w:tcPr>
            <w:tcW w:w="1394" w:type="dxa"/>
            <w:tcBorders>
              <w:bottom w:val="single" w:sz="4" w:space="0" w:color="auto"/>
            </w:tcBorders>
          </w:tcPr>
          <w:p w14:paraId="71A8BE65"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7BD1D5DE" w14:textId="77777777" w:rsidTr="000520F8">
        <w:tc>
          <w:tcPr>
            <w:tcW w:w="4718" w:type="dxa"/>
            <w:shd w:val="clear" w:color="auto" w:fill="auto"/>
          </w:tcPr>
          <w:p w14:paraId="357E87A2" w14:textId="77777777" w:rsidR="000923BB" w:rsidRPr="00F955C6" w:rsidRDefault="000923BB" w:rsidP="003A385F">
            <w:pPr>
              <w:rPr>
                <w:rFonts w:cs="Arial"/>
                <w:sz w:val="20"/>
                <w:szCs w:val="20"/>
              </w:rPr>
            </w:pPr>
            <w:r w:rsidRPr="00F955C6">
              <w:rPr>
                <w:rFonts w:cs="Arial"/>
                <w:sz w:val="20"/>
                <w:szCs w:val="20"/>
              </w:rPr>
              <w:t>NHS staff survey Q24b: System for reporting (% no)</w:t>
            </w:r>
          </w:p>
        </w:tc>
        <w:tc>
          <w:tcPr>
            <w:tcW w:w="1260" w:type="dxa"/>
            <w:shd w:val="clear" w:color="auto" w:fill="auto"/>
          </w:tcPr>
          <w:p w14:paraId="52261104" w14:textId="77777777" w:rsidR="000923BB" w:rsidRPr="00F955C6" w:rsidRDefault="000923BB" w:rsidP="003A385F">
            <w:pPr>
              <w:jc w:val="center"/>
              <w:rPr>
                <w:rFonts w:cs="Arial"/>
                <w:sz w:val="20"/>
                <w:szCs w:val="20"/>
              </w:rPr>
            </w:pPr>
            <w:r w:rsidRPr="00F955C6">
              <w:rPr>
                <w:rFonts w:cs="Arial"/>
                <w:sz w:val="20"/>
                <w:szCs w:val="20"/>
              </w:rPr>
              <w:t>0.076</w:t>
            </w:r>
          </w:p>
        </w:tc>
        <w:tc>
          <w:tcPr>
            <w:tcW w:w="900" w:type="dxa"/>
            <w:shd w:val="clear" w:color="auto" w:fill="auto"/>
          </w:tcPr>
          <w:p w14:paraId="1967A504" w14:textId="77777777" w:rsidR="000923BB" w:rsidRPr="00F955C6" w:rsidRDefault="000923BB" w:rsidP="003A385F">
            <w:pPr>
              <w:jc w:val="center"/>
              <w:rPr>
                <w:rFonts w:cs="Arial"/>
                <w:sz w:val="20"/>
                <w:szCs w:val="20"/>
              </w:rPr>
            </w:pPr>
            <w:r w:rsidRPr="00F955C6">
              <w:rPr>
                <w:rFonts w:cs="Arial"/>
                <w:sz w:val="20"/>
                <w:szCs w:val="20"/>
              </w:rPr>
              <w:t>0.750</w:t>
            </w:r>
          </w:p>
        </w:tc>
        <w:tc>
          <w:tcPr>
            <w:tcW w:w="1394" w:type="dxa"/>
            <w:shd w:val="clear" w:color="auto" w:fill="auto"/>
          </w:tcPr>
          <w:p w14:paraId="383246C5"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0E8F56EB" w14:textId="77777777" w:rsidTr="000520F8">
        <w:tc>
          <w:tcPr>
            <w:tcW w:w="4718" w:type="dxa"/>
            <w:tcBorders>
              <w:bottom w:val="single" w:sz="4" w:space="0" w:color="auto"/>
            </w:tcBorders>
          </w:tcPr>
          <w:p w14:paraId="3C06B1D7" w14:textId="77777777" w:rsidR="000923BB" w:rsidRPr="00F955C6" w:rsidRDefault="000923BB" w:rsidP="003A385F">
            <w:pPr>
              <w:rPr>
                <w:rFonts w:cs="Arial"/>
                <w:sz w:val="20"/>
                <w:szCs w:val="20"/>
              </w:rPr>
            </w:pPr>
            <w:r w:rsidRPr="00F955C6">
              <w:rPr>
                <w:rFonts w:cs="Arial"/>
                <w:sz w:val="20"/>
                <w:szCs w:val="20"/>
              </w:rPr>
              <w:t>NHS staff survey Q24b: System for reporting (% DK)</w:t>
            </w:r>
          </w:p>
        </w:tc>
        <w:tc>
          <w:tcPr>
            <w:tcW w:w="1260" w:type="dxa"/>
            <w:tcBorders>
              <w:bottom w:val="single" w:sz="4" w:space="0" w:color="auto"/>
            </w:tcBorders>
          </w:tcPr>
          <w:p w14:paraId="67E1593F" w14:textId="77777777" w:rsidR="000923BB" w:rsidRPr="00F955C6" w:rsidRDefault="000923BB" w:rsidP="003A385F">
            <w:pPr>
              <w:jc w:val="center"/>
              <w:rPr>
                <w:rFonts w:cs="Arial"/>
                <w:sz w:val="20"/>
                <w:szCs w:val="20"/>
              </w:rPr>
            </w:pPr>
            <w:r w:rsidRPr="00F955C6">
              <w:rPr>
                <w:rFonts w:cs="Arial"/>
                <w:sz w:val="20"/>
                <w:szCs w:val="20"/>
              </w:rPr>
              <w:t>-0.313</w:t>
            </w:r>
          </w:p>
        </w:tc>
        <w:tc>
          <w:tcPr>
            <w:tcW w:w="900" w:type="dxa"/>
            <w:tcBorders>
              <w:bottom w:val="single" w:sz="4" w:space="0" w:color="auto"/>
            </w:tcBorders>
          </w:tcPr>
          <w:p w14:paraId="4B29C56A" w14:textId="77777777" w:rsidR="000923BB" w:rsidRPr="00F955C6" w:rsidRDefault="000923BB" w:rsidP="003A385F">
            <w:pPr>
              <w:jc w:val="center"/>
              <w:rPr>
                <w:rFonts w:cs="Arial"/>
                <w:sz w:val="20"/>
                <w:szCs w:val="20"/>
              </w:rPr>
            </w:pPr>
            <w:r w:rsidRPr="00F955C6">
              <w:rPr>
                <w:rFonts w:cs="Arial"/>
                <w:sz w:val="20"/>
                <w:szCs w:val="20"/>
              </w:rPr>
              <w:t>0.180</w:t>
            </w:r>
          </w:p>
        </w:tc>
        <w:tc>
          <w:tcPr>
            <w:tcW w:w="1394" w:type="dxa"/>
            <w:tcBorders>
              <w:bottom w:val="single" w:sz="4" w:space="0" w:color="auto"/>
            </w:tcBorders>
          </w:tcPr>
          <w:p w14:paraId="1C875332"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7F7171FB" w14:textId="77777777" w:rsidTr="000520F8">
        <w:tc>
          <w:tcPr>
            <w:tcW w:w="4718" w:type="dxa"/>
            <w:tcBorders>
              <w:bottom w:val="single" w:sz="4" w:space="0" w:color="auto"/>
            </w:tcBorders>
            <w:shd w:val="clear" w:color="auto" w:fill="CCFFCC"/>
          </w:tcPr>
          <w:p w14:paraId="2C06403A" w14:textId="77777777" w:rsidR="000923BB" w:rsidRPr="00F955C6" w:rsidRDefault="000923BB" w:rsidP="003A385F">
            <w:pPr>
              <w:rPr>
                <w:rFonts w:cs="Arial"/>
                <w:sz w:val="20"/>
                <w:szCs w:val="20"/>
              </w:rPr>
            </w:pPr>
            <w:r w:rsidRPr="00F955C6">
              <w:rPr>
                <w:rFonts w:cs="Arial"/>
                <w:sz w:val="20"/>
                <w:szCs w:val="20"/>
              </w:rPr>
              <w:t>NHS staff survey Q22e: Care of patient/service user is top priority (mean)</w:t>
            </w:r>
          </w:p>
        </w:tc>
        <w:tc>
          <w:tcPr>
            <w:tcW w:w="1260" w:type="dxa"/>
            <w:tcBorders>
              <w:bottom w:val="single" w:sz="4" w:space="0" w:color="auto"/>
            </w:tcBorders>
            <w:shd w:val="clear" w:color="auto" w:fill="CCFFCC"/>
          </w:tcPr>
          <w:p w14:paraId="06DAB628" w14:textId="77777777" w:rsidR="000923BB" w:rsidRPr="00F955C6" w:rsidRDefault="000923BB" w:rsidP="003A385F">
            <w:pPr>
              <w:jc w:val="center"/>
              <w:rPr>
                <w:rFonts w:cs="Arial"/>
                <w:sz w:val="20"/>
                <w:szCs w:val="20"/>
              </w:rPr>
            </w:pPr>
            <w:r w:rsidRPr="00F955C6">
              <w:rPr>
                <w:rFonts w:cs="Arial"/>
                <w:sz w:val="20"/>
                <w:szCs w:val="20"/>
              </w:rPr>
              <w:t>0.470</w:t>
            </w:r>
          </w:p>
        </w:tc>
        <w:tc>
          <w:tcPr>
            <w:tcW w:w="900" w:type="dxa"/>
            <w:tcBorders>
              <w:bottom w:val="single" w:sz="4" w:space="0" w:color="auto"/>
            </w:tcBorders>
            <w:shd w:val="clear" w:color="auto" w:fill="CCFFCC"/>
          </w:tcPr>
          <w:p w14:paraId="0F8AE225" w14:textId="77777777" w:rsidR="000923BB" w:rsidRPr="00F955C6" w:rsidRDefault="000923BB" w:rsidP="003A385F">
            <w:pPr>
              <w:jc w:val="center"/>
              <w:rPr>
                <w:rFonts w:cs="Arial"/>
                <w:sz w:val="20"/>
                <w:szCs w:val="20"/>
              </w:rPr>
            </w:pPr>
            <w:r w:rsidRPr="00F955C6">
              <w:rPr>
                <w:rFonts w:cs="Arial"/>
                <w:sz w:val="20"/>
                <w:szCs w:val="20"/>
              </w:rPr>
              <w:t>0.037</w:t>
            </w:r>
          </w:p>
        </w:tc>
        <w:tc>
          <w:tcPr>
            <w:tcW w:w="1394" w:type="dxa"/>
            <w:tcBorders>
              <w:bottom w:val="single" w:sz="4" w:space="0" w:color="auto"/>
            </w:tcBorders>
            <w:shd w:val="clear" w:color="auto" w:fill="CCFFCC"/>
          </w:tcPr>
          <w:p w14:paraId="5E124F1A" w14:textId="77777777" w:rsidR="000923BB" w:rsidRPr="00F955C6" w:rsidRDefault="000923BB" w:rsidP="003A385F">
            <w:pPr>
              <w:jc w:val="center"/>
              <w:rPr>
                <w:rFonts w:cs="Arial"/>
                <w:sz w:val="20"/>
                <w:szCs w:val="20"/>
              </w:rPr>
            </w:pPr>
            <w:r w:rsidRPr="00F955C6">
              <w:rPr>
                <w:rFonts w:cs="Arial"/>
                <w:sz w:val="20"/>
                <w:szCs w:val="20"/>
              </w:rPr>
              <w:t>Moderate</w:t>
            </w:r>
          </w:p>
        </w:tc>
      </w:tr>
      <w:tr w:rsidR="000923BB" w:rsidRPr="00F955C6" w14:paraId="44EDF35E" w14:textId="77777777" w:rsidTr="000520F8">
        <w:tc>
          <w:tcPr>
            <w:tcW w:w="4718" w:type="dxa"/>
            <w:shd w:val="clear" w:color="auto" w:fill="auto"/>
          </w:tcPr>
          <w:p w14:paraId="3E2EACB6" w14:textId="77777777" w:rsidR="000923BB" w:rsidRPr="00F955C6" w:rsidRDefault="000923BB" w:rsidP="003A385F">
            <w:pPr>
              <w:rPr>
                <w:rFonts w:cs="Arial"/>
                <w:sz w:val="20"/>
                <w:szCs w:val="20"/>
              </w:rPr>
            </w:pPr>
            <w:r w:rsidRPr="00F955C6">
              <w:rPr>
                <w:rFonts w:cs="Arial"/>
                <w:sz w:val="20"/>
                <w:szCs w:val="20"/>
              </w:rPr>
              <w:t>NHS staff survey Q22f: Happy with standard of care provided (mean)</w:t>
            </w:r>
          </w:p>
        </w:tc>
        <w:tc>
          <w:tcPr>
            <w:tcW w:w="1260" w:type="dxa"/>
            <w:shd w:val="clear" w:color="auto" w:fill="auto"/>
          </w:tcPr>
          <w:p w14:paraId="1FA485C8" w14:textId="77777777" w:rsidR="000923BB" w:rsidRPr="00F955C6" w:rsidRDefault="000923BB" w:rsidP="003A385F">
            <w:pPr>
              <w:jc w:val="center"/>
              <w:rPr>
                <w:rFonts w:cs="Arial"/>
                <w:sz w:val="20"/>
                <w:szCs w:val="20"/>
              </w:rPr>
            </w:pPr>
            <w:r w:rsidRPr="00F955C6">
              <w:rPr>
                <w:rFonts w:cs="Arial"/>
                <w:sz w:val="20"/>
                <w:szCs w:val="20"/>
              </w:rPr>
              <w:t>0.009</w:t>
            </w:r>
          </w:p>
        </w:tc>
        <w:tc>
          <w:tcPr>
            <w:tcW w:w="900" w:type="dxa"/>
            <w:shd w:val="clear" w:color="auto" w:fill="auto"/>
          </w:tcPr>
          <w:p w14:paraId="05ACFDF6" w14:textId="77777777" w:rsidR="000923BB" w:rsidRPr="00F955C6" w:rsidRDefault="000923BB" w:rsidP="003A385F">
            <w:pPr>
              <w:jc w:val="center"/>
              <w:rPr>
                <w:rFonts w:cs="Arial"/>
                <w:sz w:val="20"/>
                <w:szCs w:val="20"/>
              </w:rPr>
            </w:pPr>
            <w:r w:rsidRPr="00F955C6">
              <w:rPr>
                <w:rFonts w:cs="Arial"/>
                <w:sz w:val="20"/>
                <w:szCs w:val="20"/>
              </w:rPr>
              <w:t>0.972</w:t>
            </w:r>
          </w:p>
        </w:tc>
        <w:tc>
          <w:tcPr>
            <w:tcW w:w="1394" w:type="dxa"/>
            <w:shd w:val="clear" w:color="auto" w:fill="auto"/>
          </w:tcPr>
          <w:p w14:paraId="5897719A" w14:textId="77777777" w:rsidR="000923BB" w:rsidRPr="00F955C6" w:rsidRDefault="000923BB" w:rsidP="003A385F">
            <w:pPr>
              <w:jc w:val="center"/>
              <w:rPr>
                <w:rFonts w:cs="Arial"/>
                <w:sz w:val="20"/>
                <w:szCs w:val="20"/>
              </w:rPr>
            </w:pPr>
            <w:r w:rsidRPr="00F955C6">
              <w:rPr>
                <w:rFonts w:cs="Arial"/>
                <w:sz w:val="20"/>
                <w:szCs w:val="20"/>
              </w:rPr>
              <w:t>Very weak</w:t>
            </w:r>
          </w:p>
        </w:tc>
      </w:tr>
    </w:tbl>
    <w:p w14:paraId="779E2F7E" w14:textId="77777777" w:rsidR="000923BB" w:rsidRPr="00D77319" w:rsidRDefault="000520F8" w:rsidP="000923BB">
      <w:pPr>
        <w:rPr>
          <w:rFonts w:cs="Arial"/>
          <w:sz w:val="18"/>
          <w:szCs w:val="18"/>
        </w:rPr>
      </w:pPr>
      <w:r>
        <w:rPr>
          <w:rFonts w:cs="Arial"/>
          <w:sz w:val="18"/>
          <w:szCs w:val="18"/>
        </w:rPr>
        <w:t xml:space="preserve">   </w:t>
      </w:r>
      <w:r w:rsidR="000923BB" w:rsidRPr="00D77319">
        <w:rPr>
          <w:rFonts w:cs="Arial"/>
          <w:sz w:val="18"/>
          <w:szCs w:val="18"/>
        </w:rPr>
        <w:t>* Spearman’s rank correlation used</w:t>
      </w:r>
    </w:p>
    <w:p w14:paraId="0A90E685" w14:textId="77777777" w:rsidR="000923BB" w:rsidRPr="00D77319" w:rsidRDefault="000520F8" w:rsidP="000923BB">
      <w:pPr>
        <w:rPr>
          <w:rFonts w:cs="Arial"/>
          <w:sz w:val="18"/>
          <w:szCs w:val="18"/>
        </w:rPr>
      </w:pPr>
      <w:r>
        <w:rPr>
          <w:rFonts w:cs="Arial"/>
          <w:sz w:val="18"/>
          <w:szCs w:val="18"/>
        </w:rPr>
        <w:t xml:space="preserve">   </w:t>
      </w:r>
      <w:r w:rsidR="000923BB">
        <w:rPr>
          <w:rFonts w:cs="Arial"/>
          <w:sz w:val="18"/>
          <w:szCs w:val="18"/>
        </w:rPr>
        <w:t xml:space="preserve">Correlations at the &lt; 0.05 significance level highlighted </w:t>
      </w:r>
    </w:p>
    <w:p w14:paraId="73E82599" w14:textId="77777777" w:rsidR="000923BB" w:rsidRDefault="000923BB" w:rsidP="000923BB">
      <w:pPr>
        <w:rPr>
          <w:rFonts w:cs="Arial"/>
          <w:sz w:val="22"/>
          <w:szCs w:val="22"/>
        </w:rPr>
      </w:pPr>
    </w:p>
    <w:p w14:paraId="2BF76202" w14:textId="77777777" w:rsidR="000923BB" w:rsidRPr="004932C5" w:rsidRDefault="000923BB" w:rsidP="000923BB">
      <w:pPr>
        <w:jc w:val="center"/>
        <w:rPr>
          <w:rFonts w:cs="Arial"/>
          <w:b/>
          <w:sz w:val="28"/>
          <w:szCs w:val="28"/>
        </w:rPr>
      </w:pPr>
      <w:r>
        <w:rPr>
          <w:rFonts w:cs="Arial"/>
          <w:b/>
          <w:sz w:val="22"/>
          <w:szCs w:val="22"/>
        </w:rPr>
        <w:br w:type="page"/>
      </w:r>
      <w:r w:rsidRPr="004932C5">
        <w:rPr>
          <w:rFonts w:cs="Arial"/>
          <w:b/>
          <w:sz w:val="28"/>
          <w:szCs w:val="28"/>
        </w:rPr>
        <w:lastRenderedPageBreak/>
        <w:t>Appendix 11</w:t>
      </w:r>
    </w:p>
    <w:p w14:paraId="4C77B148" w14:textId="77777777" w:rsidR="000923BB" w:rsidRPr="00F44C92" w:rsidRDefault="000923BB" w:rsidP="000923BB">
      <w:pPr>
        <w:jc w:val="center"/>
        <w:rPr>
          <w:rFonts w:cs="Arial"/>
          <w:b/>
        </w:rPr>
      </w:pPr>
    </w:p>
    <w:p w14:paraId="26D8E6BB" w14:textId="77777777" w:rsidR="000923BB" w:rsidRDefault="000923BB" w:rsidP="000923BB">
      <w:pPr>
        <w:jc w:val="both"/>
        <w:rPr>
          <w:rFonts w:cs="Arial"/>
          <w:b/>
          <w:bCs/>
          <w:sz w:val="22"/>
        </w:rPr>
      </w:pPr>
      <w:r>
        <w:rPr>
          <w:rFonts w:cs="Arial"/>
          <w:b/>
          <w:bCs/>
          <w:sz w:val="22"/>
        </w:rPr>
        <w:t>COPD – correlations between holistic mean criterion scores and outcome variables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9"/>
        <w:gridCol w:w="1257"/>
        <w:gridCol w:w="893"/>
        <w:gridCol w:w="1391"/>
      </w:tblGrid>
      <w:tr w:rsidR="000923BB" w:rsidRPr="00F955C6" w14:paraId="72C686E5" w14:textId="77777777" w:rsidTr="000520F8">
        <w:tc>
          <w:tcPr>
            <w:tcW w:w="4718" w:type="dxa"/>
          </w:tcPr>
          <w:p w14:paraId="6A186A06" w14:textId="77777777" w:rsidR="000923BB" w:rsidRPr="00F955C6" w:rsidRDefault="000923BB" w:rsidP="003A385F">
            <w:pPr>
              <w:rPr>
                <w:rFonts w:cs="Arial"/>
                <w:sz w:val="20"/>
                <w:szCs w:val="20"/>
              </w:rPr>
            </w:pPr>
            <w:r w:rsidRPr="00F955C6">
              <w:rPr>
                <w:rFonts w:cs="Arial"/>
                <w:sz w:val="20"/>
                <w:szCs w:val="20"/>
              </w:rPr>
              <w:t>Variable</w:t>
            </w:r>
          </w:p>
        </w:tc>
        <w:tc>
          <w:tcPr>
            <w:tcW w:w="1260" w:type="dxa"/>
          </w:tcPr>
          <w:p w14:paraId="45A85D11" w14:textId="77777777" w:rsidR="000923BB" w:rsidRPr="00F955C6" w:rsidRDefault="000923BB" w:rsidP="003A385F">
            <w:pPr>
              <w:jc w:val="center"/>
              <w:rPr>
                <w:rFonts w:cs="Arial"/>
                <w:sz w:val="20"/>
                <w:szCs w:val="20"/>
              </w:rPr>
            </w:pPr>
            <w:r w:rsidRPr="00F955C6">
              <w:rPr>
                <w:rFonts w:cs="Arial"/>
                <w:sz w:val="20"/>
                <w:szCs w:val="20"/>
              </w:rPr>
              <w:t>Correlation coefficient</w:t>
            </w:r>
          </w:p>
        </w:tc>
        <w:tc>
          <w:tcPr>
            <w:tcW w:w="900" w:type="dxa"/>
          </w:tcPr>
          <w:p w14:paraId="67073CCD" w14:textId="77777777" w:rsidR="000923BB" w:rsidRPr="00F955C6" w:rsidRDefault="000923BB" w:rsidP="003A385F">
            <w:pPr>
              <w:jc w:val="center"/>
              <w:rPr>
                <w:rFonts w:cs="Arial"/>
                <w:sz w:val="20"/>
                <w:szCs w:val="20"/>
              </w:rPr>
            </w:pPr>
            <w:r w:rsidRPr="00F955C6">
              <w:rPr>
                <w:rFonts w:cs="Arial"/>
                <w:sz w:val="20"/>
                <w:szCs w:val="20"/>
              </w:rPr>
              <w:t>p-value</w:t>
            </w:r>
          </w:p>
        </w:tc>
        <w:tc>
          <w:tcPr>
            <w:tcW w:w="1394" w:type="dxa"/>
          </w:tcPr>
          <w:p w14:paraId="1BB46655" w14:textId="77777777" w:rsidR="000923BB" w:rsidRPr="00F955C6" w:rsidRDefault="000923BB" w:rsidP="003A385F">
            <w:pPr>
              <w:jc w:val="center"/>
              <w:rPr>
                <w:rFonts w:cs="Arial"/>
                <w:sz w:val="20"/>
                <w:szCs w:val="20"/>
              </w:rPr>
            </w:pPr>
            <w:r w:rsidRPr="00F955C6">
              <w:rPr>
                <w:rFonts w:cs="Arial"/>
                <w:sz w:val="20"/>
                <w:szCs w:val="20"/>
              </w:rPr>
              <w:t>Relationship</w:t>
            </w:r>
          </w:p>
        </w:tc>
      </w:tr>
      <w:tr w:rsidR="000923BB" w:rsidRPr="00F955C6" w14:paraId="1E4D8E96" w14:textId="77777777" w:rsidTr="000520F8">
        <w:tc>
          <w:tcPr>
            <w:tcW w:w="4718" w:type="dxa"/>
          </w:tcPr>
          <w:p w14:paraId="4531EBFD" w14:textId="77777777" w:rsidR="000923BB" w:rsidRPr="00F955C6" w:rsidRDefault="000923BB" w:rsidP="003A385F">
            <w:pPr>
              <w:rPr>
                <w:rFonts w:cs="Arial"/>
                <w:sz w:val="20"/>
                <w:szCs w:val="20"/>
              </w:rPr>
            </w:pPr>
            <w:r w:rsidRPr="00F955C6">
              <w:rPr>
                <w:rFonts w:cs="Arial"/>
                <w:sz w:val="20"/>
                <w:szCs w:val="20"/>
              </w:rPr>
              <w:t>Percentage of COPD patients who die in hospital within 28 days</w:t>
            </w:r>
          </w:p>
        </w:tc>
        <w:tc>
          <w:tcPr>
            <w:tcW w:w="1260" w:type="dxa"/>
          </w:tcPr>
          <w:p w14:paraId="273718DC" w14:textId="77777777" w:rsidR="000923BB" w:rsidRPr="00F955C6" w:rsidRDefault="000923BB" w:rsidP="003A385F">
            <w:pPr>
              <w:jc w:val="center"/>
              <w:rPr>
                <w:rFonts w:cs="Arial"/>
                <w:sz w:val="20"/>
                <w:szCs w:val="20"/>
              </w:rPr>
            </w:pPr>
            <w:r w:rsidRPr="00F955C6">
              <w:rPr>
                <w:rFonts w:cs="Arial"/>
                <w:sz w:val="20"/>
                <w:szCs w:val="20"/>
              </w:rPr>
              <w:t>-0.297</w:t>
            </w:r>
          </w:p>
        </w:tc>
        <w:tc>
          <w:tcPr>
            <w:tcW w:w="900" w:type="dxa"/>
          </w:tcPr>
          <w:p w14:paraId="07C1827F" w14:textId="77777777" w:rsidR="000923BB" w:rsidRPr="00F955C6" w:rsidRDefault="000923BB" w:rsidP="003A385F">
            <w:pPr>
              <w:jc w:val="center"/>
              <w:rPr>
                <w:rFonts w:cs="Arial"/>
                <w:sz w:val="20"/>
                <w:szCs w:val="20"/>
              </w:rPr>
            </w:pPr>
            <w:r w:rsidRPr="00F955C6">
              <w:rPr>
                <w:rFonts w:cs="Arial"/>
                <w:sz w:val="20"/>
                <w:szCs w:val="20"/>
              </w:rPr>
              <w:t>0.203</w:t>
            </w:r>
          </w:p>
        </w:tc>
        <w:tc>
          <w:tcPr>
            <w:tcW w:w="1394" w:type="dxa"/>
          </w:tcPr>
          <w:p w14:paraId="25B7FC0F"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61E321DC" w14:textId="77777777" w:rsidTr="000520F8">
        <w:tc>
          <w:tcPr>
            <w:tcW w:w="4718" w:type="dxa"/>
            <w:tcBorders>
              <w:bottom w:val="single" w:sz="4" w:space="0" w:color="auto"/>
            </w:tcBorders>
          </w:tcPr>
          <w:p w14:paraId="2063E0BE" w14:textId="77777777" w:rsidR="000923BB" w:rsidRPr="00F955C6" w:rsidRDefault="000923BB" w:rsidP="003A385F">
            <w:pPr>
              <w:rPr>
                <w:rFonts w:cs="Arial"/>
                <w:sz w:val="20"/>
                <w:szCs w:val="20"/>
              </w:rPr>
            </w:pPr>
            <w:r w:rsidRPr="00F955C6">
              <w:rPr>
                <w:rFonts w:cs="Arial"/>
                <w:sz w:val="20"/>
                <w:szCs w:val="20"/>
              </w:rPr>
              <w:t>HSMR from Dr. Foster (3 year mortality)</w:t>
            </w:r>
          </w:p>
        </w:tc>
        <w:tc>
          <w:tcPr>
            <w:tcW w:w="1260" w:type="dxa"/>
            <w:tcBorders>
              <w:bottom w:val="single" w:sz="4" w:space="0" w:color="auto"/>
            </w:tcBorders>
          </w:tcPr>
          <w:p w14:paraId="32B1A11B" w14:textId="77777777" w:rsidR="000923BB" w:rsidRPr="00F955C6" w:rsidRDefault="000923BB" w:rsidP="003A385F">
            <w:pPr>
              <w:jc w:val="center"/>
              <w:rPr>
                <w:rFonts w:cs="Arial"/>
                <w:sz w:val="20"/>
                <w:szCs w:val="20"/>
              </w:rPr>
            </w:pPr>
            <w:r w:rsidRPr="00F955C6">
              <w:rPr>
                <w:rFonts w:cs="Arial"/>
                <w:sz w:val="20"/>
                <w:szCs w:val="20"/>
              </w:rPr>
              <w:t>-0.247</w:t>
            </w:r>
          </w:p>
        </w:tc>
        <w:tc>
          <w:tcPr>
            <w:tcW w:w="900" w:type="dxa"/>
            <w:tcBorders>
              <w:bottom w:val="single" w:sz="4" w:space="0" w:color="auto"/>
            </w:tcBorders>
          </w:tcPr>
          <w:p w14:paraId="637E589B" w14:textId="77777777" w:rsidR="000923BB" w:rsidRPr="00F955C6" w:rsidRDefault="000923BB" w:rsidP="003A385F">
            <w:pPr>
              <w:jc w:val="center"/>
              <w:rPr>
                <w:rFonts w:cs="Arial"/>
                <w:sz w:val="20"/>
                <w:szCs w:val="20"/>
              </w:rPr>
            </w:pPr>
            <w:r w:rsidRPr="00F955C6">
              <w:rPr>
                <w:rFonts w:cs="Arial"/>
                <w:sz w:val="20"/>
                <w:szCs w:val="20"/>
              </w:rPr>
              <w:t>0.295</w:t>
            </w:r>
          </w:p>
        </w:tc>
        <w:tc>
          <w:tcPr>
            <w:tcW w:w="1394" w:type="dxa"/>
            <w:tcBorders>
              <w:bottom w:val="single" w:sz="4" w:space="0" w:color="auto"/>
            </w:tcBorders>
          </w:tcPr>
          <w:p w14:paraId="011A1D4F"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1B29CA39" w14:textId="77777777" w:rsidTr="000520F8">
        <w:tc>
          <w:tcPr>
            <w:tcW w:w="4718" w:type="dxa"/>
            <w:tcBorders>
              <w:bottom w:val="single" w:sz="4" w:space="0" w:color="auto"/>
            </w:tcBorders>
          </w:tcPr>
          <w:p w14:paraId="6196DDAC" w14:textId="77777777" w:rsidR="000923BB" w:rsidRPr="00F955C6" w:rsidRDefault="000923BB" w:rsidP="003A385F">
            <w:pPr>
              <w:rPr>
                <w:rFonts w:cs="Arial"/>
                <w:sz w:val="20"/>
                <w:szCs w:val="20"/>
              </w:rPr>
            </w:pPr>
            <w:r w:rsidRPr="00F955C6">
              <w:rPr>
                <w:rFonts w:cs="Arial"/>
                <w:sz w:val="20"/>
                <w:szCs w:val="20"/>
              </w:rPr>
              <w:t>HSMR from Dr. Foster (1 year mortality)</w:t>
            </w:r>
          </w:p>
        </w:tc>
        <w:tc>
          <w:tcPr>
            <w:tcW w:w="1260" w:type="dxa"/>
            <w:tcBorders>
              <w:bottom w:val="single" w:sz="4" w:space="0" w:color="auto"/>
            </w:tcBorders>
          </w:tcPr>
          <w:p w14:paraId="73C2F23D" w14:textId="77777777" w:rsidR="000923BB" w:rsidRPr="00F955C6" w:rsidRDefault="000923BB" w:rsidP="003A385F">
            <w:pPr>
              <w:jc w:val="center"/>
              <w:rPr>
                <w:rFonts w:cs="Arial"/>
                <w:sz w:val="20"/>
                <w:szCs w:val="20"/>
              </w:rPr>
            </w:pPr>
            <w:r w:rsidRPr="00F955C6">
              <w:rPr>
                <w:rFonts w:cs="Arial"/>
                <w:sz w:val="20"/>
                <w:szCs w:val="20"/>
              </w:rPr>
              <w:t>-0.111</w:t>
            </w:r>
          </w:p>
        </w:tc>
        <w:tc>
          <w:tcPr>
            <w:tcW w:w="900" w:type="dxa"/>
            <w:tcBorders>
              <w:bottom w:val="single" w:sz="4" w:space="0" w:color="auto"/>
            </w:tcBorders>
          </w:tcPr>
          <w:p w14:paraId="18D3F770" w14:textId="77777777" w:rsidR="000923BB" w:rsidRPr="00F955C6" w:rsidRDefault="000923BB" w:rsidP="003A385F">
            <w:pPr>
              <w:jc w:val="center"/>
              <w:rPr>
                <w:rFonts w:cs="Arial"/>
                <w:sz w:val="20"/>
                <w:szCs w:val="20"/>
              </w:rPr>
            </w:pPr>
            <w:r w:rsidRPr="00F955C6">
              <w:rPr>
                <w:rFonts w:cs="Arial"/>
                <w:sz w:val="20"/>
                <w:szCs w:val="20"/>
              </w:rPr>
              <w:t>0.640</w:t>
            </w:r>
          </w:p>
        </w:tc>
        <w:tc>
          <w:tcPr>
            <w:tcW w:w="1394" w:type="dxa"/>
            <w:tcBorders>
              <w:bottom w:val="single" w:sz="4" w:space="0" w:color="auto"/>
            </w:tcBorders>
          </w:tcPr>
          <w:p w14:paraId="16C83F1C"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299C2A1C" w14:textId="77777777" w:rsidTr="000520F8">
        <w:tc>
          <w:tcPr>
            <w:tcW w:w="4718" w:type="dxa"/>
            <w:shd w:val="clear" w:color="auto" w:fill="CCFFCC"/>
          </w:tcPr>
          <w:p w14:paraId="2D3FB743" w14:textId="77777777" w:rsidR="000923BB" w:rsidRPr="00F955C6" w:rsidRDefault="000923BB" w:rsidP="003A385F">
            <w:pPr>
              <w:rPr>
                <w:rFonts w:cs="Arial"/>
                <w:sz w:val="20"/>
                <w:szCs w:val="20"/>
              </w:rPr>
            </w:pPr>
            <w:r w:rsidRPr="00F955C6">
              <w:rPr>
                <w:rFonts w:cs="Arial"/>
                <w:sz w:val="20"/>
                <w:szCs w:val="20"/>
              </w:rPr>
              <w:t>Incidents to NPSA per 100 bed days</w:t>
            </w:r>
          </w:p>
        </w:tc>
        <w:tc>
          <w:tcPr>
            <w:tcW w:w="1260" w:type="dxa"/>
            <w:shd w:val="clear" w:color="auto" w:fill="CCFFCC"/>
          </w:tcPr>
          <w:p w14:paraId="006654EB" w14:textId="77777777" w:rsidR="000923BB" w:rsidRPr="00F955C6" w:rsidRDefault="000923BB" w:rsidP="003A385F">
            <w:pPr>
              <w:jc w:val="center"/>
              <w:rPr>
                <w:rFonts w:cs="Arial"/>
                <w:sz w:val="20"/>
                <w:szCs w:val="20"/>
              </w:rPr>
            </w:pPr>
            <w:r w:rsidRPr="00F955C6">
              <w:rPr>
                <w:rFonts w:cs="Arial"/>
                <w:sz w:val="20"/>
                <w:szCs w:val="20"/>
              </w:rPr>
              <w:t>-0.489</w:t>
            </w:r>
          </w:p>
        </w:tc>
        <w:tc>
          <w:tcPr>
            <w:tcW w:w="900" w:type="dxa"/>
            <w:shd w:val="clear" w:color="auto" w:fill="CCFFCC"/>
          </w:tcPr>
          <w:p w14:paraId="70D46B19" w14:textId="77777777" w:rsidR="000923BB" w:rsidRPr="00F955C6" w:rsidRDefault="000923BB" w:rsidP="003A385F">
            <w:pPr>
              <w:jc w:val="center"/>
              <w:rPr>
                <w:rFonts w:cs="Arial"/>
                <w:sz w:val="20"/>
                <w:szCs w:val="20"/>
              </w:rPr>
            </w:pPr>
            <w:r w:rsidRPr="00F955C6">
              <w:rPr>
                <w:rFonts w:cs="Arial"/>
                <w:sz w:val="20"/>
                <w:szCs w:val="20"/>
              </w:rPr>
              <w:t>0.029</w:t>
            </w:r>
          </w:p>
        </w:tc>
        <w:tc>
          <w:tcPr>
            <w:tcW w:w="1394" w:type="dxa"/>
            <w:shd w:val="clear" w:color="auto" w:fill="CCFFCC"/>
          </w:tcPr>
          <w:p w14:paraId="201D92F9" w14:textId="77777777" w:rsidR="000923BB" w:rsidRPr="00F955C6" w:rsidRDefault="000923BB" w:rsidP="003A385F">
            <w:pPr>
              <w:jc w:val="center"/>
              <w:rPr>
                <w:rFonts w:cs="Arial"/>
                <w:sz w:val="20"/>
                <w:szCs w:val="20"/>
              </w:rPr>
            </w:pPr>
            <w:r w:rsidRPr="00F955C6">
              <w:rPr>
                <w:rFonts w:cs="Arial"/>
                <w:sz w:val="20"/>
                <w:szCs w:val="20"/>
              </w:rPr>
              <w:t>Moderate</w:t>
            </w:r>
          </w:p>
        </w:tc>
      </w:tr>
      <w:tr w:rsidR="000923BB" w:rsidRPr="00F955C6" w14:paraId="7AB4A416" w14:textId="77777777" w:rsidTr="000520F8">
        <w:tc>
          <w:tcPr>
            <w:tcW w:w="4718" w:type="dxa"/>
          </w:tcPr>
          <w:p w14:paraId="67082ADE" w14:textId="77777777" w:rsidR="000923BB" w:rsidRPr="00F955C6" w:rsidRDefault="000923BB" w:rsidP="003A385F">
            <w:pPr>
              <w:rPr>
                <w:rFonts w:cs="Arial"/>
                <w:sz w:val="20"/>
                <w:szCs w:val="20"/>
              </w:rPr>
            </w:pPr>
            <w:r w:rsidRPr="00F955C6">
              <w:rPr>
                <w:rFonts w:cs="Arial"/>
                <w:sz w:val="20"/>
                <w:szCs w:val="20"/>
              </w:rPr>
              <w:t>SMR for deaths in low mortality HRG’s</w:t>
            </w:r>
          </w:p>
        </w:tc>
        <w:tc>
          <w:tcPr>
            <w:tcW w:w="1260" w:type="dxa"/>
          </w:tcPr>
          <w:p w14:paraId="3F61776A" w14:textId="77777777" w:rsidR="000923BB" w:rsidRPr="00F955C6" w:rsidRDefault="000923BB" w:rsidP="003A385F">
            <w:pPr>
              <w:jc w:val="center"/>
              <w:rPr>
                <w:rFonts w:cs="Arial"/>
                <w:sz w:val="20"/>
                <w:szCs w:val="20"/>
              </w:rPr>
            </w:pPr>
            <w:r w:rsidRPr="00F955C6">
              <w:rPr>
                <w:rFonts w:cs="Arial"/>
                <w:sz w:val="20"/>
                <w:szCs w:val="20"/>
              </w:rPr>
              <w:t>0.308</w:t>
            </w:r>
          </w:p>
        </w:tc>
        <w:tc>
          <w:tcPr>
            <w:tcW w:w="900" w:type="dxa"/>
          </w:tcPr>
          <w:p w14:paraId="192F0583" w14:textId="77777777" w:rsidR="000923BB" w:rsidRPr="00F955C6" w:rsidRDefault="000923BB" w:rsidP="003A385F">
            <w:pPr>
              <w:jc w:val="center"/>
              <w:rPr>
                <w:rFonts w:cs="Arial"/>
                <w:sz w:val="20"/>
                <w:szCs w:val="20"/>
              </w:rPr>
            </w:pPr>
            <w:r w:rsidRPr="00F955C6">
              <w:rPr>
                <w:rFonts w:cs="Arial"/>
                <w:sz w:val="20"/>
                <w:szCs w:val="20"/>
              </w:rPr>
              <w:t>0.187</w:t>
            </w:r>
          </w:p>
        </w:tc>
        <w:tc>
          <w:tcPr>
            <w:tcW w:w="1394" w:type="dxa"/>
          </w:tcPr>
          <w:p w14:paraId="3BF32A90"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32C45345" w14:textId="77777777" w:rsidTr="000520F8">
        <w:tc>
          <w:tcPr>
            <w:tcW w:w="4718" w:type="dxa"/>
          </w:tcPr>
          <w:p w14:paraId="7F07CEA8" w14:textId="77777777" w:rsidR="000923BB" w:rsidRPr="00F955C6" w:rsidRDefault="000923BB" w:rsidP="003A385F">
            <w:pPr>
              <w:rPr>
                <w:rFonts w:cs="Arial"/>
                <w:sz w:val="20"/>
                <w:szCs w:val="20"/>
              </w:rPr>
            </w:pPr>
            <w:r w:rsidRPr="00F955C6">
              <w:rPr>
                <w:rFonts w:cs="Arial"/>
                <w:sz w:val="20"/>
                <w:szCs w:val="20"/>
              </w:rPr>
              <w:t>COPD finished consultant episodes</w:t>
            </w:r>
          </w:p>
        </w:tc>
        <w:tc>
          <w:tcPr>
            <w:tcW w:w="1260" w:type="dxa"/>
          </w:tcPr>
          <w:p w14:paraId="69900E2C" w14:textId="77777777" w:rsidR="000923BB" w:rsidRPr="00F955C6" w:rsidRDefault="000923BB" w:rsidP="003A385F">
            <w:pPr>
              <w:jc w:val="center"/>
              <w:rPr>
                <w:rFonts w:cs="Arial"/>
                <w:sz w:val="20"/>
                <w:szCs w:val="20"/>
              </w:rPr>
            </w:pPr>
            <w:r w:rsidRPr="00F955C6">
              <w:rPr>
                <w:rFonts w:cs="Arial"/>
                <w:sz w:val="20"/>
                <w:szCs w:val="20"/>
              </w:rPr>
              <w:t>-0.022</w:t>
            </w:r>
          </w:p>
        </w:tc>
        <w:tc>
          <w:tcPr>
            <w:tcW w:w="900" w:type="dxa"/>
          </w:tcPr>
          <w:p w14:paraId="567C93A9" w14:textId="77777777" w:rsidR="000923BB" w:rsidRPr="00F955C6" w:rsidRDefault="000923BB" w:rsidP="003A385F">
            <w:pPr>
              <w:jc w:val="center"/>
              <w:rPr>
                <w:rFonts w:cs="Arial"/>
                <w:sz w:val="20"/>
                <w:szCs w:val="20"/>
              </w:rPr>
            </w:pPr>
            <w:r w:rsidRPr="00F955C6">
              <w:rPr>
                <w:rFonts w:cs="Arial"/>
                <w:sz w:val="20"/>
                <w:szCs w:val="20"/>
              </w:rPr>
              <w:t>0.928</w:t>
            </w:r>
          </w:p>
        </w:tc>
        <w:tc>
          <w:tcPr>
            <w:tcW w:w="1394" w:type="dxa"/>
          </w:tcPr>
          <w:p w14:paraId="0439A6E5"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683E28A3" w14:textId="77777777" w:rsidTr="000520F8">
        <w:tc>
          <w:tcPr>
            <w:tcW w:w="4718" w:type="dxa"/>
          </w:tcPr>
          <w:p w14:paraId="30BB3AC2" w14:textId="77777777" w:rsidR="000923BB" w:rsidRPr="00F955C6" w:rsidRDefault="000923BB" w:rsidP="003A385F">
            <w:pPr>
              <w:rPr>
                <w:rFonts w:cs="Arial"/>
                <w:sz w:val="20"/>
                <w:szCs w:val="20"/>
              </w:rPr>
            </w:pPr>
            <w:r w:rsidRPr="00F955C6">
              <w:rPr>
                <w:rFonts w:cs="Arial"/>
                <w:sz w:val="20"/>
                <w:szCs w:val="20"/>
              </w:rPr>
              <w:t>COPD bed days</w:t>
            </w:r>
          </w:p>
        </w:tc>
        <w:tc>
          <w:tcPr>
            <w:tcW w:w="1260" w:type="dxa"/>
          </w:tcPr>
          <w:p w14:paraId="19CA0343" w14:textId="77777777" w:rsidR="000923BB" w:rsidRPr="00F955C6" w:rsidRDefault="000923BB" w:rsidP="003A385F">
            <w:pPr>
              <w:jc w:val="center"/>
              <w:rPr>
                <w:rFonts w:cs="Arial"/>
                <w:sz w:val="20"/>
                <w:szCs w:val="20"/>
              </w:rPr>
            </w:pPr>
            <w:r w:rsidRPr="00F955C6">
              <w:rPr>
                <w:rFonts w:cs="Arial"/>
                <w:sz w:val="20"/>
                <w:szCs w:val="20"/>
              </w:rPr>
              <w:t>-0.007</w:t>
            </w:r>
          </w:p>
        </w:tc>
        <w:tc>
          <w:tcPr>
            <w:tcW w:w="900" w:type="dxa"/>
          </w:tcPr>
          <w:p w14:paraId="75EBF28F" w14:textId="77777777" w:rsidR="000923BB" w:rsidRPr="00F955C6" w:rsidRDefault="000923BB" w:rsidP="003A385F">
            <w:pPr>
              <w:jc w:val="center"/>
              <w:rPr>
                <w:rFonts w:cs="Arial"/>
                <w:sz w:val="20"/>
                <w:szCs w:val="20"/>
              </w:rPr>
            </w:pPr>
            <w:r w:rsidRPr="00F955C6">
              <w:rPr>
                <w:rFonts w:cs="Arial"/>
                <w:sz w:val="20"/>
                <w:szCs w:val="20"/>
              </w:rPr>
              <w:t>0.979</w:t>
            </w:r>
          </w:p>
        </w:tc>
        <w:tc>
          <w:tcPr>
            <w:tcW w:w="1394" w:type="dxa"/>
          </w:tcPr>
          <w:p w14:paraId="77C55441"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64CB664C" w14:textId="77777777" w:rsidTr="000520F8">
        <w:tc>
          <w:tcPr>
            <w:tcW w:w="4718" w:type="dxa"/>
          </w:tcPr>
          <w:p w14:paraId="33A9EC21" w14:textId="77777777" w:rsidR="000923BB" w:rsidRPr="00F955C6" w:rsidRDefault="000923BB" w:rsidP="003A385F">
            <w:pPr>
              <w:rPr>
                <w:rFonts w:cs="Arial"/>
                <w:sz w:val="20"/>
                <w:szCs w:val="20"/>
              </w:rPr>
            </w:pPr>
            <w:r w:rsidRPr="00F955C6">
              <w:rPr>
                <w:rFonts w:cs="Arial"/>
                <w:sz w:val="20"/>
                <w:szCs w:val="20"/>
              </w:rPr>
              <w:t>COPD mean length of stay</w:t>
            </w:r>
          </w:p>
        </w:tc>
        <w:tc>
          <w:tcPr>
            <w:tcW w:w="1260" w:type="dxa"/>
          </w:tcPr>
          <w:p w14:paraId="18D46B95" w14:textId="77777777" w:rsidR="000923BB" w:rsidRPr="00F955C6" w:rsidRDefault="000923BB" w:rsidP="003A385F">
            <w:pPr>
              <w:jc w:val="center"/>
              <w:rPr>
                <w:rFonts w:cs="Arial"/>
                <w:sz w:val="20"/>
                <w:szCs w:val="20"/>
              </w:rPr>
            </w:pPr>
            <w:r w:rsidRPr="00F955C6">
              <w:rPr>
                <w:rFonts w:cs="Arial"/>
                <w:sz w:val="20"/>
                <w:szCs w:val="20"/>
              </w:rPr>
              <w:t>0.118</w:t>
            </w:r>
          </w:p>
        </w:tc>
        <w:tc>
          <w:tcPr>
            <w:tcW w:w="900" w:type="dxa"/>
          </w:tcPr>
          <w:p w14:paraId="282FF272" w14:textId="77777777" w:rsidR="000923BB" w:rsidRPr="00F955C6" w:rsidRDefault="000923BB" w:rsidP="003A385F">
            <w:pPr>
              <w:jc w:val="center"/>
              <w:rPr>
                <w:rFonts w:cs="Arial"/>
                <w:sz w:val="20"/>
                <w:szCs w:val="20"/>
              </w:rPr>
            </w:pPr>
            <w:r w:rsidRPr="00F955C6">
              <w:rPr>
                <w:rFonts w:cs="Arial"/>
                <w:sz w:val="20"/>
                <w:szCs w:val="20"/>
              </w:rPr>
              <w:t>0.629</w:t>
            </w:r>
          </w:p>
        </w:tc>
        <w:tc>
          <w:tcPr>
            <w:tcW w:w="1394" w:type="dxa"/>
          </w:tcPr>
          <w:p w14:paraId="5274C58C"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6234A6F8" w14:textId="77777777" w:rsidTr="000520F8">
        <w:tc>
          <w:tcPr>
            <w:tcW w:w="4718" w:type="dxa"/>
          </w:tcPr>
          <w:p w14:paraId="6A2054AA" w14:textId="77777777" w:rsidR="000923BB" w:rsidRPr="00F955C6" w:rsidRDefault="000923BB" w:rsidP="003A385F">
            <w:pPr>
              <w:rPr>
                <w:rFonts w:cs="Arial"/>
                <w:sz w:val="20"/>
                <w:szCs w:val="20"/>
              </w:rPr>
            </w:pPr>
            <w:r w:rsidRPr="00F955C6">
              <w:rPr>
                <w:rFonts w:cs="Arial"/>
                <w:sz w:val="20"/>
                <w:szCs w:val="20"/>
              </w:rPr>
              <w:t>COPD mean age</w:t>
            </w:r>
          </w:p>
        </w:tc>
        <w:tc>
          <w:tcPr>
            <w:tcW w:w="1260" w:type="dxa"/>
          </w:tcPr>
          <w:p w14:paraId="755CDC8A" w14:textId="77777777" w:rsidR="000923BB" w:rsidRPr="00F955C6" w:rsidRDefault="000923BB" w:rsidP="003A385F">
            <w:pPr>
              <w:jc w:val="center"/>
              <w:rPr>
                <w:rFonts w:cs="Arial"/>
                <w:sz w:val="20"/>
                <w:szCs w:val="20"/>
              </w:rPr>
            </w:pPr>
            <w:r w:rsidRPr="00F955C6">
              <w:rPr>
                <w:rFonts w:cs="Arial"/>
                <w:sz w:val="20"/>
                <w:szCs w:val="20"/>
              </w:rPr>
              <w:t>0.125</w:t>
            </w:r>
          </w:p>
        </w:tc>
        <w:tc>
          <w:tcPr>
            <w:tcW w:w="900" w:type="dxa"/>
          </w:tcPr>
          <w:p w14:paraId="068591B9" w14:textId="77777777" w:rsidR="000923BB" w:rsidRPr="00F955C6" w:rsidRDefault="000923BB" w:rsidP="003A385F">
            <w:pPr>
              <w:jc w:val="center"/>
              <w:rPr>
                <w:rFonts w:cs="Arial"/>
                <w:sz w:val="20"/>
                <w:szCs w:val="20"/>
              </w:rPr>
            </w:pPr>
            <w:r w:rsidRPr="00F955C6">
              <w:rPr>
                <w:rFonts w:cs="Arial"/>
                <w:sz w:val="20"/>
                <w:szCs w:val="20"/>
              </w:rPr>
              <w:t>0.611</w:t>
            </w:r>
          </w:p>
        </w:tc>
        <w:tc>
          <w:tcPr>
            <w:tcW w:w="1394" w:type="dxa"/>
          </w:tcPr>
          <w:p w14:paraId="4D3415C9"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567BB24D" w14:textId="77777777" w:rsidTr="000520F8">
        <w:tc>
          <w:tcPr>
            <w:tcW w:w="4718" w:type="dxa"/>
          </w:tcPr>
          <w:p w14:paraId="18F667F7" w14:textId="77777777" w:rsidR="000923BB" w:rsidRPr="00F955C6" w:rsidRDefault="000923BB" w:rsidP="003A385F">
            <w:pPr>
              <w:rPr>
                <w:rFonts w:cs="Arial"/>
                <w:sz w:val="20"/>
                <w:szCs w:val="20"/>
              </w:rPr>
            </w:pPr>
            <w:r w:rsidRPr="00F955C6">
              <w:rPr>
                <w:rFonts w:cs="Arial"/>
                <w:sz w:val="20"/>
                <w:szCs w:val="20"/>
              </w:rPr>
              <w:t>Star rating (0 worst to 3 best)</w:t>
            </w:r>
          </w:p>
        </w:tc>
        <w:tc>
          <w:tcPr>
            <w:tcW w:w="1260" w:type="dxa"/>
          </w:tcPr>
          <w:p w14:paraId="3FFF2979" w14:textId="77777777" w:rsidR="000923BB" w:rsidRPr="00F955C6" w:rsidRDefault="000923BB" w:rsidP="003A385F">
            <w:pPr>
              <w:jc w:val="center"/>
              <w:rPr>
                <w:rFonts w:cs="Arial"/>
                <w:sz w:val="20"/>
                <w:szCs w:val="20"/>
              </w:rPr>
            </w:pPr>
            <w:r w:rsidRPr="00F955C6">
              <w:rPr>
                <w:rFonts w:cs="Arial"/>
                <w:sz w:val="20"/>
                <w:szCs w:val="20"/>
              </w:rPr>
              <w:t>0.019*</w:t>
            </w:r>
          </w:p>
        </w:tc>
        <w:tc>
          <w:tcPr>
            <w:tcW w:w="900" w:type="dxa"/>
          </w:tcPr>
          <w:p w14:paraId="3AE6F062" w14:textId="77777777" w:rsidR="000923BB" w:rsidRPr="00F955C6" w:rsidRDefault="000923BB" w:rsidP="003A385F">
            <w:pPr>
              <w:jc w:val="center"/>
              <w:rPr>
                <w:rFonts w:cs="Arial"/>
                <w:sz w:val="20"/>
                <w:szCs w:val="20"/>
              </w:rPr>
            </w:pPr>
            <w:r w:rsidRPr="00F955C6">
              <w:rPr>
                <w:rFonts w:cs="Arial"/>
                <w:sz w:val="20"/>
                <w:szCs w:val="20"/>
              </w:rPr>
              <w:t>0.936</w:t>
            </w:r>
          </w:p>
        </w:tc>
        <w:tc>
          <w:tcPr>
            <w:tcW w:w="1394" w:type="dxa"/>
          </w:tcPr>
          <w:p w14:paraId="48A0A8E2"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7CFC1224" w14:textId="77777777" w:rsidTr="000520F8">
        <w:tc>
          <w:tcPr>
            <w:tcW w:w="4718" w:type="dxa"/>
          </w:tcPr>
          <w:p w14:paraId="627429C2" w14:textId="77777777" w:rsidR="000923BB" w:rsidRPr="00F955C6" w:rsidRDefault="000923BB" w:rsidP="003A385F">
            <w:pPr>
              <w:rPr>
                <w:rFonts w:cs="Arial"/>
                <w:sz w:val="20"/>
                <w:szCs w:val="20"/>
              </w:rPr>
            </w:pPr>
            <w:r w:rsidRPr="00F955C6">
              <w:rPr>
                <w:rFonts w:cs="Arial"/>
                <w:sz w:val="20"/>
                <w:szCs w:val="20"/>
              </w:rPr>
              <w:t>Use of resources HCC</w:t>
            </w:r>
          </w:p>
        </w:tc>
        <w:tc>
          <w:tcPr>
            <w:tcW w:w="1260" w:type="dxa"/>
          </w:tcPr>
          <w:p w14:paraId="1D72E600" w14:textId="77777777" w:rsidR="000923BB" w:rsidRPr="00F955C6" w:rsidRDefault="000923BB" w:rsidP="003A385F">
            <w:pPr>
              <w:jc w:val="center"/>
              <w:rPr>
                <w:rFonts w:cs="Arial"/>
                <w:sz w:val="20"/>
                <w:szCs w:val="20"/>
              </w:rPr>
            </w:pPr>
            <w:r w:rsidRPr="00F955C6">
              <w:rPr>
                <w:rFonts w:cs="Arial"/>
                <w:sz w:val="20"/>
                <w:szCs w:val="20"/>
              </w:rPr>
              <w:t>-0.311*</w:t>
            </w:r>
          </w:p>
        </w:tc>
        <w:tc>
          <w:tcPr>
            <w:tcW w:w="900" w:type="dxa"/>
          </w:tcPr>
          <w:p w14:paraId="5BEE3E67" w14:textId="77777777" w:rsidR="000923BB" w:rsidRPr="00F955C6" w:rsidRDefault="000923BB" w:rsidP="003A385F">
            <w:pPr>
              <w:jc w:val="center"/>
              <w:rPr>
                <w:rFonts w:cs="Arial"/>
                <w:sz w:val="20"/>
                <w:szCs w:val="20"/>
              </w:rPr>
            </w:pPr>
            <w:r w:rsidRPr="00F955C6">
              <w:rPr>
                <w:rFonts w:cs="Arial"/>
                <w:sz w:val="20"/>
                <w:szCs w:val="20"/>
              </w:rPr>
              <w:t>0.182</w:t>
            </w:r>
          </w:p>
        </w:tc>
        <w:tc>
          <w:tcPr>
            <w:tcW w:w="1394" w:type="dxa"/>
          </w:tcPr>
          <w:p w14:paraId="5DDCDC4B"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1DC03AAA" w14:textId="77777777" w:rsidTr="000520F8">
        <w:tc>
          <w:tcPr>
            <w:tcW w:w="4718" w:type="dxa"/>
          </w:tcPr>
          <w:p w14:paraId="6D50FAAB" w14:textId="77777777" w:rsidR="000923BB" w:rsidRPr="00F955C6" w:rsidRDefault="000923BB" w:rsidP="003A385F">
            <w:pPr>
              <w:rPr>
                <w:rFonts w:cs="Arial"/>
                <w:sz w:val="20"/>
                <w:szCs w:val="20"/>
              </w:rPr>
            </w:pPr>
            <w:r w:rsidRPr="00F955C6">
              <w:rPr>
                <w:rFonts w:cs="Arial"/>
                <w:sz w:val="20"/>
                <w:szCs w:val="20"/>
              </w:rPr>
              <w:t>Patient’s experience</w:t>
            </w:r>
          </w:p>
        </w:tc>
        <w:tc>
          <w:tcPr>
            <w:tcW w:w="1260" w:type="dxa"/>
          </w:tcPr>
          <w:p w14:paraId="56AD5B3F" w14:textId="77777777" w:rsidR="000923BB" w:rsidRPr="00F955C6" w:rsidRDefault="000923BB" w:rsidP="003A385F">
            <w:pPr>
              <w:jc w:val="center"/>
              <w:rPr>
                <w:rFonts w:cs="Arial"/>
                <w:sz w:val="20"/>
                <w:szCs w:val="20"/>
              </w:rPr>
            </w:pPr>
            <w:r w:rsidRPr="00F955C6">
              <w:rPr>
                <w:rFonts w:cs="Arial"/>
                <w:sz w:val="20"/>
                <w:szCs w:val="20"/>
              </w:rPr>
              <w:t>0.101</w:t>
            </w:r>
          </w:p>
        </w:tc>
        <w:tc>
          <w:tcPr>
            <w:tcW w:w="900" w:type="dxa"/>
          </w:tcPr>
          <w:p w14:paraId="539253BB" w14:textId="77777777" w:rsidR="000923BB" w:rsidRPr="00F955C6" w:rsidRDefault="000923BB" w:rsidP="003A385F">
            <w:pPr>
              <w:jc w:val="center"/>
              <w:rPr>
                <w:rFonts w:cs="Arial"/>
                <w:sz w:val="20"/>
                <w:szCs w:val="20"/>
              </w:rPr>
            </w:pPr>
            <w:r w:rsidRPr="00F955C6">
              <w:rPr>
                <w:rFonts w:cs="Arial"/>
                <w:sz w:val="20"/>
                <w:szCs w:val="20"/>
              </w:rPr>
              <w:t>0.672</w:t>
            </w:r>
          </w:p>
        </w:tc>
        <w:tc>
          <w:tcPr>
            <w:tcW w:w="1394" w:type="dxa"/>
          </w:tcPr>
          <w:p w14:paraId="2FA31097"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7F024FB4" w14:textId="77777777" w:rsidTr="000520F8">
        <w:tc>
          <w:tcPr>
            <w:tcW w:w="4718" w:type="dxa"/>
          </w:tcPr>
          <w:p w14:paraId="72973C02" w14:textId="77777777" w:rsidR="000923BB" w:rsidRPr="00F955C6" w:rsidRDefault="000923BB" w:rsidP="003A385F">
            <w:pPr>
              <w:rPr>
                <w:rFonts w:cs="Arial"/>
                <w:sz w:val="20"/>
                <w:szCs w:val="20"/>
              </w:rPr>
            </w:pPr>
            <w:r w:rsidRPr="00F955C6">
              <w:rPr>
                <w:rFonts w:cs="Arial"/>
                <w:sz w:val="20"/>
                <w:szCs w:val="20"/>
              </w:rPr>
              <w:t>Quality of services</w:t>
            </w:r>
          </w:p>
        </w:tc>
        <w:tc>
          <w:tcPr>
            <w:tcW w:w="1260" w:type="dxa"/>
          </w:tcPr>
          <w:p w14:paraId="2EE61808" w14:textId="77777777" w:rsidR="000923BB" w:rsidRPr="00F955C6" w:rsidRDefault="000923BB" w:rsidP="003A385F">
            <w:pPr>
              <w:jc w:val="center"/>
              <w:rPr>
                <w:rFonts w:cs="Arial"/>
                <w:sz w:val="20"/>
                <w:szCs w:val="20"/>
              </w:rPr>
            </w:pPr>
            <w:r w:rsidRPr="00F955C6">
              <w:rPr>
                <w:rFonts w:cs="Arial"/>
                <w:sz w:val="20"/>
                <w:szCs w:val="20"/>
              </w:rPr>
              <w:t>-0.188*</w:t>
            </w:r>
          </w:p>
        </w:tc>
        <w:tc>
          <w:tcPr>
            <w:tcW w:w="900" w:type="dxa"/>
          </w:tcPr>
          <w:p w14:paraId="4C34B5C2" w14:textId="77777777" w:rsidR="000923BB" w:rsidRPr="00F955C6" w:rsidRDefault="000923BB" w:rsidP="003A385F">
            <w:pPr>
              <w:jc w:val="center"/>
              <w:rPr>
                <w:rFonts w:cs="Arial"/>
                <w:sz w:val="20"/>
                <w:szCs w:val="20"/>
              </w:rPr>
            </w:pPr>
            <w:r w:rsidRPr="00F955C6">
              <w:rPr>
                <w:rFonts w:cs="Arial"/>
                <w:sz w:val="20"/>
                <w:szCs w:val="20"/>
              </w:rPr>
              <w:t>0.427</w:t>
            </w:r>
          </w:p>
        </w:tc>
        <w:tc>
          <w:tcPr>
            <w:tcW w:w="1394" w:type="dxa"/>
          </w:tcPr>
          <w:p w14:paraId="1D2DBEED"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353C2974" w14:textId="77777777" w:rsidTr="000520F8">
        <w:tc>
          <w:tcPr>
            <w:tcW w:w="4718" w:type="dxa"/>
          </w:tcPr>
          <w:p w14:paraId="16B8A2C8" w14:textId="77777777" w:rsidR="000923BB" w:rsidRPr="00F955C6" w:rsidRDefault="000923BB" w:rsidP="003A385F">
            <w:pPr>
              <w:rPr>
                <w:rFonts w:cs="Arial"/>
                <w:sz w:val="20"/>
                <w:szCs w:val="20"/>
              </w:rPr>
            </w:pPr>
            <w:r w:rsidRPr="00F955C6">
              <w:rPr>
                <w:rFonts w:cs="Arial"/>
                <w:sz w:val="20"/>
                <w:szCs w:val="20"/>
              </w:rPr>
              <w:t>Percentage of patient’s with acute MI receiving thrombolysis</w:t>
            </w:r>
          </w:p>
        </w:tc>
        <w:tc>
          <w:tcPr>
            <w:tcW w:w="1260" w:type="dxa"/>
          </w:tcPr>
          <w:p w14:paraId="444985D5" w14:textId="77777777" w:rsidR="000923BB" w:rsidRPr="00F955C6" w:rsidRDefault="000923BB" w:rsidP="003A385F">
            <w:pPr>
              <w:jc w:val="center"/>
              <w:rPr>
                <w:rFonts w:cs="Arial"/>
                <w:sz w:val="20"/>
                <w:szCs w:val="20"/>
              </w:rPr>
            </w:pPr>
            <w:r w:rsidRPr="00F955C6">
              <w:rPr>
                <w:rFonts w:cs="Arial"/>
                <w:sz w:val="20"/>
                <w:szCs w:val="20"/>
              </w:rPr>
              <w:t>0.042</w:t>
            </w:r>
          </w:p>
        </w:tc>
        <w:tc>
          <w:tcPr>
            <w:tcW w:w="900" w:type="dxa"/>
          </w:tcPr>
          <w:p w14:paraId="53A0188A" w14:textId="77777777" w:rsidR="000923BB" w:rsidRPr="00F955C6" w:rsidRDefault="000923BB" w:rsidP="003A385F">
            <w:pPr>
              <w:jc w:val="center"/>
              <w:rPr>
                <w:rFonts w:cs="Arial"/>
                <w:sz w:val="20"/>
                <w:szCs w:val="20"/>
              </w:rPr>
            </w:pPr>
            <w:r w:rsidRPr="00F955C6">
              <w:rPr>
                <w:rFonts w:cs="Arial"/>
                <w:sz w:val="20"/>
                <w:szCs w:val="20"/>
              </w:rPr>
              <w:t>0.866</w:t>
            </w:r>
          </w:p>
        </w:tc>
        <w:tc>
          <w:tcPr>
            <w:tcW w:w="1394" w:type="dxa"/>
          </w:tcPr>
          <w:p w14:paraId="3FDA5002"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47D3389E" w14:textId="77777777" w:rsidTr="000520F8">
        <w:tc>
          <w:tcPr>
            <w:tcW w:w="4718" w:type="dxa"/>
          </w:tcPr>
          <w:p w14:paraId="600F20FA" w14:textId="77777777" w:rsidR="000923BB" w:rsidRPr="00F955C6" w:rsidRDefault="000923BB" w:rsidP="003A385F">
            <w:pPr>
              <w:rPr>
                <w:rFonts w:cs="Arial"/>
                <w:sz w:val="20"/>
                <w:szCs w:val="20"/>
              </w:rPr>
            </w:pPr>
            <w:r w:rsidRPr="00F955C6">
              <w:rPr>
                <w:rFonts w:cs="Arial"/>
                <w:sz w:val="20"/>
                <w:szCs w:val="20"/>
              </w:rPr>
              <w:t>Existing national targets</w:t>
            </w:r>
          </w:p>
        </w:tc>
        <w:tc>
          <w:tcPr>
            <w:tcW w:w="1260" w:type="dxa"/>
          </w:tcPr>
          <w:p w14:paraId="3F710EDB" w14:textId="77777777" w:rsidR="000923BB" w:rsidRPr="00F955C6" w:rsidRDefault="000923BB" w:rsidP="003A385F">
            <w:pPr>
              <w:jc w:val="center"/>
              <w:rPr>
                <w:rFonts w:cs="Arial"/>
                <w:sz w:val="20"/>
                <w:szCs w:val="20"/>
              </w:rPr>
            </w:pPr>
            <w:r w:rsidRPr="00F955C6">
              <w:rPr>
                <w:rFonts w:cs="Arial"/>
                <w:sz w:val="20"/>
                <w:szCs w:val="20"/>
              </w:rPr>
              <w:t>-0.207*</w:t>
            </w:r>
          </w:p>
        </w:tc>
        <w:tc>
          <w:tcPr>
            <w:tcW w:w="900" w:type="dxa"/>
          </w:tcPr>
          <w:p w14:paraId="6F53C0F2" w14:textId="77777777" w:rsidR="000923BB" w:rsidRPr="00F955C6" w:rsidRDefault="000923BB" w:rsidP="003A385F">
            <w:pPr>
              <w:jc w:val="center"/>
              <w:rPr>
                <w:rFonts w:cs="Arial"/>
                <w:sz w:val="20"/>
                <w:szCs w:val="20"/>
              </w:rPr>
            </w:pPr>
            <w:r w:rsidRPr="00F955C6">
              <w:rPr>
                <w:rFonts w:cs="Arial"/>
                <w:sz w:val="20"/>
                <w:szCs w:val="20"/>
              </w:rPr>
              <w:t>0.381</w:t>
            </w:r>
          </w:p>
        </w:tc>
        <w:tc>
          <w:tcPr>
            <w:tcW w:w="1394" w:type="dxa"/>
          </w:tcPr>
          <w:p w14:paraId="7B1DF880"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21C32E7A" w14:textId="77777777" w:rsidTr="000520F8">
        <w:tc>
          <w:tcPr>
            <w:tcW w:w="4718" w:type="dxa"/>
          </w:tcPr>
          <w:p w14:paraId="0D2FD174" w14:textId="77777777" w:rsidR="000923BB" w:rsidRPr="00F955C6" w:rsidRDefault="000923BB" w:rsidP="003A385F">
            <w:pPr>
              <w:rPr>
                <w:rFonts w:cs="Arial"/>
                <w:sz w:val="20"/>
                <w:szCs w:val="20"/>
              </w:rPr>
            </w:pPr>
            <w:r w:rsidRPr="00F955C6">
              <w:rPr>
                <w:rFonts w:cs="Arial"/>
                <w:sz w:val="20"/>
                <w:szCs w:val="20"/>
              </w:rPr>
              <w:t>New national targets</w:t>
            </w:r>
          </w:p>
        </w:tc>
        <w:tc>
          <w:tcPr>
            <w:tcW w:w="1260" w:type="dxa"/>
          </w:tcPr>
          <w:p w14:paraId="7E8310A0" w14:textId="77777777" w:rsidR="000923BB" w:rsidRPr="00F955C6" w:rsidRDefault="000923BB" w:rsidP="003A385F">
            <w:pPr>
              <w:jc w:val="center"/>
              <w:rPr>
                <w:rFonts w:cs="Arial"/>
                <w:sz w:val="20"/>
                <w:szCs w:val="20"/>
              </w:rPr>
            </w:pPr>
            <w:r w:rsidRPr="00F955C6">
              <w:rPr>
                <w:rFonts w:cs="Arial"/>
                <w:sz w:val="20"/>
                <w:szCs w:val="20"/>
              </w:rPr>
              <w:t>-0.049*</w:t>
            </w:r>
          </w:p>
        </w:tc>
        <w:tc>
          <w:tcPr>
            <w:tcW w:w="900" w:type="dxa"/>
          </w:tcPr>
          <w:p w14:paraId="0521C0E4" w14:textId="77777777" w:rsidR="000923BB" w:rsidRPr="00F955C6" w:rsidRDefault="000923BB" w:rsidP="003A385F">
            <w:pPr>
              <w:jc w:val="center"/>
              <w:rPr>
                <w:rFonts w:cs="Arial"/>
                <w:sz w:val="20"/>
                <w:szCs w:val="20"/>
              </w:rPr>
            </w:pPr>
            <w:r w:rsidRPr="00F955C6">
              <w:rPr>
                <w:rFonts w:cs="Arial"/>
                <w:sz w:val="20"/>
                <w:szCs w:val="20"/>
              </w:rPr>
              <w:t>0.838</w:t>
            </w:r>
          </w:p>
        </w:tc>
        <w:tc>
          <w:tcPr>
            <w:tcW w:w="1394" w:type="dxa"/>
          </w:tcPr>
          <w:p w14:paraId="7AF19A8E"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5A863602" w14:textId="77777777" w:rsidTr="000520F8">
        <w:tc>
          <w:tcPr>
            <w:tcW w:w="4718" w:type="dxa"/>
          </w:tcPr>
          <w:p w14:paraId="57DABF95" w14:textId="77777777" w:rsidR="000923BB" w:rsidRPr="00F955C6" w:rsidRDefault="000923BB" w:rsidP="003A385F">
            <w:pPr>
              <w:rPr>
                <w:rFonts w:cs="Arial"/>
                <w:sz w:val="20"/>
                <w:szCs w:val="20"/>
              </w:rPr>
            </w:pPr>
            <w:r w:rsidRPr="00F955C6">
              <w:rPr>
                <w:rFonts w:cs="Arial"/>
                <w:sz w:val="20"/>
                <w:szCs w:val="20"/>
              </w:rPr>
              <w:t>NHS staff survey Q25a: Seen errors in the past month (% yes)</w:t>
            </w:r>
          </w:p>
        </w:tc>
        <w:tc>
          <w:tcPr>
            <w:tcW w:w="1260" w:type="dxa"/>
          </w:tcPr>
          <w:p w14:paraId="7DF498FB" w14:textId="77777777" w:rsidR="000923BB" w:rsidRPr="00F955C6" w:rsidRDefault="000923BB" w:rsidP="003A385F">
            <w:pPr>
              <w:jc w:val="center"/>
              <w:rPr>
                <w:rFonts w:cs="Arial"/>
                <w:sz w:val="20"/>
                <w:szCs w:val="20"/>
              </w:rPr>
            </w:pPr>
            <w:r w:rsidRPr="00F955C6">
              <w:rPr>
                <w:rFonts w:cs="Arial"/>
                <w:sz w:val="20"/>
                <w:szCs w:val="20"/>
              </w:rPr>
              <w:t>0.069</w:t>
            </w:r>
          </w:p>
        </w:tc>
        <w:tc>
          <w:tcPr>
            <w:tcW w:w="900" w:type="dxa"/>
          </w:tcPr>
          <w:p w14:paraId="2B9DDDEE" w14:textId="77777777" w:rsidR="000923BB" w:rsidRPr="00F955C6" w:rsidRDefault="000923BB" w:rsidP="003A385F">
            <w:pPr>
              <w:jc w:val="center"/>
              <w:rPr>
                <w:rFonts w:cs="Arial"/>
                <w:sz w:val="20"/>
                <w:szCs w:val="20"/>
              </w:rPr>
            </w:pPr>
            <w:r w:rsidRPr="00F955C6">
              <w:rPr>
                <w:rFonts w:cs="Arial"/>
                <w:sz w:val="20"/>
                <w:szCs w:val="20"/>
              </w:rPr>
              <w:t>0.772</w:t>
            </w:r>
          </w:p>
        </w:tc>
        <w:tc>
          <w:tcPr>
            <w:tcW w:w="1394" w:type="dxa"/>
          </w:tcPr>
          <w:p w14:paraId="6257B9F7"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174BFCEB" w14:textId="77777777" w:rsidTr="000520F8">
        <w:tc>
          <w:tcPr>
            <w:tcW w:w="4718" w:type="dxa"/>
          </w:tcPr>
          <w:p w14:paraId="69D2DF8A" w14:textId="77777777" w:rsidR="000923BB" w:rsidRPr="00F955C6" w:rsidRDefault="000923BB" w:rsidP="003A385F">
            <w:pPr>
              <w:rPr>
                <w:rFonts w:cs="Arial"/>
                <w:sz w:val="20"/>
                <w:szCs w:val="20"/>
              </w:rPr>
            </w:pPr>
            <w:r w:rsidRPr="00F955C6">
              <w:rPr>
                <w:rFonts w:cs="Arial"/>
                <w:sz w:val="20"/>
                <w:szCs w:val="20"/>
              </w:rPr>
              <w:t>NHS staff survey Q27b: Encouraged to report errors (mean)</w:t>
            </w:r>
          </w:p>
        </w:tc>
        <w:tc>
          <w:tcPr>
            <w:tcW w:w="1260" w:type="dxa"/>
          </w:tcPr>
          <w:p w14:paraId="59D691CA" w14:textId="77777777" w:rsidR="000923BB" w:rsidRPr="00F955C6" w:rsidRDefault="000923BB" w:rsidP="003A385F">
            <w:pPr>
              <w:jc w:val="center"/>
              <w:rPr>
                <w:rFonts w:cs="Arial"/>
                <w:sz w:val="20"/>
                <w:szCs w:val="20"/>
              </w:rPr>
            </w:pPr>
            <w:r w:rsidRPr="00F955C6">
              <w:rPr>
                <w:rFonts w:cs="Arial"/>
                <w:sz w:val="20"/>
                <w:szCs w:val="20"/>
              </w:rPr>
              <w:t>-0.238</w:t>
            </w:r>
          </w:p>
        </w:tc>
        <w:tc>
          <w:tcPr>
            <w:tcW w:w="900" w:type="dxa"/>
          </w:tcPr>
          <w:p w14:paraId="17A3D85D" w14:textId="77777777" w:rsidR="000923BB" w:rsidRPr="00F955C6" w:rsidRDefault="000923BB" w:rsidP="003A385F">
            <w:pPr>
              <w:jc w:val="center"/>
              <w:rPr>
                <w:rFonts w:cs="Arial"/>
                <w:sz w:val="20"/>
                <w:szCs w:val="20"/>
              </w:rPr>
            </w:pPr>
            <w:r w:rsidRPr="00F955C6">
              <w:rPr>
                <w:rFonts w:cs="Arial"/>
                <w:sz w:val="20"/>
                <w:szCs w:val="20"/>
              </w:rPr>
              <w:t>0.312</w:t>
            </w:r>
          </w:p>
        </w:tc>
        <w:tc>
          <w:tcPr>
            <w:tcW w:w="1394" w:type="dxa"/>
          </w:tcPr>
          <w:p w14:paraId="03B0236F"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13D0FE21" w14:textId="77777777" w:rsidTr="000520F8">
        <w:tc>
          <w:tcPr>
            <w:tcW w:w="4718" w:type="dxa"/>
          </w:tcPr>
          <w:p w14:paraId="5932818F" w14:textId="77777777" w:rsidR="000923BB" w:rsidRPr="00F955C6" w:rsidRDefault="000923BB" w:rsidP="003A385F">
            <w:pPr>
              <w:rPr>
                <w:rFonts w:cs="Arial"/>
                <w:sz w:val="20"/>
                <w:szCs w:val="20"/>
              </w:rPr>
            </w:pPr>
            <w:r w:rsidRPr="00F955C6">
              <w:rPr>
                <w:rFonts w:cs="Arial"/>
                <w:sz w:val="20"/>
                <w:szCs w:val="20"/>
              </w:rPr>
              <w:t>NHS staff survey Q27e: Trust takes action to ensure does not happen again (mean)</w:t>
            </w:r>
          </w:p>
        </w:tc>
        <w:tc>
          <w:tcPr>
            <w:tcW w:w="1260" w:type="dxa"/>
          </w:tcPr>
          <w:p w14:paraId="01A14204" w14:textId="77777777" w:rsidR="000923BB" w:rsidRPr="00F955C6" w:rsidRDefault="000923BB" w:rsidP="003A385F">
            <w:pPr>
              <w:jc w:val="center"/>
              <w:rPr>
                <w:rFonts w:cs="Arial"/>
                <w:sz w:val="20"/>
                <w:szCs w:val="20"/>
              </w:rPr>
            </w:pPr>
            <w:r w:rsidRPr="00F955C6">
              <w:rPr>
                <w:rFonts w:cs="Arial"/>
                <w:sz w:val="20"/>
                <w:szCs w:val="20"/>
              </w:rPr>
              <w:t>-0.084</w:t>
            </w:r>
          </w:p>
        </w:tc>
        <w:tc>
          <w:tcPr>
            <w:tcW w:w="900" w:type="dxa"/>
          </w:tcPr>
          <w:p w14:paraId="226E389F" w14:textId="77777777" w:rsidR="000923BB" w:rsidRPr="00F955C6" w:rsidRDefault="000923BB" w:rsidP="003A385F">
            <w:pPr>
              <w:jc w:val="center"/>
              <w:rPr>
                <w:rFonts w:cs="Arial"/>
                <w:sz w:val="20"/>
                <w:szCs w:val="20"/>
              </w:rPr>
            </w:pPr>
            <w:r w:rsidRPr="00F955C6">
              <w:rPr>
                <w:rFonts w:cs="Arial"/>
                <w:sz w:val="20"/>
                <w:szCs w:val="20"/>
              </w:rPr>
              <w:t>0.726</w:t>
            </w:r>
          </w:p>
        </w:tc>
        <w:tc>
          <w:tcPr>
            <w:tcW w:w="1394" w:type="dxa"/>
          </w:tcPr>
          <w:p w14:paraId="797EE2D5"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35D1D650" w14:textId="77777777" w:rsidTr="000520F8">
        <w:tc>
          <w:tcPr>
            <w:tcW w:w="4718" w:type="dxa"/>
          </w:tcPr>
          <w:p w14:paraId="53B1F3B5" w14:textId="77777777" w:rsidR="000923BB" w:rsidRPr="00F955C6" w:rsidRDefault="000923BB" w:rsidP="003A385F">
            <w:pPr>
              <w:rPr>
                <w:rFonts w:cs="Arial"/>
                <w:sz w:val="20"/>
                <w:szCs w:val="20"/>
              </w:rPr>
            </w:pPr>
            <w:r w:rsidRPr="00F955C6">
              <w:rPr>
                <w:rFonts w:cs="Arial"/>
                <w:sz w:val="20"/>
                <w:szCs w:val="20"/>
              </w:rPr>
              <w:t>NHS staff survey Q24a: Know how to report (% yes)</w:t>
            </w:r>
          </w:p>
        </w:tc>
        <w:tc>
          <w:tcPr>
            <w:tcW w:w="1260" w:type="dxa"/>
          </w:tcPr>
          <w:p w14:paraId="6CDF37AD" w14:textId="77777777" w:rsidR="000923BB" w:rsidRPr="00F955C6" w:rsidRDefault="000923BB" w:rsidP="003A385F">
            <w:pPr>
              <w:jc w:val="center"/>
              <w:rPr>
                <w:rFonts w:cs="Arial"/>
                <w:sz w:val="20"/>
                <w:szCs w:val="20"/>
              </w:rPr>
            </w:pPr>
            <w:r w:rsidRPr="00F955C6">
              <w:rPr>
                <w:rFonts w:cs="Arial"/>
                <w:sz w:val="20"/>
                <w:szCs w:val="20"/>
              </w:rPr>
              <w:t>-0.263</w:t>
            </w:r>
          </w:p>
        </w:tc>
        <w:tc>
          <w:tcPr>
            <w:tcW w:w="900" w:type="dxa"/>
          </w:tcPr>
          <w:p w14:paraId="4A67C848" w14:textId="77777777" w:rsidR="000923BB" w:rsidRPr="00F955C6" w:rsidRDefault="000923BB" w:rsidP="003A385F">
            <w:pPr>
              <w:jc w:val="center"/>
              <w:rPr>
                <w:rFonts w:cs="Arial"/>
                <w:sz w:val="20"/>
                <w:szCs w:val="20"/>
              </w:rPr>
            </w:pPr>
            <w:r w:rsidRPr="00F955C6">
              <w:rPr>
                <w:rFonts w:cs="Arial"/>
                <w:sz w:val="20"/>
                <w:szCs w:val="20"/>
              </w:rPr>
              <w:t>0.263</w:t>
            </w:r>
          </w:p>
        </w:tc>
        <w:tc>
          <w:tcPr>
            <w:tcW w:w="1394" w:type="dxa"/>
          </w:tcPr>
          <w:p w14:paraId="0A7B434F"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49B3721A" w14:textId="77777777" w:rsidTr="000520F8">
        <w:tc>
          <w:tcPr>
            <w:tcW w:w="4718" w:type="dxa"/>
          </w:tcPr>
          <w:p w14:paraId="4E177FC5" w14:textId="77777777" w:rsidR="000923BB" w:rsidRPr="00F955C6" w:rsidRDefault="000923BB" w:rsidP="003A385F">
            <w:pPr>
              <w:rPr>
                <w:rFonts w:cs="Arial"/>
                <w:sz w:val="20"/>
                <w:szCs w:val="20"/>
              </w:rPr>
            </w:pPr>
            <w:r w:rsidRPr="00F955C6">
              <w:rPr>
                <w:rFonts w:cs="Arial"/>
                <w:sz w:val="20"/>
                <w:szCs w:val="20"/>
              </w:rPr>
              <w:lastRenderedPageBreak/>
              <w:t xml:space="preserve">NHS staff survey Q24b: System for reporting (% yes) </w:t>
            </w:r>
          </w:p>
        </w:tc>
        <w:tc>
          <w:tcPr>
            <w:tcW w:w="1260" w:type="dxa"/>
          </w:tcPr>
          <w:p w14:paraId="768D980F" w14:textId="77777777" w:rsidR="000923BB" w:rsidRPr="00F955C6" w:rsidRDefault="000923BB" w:rsidP="003A385F">
            <w:pPr>
              <w:jc w:val="center"/>
              <w:rPr>
                <w:rFonts w:cs="Arial"/>
                <w:sz w:val="20"/>
                <w:szCs w:val="20"/>
              </w:rPr>
            </w:pPr>
            <w:r w:rsidRPr="00F955C6">
              <w:rPr>
                <w:rFonts w:cs="Arial"/>
                <w:sz w:val="20"/>
                <w:szCs w:val="20"/>
              </w:rPr>
              <w:t>0.093</w:t>
            </w:r>
          </w:p>
        </w:tc>
        <w:tc>
          <w:tcPr>
            <w:tcW w:w="900" w:type="dxa"/>
          </w:tcPr>
          <w:p w14:paraId="310F5C14" w14:textId="77777777" w:rsidR="000923BB" w:rsidRPr="00F955C6" w:rsidRDefault="000923BB" w:rsidP="003A385F">
            <w:pPr>
              <w:jc w:val="center"/>
              <w:rPr>
                <w:rFonts w:cs="Arial"/>
                <w:sz w:val="20"/>
                <w:szCs w:val="20"/>
              </w:rPr>
            </w:pPr>
            <w:r w:rsidRPr="00F955C6">
              <w:rPr>
                <w:rFonts w:cs="Arial"/>
                <w:sz w:val="20"/>
                <w:szCs w:val="20"/>
              </w:rPr>
              <w:t>0.698</w:t>
            </w:r>
          </w:p>
        </w:tc>
        <w:tc>
          <w:tcPr>
            <w:tcW w:w="1394" w:type="dxa"/>
          </w:tcPr>
          <w:p w14:paraId="354C4302"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4D2DB38F" w14:textId="77777777" w:rsidTr="000520F8">
        <w:tc>
          <w:tcPr>
            <w:tcW w:w="4718" w:type="dxa"/>
          </w:tcPr>
          <w:p w14:paraId="042D2923" w14:textId="77777777" w:rsidR="000923BB" w:rsidRPr="00F955C6" w:rsidRDefault="000923BB" w:rsidP="003A385F">
            <w:pPr>
              <w:rPr>
                <w:rFonts w:cs="Arial"/>
                <w:sz w:val="20"/>
                <w:szCs w:val="20"/>
              </w:rPr>
            </w:pPr>
            <w:r w:rsidRPr="00F955C6">
              <w:rPr>
                <w:rFonts w:cs="Arial"/>
                <w:sz w:val="20"/>
                <w:szCs w:val="20"/>
              </w:rPr>
              <w:t>NHS staff survey Q24b: System for reporting (% no)</w:t>
            </w:r>
          </w:p>
        </w:tc>
        <w:tc>
          <w:tcPr>
            <w:tcW w:w="1260" w:type="dxa"/>
          </w:tcPr>
          <w:p w14:paraId="538FE773" w14:textId="77777777" w:rsidR="000923BB" w:rsidRPr="00F955C6" w:rsidRDefault="000923BB" w:rsidP="003A385F">
            <w:pPr>
              <w:jc w:val="center"/>
              <w:rPr>
                <w:rFonts w:cs="Arial"/>
                <w:sz w:val="20"/>
                <w:szCs w:val="20"/>
              </w:rPr>
            </w:pPr>
            <w:r w:rsidRPr="00F955C6">
              <w:rPr>
                <w:rFonts w:cs="Arial"/>
                <w:sz w:val="20"/>
                <w:szCs w:val="20"/>
              </w:rPr>
              <w:t>-0.131</w:t>
            </w:r>
          </w:p>
        </w:tc>
        <w:tc>
          <w:tcPr>
            <w:tcW w:w="900" w:type="dxa"/>
          </w:tcPr>
          <w:p w14:paraId="52AF0868" w14:textId="77777777" w:rsidR="000923BB" w:rsidRPr="00F955C6" w:rsidRDefault="000923BB" w:rsidP="003A385F">
            <w:pPr>
              <w:jc w:val="center"/>
              <w:rPr>
                <w:rFonts w:cs="Arial"/>
                <w:sz w:val="20"/>
                <w:szCs w:val="20"/>
              </w:rPr>
            </w:pPr>
            <w:r w:rsidRPr="00F955C6">
              <w:rPr>
                <w:rFonts w:cs="Arial"/>
                <w:sz w:val="20"/>
                <w:szCs w:val="20"/>
              </w:rPr>
              <w:t>0.582</w:t>
            </w:r>
          </w:p>
        </w:tc>
        <w:tc>
          <w:tcPr>
            <w:tcW w:w="1394" w:type="dxa"/>
          </w:tcPr>
          <w:p w14:paraId="1FE2719F"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2D238622" w14:textId="77777777" w:rsidTr="000520F8">
        <w:tc>
          <w:tcPr>
            <w:tcW w:w="4718" w:type="dxa"/>
          </w:tcPr>
          <w:p w14:paraId="6D4E43C5" w14:textId="77777777" w:rsidR="000923BB" w:rsidRPr="00F955C6" w:rsidRDefault="000923BB" w:rsidP="003A385F">
            <w:pPr>
              <w:rPr>
                <w:rFonts w:cs="Arial"/>
                <w:sz w:val="20"/>
                <w:szCs w:val="20"/>
              </w:rPr>
            </w:pPr>
            <w:r w:rsidRPr="00F955C6">
              <w:rPr>
                <w:rFonts w:cs="Arial"/>
                <w:sz w:val="20"/>
                <w:szCs w:val="20"/>
              </w:rPr>
              <w:t>NHS staff survey Q24b: System for reporting (% DK)</w:t>
            </w:r>
          </w:p>
        </w:tc>
        <w:tc>
          <w:tcPr>
            <w:tcW w:w="1260" w:type="dxa"/>
          </w:tcPr>
          <w:p w14:paraId="6E8AE010" w14:textId="77777777" w:rsidR="000923BB" w:rsidRPr="00F955C6" w:rsidRDefault="000923BB" w:rsidP="003A385F">
            <w:pPr>
              <w:jc w:val="center"/>
              <w:rPr>
                <w:rFonts w:cs="Arial"/>
                <w:sz w:val="20"/>
                <w:szCs w:val="20"/>
              </w:rPr>
            </w:pPr>
            <w:r w:rsidRPr="00F955C6">
              <w:rPr>
                <w:rFonts w:cs="Arial"/>
                <w:sz w:val="20"/>
                <w:szCs w:val="20"/>
              </w:rPr>
              <w:t>-0.052</w:t>
            </w:r>
          </w:p>
        </w:tc>
        <w:tc>
          <w:tcPr>
            <w:tcW w:w="900" w:type="dxa"/>
          </w:tcPr>
          <w:p w14:paraId="60C2BD9F" w14:textId="77777777" w:rsidR="000923BB" w:rsidRPr="00F955C6" w:rsidRDefault="000923BB" w:rsidP="003A385F">
            <w:pPr>
              <w:jc w:val="center"/>
              <w:rPr>
                <w:rFonts w:cs="Arial"/>
                <w:sz w:val="20"/>
                <w:szCs w:val="20"/>
              </w:rPr>
            </w:pPr>
            <w:r w:rsidRPr="00F955C6">
              <w:rPr>
                <w:rFonts w:cs="Arial"/>
                <w:sz w:val="20"/>
                <w:szCs w:val="20"/>
              </w:rPr>
              <w:t>0.827</w:t>
            </w:r>
          </w:p>
        </w:tc>
        <w:tc>
          <w:tcPr>
            <w:tcW w:w="1394" w:type="dxa"/>
          </w:tcPr>
          <w:p w14:paraId="29F167B0"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2F3EC0A7" w14:textId="77777777" w:rsidTr="000520F8">
        <w:tc>
          <w:tcPr>
            <w:tcW w:w="4718" w:type="dxa"/>
            <w:tcBorders>
              <w:bottom w:val="single" w:sz="4" w:space="0" w:color="auto"/>
            </w:tcBorders>
          </w:tcPr>
          <w:p w14:paraId="46DD8CDC" w14:textId="77777777" w:rsidR="000923BB" w:rsidRPr="00F955C6" w:rsidRDefault="000923BB" w:rsidP="003A385F">
            <w:pPr>
              <w:rPr>
                <w:rFonts w:cs="Arial"/>
                <w:sz w:val="20"/>
                <w:szCs w:val="20"/>
              </w:rPr>
            </w:pPr>
            <w:r w:rsidRPr="00F955C6">
              <w:rPr>
                <w:rFonts w:cs="Arial"/>
                <w:sz w:val="20"/>
                <w:szCs w:val="20"/>
              </w:rPr>
              <w:t>NHS staff survey Q22e: Care of patient/service user is top priority (mean)</w:t>
            </w:r>
          </w:p>
        </w:tc>
        <w:tc>
          <w:tcPr>
            <w:tcW w:w="1260" w:type="dxa"/>
            <w:tcBorders>
              <w:bottom w:val="single" w:sz="4" w:space="0" w:color="auto"/>
            </w:tcBorders>
          </w:tcPr>
          <w:p w14:paraId="3C71AAD7" w14:textId="77777777" w:rsidR="000923BB" w:rsidRPr="00F955C6" w:rsidRDefault="000923BB" w:rsidP="003A385F">
            <w:pPr>
              <w:jc w:val="center"/>
              <w:rPr>
                <w:rFonts w:cs="Arial"/>
                <w:sz w:val="20"/>
                <w:szCs w:val="20"/>
              </w:rPr>
            </w:pPr>
            <w:r w:rsidRPr="00F955C6">
              <w:rPr>
                <w:rFonts w:cs="Arial"/>
                <w:sz w:val="20"/>
                <w:szCs w:val="20"/>
              </w:rPr>
              <w:t>-0.139</w:t>
            </w:r>
          </w:p>
        </w:tc>
        <w:tc>
          <w:tcPr>
            <w:tcW w:w="900" w:type="dxa"/>
            <w:tcBorders>
              <w:bottom w:val="single" w:sz="4" w:space="0" w:color="auto"/>
            </w:tcBorders>
          </w:tcPr>
          <w:p w14:paraId="6FB3C88E" w14:textId="77777777" w:rsidR="000923BB" w:rsidRPr="00F955C6" w:rsidRDefault="000923BB" w:rsidP="003A385F">
            <w:pPr>
              <w:jc w:val="center"/>
              <w:rPr>
                <w:rFonts w:cs="Arial"/>
                <w:sz w:val="20"/>
                <w:szCs w:val="20"/>
              </w:rPr>
            </w:pPr>
            <w:r w:rsidRPr="00F955C6">
              <w:rPr>
                <w:rFonts w:cs="Arial"/>
                <w:sz w:val="20"/>
                <w:szCs w:val="20"/>
              </w:rPr>
              <w:t>0.558</w:t>
            </w:r>
          </w:p>
        </w:tc>
        <w:tc>
          <w:tcPr>
            <w:tcW w:w="1394" w:type="dxa"/>
            <w:tcBorders>
              <w:bottom w:val="single" w:sz="4" w:space="0" w:color="auto"/>
            </w:tcBorders>
          </w:tcPr>
          <w:p w14:paraId="5F21D03E"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3C9617C2" w14:textId="77777777" w:rsidTr="000520F8">
        <w:tc>
          <w:tcPr>
            <w:tcW w:w="4718" w:type="dxa"/>
            <w:shd w:val="clear" w:color="auto" w:fill="CCFFFF"/>
          </w:tcPr>
          <w:p w14:paraId="15719040" w14:textId="77777777" w:rsidR="000923BB" w:rsidRPr="00F955C6" w:rsidRDefault="000923BB" w:rsidP="003A385F">
            <w:pPr>
              <w:rPr>
                <w:rFonts w:cs="Arial"/>
                <w:sz w:val="20"/>
                <w:szCs w:val="20"/>
              </w:rPr>
            </w:pPr>
            <w:r w:rsidRPr="00F955C6">
              <w:rPr>
                <w:rFonts w:cs="Arial"/>
                <w:sz w:val="20"/>
                <w:szCs w:val="20"/>
              </w:rPr>
              <w:t>NHS staff survey Q22f: Happy with standard of care provided (mean)</w:t>
            </w:r>
          </w:p>
        </w:tc>
        <w:tc>
          <w:tcPr>
            <w:tcW w:w="1260" w:type="dxa"/>
            <w:shd w:val="clear" w:color="auto" w:fill="CCFFFF"/>
          </w:tcPr>
          <w:p w14:paraId="40B7A8F6" w14:textId="77777777" w:rsidR="000923BB" w:rsidRPr="00F955C6" w:rsidRDefault="000923BB" w:rsidP="003A385F">
            <w:pPr>
              <w:jc w:val="center"/>
              <w:rPr>
                <w:rFonts w:cs="Arial"/>
                <w:sz w:val="20"/>
                <w:szCs w:val="20"/>
              </w:rPr>
            </w:pPr>
            <w:r w:rsidRPr="00F955C6">
              <w:rPr>
                <w:rFonts w:cs="Arial"/>
                <w:sz w:val="20"/>
                <w:szCs w:val="20"/>
              </w:rPr>
              <w:t>0.475</w:t>
            </w:r>
          </w:p>
        </w:tc>
        <w:tc>
          <w:tcPr>
            <w:tcW w:w="900" w:type="dxa"/>
            <w:shd w:val="clear" w:color="auto" w:fill="CCFFFF"/>
          </w:tcPr>
          <w:p w14:paraId="60D9CAAB" w14:textId="77777777" w:rsidR="000923BB" w:rsidRPr="00F955C6" w:rsidRDefault="000923BB" w:rsidP="003A385F">
            <w:pPr>
              <w:jc w:val="center"/>
              <w:rPr>
                <w:rFonts w:cs="Arial"/>
                <w:sz w:val="20"/>
                <w:szCs w:val="20"/>
              </w:rPr>
            </w:pPr>
            <w:r w:rsidRPr="00F955C6">
              <w:rPr>
                <w:rFonts w:cs="Arial"/>
                <w:sz w:val="20"/>
                <w:szCs w:val="20"/>
              </w:rPr>
              <w:t>0.034</w:t>
            </w:r>
          </w:p>
        </w:tc>
        <w:tc>
          <w:tcPr>
            <w:tcW w:w="1394" w:type="dxa"/>
            <w:shd w:val="clear" w:color="auto" w:fill="CCFFFF"/>
          </w:tcPr>
          <w:p w14:paraId="1E40F224" w14:textId="77777777" w:rsidR="000923BB" w:rsidRPr="00F955C6" w:rsidRDefault="000923BB" w:rsidP="003A385F">
            <w:pPr>
              <w:jc w:val="center"/>
              <w:rPr>
                <w:rFonts w:cs="Arial"/>
                <w:sz w:val="20"/>
                <w:szCs w:val="20"/>
              </w:rPr>
            </w:pPr>
            <w:r w:rsidRPr="00F955C6">
              <w:rPr>
                <w:rFonts w:cs="Arial"/>
                <w:sz w:val="20"/>
                <w:szCs w:val="20"/>
              </w:rPr>
              <w:t>Moderate</w:t>
            </w:r>
          </w:p>
        </w:tc>
      </w:tr>
    </w:tbl>
    <w:p w14:paraId="651A4EA8" w14:textId="77777777" w:rsidR="000923BB" w:rsidRPr="00D77319" w:rsidRDefault="000520F8" w:rsidP="000923BB">
      <w:pPr>
        <w:rPr>
          <w:rFonts w:cs="Arial"/>
          <w:sz w:val="18"/>
          <w:szCs w:val="18"/>
        </w:rPr>
      </w:pPr>
      <w:r>
        <w:rPr>
          <w:rFonts w:cs="Arial"/>
          <w:sz w:val="18"/>
          <w:szCs w:val="18"/>
        </w:rPr>
        <w:t xml:space="preserve">   </w:t>
      </w:r>
      <w:r w:rsidR="000923BB" w:rsidRPr="00D77319">
        <w:rPr>
          <w:rFonts w:cs="Arial"/>
          <w:sz w:val="18"/>
          <w:szCs w:val="18"/>
        </w:rPr>
        <w:t>* Spearman’s rank correlation used</w:t>
      </w:r>
    </w:p>
    <w:p w14:paraId="3D48736D" w14:textId="77777777" w:rsidR="000923BB" w:rsidRPr="00D77319" w:rsidRDefault="000520F8" w:rsidP="000923BB">
      <w:pPr>
        <w:rPr>
          <w:rFonts w:cs="Arial"/>
          <w:sz w:val="18"/>
          <w:szCs w:val="18"/>
        </w:rPr>
      </w:pPr>
      <w:r>
        <w:rPr>
          <w:rFonts w:cs="Arial"/>
          <w:sz w:val="18"/>
          <w:szCs w:val="18"/>
        </w:rPr>
        <w:t xml:space="preserve">   </w:t>
      </w:r>
      <w:r w:rsidR="000923BB">
        <w:rPr>
          <w:rFonts w:cs="Arial"/>
          <w:sz w:val="18"/>
          <w:szCs w:val="18"/>
        </w:rPr>
        <w:t xml:space="preserve">Correlations at the &lt; 0.05 significance level highlighted </w:t>
      </w:r>
    </w:p>
    <w:p w14:paraId="1F80E1C2" w14:textId="77777777" w:rsidR="000923BB" w:rsidRDefault="000923BB" w:rsidP="000923BB">
      <w:pPr>
        <w:rPr>
          <w:rFonts w:cs="Arial"/>
          <w:sz w:val="22"/>
          <w:szCs w:val="22"/>
        </w:rPr>
      </w:pPr>
    </w:p>
    <w:p w14:paraId="2E619C0E" w14:textId="77777777" w:rsidR="000923BB" w:rsidRPr="004932C5" w:rsidRDefault="000923BB" w:rsidP="000923BB">
      <w:pPr>
        <w:jc w:val="center"/>
        <w:rPr>
          <w:rFonts w:cs="Arial"/>
          <w:b/>
          <w:sz w:val="28"/>
          <w:szCs w:val="28"/>
        </w:rPr>
      </w:pPr>
      <w:r>
        <w:rPr>
          <w:rFonts w:cs="Arial"/>
          <w:sz w:val="22"/>
        </w:rPr>
        <w:br w:type="page"/>
      </w:r>
      <w:r w:rsidRPr="004932C5">
        <w:rPr>
          <w:rFonts w:cs="Arial"/>
          <w:b/>
          <w:sz w:val="28"/>
          <w:szCs w:val="28"/>
        </w:rPr>
        <w:lastRenderedPageBreak/>
        <w:t>Appendix 12</w:t>
      </w:r>
    </w:p>
    <w:p w14:paraId="71AC90FC" w14:textId="77777777" w:rsidR="000923BB" w:rsidRPr="00F44C92" w:rsidRDefault="000923BB" w:rsidP="000923BB">
      <w:pPr>
        <w:jc w:val="center"/>
        <w:rPr>
          <w:rFonts w:cs="Arial"/>
          <w:b/>
          <w:sz w:val="28"/>
          <w:szCs w:val="28"/>
        </w:rPr>
      </w:pPr>
    </w:p>
    <w:p w14:paraId="044313D4" w14:textId="77777777" w:rsidR="000923BB" w:rsidRDefault="000923BB" w:rsidP="000923BB">
      <w:pPr>
        <w:jc w:val="both"/>
        <w:rPr>
          <w:rFonts w:cs="Arial"/>
          <w:b/>
          <w:bCs/>
          <w:sz w:val="22"/>
        </w:rPr>
      </w:pPr>
      <w:r>
        <w:rPr>
          <w:rFonts w:cs="Arial"/>
          <w:b/>
          <w:bCs/>
          <w:sz w:val="22"/>
        </w:rPr>
        <w:t>Heart Failure – correlations between mean criterion scores and outcome variables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9"/>
        <w:gridCol w:w="1257"/>
        <w:gridCol w:w="893"/>
        <w:gridCol w:w="1391"/>
      </w:tblGrid>
      <w:tr w:rsidR="000923BB" w:rsidRPr="00F955C6" w14:paraId="06DC80AA" w14:textId="77777777" w:rsidTr="000520F8">
        <w:tc>
          <w:tcPr>
            <w:tcW w:w="4718" w:type="dxa"/>
          </w:tcPr>
          <w:p w14:paraId="1C5C5E4C" w14:textId="77777777" w:rsidR="000923BB" w:rsidRPr="00F955C6" w:rsidRDefault="000923BB" w:rsidP="003A385F">
            <w:pPr>
              <w:rPr>
                <w:rFonts w:cs="Arial"/>
                <w:sz w:val="20"/>
                <w:szCs w:val="20"/>
              </w:rPr>
            </w:pPr>
            <w:r w:rsidRPr="00F955C6">
              <w:rPr>
                <w:rFonts w:cs="Arial"/>
                <w:sz w:val="20"/>
                <w:szCs w:val="20"/>
              </w:rPr>
              <w:t>Variable</w:t>
            </w:r>
          </w:p>
        </w:tc>
        <w:tc>
          <w:tcPr>
            <w:tcW w:w="1260" w:type="dxa"/>
          </w:tcPr>
          <w:p w14:paraId="1E9A3884" w14:textId="77777777" w:rsidR="000923BB" w:rsidRPr="00F955C6" w:rsidRDefault="000923BB" w:rsidP="003A385F">
            <w:pPr>
              <w:jc w:val="center"/>
              <w:rPr>
                <w:rFonts w:cs="Arial"/>
                <w:sz w:val="20"/>
                <w:szCs w:val="20"/>
              </w:rPr>
            </w:pPr>
            <w:r w:rsidRPr="00F955C6">
              <w:rPr>
                <w:rFonts w:cs="Arial"/>
                <w:sz w:val="20"/>
                <w:szCs w:val="20"/>
              </w:rPr>
              <w:t>Correlation coefficient</w:t>
            </w:r>
          </w:p>
        </w:tc>
        <w:tc>
          <w:tcPr>
            <w:tcW w:w="900" w:type="dxa"/>
          </w:tcPr>
          <w:p w14:paraId="1D76EE8E" w14:textId="77777777" w:rsidR="000923BB" w:rsidRPr="00F955C6" w:rsidRDefault="000923BB" w:rsidP="003A385F">
            <w:pPr>
              <w:jc w:val="center"/>
              <w:rPr>
                <w:rFonts w:cs="Arial"/>
                <w:sz w:val="20"/>
                <w:szCs w:val="20"/>
              </w:rPr>
            </w:pPr>
            <w:r w:rsidRPr="00F955C6">
              <w:rPr>
                <w:rFonts w:cs="Arial"/>
                <w:sz w:val="20"/>
                <w:szCs w:val="20"/>
              </w:rPr>
              <w:t>p-value</w:t>
            </w:r>
          </w:p>
        </w:tc>
        <w:tc>
          <w:tcPr>
            <w:tcW w:w="1394" w:type="dxa"/>
          </w:tcPr>
          <w:p w14:paraId="76AA85D0" w14:textId="77777777" w:rsidR="000923BB" w:rsidRPr="00F955C6" w:rsidRDefault="000923BB" w:rsidP="003A385F">
            <w:pPr>
              <w:jc w:val="center"/>
              <w:rPr>
                <w:rFonts w:cs="Arial"/>
                <w:sz w:val="20"/>
                <w:szCs w:val="20"/>
              </w:rPr>
            </w:pPr>
            <w:r w:rsidRPr="00F955C6">
              <w:rPr>
                <w:rFonts w:cs="Arial"/>
                <w:sz w:val="20"/>
                <w:szCs w:val="20"/>
              </w:rPr>
              <w:t>Relationship</w:t>
            </w:r>
          </w:p>
        </w:tc>
      </w:tr>
      <w:tr w:rsidR="000923BB" w:rsidRPr="00F955C6" w14:paraId="6FB9D4F6" w14:textId="77777777" w:rsidTr="000520F8">
        <w:tc>
          <w:tcPr>
            <w:tcW w:w="4718" w:type="dxa"/>
          </w:tcPr>
          <w:p w14:paraId="5440B639" w14:textId="77777777" w:rsidR="000923BB" w:rsidRPr="00F955C6" w:rsidRDefault="000923BB" w:rsidP="003A385F">
            <w:pPr>
              <w:rPr>
                <w:rFonts w:cs="Arial"/>
                <w:sz w:val="20"/>
                <w:szCs w:val="20"/>
              </w:rPr>
            </w:pPr>
            <w:r w:rsidRPr="00F955C6">
              <w:rPr>
                <w:rFonts w:cs="Arial"/>
                <w:sz w:val="20"/>
                <w:szCs w:val="20"/>
              </w:rPr>
              <w:t>Percentage of HF patients who die in hospital within 28 days</w:t>
            </w:r>
          </w:p>
        </w:tc>
        <w:tc>
          <w:tcPr>
            <w:tcW w:w="1260" w:type="dxa"/>
          </w:tcPr>
          <w:p w14:paraId="519B98F3" w14:textId="77777777" w:rsidR="000923BB" w:rsidRPr="00F955C6" w:rsidRDefault="000923BB" w:rsidP="003A385F">
            <w:pPr>
              <w:jc w:val="center"/>
              <w:rPr>
                <w:rFonts w:cs="Arial"/>
                <w:sz w:val="20"/>
                <w:szCs w:val="20"/>
              </w:rPr>
            </w:pPr>
            <w:r w:rsidRPr="00F955C6">
              <w:rPr>
                <w:rFonts w:cs="Arial"/>
                <w:sz w:val="20"/>
                <w:szCs w:val="20"/>
              </w:rPr>
              <w:t>-0.357</w:t>
            </w:r>
          </w:p>
        </w:tc>
        <w:tc>
          <w:tcPr>
            <w:tcW w:w="900" w:type="dxa"/>
          </w:tcPr>
          <w:p w14:paraId="59477FDD" w14:textId="77777777" w:rsidR="000923BB" w:rsidRPr="00F955C6" w:rsidRDefault="000923BB" w:rsidP="003A385F">
            <w:pPr>
              <w:jc w:val="center"/>
              <w:rPr>
                <w:rFonts w:cs="Arial"/>
                <w:sz w:val="20"/>
                <w:szCs w:val="20"/>
              </w:rPr>
            </w:pPr>
            <w:r w:rsidRPr="00F955C6">
              <w:rPr>
                <w:rFonts w:cs="Arial"/>
                <w:sz w:val="20"/>
                <w:szCs w:val="20"/>
              </w:rPr>
              <w:t>0.122</w:t>
            </w:r>
          </w:p>
        </w:tc>
        <w:tc>
          <w:tcPr>
            <w:tcW w:w="1394" w:type="dxa"/>
          </w:tcPr>
          <w:p w14:paraId="2701161B"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48C8C42B" w14:textId="77777777" w:rsidTr="000520F8">
        <w:tc>
          <w:tcPr>
            <w:tcW w:w="4718" w:type="dxa"/>
            <w:tcBorders>
              <w:bottom w:val="single" w:sz="4" w:space="0" w:color="auto"/>
            </w:tcBorders>
          </w:tcPr>
          <w:p w14:paraId="472BC253" w14:textId="77777777" w:rsidR="000923BB" w:rsidRPr="00F955C6" w:rsidRDefault="000923BB" w:rsidP="003A385F">
            <w:pPr>
              <w:rPr>
                <w:rFonts w:cs="Arial"/>
                <w:sz w:val="20"/>
                <w:szCs w:val="20"/>
              </w:rPr>
            </w:pPr>
            <w:r w:rsidRPr="00F955C6">
              <w:rPr>
                <w:rFonts w:cs="Arial"/>
                <w:sz w:val="20"/>
                <w:szCs w:val="20"/>
              </w:rPr>
              <w:t>HSMR from Dr. Foster (3 year mortality)</w:t>
            </w:r>
          </w:p>
        </w:tc>
        <w:tc>
          <w:tcPr>
            <w:tcW w:w="1260" w:type="dxa"/>
            <w:tcBorders>
              <w:bottom w:val="single" w:sz="4" w:space="0" w:color="auto"/>
            </w:tcBorders>
          </w:tcPr>
          <w:p w14:paraId="74CAC5C9" w14:textId="77777777" w:rsidR="000923BB" w:rsidRPr="00F955C6" w:rsidRDefault="000923BB" w:rsidP="003A385F">
            <w:pPr>
              <w:jc w:val="center"/>
              <w:rPr>
                <w:rFonts w:cs="Arial"/>
                <w:sz w:val="20"/>
                <w:szCs w:val="20"/>
              </w:rPr>
            </w:pPr>
            <w:r w:rsidRPr="00F955C6">
              <w:rPr>
                <w:rFonts w:cs="Arial"/>
                <w:sz w:val="20"/>
                <w:szCs w:val="20"/>
              </w:rPr>
              <w:t>0.014</w:t>
            </w:r>
          </w:p>
        </w:tc>
        <w:tc>
          <w:tcPr>
            <w:tcW w:w="900" w:type="dxa"/>
            <w:tcBorders>
              <w:bottom w:val="single" w:sz="4" w:space="0" w:color="auto"/>
            </w:tcBorders>
          </w:tcPr>
          <w:p w14:paraId="2212B5D8" w14:textId="77777777" w:rsidR="000923BB" w:rsidRPr="00F955C6" w:rsidRDefault="000923BB" w:rsidP="003A385F">
            <w:pPr>
              <w:jc w:val="center"/>
              <w:rPr>
                <w:rFonts w:cs="Arial"/>
                <w:sz w:val="20"/>
                <w:szCs w:val="20"/>
              </w:rPr>
            </w:pPr>
            <w:r w:rsidRPr="00F955C6">
              <w:rPr>
                <w:rFonts w:cs="Arial"/>
                <w:sz w:val="20"/>
                <w:szCs w:val="20"/>
              </w:rPr>
              <w:t>0.952</w:t>
            </w:r>
          </w:p>
        </w:tc>
        <w:tc>
          <w:tcPr>
            <w:tcW w:w="1394" w:type="dxa"/>
            <w:tcBorders>
              <w:bottom w:val="single" w:sz="4" w:space="0" w:color="auto"/>
            </w:tcBorders>
          </w:tcPr>
          <w:p w14:paraId="42D6E2D4"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1B1B62A0" w14:textId="77777777" w:rsidTr="000520F8">
        <w:tc>
          <w:tcPr>
            <w:tcW w:w="4718" w:type="dxa"/>
            <w:tcBorders>
              <w:bottom w:val="single" w:sz="4" w:space="0" w:color="auto"/>
            </w:tcBorders>
          </w:tcPr>
          <w:p w14:paraId="591A87B3" w14:textId="77777777" w:rsidR="000923BB" w:rsidRPr="00F955C6" w:rsidRDefault="000923BB" w:rsidP="003A385F">
            <w:pPr>
              <w:rPr>
                <w:rFonts w:cs="Arial"/>
                <w:sz w:val="20"/>
                <w:szCs w:val="20"/>
              </w:rPr>
            </w:pPr>
            <w:r w:rsidRPr="00F955C6">
              <w:rPr>
                <w:rFonts w:cs="Arial"/>
                <w:sz w:val="20"/>
                <w:szCs w:val="20"/>
              </w:rPr>
              <w:t>HSMR from Dr. Foster (1 year mortality)</w:t>
            </w:r>
          </w:p>
        </w:tc>
        <w:tc>
          <w:tcPr>
            <w:tcW w:w="1260" w:type="dxa"/>
            <w:tcBorders>
              <w:bottom w:val="single" w:sz="4" w:space="0" w:color="auto"/>
            </w:tcBorders>
          </w:tcPr>
          <w:p w14:paraId="69D4D550" w14:textId="77777777" w:rsidR="000923BB" w:rsidRPr="00F955C6" w:rsidRDefault="000923BB" w:rsidP="003A385F">
            <w:pPr>
              <w:jc w:val="center"/>
              <w:rPr>
                <w:rFonts w:cs="Arial"/>
                <w:sz w:val="20"/>
                <w:szCs w:val="20"/>
              </w:rPr>
            </w:pPr>
            <w:r w:rsidRPr="00F955C6">
              <w:rPr>
                <w:rFonts w:cs="Arial"/>
                <w:sz w:val="20"/>
                <w:szCs w:val="20"/>
              </w:rPr>
              <w:t>-0.218</w:t>
            </w:r>
          </w:p>
        </w:tc>
        <w:tc>
          <w:tcPr>
            <w:tcW w:w="900" w:type="dxa"/>
            <w:tcBorders>
              <w:bottom w:val="single" w:sz="4" w:space="0" w:color="auto"/>
            </w:tcBorders>
          </w:tcPr>
          <w:p w14:paraId="25083E7F" w14:textId="77777777" w:rsidR="000923BB" w:rsidRPr="00F955C6" w:rsidRDefault="000923BB" w:rsidP="003A385F">
            <w:pPr>
              <w:jc w:val="center"/>
              <w:rPr>
                <w:rFonts w:cs="Arial"/>
                <w:sz w:val="20"/>
                <w:szCs w:val="20"/>
              </w:rPr>
            </w:pPr>
            <w:r w:rsidRPr="00F955C6">
              <w:rPr>
                <w:rFonts w:cs="Arial"/>
                <w:sz w:val="20"/>
                <w:szCs w:val="20"/>
              </w:rPr>
              <w:t>0.357</w:t>
            </w:r>
          </w:p>
        </w:tc>
        <w:tc>
          <w:tcPr>
            <w:tcW w:w="1394" w:type="dxa"/>
            <w:tcBorders>
              <w:bottom w:val="single" w:sz="4" w:space="0" w:color="auto"/>
            </w:tcBorders>
          </w:tcPr>
          <w:p w14:paraId="48525F35"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2CC07D97" w14:textId="77777777" w:rsidTr="000520F8">
        <w:tc>
          <w:tcPr>
            <w:tcW w:w="4718" w:type="dxa"/>
            <w:shd w:val="clear" w:color="auto" w:fill="CCFFCC"/>
          </w:tcPr>
          <w:p w14:paraId="04A35CF6" w14:textId="77777777" w:rsidR="000923BB" w:rsidRPr="00F955C6" w:rsidRDefault="000923BB" w:rsidP="003A385F">
            <w:pPr>
              <w:rPr>
                <w:rFonts w:cs="Arial"/>
                <w:sz w:val="20"/>
                <w:szCs w:val="20"/>
              </w:rPr>
            </w:pPr>
            <w:r w:rsidRPr="00F955C6">
              <w:rPr>
                <w:rFonts w:cs="Arial"/>
                <w:sz w:val="20"/>
                <w:szCs w:val="20"/>
              </w:rPr>
              <w:t>Incidents to NPSA per 100 bed days</w:t>
            </w:r>
          </w:p>
        </w:tc>
        <w:tc>
          <w:tcPr>
            <w:tcW w:w="1260" w:type="dxa"/>
            <w:shd w:val="clear" w:color="auto" w:fill="CCFFCC"/>
          </w:tcPr>
          <w:p w14:paraId="0A31EBC3" w14:textId="77777777" w:rsidR="000923BB" w:rsidRPr="00F955C6" w:rsidRDefault="000923BB" w:rsidP="003A385F">
            <w:pPr>
              <w:jc w:val="center"/>
              <w:rPr>
                <w:rFonts w:cs="Arial"/>
                <w:sz w:val="20"/>
                <w:szCs w:val="20"/>
              </w:rPr>
            </w:pPr>
            <w:r w:rsidRPr="00F955C6">
              <w:rPr>
                <w:rFonts w:cs="Arial"/>
                <w:sz w:val="20"/>
                <w:szCs w:val="20"/>
              </w:rPr>
              <w:t>0.528</w:t>
            </w:r>
          </w:p>
        </w:tc>
        <w:tc>
          <w:tcPr>
            <w:tcW w:w="900" w:type="dxa"/>
            <w:shd w:val="clear" w:color="auto" w:fill="CCFFCC"/>
          </w:tcPr>
          <w:p w14:paraId="382E59A1" w14:textId="77777777" w:rsidR="000923BB" w:rsidRPr="00F955C6" w:rsidRDefault="000923BB" w:rsidP="003A385F">
            <w:pPr>
              <w:jc w:val="center"/>
              <w:rPr>
                <w:rFonts w:cs="Arial"/>
                <w:sz w:val="20"/>
                <w:szCs w:val="20"/>
              </w:rPr>
            </w:pPr>
            <w:r w:rsidRPr="00F955C6">
              <w:rPr>
                <w:rFonts w:cs="Arial"/>
                <w:sz w:val="20"/>
                <w:szCs w:val="20"/>
              </w:rPr>
              <w:t>0.017</w:t>
            </w:r>
          </w:p>
        </w:tc>
        <w:tc>
          <w:tcPr>
            <w:tcW w:w="1394" w:type="dxa"/>
            <w:shd w:val="clear" w:color="auto" w:fill="CCFFCC"/>
          </w:tcPr>
          <w:p w14:paraId="65313B65" w14:textId="77777777" w:rsidR="000923BB" w:rsidRPr="00F955C6" w:rsidRDefault="000923BB" w:rsidP="003A385F">
            <w:pPr>
              <w:jc w:val="center"/>
              <w:rPr>
                <w:rFonts w:cs="Arial"/>
                <w:sz w:val="20"/>
                <w:szCs w:val="20"/>
              </w:rPr>
            </w:pPr>
            <w:r w:rsidRPr="00F955C6">
              <w:rPr>
                <w:rFonts w:cs="Arial"/>
                <w:sz w:val="20"/>
                <w:szCs w:val="20"/>
              </w:rPr>
              <w:t>Moderate</w:t>
            </w:r>
          </w:p>
        </w:tc>
      </w:tr>
      <w:tr w:rsidR="000923BB" w:rsidRPr="00F955C6" w14:paraId="3DB93225" w14:textId="77777777" w:rsidTr="000520F8">
        <w:tc>
          <w:tcPr>
            <w:tcW w:w="4718" w:type="dxa"/>
          </w:tcPr>
          <w:p w14:paraId="6F9ED2E8" w14:textId="77777777" w:rsidR="000923BB" w:rsidRPr="00F955C6" w:rsidRDefault="000923BB" w:rsidP="003A385F">
            <w:pPr>
              <w:rPr>
                <w:rFonts w:cs="Arial"/>
                <w:sz w:val="20"/>
                <w:szCs w:val="20"/>
              </w:rPr>
            </w:pPr>
            <w:r w:rsidRPr="00F955C6">
              <w:rPr>
                <w:rFonts w:cs="Arial"/>
                <w:sz w:val="20"/>
                <w:szCs w:val="20"/>
              </w:rPr>
              <w:t>SMR for deaths in low mortality HRG’s</w:t>
            </w:r>
          </w:p>
        </w:tc>
        <w:tc>
          <w:tcPr>
            <w:tcW w:w="1260" w:type="dxa"/>
          </w:tcPr>
          <w:p w14:paraId="3B0E124E" w14:textId="77777777" w:rsidR="000923BB" w:rsidRPr="00F955C6" w:rsidRDefault="000923BB" w:rsidP="003A385F">
            <w:pPr>
              <w:jc w:val="center"/>
              <w:rPr>
                <w:rFonts w:cs="Arial"/>
                <w:sz w:val="20"/>
                <w:szCs w:val="20"/>
              </w:rPr>
            </w:pPr>
            <w:r w:rsidRPr="00F955C6">
              <w:rPr>
                <w:rFonts w:cs="Arial"/>
                <w:sz w:val="20"/>
                <w:szCs w:val="20"/>
              </w:rPr>
              <w:t>0.280</w:t>
            </w:r>
          </w:p>
        </w:tc>
        <w:tc>
          <w:tcPr>
            <w:tcW w:w="900" w:type="dxa"/>
          </w:tcPr>
          <w:p w14:paraId="25E11646" w14:textId="77777777" w:rsidR="000923BB" w:rsidRPr="00F955C6" w:rsidRDefault="000923BB" w:rsidP="003A385F">
            <w:pPr>
              <w:jc w:val="center"/>
              <w:rPr>
                <w:rFonts w:cs="Arial"/>
                <w:sz w:val="20"/>
                <w:szCs w:val="20"/>
              </w:rPr>
            </w:pPr>
            <w:r w:rsidRPr="00F955C6">
              <w:rPr>
                <w:rFonts w:cs="Arial"/>
                <w:sz w:val="20"/>
                <w:szCs w:val="20"/>
              </w:rPr>
              <w:t>0.232</w:t>
            </w:r>
          </w:p>
        </w:tc>
        <w:tc>
          <w:tcPr>
            <w:tcW w:w="1394" w:type="dxa"/>
          </w:tcPr>
          <w:p w14:paraId="47205066"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6BD7A1F1" w14:textId="77777777" w:rsidTr="000520F8">
        <w:tc>
          <w:tcPr>
            <w:tcW w:w="4718" w:type="dxa"/>
          </w:tcPr>
          <w:p w14:paraId="04C58E29" w14:textId="77777777" w:rsidR="000923BB" w:rsidRPr="00F955C6" w:rsidRDefault="000923BB" w:rsidP="003A385F">
            <w:pPr>
              <w:rPr>
                <w:rFonts w:cs="Arial"/>
                <w:sz w:val="20"/>
                <w:szCs w:val="20"/>
              </w:rPr>
            </w:pPr>
            <w:r w:rsidRPr="00F955C6">
              <w:rPr>
                <w:rFonts w:cs="Arial"/>
                <w:sz w:val="20"/>
                <w:szCs w:val="20"/>
              </w:rPr>
              <w:t>HF finished consultant episodes</w:t>
            </w:r>
          </w:p>
        </w:tc>
        <w:tc>
          <w:tcPr>
            <w:tcW w:w="1260" w:type="dxa"/>
          </w:tcPr>
          <w:p w14:paraId="29EB70C5" w14:textId="77777777" w:rsidR="000923BB" w:rsidRPr="00F955C6" w:rsidRDefault="000923BB" w:rsidP="003A385F">
            <w:pPr>
              <w:jc w:val="center"/>
              <w:rPr>
                <w:rFonts w:cs="Arial"/>
                <w:sz w:val="20"/>
                <w:szCs w:val="20"/>
              </w:rPr>
            </w:pPr>
            <w:r w:rsidRPr="00F955C6">
              <w:rPr>
                <w:rFonts w:cs="Arial"/>
                <w:sz w:val="20"/>
                <w:szCs w:val="20"/>
              </w:rPr>
              <w:t>-0.255</w:t>
            </w:r>
          </w:p>
        </w:tc>
        <w:tc>
          <w:tcPr>
            <w:tcW w:w="900" w:type="dxa"/>
          </w:tcPr>
          <w:p w14:paraId="4852000C" w14:textId="77777777" w:rsidR="000923BB" w:rsidRPr="00F955C6" w:rsidRDefault="000923BB" w:rsidP="003A385F">
            <w:pPr>
              <w:jc w:val="center"/>
              <w:rPr>
                <w:rFonts w:cs="Arial"/>
                <w:sz w:val="20"/>
                <w:szCs w:val="20"/>
              </w:rPr>
            </w:pPr>
            <w:r w:rsidRPr="00F955C6">
              <w:rPr>
                <w:rFonts w:cs="Arial"/>
                <w:sz w:val="20"/>
                <w:szCs w:val="20"/>
              </w:rPr>
              <w:t>0.291</w:t>
            </w:r>
          </w:p>
        </w:tc>
        <w:tc>
          <w:tcPr>
            <w:tcW w:w="1394" w:type="dxa"/>
          </w:tcPr>
          <w:p w14:paraId="0CD894F8"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5F2B5FFA" w14:textId="77777777" w:rsidTr="000520F8">
        <w:tc>
          <w:tcPr>
            <w:tcW w:w="4718" w:type="dxa"/>
          </w:tcPr>
          <w:p w14:paraId="4A6C8F10" w14:textId="77777777" w:rsidR="000923BB" w:rsidRPr="00F955C6" w:rsidRDefault="000923BB" w:rsidP="003A385F">
            <w:pPr>
              <w:rPr>
                <w:rFonts w:cs="Arial"/>
                <w:sz w:val="20"/>
                <w:szCs w:val="20"/>
              </w:rPr>
            </w:pPr>
            <w:r w:rsidRPr="00F955C6">
              <w:rPr>
                <w:rFonts w:cs="Arial"/>
                <w:sz w:val="20"/>
                <w:szCs w:val="20"/>
              </w:rPr>
              <w:t>HF bed days</w:t>
            </w:r>
          </w:p>
        </w:tc>
        <w:tc>
          <w:tcPr>
            <w:tcW w:w="1260" w:type="dxa"/>
          </w:tcPr>
          <w:p w14:paraId="41B94409" w14:textId="77777777" w:rsidR="000923BB" w:rsidRPr="00F955C6" w:rsidRDefault="000923BB" w:rsidP="003A385F">
            <w:pPr>
              <w:jc w:val="center"/>
              <w:rPr>
                <w:rFonts w:cs="Arial"/>
                <w:sz w:val="20"/>
                <w:szCs w:val="20"/>
              </w:rPr>
            </w:pPr>
            <w:r w:rsidRPr="00F955C6">
              <w:rPr>
                <w:rFonts w:cs="Arial"/>
                <w:sz w:val="20"/>
                <w:szCs w:val="20"/>
              </w:rPr>
              <w:t>-0.259</w:t>
            </w:r>
          </w:p>
        </w:tc>
        <w:tc>
          <w:tcPr>
            <w:tcW w:w="900" w:type="dxa"/>
          </w:tcPr>
          <w:p w14:paraId="7B73E455" w14:textId="77777777" w:rsidR="000923BB" w:rsidRPr="00F955C6" w:rsidRDefault="000923BB" w:rsidP="003A385F">
            <w:pPr>
              <w:jc w:val="center"/>
              <w:rPr>
                <w:rFonts w:cs="Arial"/>
                <w:sz w:val="20"/>
                <w:szCs w:val="20"/>
              </w:rPr>
            </w:pPr>
            <w:r w:rsidRPr="00F955C6">
              <w:rPr>
                <w:rFonts w:cs="Arial"/>
                <w:sz w:val="20"/>
                <w:szCs w:val="20"/>
              </w:rPr>
              <w:t>0.284</w:t>
            </w:r>
          </w:p>
        </w:tc>
        <w:tc>
          <w:tcPr>
            <w:tcW w:w="1394" w:type="dxa"/>
          </w:tcPr>
          <w:p w14:paraId="280B93A1"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37E60B75" w14:textId="77777777" w:rsidTr="000520F8">
        <w:tc>
          <w:tcPr>
            <w:tcW w:w="4718" w:type="dxa"/>
          </w:tcPr>
          <w:p w14:paraId="1E0DE785" w14:textId="77777777" w:rsidR="000923BB" w:rsidRPr="00F955C6" w:rsidRDefault="000923BB" w:rsidP="003A385F">
            <w:pPr>
              <w:rPr>
                <w:rFonts w:cs="Arial"/>
                <w:sz w:val="20"/>
                <w:szCs w:val="20"/>
              </w:rPr>
            </w:pPr>
            <w:r w:rsidRPr="00F955C6">
              <w:rPr>
                <w:rFonts w:cs="Arial"/>
                <w:sz w:val="20"/>
                <w:szCs w:val="20"/>
              </w:rPr>
              <w:t>HF mean length of stay</w:t>
            </w:r>
          </w:p>
        </w:tc>
        <w:tc>
          <w:tcPr>
            <w:tcW w:w="1260" w:type="dxa"/>
          </w:tcPr>
          <w:p w14:paraId="167789CC" w14:textId="77777777" w:rsidR="000923BB" w:rsidRPr="00F955C6" w:rsidRDefault="000923BB" w:rsidP="003A385F">
            <w:pPr>
              <w:jc w:val="center"/>
              <w:rPr>
                <w:rFonts w:cs="Arial"/>
                <w:sz w:val="20"/>
                <w:szCs w:val="20"/>
              </w:rPr>
            </w:pPr>
            <w:r w:rsidRPr="00F955C6">
              <w:rPr>
                <w:rFonts w:cs="Arial"/>
                <w:sz w:val="20"/>
                <w:szCs w:val="20"/>
              </w:rPr>
              <w:t>0.017</w:t>
            </w:r>
          </w:p>
        </w:tc>
        <w:tc>
          <w:tcPr>
            <w:tcW w:w="900" w:type="dxa"/>
          </w:tcPr>
          <w:p w14:paraId="02EE1E98" w14:textId="77777777" w:rsidR="000923BB" w:rsidRPr="00F955C6" w:rsidRDefault="000923BB" w:rsidP="003A385F">
            <w:pPr>
              <w:jc w:val="center"/>
              <w:rPr>
                <w:rFonts w:cs="Arial"/>
                <w:sz w:val="20"/>
                <w:szCs w:val="20"/>
              </w:rPr>
            </w:pPr>
            <w:r w:rsidRPr="00F955C6">
              <w:rPr>
                <w:rFonts w:cs="Arial"/>
                <w:sz w:val="20"/>
                <w:szCs w:val="20"/>
              </w:rPr>
              <w:t>0.944</w:t>
            </w:r>
          </w:p>
        </w:tc>
        <w:tc>
          <w:tcPr>
            <w:tcW w:w="1394" w:type="dxa"/>
          </w:tcPr>
          <w:p w14:paraId="04186BA3"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47E63D77" w14:textId="77777777" w:rsidTr="000520F8">
        <w:tc>
          <w:tcPr>
            <w:tcW w:w="4718" w:type="dxa"/>
          </w:tcPr>
          <w:p w14:paraId="0F525DAA" w14:textId="77777777" w:rsidR="000923BB" w:rsidRPr="00F955C6" w:rsidRDefault="000923BB" w:rsidP="003A385F">
            <w:pPr>
              <w:rPr>
                <w:rFonts w:cs="Arial"/>
                <w:sz w:val="20"/>
                <w:szCs w:val="20"/>
              </w:rPr>
            </w:pPr>
            <w:r w:rsidRPr="00F955C6">
              <w:rPr>
                <w:rFonts w:cs="Arial"/>
                <w:sz w:val="20"/>
                <w:szCs w:val="20"/>
              </w:rPr>
              <w:t>HF mean age</w:t>
            </w:r>
          </w:p>
        </w:tc>
        <w:tc>
          <w:tcPr>
            <w:tcW w:w="1260" w:type="dxa"/>
          </w:tcPr>
          <w:p w14:paraId="65E008F7" w14:textId="77777777" w:rsidR="000923BB" w:rsidRPr="00F955C6" w:rsidRDefault="000923BB" w:rsidP="003A385F">
            <w:pPr>
              <w:jc w:val="center"/>
              <w:rPr>
                <w:rFonts w:cs="Arial"/>
                <w:sz w:val="20"/>
                <w:szCs w:val="20"/>
              </w:rPr>
            </w:pPr>
            <w:r w:rsidRPr="00F955C6">
              <w:rPr>
                <w:rFonts w:cs="Arial"/>
                <w:sz w:val="20"/>
                <w:szCs w:val="20"/>
              </w:rPr>
              <w:t>-0.325</w:t>
            </w:r>
          </w:p>
        </w:tc>
        <w:tc>
          <w:tcPr>
            <w:tcW w:w="900" w:type="dxa"/>
          </w:tcPr>
          <w:p w14:paraId="5EC4CD23" w14:textId="77777777" w:rsidR="000923BB" w:rsidRPr="00F955C6" w:rsidRDefault="000923BB" w:rsidP="003A385F">
            <w:pPr>
              <w:jc w:val="center"/>
              <w:rPr>
                <w:rFonts w:cs="Arial"/>
                <w:sz w:val="20"/>
                <w:szCs w:val="20"/>
              </w:rPr>
            </w:pPr>
            <w:r w:rsidRPr="00F955C6">
              <w:rPr>
                <w:rFonts w:cs="Arial"/>
                <w:sz w:val="20"/>
                <w:szCs w:val="20"/>
              </w:rPr>
              <w:t>0.172</w:t>
            </w:r>
          </w:p>
        </w:tc>
        <w:tc>
          <w:tcPr>
            <w:tcW w:w="1394" w:type="dxa"/>
          </w:tcPr>
          <w:p w14:paraId="3EFE96A6"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213E897D" w14:textId="77777777" w:rsidTr="000520F8">
        <w:tc>
          <w:tcPr>
            <w:tcW w:w="4718" w:type="dxa"/>
          </w:tcPr>
          <w:p w14:paraId="66D0CBEE" w14:textId="77777777" w:rsidR="000923BB" w:rsidRPr="00F955C6" w:rsidRDefault="000923BB" w:rsidP="003A385F">
            <w:pPr>
              <w:rPr>
                <w:rFonts w:cs="Arial"/>
                <w:sz w:val="20"/>
                <w:szCs w:val="20"/>
              </w:rPr>
            </w:pPr>
            <w:r w:rsidRPr="00F955C6">
              <w:rPr>
                <w:rFonts w:cs="Arial"/>
                <w:sz w:val="20"/>
                <w:szCs w:val="20"/>
              </w:rPr>
              <w:t>Star rating (0 worst to 3 best)</w:t>
            </w:r>
          </w:p>
        </w:tc>
        <w:tc>
          <w:tcPr>
            <w:tcW w:w="1260" w:type="dxa"/>
          </w:tcPr>
          <w:p w14:paraId="732C5129" w14:textId="77777777" w:rsidR="000923BB" w:rsidRPr="00F955C6" w:rsidRDefault="000923BB" w:rsidP="003A385F">
            <w:pPr>
              <w:jc w:val="center"/>
              <w:rPr>
                <w:rFonts w:cs="Arial"/>
                <w:sz w:val="20"/>
                <w:szCs w:val="20"/>
              </w:rPr>
            </w:pPr>
            <w:r w:rsidRPr="00F955C6">
              <w:rPr>
                <w:rFonts w:cs="Arial"/>
                <w:sz w:val="20"/>
                <w:szCs w:val="20"/>
              </w:rPr>
              <w:t>-0.254*</w:t>
            </w:r>
          </w:p>
        </w:tc>
        <w:tc>
          <w:tcPr>
            <w:tcW w:w="900" w:type="dxa"/>
          </w:tcPr>
          <w:p w14:paraId="06327AB9" w14:textId="77777777" w:rsidR="000923BB" w:rsidRPr="00F955C6" w:rsidRDefault="000923BB" w:rsidP="003A385F">
            <w:pPr>
              <w:jc w:val="center"/>
              <w:rPr>
                <w:rFonts w:cs="Arial"/>
                <w:sz w:val="20"/>
                <w:szCs w:val="20"/>
              </w:rPr>
            </w:pPr>
            <w:r w:rsidRPr="00F955C6">
              <w:rPr>
                <w:rFonts w:cs="Arial"/>
                <w:sz w:val="20"/>
                <w:szCs w:val="20"/>
              </w:rPr>
              <w:t>0.174</w:t>
            </w:r>
          </w:p>
        </w:tc>
        <w:tc>
          <w:tcPr>
            <w:tcW w:w="1394" w:type="dxa"/>
          </w:tcPr>
          <w:p w14:paraId="599AC32D"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04A5E09B" w14:textId="77777777" w:rsidTr="000520F8">
        <w:tc>
          <w:tcPr>
            <w:tcW w:w="4718" w:type="dxa"/>
          </w:tcPr>
          <w:p w14:paraId="772D48B7" w14:textId="77777777" w:rsidR="000923BB" w:rsidRPr="00F955C6" w:rsidRDefault="000923BB" w:rsidP="003A385F">
            <w:pPr>
              <w:rPr>
                <w:rFonts w:cs="Arial"/>
                <w:sz w:val="20"/>
                <w:szCs w:val="20"/>
              </w:rPr>
            </w:pPr>
            <w:r w:rsidRPr="00F955C6">
              <w:rPr>
                <w:rFonts w:cs="Arial"/>
                <w:sz w:val="20"/>
                <w:szCs w:val="20"/>
              </w:rPr>
              <w:t>Use of resources HCC</w:t>
            </w:r>
          </w:p>
        </w:tc>
        <w:tc>
          <w:tcPr>
            <w:tcW w:w="1260" w:type="dxa"/>
          </w:tcPr>
          <w:p w14:paraId="1F4B7930" w14:textId="77777777" w:rsidR="000923BB" w:rsidRPr="00F955C6" w:rsidRDefault="000923BB" w:rsidP="003A385F">
            <w:pPr>
              <w:jc w:val="center"/>
              <w:rPr>
                <w:rFonts w:cs="Arial"/>
                <w:sz w:val="20"/>
                <w:szCs w:val="20"/>
              </w:rPr>
            </w:pPr>
            <w:r w:rsidRPr="00F955C6">
              <w:rPr>
                <w:rFonts w:cs="Arial"/>
                <w:sz w:val="20"/>
                <w:szCs w:val="20"/>
              </w:rPr>
              <w:t>0.029*</w:t>
            </w:r>
          </w:p>
        </w:tc>
        <w:tc>
          <w:tcPr>
            <w:tcW w:w="900" w:type="dxa"/>
          </w:tcPr>
          <w:p w14:paraId="2D74DEB6" w14:textId="77777777" w:rsidR="000923BB" w:rsidRPr="00F955C6" w:rsidRDefault="000923BB" w:rsidP="003A385F">
            <w:pPr>
              <w:jc w:val="center"/>
              <w:rPr>
                <w:rFonts w:cs="Arial"/>
                <w:sz w:val="20"/>
                <w:szCs w:val="20"/>
              </w:rPr>
            </w:pPr>
            <w:r w:rsidRPr="00F955C6">
              <w:rPr>
                <w:rFonts w:cs="Arial"/>
                <w:sz w:val="20"/>
                <w:szCs w:val="20"/>
              </w:rPr>
              <w:t>0.279</w:t>
            </w:r>
          </w:p>
        </w:tc>
        <w:tc>
          <w:tcPr>
            <w:tcW w:w="1394" w:type="dxa"/>
          </w:tcPr>
          <w:p w14:paraId="7790AF66"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5D51560C" w14:textId="77777777" w:rsidTr="000520F8">
        <w:tc>
          <w:tcPr>
            <w:tcW w:w="4718" w:type="dxa"/>
          </w:tcPr>
          <w:p w14:paraId="6AA65A38" w14:textId="77777777" w:rsidR="000923BB" w:rsidRPr="00F955C6" w:rsidRDefault="000923BB" w:rsidP="003A385F">
            <w:pPr>
              <w:rPr>
                <w:rFonts w:cs="Arial"/>
                <w:sz w:val="20"/>
                <w:szCs w:val="20"/>
              </w:rPr>
            </w:pPr>
            <w:r w:rsidRPr="00F955C6">
              <w:rPr>
                <w:rFonts w:cs="Arial"/>
                <w:sz w:val="20"/>
                <w:szCs w:val="20"/>
              </w:rPr>
              <w:t>Patient’s experience</w:t>
            </w:r>
          </w:p>
        </w:tc>
        <w:tc>
          <w:tcPr>
            <w:tcW w:w="1260" w:type="dxa"/>
          </w:tcPr>
          <w:p w14:paraId="0AE0143A" w14:textId="77777777" w:rsidR="000923BB" w:rsidRPr="00F955C6" w:rsidRDefault="000923BB" w:rsidP="003A385F">
            <w:pPr>
              <w:jc w:val="center"/>
              <w:rPr>
                <w:rFonts w:cs="Arial"/>
                <w:sz w:val="20"/>
                <w:szCs w:val="20"/>
              </w:rPr>
            </w:pPr>
            <w:r w:rsidRPr="00F955C6">
              <w:rPr>
                <w:rFonts w:cs="Arial"/>
                <w:sz w:val="20"/>
                <w:szCs w:val="20"/>
              </w:rPr>
              <w:t>-0.377</w:t>
            </w:r>
          </w:p>
        </w:tc>
        <w:tc>
          <w:tcPr>
            <w:tcW w:w="900" w:type="dxa"/>
          </w:tcPr>
          <w:p w14:paraId="5174AE8A" w14:textId="77777777" w:rsidR="000923BB" w:rsidRPr="00F955C6" w:rsidRDefault="000923BB" w:rsidP="003A385F">
            <w:pPr>
              <w:jc w:val="center"/>
              <w:rPr>
                <w:rFonts w:cs="Arial"/>
                <w:sz w:val="20"/>
                <w:szCs w:val="20"/>
              </w:rPr>
            </w:pPr>
            <w:r w:rsidRPr="00F955C6">
              <w:rPr>
                <w:rFonts w:cs="Arial"/>
                <w:sz w:val="20"/>
                <w:szCs w:val="20"/>
              </w:rPr>
              <w:t>0.903</w:t>
            </w:r>
          </w:p>
        </w:tc>
        <w:tc>
          <w:tcPr>
            <w:tcW w:w="1394" w:type="dxa"/>
          </w:tcPr>
          <w:p w14:paraId="0458CA30"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2F6B3EBD" w14:textId="77777777" w:rsidTr="000520F8">
        <w:tc>
          <w:tcPr>
            <w:tcW w:w="4718" w:type="dxa"/>
          </w:tcPr>
          <w:p w14:paraId="145EF68F" w14:textId="77777777" w:rsidR="000923BB" w:rsidRPr="00F955C6" w:rsidRDefault="000923BB" w:rsidP="003A385F">
            <w:pPr>
              <w:rPr>
                <w:rFonts w:cs="Arial"/>
                <w:sz w:val="20"/>
                <w:szCs w:val="20"/>
              </w:rPr>
            </w:pPr>
            <w:r w:rsidRPr="00F955C6">
              <w:rPr>
                <w:rFonts w:cs="Arial"/>
                <w:sz w:val="20"/>
                <w:szCs w:val="20"/>
              </w:rPr>
              <w:t>Quality of services</w:t>
            </w:r>
          </w:p>
        </w:tc>
        <w:tc>
          <w:tcPr>
            <w:tcW w:w="1260" w:type="dxa"/>
          </w:tcPr>
          <w:p w14:paraId="1A258A84" w14:textId="77777777" w:rsidR="000923BB" w:rsidRPr="00F955C6" w:rsidRDefault="000923BB" w:rsidP="003A385F">
            <w:pPr>
              <w:jc w:val="center"/>
              <w:rPr>
                <w:rFonts w:cs="Arial"/>
                <w:sz w:val="20"/>
                <w:szCs w:val="20"/>
              </w:rPr>
            </w:pPr>
            <w:r w:rsidRPr="00F955C6">
              <w:rPr>
                <w:rFonts w:cs="Arial"/>
                <w:sz w:val="20"/>
                <w:szCs w:val="20"/>
              </w:rPr>
              <w:t>-0.033*</w:t>
            </w:r>
          </w:p>
        </w:tc>
        <w:tc>
          <w:tcPr>
            <w:tcW w:w="900" w:type="dxa"/>
          </w:tcPr>
          <w:p w14:paraId="2D3FB721" w14:textId="77777777" w:rsidR="000923BB" w:rsidRPr="00F955C6" w:rsidRDefault="000923BB" w:rsidP="003A385F">
            <w:pPr>
              <w:jc w:val="center"/>
              <w:rPr>
                <w:rFonts w:cs="Arial"/>
                <w:sz w:val="20"/>
                <w:szCs w:val="20"/>
              </w:rPr>
            </w:pPr>
            <w:r w:rsidRPr="00F955C6">
              <w:rPr>
                <w:rFonts w:cs="Arial"/>
                <w:sz w:val="20"/>
                <w:szCs w:val="20"/>
              </w:rPr>
              <w:t>0.891</w:t>
            </w:r>
          </w:p>
        </w:tc>
        <w:tc>
          <w:tcPr>
            <w:tcW w:w="1394" w:type="dxa"/>
          </w:tcPr>
          <w:p w14:paraId="00614A47"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11F9E0FD" w14:textId="77777777" w:rsidTr="000520F8">
        <w:tc>
          <w:tcPr>
            <w:tcW w:w="4718" w:type="dxa"/>
          </w:tcPr>
          <w:p w14:paraId="4052B44D" w14:textId="77777777" w:rsidR="000923BB" w:rsidRPr="00F955C6" w:rsidRDefault="000923BB" w:rsidP="003A385F">
            <w:pPr>
              <w:rPr>
                <w:rFonts w:cs="Arial"/>
                <w:sz w:val="20"/>
                <w:szCs w:val="20"/>
              </w:rPr>
            </w:pPr>
            <w:r w:rsidRPr="00F955C6">
              <w:rPr>
                <w:rFonts w:cs="Arial"/>
                <w:sz w:val="20"/>
                <w:szCs w:val="20"/>
              </w:rPr>
              <w:t>Percentage of patient’s with acute MI receiving thrombolysis</w:t>
            </w:r>
          </w:p>
        </w:tc>
        <w:tc>
          <w:tcPr>
            <w:tcW w:w="1260" w:type="dxa"/>
          </w:tcPr>
          <w:p w14:paraId="3FDBB574" w14:textId="77777777" w:rsidR="000923BB" w:rsidRPr="00F955C6" w:rsidRDefault="000923BB" w:rsidP="003A385F">
            <w:pPr>
              <w:jc w:val="center"/>
              <w:rPr>
                <w:rFonts w:cs="Arial"/>
                <w:sz w:val="20"/>
                <w:szCs w:val="20"/>
              </w:rPr>
            </w:pPr>
            <w:r w:rsidRPr="00F955C6">
              <w:rPr>
                <w:rFonts w:cs="Arial"/>
                <w:sz w:val="20"/>
                <w:szCs w:val="20"/>
              </w:rPr>
              <w:t>-0.102</w:t>
            </w:r>
          </w:p>
        </w:tc>
        <w:tc>
          <w:tcPr>
            <w:tcW w:w="900" w:type="dxa"/>
          </w:tcPr>
          <w:p w14:paraId="6ACD07EB" w14:textId="77777777" w:rsidR="000923BB" w:rsidRPr="00F955C6" w:rsidRDefault="000923BB" w:rsidP="003A385F">
            <w:pPr>
              <w:jc w:val="center"/>
              <w:rPr>
                <w:rFonts w:cs="Arial"/>
                <w:sz w:val="20"/>
                <w:szCs w:val="20"/>
              </w:rPr>
            </w:pPr>
            <w:r w:rsidRPr="00F955C6">
              <w:rPr>
                <w:rFonts w:cs="Arial"/>
                <w:sz w:val="20"/>
                <w:szCs w:val="20"/>
              </w:rPr>
              <w:t>0.679</w:t>
            </w:r>
          </w:p>
        </w:tc>
        <w:tc>
          <w:tcPr>
            <w:tcW w:w="1394" w:type="dxa"/>
          </w:tcPr>
          <w:p w14:paraId="56B5A7F9"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5E4301C4" w14:textId="77777777" w:rsidTr="000520F8">
        <w:tc>
          <w:tcPr>
            <w:tcW w:w="4718" w:type="dxa"/>
          </w:tcPr>
          <w:p w14:paraId="3A39021B" w14:textId="77777777" w:rsidR="000923BB" w:rsidRPr="00F955C6" w:rsidRDefault="000923BB" w:rsidP="003A385F">
            <w:pPr>
              <w:rPr>
                <w:rFonts w:cs="Arial"/>
                <w:sz w:val="20"/>
                <w:szCs w:val="20"/>
              </w:rPr>
            </w:pPr>
            <w:r w:rsidRPr="00F955C6">
              <w:rPr>
                <w:rFonts w:cs="Arial"/>
                <w:sz w:val="20"/>
                <w:szCs w:val="20"/>
              </w:rPr>
              <w:t>Existing national targets</w:t>
            </w:r>
          </w:p>
        </w:tc>
        <w:tc>
          <w:tcPr>
            <w:tcW w:w="1260" w:type="dxa"/>
          </w:tcPr>
          <w:p w14:paraId="3812A87D" w14:textId="77777777" w:rsidR="000923BB" w:rsidRPr="00F955C6" w:rsidRDefault="000923BB" w:rsidP="003A385F">
            <w:pPr>
              <w:jc w:val="center"/>
              <w:rPr>
                <w:rFonts w:cs="Arial"/>
                <w:sz w:val="20"/>
                <w:szCs w:val="20"/>
              </w:rPr>
            </w:pPr>
            <w:r w:rsidRPr="00F955C6">
              <w:rPr>
                <w:rFonts w:cs="Arial"/>
                <w:sz w:val="20"/>
                <w:szCs w:val="20"/>
              </w:rPr>
              <w:t>-0.147*</w:t>
            </w:r>
          </w:p>
        </w:tc>
        <w:tc>
          <w:tcPr>
            <w:tcW w:w="900" w:type="dxa"/>
          </w:tcPr>
          <w:p w14:paraId="3ED6A5B7" w14:textId="77777777" w:rsidR="000923BB" w:rsidRPr="00F955C6" w:rsidRDefault="000923BB" w:rsidP="003A385F">
            <w:pPr>
              <w:jc w:val="center"/>
              <w:rPr>
                <w:rFonts w:cs="Arial"/>
                <w:sz w:val="20"/>
                <w:szCs w:val="20"/>
              </w:rPr>
            </w:pPr>
            <w:r w:rsidRPr="00F955C6">
              <w:rPr>
                <w:rFonts w:cs="Arial"/>
                <w:sz w:val="20"/>
                <w:szCs w:val="20"/>
              </w:rPr>
              <w:t>0.535</w:t>
            </w:r>
          </w:p>
        </w:tc>
        <w:tc>
          <w:tcPr>
            <w:tcW w:w="1394" w:type="dxa"/>
          </w:tcPr>
          <w:p w14:paraId="4BA0434F"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3E0007D6" w14:textId="77777777" w:rsidTr="000520F8">
        <w:tc>
          <w:tcPr>
            <w:tcW w:w="4718" w:type="dxa"/>
          </w:tcPr>
          <w:p w14:paraId="4BA7B4C3" w14:textId="77777777" w:rsidR="000923BB" w:rsidRPr="00F955C6" w:rsidRDefault="000923BB" w:rsidP="003A385F">
            <w:pPr>
              <w:rPr>
                <w:rFonts w:cs="Arial"/>
                <w:sz w:val="20"/>
                <w:szCs w:val="20"/>
              </w:rPr>
            </w:pPr>
            <w:r w:rsidRPr="00F955C6">
              <w:rPr>
                <w:rFonts w:cs="Arial"/>
                <w:sz w:val="20"/>
                <w:szCs w:val="20"/>
              </w:rPr>
              <w:t>New national targets</w:t>
            </w:r>
          </w:p>
        </w:tc>
        <w:tc>
          <w:tcPr>
            <w:tcW w:w="1260" w:type="dxa"/>
          </w:tcPr>
          <w:p w14:paraId="7BCE80A4" w14:textId="77777777" w:rsidR="000923BB" w:rsidRPr="00F955C6" w:rsidRDefault="000923BB" w:rsidP="003A385F">
            <w:pPr>
              <w:jc w:val="center"/>
              <w:rPr>
                <w:rFonts w:cs="Arial"/>
                <w:sz w:val="20"/>
                <w:szCs w:val="20"/>
              </w:rPr>
            </w:pPr>
            <w:r w:rsidRPr="00F955C6">
              <w:rPr>
                <w:rFonts w:cs="Arial"/>
                <w:sz w:val="20"/>
                <w:szCs w:val="20"/>
              </w:rPr>
              <w:t>0.155*</w:t>
            </w:r>
          </w:p>
        </w:tc>
        <w:tc>
          <w:tcPr>
            <w:tcW w:w="900" w:type="dxa"/>
          </w:tcPr>
          <w:p w14:paraId="3C2A11AF" w14:textId="77777777" w:rsidR="000923BB" w:rsidRPr="00F955C6" w:rsidRDefault="000923BB" w:rsidP="003A385F">
            <w:pPr>
              <w:jc w:val="center"/>
              <w:rPr>
                <w:rFonts w:cs="Arial"/>
                <w:sz w:val="20"/>
                <w:szCs w:val="20"/>
              </w:rPr>
            </w:pPr>
            <w:r w:rsidRPr="00F955C6">
              <w:rPr>
                <w:rFonts w:cs="Arial"/>
                <w:sz w:val="20"/>
                <w:szCs w:val="20"/>
              </w:rPr>
              <w:t>0.515</w:t>
            </w:r>
          </w:p>
        </w:tc>
        <w:tc>
          <w:tcPr>
            <w:tcW w:w="1394" w:type="dxa"/>
          </w:tcPr>
          <w:p w14:paraId="34F53506"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76DC5B1E" w14:textId="77777777" w:rsidTr="000520F8">
        <w:tc>
          <w:tcPr>
            <w:tcW w:w="4718" w:type="dxa"/>
          </w:tcPr>
          <w:p w14:paraId="223982B9" w14:textId="77777777" w:rsidR="000923BB" w:rsidRPr="00F955C6" w:rsidRDefault="000923BB" w:rsidP="003A385F">
            <w:pPr>
              <w:rPr>
                <w:rFonts w:cs="Arial"/>
                <w:sz w:val="20"/>
                <w:szCs w:val="20"/>
              </w:rPr>
            </w:pPr>
            <w:r w:rsidRPr="00F955C6">
              <w:rPr>
                <w:rFonts w:cs="Arial"/>
                <w:sz w:val="20"/>
                <w:szCs w:val="20"/>
              </w:rPr>
              <w:t>NHS staff survey Q25a: Seen errors in the past month (% yes)</w:t>
            </w:r>
          </w:p>
        </w:tc>
        <w:tc>
          <w:tcPr>
            <w:tcW w:w="1260" w:type="dxa"/>
          </w:tcPr>
          <w:p w14:paraId="1358AEDA" w14:textId="77777777" w:rsidR="000923BB" w:rsidRPr="00F955C6" w:rsidRDefault="000923BB" w:rsidP="003A385F">
            <w:pPr>
              <w:jc w:val="center"/>
              <w:rPr>
                <w:rFonts w:cs="Arial"/>
                <w:sz w:val="20"/>
                <w:szCs w:val="20"/>
              </w:rPr>
            </w:pPr>
            <w:r w:rsidRPr="00F955C6">
              <w:rPr>
                <w:rFonts w:cs="Arial"/>
                <w:sz w:val="20"/>
                <w:szCs w:val="20"/>
              </w:rPr>
              <w:t>0.192</w:t>
            </w:r>
          </w:p>
        </w:tc>
        <w:tc>
          <w:tcPr>
            <w:tcW w:w="900" w:type="dxa"/>
          </w:tcPr>
          <w:p w14:paraId="4C38AB26" w14:textId="77777777" w:rsidR="000923BB" w:rsidRPr="00F955C6" w:rsidRDefault="000923BB" w:rsidP="003A385F">
            <w:pPr>
              <w:jc w:val="center"/>
              <w:rPr>
                <w:rFonts w:cs="Arial"/>
                <w:sz w:val="20"/>
                <w:szCs w:val="20"/>
              </w:rPr>
            </w:pPr>
            <w:r w:rsidRPr="00F955C6">
              <w:rPr>
                <w:rFonts w:cs="Arial"/>
                <w:sz w:val="20"/>
                <w:szCs w:val="20"/>
              </w:rPr>
              <w:t>0.416</w:t>
            </w:r>
          </w:p>
        </w:tc>
        <w:tc>
          <w:tcPr>
            <w:tcW w:w="1394" w:type="dxa"/>
          </w:tcPr>
          <w:p w14:paraId="350AB55C"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571D6235" w14:textId="77777777" w:rsidTr="000520F8">
        <w:tc>
          <w:tcPr>
            <w:tcW w:w="4718" w:type="dxa"/>
          </w:tcPr>
          <w:p w14:paraId="7EA07FC9" w14:textId="77777777" w:rsidR="000923BB" w:rsidRPr="00F955C6" w:rsidRDefault="000923BB" w:rsidP="003A385F">
            <w:pPr>
              <w:rPr>
                <w:rFonts w:cs="Arial"/>
                <w:sz w:val="20"/>
                <w:szCs w:val="20"/>
              </w:rPr>
            </w:pPr>
            <w:r w:rsidRPr="00F955C6">
              <w:rPr>
                <w:rFonts w:cs="Arial"/>
                <w:sz w:val="20"/>
                <w:szCs w:val="20"/>
              </w:rPr>
              <w:t>NHS staff survey Q27b: Encouraged to report errors (mean)</w:t>
            </w:r>
          </w:p>
        </w:tc>
        <w:tc>
          <w:tcPr>
            <w:tcW w:w="1260" w:type="dxa"/>
          </w:tcPr>
          <w:p w14:paraId="6E5345D1" w14:textId="77777777" w:rsidR="000923BB" w:rsidRPr="00F955C6" w:rsidRDefault="000923BB" w:rsidP="003A385F">
            <w:pPr>
              <w:jc w:val="center"/>
              <w:rPr>
                <w:rFonts w:cs="Arial"/>
                <w:sz w:val="20"/>
                <w:szCs w:val="20"/>
              </w:rPr>
            </w:pPr>
            <w:r w:rsidRPr="00F955C6">
              <w:rPr>
                <w:rFonts w:cs="Arial"/>
                <w:sz w:val="20"/>
                <w:szCs w:val="20"/>
              </w:rPr>
              <w:t>0.137</w:t>
            </w:r>
          </w:p>
        </w:tc>
        <w:tc>
          <w:tcPr>
            <w:tcW w:w="900" w:type="dxa"/>
          </w:tcPr>
          <w:p w14:paraId="0BAA5040" w14:textId="77777777" w:rsidR="000923BB" w:rsidRPr="00F955C6" w:rsidRDefault="000923BB" w:rsidP="003A385F">
            <w:pPr>
              <w:jc w:val="center"/>
              <w:rPr>
                <w:rFonts w:cs="Arial"/>
                <w:sz w:val="20"/>
                <w:szCs w:val="20"/>
              </w:rPr>
            </w:pPr>
            <w:r w:rsidRPr="00F955C6">
              <w:rPr>
                <w:rFonts w:cs="Arial"/>
                <w:sz w:val="20"/>
                <w:szCs w:val="20"/>
              </w:rPr>
              <w:t>0.564</w:t>
            </w:r>
          </w:p>
        </w:tc>
        <w:tc>
          <w:tcPr>
            <w:tcW w:w="1394" w:type="dxa"/>
          </w:tcPr>
          <w:p w14:paraId="1FD55B54"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54A805A5" w14:textId="77777777" w:rsidTr="000520F8">
        <w:tc>
          <w:tcPr>
            <w:tcW w:w="4718" w:type="dxa"/>
          </w:tcPr>
          <w:p w14:paraId="1D4D6A0A" w14:textId="77777777" w:rsidR="000923BB" w:rsidRPr="00F955C6" w:rsidRDefault="000923BB" w:rsidP="003A385F">
            <w:pPr>
              <w:rPr>
                <w:rFonts w:cs="Arial"/>
                <w:sz w:val="20"/>
                <w:szCs w:val="20"/>
              </w:rPr>
            </w:pPr>
            <w:r w:rsidRPr="00F955C6">
              <w:rPr>
                <w:rFonts w:cs="Arial"/>
                <w:sz w:val="20"/>
                <w:szCs w:val="20"/>
              </w:rPr>
              <w:t>NHS staff survey Q27e: Trust takes action to ensure does not happen again (mean)</w:t>
            </w:r>
          </w:p>
        </w:tc>
        <w:tc>
          <w:tcPr>
            <w:tcW w:w="1260" w:type="dxa"/>
          </w:tcPr>
          <w:p w14:paraId="3DE9D2DB" w14:textId="77777777" w:rsidR="000923BB" w:rsidRPr="00F955C6" w:rsidRDefault="000923BB" w:rsidP="003A385F">
            <w:pPr>
              <w:jc w:val="center"/>
              <w:rPr>
                <w:rFonts w:cs="Arial"/>
                <w:sz w:val="20"/>
                <w:szCs w:val="20"/>
              </w:rPr>
            </w:pPr>
            <w:r w:rsidRPr="00F955C6">
              <w:rPr>
                <w:rFonts w:cs="Arial"/>
                <w:sz w:val="20"/>
                <w:szCs w:val="20"/>
              </w:rPr>
              <w:t>-0.092</w:t>
            </w:r>
          </w:p>
        </w:tc>
        <w:tc>
          <w:tcPr>
            <w:tcW w:w="900" w:type="dxa"/>
          </w:tcPr>
          <w:p w14:paraId="4E4AF180" w14:textId="77777777" w:rsidR="000923BB" w:rsidRPr="00F955C6" w:rsidRDefault="000923BB" w:rsidP="003A385F">
            <w:pPr>
              <w:jc w:val="center"/>
              <w:rPr>
                <w:rFonts w:cs="Arial"/>
                <w:sz w:val="20"/>
                <w:szCs w:val="20"/>
              </w:rPr>
            </w:pPr>
            <w:r w:rsidRPr="00F955C6">
              <w:rPr>
                <w:rFonts w:cs="Arial"/>
                <w:sz w:val="20"/>
                <w:szCs w:val="20"/>
              </w:rPr>
              <w:t>0.698</w:t>
            </w:r>
          </w:p>
        </w:tc>
        <w:tc>
          <w:tcPr>
            <w:tcW w:w="1394" w:type="dxa"/>
          </w:tcPr>
          <w:p w14:paraId="2C1FA274"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31A1A8C6" w14:textId="77777777" w:rsidTr="000520F8">
        <w:tc>
          <w:tcPr>
            <w:tcW w:w="4718" w:type="dxa"/>
          </w:tcPr>
          <w:p w14:paraId="4CED6C0C" w14:textId="77777777" w:rsidR="000923BB" w:rsidRPr="00F955C6" w:rsidRDefault="000923BB" w:rsidP="003A385F">
            <w:pPr>
              <w:rPr>
                <w:rFonts w:cs="Arial"/>
                <w:sz w:val="20"/>
                <w:szCs w:val="20"/>
              </w:rPr>
            </w:pPr>
            <w:r w:rsidRPr="00F955C6">
              <w:rPr>
                <w:rFonts w:cs="Arial"/>
                <w:sz w:val="20"/>
                <w:szCs w:val="20"/>
              </w:rPr>
              <w:t>NHS staff survey Q24a: Know how to report (% yes)</w:t>
            </w:r>
          </w:p>
        </w:tc>
        <w:tc>
          <w:tcPr>
            <w:tcW w:w="1260" w:type="dxa"/>
          </w:tcPr>
          <w:p w14:paraId="4B56F1C8" w14:textId="77777777" w:rsidR="000923BB" w:rsidRPr="00F955C6" w:rsidRDefault="000923BB" w:rsidP="003A385F">
            <w:pPr>
              <w:jc w:val="center"/>
              <w:rPr>
                <w:rFonts w:cs="Arial"/>
                <w:sz w:val="20"/>
                <w:szCs w:val="20"/>
              </w:rPr>
            </w:pPr>
            <w:r w:rsidRPr="00F955C6">
              <w:rPr>
                <w:rFonts w:cs="Arial"/>
                <w:sz w:val="20"/>
                <w:szCs w:val="20"/>
              </w:rPr>
              <w:t>-0.142</w:t>
            </w:r>
          </w:p>
        </w:tc>
        <w:tc>
          <w:tcPr>
            <w:tcW w:w="900" w:type="dxa"/>
          </w:tcPr>
          <w:p w14:paraId="6186754C" w14:textId="77777777" w:rsidR="000923BB" w:rsidRPr="00F955C6" w:rsidRDefault="000923BB" w:rsidP="003A385F">
            <w:pPr>
              <w:jc w:val="center"/>
              <w:rPr>
                <w:rFonts w:cs="Arial"/>
                <w:sz w:val="20"/>
                <w:szCs w:val="20"/>
              </w:rPr>
            </w:pPr>
            <w:r w:rsidRPr="00F955C6">
              <w:rPr>
                <w:rFonts w:cs="Arial"/>
                <w:sz w:val="20"/>
                <w:szCs w:val="20"/>
              </w:rPr>
              <w:t>0.551</w:t>
            </w:r>
          </w:p>
        </w:tc>
        <w:tc>
          <w:tcPr>
            <w:tcW w:w="1394" w:type="dxa"/>
          </w:tcPr>
          <w:p w14:paraId="7E4ED72C"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3AC2A451" w14:textId="77777777" w:rsidTr="000520F8">
        <w:tc>
          <w:tcPr>
            <w:tcW w:w="4718" w:type="dxa"/>
            <w:tcBorders>
              <w:bottom w:val="single" w:sz="4" w:space="0" w:color="auto"/>
            </w:tcBorders>
          </w:tcPr>
          <w:p w14:paraId="21D47C16" w14:textId="77777777" w:rsidR="000923BB" w:rsidRPr="00F955C6" w:rsidRDefault="000923BB" w:rsidP="003A385F">
            <w:pPr>
              <w:rPr>
                <w:rFonts w:cs="Arial"/>
                <w:sz w:val="20"/>
                <w:szCs w:val="20"/>
              </w:rPr>
            </w:pPr>
            <w:r w:rsidRPr="00F955C6">
              <w:rPr>
                <w:rFonts w:cs="Arial"/>
                <w:sz w:val="20"/>
                <w:szCs w:val="20"/>
              </w:rPr>
              <w:lastRenderedPageBreak/>
              <w:t xml:space="preserve">NHS staff survey Q24b: System for reporting (% yes) </w:t>
            </w:r>
          </w:p>
        </w:tc>
        <w:tc>
          <w:tcPr>
            <w:tcW w:w="1260" w:type="dxa"/>
            <w:tcBorders>
              <w:bottom w:val="single" w:sz="4" w:space="0" w:color="auto"/>
            </w:tcBorders>
          </w:tcPr>
          <w:p w14:paraId="6FA92EC2" w14:textId="77777777" w:rsidR="000923BB" w:rsidRPr="00F955C6" w:rsidRDefault="000923BB" w:rsidP="003A385F">
            <w:pPr>
              <w:jc w:val="center"/>
              <w:rPr>
                <w:rFonts w:cs="Arial"/>
                <w:sz w:val="20"/>
                <w:szCs w:val="20"/>
              </w:rPr>
            </w:pPr>
            <w:r w:rsidRPr="00F955C6">
              <w:rPr>
                <w:rFonts w:cs="Arial"/>
                <w:sz w:val="20"/>
                <w:szCs w:val="20"/>
              </w:rPr>
              <w:t>-0.145</w:t>
            </w:r>
          </w:p>
        </w:tc>
        <w:tc>
          <w:tcPr>
            <w:tcW w:w="900" w:type="dxa"/>
            <w:tcBorders>
              <w:bottom w:val="single" w:sz="4" w:space="0" w:color="auto"/>
            </w:tcBorders>
          </w:tcPr>
          <w:p w14:paraId="4873AF5A" w14:textId="77777777" w:rsidR="000923BB" w:rsidRPr="00F955C6" w:rsidRDefault="000923BB" w:rsidP="003A385F">
            <w:pPr>
              <w:jc w:val="center"/>
              <w:rPr>
                <w:rFonts w:cs="Arial"/>
                <w:sz w:val="20"/>
                <w:szCs w:val="20"/>
              </w:rPr>
            </w:pPr>
            <w:r w:rsidRPr="00F955C6">
              <w:rPr>
                <w:rFonts w:cs="Arial"/>
                <w:sz w:val="20"/>
                <w:szCs w:val="20"/>
              </w:rPr>
              <w:t>0.543</w:t>
            </w:r>
          </w:p>
        </w:tc>
        <w:tc>
          <w:tcPr>
            <w:tcW w:w="1394" w:type="dxa"/>
            <w:tcBorders>
              <w:bottom w:val="single" w:sz="4" w:space="0" w:color="auto"/>
            </w:tcBorders>
          </w:tcPr>
          <w:p w14:paraId="191AF8AC"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1BBFC5D4" w14:textId="77777777" w:rsidTr="000520F8">
        <w:tc>
          <w:tcPr>
            <w:tcW w:w="4718" w:type="dxa"/>
            <w:shd w:val="clear" w:color="auto" w:fill="CCFFCC"/>
          </w:tcPr>
          <w:p w14:paraId="58269C5A" w14:textId="77777777" w:rsidR="000923BB" w:rsidRPr="00F955C6" w:rsidRDefault="000923BB" w:rsidP="003A385F">
            <w:pPr>
              <w:rPr>
                <w:rFonts w:cs="Arial"/>
                <w:sz w:val="20"/>
                <w:szCs w:val="20"/>
              </w:rPr>
            </w:pPr>
            <w:r w:rsidRPr="00F955C6">
              <w:rPr>
                <w:rFonts w:cs="Arial"/>
                <w:sz w:val="20"/>
                <w:szCs w:val="20"/>
              </w:rPr>
              <w:t>NHS staff survey Q24b: System for reporting (% no)</w:t>
            </w:r>
          </w:p>
        </w:tc>
        <w:tc>
          <w:tcPr>
            <w:tcW w:w="1260" w:type="dxa"/>
            <w:shd w:val="clear" w:color="auto" w:fill="CCFFCC"/>
          </w:tcPr>
          <w:p w14:paraId="5C491C3C" w14:textId="77777777" w:rsidR="000923BB" w:rsidRPr="00F955C6" w:rsidRDefault="000923BB" w:rsidP="003A385F">
            <w:pPr>
              <w:jc w:val="center"/>
              <w:rPr>
                <w:rFonts w:cs="Arial"/>
                <w:sz w:val="20"/>
                <w:szCs w:val="20"/>
              </w:rPr>
            </w:pPr>
            <w:r w:rsidRPr="00F955C6">
              <w:rPr>
                <w:rFonts w:cs="Arial"/>
                <w:sz w:val="20"/>
                <w:szCs w:val="20"/>
              </w:rPr>
              <w:t>0.620</w:t>
            </w:r>
          </w:p>
        </w:tc>
        <w:tc>
          <w:tcPr>
            <w:tcW w:w="900" w:type="dxa"/>
            <w:shd w:val="clear" w:color="auto" w:fill="CCFFCC"/>
          </w:tcPr>
          <w:p w14:paraId="7BCD0714" w14:textId="77777777" w:rsidR="000923BB" w:rsidRPr="00F955C6" w:rsidRDefault="000923BB" w:rsidP="003A385F">
            <w:pPr>
              <w:jc w:val="center"/>
              <w:rPr>
                <w:rFonts w:cs="Arial"/>
                <w:sz w:val="20"/>
                <w:szCs w:val="20"/>
              </w:rPr>
            </w:pPr>
            <w:r w:rsidRPr="00F955C6">
              <w:rPr>
                <w:rFonts w:cs="Arial"/>
                <w:sz w:val="20"/>
                <w:szCs w:val="20"/>
              </w:rPr>
              <w:t>0.004</w:t>
            </w:r>
          </w:p>
        </w:tc>
        <w:tc>
          <w:tcPr>
            <w:tcW w:w="1394" w:type="dxa"/>
            <w:shd w:val="clear" w:color="auto" w:fill="CCFFCC"/>
          </w:tcPr>
          <w:p w14:paraId="03958FF1" w14:textId="77777777" w:rsidR="000923BB" w:rsidRPr="00F955C6" w:rsidRDefault="000923BB" w:rsidP="003A385F">
            <w:pPr>
              <w:jc w:val="center"/>
              <w:rPr>
                <w:rFonts w:cs="Arial"/>
                <w:sz w:val="20"/>
                <w:szCs w:val="20"/>
              </w:rPr>
            </w:pPr>
            <w:r w:rsidRPr="00F955C6">
              <w:rPr>
                <w:rFonts w:cs="Arial"/>
                <w:sz w:val="20"/>
                <w:szCs w:val="20"/>
              </w:rPr>
              <w:t>Strong</w:t>
            </w:r>
          </w:p>
        </w:tc>
      </w:tr>
      <w:tr w:rsidR="000923BB" w:rsidRPr="00F955C6" w14:paraId="2F31D93E" w14:textId="77777777" w:rsidTr="000520F8">
        <w:tc>
          <w:tcPr>
            <w:tcW w:w="4718" w:type="dxa"/>
          </w:tcPr>
          <w:p w14:paraId="27150F1D" w14:textId="77777777" w:rsidR="000923BB" w:rsidRPr="00F955C6" w:rsidRDefault="000923BB" w:rsidP="003A385F">
            <w:pPr>
              <w:rPr>
                <w:rFonts w:cs="Arial"/>
                <w:sz w:val="20"/>
                <w:szCs w:val="20"/>
              </w:rPr>
            </w:pPr>
            <w:r w:rsidRPr="00F955C6">
              <w:rPr>
                <w:rFonts w:cs="Arial"/>
                <w:sz w:val="20"/>
                <w:szCs w:val="20"/>
              </w:rPr>
              <w:t>NHS staff survey Q24b: System for reporting (% DK)</w:t>
            </w:r>
          </w:p>
        </w:tc>
        <w:tc>
          <w:tcPr>
            <w:tcW w:w="1260" w:type="dxa"/>
          </w:tcPr>
          <w:p w14:paraId="6DF18EBE" w14:textId="77777777" w:rsidR="000923BB" w:rsidRPr="00F955C6" w:rsidRDefault="000923BB" w:rsidP="003A385F">
            <w:pPr>
              <w:jc w:val="center"/>
              <w:rPr>
                <w:rFonts w:cs="Arial"/>
                <w:sz w:val="20"/>
                <w:szCs w:val="20"/>
              </w:rPr>
            </w:pPr>
            <w:r w:rsidRPr="00F955C6">
              <w:rPr>
                <w:rFonts w:cs="Arial"/>
                <w:sz w:val="20"/>
                <w:szCs w:val="20"/>
              </w:rPr>
              <w:t>-0.051</w:t>
            </w:r>
          </w:p>
        </w:tc>
        <w:tc>
          <w:tcPr>
            <w:tcW w:w="900" w:type="dxa"/>
          </w:tcPr>
          <w:p w14:paraId="66FE0C9A" w14:textId="77777777" w:rsidR="000923BB" w:rsidRPr="00F955C6" w:rsidRDefault="000923BB" w:rsidP="003A385F">
            <w:pPr>
              <w:jc w:val="center"/>
              <w:rPr>
                <w:rFonts w:cs="Arial"/>
                <w:sz w:val="20"/>
                <w:szCs w:val="20"/>
              </w:rPr>
            </w:pPr>
            <w:r w:rsidRPr="00F955C6">
              <w:rPr>
                <w:rFonts w:cs="Arial"/>
                <w:sz w:val="20"/>
                <w:szCs w:val="20"/>
              </w:rPr>
              <w:t>0.833</w:t>
            </w:r>
          </w:p>
        </w:tc>
        <w:tc>
          <w:tcPr>
            <w:tcW w:w="1394" w:type="dxa"/>
          </w:tcPr>
          <w:p w14:paraId="3B365A45" w14:textId="77777777" w:rsidR="000923BB" w:rsidRPr="00F955C6" w:rsidRDefault="000923BB" w:rsidP="003A385F">
            <w:pPr>
              <w:jc w:val="center"/>
              <w:rPr>
                <w:rFonts w:cs="Arial"/>
                <w:sz w:val="20"/>
                <w:szCs w:val="20"/>
              </w:rPr>
            </w:pPr>
            <w:r w:rsidRPr="00F955C6">
              <w:rPr>
                <w:rFonts w:cs="Arial"/>
                <w:sz w:val="20"/>
                <w:szCs w:val="20"/>
              </w:rPr>
              <w:t>Very weak</w:t>
            </w:r>
          </w:p>
        </w:tc>
      </w:tr>
      <w:tr w:rsidR="000923BB" w:rsidRPr="00F955C6" w14:paraId="57588ECD" w14:textId="77777777" w:rsidTr="000520F8">
        <w:tc>
          <w:tcPr>
            <w:tcW w:w="4718" w:type="dxa"/>
            <w:tcBorders>
              <w:bottom w:val="single" w:sz="4" w:space="0" w:color="auto"/>
            </w:tcBorders>
          </w:tcPr>
          <w:p w14:paraId="2667E0A3" w14:textId="77777777" w:rsidR="000923BB" w:rsidRPr="00F955C6" w:rsidRDefault="000923BB" w:rsidP="003A385F">
            <w:pPr>
              <w:rPr>
                <w:rFonts w:cs="Arial"/>
                <w:sz w:val="20"/>
                <w:szCs w:val="20"/>
              </w:rPr>
            </w:pPr>
            <w:r w:rsidRPr="00F955C6">
              <w:rPr>
                <w:rFonts w:cs="Arial"/>
                <w:sz w:val="20"/>
                <w:szCs w:val="20"/>
              </w:rPr>
              <w:t>NHS staff survey Q22e: Care of patient/service user is top priority (mean)</w:t>
            </w:r>
          </w:p>
        </w:tc>
        <w:tc>
          <w:tcPr>
            <w:tcW w:w="1260" w:type="dxa"/>
            <w:tcBorders>
              <w:bottom w:val="single" w:sz="4" w:space="0" w:color="auto"/>
            </w:tcBorders>
          </w:tcPr>
          <w:p w14:paraId="7A21A122" w14:textId="77777777" w:rsidR="000923BB" w:rsidRPr="00F955C6" w:rsidRDefault="000923BB" w:rsidP="003A385F">
            <w:pPr>
              <w:jc w:val="center"/>
              <w:rPr>
                <w:rFonts w:cs="Arial"/>
                <w:sz w:val="20"/>
                <w:szCs w:val="20"/>
              </w:rPr>
            </w:pPr>
            <w:r w:rsidRPr="00F955C6">
              <w:rPr>
                <w:rFonts w:cs="Arial"/>
                <w:sz w:val="20"/>
                <w:szCs w:val="20"/>
              </w:rPr>
              <w:t>0.336</w:t>
            </w:r>
          </w:p>
        </w:tc>
        <w:tc>
          <w:tcPr>
            <w:tcW w:w="900" w:type="dxa"/>
            <w:tcBorders>
              <w:bottom w:val="single" w:sz="4" w:space="0" w:color="auto"/>
            </w:tcBorders>
          </w:tcPr>
          <w:p w14:paraId="772F7FF9" w14:textId="77777777" w:rsidR="000923BB" w:rsidRPr="00F955C6" w:rsidRDefault="000923BB" w:rsidP="003A385F">
            <w:pPr>
              <w:jc w:val="center"/>
              <w:rPr>
                <w:rFonts w:cs="Arial"/>
                <w:sz w:val="20"/>
                <w:szCs w:val="20"/>
              </w:rPr>
            </w:pPr>
            <w:r w:rsidRPr="00F955C6">
              <w:rPr>
                <w:rFonts w:cs="Arial"/>
                <w:sz w:val="20"/>
                <w:szCs w:val="20"/>
              </w:rPr>
              <w:t>0.147</w:t>
            </w:r>
          </w:p>
        </w:tc>
        <w:tc>
          <w:tcPr>
            <w:tcW w:w="1394" w:type="dxa"/>
            <w:tcBorders>
              <w:bottom w:val="single" w:sz="4" w:space="0" w:color="auto"/>
            </w:tcBorders>
          </w:tcPr>
          <w:p w14:paraId="744D5F93" w14:textId="77777777" w:rsidR="000923BB" w:rsidRPr="00F955C6" w:rsidRDefault="000923BB" w:rsidP="003A385F">
            <w:pPr>
              <w:jc w:val="center"/>
              <w:rPr>
                <w:rFonts w:cs="Arial"/>
                <w:sz w:val="20"/>
                <w:szCs w:val="20"/>
              </w:rPr>
            </w:pPr>
            <w:r w:rsidRPr="00F955C6">
              <w:rPr>
                <w:rFonts w:cs="Arial"/>
                <w:sz w:val="20"/>
                <w:szCs w:val="20"/>
              </w:rPr>
              <w:t>Weak</w:t>
            </w:r>
          </w:p>
        </w:tc>
      </w:tr>
      <w:tr w:rsidR="000923BB" w:rsidRPr="00F955C6" w14:paraId="0A04686A" w14:textId="77777777" w:rsidTr="000520F8">
        <w:tc>
          <w:tcPr>
            <w:tcW w:w="4718" w:type="dxa"/>
            <w:shd w:val="clear" w:color="auto" w:fill="auto"/>
          </w:tcPr>
          <w:p w14:paraId="7B6B26CF" w14:textId="77777777" w:rsidR="000923BB" w:rsidRPr="00F955C6" w:rsidRDefault="000923BB" w:rsidP="003A385F">
            <w:pPr>
              <w:rPr>
                <w:rFonts w:cs="Arial"/>
                <w:sz w:val="20"/>
                <w:szCs w:val="20"/>
              </w:rPr>
            </w:pPr>
            <w:r w:rsidRPr="00F955C6">
              <w:rPr>
                <w:rFonts w:cs="Arial"/>
                <w:sz w:val="20"/>
                <w:szCs w:val="20"/>
              </w:rPr>
              <w:t>NHS staff survey Q22f: Happy with standard of care provided (mean)</w:t>
            </w:r>
          </w:p>
        </w:tc>
        <w:tc>
          <w:tcPr>
            <w:tcW w:w="1260" w:type="dxa"/>
            <w:shd w:val="clear" w:color="auto" w:fill="auto"/>
          </w:tcPr>
          <w:p w14:paraId="58BCD952" w14:textId="77777777" w:rsidR="000923BB" w:rsidRPr="00F955C6" w:rsidRDefault="000923BB" w:rsidP="003A385F">
            <w:pPr>
              <w:jc w:val="center"/>
              <w:rPr>
                <w:rFonts w:cs="Arial"/>
                <w:sz w:val="20"/>
                <w:szCs w:val="20"/>
              </w:rPr>
            </w:pPr>
            <w:r w:rsidRPr="00F955C6">
              <w:rPr>
                <w:rFonts w:cs="Arial"/>
                <w:sz w:val="20"/>
                <w:szCs w:val="20"/>
              </w:rPr>
              <w:t>-0.291</w:t>
            </w:r>
          </w:p>
        </w:tc>
        <w:tc>
          <w:tcPr>
            <w:tcW w:w="900" w:type="dxa"/>
            <w:shd w:val="clear" w:color="auto" w:fill="auto"/>
          </w:tcPr>
          <w:p w14:paraId="5FE9FE05" w14:textId="77777777" w:rsidR="000923BB" w:rsidRPr="00F955C6" w:rsidRDefault="000923BB" w:rsidP="003A385F">
            <w:pPr>
              <w:jc w:val="center"/>
              <w:rPr>
                <w:rFonts w:cs="Arial"/>
                <w:sz w:val="20"/>
                <w:szCs w:val="20"/>
              </w:rPr>
            </w:pPr>
            <w:r w:rsidRPr="00F955C6">
              <w:rPr>
                <w:rFonts w:cs="Arial"/>
                <w:sz w:val="20"/>
                <w:szCs w:val="20"/>
              </w:rPr>
              <w:t>0.214</w:t>
            </w:r>
          </w:p>
        </w:tc>
        <w:tc>
          <w:tcPr>
            <w:tcW w:w="1394" w:type="dxa"/>
            <w:shd w:val="clear" w:color="auto" w:fill="auto"/>
          </w:tcPr>
          <w:p w14:paraId="2EC300DA" w14:textId="77777777" w:rsidR="000923BB" w:rsidRPr="00F955C6" w:rsidRDefault="000923BB" w:rsidP="003A385F">
            <w:pPr>
              <w:jc w:val="center"/>
              <w:rPr>
                <w:rFonts w:cs="Arial"/>
                <w:sz w:val="20"/>
                <w:szCs w:val="20"/>
              </w:rPr>
            </w:pPr>
            <w:r w:rsidRPr="00F955C6">
              <w:rPr>
                <w:rFonts w:cs="Arial"/>
                <w:sz w:val="20"/>
                <w:szCs w:val="20"/>
              </w:rPr>
              <w:t>Weak</w:t>
            </w:r>
          </w:p>
        </w:tc>
      </w:tr>
    </w:tbl>
    <w:p w14:paraId="66266D58" w14:textId="77777777" w:rsidR="000923BB" w:rsidRDefault="000520F8" w:rsidP="000923BB">
      <w:pPr>
        <w:rPr>
          <w:rFonts w:cs="Arial"/>
          <w:sz w:val="18"/>
          <w:szCs w:val="18"/>
        </w:rPr>
      </w:pPr>
      <w:r>
        <w:rPr>
          <w:rFonts w:cs="Arial"/>
          <w:sz w:val="18"/>
          <w:szCs w:val="18"/>
        </w:rPr>
        <w:t xml:space="preserve">   </w:t>
      </w:r>
      <w:r w:rsidR="000923BB">
        <w:rPr>
          <w:rFonts w:cs="Arial"/>
          <w:sz w:val="18"/>
          <w:szCs w:val="18"/>
        </w:rPr>
        <w:t xml:space="preserve">* </w:t>
      </w:r>
      <w:r w:rsidR="000923BB" w:rsidRPr="00D77319">
        <w:rPr>
          <w:rFonts w:cs="Arial"/>
          <w:sz w:val="18"/>
          <w:szCs w:val="18"/>
        </w:rPr>
        <w:t>Spearman’s rank correlation used</w:t>
      </w:r>
    </w:p>
    <w:p w14:paraId="6B3DA3B4" w14:textId="77777777" w:rsidR="000923BB" w:rsidRPr="00D77319" w:rsidRDefault="000520F8" w:rsidP="000923BB">
      <w:pPr>
        <w:rPr>
          <w:rFonts w:cs="Arial"/>
          <w:sz w:val="18"/>
          <w:szCs w:val="18"/>
        </w:rPr>
      </w:pPr>
      <w:r>
        <w:rPr>
          <w:rFonts w:cs="Arial"/>
          <w:sz w:val="18"/>
          <w:szCs w:val="18"/>
        </w:rPr>
        <w:t xml:space="preserve">   </w:t>
      </w:r>
      <w:r w:rsidR="000923BB">
        <w:rPr>
          <w:rFonts w:cs="Arial"/>
          <w:sz w:val="18"/>
          <w:szCs w:val="18"/>
        </w:rPr>
        <w:t xml:space="preserve">Correlations at the &lt; 0.05 significance level highlighted </w:t>
      </w:r>
    </w:p>
    <w:p w14:paraId="36BE2F52" w14:textId="77777777" w:rsidR="000923BB" w:rsidRPr="000A7679" w:rsidRDefault="000923BB" w:rsidP="000923BB">
      <w:pPr>
        <w:spacing w:line="480" w:lineRule="auto"/>
        <w:jc w:val="center"/>
        <w:rPr>
          <w:rFonts w:cs="Arial"/>
          <w:b/>
          <w:sz w:val="28"/>
          <w:szCs w:val="28"/>
        </w:rPr>
      </w:pPr>
      <w:r>
        <w:rPr>
          <w:rFonts w:cs="Arial"/>
          <w:sz w:val="18"/>
          <w:szCs w:val="18"/>
        </w:rPr>
        <w:br w:type="page"/>
      </w:r>
      <w:r w:rsidRPr="000A7679">
        <w:rPr>
          <w:rFonts w:cs="Arial"/>
          <w:b/>
          <w:sz w:val="28"/>
          <w:szCs w:val="28"/>
        </w:rPr>
        <w:lastRenderedPageBreak/>
        <w:t xml:space="preserve">Appendix </w:t>
      </w:r>
      <w:r>
        <w:rPr>
          <w:rFonts w:cs="Arial"/>
          <w:b/>
          <w:sz w:val="28"/>
          <w:szCs w:val="28"/>
        </w:rPr>
        <w:t>13</w:t>
      </w:r>
    </w:p>
    <w:p w14:paraId="392A2B3D" w14:textId="77777777" w:rsidR="000923BB" w:rsidRPr="00703732" w:rsidRDefault="000923BB" w:rsidP="000923BB">
      <w:pPr>
        <w:jc w:val="center"/>
        <w:rPr>
          <w:rFonts w:cs="Arial"/>
          <w:b/>
          <w:sz w:val="28"/>
          <w:szCs w:val="28"/>
        </w:rPr>
      </w:pPr>
      <w:r w:rsidRPr="00703732">
        <w:rPr>
          <w:rFonts w:cs="Arial"/>
          <w:b/>
          <w:sz w:val="28"/>
          <w:szCs w:val="28"/>
        </w:rPr>
        <w:t>Comparison of holistic and criterion based review methods using structured clinical records in stroke care</w:t>
      </w:r>
    </w:p>
    <w:p w14:paraId="21C9A3D2" w14:textId="77777777" w:rsidR="000923BB" w:rsidRDefault="000923BB" w:rsidP="000923BB">
      <w:pPr>
        <w:jc w:val="center"/>
        <w:rPr>
          <w:rFonts w:cs="Arial"/>
        </w:rPr>
      </w:pPr>
    </w:p>
    <w:p w14:paraId="4F9E6EE7" w14:textId="77777777" w:rsidR="000923BB" w:rsidRPr="00703732" w:rsidRDefault="000923BB" w:rsidP="000923BB">
      <w:pPr>
        <w:jc w:val="center"/>
        <w:rPr>
          <w:rFonts w:cs="Arial"/>
        </w:rPr>
      </w:pPr>
    </w:p>
    <w:p w14:paraId="0C1175ED" w14:textId="77777777" w:rsidR="000923BB" w:rsidRPr="00703732" w:rsidRDefault="000923BB" w:rsidP="000923BB">
      <w:pPr>
        <w:rPr>
          <w:rFonts w:cs="Arial"/>
          <w:b/>
          <w:szCs w:val="22"/>
        </w:rPr>
      </w:pPr>
      <w:r w:rsidRPr="00703732">
        <w:rPr>
          <w:rFonts w:cs="Arial"/>
          <w:b/>
          <w:szCs w:val="22"/>
        </w:rPr>
        <w:t>Background</w:t>
      </w:r>
    </w:p>
    <w:p w14:paraId="14E5CF0E" w14:textId="77777777" w:rsidR="000923BB" w:rsidRPr="00097367" w:rsidRDefault="000923BB" w:rsidP="00097367">
      <w:pPr>
        <w:rPr>
          <w:sz w:val="22"/>
          <w:szCs w:val="22"/>
        </w:rPr>
      </w:pPr>
      <w:r w:rsidRPr="00097367">
        <w:rPr>
          <w:sz w:val="22"/>
          <w:szCs w:val="22"/>
        </w:rPr>
        <w:t xml:space="preserve">UK stroke care tends to have structured medical records for hospital inpatients, with prospective completion of patient records based on structured phases of care, in some units.  This, it is hypothesised, changes the type and quality of data collected in the medical record and thus may more accurately enable conformance with, and assessment of, good care standards.  </w:t>
      </w:r>
    </w:p>
    <w:p w14:paraId="4F450A47" w14:textId="77777777" w:rsidR="000923BB" w:rsidRPr="00097367" w:rsidRDefault="000923BB" w:rsidP="00097367">
      <w:pPr>
        <w:rPr>
          <w:sz w:val="22"/>
          <w:szCs w:val="22"/>
        </w:rPr>
      </w:pPr>
    </w:p>
    <w:p w14:paraId="26A8167E" w14:textId="77777777" w:rsidR="000923BB" w:rsidRPr="00097367" w:rsidRDefault="000923BB" w:rsidP="00097367">
      <w:pPr>
        <w:rPr>
          <w:sz w:val="22"/>
          <w:szCs w:val="22"/>
        </w:rPr>
      </w:pPr>
      <w:r w:rsidRPr="00097367">
        <w:rPr>
          <w:sz w:val="22"/>
          <w:szCs w:val="22"/>
        </w:rPr>
        <w:t>It is currently unknown whether the use of structured medical records has any effect on the quality of information available for peer review, or whether it might differentially influence the quality of information that is captured by explicit or implicit review methods.   It may also be that there is a higher level of inter-rater reliability to be found between and within types of reviewers when using structured, prospective record keeping, compared with that found in the main research project.</w:t>
      </w:r>
    </w:p>
    <w:p w14:paraId="1973AB4E" w14:textId="77777777" w:rsidR="000923BB" w:rsidRPr="00097367" w:rsidRDefault="000923BB" w:rsidP="00097367">
      <w:pPr>
        <w:rPr>
          <w:sz w:val="22"/>
          <w:szCs w:val="22"/>
        </w:rPr>
      </w:pPr>
    </w:p>
    <w:p w14:paraId="057F866A" w14:textId="77777777" w:rsidR="000923BB" w:rsidRPr="00097367" w:rsidRDefault="000923BB" w:rsidP="00097367">
      <w:pPr>
        <w:rPr>
          <w:sz w:val="22"/>
          <w:szCs w:val="22"/>
        </w:rPr>
      </w:pPr>
      <w:r w:rsidRPr="00097367">
        <w:rPr>
          <w:sz w:val="22"/>
          <w:szCs w:val="22"/>
        </w:rPr>
        <w:t xml:space="preserve">Major national sentinel audit projects in the UK have already used review criteria based, explicit review methods to explore quality variance in stroke care. [1] These were undertaken by teams of nurses or physicians trained in records review methods. Substantial variations in organisation and clinical care have been identified across the 8200 cases included in the national stroke audit. The audit did not use a holistic approach, which has been hypothesised as an alternative means of identifying quality variation, especially in complex cases. [2]. </w:t>
      </w:r>
    </w:p>
    <w:p w14:paraId="08543108" w14:textId="77777777" w:rsidR="000923BB" w:rsidRDefault="000923BB" w:rsidP="000923BB">
      <w:pPr>
        <w:jc w:val="both"/>
        <w:rPr>
          <w:rFonts w:cs="Arial"/>
          <w:sz w:val="22"/>
          <w:szCs w:val="22"/>
          <w:lang w:val="en-US"/>
        </w:rPr>
      </w:pPr>
    </w:p>
    <w:p w14:paraId="20E9ACF1" w14:textId="77777777" w:rsidR="000923BB" w:rsidRPr="003234D9" w:rsidRDefault="000923BB" w:rsidP="000923BB">
      <w:pPr>
        <w:jc w:val="both"/>
        <w:rPr>
          <w:rFonts w:cs="Arial"/>
          <w:b/>
          <w:sz w:val="22"/>
          <w:szCs w:val="22"/>
          <w:lang w:val="en-US"/>
        </w:rPr>
      </w:pPr>
      <w:r>
        <w:rPr>
          <w:rFonts w:cs="Arial"/>
          <w:b/>
          <w:sz w:val="22"/>
          <w:szCs w:val="22"/>
          <w:lang w:val="en-US"/>
        </w:rPr>
        <w:t>Study</w:t>
      </w:r>
      <w:r w:rsidRPr="003234D9">
        <w:rPr>
          <w:rFonts w:cs="Arial"/>
          <w:b/>
          <w:sz w:val="22"/>
          <w:szCs w:val="22"/>
          <w:lang w:val="en-US"/>
        </w:rPr>
        <w:t xml:space="preserve"> questions</w:t>
      </w:r>
    </w:p>
    <w:p w14:paraId="3F9C5365" w14:textId="77777777" w:rsidR="000923BB" w:rsidRPr="003234D9" w:rsidRDefault="000923BB" w:rsidP="000923BB">
      <w:pPr>
        <w:jc w:val="both"/>
        <w:rPr>
          <w:rFonts w:cs="Arial"/>
          <w:sz w:val="22"/>
          <w:szCs w:val="22"/>
        </w:rPr>
      </w:pPr>
      <w:r w:rsidRPr="003234D9">
        <w:rPr>
          <w:rFonts w:cs="Arial"/>
          <w:sz w:val="22"/>
          <w:szCs w:val="22"/>
        </w:rPr>
        <w:t xml:space="preserve">This </w:t>
      </w:r>
      <w:r>
        <w:rPr>
          <w:rFonts w:cs="Arial"/>
          <w:sz w:val="22"/>
          <w:szCs w:val="22"/>
        </w:rPr>
        <w:t xml:space="preserve">small adjunct </w:t>
      </w:r>
      <w:r w:rsidRPr="003234D9">
        <w:rPr>
          <w:rFonts w:cs="Arial"/>
          <w:sz w:val="22"/>
          <w:szCs w:val="22"/>
        </w:rPr>
        <w:t xml:space="preserve">study seeks to answer two related questions.  First, what are the similarities and differences in peer review information captured by </w:t>
      </w:r>
      <w:r>
        <w:rPr>
          <w:rFonts w:cs="Arial"/>
          <w:sz w:val="22"/>
          <w:szCs w:val="22"/>
        </w:rPr>
        <w:t>explicit (review criterion based) methods</w:t>
      </w:r>
      <w:r w:rsidRPr="003234D9">
        <w:rPr>
          <w:rFonts w:cs="Arial"/>
          <w:sz w:val="22"/>
          <w:szCs w:val="22"/>
        </w:rPr>
        <w:t xml:space="preserve"> and </w:t>
      </w:r>
      <w:r>
        <w:rPr>
          <w:rFonts w:cs="Arial"/>
          <w:sz w:val="22"/>
          <w:szCs w:val="22"/>
        </w:rPr>
        <w:t>implicit (</w:t>
      </w:r>
      <w:r w:rsidRPr="003234D9">
        <w:rPr>
          <w:rFonts w:cs="Arial"/>
          <w:sz w:val="22"/>
          <w:szCs w:val="22"/>
        </w:rPr>
        <w:t>holistic</w:t>
      </w:r>
      <w:r>
        <w:rPr>
          <w:rFonts w:cs="Arial"/>
          <w:sz w:val="22"/>
          <w:szCs w:val="22"/>
        </w:rPr>
        <w:t>)</w:t>
      </w:r>
      <w:r w:rsidRPr="003234D9">
        <w:rPr>
          <w:rFonts w:cs="Arial"/>
          <w:sz w:val="22"/>
          <w:szCs w:val="22"/>
        </w:rPr>
        <w:t xml:space="preserve"> methods from structured (stroke care) clinical records</w:t>
      </w:r>
      <w:r>
        <w:rPr>
          <w:rFonts w:cs="Arial"/>
          <w:sz w:val="22"/>
          <w:szCs w:val="22"/>
        </w:rPr>
        <w:t xml:space="preserve">? </w:t>
      </w:r>
      <w:r w:rsidRPr="003234D9">
        <w:rPr>
          <w:rFonts w:cs="Arial"/>
          <w:sz w:val="22"/>
          <w:szCs w:val="22"/>
        </w:rPr>
        <w:t>Second, are there differences in the type of information recorded by clinical audit staff (including nurses) and by doctors, using the two types of review methods</w:t>
      </w:r>
      <w:r>
        <w:rPr>
          <w:rFonts w:cs="Arial"/>
          <w:sz w:val="22"/>
          <w:szCs w:val="22"/>
        </w:rPr>
        <w:t>?</w:t>
      </w:r>
    </w:p>
    <w:p w14:paraId="6B382C38" w14:textId="77777777" w:rsidR="000923BB" w:rsidRDefault="000923BB" w:rsidP="000923BB">
      <w:pPr>
        <w:jc w:val="both"/>
        <w:rPr>
          <w:rFonts w:cs="Arial"/>
          <w:sz w:val="22"/>
          <w:szCs w:val="22"/>
        </w:rPr>
      </w:pPr>
    </w:p>
    <w:p w14:paraId="65055B13" w14:textId="77777777" w:rsidR="000923BB" w:rsidRDefault="000923BB" w:rsidP="000923BB">
      <w:pPr>
        <w:jc w:val="both"/>
        <w:rPr>
          <w:rFonts w:cs="Arial"/>
          <w:sz w:val="22"/>
          <w:szCs w:val="22"/>
        </w:rPr>
      </w:pPr>
      <w:r>
        <w:rPr>
          <w:rFonts w:cs="Arial"/>
          <w:sz w:val="22"/>
          <w:szCs w:val="22"/>
        </w:rPr>
        <w:lastRenderedPageBreak/>
        <w:t>T</w:t>
      </w:r>
      <w:r w:rsidRPr="003234D9">
        <w:rPr>
          <w:rFonts w:cs="Arial"/>
          <w:sz w:val="22"/>
          <w:szCs w:val="22"/>
        </w:rPr>
        <w:t xml:space="preserve">his study is nested within the </w:t>
      </w:r>
      <w:r>
        <w:rPr>
          <w:rFonts w:cs="Arial"/>
          <w:sz w:val="22"/>
          <w:szCs w:val="22"/>
        </w:rPr>
        <w:t>main medic</w:t>
      </w:r>
      <w:r w:rsidRPr="003234D9">
        <w:rPr>
          <w:rFonts w:cs="Arial"/>
          <w:sz w:val="22"/>
          <w:szCs w:val="22"/>
        </w:rPr>
        <w:t xml:space="preserve">al records study which addresses similar research questions but in which the records are not structured.  </w:t>
      </w:r>
      <w:r>
        <w:rPr>
          <w:rFonts w:cs="Arial"/>
          <w:sz w:val="22"/>
          <w:szCs w:val="22"/>
        </w:rPr>
        <w:t>Although the stroke care study is small, t</w:t>
      </w:r>
      <w:r w:rsidRPr="003234D9">
        <w:rPr>
          <w:rFonts w:cs="Arial"/>
          <w:sz w:val="22"/>
          <w:szCs w:val="22"/>
        </w:rPr>
        <w:t>he overall results</w:t>
      </w:r>
      <w:r>
        <w:rPr>
          <w:rFonts w:cs="Arial"/>
          <w:sz w:val="22"/>
          <w:szCs w:val="22"/>
        </w:rPr>
        <w:t xml:space="preserve"> o</w:t>
      </w:r>
      <w:r w:rsidRPr="003234D9">
        <w:rPr>
          <w:rFonts w:cs="Arial"/>
          <w:sz w:val="22"/>
          <w:szCs w:val="22"/>
        </w:rPr>
        <w:t xml:space="preserve">f the stroke care study </w:t>
      </w:r>
      <w:r>
        <w:rPr>
          <w:rFonts w:cs="Arial"/>
          <w:sz w:val="22"/>
          <w:szCs w:val="22"/>
        </w:rPr>
        <w:t>can therefore</w:t>
      </w:r>
      <w:r w:rsidRPr="003234D9">
        <w:rPr>
          <w:rFonts w:cs="Arial"/>
          <w:sz w:val="22"/>
          <w:szCs w:val="22"/>
        </w:rPr>
        <w:t xml:space="preserve"> be contrasted with the non-structured record results </w:t>
      </w:r>
      <w:r>
        <w:rPr>
          <w:rFonts w:cs="Arial"/>
          <w:sz w:val="22"/>
          <w:szCs w:val="22"/>
        </w:rPr>
        <w:t xml:space="preserve">in the Phase One study </w:t>
      </w:r>
      <w:r w:rsidRPr="003234D9">
        <w:rPr>
          <w:rFonts w:cs="Arial"/>
          <w:sz w:val="22"/>
          <w:szCs w:val="22"/>
        </w:rPr>
        <w:t xml:space="preserve">to </w:t>
      </w:r>
      <w:r>
        <w:rPr>
          <w:rFonts w:cs="Arial"/>
          <w:sz w:val="22"/>
          <w:szCs w:val="22"/>
        </w:rPr>
        <w:t xml:space="preserve">begin to </w:t>
      </w:r>
      <w:r w:rsidRPr="003234D9">
        <w:rPr>
          <w:rFonts w:cs="Arial"/>
          <w:sz w:val="22"/>
          <w:szCs w:val="22"/>
        </w:rPr>
        <w:t xml:space="preserve">explore whether there are differences between the type of information that can be extracted from the two different types of records. </w:t>
      </w:r>
    </w:p>
    <w:p w14:paraId="1983D620" w14:textId="77777777" w:rsidR="000923BB" w:rsidRPr="003234D9" w:rsidRDefault="000923BB" w:rsidP="000923BB">
      <w:pPr>
        <w:jc w:val="both"/>
        <w:rPr>
          <w:rFonts w:cs="Arial"/>
          <w:sz w:val="22"/>
          <w:szCs w:val="22"/>
        </w:rPr>
      </w:pPr>
      <w:r w:rsidRPr="003234D9">
        <w:rPr>
          <w:rFonts w:cs="Arial"/>
          <w:i/>
          <w:sz w:val="22"/>
          <w:szCs w:val="22"/>
        </w:rPr>
        <w:t>Secondary</w:t>
      </w:r>
      <w:r>
        <w:rPr>
          <w:rFonts w:cs="Arial"/>
          <w:i/>
          <w:sz w:val="22"/>
          <w:szCs w:val="22"/>
        </w:rPr>
        <w:t xml:space="preserve"> study</w:t>
      </w:r>
      <w:r w:rsidRPr="003234D9">
        <w:rPr>
          <w:rFonts w:cs="Arial"/>
          <w:i/>
          <w:sz w:val="22"/>
          <w:szCs w:val="22"/>
        </w:rPr>
        <w:t xml:space="preserve"> questions:</w:t>
      </w:r>
    </w:p>
    <w:p w14:paraId="71BA4484" w14:textId="77777777" w:rsidR="000923BB" w:rsidRPr="00900FF0" w:rsidRDefault="000923BB" w:rsidP="008A6C6D">
      <w:pPr>
        <w:pStyle w:val="Heading5"/>
        <w:keepNext/>
        <w:numPr>
          <w:ilvl w:val="0"/>
          <w:numId w:val="16"/>
        </w:numPr>
        <w:overflowPunct w:val="0"/>
        <w:autoSpaceDE w:val="0"/>
        <w:autoSpaceDN w:val="0"/>
        <w:adjustRightInd w:val="0"/>
        <w:spacing w:line="240" w:lineRule="auto"/>
        <w:ind w:right="26"/>
        <w:jc w:val="both"/>
        <w:textAlignment w:val="baseline"/>
        <w:rPr>
          <w:rFonts w:cs="Arial"/>
          <w:i w:val="0"/>
          <w:sz w:val="22"/>
          <w:szCs w:val="22"/>
        </w:rPr>
      </w:pPr>
      <w:r w:rsidRPr="00900FF0">
        <w:rPr>
          <w:rFonts w:cs="Arial"/>
          <w:i w:val="0"/>
          <w:sz w:val="22"/>
          <w:szCs w:val="22"/>
        </w:rPr>
        <w:t>Does structured prospective medical record keeping in stroke care influence the type, extent and quality of data recorded in clinical audit review (as compared with the type and quality of data found in unstructured record keeping in the Phase One study)?</w:t>
      </w:r>
    </w:p>
    <w:p w14:paraId="11E37351" w14:textId="77777777" w:rsidR="000923BB" w:rsidRPr="00900FF0" w:rsidRDefault="000923BB" w:rsidP="000923BB">
      <w:pPr>
        <w:rPr>
          <w:rFonts w:cs="Arial"/>
          <w:sz w:val="22"/>
          <w:szCs w:val="22"/>
        </w:rPr>
      </w:pPr>
    </w:p>
    <w:p w14:paraId="5DCBAB89" w14:textId="77777777" w:rsidR="000923BB" w:rsidRPr="00900FF0" w:rsidRDefault="000923BB" w:rsidP="008A6C6D">
      <w:pPr>
        <w:numPr>
          <w:ilvl w:val="0"/>
          <w:numId w:val="16"/>
        </w:numPr>
        <w:spacing w:after="0" w:line="240" w:lineRule="auto"/>
        <w:ind w:left="289" w:hanging="357"/>
        <w:jc w:val="both"/>
        <w:rPr>
          <w:rFonts w:cs="Arial"/>
          <w:sz w:val="22"/>
          <w:szCs w:val="22"/>
        </w:rPr>
      </w:pPr>
      <w:r w:rsidRPr="00900FF0">
        <w:rPr>
          <w:rFonts w:cs="Arial"/>
          <w:sz w:val="22"/>
          <w:szCs w:val="22"/>
        </w:rPr>
        <w:t xml:space="preserve">When using explicit (review criteria based) clinical audit review methods, does the use of structured recording in stroke care change the proportions of recorded criteria compared with the proportions recorded in unstructured records for COPD and heart failure care? </w:t>
      </w:r>
    </w:p>
    <w:p w14:paraId="6980A10D" w14:textId="77777777" w:rsidR="000923BB" w:rsidRPr="00900FF0" w:rsidRDefault="000923BB" w:rsidP="000923BB">
      <w:pPr>
        <w:ind w:left="-68"/>
        <w:jc w:val="both"/>
        <w:rPr>
          <w:rFonts w:cs="Arial"/>
          <w:sz w:val="22"/>
          <w:szCs w:val="22"/>
        </w:rPr>
      </w:pPr>
    </w:p>
    <w:p w14:paraId="06AF5A59" w14:textId="77777777" w:rsidR="000923BB" w:rsidRPr="00900FF0" w:rsidRDefault="000923BB" w:rsidP="008A6C6D">
      <w:pPr>
        <w:pStyle w:val="BodyTextIndent2"/>
        <w:numPr>
          <w:ilvl w:val="0"/>
          <w:numId w:val="16"/>
        </w:numPr>
        <w:spacing w:line="240" w:lineRule="auto"/>
        <w:ind w:left="289" w:hanging="357"/>
        <w:jc w:val="both"/>
        <w:rPr>
          <w:rFonts w:ascii="Arial" w:hAnsi="Arial" w:cs="Arial"/>
          <w:sz w:val="22"/>
          <w:szCs w:val="22"/>
        </w:rPr>
      </w:pPr>
      <w:r w:rsidRPr="00900FF0">
        <w:rPr>
          <w:rFonts w:ascii="Arial" w:hAnsi="Arial" w:cs="Arial"/>
          <w:sz w:val="22"/>
          <w:szCs w:val="22"/>
        </w:rPr>
        <w:t>For both explicit (review criteria based) and implicit (holistic) clinical audit case note review methods, does reliability improve between and within reviewer types when structured recording is used in comparison to unstructured recording?</w:t>
      </w:r>
    </w:p>
    <w:p w14:paraId="1029CE05" w14:textId="77777777" w:rsidR="000923BB" w:rsidRDefault="000923BB" w:rsidP="000923BB">
      <w:pPr>
        <w:jc w:val="both"/>
        <w:rPr>
          <w:rFonts w:cs="Arial"/>
          <w:b/>
          <w:sz w:val="22"/>
          <w:szCs w:val="22"/>
        </w:rPr>
      </w:pPr>
      <w:r w:rsidRPr="00900FF0">
        <w:rPr>
          <w:rFonts w:cs="Arial"/>
          <w:sz w:val="22"/>
          <w:szCs w:val="22"/>
        </w:rPr>
        <w:br w:type="page"/>
      </w:r>
      <w:r w:rsidRPr="003234D9">
        <w:rPr>
          <w:rFonts w:cs="Arial"/>
          <w:b/>
          <w:sz w:val="22"/>
          <w:szCs w:val="22"/>
        </w:rPr>
        <w:lastRenderedPageBreak/>
        <w:t>Methods</w:t>
      </w:r>
    </w:p>
    <w:p w14:paraId="2ED14672" w14:textId="77777777" w:rsidR="000923BB" w:rsidRPr="003234D9" w:rsidRDefault="000923BB" w:rsidP="000923BB">
      <w:pPr>
        <w:jc w:val="both"/>
        <w:rPr>
          <w:rFonts w:cs="Arial"/>
          <w:sz w:val="22"/>
          <w:szCs w:val="22"/>
        </w:rPr>
      </w:pPr>
    </w:p>
    <w:p w14:paraId="2D8858D5" w14:textId="77777777" w:rsidR="000923BB" w:rsidRDefault="000923BB" w:rsidP="000923BB">
      <w:pPr>
        <w:tabs>
          <w:tab w:val="left" w:pos="3828"/>
        </w:tabs>
        <w:jc w:val="both"/>
        <w:rPr>
          <w:rFonts w:cs="Arial"/>
          <w:sz w:val="22"/>
          <w:szCs w:val="22"/>
        </w:rPr>
      </w:pPr>
      <w:r w:rsidRPr="003234D9">
        <w:rPr>
          <w:rFonts w:cs="Arial"/>
          <w:sz w:val="22"/>
          <w:szCs w:val="22"/>
        </w:rPr>
        <w:t>The overall research approach was to investigate the impact of structured prospective record keeping on the reliability and completeness of holistic and criterion based case note review methods. Quality of care was assessed using a combined holistic and algorithmic method</w:t>
      </w:r>
      <w:r>
        <w:rPr>
          <w:rFonts w:cs="Arial"/>
          <w:sz w:val="22"/>
          <w:szCs w:val="22"/>
        </w:rPr>
        <w:t>,</w:t>
      </w:r>
      <w:r w:rsidRPr="003234D9">
        <w:rPr>
          <w:rFonts w:cs="Arial"/>
          <w:sz w:val="22"/>
          <w:szCs w:val="22"/>
        </w:rPr>
        <w:t xml:space="preserve"> </w:t>
      </w:r>
      <w:r>
        <w:rPr>
          <w:rFonts w:cs="Arial"/>
          <w:sz w:val="22"/>
          <w:szCs w:val="22"/>
        </w:rPr>
        <w:t xml:space="preserve">as used in the Phase Two outcomes study, </w:t>
      </w:r>
      <w:r w:rsidRPr="003234D9">
        <w:rPr>
          <w:rFonts w:cs="Arial"/>
          <w:sz w:val="22"/>
          <w:szCs w:val="22"/>
        </w:rPr>
        <w:t xml:space="preserve">by </w:t>
      </w:r>
      <w:r>
        <w:rPr>
          <w:rFonts w:cs="Arial"/>
          <w:sz w:val="22"/>
          <w:szCs w:val="22"/>
        </w:rPr>
        <w:t xml:space="preserve">one nursing trained reviewer and </w:t>
      </w:r>
      <w:r w:rsidRPr="003234D9">
        <w:rPr>
          <w:rFonts w:cs="Arial"/>
          <w:sz w:val="22"/>
          <w:szCs w:val="22"/>
        </w:rPr>
        <w:t>two medical reviewer</w:t>
      </w:r>
      <w:r>
        <w:rPr>
          <w:rFonts w:cs="Arial"/>
          <w:sz w:val="22"/>
          <w:szCs w:val="22"/>
        </w:rPr>
        <w:t>s</w:t>
      </w:r>
      <w:r w:rsidRPr="003234D9">
        <w:rPr>
          <w:rFonts w:cs="Arial"/>
          <w:sz w:val="22"/>
          <w:szCs w:val="22"/>
        </w:rPr>
        <w:t xml:space="preserve">.  </w:t>
      </w:r>
      <w:r>
        <w:rPr>
          <w:rFonts w:cs="Arial"/>
          <w:sz w:val="22"/>
          <w:szCs w:val="22"/>
        </w:rPr>
        <w:t>The same</w:t>
      </w:r>
      <w:r w:rsidRPr="003234D9">
        <w:rPr>
          <w:rFonts w:cs="Arial"/>
          <w:sz w:val="22"/>
          <w:szCs w:val="22"/>
        </w:rPr>
        <w:t xml:space="preserve"> case note</w:t>
      </w:r>
      <w:r>
        <w:rPr>
          <w:rFonts w:cs="Arial"/>
          <w:sz w:val="22"/>
          <w:szCs w:val="22"/>
        </w:rPr>
        <w:t>s</w:t>
      </w:r>
      <w:r w:rsidRPr="003234D9">
        <w:rPr>
          <w:rFonts w:cs="Arial"/>
          <w:sz w:val="22"/>
          <w:szCs w:val="22"/>
        </w:rPr>
        <w:t xml:space="preserve"> w</w:t>
      </w:r>
      <w:r>
        <w:rPr>
          <w:rFonts w:cs="Arial"/>
          <w:sz w:val="22"/>
          <w:szCs w:val="22"/>
        </w:rPr>
        <w:t>ere</w:t>
      </w:r>
      <w:r w:rsidRPr="003234D9">
        <w:rPr>
          <w:rFonts w:cs="Arial"/>
          <w:sz w:val="22"/>
          <w:szCs w:val="22"/>
        </w:rPr>
        <w:t xml:space="preserve"> reviewed by </w:t>
      </w:r>
      <w:r>
        <w:rPr>
          <w:rFonts w:cs="Arial"/>
          <w:sz w:val="22"/>
          <w:szCs w:val="22"/>
        </w:rPr>
        <w:t>each reviewer</w:t>
      </w:r>
      <w:r w:rsidRPr="003234D9">
        <w:rPr>
          <w:rFonts w:cs="Arial"/>
          <w:sz w:val="22"/>
          <w:szCs w:val="22"/>
        </w:rPr>
        <w:t>.</w:t>
      </w:r>
    </w:p>
    <w:p w14:paraId="62C4BFEA" w14:textId="77777777" w:rsidR="000923BB" w:rsidRPr="003234D9" w:rsidRDefault="000923BB" w:rsidP="000923BB">
      <w:pPr>
        <w:tabs>
          <w:tab w:val="left" w:pos="3828"/>
        </w:tabs>
        <w:jc w:val="both"/>
        <w:rPr>
          <w:rFonts w:cs="Arial"/>
          <w:sz w:val="22"/>
          <w:szCs w:val="22"/>
        </w:rPr>
      </w:pPr>
    </w:p>
    <w:p w14:paraId="31035A5C" w14:textId="77777777" w:rsidR="000923BB" w:rsidRPr="00334823" w:rsidRDefault="000923BB" w:rsidP="000923BB">
      <w:pPr>
        <w:pStyle w:val="Heading2"/>
        <w:rPr>
          <w:b/>
          <w:sz w:val="22"/>
          <w:szCs w:val="22"/>
          <w:u w:val="single"/>
        </w:rPr>
      </w:pPr>
      <w:r w:rsidRPr="00334823">
        <w:rPr>
          <w:b/>
          <w:sz w:val="22"/>
          <w:szCs w:val="22"/>
          <w:u w:val="single"/>
        </w:rPr>
        <w:t>Stroke</w:t>
      </w:r>
    </w:p>
    <w:p w14:paraId="68AE59E7" w14:textId="77777777" w:rsidR="000923BB" w:rsidRDefault="000923BB" w:rsidP="000923BB">
      <w:pPr>
        <w:jc w:val="both"/>
        <w:rPr>
          <w:rFonts w:cs="Arial"/>
          <w:sz w:val="22"/>
          <w:szCs w:val="22"/>
        </w:rPr>
      </w:pPr>
    </w:p>
    <w:p w14:paraId="03BBF4FF" w14:textId="77777777" w:rsidR="000923BB" w:rsidRPr="003234D9" w:rsidRDefault="000923BB" w:rsidP="000923BB">
      <w:pPr>
        <w:jc w:val="both"/>
        <w:rPr>
          <w:rFonts w:cs="Arial"/>
          <w:sz w:val="22"/>
          <w:szCs w:val="22"/>
        </w:rPr>
      </w:pPr>
      <w:r w:rsidRPr="003234D9">
        <w:rPr>
          <w:rFonts w:cs="Arial"/>
          <w:sz w:val="22"/>
          <w:szCs w:val="22"/>
        </w:rPr>
        <w:t xml:space="preserve">Stroke is recognised as the third biggest cause of death in the </w:t>
      </w:r>
      <w:smartTag w:uri="urn:schemas-microsoft-com:office:smarttags" w:element="country-region">
        <w:smartTag w:uri="urn:schemas-microsoft-com:office:smarttags" w:element="place">
          <w:r w:rsidRPr="003234D9">
            <w:rPr>
              <w:rFonts w:cs="Arial"/>
              <w:sz w:val="22"/>
              <w:szCs w:val="22"/>
            </w:rPr>
            <w:t>UK</w:t>
          </w:r>
        </w:smartTag>
      </w:smartTag>
      <w:r w:rsidRPr="003234D9">
        <w:rPr>
          <w:rFonts w:cs="Arial"/>
          <w:sz w:val="22"/>
          <w:szCs w:val="22"/>
        </w:rPr>
        <w:t xml:space="preserve">.  It is also the largest single cause of severe disability in older people. </w:t>
      </w:r>
      <w:r>
        <w:rPr>
          <w:rFonts w:cs="Arial"/>
          <w:sz w:val="22"/>
          <w:szCs w:val="22"/>
        </w:rPr>
        <w:t xml:space="preserve">In excess of </w:t>
      </w:r>
      <w:r w:rsidRPr="003234D9">
        <w:rPr>
          <w:rFonts w:cs="Arial"/>
          <w:sz w:val="22"/>
          <w:szCs w:val="22"/>
        </w:rPr>
        <w:t xml:space="preserve">110,000 people in </w:t>
      </w:r>
      <w:smartTag w:uri="urn:schemas-microsoft-com:office:smarttags" w:element="country-region">
        <w:smartTag w:uri="urn:schemas-microsoft-com:office:smarttags" w:element="place">
          <w:r w:rsidRPr="003234D9">
            <w:rPr>
              <w:rFonts w:cs="Arial"/>
              <w:sz w:val="22"/>
              <w:szCs w:val="22"/>
            </w:rPr>
            <w:t>England</w:t>
          </w:r>
        </w:smartTag>
      </w:smartTag>
      <w:r w:rsidRPr="003234D9">
        <w:rPr>
          <w:rFonts w:cs="Arial"/>
          <w:sz w:val="22"/>
          <w:szCs w:val="22"/>
        </w:rPr>
        <w:t xml:space="preserve"> </w:t>
      </w:r>
      <w:r>
        <w:rPr>
          <w:rFonts w:cs="Arial"/>
          <w:sz w:val="22"/>
          <w:szCs w:val="22"/>
        </w:rPr>
        <w:t>each year</w:t>
      </w:r>
      <w:r w:rsidRPr="003234D9">
        <w:rPr>
          <w:rFonts w:cs="Arial"/>
          <w:sz w:val="22"/>
          <w:szCs w:val="22"/>
        </w:rPr>
        <w:t xml:space="preserve"> will suffer from a stroke, which incurs NHS costs of over £2.8 billion per year</w:t>
      </w:r>
      <w:r w:rsidRPr="007B049C">
        <w:rPr>
          <w:rFonts w:cs="Arial"/>
          <w:sz w:val="22"/>
          <w:szCs w:val="22"/>
        </w:rPr>
        <w:t>.[3]</w:t>
      </w:r>
      <w:r w:rsidRPr="003234D9">
        <w:rPr>
          <w:rFonts w:cs="Arial"/>
          <w:sz w:val="22"/>
          <w:szCs w:val="22"/>
        </w:rPr>
        <w:t xml:space="preserve"> All hospitals that care for stroke patients </w:t>
      </w:r>
      <w:r>
        <w:rPr>
          <w:rFonts w:cs="Arial"/>
          <w:sz w:val="22"/>
          <w:szCs w:val="22"/>
        </w:rPr>
        <w:t>were</w:t>
      </w:r>
      <w:r w:rsidRPr="003234D9">
        <w:rPr>
          <w:rFonts w:cs="Arial"/>
          <w:sz w:val="22"/>
          <w:szCs w:val="22"/>
        </w:rPr>
        <w:t xml:space="preserve"> required to have a specialist stroke service by 2004, as set out by the National Service Framework for Older People</w:t>
      </w:r>
      <w:r>
        <w:rPr>
          <w:rFonts w:cs="Arial"/>
          <w:sz w:val="22"/>
          <w:szCs w:val="22"/>
        </w:rPr>
        <w:t xml:space="preserve"> </w:t>
      </w:r>
      <w:r w:rsidRPr="007B049C">
        <w:rPr>
          <w:rFonts w:cs="Arial"/>
          <w:sz w:val="22"/>
          <w:szCs w:val="22"/>
        </w:rPr>
        <w:t>[4]</w:t>
      </w:r>
      <w:r>
        <w:rPr>
          <w:rFonts w:cs="Arial"/>
          <w:sz w:val="22"/>
          <w:szCs w:val="22"/>
        </w:rPr>
        <w:t>.</w:t>
      </w:r>
      <w:r w:rsidRPr="003234D9">
        <w:rPr>
          <w:rFonts w:cs="Arial"/>
          <w:sz w:val="22"/>
          <w:szCs w:val="22"/>
        </w:rPr>
        <w:t xml:space="preserve">  To support our choice of Stroke for this </w:t>
      </w:r>
      <w:r>
        <w:rPr>
          <w:rFonts w:cs="Arial"/>
          <w:sz w:val="22"/>
          <w:szCs w:val="22"/>
        </w:rPr>
        <w:t xml:space="preserve">adjunct </w:t>
      </w:r>
      <w:r w:rsidRPr="003234D9">
        <w:rPr>
          <w:rFonts w:cs="Arial"/>
          <w:sz w:val="22"/>
          <w:szCs w:val="22"/>
        </w:rPr>
        <w:t>study, we took into account the availability of an evidence based guideline produced by the Royal College of Physicians, together with the existence of the National Sentinel Stroke Audit</w:t>
      </w:r>
      <w:r>
        <w:rPr>
          <w:rFonts w:cs="Arial"/>
          <w:sz w:val="22"/>
          <w:szCs w:val="22"/>
        </w:rPr>
        <w:t xml:space="preserve"> </w:t>
      </w:r>
      <w:r w:rsidRPr="007B049C">
        <w:rPr>
          <w:rFonts w:cs="Arial"/>
          <w:sz w:val="22"/>
          <w:szCs w:val="22"/>
        </w:rPr>
        <w:t>[1</w:t>
      </w:r>
      <w:r>
        <w:rPr>
          <w:rFonts w:cs="Arial"/>
          <w:sz w:val="22"/>
          <w:szCs w:val="22"/>
        </w:rPr>
        <w:t>]</w:t>
      </w:r>
      <w:r w:rsidRPr="003234D9">
        <w:rPr>
          <w:rFonts w:cs="Arial"/>
          <w:sz w:val="22"/>
          <w:szCs w:val="22"/>
        </w:rPr>
        <w:t xml:space="preserve">. The </w:t>
      </w:r>
      <w:r>
        <w:rPr>
          <w:rFonts w:cs="Arial"/>
          <w:sz w:val="22"/>
          <w:szCs w:val="22"/>
        </w:rPr>
        <w:t xml:space="preserve">National Sentinel </w:t>
      </w:r>
      <w:r w:rsidRPr="003234D9">
        <w:rPr>
          <w:rFonts w:cs="Arial"/>
          <w:sz w:val="22"/>
          <w:szCs w:val="22"/>
        </w:rPr>
        <w:t xml:space="preserve">Stroke Audit </w:t>
      </w:r>
      <w:r>
        <w:rPr>
          <w:rFonts w:cs="Arial"/>
          <w:sz w:val="22"/>
          <w:szCs w:val="22"/>
        </w:rPr>
        <w:t>Criteria</w:t>
      </w:r>
      <w:r w:rsidRPr="003234D9">
        <w:rPr>
          <w:rFonts w:cs="Arial"/>
          <w:sz w:val="22"/>
          <w:szCs w:val="22"/>
        </w:rPr>
        <w:t xml:space="preserve"> provided </w:t>
      </w:r>
      <w:r>
        <w:rPr>
          <w:rFonts w:cs="Arial"/>
          <w:sz w:val="22"/>
          <w:szCs w:val="22"/>
        </w:rPr>
        <w:t>the</w:t>
      </w:r>
      <w:r w:rsidRPr="003234D9">
        <w:rPr>
          <w:rFonts w:cs="Arial"/>
          <w:sz w:val="22"/>
          <w:szCs w:val="22"/>
        </w:rPr>
        <w:t xml:space="preserve"> basis for developing a set of review criteria for safety and quality assessment for stroke management </w:t>
      </w:r>
      <w:r>
        <w:rPr>
          <w:rFonts w:cs="Arial"/>
          <w:sz w:val="22"/>
          <w:szCs w:val="22"/>
        </w:rPr>
        <w:t xml:space="preserve">for this study </w:t>
      </w:r>
      <w:r w:rsidRPr="003234D9">
        <w:rPr>
          <w:rFonts w:cs="Arial"/>
          <w:sz w:val="22"/>
          <w:szCs w:val="22"/>
        </w:rPr>
        <w:t>(see also the section on criterion development</w:t>
      </w:r>
      <w:r>
        <w:rPr>
          <w:rFonts w:cs="Arial"/>
          <w:sz w:val="22"/>
          <w:szCs w:val="22"/>
        </w:rPr>
        <w:t xml:space="preserve"> for the Phase One study</w:t>
      </w:r>
      <w:r w:rsidRPr="00A44D50">
        <w:rPr>
          <w:rFonts w:cs="Arial"/>
          <w:sz w:val="22"/>
          <w:szCs w:val="22"/>
        </w:rPr>
        <w:t>).</w:t>
      </w:r>
    </w:p>
    <w:p w14:paraId="5CB29AB3" w14:textId="77777777" w:rsidR="000923BB" w:rsidRPr="003234D9" w:rsidRDefault="000923BB" w:rsidP="000923BB">
      <w:pPr>
        <w:jc w:val="both"/>
        <w:rPr>
          <w:rFonts w:cs="Arial"/>
          <w:sz w:val="22"/>
          <w:szCs w:val="22"/>
        </w:rPr>
      </w:pPr>
    </w:p>
    <w:p w14:paraId="4AE5AA7B" w14:textId="77777777" w:rsidR="000923BB" w:rsidRPr="003234D9" w:rsidRDefault="000923BB" w:rsidP="000923BB">
      <w:pPr>
        <w:jc w:val="both"/>
        <w:rPr>
          <w:rFonts w:cs="Arial"/>
          <w:b/>
          <w:i/>
          <w:sz w:val="22"/>
          <w:szCs w:val="22"/>
        </w:rPr>
      </w:pPr>
      <w:r w:rsidRPr="003234D9">
        <w:rPr>
          <w:rFonts w:cs="Arial"/>
          <w:b/>
          <w:i/>
          <w:sz w:val="22"/>
          <w:szCs w:val="22"/>
        </w:rPr>
        <w:t xml:space="preserve">Number of case notes for review </w:t>
      </w:r>
    </w:p>
    <w:p w14:paraId="67CA0846" w14:textId="77777777" w:rsidR="000923BB" w:rsidRDefault="000923BB" w:rsidP="000923BB">
      <w:pPr>
        <w:jc w:val="both"/>
        <w:rPr>
          <w:rFonts w:cs="Arial"/>
          <w:sz w:val="22"/>
          <w:szCs w:val="22"/>
        </w:rPr>
      </w:pPr>
      <w:r>
        <w:rPr>
          <w:rFonts w:cs="Arial"/>
          <w:sz w:val="22"/>
          <w:szCs w:val="22"/>
        </w:rPr>
        <w:t>E</w:t>
      </w:r>
      <w:r w:rsidRPr="003234D9">
        <w:rPr>
          <w:rFonts w:cs="Arial"/>
          <w:sz w:val="22"/>
          <w:szCs w:val="22"/>
        </w:rPr>
        <w:t xml:space="preserve">ach reviewer was asked to review 40 </w:t>
      </w:r>
      <w:r>
        <w:rPr>
          <w:rFonts w:cs="Arial"/>
          <w:sz w:val="22"/>
          <w:szCs w:val="22"/>
        </w:rPr>
        <w:t>s</w:t>
      </w:r>
      <w:r w:rsidRPr="003234D9">
        <w:rPr>
          <w:rFonts w:cs="Arial"/>
          <w:sz w:val="22"/>
          <w:szCs w:val="22"/>
        </w:rPr>
        <w:t xml:space="preserve">troke </w:t>
      </w:r>
      <w:r>
        <w:rPr>
          <w:rFonts w:cs="Arial"/>
          <w:sz w:val="22"/>
          <w:szCs w:val="22"/>
        </w:rPr>
        <w:t xml:space="preserve">care </w:t>
      </w:r>
      <w:r w:rsidRPr="003234D9">
        <w:rPr>
          <w:rFonts w:cs="Arial"/>
          <w:sz w:val="22"/>
          <w:szCs w:val="22"/>
        </w:rPr>
        <w:t>records</w:t>
      </w:r>
      <w:r>
        <w:rPr>
          <w:rFonts w:cs="Arial"/>
          <w:sz w:val="22"/>
          <w:szCs w:val="22"/>
        </w:rPr>
        <w:t xml:space="preserve">, as in the Phase One study. </w:t>
      </w:r>
    </w:p>
    <w:p w14:paraId="4CAC4C3B" w14:textId="77777777" w:rsidR="000923BB" w:rsidRPr="003234D9" w:rsidRDefault="000923BB" w:rsidP="000923BB">
      <w:pPr>
        <w:jc w:val="both"/>
        <w:rPr>
          <w:rFonts w:cs="Arial"/>
          <w:b/>
          <w:i/>
          <w:sz w:val="22"/>
          <w:szCs w:val="22"/>
        </w:rPr>
      </w:pPr>
      <w:r w:rsidRPr="003234D9">
        <w:rPr>
          <w:rFonts w:cs="Arial"/>
          <w:sz w:val="22"/>
          <w:szCs w:val="22"/>
        </w:rPr>
        <w:t xml:space="preserve"> </w:t>
      </w:r>
    </w:p>
    <w:p w14:paraId="08F5555E" w14:textId="77777777" w:rsidR="000923BB" w:rsidRPr="003234D9" w:rsidRDefault="000923BB" w:rsidP="000923BB">
      <w:pPr>
        <w:jc w:val="both"/>
        <w:rPr>
          <w:rFonts w:cs="Arial"/>
          <w:b/>
          <w:i/>
          <w:sz w:val="22"/>
          <w:szCs w:val="22"/>
        </w:rPr>
      </w:pPr>
      <w:r w:rsidRPr="003234D9">
        <w:rPr>
          <w:rFonts w:cs="Arial"/>
          <w:b/>
          <w:i/>
          <w:sz w:val="22"/>
          <w:szCs w:val="22"/>
        </w:rPr>
        <w:t xml:space="preserve">Selection and recruitment of hospitals </w:t>
      </w:r>
    </w:p>
    <w:p w14:paraId="46D8BA22" w14:textId="77777777" w:rsidR="000923BB" w:rsidRPr="003234D9" w:rsidRDefault="000923BB" w:rsidP="000923BB">
      <w:pPr>
        <w:jc w:val="both"/>
        <w:rPr>
          <w:rFonts w:cs="Arial"/>
          <w:sz w:val="22"/>
          <w:szCs w:val="22"/>
        </w:rPr>
      </w:pPr>
      <w:r w:rsidRPr="003234D9">
        <w:rPr>
          <w:rFonts w:cs="Arial"/>
          <w:sz w:val="22"/>
          <w:szCs w:val="22"/>
        </w:rPr>
        <w:t xml:space="preserve">Only one hospital participated in this </w:t>
      </w:r>
      <w:r>
        <w:rPr>
          <w:rFonts w:cs="Arial"/>
          <w:sz w:val="22"/>
          <w:szCs w:val="22"/>
        </w:rPr>
        <w:t xml:space="preserve">small </w:t>
      </w:r>
      <w:r w:rsidRPr="003234D9">
        <w:rPr>
          <w:rFonts w:cs="Arial"/>
          <w:sz w:val="22"/>
          <w:szCs w:val="22"/>
        </w:rPr>
        <w:t xml:space="preserve">study. This hospital was chosen </w:t>
      </w:r>
      <w:r>
        <w:rPr>
          <w:rFonts w:cs="Arial"/>
          <w:sz w:val="22"/>
          <w:szCs w:val="22"/>
        </w:rPr>
        <w:t>because of</w:t>
      </w:r>
      <w:r w:rsidRPr="003234D9">
        <w:rPr>
          <w:rFonts w:cs="Arial"/>
          <w:sz w:val="22"/>
          <w:szCs w:val="22"/>
        </w:rPr>
        <w:t xml:space="preserve"> the study team’s close links with the stroke care staff</w:t>
      </w:r>
      <w:r>
        <w:rPr>
          <w:rFonts w:cs="Arial"/>
          <w:sz w:val="22"/>
          <w:szCs w:val="22"/>
        </w:rPr>
        <w:t>, whose</w:t>
      </w:r>
      <w:r w:rsidRPr="003234D9">
        <w:rPr>
          <w:rFonts w:cs="Arial"/>
          <w:sz w:val="22"/>
          <w:szCs w:val="22"/>
        </w:rPr>
        <w:t xml:space="preserve"> input was crucial to the development of the review criteria and </w:t>
      </w:r>
      <w:r>
        <w:rPr>
          <w:rFonts w:cs="Arial"/>
          <w:sz w:val="22"/>
          <w:szCs w:val="22"/>
        </w:rPr>
        <w:t xml:space="preserve">the </w:t>
      </w:r>
      <w:r w:rsidRPr="003234D9">
        <w:rPr>
          <w:rFonts w:cs="Arial"/>
          <w:sz w:val="22"/>
          <w:szCs w:val="22"/>
        </w:rPr>
        <w:t xml:space="preserve">running of the study.  </w:t>
      </w:r>
      <w:r>
        <w:rPr>
          <w:rFonts w:cs="Arial"/>
          <w:sz w:val="22"/>
          <w:szCs w:val="22"/>
        </w:rPr>
        <w:t>A second</w:t>
      </w:r>
      <w:r w:rsidRPr="003234D9">
        <w:rPr>
          <w:rFonts w:cs="Arial"/>
          <w:sz w:val="22"/>
          <w:szCs w:val="22"/>
        </w:rPr>
        <w:t xml:space="preserve"> hospital was also approached</w:t>
      </w:r>
      <w:r>
        <w:rPr>
          <w:rFonts w:cs="Arial"/>
          <w:sz w:val="22"/>
          <w:szCs w:val="22"/>
        </w:rPr>
        <w:t xml:space="preserve"> but, w</w:t>
      </w:r>
      <w:r w:rsidRPr="003234D9">
        <w:rPr>
          <w:rFonts w:cs="Arial"/>
          <w:sz w:val="22"/>
          <w:szCs w:val="22"/>
        </w:rPr>
        <w:t>hilst they were keen to participate</w:t>
      </w:r>
      <w:r>
        <w:rPr>
          <w:rFonts w:cs="Arial"/>
          <w:sz w:val="22"/>
          <w:szCs w:val="22"/>
        </w:rPr>
        <w:t>,</w:t>
      </w:r>
      <w:r w:rsidRPr="003234D9">
        <w:rPr>
          <w:rFonts w:cs="Arial"/>
          <w:sz w:val="22"/>
          <w:szCs w:val="22"/>
        </w:rPr>
        <w:t xml:space="preserve"> they did not have staff available to take part. </w:t>
      </w:r>
    </w:p>
    <w:p w14:paraId="03699308" w14:textId="77777777" w:rsidR="000923BB" w:rsidRPr="003234D9" w:rsidRDefault="000923BB" w:rsidP="000923BB">
      <w:pPr>
        <w:jc w:val="both"/>
        <w:rPr>
          <w:rFonts w:cs="Arial"/>
          <w:sz w:val="22"/>
          <w:szCs w:val="22"/>
        </w:rPr>
      </w:pPr>
    </w:p>
    <w:p w14:paraId="043A43DF" w14:textId="77777777" w:rsidR="000923BB" w:rsidRPr="003234D9" w:rsidRDefault="000923BB" w:rsidP="000923BB">
      <w:pPr>
        <w:jc w:val="both"/>
        <w:rPr>
          <w:rFonts w:cs="Arial"/>
          <w:b/>
          <w:i/>
          <w:sz w:val="22"/>
          <w:szCs w:val="22"/>
        </w:rPr>
      </w:pPr>
      <w:r w:rsidRPr="003234D9">
        <w:rPr>
          <w:rFonts w:cs="Arial"/>
          <w:b/>
          <w:i/>
          <w:sz w:val="22"/>
          <w:szCs w:val="22"/>
        </w:rPr>
        <w:t>Numbers and types of review and reviewers</w:t>
      </w:r>
      <w:r w:rsidRPr="003234D9">
        <w:rPr>
          <w:rFonts w:cs="Arial"/>
          <w:b/>
          <w:sz w:val="22"/>
          <w:szCs w:val="22"/>
        </w:rPr>
        <w:t xml:space="preserve">  </w:t>
      </w:r>
      <w:r w:rsidRPr="003234D9">
        <w:rPr>
          <w:rFonts w:cs="Arial"/>
          <w:b/>
          <w:i/>
          <w:sz w:val="22"/>
          <w:szCs w:val="22"/>
        </w:rPr>
        <w:t xml:space="preserve"> </w:t>
      </w:r>
    </w:p>
    <w:p w14:paraId="4A4A6AB3" w14:textId="77777777" w:rsidR="000923BB" w:rsidRPr="003234D9" w:rsidRDefault="000923BB" w:rsidP="000923BB">
      <w:pPr>
        <w:jc w:val="both"/>
        <w:rPr>
          <w:rFonts w:cs="Arial"/>
          <w:b/>
          <w:i/>
          <w:sz w:val="22"/>
          <w:szCs w:val="22"/>
        </w:rPr>
      </w:pPr>
      <w:r w:rsidRPr="003234D9">
        <w:rPr>
          <w:rFonts w:cs="Arial"/>
          <w:sz w:val="22"/>
          <w:szCs w:val="22"/>
        </w:rPr>
        <w:t xml:space="preserve">Two </w:t>
      </w:r>
      <w:r>
        <w:rPr>
          <w:rFonts w:cs="Arial"/>
          <w:sz w:val="22"/>
          <w:szCs w:val="22"/>
        </w:rPr>
        <w:t>doctors in training (</w:t>
      </w:r>
      <w:r w:rsidRPr="003234D9">
        <w:rPr>
          <w:rFonts w:cs="Arial"/>
          <w:sz w:val="22"/>
          <w:szCs w:val="22"/>
        </w:rPr>
        <w:t>specialist registrars</w:t>
      </w:r>
      <w:r>
        <w:rPr>
          <w:rFonts w:cs="Arial"/>
          <w:sz w:val="22"/>
          <w:szCs w:val="22"/>
        </w:rPr>
        <w:t>)</w:t>
      </w:r>
      <w:r w:rsidRPr="003234D9">
        <w:rPr>
          <w:rFonts w:cs="Arial"/>
          <w:sz w:val="22"/>
          <w:szCs w:val="22"/>
        </w:rPr>
        <w:t xml:space="preserve"> and one clinical audit nurse were recruited to review 40 records of patients admitted to hospital for </w:t>
      </w:r>
      <w:r>
        <w:rPr>
          <w:rFonts w:cs="Arial"/>
          <w:sz w:val="22"/>
          <w:szCs w:val="22"/>
        </w:rPr>
        <w:t xml:space="preserve">care for an acute </w:t>
      </w:r>
      <w:r w:rsidRPr="003234D9">
        <w:rPr>
          <w:rFonts w:cs="Arial"/>
          <w:sz w:val="22"/>
          <w:szCs w:val="22"/>
        </w:rPr>
        <w:t>stroke.</w:t>
      </w:r>
      <w:r w:rsidRPr="003234D9">
        <w:rPr>
          <w:rFonts w:cs="Arial"/>
          <w:b/>
          <w:i/>
          <w:sz w:val="22"/>
          <w:szCs w:val="22"/>
        </w:rPr>
        <w:t xml:space="preserve"> </w:t>
      </w:r>
    </w:p>
    <w:p w14:paraId="23EC20B5" w14:textId="77777777" w:rsidR="000923BB" w:rsidRPr="003234D9" w:rsidRDefault="000923BB" w:rsidP="000923BB">
      <w:pPr>
        <w:jc w:val="both"/>
        <w:rPr>
          <w:rFonts w:cs="Arial"/>
          <w:b/>
          <w:i/>
          <w:sz w:val="22"/>
          <w:szCs w:val="22"/>
        </w:rPr>
      </w:pPr>
    </w:p>
    <w:p w14:paraId="34AF84C4" w14:textId="77777777" w:rsidR="00900FF0" w:rsidRDefault="00900FF0" w:rsidP="000923BB">
      <w:pPr>
        <w:jc w:val="both"/>
        <w:rPr>
          <w:rFonts w:cs="Arial"/>
          <w:b/>
          <w:i/>
          <w:sz w:val="22"/>
          <w:szCs w:val="22"/>
        </w:rPr>
      </w:pPr>
    </w:p>
    <w:p w14:paraId="4C8511D8" w14:textId="77777777" w:rsidR="000923BB" w:rsidRPr="003234D9" w:rsidRDefault="000923BB" w:rsidP="000923BB">
      <w:pPr>
        <w:jc w:val="both"/>
        <w:rPr>
          <w:rFonts w:cs="Arial"/>
          <w:b/>
          <w:i/>
          <w:sz w:val="22"/>
          <w:szCs w:val="22"/>
        </w:rPr>
      </w:pPr>
      <w:r w:rsidRPr="003234D9">
        <w:rPr>
          <w:rFonts w:cs="Arial"/>
          <w:b/>
          <w:i/>
          <w:sz w:val="22"/>
          <w:szCs w:val="22"/>
        </w:rPr>
        <w:t>Holistic review data capture</w:t>
      </w:r>
    </w:p>
    <w:p w14:paraId="280A5F9D" w14:textId="77777777" w:rsidR="000923BB" w:rsidRPr="003234D9" w:rsidRDefault="000923BB" w:rsidP="000923BB">
      <w:pPr>
        <w:jc w:val="both"/>
        <w:rPr>
          <w:rFonts w:cs="Arial"/>
          <w:sz w:val="22"/>
          <w:szCs w:val="22"/>
        </w:rPr>
      </w:pPr>
      <w:r w:rsidRPr="003234D9">
        <w:rPr>
          <w:rFonts w:cs="Arial"/>
          <w:sz w:val="22"/>
          <w:szCs w:val="22"/>
        </w:rPr>
        <w:t xml:space="preserve">Holistic review data was collected using the same methods as in the </w:t>
      </w:r>
      <w:r>
        <w:rPr>
          <w:rFonts w:cs="Arial"/>
          <w:sz w:val="22"/>
          <w:szCs w:val="22"/>
        </w:rPr>
        <w:t>Phase One st</w:t>
      </w:r>
      <w:r w:rsidRPr="003234D9">
        <w:rPr>
          <w:rFonts w:cs="Arial"/>
          <w:sz w:val="22"/>
          <w:szCs w:val="22"/>
        </w:rPr>
        <w:t>udy</w:t>
      </w:r>
      <w:r w:rsidRPr="00A44D50">
        <w:rPr>
          <w:rFonts w:cs="Arial"/>
          <w:sz w:val="22"/>
          <w:szCs w:val="22"/>
        </w:rPr>
        <w:t>.</w:t>
      </w:r>
      <w:r w:rsidRPr="003234D9">
        <w:rPr>
          <w:rFonts w:cs="Arial"/>
          <w:sz w:val="22"/>
          <w:szCs w:val="22"/>
        </w:rPr>
        <w:t xml:space="preserve"> Reviewers were asked to provide a textual comment on the quality of care and also to rate the quality of care on a </w:t>
      </w:r>
      <w:r>
        <w:rPr>
          <w:rFonts w:cs="Arial"/>
          <w:sz w:val="22"/>
          <w:szCs w:val="22"/>
        </w:rPr>
        <w:t xml:space="preserve">six point </w:t>
      </w:r>
      <w:r w:rsidRPr="003234D9">
        <w:rPr>
          <w:rFonts w:cs="Arial"/>
          <w:sz w:val="22"/>
          <w:szCs w:val="22"/>
        </w:rPr>
        <w:t>rating scale</w:t>
      </w:r>
      <w:r>
        <w:rPr>
          <w:rFonts w:cs="Arial"/>
          <w:sz w:val="22"/>
          <w:szCs w:val="22"/>
        </w:rPr>
        <w:t xml:space="preserve"> (1= unsatisfactory, 6 = very best care)</w:t>
      </w:r>
      <w:r w:rsidRPr="003234D9">
        <w:rPr>
          <w:rFonts w:cs="Arial"/>
          <w:sz w:val="22"/>
          <w:szCs w:val="22"/>
        </w:rPr>
        <w:t xml:space="preserve">. This was done for each of 3 phases of care </w:t>
      </w:r>
      <w:r>
        <w:rPr>
          <w:rFonts w:cs="Arial"/>
          <w:sz w:val="22"/>
          <w:szCs w:val="22"/>
        </w:rPr>
        <w:t xml:space="preserve">(admission, initial management and pre-discharge) </w:t>
      </w:r>
      <w:r w:rsidRPr="003234D9">
        <w:rPr>
          <w:rFonts w:cs="Arial"/>
          <w:sz w:val="22"/>
          <w:szCs w:val="22"/>
        </w:rPr>
        <w:t xml:space="preserve">and </w:t>
      </w:r>
      <w:r>
        <w:rPr>
          <w:rFonts w:cs="Arial"/>
          <w:sz w:val="22"/>
          <w:szCs w:val="22"/>
        </w:rPr>
        <w:t xml:space="preserve">for care </w:t>
      </w:r>
      <w:r w:rsidRPr="003234D9">
        <w:rPr>
          <w:rFonts w:cs="Arial"/>
          <w:sz w:val="22"/>
          <w:szCs w:val="22"/>
        </w:rPr>
        <w:t xml:space="preserve">overall. </w:t>
      </w:r>
      <w:r>
        <w:rPr>
          <w:rFonts w:cs="Arial"/>
          <w:sz w:val="22"/>
          <w:szCs w:val="22"/>
        </w:rPr>
        <w:t>Care overall was rated on a 10 point rating scale (1 = unsatisfactory, 10 = very best care).</w:t>
      </w:r>
    </w:p>
    <w:p w14:paraId="3102E333" w14:textId="77777777" w:rsidR="000923BB" w:rsidRPr="003234D9" w:rsidRDefault="000923BB" w:rsidP="000923BB">
      <w:pPr>
        <w:jc w:val="both"/>
        <w:rPr>
          <w:rFonts w:cs="Arial"/>
          <w:b/>
          <w:i/>
          <w:sz w:val="22"/>
          <w:szCs w:val="22"/>
        </w:rPr>
      </w:pPr>
      <w:r w:rsidRPr="003234D9">
        <w:rPr>
          <w:rFonts w:cs="Arial"/>
          <w:b/>
          <w:i/>
          <w:sz w:val="22"/>
          <w:szCs w:val="22"/>
        </w:rPr>
        <w:t>Assessing the quality of recording in the case notes</w:t>
      </w:r>
    </w:p>
    <w:p w14:paraId="56D2FB36" w14:textId="77777777" w:rsidR="000923BB" w:rsidRPr="003234D9" w:rsidRDefault="000923BB" w:rsidP="000923BB">
      <w:pPr>
        <w:jc w:val="both"/>
        <w:rPr>
          <w:rFonts w:cs="Arial"/>
          <w:sz w:val="22"/>
          <w:szCs w:val="22"/>
        </w:rPr>
      </w:pPr>
      <w:r w:rsidRPr="003234D9">
        <w:rPr>
          <w:rFonts w:cs="Arial"/>
          <w:sz w:val="22"/>
          <w:szCs w:val="22"/>
        </w:rPr>
        <w:t xml:space="preserve">Evaluation of quality of care through case note review is critically dependent on the quality of recording in the case notes, together with that in associated data sources such as computerised pathology and radiology results.  In order to assess the quality and completeness of the records under review, reviewers were asked to assess the quality of each record using a six point rating scale (1 = inadequate, 6 = excellent), as per the main study. </w:t>
      </w:r>
    </w:p>
    <w:p w14:paraId="76FC1EBB" w14:textId="77777777" w:rsidR="000923BB" w:rsidRPr="003234D9" w:rsidRDefault="000923BB" w:rsidP="000923BB">
      <w:pPr>
        <w:jc w:val="both"/>
        <w:rPr>
          <w:rFonts w:cs="Arial"/>
          <w:b/>
          <w:i/>
          <w:sz w:val="22"/>
          <w:szCs w:val="22"/>
        </w:rPr>
      </w:pPr>
      <w:r>
        <w:rPr>
          <w:rFonts w:cs="Arial"/>
          <w:b/>
          <w:i/>
          <w:sz w:val="22"/>
          <w:szCs w:val="22"/>
        </w:rPr>
        <w:t>Review c</w:t>
      </w:r>
      <w:r w:rsidRPr="003234D9">
        <w:rPr>
          <w:rFonts w:cs="Arial"/>
          <w:b/>
          <w:i/>
          <w:sz w:val="22"/>
          <w:szCs w:val="22"/>
        </w:rPr>
        <w:t xml:space="preserve">riteria development for </w:t>
      </w:r>
      <w:r>
        <w:rPr>
          <w:rFonts w:cs="Arial"/>
          <w:b/>
          <w:i/>
          <w:sz w:val="22"/>
          <w:szCs w:val="22"/>
        </w:rPr>
        <w:t>s</w:t>
      </w:r>
      <w:r w:rsidRPr="003234D9">
        <w:rPr>
          <w:rFonts w:cs="Arial"/>
          <w:b/>
          <w:i/>
          <w:sz w:val="22"/>
          <w:szCs w:val="22"/>
        </w:rPr>
        <w:t>troke</w:t>
      </w:r>
      <w:r>
        <w:rPr>
          <w:rFonts w:cs="Arial"/>
          <w:b/>
          <w:i/>
          <w:sz w:val="22"/>
          <w:szCs w:val="22"/>
        </w:rPr>
        <w:t xml:space="preserve"> care</w:t>
      </w:r>
    </w:p>
    <w:p w14:paraId="4133DD27" w14:textId="77777777" w:rsidR="000923BB" w:rsidRPr="003234D9" w:rsidRDefault="000923BB" w:rsidP="000923BB">
      <w:pPr>
        <w:jc w:val="both"/>
        <w:rPr>
          <w:rFonts w:cs="Arial"/>
          <w:sz w:val="22"/>
          <w:szCs w:val="22"/>
        </w:rPr>
      </w:pPr>
      <w:r>
        <w:rPr>
          <w:rFonts w:cs="Arial"/>
          <w:sz w:val="22"/>
          <w:szCs w:val="22"/>
        </w:rPr>
        <w:t>The basis for the development of the review criteria was an</w:t>
      </w:r>
      <w:r w:rsidRPr="003234D9">
        <w:rPr>
          <w:rFonts w:cs="Arial"/>
          <w:sz w:val="22"/>
          <w:szCs w:val="22"/>
        </w:rPr>
        <w:t xml:space="preserve"> already established criterion based audit dataset</w:t>
      </w:r>
      <w:r>
        <w:rPr>
          <w:rFonts w:cs="Arial"/>
          <w:sz w:val="22"/>
          <w:szCs w:val="22"/>
        </w:rPr>
        <w:t xml:space="preserve"> within the</w:t>
      </w:r>
      <w:r w:rsidRPr="003234D9">
        <w:rPr>
          <w:rFonts w:cs="Arial"/>
          <w:sz w:val="22"/>
          <w:szCs w:val="22"/>
        </w:rPr>
        <w:t xml:space="preserve"> National Sentinel Stroke audit</w:t>
      </w:r>
      <w:r>
        <w:rPr>
          <w:rFonts w:cs="Arial"/>
          <w:sz w:val="22"/>
          <w:szCs w:val="22"/>
        </w:rPr>
        <w:t xml:space="preserve">, </w:t>
      </w:r>
      <w:r w:rsidRPr="003234D9">
        <w:rPr>
          <w:rFonts w:cs="Arial"/>
          <w:sz w:val="22"/>
          <w:szCs w:val="22"/>
        </w:rPr>
        <w:t xml:space="preserve">an organisational and clinical audit </w:t>
      </w:r>
      <w:r>
        <w:rPr>
          <w:rFonts w:cs="Arial"/>
          <w:sz w:val="22"/>
          <w:szCs w:val="22"/>
        </w:rPr>
        <w:t>compris</w:t>
      </w:r>
      <w:r w:rsidRPr="003234D9">
        <w:rPr>
          <w:rFonts w:cs="Arial"/>
          <w:sz w:val="22"/>
          <w:szCs w:val="22"/>
        </w:rPr>
        <w:t xml:space="preserve">ing 94 criterion. We developed a shorter version of the clinical </w:t>
      </w:r>
      <w:r>
        <w:rPr>
          <w:rFonts w:cs="Arial"/>
          <w:sz w:val="22"/>
          <w:szCs w:val="22"/>
        </w:rPr>
        <w:t xml:space="preserve">component of the national </w:t>
      </w:r>
      <w:r w:rsidRPr="003234D9">
        <w:rPr>
          <w:rFonts w:cs="Arial"/>
          <w:sz w:val="22"/>
          <w:szCs w:val="22"/>
        </w:rPr>
        <w:t xml:space="preserve">audit </w:t>
      </w:r>
      <w:r>
        <w:rPr>
          <w:rFonts w:cs="Arial"/>
          <w:sz w:val="22"/>
          <w:szCs w:val="22"/>
        </w:rPr>
        <w:t xml:space="preserve">dataset </w:t>
      </w:r>
      <w:r w:rsidRPr="003234D9">
        <w:rPr>
          <w:rFonts w:cs="Arial"/>
          <w:sz w:val="22"/>
          <w:szCs w:val="22"/>
        </w:rPr>
        <w:t xml:space="preserve">through discussions with </w:t>
      </w:r>
      <w:r>
        <w:rPr>
          <w:rFonts w:cs="Arial"/>
          <w:sz w:val="22"/>
          <w:szCs w:val="22"/>
        </w:rPr>
        <w:t>s</w:t>
      </w:r>
      <w:r w:rsidRPr="003234D9">
        <w:rPr>
          <w:rFonts w:cs="Arial"/>
          <w:sz w:val="22"/>
          <w:szCs w:val="22"/>
        </w:rPr>
        <w:t>troke care staff</w:t>
      </w:r>
      <w:r>
        <w:rPr>
          <w:rFonts w:cs="Arial"/>
          <w:sz w:val="22"/>
          <w:szCs w:val="22"/>
        </w:rPr>
        <w:t>, using the same approach as the Phase One study</w:t>
      </w:r>
      <w:r w:rsidRPr="00A44D50">
        <w:rPr>
          <w:rFonts w:cs="Arial"/>
          <w:sz w:val="22"/>
          <w:szCs w:val="22"/>
        </w:rPr>
        <w:t>.</w:t>
      </w:r>
      <w:r w:rsidRPr="003234D9">
        <w:rPr>
          <w:rFonts w:cs="Arial"/>
          <w:sz w:val="22"/>
          <w:szCs w:val="22"/>
        </w:rPr>
        <w:t xml:space="preserve"> </w:t>
      </w:r>
    </w:p>
    <w:p w14:paraId="7DB7E653" w14:textId="77777777" w:rsidR="000923BB" w:rsidRDefault="000923BB" w:rsidP="000923BB">
      <w:pPr>
        <w:jc w:val="both"/>
        <w:rPr>
          <w:rFonts w:cs="Arial"/>
          <w:sz w:val="22"/>
          <w:szCs w:val="22"/>
        </w:rPr>
      </w:pPr>
      <w:r w:rsidRPr="003234D9">
        <w:rPr>
          <w:rFonts w:cs="Arial"/>
          <w:sz w:val="22"/>
          <w:szCs w:val="22"/>
        </w:rPr>
        <w:t xml:space="preserve">For the </w:t>
      </w:r>
      <w:r>
        <w:rPr>
          <w:rFonts w:cs="Arial"/>
          <w:sz w:val="22"/>
          <w:szCs w:val="22"/>
        </w:rPr>
        <w:t>s</w:t>
      </w:r>
      <w:r w:rsidRPr="003234D9">
        <w:rPr>
          <w:rFonts w:cs="Arial"/>
          <w:sz w:val="22"/>
          <w:szCs w:val="22"/>
        </w:rPr>
        <w:t xml:space="preserve">troke study criterion based questions, pre-defined answer options were provided for all questions. Usually, the options were “Yes”, “No” and “Not recorded”. Reviewers were instructed to answer </w:t>
      </w:r>
      <w:r>
        <w:rPr>
          <w:rFonts w:cs="Arial"/>
          <w:sz w:val="22"/>
          <w:szCs w:val="22"/>
        </w:rPr>
        <w:t xml:space="preserve">“Yes” if the care was provided or the result of a test was in the patient record and </w:t>
      </w:r>
      <w:r w:rsidRPr="003234D9">
        <w:rPr>
          <w:rFonts w:cs="Arial"/>
          <w:sz w:val="22"/>
          <w:szCs w:val="22"/>
        </w:rPr>
        <w:t xml:space="preserve">“No” if </w:t>
      </w:r>
      <w:r>
        <w:rPr>
          <w:rFonts w:cs="Arial"/>
          <w:sz w:val="22"/>
          <w:szCs w:val="22"/>
        </w:rPr>
        <w:t>the care</w:t>
      </w:r>
      <w:r w:rsidRPr="003234D9">
        <w:rPr>
          <w:rFonts w:cs="Arial"/>
          <w:sz w:val="22"/>
          <w:szCs w:val="22"/>
        </w:rPr>
        <w:t xml:space="preserve"> was not </w:t>
      </w:r>
      <w:r>
        <w:rPr>
          <w:rFonts w:cs="Arial"/>
          <w:sz w:val="22"/>
          <w:szCs w:val="22"/>
        </w:rPr>
        <w:t>provided for a valid reason. E</w:t>
      </w:r>
      <w:r w:rsidRPr="003234D9">
        <w:rPr>
          <w:rFonts w:cs="Arial"/>
          <w:sz w:val="22"/>
          <w:szCs w:val="22"/>
        </w:rPr>
        <w:t>xamples of valid reasons were provided for each question</w:t>
      </w:r>
      <w:r>
        <w:rPr>
          <w:rFonts w:cs="Arial"/>
          <w:sz w:val="22"/>
          <w:szCs w:val="22"/>
        </w:rPr>
        <w:t xml:space="preserve"> and included things such as if the patient died, or was unconscious or was receiving palliative care</w:t>
      </w:r>
      <w:r w:rsidRPr="003234D9">
        <w:rPr>
          <w:rFonts w:cs="Arial"/>
          <w:sz w:val="22"/>
          <w:szCs w:val="22"/>
        </w:rPr>
        <w:t>. Reviewers were instructed to answer “Not recorded“</w:t>
      </w:r>
      <w:r>
        <w:rPr>
          <w:rFonts w:cs="Arial"/>
          <w:sz w:val="22"/>
          <w:szCs w:val="22"/>
        </w:rPr>
        <w:t xml:space="preserve"> </w:t>
      </w:r>
      <w:r w:rsidRPr="003234D9">
        <w:rPr>
          <w:rFonts w:cs="Arial"/>
          <w:sz w:val="22"/>
          <w:szCs w:val="22"/>
        </w:rPr>
        <w:t>if the information they were looking for was missing from the record. Where information is missing from the record it is presumed that that care was not provided.</w:t>
      </w:r>
    </w:p>
    <w:p w14:paraId="130BF118" w14:textId="77777777" w:rsidR="000923BB" w:rsidRPr="003234D9" w:rsidRDefault="000923BB" w:rsidP="000923BB">
      <w:pPr>
        <w:jc w:val="both"/>
        <w:rPr>
          <w:rFonts w:cs="Arial"/>
          <w:b/>
          <w:i/>
          <w:sz w:val="22"/>
          <w:szCs w:val="22"/>
        </w:rPr>
      </w:pPr>
      <w:r w:rsidRPr="003234D9">
        <w:rPr>
          <w:rFonts w:cs="Arial"/>
          <w:b/>
          <w:i/>
          <w:sz w:val="22"/>
          <w:szCs w:val="22"/>
        </w:rPr>
        <w:t>Developing data capture tools</w:t>
      </w:r>
    </w:p>
    <w:p w14:paraId="4C2CF1C5" w14:textId="77777777" w:rsidR="000923BB" w:rsidRPr="003234D9" w:rsidRDefault="000923BB" w:rsidP="000923BB">
      <w:pPr>
        <w:jc w:val="both"/>
        <w:rPr>
          <w:rFonts w:cs="Arial"/>
          <w:sz w:val="22"/>
          <w:szCs w:val="22"/>
        </w:rPr>
      </w:pPr>
      <w:r w:rsidRPr="003234D9">
        <w:rPr>
          <w:rFonts w:cs="Arial"/>
          <w:sz w:val="22"/>
          <w:szCs w:val="22"/>
        </w:rPr>
        <w:t>Data collection materials were developed in Micro</w:t>
      </w:r>
      <w:r>
        <w:rPr>
          <w:rFonts w:cs="Arial"/>
          <w:sz w:val="22"/>
          <w:szCs w:val="22"/>
        </w:rPr>
        <w:t>s</w:t>
      </w:r>
      <w:r w:rsidRPr="003234D9">
        <w:rPr>
          <w:rFonts w:cs="Arial"/>
          <w:sz w:val="22"/>
          <w:szCs w:val="22"/>
        </w:rPr>
        <w:t>oft Access</w:t>
      </w:r>
      <w:r w:rsidRPr="00075546">
        <w:rPr>
          <w:rFonts w:cs="Arial"/>
          <w:sz w:val="22"/>
          <w:szCs w:val="22"/>
          <w:vertAlign w:val="superscript"/>
        </w:rPr>
        <w:t>©</w:t>
      </w:r>
      <w:r w:rsidRPr="003234D9">
        <w:rPr>
          <w:rFonts w:cs="Arial"/>
          <w:sz w:val="22"/>
          <w:szCs w:val="22"/>
        </w:rPr>
        <w:t xml:space="preserve"> and were designed to be easily used by the reviewers. The software had a facility</w:t>
      </w:r>
      <w:r>
        <w:rPr>
          <w:rFonts w:cs="Arial"/>
          <w:sz w:val="22"/>
          <w:szCs w:val="22"/>
        </w:rPr>
        <w:t xml:space="preserve"> to</w:t>
      </w:r>
      <w:r w:rsidRPr="003234D9">
        <w:rPr>
          <w:rFonts w:cs="Arial"/>
          <w:sz w:val="22"/>
          <w:szCs w:val="22"/>
        </w:rPr>
        <w:t xml:space="preserve"> easily export</w:t>
      </w:r>
      <w:r>
        <w:rPr>
          <w:rFonts w:cs="Arial"/>
          <w:sz w:val="22"/>
          <w:szCs w:val="22"/>
        </w:rPr>
        <w:t xml:space="preserve"> formatted data</w:t>
      </w:r>
      <w:r w:rsidRPr="003234D9">
        <w:rPr>
          <w:rFonts w:cs="Arial"/>
          <w:sz w:val="22"/>
          <w:szCs w:val="22"/>
        </w:rPr>
        <w:t xml:space="preserve"> to the study team. </w:t>
      </w:r>
    </w:p>
    <w:p w14:paraId="7343FA6A" w14:textId="77777777" w:rsidR="000923BB" w:rsidRPr="003234D9" w:rsidRDefault="000923BB" w:rsidP="000923BB">
      <w:pPr>
        <w:jc w:val="both"/>
        <w:rPr>
          <w:rFonts w:cs="Arial"/>
          <w:b/>
          <w:i/>
          <w:sz w:val="22"/>
          <w:szCs w:val="22"/>
        </w:rPr>
      </w:pPr>
      <w:r w:rsidRPr="003234D9">
        <w:rPr>
          <w:rFonts w:cs="Arial"/>
          <w:b/>
          <w:i/>
          <w:sz w:val="22"/>
          <w:szCs w:val="22"/>
        </w:rPr>
        <w:t>Staff training</w:t>
      </w:r>
    </w:p>
    <w:p w14:paraId="11EAAB46" w14:textId="77777777" w:rsidR="000923BB" w:rsidRPr="003234D9" w:rsidRDefault="000923BB" w:rsidP="000923BB">
      <w:pPr>
        <w:jc w:val="both"/>
        <w:rPr>
          <w:rFonts w:cs="Arial"/>
          <w:sz w:val="22"/>
          <w:szCs w:val="22"/>
        </w:rPr>
      </w:pPr>
      <w:r w:rsidRPr="003234D9">
        <w:rPr>
          <w:rFonts w:cs="Arial"/>
          <w:sz w:val="22"/>
          <w:szCs w:val="22"/>
        </w:rPr>
        <w:t xml:space="preserve">Where possible, </w:t>
      </w:r>
      <w:r>
        <w:rPr>
          <w:rFonts w:cs="Arial"/>
          <w:sz w:val="22"/>
          <w:szCs w:val="22"/>
        </w:rPr>
        <w:t xml:space="preserve">we intended for </w:t>
      </w:r>
      <w:r w:rsidRPr="003234D9">
        <w:rPr>
          <w:rFonts w:cs="Arial"/>
          <w:sz w:val="22"/>
          <w:szCs w:val="22"/>
        </w:rPr>
        <w:t xml:space="preserve">staff reviewing records for the </w:t>
      </w:r>
      <w:r>
        <w:rPr>
          <w:rFonts w:cs="Arial"/>
          <w:sz w:val="22"/>
          <w:szCs w:val="22"/>
        </w:rPr>
        <w:t>s</w:t>
      </w:r>
      <w:r w:rsidRPr="003234D9">
        <w:rPr>
          <w:rFonts w:cs="Arial"/>
          <w:sz w:val="22"/>
          <w:szCs w:val="22"/>
        </w:rPr>
        <w:t xml:space="preserve">troke </w:t>
      </w:r>
      <w:r>
        <w:rPr>
          <w:rFonts w:cs="Arial"/>
          <w:sz w:val="22"/>
          <w:szCs w:val="22"/>
        </w:rPr>
        <w:t xml:space="preserve">care </w:t>
      </w:r>
      <w:r w:rsidRPr="003234D9">
        <w:rPr>
          <w:rFonts w:cs="Arial"/>
          <w:sz w:val="22"/>
          <w:szCs w:val="22"/>
        </w:rPr>
        <w:t>study attended one of the training days for the main study</w:t>
      </w:r>
      <w:r>
        <w:rPr>
          <w:rFonts w:cs="Arial"/>
          <w:sz w:val="22"/>
          <w:szCs w:val="22"/>
        </w:rPr>
        <w:t xml:space="preserve">, although only </w:t>
      </w:r>
      <w:r w:rsidRPr="003234D9">
        <w:rPr>
          <w:rFonts w:cs="Arial"/>
          <w:sz w:val="22"/>
          <w:szCs w:val="22"/>
        </w:rPr>
        <w:t xml:space="preserve">the </w:t>
      </w:r>
      <w:r>
        <w:rPr>
          <w:rFonts w:cs="Arial"/>
          <w:sz w:val="22"/>
          <w:szCs w:val="22"/>
        </w:rPr>
        <w:t xml:space="preserve">nursing trained </w:t>
      </w:r>
      <w:r w:rsidRPr="003234D9">
        <w:rPr>
          <w:rFonts w:cs="Arial"/>
          <w:sz w:val="22"/>
          <w:szCs w:val="22"/>
        </w:rPr>
        <w:t>clinical reviewer was able to attend the training day</w:t>
      </w:r>
      <w:r>
        <w:rPr>
          <w:rFonts w:cs="Arial"/>
          <w:sz w:val="22"/>
          <w:szCs w:val="22"/>
        </w:rPr>
        <w:t>. T</w:t>
      </w:r>
      <w:r w:rsidRPr="003234D9">
        <w:rPr>
          <w:rFonts w:cs="Arial"/>
          <w:sz w:val="22"/>
          <w:szCs w:val="22"/>
        </w:rPr>
        <w:t xml:space="preserve">he two </w:t>
      </w:r>
      <w:r>
        <w:rPr>
          <w:rFonts w:cs="Arial"/>
          <w:sz w:val="22"/>
          <w:szCs w:val="22"/>
        </w:rPr>
        <w:t>doctors</w:t>
      </w:r>
      <w:r w:rsidRPr="003234D9">
        <w:rPr>
          <w:rFonts w:cs="Arial"/>
          <w:sz w:val="22"/>
          <w:szCs w:val="22"/>
        </w:rPr>
        <w:t xml:space="preserve"> were unable to </w:t>
      </w:r>
      <w:r w:rsidRPr="003234D9">
        <w:rPr>
          <w:rFonts w:cs="Arial"/>
          <w:sz w:val="22"/>
          <w:szCs w:val="22"/>
        </w:rPr>
        <w:lastRenderedPageBreak/>
        <w:t>attend due to clinical commitments</w:t>
      </w:r>
      <w:r>
        <w:rPr>
          <w:rFonts w:cs="Arial"/>
          <w:sz w:val="22"/>
          <w:szCs w:val="22"/>
        </w:rPr>
        <w:t>, so o</w:t>
      </w:r>
      <w:r w:rsidRPr="003234D9">
        <w:rPr>
          <w:rFonts w:cs="Arial"/>
          <w:sz w:val="22"/>
          <w:szCs w:val="22"/>
        </w:rPr>
        <w:t>ne</w:t>
      </w:r>
      <w:r>
        <w:rPr>
          <w:rFonts w:cs="Arial"/>
          <w:sz w:val="22"/>
          <w:szCs w:val="22"/>
        </w:rPr>
        <w:t xml:space="preserve"> </w:t>
      </w:r>
      <w:r w:rsidRPr="003234D9">
        <w:rPr>
          <w:rFonts w:cs="Arial"/>
          <w:sz w:val="22"/>
          <w:szCs w:val="22"/>
        </w:rPr>
        <w:t>attended a one</w:t>
      </w:r>
      <w:r>
        <w:rPr>
          <w:rFonts w:cs="Arial"/>
          <w:sz w:val="22"/>
          <w:szCs w:val="22"/>
        </w:rPr>
        <w:t>-</w:t>
      </w:r>
      <w:r w:rsidRPr="003234D9">
        <w:rPr>
          <w:rFonts w:cs="Arial"/>
          <w:sz w:val="22"/>
          <w:szCs w:val="22"/>
        </w:rPr>
        <w:t>to</w:t>
      </w:r>
      <w:r>
        <w:rPr>
          <w:rFonts w:cs="Arial"/>
          <w:sz w:val="22"/>
          <w:szCs w:val="22"/>
        </w:rPr>
        <w:t>-</w:t>
      </w:r>
      <w:r w:rsidRPr="003234D9">
        <w:rPr>
          <w:rFonts w:cs="Arial"/>
          <w:sz w:val="22"/>
          <w:szCs w:val="22"/>
        </w:rPr>
        <w:t xml:space="preserve">one training session with the study </w:t>
      </w:r>
      <w:r>
        <w:rPr>
          <w:rFonts w:cs="Arial"/>
          <w:sz w:val="22"/>
          <w:szCs w:val="22"/>
        </w:rPr>
        <w:t>p</w:t>
      </w:r>
      <w:r w:rsidRPr="003234D9">
        <w:rPr>
          <w:rFonts w:cs="Arial"/>
          <w:sz w:val="22"/>
          <w:szCs w:val="22"/>
        </w:rPr>
        <w:t xml:space="preserve">roject </w:t>
      </w:r>
      <w:r>
        <w:rPr>
          <w:rFonts w:cs="Arial"/>
          <w:sz w:val="22"/>
          <w:szCs w:val="22"/>
        </w:rPr>
        <w:t>m</w:t>
      </w:r>
      <w:r w:rsidRPr="003234D9">
        <w:rPr>
          <w:rFonts w:cs="Arial"/>
          <w:sz w:val="22"/>
          <w:szCs w:val="22"/>
        </w:rPr>
        <w:t xml:space="preserve">anager, whilst the other was trained via telephone by the </w:t>
      </w:r>
      <w:r>
        <w:rPr>
          <w:rFonts w:cs="Arial"/>
          <w:sz w:val="22"/>
          <w:szCs w:val="22"/>
        </w:rPr>
        <w:t>p</w:t>
      </w:r>
      <w:r w:rsidRPr="003234D9">
        <w:rPr>
          <w:rFonts w:cs="Arial"/>
          <w:sz w:val="22"/>
          <w:szCs w:val="22"/>
        </w:rPr>
        <w:t xml:space="preserve">roject </w:t>
      </w:r>
      <w:r>
        <w:rPr>
          <w:rFonts w:cs="Arial"/>
          <w:sz w:val="22"/>
          <w:szCs w:val="22"/>
        </w:rPr>
        <w:t>m</w:t>
      </w:r>
      <w:r w:rsidRPr="003234D9">
        <w:rPr>
          <w:rFonts w:cs="Arial"/>
          <w:sz w:val="22"/>
          <w:szCs w:val="22"/>
        </w:rPr>
        <w:t xml:space="preserve">anager. </w:t>
      </w:r>
    </w:p>
    <w:p w14:paraId="72B94C28" w14:textId="77777777" w:rsidR="000923BB" w:rsidRPr="003234D9" w:rsidRDefault="000923BB" w:rsidP="000923BB">
      <w:pPr>
        <w:jc w:val="both"/>
        <w:rPr>
          <w:rFonts w:cs="Arial"/>
          <w:b/>
          <w:i/>
          <w:sz w:val="22"/>
          <w:szCs w:val="22"/>
        </w:rPr>
      </w:pPr>
    </w:p>
    <w:p w14:paraId="49AB8F6B" w14:textId="77777777" w:rsidR="000923BB" w:rsidRPr="003234D9" w:rsidRDefault="000923BB" w:rsidP="000923BB">
      <w:pPr>
        <w:jc w:val="both"/>
        <w:rPr>
          <w:rFonts w:cs="Arial"/>
          <w:sz w:val="22"/>
          <w:szCs w:val="22"/>
        </w:rPr>
      </w:pPr>
      <w:r w:rsidRPr="003234D9">
        <w:rPr>
          <w:rFonts w:cs="Arial"/>
          <w:b/>
          <w:i/>
          <w:sz w:val="22"/>
          <w:szCs w:val="22"/>
        </w:rPr>
        <w:t>Analysis methods</w:t>
      </w:r>
    </w:p>
    <w:p w14:paraId="55A9E37F" w14:textId="77777777" w:rsidR="000923BB" w:rsidRPr="00AB4BF7" w:rsidRDefault="000923BB" w:rsidP="000923BB">
      <w:pPr>
        <w:jc w:val="both"/>
        <w:rPr>
          <w:rFonts w:cs="Arial"/>
          <w:sz w:val="22"/>
          <w:szCs w:val="22"/>
          <w:u w:val="single"/>
        </w:rPr>
      </w:pPr>
      <w:r w:rsidRPr="00AB4BF7">
        <w:rPr>
          <w:rFonts w:cs="Arial"/>
          <w:sz w:val="22"/>
          <w:szCs w:val="22"/>
          <w:u w:val="single"/>
        </w:rPr>
        <w:t>Holistic scale score analysis</w:t>
      </w:r>
    </w:p>
    <w:p w14:paraId="718960FE" w14:textId="77777777" w:rsidR="000923BB" w:rsidRPr="003234D9" w:rsidRDefault="000923BB" w:rsidP="000923BB">
      <w:pPr>
        <w:jc w:val="both"/>
        <w:rPr>
          <w:rFonts w:cs="Arial"/>
          <w:sz w:val="22"/>
          <w:szCs w:val="22"/>
        </w:rPr>
      </w:pPr>
      <w:r w:rsidRPr="003234D9">
        <w:rPr>
          <w:rFonts w:cs="Arial"/>
          <w:sz w:val="22"/>
          <w:szCs w:val="22"/>
        </w:rPr>
        <w:t xml:space="preserve">Summary statistics for the holistic </w:t>
      </w:r>
      <w:r>
        <w:rPr>
          <w:rFonts w:cs="Arial"/>
          <w:sz w:val="22"/>
          <w:szCs w:val="22"/>
        </w:rPr>
        <w:t>quality of care</w:t>
      </w:r>
      <w:r w:rsidRPr="003234D9">
        <w:rPr>
          <w:rFonts w:cs="Arial"/>
          <w:sz w:val="22"/>
          <w:szCs w:val="22"/>
        </w:rPr>
        <w:t xml:space="preserve"> </w:t>
      </w:r>
      <w:r>
        <w:rPr>
          <w:rFonts w:cs="Arial"/>
          <w:sz w:val="22"/>
          <w:szCs w:val="22"/>
        </w:rPr>
        <w:t>ratings</w:t>
      </w:r>
      <w:r w:rsidRPr="003234D9">
        <w:rPr>
          <w:rFonts w:cs="Arial"/>
          <w:sz w:val="22"/>
          <w:szCs w:val="22"/>
        </w:rPr>
        <w:t xml:space="preserve"> were calculated for each reviewer, for the phases of care and overall data. </w:t>
      </w:r>
      <w:r>
        <w:rPr>
          <w:rFonts w:cs="Arial"/>
          <w:sz w:val="22"/>
          <w:szCs w:val="22"/>
        </w:rPr>
        <w:t>Box and whisker plots comparing the quality of care ratings for the phases of care and overall quality of care for each reviewer were also produced.</w:t>
      </w:r>
    </w:p>
    <w:p w14:paraId="3E5AD2A8" w14:textId="77777777" w:rsidR="000923BB" w:rsidRDefault="000923BB" w:rsidP="000923BB">
      <w:pPr>
        <w:jc w:val="both"/>
        <w:rPr>
          <w:rFonts w:cs="Arial"/>
          <w:sz w:val="22"/>
          <w:szCs w:val="22"/>
          <w:u w:val="single"/>
        </w:rPr>
      </w:pPr>
      <w:r w:rsidRPr="00600E56">
        <w:rPr>
          <w:rFonts w:cs="Arial"/>
          <w:sz w:val="22"/>
          <w:szCs w:val="22"/>
          <w:u w:val="single"/>
        </w:rPr>
        <w:t>Measuring reliability between reviewer pairs</w:t>
      </w:r>
    </w:p>
    <w:p w14:paraId="3D503D8A" w14:textId="77777777" w:rsidR="000923BB" w:rsidRPr="002908FA" w:rsidRDefault="000923BB" w:rsidP="000923BB">
      <w:pPr>
        <w:jc w:val="both"/>
        <w:rPr>
          <w:rFonts w:cs="Arial"/>
          <w:sz w:val="22"/>
          <w:szCs w:val="22"/>
        </w:rPr>
      </w:pPr>
      <w:r w:rsidRPr="002908FA">
        <w:rPr>
          <w:rFonts w:cs="Arial"/>
          <w:sz w:val="22"/>
          <w:szCs w:val="22"/>
        </w:rPr>
        <w:t>The reliability between the reviewers overall quality of care ratings was assessed by calculating Interclass Correlation Coefficients</w:t>
      </w:r>
      <w:r>
        <w:rPr>
          <w:rFonts w:cs="Arial"/>
          <w:sz w:val="22"/>
          <w:szCs w:val="22"/>
        </w:rPr>
        <w:t xml:space="preserve"> (ICCs)</w:t>
      </w:r>
      <w:r w:rsidRPr="002908FA">
        <w:rPr>
          <w:rFonts w:cs="Arial"/>
          <w:sz w:val="22"/>
          <w:szCs w:val="22"/>
        </w:rPr>
        <w:t xml:space="preserve"> in SPSS. </w:t>
      </w:r>
      <w:r>
        <w:rPr>
          <w:rFonts w:cs="Arial"/>
          <w:sz w:val="22"/>
          <w:szCs w:val="22"/>
        </w:rPr>
        <w:t xml:space="preserve">ICCs were calculated for each reviewer pair (Doctor 1 v Doctor 2, Doctor 1 v Clinical audit 1 and Doctor 2 v Clinical audit 1) as well as a combined ICC for all three reviewers. </w:t>
      </w:r>
    </w:p>
    <w:p w14:paraId="4A55AE0D" w14:textId="77777777" w:rsidR="000923BB" w:rsidRDefault="000923BB" w:rsidP="000923BB">
      <w:pPr>
        <w:jc w:val="both"/>
        <w:rPr>
          <w:rFonts w:cs="Arial"/>
          <w:sz w:val="22"/>
          <w:szCs w:val="22"/>
        </w:rPr>
      </w:pPr>
      <w:r w:rsidRPr="00600E56">
        <w:rPr>
          <w:rFonts w:cs="Arial"/>
          <w:sz w:val="22"/>
          <w:szCs w:val="22"/>
          <w:u w:val="single"/>
        </w:rPr>
        <w:t>Criterion based review</w:t>
      </w:r>
    </w:p>
    <w:p w14:paraId="5402F72C" w14:textId="77777777" w:rsidR="000923BB" w:rsidRDefault="000923BB" w:rsidP="000923BB">
      <w:pPr>
        <w:jc w:val="both"/>
        <w:rPr>
          <w:rFonts w:cs="Arial"/>
          <w:sz w:val="22"/>
          <w:szCs w:val="22"/>
        </w:rPr>
      </w:pPr>
      <w:r w:rsidRPr="00F734DC">
        <w:rPr>
          <w:rFonts w:cs="Arial"/>
          <w:sz w:val="22"/>
          <w:szCs w:val="22"/>
        </w:rPr>
        <w:t>The score for each criterion was summed to create quality of care scores for each phase of care and overall. Summary statistics for the criterion based quality of care score were calculated, as were box and whisker plots comparing the three reviewer</w:t>
      </w:r>
      <w:r>
        <w:rPr>
          <w:rFonts w:cs="Arial"/>
          <w:sz w:val="22"/>
          <w:szCs w:val="22"/>
        </w:rPr>
        <w:t>’</w:t>
      </w:r>
      <w:r w:rsidRPr="00F734DC">
        <w:rPr>
          <w:rFonts w:cs="Arial"/>
          <w:sz w:val="22"/>
          <w:szCs w:val="22"/>
        </w:rPr>
        <w:t xml:space="preserve">s data. </w:t>
      </w:r>
    </w:p>
    <w:p w14:paraId="10D133A5" w14:textId="77777777" w:rsidR="000923BB" w:rsidRDefault="000923BB" w:rsidP="000923BB">
      <w:pPr>
        <w:jc w:val="both"/>
        <w:rPr>
          <w:rFonts w:cs="Arial"/>
          <w:sz w:val="22"/>
          <w:szCs w:val="22"/>
          <w:u w:val="single"/>
        </w:rPr>
      </w:pPr>
      <w:r w:rsidRPr="00600E56">
        <w:rPr>
          <w:rFonts w:cs="Arial"/>
          <w:sz w:val="22"/>
          <w:szCs w:val="22"/>
          <w:u w:val="single"/>
        </w:rPr>
        <w:t>Measuring reliability between reviewer pairs</w:t>
      </w:r>
    </w:p>
    <w:p w14:paraId="44B7008E" w14:textId="77777777" w:rsidR="000923BB" w:rsidRDefault="000923BB" w:rsidP="000923BB">
      <w:pPr>
        <w:jc w:val="both"/>
        <w:rPr>
          <w:rFonts w:cs="Arial"/>
          <w:sz w:val="22"/>
          <w:szCs w:val="22"/>
        </w:rPr>
      </w:pPr>
      <w:r>
        <w:rPr>
          <w:rFonts w:cs="Arial"/>
          <w:sz w:val="22"/>
          <w:szCs w:val="22"/>
        </w:rPr>
        <w:t xml:space="preserve">ICCs were used to assess the inter-rater reliability of the criterion based quality of care scores. As with the holistic reliability analysis, ICCs were calculated for each reviewer pair and for all three reviewers. </w:t>
      </w:r>
    </w:p>
    <w:p w14:paraId="3B9D2998" w14:textId="77777777" w:rsidR="000923BB" w:rsidRPr="003234D9" w:rsidRDefault="000923BB" w:rsidP="000923BB">
      <w:pPr>
        <w:jc w:val="both"/>
        <w:rPr>
          <w:rFonts w:cs="Arial"/>
          <w:b/>
          <w:i/>
          <w:sz w:val="22"/>
          <w:szCs w:val="22"/>
        </w:rPr>
      </w:pPr>
    </w:p>
    <w:p w14:paraId="1751762D" w14:textId="77777777" w:rsidR="000923BB" w:rsidRDefault="000923BB" w:rsidP="000923BB">
      <w:pPr>
        <w:jc w:val="both"/>
        <w:rPr>
          <w:rFonts w:cs="Arial"/>
          <w:b/>
          <w:i/>
          <w:sz w:val="22"/>
          <w:szCs w:val="22"/>
        </w:rPr>
      </w:pPr>
      <w:r w:rsidRPr="003234D9">
        <w:rPr>
          <w:rFonts w:cs="Arial"/>
          <w:b/>
          <w:i/>
          <w:sz w:val="22"/>
          <w:szCs w:val="22"/>
        </w:rPr>
        <w:t>Ethics review</w:t>
      </w:r>
    </w:p>
    <w:p w14:paraId="2B2F5A8A" w14:textId="77777777" w:rsidR="000923BB" w:rsidRDefault="000923BB" w:rsidP="000923BB">
      <w:pPr>
        <w:jc w:val="both"/>
        <w:rPr>
          <w:rFonts w:cs="Arial"/>
          <w:sz w:val="22"/>
          <w:szCs w:val="22"/>
        </w:rPr>
      </w:pPr>
      <w:r w:rsidRPr="007D3354">
        <w:rPr>
          <w:rFonts w:cs="Arial"/>
          <w:sz w:val="22"/>
          <w:szCs w:val="22"/>
        </w:rPr>
        <w:t>The ethics review was the same as that for the main stud</w:t>
      </w:r>
      <w:r>
        <w:rPr>
          <w:rFonts w:cs="Arial"/>
          <w:sz w:val="22"/>
          <w:szCs w:val="22"/>
        </w:rPr>
        <w:t>ies</w:t>
      </w:r>
      <w:r w:rsidRPr="007D3354">
        <w:rPr>
          <w:rFonts w:cs="Arial"/>
          <w:sz w:val="22"/>
          <w:szCs w:val="22"/>
        </w:rPr>
        <w:t xml:space="preserve">. </w:t>
      </w:r>
    </w:p>
    <w:p w14:paraId="52B130D4" w14:textId="77777777" w:rsidR="000923BB" w:rsidRDefault="000923BB" w:rsidP="000923BB">
      <w:pPr>
        <w:jc w:val="both"/>
        <w:rPr>
          <w:rFonts w:cs="Arial"/>
          <w:sz w:val="22"/>
          <w:szCs w:val="22"/>
        </w:rPr>
      </w:pPr>
    </w:p>
    <w:p w14:paraId="72AB26E7" w14:textId="77777777" w:rsidR="000923BB" w:rsidRDefault="000923BB" w:rsidP="000923BB">
      <w:pPr>
        <w:jc w:val="both"/>
        <w:rPr>
          <w:rFonts w:cs="Arial"/>
          <w:b/>
          <w:i/>
          <w:sz w:val="22"/>
          <w:szCs w:val="22"/>
        </w:rPr>
      </w:pPr>
      <w:r>
        <w:rPr>
          <w:rFonts w:cs="Arial"/>
          <w:b/>
          <w:i/>
          <w:sz w:val="22"/>
          <w:szCs w:val="22"/>
        </w:rPr>
        <w:t xml:space="preserve">Healthcare </w:t>
      </w:r>
      <w:r w:rsidRPr="003234D9">
        <w:rPr>
          <w:rFonts w:cs="Arial"/>
          <w:b/>
          <w:i/>
          <w:sz w:val="22"/>
          <w:szCs w:val="22"/>
        </w:rPr>
        <w:t xml:space="preserve"> governance</w:t>
      </w:r>
    </w:p>
    <w:p w14:paraId="2B006FB8" w14:textId="77777777" w:rsidR="000923BB" w:rsidRDefault="000923BB" w:rsidP="008D0A20">
      <w:pPr>
        <w:jc w:val="both"/>
        <w:rPr>
          <w:rFonts w:cs="Arial"/>
          <w:b/>
          <w:sz w:val="22"/>
          <w:szCs w:val="22"/>
        </w:rPr>
      </w:pPr>
      <w:r w:rsidRPr="00CF3C23">
        <w:rPr>
          <w:rFonts w:cs="Arial"/>
          <w:color w:val="000000"/>
          <w:sz w:val="22"/>
          <w:szCs w:val="22"/>
        </w:rPr>
        <w:t>Although the main study had already received ethical approval further</w:t>
      </w:r>
      <w:r>
        <w:rPr>
          <w:rFonts w:cs="Arial"/>
          <w:color w:val="000000"/>
          <w:sz w:val="22"/>
          <w:szCs w:val="22"/>
        </w:rPr>
        <w:t xml:space="preserve"> </w:t>
      </w:r>
      <w:r w:rsidRPr="00CF3C23">
        <w:rPr>
          <w:rFonts w:cs="Arial"/>
          <w:color w:val="000000"/>
          <w:sz w:val="22"/>
          <w:szCs w:val="22"/>
        </w:rPr>
        <w:t>discussions were held with the Clinical Effectiveness Manager of the</w:t>
      </w:r>
      <w:r>
        <w:rPr>
          <w:rFonts w:cs="Arial"/>
          <w:color w:val="000000"/>
          <w:sz w:val="22"/>
          <w:szCs w:val="22"/>
        </w:rPr>
        <w:t xml:space="preserve"> </w:t>
      </w:r>
      <w:r w:rsidRPr="00CF3C23">
        <w:rPr>
          <w:rFonts w:cs="Arial"/>
          <w:color w:val="000000"/>
          <w:sz w:val="22"/>
          <w:szCs w:val="22"/>
        </w:rPr>
        <w:t>study hospital to determine whether this small adjunct study was</w:t>
      </w:r>
      <w:r>
        <w:rPr>
          <w:rFonts w:cs="Arial"/>
          <w:color w:val="000000"/>
          <w:sz w:val="22"/>
          <w:szCs w:val="22"/>
        </w:rPr>
        <w:t xml:space="preserve"> </w:t>
      </w:r>
      <w:r w:rsidRPr="00CF3C23">
        <w:rPr>
          <w:rFonts w:cs="Arial"/>
          <w:color w:val="000000"/>
          <w:sz w:val="22"/>
          <w:szCs w:val="22"/>
        </w:rPr>
        <w:t>research, clinical audit or service review</w:t>
      </w:r>
      <w:r>
        <w:rPr>
          <w:rFonts w:cs="Arial"/>
          <w:color w:val="000000"/>
          <w:sz w:val="22"/>
          <w:szCs w:val="22"/>
        </w:rPr>
        <w:t xml:space="preserve"> [5]</w:t>
      </w:r>
      <w:r w:rsidRPr="00CF3C23">
        <w:rPr>
          <w:rFonts w:cs="Arial"/>
          <w:color w:val="000000"/>
          <w:sz w:val="22"/>
          <w:szCs w:val="22"/>
        </w:rPr>
        <w:t>.</w:t>
      </w:r>
      <w:r>
        <w:rPr>
          <w:rFonts w:cs="Arial"/>
          <w:color w:val="000000"/>
          <w:sz w:val="22"/>
          <w:szCs w:val="22"/>
        </w:rPr>
        <w:t xml:space="preserve"> </w:t>
      </w:r>
      <w:r w:rsidRPr="00CF3C23">
        <w:rPr>
          <w:rFonts w:cs="Arial"/>
          <w:color w:val="000000"/>
          <w:sz w:val="22"/>
          <w:szCs w:val="22"/>
        </w:rPr>
        <w:t>Ethical principles were considered following the decision that this work</w:t>
      </w:r>
      <w:r>
        <w:rPr>
          <w:rFonts w:cs="Arial"/>
          <w:color w:val="000000"/>
          <w:sz w:val="22"/>
          <w:szCs w:val="22"/>
        </w:rPr>
        <w:t xml:space="preserve"> </w:t>
      </w:r>
      <w:r w:rsidRPr="00CF3C23">
        <w:rPr>
          <w:rFonts w:cs="Arial"/>
          <w:color w:val="000000"/>
          <w:sz w:val="22"/>
          <w:szCs w:val="22"/>
        </w:rPr>
        <w:t>would be undertaken as service review and conducted in line with local</w:t>
      </w:r>
      <w:r>
        <w:rPr>
          <w:rFonts w:cs="Arial"/>
          <w:color w:val="000000"/>
          <w:sz w:val="22"/>
          <w:szCs w:val="22"/>
        </w:rPr>
        <w:t xml:space="preserve"> </w:t>
      </w:r>
      <w:r w:rsidRPr="00CF3C23">
        <w:rPr>
          <w:rFonts w:cs="Arial"/>
          <w:color w:val="000000"/>
          <w:sz w:val="22"/>
          <w:szCs w:val="22"/>
        </w:rPr>
        <w:t>governance procedures</w:t>
      </w:r>
      <w:r>
        <w:rPr>
          <w:rFonts w:cs="Arial"/>
          <w:color w:val="000000"/>
          <w:sz w:val="22"/>
          <w:szCs w:val="22"/>
        </w:rPr>
        <w:t>.</w:t>
      </w:r>
      <w:r>
        <w:rPr>
          <w:rFonts w:cs="Arial"/>
          <w:sz w:val="22"/>
          <w:szCs w:val="22"/>
        </w:rPr>
        <w:br w:type="page"/>
      </w:r>
      <w:r w:rsidRPr="003234D9">
        <w:rPr>
          <w:rFonts w:cs="Arial"/>
          <w:b/>
          <w:sz w:val="22"/>
          <w:szCs w:val="22"/>
        </w:rPr>
        <w:lastRenderedPageBreak/>
        <w:t xml:space="preserve">Results </w:t>
      </w:r>
    </w:p>
    <w:p w14:paraId="4ACAACCD" w14:textId="77777777" w:rsidR="000923BB" w:rsidRDefault="000923BB" w:rsidP="000923BB">
      <w:pPr>
        <w:jc w:val="both"/>
        <w:rPr>
          <w:rFonts w:cs="Arial"/>
          <w:b/>
          <w:i/>
          <w:sz w:val="22"/>
          <w:szCs w:val="22"/>
        </w:rPr>
      </w:pPr>
      <w:r w:rsidRPr="003234D9">
        <w:rPr>
          <w:rFonts w:cs="Arial"/>
          <w:b/>
          <w:i/>
          <w:sz w:val="22"/>
          <w:szCs w:val="22"/>
        </w:rPr>
        <w:t xml:space="preserve">Holistic </w:t>
      </w:r>
      <w:r>
        <w:rPr>
          <w:rFonts w:cs="Arial"/>
          <w:b/>
          <w:i/>
          <w:sz w:val="22"/>
          <w:szCs w:val="22"/>
        </w:rPr>
        <w:t xml:space="preserve">quality of care rating scale </w:t>
      </w:r>
    </w:p>
    <w:p w14:paraId="5C540ED6" w14:textId="77777777" w:rsidR="000923BB" w:rsidRDefault="000923BB" w:rsidP="000923BB">
      <w:pPr>
        <w:jc w:val="both"/>
        <w:rPr>
          <w:rFonts w:cs="Arial"/>
          <w:sz w:val="22"/>
          <w:szCs w:val="22"/>
          <w:u w:val="single"/>
        </w:rPr>
      </w:pPr>
      <w:r w:rsidRPr="003234D9">
        <w:rPr>
          <w:rFonts w:cs="Arial"/>
          <w:b/>
          <w:i/>
          <w:sz w:val="22"/>
          <w:szCs w:val="22"/>
        </w:rPr>
        <w:t xml:space="preserve"> </w:t>
      </w:r>
      <w:r w:rsidRPr="00600E56">
        <w:rPr>
          <w:rFonts w:cs="Arial"/>
          <w:sz w:val="22"/>
          <w:szCs w:val="22"/>
          <w:u w:val="single"/>
        </w:rPr>
        <w:t>Completeness</w:t>
      </w:r>
      <w:r>
        <w:rPr>
          <w:rFonts w:cs="Arial"/>
          <w:sz w:val="22"/>
          <w:szCs w:val="22"/>
          <w:u w:val="single"/>
        </w:rPr>
        <w:t xml:space="preserve"> of data capture</w:t>
      </w:r>
    </w:p>
    <w:p w14:paraId="1FCA03D5" w14:textId="77777777" w:rsidR="000923BB" w:rsidRDefault="000923BB" w:rsidP="000923BB">
      <w:pPr>
        <w:jc w:val="both"/>
        <w:rPr>
          <w:rFonts w:cs="Arial"/>
          <w:sz w:val="22"/>
          <w:szCs w:val="22"/>
        </w:rPr>
      </w:pPr>
      <w:r>
        <w:rPr>
          <w:rFonts w:cs="Arial"/>
          <w:sz w:val="22"/>
          <w:szCs w:val="22"/>
        </w:rPr>
        <w:t xml:space="preserve">Each of the Doctor reviewers reviewed 37 out of the 40 records and the Clinical reviewer reviewed 40 out of 40 records. Only the 37 reviews that were reviewed by each of the three reviewers were included in the analysis. </w:t>
      </w:r>
      <w:r w:rsidRPr="003234D9">
        <w:rPr>
          <w:rFonts w:cs="Arial"/>
          <w:sz w:val="22"/>
          <w:szCs w:val="22"/>
        </w:rPr>
        <w:t xml:space="preserve">The level of completeness of holistic review was assessed by calculating the amount of missing data for each of the quality of care rating scales. The amount of missing data for each phase for each reviewer is presented in Table </w:t>
      </w:r>
      <w:r>
        <w:rPr>
          <w:rFonts w:cs="Arial"/>
          <w:sz w:val="22"/>
          <w:szCs w:val="22"/>
        </w:rPr>
        <w:t>13.</w:t>
      </w:r>
      <w:r w:rsidRPr="003234D9">
        <w:rPr>
          <w:rFonts w:cs="Arial"/>
          <w:sz w:val="22"/>
          <w:szCs w:val="22"/>
        </w:rPr>
        <w:t>1</w:t>
      </w:r>
      <w:r>
        <w:rPr>
          <w:rFonts w:cs="Arial"/>
          <w:sz w:val="22"/>
          <w:szCs w:val="22"/>
        </w:rPr>
        <w:t xml:space="preserve"> which </w:t>
      </w:r>
      <w:r w:rsidRPr="003234D9">
        <w:rPr>
          <w:rFonts w:cs="Arial"/>
          <w:sz w:val="22"/>
          <w:szCs w:val="22"/>
        </w:rPr>
        <w:t xml:space="preserve">shows that the completeness level of the holistic rating scale is high. One reviewer (1733, </w:t>
      </w:r>
      <w:r>
        <w:rPr>
          <w:rFonts w:cs="Arial"/>
          <w:sz w:val="22"/>
          <w:szCs w:val="22"/>
        </w:rPr>
        <w:t>Clinical</w:t>
      </w:r>
      <w:r w:rsidRPr="003234D9">
        <w:rPr>
          <w:rFonts w:cs="Arial"/>
          <w:sz w:val="22"/>
          <w:szCs w:val="22"/>
        </w:rPr>
        <w:t>) had no missing data.</w:t>
      </w:r>
      <w:r>
        <w:rPr>
          <w:rFonts w:cs="Arial"/>
          <w:sz w:val="22"/>
          <w:szCs w:val="22"/>
        </w:rPr>
        <w:t xml:space="preserve"> The amount of missing data for this section of the review is small. The most missing data was recorded by Doctor 1 for the Initial Management Phase, however, 8.8% missing data equates to 3 instances of missing data. </w:t>
      </w:r>
    </w:p>
    <w:p w14:paraId="2401BEEC" w14:textId="77777777" w:rsidR="000923BB" w:rsidRDefault="000923BB" w:rsidP="000923BB">
      <w:pPr>
        <w:jc w:val="both"/>
        <w:rPr>
          <w:rFonts w:cs="Arial"/>
          <w:sz w:val="22"/>
          <w:szCs w:val="22"/>
        </w:rPr>
      </w:pPr>
    </w:p>
    <w:p w14:paraId="72063494" w14:textId="77777777" w:rsidR="000923BB" w:rsidRPr="003234D9" w:rsidRDefault="000923BB" w:rsidP="000923BB">
      <w:pPr>
        <w:jc w:val="both"/>
        <w:rPr>
          <w:rFonts w:cs="Arial"/>
          <w:b/>
          <w:sz w:val="22"/>
          <w:szCs w:val="22"/>
        </w:rPr>
      </w:pPr>
      <w:r w:rsidRPr="003234D9">
        <w:rPr>
          <w:rFonts w:cs="Arial"/>
          <w:b/>
          <w:sz w:val="22"/>
          <w:szCs w:val="22"/>
        </w:rPr>
        <w:t xml:space="preserve"> Table </w:t>
      </w:r>
      <w:r>
        <w:rPr>
          <w:rFonts w:cs="Arial"/>
          <w:b/>
          <w:sz w:val="22"/>
          <w:szCs w:val="22"/>
        </w:rPr>
        <w:t>13.</w:t>
      </w:r>
      <w:r w:rsidRPr="003234D9">
        <w:rPr>
          <w:rFonts w:cs="Arial"/>
          <w:b/>
          <w:sz w:val="22"/>
          <w:szCs w:val="22"/>
        </w:rPr>
        <w:t>1: Holistic review completeness</w:t>
      </w:r>
      <w:r>
        <w:rPr>
          <w:rFonts w:cs="Arial"/>
          <w:b/>
          <w:sz w:val="22"/>
          <w:szCs w:val="22"/>
        </w:rPr>
        <w:t xml:space="preserve"> of data collection</w:t>
      </w:r>
      <w:r w:rsidRPr="003234D9">
        <w:rPr>
          <w:rFonts w:cs="Arial"/>
          <w:b/>
          <w:sz w:val="22"/>
          <w:szCs w:val="22"/>
        </w:rPr>
        <w:t xml:space="preserve"> </w:t>
      </w:r>
    </w:p>
    <w:tbl>
      <w:tblPr>
        <w:tblW w:w="485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3"/>
        <w:gridCol w:w="1171"/>
        <w:gridCol w:w="1171"/>
        <w:gridCol w:w="1033"/>
        <w:gridCol w:w="1086"/>
      </w:tblGrid>
      <w:tr w:rsidR="000923BB" w:rsidRPr="00F955C6" w14:paraId="60A96801" w14:textId="77777777" w:rsidTr="005B2F93">
        <w:tc>
          <w:tcPr>
            <w:tcW w:w="2261" w:type="pct"/>
          </w:tcPr>
          <w:p w14:paraId="731C1197" w14:textId="77777777" w:rsidR="000923BB" w:rsidRPr="00F955C6" w:rsidRDefault="000923BB" w:rsidP="003A385F">
            <w:pPr>
              <w:jc w:val="both"/>
              <w:rPr>
                <w:rFonts w:cs="Arial"/>
                <w:sz w:val="20"/>
                <w:szCs w:val="20"/>
              </w:rPr>
            </w:pPr>
            <w:r w:rsidRPr="00F955C6">
              <w:rPr>
                <w:rFonts w:cs="Arial"/>
                <w:sz w:val="20"/>
                <w:szCs w:val="20"/>
              </w:rPr>
              <w:t>Phase of care</w:t>
            </w:r>
          </w:p>
        </w:tc>
        <w:tc>
          <w:tcPr>
            <w:tcW w:w="719" w:type="pct"/>
          </w:tcPr>
          <w:p w14:paraId="16DBC991" w14:textId="77777777" w:rsidR="000923BB" w:rsidRPr="00F955C6" w:rsidRDefault="000923BB" w:rsidP="003A385F">
            <w:pPr>
              <w:jc w:val="both"/>
              <w:rPr>
                <w:rFonts w:cs="Arial"/>
                <w:sz w:val="20"/>
                <w:szCs w:val="20"/>
              </w:rPr>
            </w:pPr>
            <w:r w:rsidRPr="00F955C6">
              <w:rPr>
                <w:rFonts w:cs="Arial"/>
                <w:sz w:val="20"/>
                <w:szCs w:val="20"/>
              </w:rPr>
              <w:t xml:space="preserve">Number of reviews </w:t>
            </w:r>
          </w:p>
        </w:tc>
        <w:tc>
          <w:tcPr>
            <w:tcW w:w="719" w:type="pct"/>
          </w:tcPr>
          <w:p w14:paraId="08D06EF6" w14:textId="77777777" w:rsidR="000923BB" w:rsidRPr="00F955C6" w:rsidRDefault="000923BB" w:rsidP="003A385F">
            <w:pPr>
              <w:jc w:val="both"/>
              <w:rPr>
                <w:rFonts w:cs="Arial"/>
                <w:sz w:val="20"/>
                <w:szCs w:val="20"/>
              </w:rPr>
            </w:pPr>
            <w:r w:rsidRPr="00F955C6">
              <w:rPr>
                <w:rFonts w:cs="Arial"/>
                <w:sz w:val="20"/>
                <w:szCs w:val="20"/>
              </w:rPr>
              <w:t xml:space="preserve">Clinical reviewer (Nurse </w:t>
            </w:r>
          </w:p>
        </w:tc>
        <w:tc>
          <w:tcPr>
            <w:tcW w:w="634" w:type="pct"/>
          </w:tcPr>
          <w:p w14:paraId="3F3D7815" w14:textId="77777777" w:rsidR="000923BB" w:rsidRPr="00F955C6" w:rsidRDefault="000923BB" w:rsidP="003A385F">
            <w:pPr>
              <w:jc w:val="both"/>
              <w:rPr>
                <w:rFonts w:cs="Arial"/>
                <w:sz w:val="20"/>
                <w:szCs w:val="20"/>
              </w:rPr>
            </w:pPr>
            <w:r w:rsidRPr="00F955C6">
              <w:rPr>
                <w:rFonts w:cs="Arial"/>
                <w:sz w:val="20"/>
                <w:szCs w:val="20"/>
              </w:rPr>
              <w:t>Doctor 1 reviewer</w:t>
            </w:r>
          </w:p>
        </w:tc>
        <w:tc>
          <w:tcPr>
            <w:tcW w:w="667" w:type="pct"/>
          </w:tcPr>
          <w:p w14:paraId="3434979E" w14:textId="77777777" w:rsidR="000923BB" w:rsidRPr="00F955C6" w:rsidRDefault="000923BB" w:rsidP="003A385F">
            <w:pPr>
              <w:jc w:val="both"/>
              <w:rPr>
                <w:rFonts w:cs="Arial"/>
                <w:sz w:val="20"/>
                <w:szCs w:val="20"/>
              </w:rPr>
            </w:pPr>
            <w:r w:rsidRPr="00F955C6">
              <w:rPr>
                <w:rFonts w:cs="Arial"/>
                <w:sz w:val="20"/>
                <w:szCs w:val="20"/>
              </w:rPr>
              <w:t>Doctor 2 reviewer</w:t>
            </w:r>
          </w:p>
        </w:tc>
      </w:tr>
      <w:tr w:rsidR="000923BB" w:rsidRPr="00F955C6" w14:paraId="556465FC" w14:textId="77777777" w:rsidTr="005B2F93">
        <w:tc>
          <w:tcPr>
            <w:tcW w:w="2261" w:type="pct"/>
          </w:tcPr>
          <w:p w14:paraId="5E07E5DF" w14:textId="77777777" w:rsidR="000923BB" w:rsidRPr="00F955C6" w:rsidRDefault="000923BB" w:rsidP="003A385F">
            <w:pPr>
              <w:jc w:val="both"/>
              <w:rPr>
                <w:rFonts w:cs="Arial"/>
                <w:sz w:val="20"/>
                <w:szCs w:val="20"/>
              </w:rPr>
            </w:pPr>
            <w:r w:rsidRPr="00F955C6">
              <w:rPr>
                <w:rFonts w:cs="Arial"/>
                <w:sz w:val="20"/>
                <w:szCs w:val="20"/>
              </w:rPr>
              <w:t>Admission phase missing data</w:t>
            </w:r>
          </w:p>
        </w:tc>
        <w:tc>
          <w:tcPr>
            <w:tcW w:w="719" w:type="pct"/>
          </w:tcPr>
          <w:p w14:paraId="700A9159" w14:textId="77777777" w:rsidR="000923BB" w:rsidRPr="00F955C6" w:rsidRDefault="000923BB" w:rsidP="003A385F">
            <w:pPr>
              <w:jc w:val="both"/>
              <w:rPr>
                <w:rFonts w:cs="Arial"/>
                <w:sz w:val="20"/>
                <w:szCs w:val="20"/>
              </w:rPr>
            </w:pPr>
            <w:r w:rsidRPr="00F955C6">
              <w:rPr>
                <w:rFonts w:cs="Arial"/>
                <w:sz w:val="20"/>
                <w:szCs w:val="20"/>
              </w:rPr>
              <w:t>37</w:t>
            </w:r>
          </w:p>
        </w:tc>
        <w:tc>
          <w:tcPr>
            <w:tcW w:w="719" w:type="pct"/>
          </w:tcPr>
          <w:p w14:paraId="6076EE67" w14:textId="77777777" w:rsidR="000923BB" w:rsidRPr="00F955C6" w:rsidRDefault="000923BB" w:rsidP="003A385F">
            <w:pPr>
              <w:jc w:val="both"/>
              <w:rPr>
                <w:rFonts w:cs="Arial"/>
                <w:sz w:val="20"/>
                <w:szCs w:val="20"/>
              </w:rPr>
            </w:pPr>
            <w:r w:rsidRPr="00F955C6">
              <w:rPr>
                <w:rFonts w:cs="Arial"/>
                <w:sz w:val="20"/>
                <w:szCs w:val="20"/>
              </w:rPr>
              <w:t>0%</w:t>
            </w:r>
          </w:p>
        </w:tc>
        <w:tc>
          <w:tcPr>
            <w:tcW w:w="634" w:type="pct"/>
          </w:tcPr>
          <w:p w14:paraId="4DA4D4FC" w14:textId="77777777" w:rsidR="000923BB" w:rsidRPr="00F955C6" w:rsidRDefault="000923BB" w:rsidP="003A385F">
            <w:pPr>
              <w:jc w:val="both"/>
              <w:rPr>
                <w:rFonts w:cs="Arial"/>
                <w:sz w:val="20"/>
                <w:szCs w:val="20"/>
              </w:rPr>
            </w:pPr>
            <w:r w:rsidRPr="00F955C6">
              <w:rPr>
                <w:rFonts w:cs="Arial"/>
                <w:sz w:val="20"/>
                <w:szCs w:val="20"/>
              </w:rPr>
              <w:t>0%</w:t>
            </w:r>
          </w:p>
        </w:tc>
        <w:tc>
          <w:tcPr>
            <w:tcW w:w="667" w:type="pct"/>
          </w:tcPr>
          <w:p w14:paraId="478BB325" w14:textId="77777777" w:rsidR="000923BB" w:rsidRPr="00F955C6" w:rsidRDefault="000923BB" w:rsidP="003A385F">
            <w:pPr>
              <w:jc w:val="both"/>
              <w:rPr>
                <w:rFonts w:cs="Arial"/>
                <w:sz w:val="20"/>
                <w:szCs w:val="20"/>
              </w:rPr>
            </w:pPr>
            <w:r w:rsidRPr="00F955C6">
              <w:rPr>
                <w:rFonts w:cs="Arial"/>
                <w:sz w:val="20"/>
                <w:szCs w:val="20"/>
              </w:rPr>
              <w:t>2.7%</w:t>
            </w:r>
          </w:p>
        </w:tc>
      </w:tr>
      <w:tr w:rsidR="000923BB" w:rsidRPr="00F955C6" w14:paraId="59351C17" w14:textId="77777777" w:rsidTr="005B2F93">
        <w:tc>
          <w:tcPr>
            <w:tcW w:w="2261" w:type="pct"/>
          </w:tcPr>
          <w:p w14:paraId="07A962B2" w14:textId="77777777" w:rsidR="000923BB" w:rsidRPr="00F955C6" w:rsidRDefault="000923BB" w:rsidP="003A385F">
            <w:pPr>
              <w:jc w:val="both"/>
              <w:rPr>
                <w:rFonts w:cs="Arial"/>
                <w:sz w:val="20"/>
                <w:szCs w:val="20"/>
              </w:rPr>
            </w:pPr>
            <w:r w:rsidRPr="00F955C6">
              <w:rPr>
                <w:rFonts w:cs="Arial"/>
                <w:sz w:val="20"/>
                <w:szCs w:val="20"/>
              </w:rPr>
              <w:t>Initial Management phase missing data</w:t>
            </w:r>
          </w:p>
        </w:tc>
        <w:tc>
          <w:tcPr>
            <w:tcW w:w="719" w:type="pct"/>
          </w:tcPr>
          <w:p w14:paraId="083BFA98" w14:textId="77777777" w:rsidR="000923BB" w:rsidRPr="00F955C6" w:rsidRDefault="000923BB" w:rsidP="003A385F">
            <w:pPr>
              <w:rPr>
                <w:rFonts w:cs="Arial"/>
                <w:sz w:val="20"/>
                <w:szCs w:val="20"/>
              </w:rPr>
            </w:pPr>
            <w:r w:rsidRPr="00F955C6">
              <w:rPr>
                <w:rFonts w:cs="Arial"/>
                <w:sz w:val="20"/>
                <w:szCs w:val="20"/>
              </w:rPr>
              <w:t>37</w:t>
            </w:r>
          </w:p>
        </w:tc>
        <w:tc>
          <w:tcPr>
            <w:tcW w:w="719" w:type="pct"/>
          </w:tcPr>
          <w:p w14:paraId="000947FA" w14:textId="77777777" w:rsidR="000923BB" w:rsidRPr="00F955C6" w:rsidRDefault="000923BB" w:rsidP="003A385F">
            <w:pPr>
              <w:rPr>
                <w:rFonts w:cs="Arial"/>
                <w:sz w:val="20"/>
                <w:szCs w:val="20"/>
              </w:rPr>
            </w:pPr>
            <w:r w:rsidRPr="00F955C6">
              <w:rPr>
                <w:rFonts w:cs="Arial"/>
                <w:sz w:val="20"/>
                <w:szCs w:val="20"/>
              </w:rPr>
              <w:t>0%</w:t>
            </w:r>
          </w:p>
        </w:tc>
        <w:tc>
          <w:tcPr>
            <w:tcW w:w="634" w:type="pct"/>
          </w:tcPr>
          <w:p w14:paraId="7F1B027B" w14:textId="77777777" w:rsidR="000923BB" w:rsidRPr="00F955C6" w:rsidRDefault="000923BB" w:rsidP="003A385F">
            <w:pPr>
              <w:jc w:val="both"/>
              <w:rPr>
                <w:rFonts w:cs="Arial"/>
                <w:sz w:val="20"/>
                <w:szCs w:val="20"/>
              </w:rPr>
            </w:pPr>
            <w:r w:rsidRPr="00F955C6">
              <w:rPr>
                <w:rFonts w:cs="Arial"/>
                <w:sz w:val="20"/>
                <w:szCs w:val="20"/>
              </w:rPr>
              <w:t>8.8%</w:t>
            </w:r>
          </w:p>
        </w:tc>
        <w:tc>
          <w:tcPr>
            <w:tcW w:w="667" w:type="pct"/>
          </w:tcPr>
          <w:p w14:paraId="4A3B1F85" w14:textId="77777777" w:rsidR="000923BB" w:rsidRPr="00F955C6" w:rsidRDefault="000923BB" w:rsidP="003A385F">
            <w:pPr>
              <w:jc w:val="both"/>
              <w:rPr>
                <w:rFonts w:cs="Arial"/>
                <w:sz w:val="20"/>
                <w:szCs w:val="20"/>
              </w:rPr>
            </w:pPr>
            <w:r w:rsidRPr="00F955C6">
              <w:rPr>
                <w:rFonts w:cs="Arial"/>
                <w:sz w:val="20"/>
                <w:szCs w:val="20"/>
              </w:rPr>
              <w:t>2.7%</w:t>
            </w:r>
          </w:p>
        </w:tc>
      </w:tr>
      <w:tr w:rsidR="000923BB" w:rsidRPr="00F955C6" w14:paraId="2BB8243A" w14:textId="77777777" w:rsidTr="005B2F93">
        <w:tc>
          <w:tcPr>
            <w:tcW w:w="2261" w:type="pct"/>
          </w:tcPr>
          <w:p w14:paraId="658371F9" w14:textId="77777777" w:rsidR="000923BB" w:rsidRPr="00F955C6" w:rsidRDefault="000923BB" w:rsidP="003A385F">
            <w:pPr>
              <w:jc w:val="both"/>
              <w:rPr>
                <w:rFonts w:cs="Arial"/>
                <w:sz w:val="20"/>
                <w:szCs w:val="20"/>
              </w:rPr>
            </w:pPr>
            <w:r w:rsidRPr="00F955C6">
              <w:rPr>
                <w:rFonts w:cs="Arial"/>
                <w:sz w:val="20"/>
                <w:szCs w:val="20"/>
              </w:rPr>
              <w:t>Pre-discharge phase missing data</w:t>
            </w:r>
          </w:p>
        </w:tc>
        <w:tc>
          <w:tcPr>
            <w:tcW w:w="719" w:type="pct"/>
          </w:tcPr>
          <w:p w14:paraId="7EB85291" w14:textId="77777777" w:rsidR="000923BB" w:rsidRPr="00F955C6" w:rsidRDefault="000923BB" w:rsidP="003A385F">
            <w:pPr>
              <w:rPr>
                <w:rFonts w:cs="Arial"/>
                <w:sz w:val="20"/>
                <w:szCs w:val="20"/>
              </w:rPr>
            </w:pPr>
            <w:r w:rsidRPr="00F955C6">
              <w:rPr>
                <w:rFonts w:cs="Arial"/>
                <w:sz w:val="20"/>
                <w:szCs w:val="20"/>
              </w:rPr>
              <w:t>37</w:t>
            </w:r>
          </w:p>
        </w:tc>
        <w:tc>
          <w:tcPr>
            <w:tcW w:w="719" w:type="pct"/>
          </w:tcPr>
          <w:p w14:paraId="00448136" w14:textId="77777777" w:rsidR="000923BB" w:rsidRPr="00F955C6" w:rsidRDefault="000923BB" w:rsidP="003A385F">
            <w:pPr>
              <w:rPr>
                <w:rFonts w:cs="Arial"/>
                <w:sz w:val="20"/>
                <w:szCs w:val="20"/>
              </w:rPr>
            </w:pPr>
            <w:r w:rsidRPr="00F955C6">
              <w:rPr>
                <w:rFonts w:cs="Arial"/>
                <w:sz w:val="20"/>
                <w:szCs w:val="20"/>
              </w:rPr>
              <w:t>0%</w:t>
            </w:r>
          </w:p>
        </w:tc>
        <w:tc>
          <w:tcPr>
            <w:tcW w:w="634" w:type="pct"/>
          </w:tcPr>
          <w:p w14:paraId="5F1DA3E5" w14:textId="77777777" w:rsidR="000923BB" w:rsidRPr="00F955C6" w:rsidRDefault="000923BB" w:rsidP="003A385F">
            <w:pPr>
              <w:jc w:val="both"/>
              <w:rPr>
                <w:rFonts w:cs="Arial"/>
                <w:sz w:val="20"/>
                <w:szCs w:val="20"/>
              </w:rPr>
            </w:pPr>
            <w:r w:rsidRPr="00F955C6">
              <w:rPr>
                <w:rFonts w:cs="Arial"/>
                <w:sz w:val="20"/>
                <w:szCs w:val="20"/>
              </w:rPr>
              <w:t>2.7%</w:t>
            </w:r>
          </w:p>
        </w:tc>
        <w:tc>
          <w:tcPr>
            <w:tcW w:w="667" w:type="pct"/>
          </w:tcPr>
          <w:p w14:paraId="0F2579A3" w14:textId="77777777" w:rsidR="000923BB" w:rsidRPr="00F955C6" w:rsidRDefault="000923BB" w:rsidP="003A385F">
            <w:pPr>
              <w:jc w:val="both"/>
              <w:rPr>
                <w:rFonts w:cs="Arial"/>
                <w:sz w:val="20"/>
                <w:szCs w:val="20"/>
              </w:rPr>
            </w:pPr>
            <w:r w:rsidRPr="00F955C6">
              <w:rPr>
                <w:rFonts w:cs="Arial"/>
                <w:sz w:val="20"/>
                <w:szCs w:val="20"/>
              </w:rPr>
              <w:t>0%</w:t>
            </w:r>
          </w:p>
        </w:tc>
      </w:tr>
      <w:tr w:rsidR="000923BB" w:rsidRPr="00F955C6" w14:paraId="191B9480" w14:textId="77777777" w:rsidTr="005B2F93">
        <w:tc>
          <w:tcPr>
            <w:tcW w:w="2261" w:type="pct"/>
          </w:tcPr>
          <w:p w14:paraId="52529FE2" w14:textId="77777777" w:rsidR="000923BB" w:rsidRPr="00F955C6" w:rsidRDefault="000923BB" w:rsidP="003A385F">
            <w:pPr>
              <w:jc w:val="both"/>
              <w:rPr>
                <w:rFonts w:cs="Arial"/>
                <w:sz w:val="20"/>
                <w:szCs w:val="20"/>
              </w:rPr>
            </w:pPr>
            <w:r w:rsidRPr="00F955C6">
              <w:rPr>
                <w:rFonts w:cs="Arial"/>
                <w:sz w:val="20"/>
                <w:szCs w:val="20"/>
              </w:rPr>
              <w:t xml:space="preserve">Overall missing data </w:t>
            </w:r>
          </w:p>
        </w:tc>
        <w:tc>
          <w:tcPr>
            <w:tcW w:w="719" w:type="pct"/>
          </w:tcPr>
          <w:p w14:paraId="46CC80A3" w14:textId="77777777" w:rsidR="000923BB" w:rsidRPr="00F955C6" w:rsidRDefault="000923BB" w:rsidP="003A385F">
            <w:pPr>
              <w:rPr>
                <w:rFonts w:cs="Arial"/>
                <w:sz w:val="20"/>
                <w:szCs w:val="20"/>
              </w:rPr>
            </w:pPr>
            <w:r w:rsidRPr="00F955C6">
              <w:rPr>
                <w:rFonts w:cs="Arial"/>
                <w:sz w:val="20"/>
                <w:szCs w:val="20"/>
              </w:rPr>
              <w:t>37</w:t>
            </w:r>
          </w:p>
        </w:tc>
        <w:tc>
          <w:tcPr>
            <w:tcW w:w="719" w:type="pct"/>
          </w:tcPr>
          <w:p w14:paraId="2E6FB765" w14:textId="77777777" w:rsidR="000923BB" w:rsidRPr="00F955C6" w:rsidRDefault="000923BB" w:rsidP="003A385F">
            <w:pPr>
              <w:rPr>
                <w:rFonts w:cs="Arial"/>
                <w:sz w:val="20"/>
                <w:szCs w:val="20"/>
              </w:rPr>
            </w:pPr>
            <w:r w:rsidRPr="00F955C6">
              <w:rPr>
                <w:rFonts w:cs="Arial"/>
                <w:sz w:val="20"/>
                <w:szCs w:val="20"/>
              </w:rPr>
              <w:t>0%</w:t>
            </w:r>
          </w:p>
        </w:tc>
        <w:tc>
          <w:tcPr>
            <w:tcW w:w="634" w:type="pct"/>
          </w:tcPr>
          <w:p w14:paraId="0EDB70CA" w14:textId="77777777" w:rsidR="000923BB" w:rsidRPr="00F955C6" w:rsidRDefault="000923BB" w:rsidP="003A385F">
            <w:pPr>
              <w:jc w:val="both"/>
              <w:rPr>
                <w:rFonts w:cs="Arial"/>
                <w:sz w:val="20"/>
                <w:szCs w:val="20"/>
              </w:rPr>
            </w:pPr>
            <w:r w:rsidRPr="00F955C6">
              <w:rPr>
                <w:rFonts w:cs="Arial"/>
                <w:sz w:val="20"/>
                <w:szCs w:val="20"/>
              </w:rPr>
              <w:t>0%</w:t>
            </w:r>
          </w:p>
        </w:tc>
        <w:tc>
          <w:tcPr>
            <w:tcW w:w="667" w:type="pct"/>
          </w:tcPr>
          <w:p w14:paraId="1382B9B8" w14:textId="77777777" w:rsidR="000923BB" w:rsidRPr="00F955C6" w:rsidRDefault="000923BB" w:rsidP="003A385F">
            <w:pPr>
              <w:jc w:val="both"/>
              <w:rPr>
                <w:rFonts w:cs="Arial"/>
                <w:sz w:val="20"/>
                <w:szCs w:val="20"/>
              </w:rPr>
            </w:pPr>
            <w:r w:rsidRPr="00F955C6">
              <w:rPr>
                <w:rFonts w:cs="Arial"/>
                <w:sz w:val="20"/>
                <w:szCs w:val="20"/>
              </w:rPr>
              <w:t>2.7%</w:t>
            </w:r>
          </w:p>
        </w:tc>
      </w:tr>
    </w:tbl>
    <w:p w14:paraId="521C9F02" w14:textId="77777777" w:rsidR="000923BB" w:rsidRDefault="000923BB" w:rsidP="000923BB">
      <w:pPr>
        <w:jc w:val="both"/>
        <w:rPr>
          <w:rFonts w:cs="Arial"/>
          <w:sz w:val="22"/>
          <w:szCs w:val="22"/>
        </w:rPr>
      </w:pPr>
    </w:p>
    <w:p w14:paraId="2F0CE585" w14:textId="77777777" w:rsidR="000923BB" w:rsidRPr="007D0551" w:rsidRDefault="000923BB" w:rsidP="000923BB">
      <w:pPr>
        <w:jc w:val="both"/>
        <w:rPr>
          <w:rFonts w:cs="Arial"/>
          <w:sz w:val="22"/>
          <w:szCs w:val="22"/>
          <w:u w:val="single"/>
        </w:rPr>
      </w:pPr>
      <w:r w:rsidRPr="007D0551">
        <w:rPr>
          <w:rFonts w:cs="Arial"/>
          <w:sz w:val="22"/>
          <w:szCs w:val="22"/>
          <w:u w:val="single"/>
        </w:rPr>
        <w:t>Quality of care</w:t>
      </w:r>
    </w:p>
    <w:p w14:paraId="1CCDF855" w14:textId="77777777" w:rsidR="000923BB" w:rsidRPr="003234D9" w:rsidRDefault="000923BB" w:rsidP="000923BB">
      <w:pPr>
        <w:jc w:val="both"/>
        <w:rPr>
          <w:rFonts w:cs="Arial"/>
          <w:sz w:val="22"/>
          <w:szCs w:val="22"/>
        </w:rPr>
      </w:pPr>
      <w:r w:rsidRPr="003234D9">
        <w:rPr>
          <w:rFonts w:cs="Arial"/>
          <w:sz w:val="22"/>
          <w:szCs w:val="22"/>
        </w:rPr>
        <w:t xml:space="preserve">Table </w:t>
      </w:r>
      <w:r>
        <w:rPr>
          <w:rFonts w:cs="Arial"/>
          <w:sz w:val="22"/>
          <w:szCs w:val="22"/>
        </w:rPr>
        <w:t>13.</w:t>
      </w:r>
      <w:r w:rsidRPr="003234D9">
        <w:rPr>
          <w:rFonts w:cs="Arial"/>
          <w:sz w:val="22"/>
          <w:szCs w:val="22"/>
        </w:rPr>
        <w:t xml:space="preserve">2 presents the results of the quality of care analysis of stroke care using a holistic rating scale, where 1 = unsatisfactory care and 6 = very best care. On the whole the reviewer mean/median results were similar for each phase of care. </w:t>
      </w:r>
      <w:r>
        <w:rPr>
          <w:rFonts w:cs="Arial"/>
          <w:sz w:val="22"/>
          <w:szCs w:val="22"/>
        </w:rPr>
        <w:t xml:space="preserve">Doctor 2 </w:t>
      </w:r>
      <w:r w:rsidRPr="003234D9">
        <w:rPr>
          <w:rFonts w:cs="Arial"/>
          <w:sz w:val="22"/>
          <w:szCs w:val="22"/>
        </w:rPr>
        <w:t xml:space="preserve">tends to rate the quality of care lower than </w:t>
      </w:r>
      <w:r>
        <w:rPr>
          <w:rFonts w:cs="Arial"/>
          <w:sz w:val="22"/>
          <w:szCs w:val="22"/>
        </w:rPr>
        <w:t xml:space="preserve">the Clinical reviewer and Doctor 1, </w:t>
      </w:r>
      <w:r w:rsidRPr="003234D9">
        <w:rPr>
          <w:rFonts w:cs="Arial"/>
          <w:sz w:val="22"/>
          <w:szCs w:val="22"/>
        </w:rPr>
        <w:t xml:space="preserve">particularly in the pre-discharge section. </w:t>
      </w:r>
      <w:r>
        <w:rPr>
          <w:rFonts w:cs="Arial"/>
          <w:sz w:val="22"/>
          <w:szCs w:val="22"/>
        </w:rPr>
        <w:t xml:space="preserve">The clinical reviewer </w:t>
      </w:r>
      <w:r w:rsidRPr="003234D9">
        <w:rPr>
          <w:rFonts w:cs="Arial"/>
          <w:sz w:val="22"/>
          <w:szCs w:val="22"/>
        </w:rPr>
        <w:t xml:space="preserve">only uses a limited section of the rating scale (between 3 and 5), whereas the other two reviewers </w:t>
      </w:r>
      <w:r>
        <w:rPr>
          <w:rFonts w:cs="Arial"/>
          <w:sz w:val="22"/>
          <w:szCs w:val="22"/>
        </w:rPr>
        <w:t xml:space="preserve">(doctors) </w:t>
      </w:r>
      <w:r w:rsidRPr="003234D9">
        <w:rPr>
          <w:rFonts w:cs="Arial"/>
          <w:sz w:val="22"/>
          <w:szCs w:val="22"/>
        </w:rPr>
        <w:t xml:space="preserve">tend to use all of the </w:t>
      </w:r>
      <w:r>
        <w:rPr>
          <w:rFonts w:cs="Arial"/>
          <w:sz w:val="22"/>
          <w:szCs w:val="22"/>
        </w:rPr>
        <w:t xml:space="preserve">available </w:t>
      </w:r>
      <w:r w:rsidRPr="003234D9">
        <w:rPr>
          <w:rFonts w:cs="Arial"/>
          <w:sz w:val="22"/>
          <w:szCs w:val="22"/>
        </w:rPr>
        <w:t xml:space="preserve">scale. </w:t>
      </w:r>
    </w:p>
    <w:p w14:paraId="24BCA6A1" w14:textId="77777777" w:rsidR="000923BB" w:rsidRDefault="000923BB" w:rsidP="000923BB">
      <w:pPr>
        <w:jc w:val="both"/>
        <w:rPr>
          <w:rFonts w:cs="Arial"/>
          <w:b/>
          <w:bCs/>
          <w:color w:val="000000"/>
          <w:sz w:val="22"/>
          <w:szCs w:val="22"/>
        </w:rPr>
      </w:pPr>
      <w:r>
        <w:rPr>
          <w:rFonts w:cs="Arial"/>
          <w:sz w:val="22"/>
          <w:szCs w:val="22"/>
        </w:rPr>
        <w:br w:type="page"/>
      </w:r>
      <w:r w:rsidRPr="003234D9">
        <w:rPr>
          <w:rFonts w:cs="Arial"/>
          <w:b/>
          <w:bCs/>
          <w:color w:val="000000"/>
          <w:sz w:val="22"/>
          <w:szCs w:val="22"/>
        </w:rPr>
        <w:lastRenderedPageBreak/>
        <w:t xml:space="preserve">Table </w:t>
      </w:r>
      <w:r>
        <w:rPr>
          <w:rFonts w:cs="Arial"/>
          <w:b/>
          <w:bCs/>
          <w:color w:val="000000"/>
          <w:sz w:val="22"/>
          <w:szCs w:val="22"/>
        </w:rPr>
        <w:t>13.</w:t>
      </w:r>
      <w:r w:rsidRPr="003234D9">
        <w:rPr>
          <w:rFonts w:cs="Arial"/>
          <w:b/>
          <w:bCs/>
          <w:color w:val="000000"/>
          <w:sz w:val="22"/>
          <w:szCs w:val="22"/>
        </w:rPr>
        <w:t xml:space="preserve">2: </w:t>
      </w:r>
      <w:r>
        <w:rPr>
          <w:rFonts w:cs="Arial"/>
          <w:b/>
          <w:bCs/>
          <w:color w:val="000000"/>
          <w:sz w:val="22"/>
          <w:szCs w:val="22"/>
        </w:rPr>
        <w:t>H</w:t>
      </w:r>
      <w:r w:rsidRPr="003234D9">
        <w:rPr>
          <w:rFonts w:cs="Arial"/>
          <w:b/>
          <w:bCs/>
          <w:color w:val="000000"/>
          <w:sz w:val="22"/>
          <w:szCs w:val="22"/>
        </w:rPr>
        <w:t xml:space="preserve">olistic scale </w:t>
      </w:r>
      <w:r>
        <w:rPr>
          <w:rFonts w:cs="Arial"/>
          <w:b/>
          <w:bCs/>
          <w:color w:val="000000"/>
          <w:sz w:val="22"/>
          <w:szCs w:val="22"/>
        </w:rPr>
        <w:t xml:space="preserve">score </w:t>
      </w:r>
      <w:r w:rsidRPr="003234D9">
        <w:rPr>
          <w:rFonts w:cs="Arial"/>
          <w:b/>
          <w:bCs/>
          <w:color w:val="000000"/>
          <w:sz w:val="22"/>
          <w:szCs w:val="22"/>
        </w:rPr>
        <w:t xml:space="preserve">results </w:t>
      </w:r>
      <w:r w:rsidRPr="003234D9">
        <w:rPr>
          <w:rFonts w:cs="Arial"/>
          <w:b/>
          <w:bCs/>
          <w:color w:val="000000"/>
          <w:sz w:val="22"/>
          <w:szCs w:val="22"/>
        </w:rPr>
        <w:tab/>
      </w:r>
    </w:p>
    <w:p w14:paraId="7451287B" w14:textId="77777777" w:rsidR="000923BB" w:rsidRPr="003234D9" w:rsidRDefault="000923BB" w:rsidP="000923BB">
      <w:pPr>
        <w:jc w:val="both"/>
        <w:rPr>
          <w:rFonts w:cs="Arial"/>
          <w:b/>
          <w:bCs/>
          <w:color w:val="000000"/>
          <w:sz w:val="22"/>
          <w:szCs w:val="22"/>
        </w:rPr>
      </w:pPr>
    </w:p>
    <w:tbl>
      <w:tblPr>
        <w:tblW w:w="7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1440"/>
        <w:gridCol w:w="1440"/>
        <w:gridCol w:w="1440"/>
      </w:tblGrid>
      <w:tr w:rsidR="000923BB" w:rsidRPr="00F955C6" w14:paraId="47592E2C" w14:textId="77777777" w:rsidTr="003A385F">
        <w:tc>
          <w:tcPr>
            <w:tcW w:w="1548" w:type="dxa"/>
            <w:tcBorders>
              <w:right w:val="nil"/>
            </w:tcBorders>
          </w:tcPr>
          <w:p w14:paraId="688AE726" w14:textId="77777777" w:rsidR="000923BB" w:rsidRPr="00F955C6" w:rsidRDefault="000923BB" w:rsidP="003A385F">
            <w:pPr>
              <w:tabs>
                <w:tab w:val="center" w:pos="5731"/>
              </w:tabs>
              <w:autoSpaceDE w:val="0"/>
              <w:autoSpaceDN w:val="0"/>
              <w:adjustRightInd w:val="0"/>
              <w:rPr>
                <w:rFonts w:cs="Arial"/>
                <w:b/>
                <w:bCs/>
                <w:color w:val="000000"/>
                <w:sz w:val="20"/>
                <w:szCs w:val="20"/>
              </w:rPr>
            </w:pPr>
            <w:r w:rsidRPr="00F955C6">
              <w:rPr>
                <w:rFonts w:cs="Arial"/>
                <w:b/>
                <w:bCs/>
                <w:color w:val="000000"/>
                <w:sz w:val="20"/>
                <w:szCs w:val="20"/>
              </w:rPr>
              <w:t xml:space="preserve">Phase of Care </w:t>
            </w:r>
          </w:p>
        </w:tc>
        <w:tc>
          <w:tcPr>
            <w:tcW w:w="1440" w:type="dxa"/>
            <w:tcBorders>
              <w:left w:val="nil"/>
              <w:bottom w:val="single" w:sz="4" w:space="0" w:color="auto"/>
            </w:tcBorders>
          </w:tcPr>
          <w:p w14:paraId="33D28F5F" w14:textId="77777777" w:rsidR="000923BB" w:rsidRPr="00F955C6" w:rsidRDefault="000923BB" w:rsidP="003A385F">
            <w:pPr>
              <w:tabs>
                <w:tab w:val="center" w:pos="5731"/>
              </w:tabs>
              <w:autoSpaceDE w:val="0"/>
              <w:autoSpaceDN w:val="0"/>
              <w:adjustRightInd w:val="0"/>
              <w:jc w:val="both"/>
              <w:rPr>
                <w:rFonts w:cs="Arial"/>
                <w:b/>
                <w:bCs/>
                <w:color w:val="000000"/>
                <w:sz w:val="20"/>
                <w:szCs w:val="20"/>
              </w:rPr>
            </w:pPr>
          </w:p>
        </w:tc>
        <w:tc>
          <w:tcPr>
            <w:tcW w:w="1440" w:type="dxa"/>
            <w:tcBorders>
              <w:bottom w:val="single" w:sz="4" w:space="0" w:color="auto"/>
            </w:tcBorders>
          </w:tcPr>
          <w:p w14:paraId="2FD2FEF0" w14:textId="77777777" w:rsidR="000923BB" w:rsidRPr="00F955C6" w:rsidRDefault="000923BB" w:rsidP="003A385F">
            <w:pPr>
              <w:tabs>
                <w:tab w:val="center" w:pos="5731"/>
              </w:tabs>
              <w:autoSpaceDE w:val="0"/>
              <w:autoSpaceDN w:val="0"/>
              <w:adjustRightInd w:val="0"/>
              <w:jc w:val="both"/>
              <w:rPr>
                <w:rFonts w:cs="Arial"/>
                <w:b/>
                <w:bCs/>
                <w:color w:val="000000"/>
                <w:sz w:val="20"/>
                <w:szCs w:val="20"/>
              </w:rPr>
            </w:pPr>
            <w:r w:rsidRPr="00F955C6">
              <w:rPr>
                <w:rFonts w:cs="Arial"/>
                <w:sz w:val="20"/>
                <w:szCs w:val="20"/>
              </w:rPr>
              <w:t xml:space="preserve">Clinical reviewer (Nurse </w:t>
            </w:r>
          </w:p>
        </w:tc>
        <w:tc>
          <w:tcPr>
            <w:tcW w:w="1440" w:type="dxa"/>
            <w:tcBorders>
              <w:bottom w:val="single" w:sz="4" w:space="0" w:color="auto"/>
            </w:tcBorders>
          </w:tcPr>
          <w:p w14:paraId="4C8B0558" w14:textId="77777777" w:rsidR="000923BB" w:rsidRPr="00F955C6" w:rsidRDefault="000923BB" w:rsidP="003A385F">
            <w:pPr>
              <w:tabs>
                <w:tab w:val="center" w:pos="5731"/>
              </w:tabs>
              <w:autoSpaceDE w:val="0"/>
              <w:autoSpaceDN w:val="0"/>
              <w:adjustRightInd w:val="0"/>
              <w:jc w:val="both"/>
              <w:rPr>
                <w:rFonts w:cs="Arial"/>
                <w:b/>
                <w:bCs/>
                <w:color w:val="000000"/>
                <w:sz w:val="20"/>
                <w:szCs w:val="20"/>
              </w:rPr>
            </w:pPr>
            <w:r w:rsidRPr="00F955C6">
              <w:rPr>
                <w:rFonts w:cs="Arial"/>
                <w:sz w:val="20"/>
                <w:szCs w:val="20"/>
              </w:rPr>
              <w:t>Doctor 1 reviewer</w:t>
            </w:r>
          </w:p>
        </w:tc>
        <w:tc>
          <w:tcPr>
            <w:tcW w:w="1440" w:type="dxa"/>
            <w:tcBorders>
              <w:bottom w:val="single" w:sz="4" w:space="0" w:color="auto"/>
            </w:tcBorders>
          </w:tcPr>
          <w:p w14:paraId="0C58D7BD" w14:textId="77777777" w:rsidR="000923BB" w:rsidRPr="00F955C6" w:rsidRDefault="000923BB" w:rsidP="003A385F">
            <w:pPr>
              <w:tabs>
                <w:tab w:val="center" w:pos="5731"/>
              </w:tabs>
              <w:autoSpaceDE w:val="0"/>
              <w:autoSpaceDN w:val="0"/>
              <w:adjustRightInd w:val="0"/>
              <w:jc w:val="both"/>
              <w:rPr>
                <w:rFonts w:cs="Arial"/>
                <w:b/>
                <w:bCs/>
                <w:color w:val="000000"/>
                <w:sz w:val="20"/>
                <w:szCs w:val="20"/>
              </w:rPr>
            </w:pPr>
            <w:r w:rsidRPr="00F955C6">
              <w:rPr>
                <w:rFonts w:cs="Arial"/>
                <w:sz w:val="20"/>
                <w:szCs w:val="20"/>
              </w:rPr>
              <w:t>Doctor 2 reviewer</w:t>
            </w:r>
          </w:p>
        </w:tc>
      </w:tr>
      <w:tr w:rsidR="000923BB" w:rsidRPr="00F955C6" w14:paraId="14A0EA77" w14:textId="77777777" w:rsidTr="003A385F">
        <w:tc>
          <w:tcPr>
            <w:tcW w:w="1548" w:type="dxa"/>
            <w:vMerge w:val="restart"/>
            <w:tcBorders>
              <w:right w:val="nil"/>
            </w:tcBorders>
          </w:tcPr>
          <w:p w14:paraId="434D36E2" w14:textId="77777777" w:rsidR="000923BB" w:rsidRPr="00F955C6" w:rsidRDefault="000923BB" w:rsidP="003A385F">
            <w:pPr>
              <w:tabs>
                <w:tab w:val="center" w:pos="5731"/>
              </w:tabs>
              <w:autoSpaceDE w:val="0"/>
              <w:autoSpaceDN w:val="0"/>
              <w:adjustRightInd w:val="0"/>
              <w:jc w:val="both"/>
              <w:rPr>
                <w:rFonts w:cs="Arial"/>
                <w:b/>
                <w:color w:val="000000"/>
                <w:sz w:val="20"/>
                <w:szCs w:val="20"/>
              </w:rPr>
            </w:pPr>
            <w:r w:rsidRPr="00F955C6">
              <w:rPr>
                <w:rFonts w:cs="Arial"/>
                <w:b/>
                <w:color w:val="000000"/>
                <w:sz w:val="20"/>
                <w:szCs w:val="20"/>
              </w:rPr>
              <w:t>Admission phase quality of care rating</w:t>
            </w:r>
          </w:p>
        </w:tc>
        <w:tc>
          <w:tcPr>
            <w:tcW w:w="1440" w:type="dxa"/>
            <w:tcBorders>
              <w:left w:val="nil"/>
              <w:bottom w:val="nil"/>
              <w:right w:val="single" w:sz="4" w:space="0" w:color="auto"/>
            </w:tcBorders>
          </w:tcPr>
          <w:p w14:paraId="043F6155"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 xml:space="preserve">Mean </w:t>
            </w:r>
          </w:p>
          <w:p w14:paraId="0E85BC92"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(SD)</w:t>
            </w:r>
          </w:p>
        </w:tc>
        <w:tc>
          <w:tcPr>
            <w:tcW w:w="1440" w:type="dxa"/>
            <w:tcBorders>
              <w:left w:val="single" w:sz="4" w:space="0" w:color="auto"/>
              <w:bottom w:val="nil"/>
              <w:right w:val="single" w:sz="4" w:space="0" w:color="auto"/>
            </w:tcBorders>
          </w:tcPr>
          <w:p w14:paraId="3B9FD37A" w14:textId="77777777" w:rsidR="000923BB" w:rsidRPr="00F955C6" w:rsidRDefault="000923BB" w:rsidP="003A385F">
            <w:pPr>
              <w:tabs>
                <w:tab w:val="center" w:pos="5731"/>
              </w:tabs>
              <w:autoSpaceDE w:val="0"/>
              <w:autoSpaceDN w:val="0"/>
              <w:adjustRightInd w:val="0"/>
              <w:jc w:val="both"/>
              <w:rPr>
                <w:rFonts w:cs="Arial"/>
                <w:color w:val="000000"/>
                <w:sz w:val="20"/>
                <w:szCs w:val="20"/>
              </w:rPr>
            </w:pPr>
            <w:r w:rsidRPr="00F955C6">
              <w:rPr>
                <w:rFonts w:cs="Arial"/>
                <w:color w:val="000000"/>
                <w:sz w:val="20"/>
                <w:szCs w:val="20"/>
              </w:rPr>
              <w:t>4.5</w:t>
            </w:r>
          </w:p>
          <w:p w14:paraId="7D80D020"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color w:val="000000"/>
                <w:sz w:val="20"/>
                <w:szCs w:val="20"/>
              </w:rPr>
              <w:t>(0.5)</w:t>
            </w:r>
          </w:p>
        </w:tc>
        <w:tc>
          <w:tcPr>
            <w:tcW w:w="1440" w:type="dxa"/>
            <w:tcBorders>
              <w:left w:val="single" w:sz="4" w:space="0" w:color="auto"/>
              <w:bottom w:val="nil"/>
              <w:right w:val="single" w:sz="4" w:space="0" w:color="auto"/>
            </w:tcBorders>
          </w:tcPr>
          <w:p w14:paraId="51BD4F8A"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4.7</w:t>
            </w:r>
          </w:p>
          <w:p w14:paraId="66A13AF8"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(0.9)</w:t>
            </w:r>
          </w:p>
        </w:tc>
        <w:tc>
          <w:tcPr>
            <w:tcW w:w="1440" w:type="dxa"/>
            <w:tcBorders>
              <w:left w:val="single" w:sz="4" w:space="0" w:color="auto"/>
              <w:bottom w:val="nil"/>
            </w:tcBorders>
          </w:tcPr>
          <w:p w14:paraId="52603421" w14:textId="77777777" w:rsidR="000923BB" w:rsidRPr="00F955C6" w:rsidRDefault="000923BB" w:rsidP="003A385F">
            <w:pPr>
              <w:tabs>
                <w:tab w:val="center" w:pos="5731"/>
              </w:tabs>
              <w:autoSpaceDE w:val="0"/>
              <w:autoSpaceDN w:val="0"/>
              <w:adjustRightInd w:val="0"/>
              <w:jc w:val="both"/>
              <w:rPr>
                <w:rFonts w:cs="Arial"/>
                <w:color w:val="000000"/>
                <w:sz w:val="20"/>
                <w:szCs w:val="20"/>
              </w:rPr>
            </w:pPr>
            <w:r w:rsidRPr="00F955C6">
              <w:rPr>
                <w:rFonts w:cs="Arial"/>
                <w:color w:val="000000"/>
                <w:sz w:val="20"/>
                <w:szCs w:val="20"/>
              </w:rPr>
              <w:t>4.4</w:t>
            </w:r>
          </w:p>
          <w:p w14:paraId="4FBCAF61"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color w:val="000000"/>
                <w:sz w:val="20"/>
                <w:szCs w:val="20"/>
              </w:rPr>
              <w:t>(1..3)</w:t>
            </w:r>
          </w:p>
        </w:tc>
      </w:tr>
      <w:tr w:rsidR="000923BB" w:rsidRPr="00F955C6" w14:paraId="28C30F10" w14:textId="77777777" w:rsidTr="003A385F">
        <w:tc>
          <w:tcPr>
            <w:tcW w:w="1548" w:type="dxa"/>
            <w:vMerge/>
            <w:tcBorders>
              <w:right w:val="nil"/>
            </w:tcBorders>
          </w:tcPr>
          <w:p w14:paraId="7C4FA2FB" w14:textId="77777777" w:rsidR="000923BB" w:rsidRPr="00F955C6" w:rsidRDefault="000923BB" w:rsidP="003A385F">
            <w:pPr>
              <w:tabs>
                <w:tab w:val="center" w:pos="5731"/>
              </w:tabs>
              <w:autoSpaceDE w:val="0"/>
              <w:autoSpaceDN w:val="0"/>
              <w:adjustRightInd w:val="0"/>
              <w:jc w:val="both"/>
              <w:rPr>
                <w:rFonts w:cs="Arial"/>
                <w:b/>
                <w:color w:val="000000"/>
                <w:sz w:val="20"/>
                <w:szCs w:val="20"/>
              </w:rPr>
            </w:pPr>
          </w:p>
        </w:tc>
        <w:tc>
          <w:tcPr>
            <w:tcW w:w="1440" w:type="dxa"/>
            <w:tcBorders>
              <w:top w:val="nil"/>
              <w:left w:val="nil"/>
              <w:bottom w:val="nil"/>
              <w:right w:val="single" w:sz="4" w:space="0" w:color="auto"/>
            </w:tcBorders>
          </w:tcPr>
          <w:p w14:paraId="162C6987"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Median (IQR)</w:t>
            </w:r>
          </w:p>
        </w:tc>
        <w:tc>
          <w:tcPr>
            <w:tcW w:w="1440" w:type="dxa"/>
            <w:tcBorders>
              <w:top w:val="nil"/>
              <w:left w:val="single" w:sz="4" w:space="0" w:color="auto"/>
              <w:bottom w:val="nil"/>
              <w:right w:val="single" w:sz="4" w:space="0" w:color="auto"/>
            </w:tcBorders>
          </w:tcPr>
          <w:p w14:paraId="40D91AB6" w14:textId="77777777" w:rsidR="000923BB" w:rsidRPr="00F955C6" w:rsidRDefault="000923BB" w:rsidP="003A385F">
            <w:pPr>
              <w:tabs>
                <w:tab w:val="center" w:pos="5731"/>
              </w:tabs>
              <w:autoSpaceDE w:val="0"/>
              <w:autoSpaceDN w:val="0"/>
              <w:adjustRightInd w:val="0"/>
              <w:jc w:val="both"/>
              <w:rPr>
                <w:rFonts w:cs="Arial"/>
                <w:color w:val="000000"/>
                <w:sz w:val="20"/>
                <w:szCs w:val="20"/>
              </w:rPr>
            </w:pPr>
            <w:r w:rsidRPr="00F955C6">
              <w:rPr>
                <w:rFonts w:cs="Arial"/>
                <w:color w:val="000000"/>
                <w:sz w:val="20"/>
                <w:szCs w:val="20"/>
              </w:rPr>
              <w:t xml:space="preserve">4.0 </w:t>
            </w:r>
          </w:p>
          <w:p w14:paraId="63E29A92"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color w:val="000000"/>
                <w:sz w:val="20"/>
                <w:szCs w:val="20"/>
              </w:rPr>
              <w:t>(4.0 – 5.0)</w:t>
            </w:r>
          </w:p>
        </w:tc>
        <w:tc>
          <w:tcPr>
            <w:tcW w:w="1440" w:type="dxa"/>
            <w:tcBorders>
              <w:top w:val="nil"/>
              <w:left w:val="single" w:sz="4" w:space="0" w:color="auto"/>
              <w:bottom w:val="nil"/>
              <w:right w:val="single" w:sz="4" w:space="0" w:color="auto"/>
            </w:tcBorders>
          </w:tcPr>
          <w:p w14:paraId="0750C6CF"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5.0</w:t>
            </w:r>
          </w:p>
          <w:p w14:paraId="40E798AA"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(4.0 – 5.0)</w:t>
            </w:r>
          </w:p>
        </w:tc>
        <w:tc>
          <w:tcPr>
            <w:tcW w:w="1440" w:type="dxa"/>
            <w:tcBorders>
              <w:top w:val="nil"/>
              <w:left w:val="single" w:sz="4" w:space="0" w:color="auto"/>
              <w:bottom w:val="nil"/>
            </w:tcBorders>
          </w:tcPr>
          <w:p w14:paraId="0FD884B5" w14:textId="77777777" w:rsidR="000923BB" w:rsidRPr="00F955C6" w:rsidRDefault="000923BB" w:rsidP="003A385F">
            <w:pPr>
              <w:tabs>
                <w:tab w:val="center" w:pos="5731"/>
              </w:tabs>
              <w:autoSpaceDE w:val="0"/>
              <w:autoSpaceDN w:val="0"/>
              <w:adjustRightInd w:val="0"/>
              <w:jc w:val="both"/>
              <w:rPr>
                <w:rFonts w:cs="Arial"/>
                <w:color w:val="000000"/>
                <w:sz w:val="20"/>
                <w:szCs w:val="20"/>
              </w:rPr>
            </w:pPr>
            <w:r w:rsidRPr="00F955C6">
              <w:rPr>
                <w:rFonts w:cs="Arial"/>
                <w:color w:val="000000"/>
                <w:sz w:val="20"/>
                <w:szCs w:val="20"/>
              </w:rPr>
              <w:t>5.0</w:t>
            </w:r>
          </w:p>
          <w:p w14:paraId="0067CA28"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color w:val="000000"/>
                <w:sz w:val="20"/>
                <w:szCs w:val="20"/>
              </w:rPr>
              <w:t>(4.0 – 5.0)</w:t>
            </w:r>
          </w:p>
        </w:tc>
      </w:tr>
      <w:tr w:rsidR="000923BB" w:rsidRPr="00F955C6" w14:paraId="61739918" w14:textId="77777777" w:rsidTr="003A385F">
        <w:tc>
          <w:tcPr>
            <w:tcW w:w="1548" w:type="dxa"/>
            <w:vMerge/>
            <w:tcBorders>
              <w:right w:val="nil"/>
            </w:tcBorders>
          </w:tcPr>
          <w:p w14:paraId="5E25AAEF" w14:textId="77777777" w:rsidR="000923BB" w:rsidRPr="00F955C6" w:rsidRDefault="000923BB" w:rsidP="003A385F">
            <w:pPr>
              <w:tabs>
                <w:tab w:val="center" w:pos="5731"/>
              </w:tabs>
              <w:autoSpaceDE w:val="0"/>
              <w:autoSpaceDN w:val="0"/>
              <w:adjustRightInd w:val="0"/>
              <w:jc w:val="both"/>
              <w:rPr>
                <w:rFonts w:cs="Arial"/>
                <w:b/>
                <w:color w:val="000000"/>
                <w:sz w:val="20"/>
                <w:szCs w:val="20"/>
              </w:rPr>
            </w:pPr>
          </w:p>
        </w:tc>
        <w:tc>
          <w:tcPr>
            <w:tcW w:w="1440" w:type="dxa"/>
            <w:tcBorders>
              <w:top w:val="nil"/>
              <w:left w:val="nil"/>
              <w:bottom w:val="single" w:sz="4" w:space="0" w:color="auto"/>
              <w:right w:val="single" w:sz="4" w:space="0" w:color="auto"/>
            </w:tcBorders>
          </w:tcPr>
          <w:p w14:paraId="661B7E0B"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Min - max</w:t>
            </w:r>
          </w:p>
        </w:tc>
        <w:tc>
          <w:tcPr>
            <w:tcW w:w="1440" w:type="dxa"/>
            <w:tcBorders>
              <w:top w:val="nil"/>
              <w:left w:val="single" w:sz="4" w:space="0" w:color="auto"/>
              <w:bottom w:val="single" w:sz="4" w:space="0" w:color="auto"/>
              <w:right w:val="single" w:sz="4" w:space="0" w:color="auto"/>
            </w:tcBorders>
          </w:tcPr>
          <w:p w14:paraId="47BF696D"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 xml:space="preserve">4.0 – 5.0 </w:t>
            </w:r>
          </w:p>
        </w:tc>
        <w:tc>
          <w:tcPr>
            <w:tcW w:w="1440" w:type="dxa"/>
            <w:tcBorders>
              <w:top w:val="nil"/>
              <w:left w:val="single" w:sz="4" w:space="0" w:color="auto"/>
              <w:bottom w:val="single" w:sz="4" w:space="0" w:color="auto"/>
              <w:right w:val="single" w:sz="4" w:space="0" w:color="auto"/>
            </w:tcBorders>
          </w:tcPr>
          <w:p w14:paraId="153C56FD"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1.0 – 6.0</w:t>
            </w:r>
          </w:p>
        </w:tc>
        <w:tc>
          <w:tcPr>
            <w:tcW w:w="1440" w:type="dxa"/>
            <w:tcBorders>
              <w:top w:val="nil"/>
              <w:left w:val="single" w:sz="4" w:space="0" w:color="auto"/>
              <w:bottom w:val="single" w:sz="4" w:space="0" w:color="auto"/>
            </w:tcBorders>
          </w:tcPr>
          <w:p w14:paraId="46E1D9F6"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2.0 – 6.0</w:t>
            </w:r>
          </w:p>
        </w:tc>
      </w:tr>
      <w:tr w:rsidR="000923BB" w:rsidRPr="00F955C6" w14:paraId="717DA453" w14:textId="77777777" w:rsidTr="003A385F">
        <w:tc>
          <w:tcPr>
            <w:tcW w:w="1548" w:type="dxa"/>
            <w:vMerge w:val="restart"/>
            <w:tcBorders>
              <w:right w:val="nil"/>
            </w:tcBorders>
          </w:tcPr>
          <w:p w14:paraId="2AC508AF" w14:textId="77777777" w:rsidR="000923BB" w:rsidRPr="00F955C6" w:rsidRDefault="000923BB" w:rsidP="003A385F">
            <w:pPr>
              <w:tabs>
                <w:tab w:val="center" w:pos="5731"/>
              </w:tabs>
              <w:autoSpaceDE w:val="0"/>
              <w:autoSpaceDN w:val="0"/>
              <w:adjustRightInd w:val="0"/>
              <w:jc w:val="both"/>
              <w:rPr>
                <w:rFonts w:cs="Arial"/>
                <w:b/>
                <w:color w:val="000000"/>
                <w:sz w:val="20"/>
                <w:szCs w:val="20"/>
              </w:rPr>
            </w:pPr>
            <w:r w:rsidRPr="00F955C6">
              <w:rPr>
                <w:rFonts w:cs="Arial"/>
                <w:b/>
                <w:color w:val="000000"/>
                <w:sz w:val="20"/>
                <w:szCs w:val="20"/>
              </w:rPr>
              <w:t>Initial Management phase quality of care rating</w:t>
            </w:r>
          </w:p>
        </w:tc>
        <w:tc>
          <w:tcPr>
            <w:tcW w:w="1440" w:type="dxa"/>
            <w:tcBorders>
              <w:left w:val="nil"/>
              <w:bottom w:val="nil"/>
              <w:right w:val="single" w:sz="4" w:space="0" w:color="auto"/>
            </w:tcBorders>
          </w:tcPr>
          <w:p w14:paraId="63EAE8AE"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 xml:space="preserve">Mean </w:t>
            </w:r>
          </w:p>
          <w:p w14:paraId="45ED4383"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(SD)</w:t>
            </w:r>
          </w:p>
        </w:tc>
        <w:tc>
          <w:tcPr>
            <w:tcW w:w="1440" w:type="dxa"/>
            <w:tcBorders>
              <w:left w:val="single" w:sz="4" w:space="0" w:color="auto"/>
              <w:bottom w:val="nil"/>
              <w:right w:val="single" w:sz="4" w:space="0" w:color="auto"/>
            </w:tcBorders>
          </w:tcPr>
          <w:p w14:paraId="3A43CC6F"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4.5 (0.6)</w:t>
            </w:r>
          </w:p>
        </w:tc>
        <w:tc>
          <w:tcPr>
            <w:tcW w:w="1440" w:type="dxa"/>
            <w:tcBorders>
              <w:left w:val="single" w:sz="4" w:space="0" w:color="auto"/>
              <w:bottom w:val="nil"/>
              <w:right w:val="single" w:sz="4" w:space="0" w:color="auto"/>
            </w:tcBorders>
          </w:tcPr>
          <w:p w14:paraId="5606A1FA" w14:textId="77777777" w:rsidR="000923BB" w:rsidRPr="00F955C6" w:rsidRDefault="000923BB" w:rsidP="003A385F">
            <w:pPr>
              <w:tabs>
                <w:tab w:val="center" w:pos="5731"/>
              </w:tabs>
              <w:autoSpaceDE w:val="0"/>
              <w:autoSpaceDN w:val="0"/>
              <w:adjustRightInd w:val="0"/>
              <w:jc w:val="both"/>
              <w:rPr>
                <w:rFonts w:cs="Arial"/>
                <w:color w:val="000000"/>
                <w:sz w:val="20"/>
                <w:szCs w:val="20"/>
              </w:rPr>
            </w:pPr>
            <w:r w:rsidRPr="00F955C6">
              <w:rPr>
                <w:rFonts w:cs="Arial"/>
                <w:color w:val="000000"/>
                <w:sz w:val="20"/>
                <w:szCs w:val="20"/>
              </w:rPr>
              <w:t>4.88</w:t>
            </w:r>
          </w:p>
          <w:p w14:paraId="5780E3FD"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color w:val="000000"/>
                <w:sz w:val="20"/>
                <w:szCs w:val="20"/>
              </w:rPr>
              <w:t>(0.81)</w:t>
            </w:r>
          </w:p>
        </w:tc>
        <w:tc>
          <w:tcPr>
            <w:tcW w:w="1440" w:type="dxa"/>
            <w:tcBorders>
              <w:left w:val="single" w:sz="4" w:space="0" w:color="auto"/>
              <w:bottom w:val="nil"/>
            </w:tcBorders>
          </w:tcPr>
          <w:p w14:paraId="06B73788" w14:textId="77777777" w:rsidR="000923BB" w:rsidRPr="00F955C6" w:rsidRDefault="000923BB" w:rsidP="003A385F">
            <w:pPr>
              <w:tabs>
                <w:tab w:val="center" w:pos="5731"/>
              </w:tabs>
              <w:autoSpaceDE w:val="0"/>
              <w:autoSpaceDN w:val="0"/>
              <w:adjustRightInd w:val="0"/>
              <w:jc w:val="both"/>
              <w:rPr>
                <w:rFonts w:cs="Arial"/>
                <w:color w:val="000000"/>
                <w:sz w:val="20"/>
                <w:szCs w:val="20"/>
              </w:rPr>
            </w:pPr>
            <w:r w:rsidRPr="00F955C6">
              <w:rPr>
                <w:rFonts w:cs="Arial"/>
                <w:color w:val="000000"/>
                <w:sz w:val="20"/>
                <w:szCs w:val="20"/>
              </w:rPr>
              <w:t>4.3</w:t>
            </w:r>
          </w:p>
          <w:p w14:paraId="3DDA0EFC"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color w:val="000000"/>
                <w:sz w:val="20"/>
                <w:szCs w:val="20"/>
              </w:rPr>
              <w:t>(1.1)</w:t>
            </w:r>
          </w:p>
        </w:tc>
      </w:tr>
      <w:tr w:rsidR="000923BB" w:rsidRPr="00F955C6" w14:paraId="6C79D871" w14:textId="77777777" w:rsidTr="003A385F">
        <w:tc>
          <w:tcPr>
            <w:tcW w:w="1548" w:type="dxa"/>
            <w:vMerge/>
            <w:tcBorders>
              <w:right w:val="nil"/>
            </w:tcBorders>
          </w:tcPr>
          <w:p w14:paraId="7C15E8A1" w14:textId="77777777" w:rsidR="000923BB" w:rsidRPr="00F955C6" w:rsidRDefault="000923BB" w:rsidP="003A385F">
            <w:pPr>
              <w:tabs>
                <w:tab w:val="center" w:pos="5731"/>
              </w:tabs>
              <w:autoSpaceDE w:val="0"/>
              <w:autoSpaceDN w:val="0"/>
              <w:adjustRightInd w:val="0"/>
              <w:jc w:val="both"/>
              <w:rPr>
                <w:rFonts w:cs="Arial"/>
                <w:b/>
                <w:color w:val="000000"/>
                <w:sz w:val="20"/>
                <w:szCs w:val="20"/>
              </w:rPr>
            </w:pPr>
          </w:p>
        </w:tc>
        <w:tc>
          <w:tcPr>
            <w:tcW w:w="1440" w:type="dxa"/>
            <w:tcBorders>
              <w:top w:val="nil"/>
              <w:left w:val="nil"/>
              <w:bottom w:val="nil"/>
              <w:right w:val="single" w:sz="4" w:space="0" w:color="auto"/>
            </w:tcBorders>
          </w:tcPr>
          <w:p w14:paraId="6F8A58A7"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Median (IQR)</w:t>
            </w:r>
          </w:p>
        </w:tc>
        <w:tc>
          <w:tcPr>
            <w:tcW w:w="1440" w:type="dxa"/>
            <w:tcBorders>
              <w:top w:val="nil"/>
              <w:left w:val="single" w:sz="4" w:space="0" w:color="auto"/>
              <w:bottom w:val="nil"/>
              <w:right w:val="single" w:sz="4" w:space="0" w:color="auto"/>
            </w:tcBorders>
          </w:tcPr>
          <w:p w14:paraId="2977FBBA"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5.00</w:t>
            </w:r>
          </w:p>
          <w:p w14:paraId="7B00C830"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(4.00 – 5.00)</w:t>
            </w:r>
          </w:p>
        </w:tc>
        <w:tc>
          <w:tcPr>
            <w:tcW w:w="1440" w:type="dxa"/>
            <w:tcBorders>
              <w:top w:val="nil"/>
              <w:left w:val="single" w:sz="4" w:space="0" w:color="auto"/>
              <w:bottom w:val="nil"/>
              <w:right w:val="single" w:sz="4" w:space="0" w:color="auto"/>
            </w:tcBorders>
          </w:tcPr>
          <w:p w14:paraId="680CCD6D" w14:textId="77777777" w:rsidR="000923BB" w:rsidRPr="00F955C6" w:rsidRDefault="000923BB" w:rsidP="003A385F">
            <w:pPr>
              <w:tabs>
                <w:tab w:val="center" w:pos="5731"/>
              </w:tabs>
              <w:autoSpaceDE w:val="0"/>
              <w:autoSpaceDN w:val="0"/>
              <w:adjustRightInd w:val="0"/>
              <w:jc w:val="both"/>
              <w:rPr>
                <w:rFonts w:cs="Arial"/>
                <w:color w:val="000000"/>
                <w:sz w:val="20"/>
                <w:szCs w:val="20"/>
              </w:rPr>
            </w:pPr>
            <w:r w:rsidRPr="00F955C6">
              <w:rPr>
                <w:rFonts w:cs="Arial"/>
                <w:color w:val="000000"/>
                <w:sz w:val="20"/>
                <w:szCs w:val="20"/>
              </w:rPr>
              <w:t>5.00</w:t>
            </w:r>
          </w:p>
          <w:p w14:paraId="4E31AF54"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color w:val="000000"/>
                <w:sz w:val="20"/>
                <w:szCs w:val="20"/>
              </w:rPr>
              <w:t>(4.00 – 5.00)</w:t>
            </w:r>
          </w:p>
        </w:tc>
        <w:tc>
          <w:tcPr>
            <w:tcW w:w="1440" w:type="dxa"/>
            <w:tcBorders>
              <w:top w:val="nil"/>
              <w:left w:val="single" w:sz="4" w:space="0" w:color="auto"/>
              <w:bottom w:val="nil"/>
            </w:tcBorders>
          </w:tcPr>
          <w:p w14:paraId="63201676" w14:textId="77777777" w:rsidR="000923BB" w:rsidRPr="00F955C6" w:rsidRDefault="000923BB" w:rsidP="003A385F">
            <w:pPr>
              <w:tabs>
                <w:tab w:val="center" w:pos="5731"/>
              </w:tabs>
              <w:autoSpaceDE w:val="0"/>
              <w:autoSpaceDN w:val="0"/>
              <w:adjustRightInd w:val="0"/>
              <w:jc w:val="both"/>
              <w:rPr>
                <w:rFonts w:cs="Arial"/>
                <w:color w:val="000000"/>
                <w:sz w:val="20"/>
                <w:szCs w:val="20"/>
              </w:rPr>
            </w:pPr>
            <w:r w:rsidRPr="00F955C6">
              <w:rPr>
                <w:rFonts w:cs="Arial"/>
                <w:color w:val="000000"/>
                <w:sz w:val="20"/>
                <w:szCs w:val="20"/>
              </w:rPr>
              <w:t>5.0</w:t>
            </w:r>
          </w:p>
          <w:p w14:paraId="610A8AC0"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color w:val="000000"/>
                <w:sz w:val="20"/>
                <w:szCs w:val="20"/>
              </w:rPr>
              <w:t>(3.3 – 5.0)</w:t>
            </w:r>
          </w:p>
        </w:tc>
      </w:tr>
      <w:tr w:rsidR="000923BB" w:rsidRPr="00F955C6" w14:paraId="42CE6678" w14:textId="77777777" w:rsidTr="003A385F">
        <w:tc>
          <w:tcPr>
            <w:tcW w:w="1548" w:type="dxa"/>
            <w:vMerge/>
            <w:tcBorders>
              <w:right w:val="nil"/>
            </w:tcBorders>
          </w:tcPr>
          <w:p w14:paraId="19714816" w14:textId="77777777" w:rsidR="000923BB" w:rsidRPr="00F955C6" w:rsidRDefault="000923BB" w:rsidP="003A385F">
            <w:pPr>
              <w:tabs>
                <w:tab w:val="center" w:pos="5731"/>
              </w:tabs>
              <w:autoSpaceDE w:val="0"/>
              <w:autoSpaceDN w:val="0"/>
              <w:adjustRightInd w:val="0"/>
              <w:jc w:val="both"/>
              <w:rPr>
                <w:rFonts w:cs="Arial"/>
                <w:b/>
                <w:color w:val="000000"/>
                <w:sz w:val="20"/>
                <w:szCs w:val="20"/>
              </w:rPr>
            </w:pPr>
          </w:p>
        </w:tc>
        <w:tc>
          <w:tcPr>
            <w:tcW w:w="1440" w:type="dxa"/>
            <w:tcBorders>
              <w:top w:val="nil"/>
              <w:left w:val="nil"/>
              <w:bottom w:val="single" w:sz="4" w:space="0" w:color="auto"/>
              <w:right w:val="single" w:sz="4" w:space="0" w:color="auto"/>
            </w:tcBorders>
          </w:tcPr>
          <w:p w14:paraId="29E73029"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Min - max</w:t>
            </w:r>
          </w:p>
        </w:tc>
        <w:tc>
          <w:tcPr>
            <w:tcW w:w="1440" w:type="dxa"/>
            <w:tcBorders>
              <w:top w:val="nil"/>
              <w:left w:val="single" w:sz="4" w:space="0" w:color="auto"/>
              <w:bottom w:val="single" w:sz="4" w:space="0" w:color="auto"/>
              <w:right w:val="single" w:sz="4" w:space="0" w:color="auto"/>
            </w:tcBorders>
          </w:tcPr>
          <w:p w14:paraId="252F6944"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 xml:space="preserve">3.0 – 5.0 </w:t>
            </w:r>
          </w:p>
        </w:tc>
        <w:tc>
          <w:tcPr>
            <w:tcW w:w="1440" w:type="dxa"/>
            <w:tcBorders>
              <w:top w:val="nil"/>
              <w:left w:val="single" w:sz="4" w:space="0" w:color="auto"/>
              <w:bottom w:val="single" w:sz="4" w:space="0" w:color="auto"/>
              <w:right w:val="single" w:sz="4" w:space="0" w:color="auto"/>
            </w:tcBorders>
          </w:tcPr>
          <w:p w14:paraId="26E61D69"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3.0 – 6.0</w:t>
            </w:r>
          </w:p>
        </w:tc>
        <w:tc>
          <w:tcPr>
            <w:tcW w:w="1440" w:type="dxa"/>
            <w:tcBorders>
              <w:top w:val="nil"/>
              <w:left w:val="single" w:sz="4" w:space="0" w:color="auto"/>
              <w:bottom w:val="single" w:sz="4" w:space="0" w:color="auto"/>
            </w:tcBorders>
          </w:tcPr>
          <w:p w14:paraId="65031876"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2.0 – 6.0)</w:t>
            </w:r>
          </w:p>
        </w:tc>
      </w:tr>
      <w:tr w:rsidR="000923BB" w:rsidRPr="00F955C6" w14:paraId="1B2E0EBF" w14:textId="77777777" w:rsidTr="003A385F">
        <w:tc>
          <w:tcPr>
            <w:tcW w:w="1548" w:type="dxa"/>
            <w:vMerge w:val="restart"/>
            <w:tcBorders>
              <w:right w:val="nil"/>
            </w:tcBorders>
          </w:tcPr>
          <w:p w14:paraId="033DF040" w14:textId="77777777" w:rsidR="000923BB" w:rsidRPr="00F955C6" w:rsidRDefault="000923BB" w:rsidP="003A385F">
            <w:pPr>
              <w:tabs>
                <w:tab w:val="center" w:pos="5731"/>
              </w:tabs>
              <w:autoSpaceDE w:val="0"/>
              <w:autoSpaceDN w:val="0"/>
              <w:adjustRightInd w:val="0"/>
              <w:jc w:val="both"/>
              <w:rPr>
                <w:rFonts w:cs="Arial"/>
                <w:b/>
                <w:color w:val="000000"/>
                <w:sz w:val="20"/>
                <w:szCs w:val="20"/>
              </w:rPr>
            </w:pPr>
            <w:r w:rsidRPr="00F955C6">
              <w:rPr>
                <w:rFonts w:cs="Arial"/>
                <w:b/>
                <w:color w:val="000000"/>
                <w:sz w:val="20"/>
                <w:szCs w:val="20"/>
              </w:rPr>
              <w:t>Pre-discharge phase quality of care rating</w:t>
            </w:r>
          </w:p>
        </w:tc>
        <w:tc>
          <w:tcPr>
            <w:tcW w:w="1440" w:type="dxa"/>
            <w:tcBorders>
              <w:left w:val="nil"/>
              <w:bottom w:val="nil"/>
              <w:right w:val="single" w:sz="4" w:space="0" w:color="auto"/>
            </w:tcBorders>
          </w:tcPr>
          <w:p w14:paraId="7A3674E1"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 xml:space="preserve">Mean </w:t>
            </w:r>
          </w:p>
          <w:p w14:paraId="162ECD56"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(SD)</w:t>
            </w:r>
          </w:p>
        </w:tc>
        <w:tc>
          <w:tcPr>
            <w:tcW w:w="1440" w:type="dxa"/>
            <w:tcBorders>
              <w:left w:val="single" w:sz="4" w:space="0" w:color="auto"/>
              <w:bottom w:val="nil"/>
              <w:right w:val="single" w:sz="4" w:space="0" w:color="auto"/>
            </w:tcBorders>
          </w:tcPr>
          <w:p w14:paraId="1C880E86" w14:textId="77777777" w:rsidR="000923BB" w:rsidRPr="00F955C6" w:rsidRDefault="000923BB" w:rsidP="003A385F">
            <w:pPr>
              <w:tabs>
                <w:tab w:val="center" w:pos="5731"/>
              </w:tabs>
              <w:autoSpaceDE w:val="0"/>
              <w:autoSpaceDN w:val="0"/>
              <w:adjustRightInd w:val="0"/>
              <w:jc w:val="both"/>
              <w:rPr>
                <w:rFonts w:cs="Arial"/>
                <w:color w:val="000000"/>
                <w:sz w:val="20"/>
                <w:szCs w:val="20"/>
              </w:rPr>
            </w:pPr>
            <w:r w:rsidRPr="00F955C6">
              <w:rPr>
                <w:rFonts w:cs="Arial"/>
                <w:color w:val="000000"/>
                <w:sz w:val="20"/>
                <w:szCs w:val="20"/>
              </w:rPr>
              <w:t xml:space="preserve">4.5 </w:t>
            </w:r>
          </w:p>
          <w:p w14:paraId="2AA1D996"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color w:val="000000"/>
                <w:sz w:val="20"/>
                <w:szCs w:val="20"/>
              </w:rPr>
              <w:t>(0.6)</w:t>
            </w:r>
          </w:p>
        </w:tc>
        <w:tc>
          <w:tcPr>
            <w:tcW w:w="1440" w:type="dxa"/>
            <w:tcBorders>
              <w:left w:val="single" w:sz="4" w:space="0" w:color="auto"/>
              <w:bottom w:val="nil"/>
              <w:right w:val="single" w:sz="4" w:space="0" w:color="auto"/>
            </w:tcBorders>
          </w:tcPr>
          <w:p w14:paraId="1E251E18" w14:textId="77777777" w:rsidR="000923BB" w:rsidRPr="00F955C6" w:rsidRDefault="000923BB" w:rsidP="003A385F">
            <w:pPr>
              <w:tabs>
                <w:tab w:val="center" w:pos="5731"/>
              </w:tabs>
              <w:autoSpaceDE w:val="0"/>
              <w:autoSpaceDN w:val="0"/>
              <w:adjustRightInd w:val="0"/>
              <w:jc w:val="both"/>
              <w:rPr>
                <w:rFonts w:cs="Arial"/>
                <w:color w:val="000000"/>
                <w:sz w:val="20"/>
                <w:szCs w:val="20"/>
              </w:rPr>
            </w:pPr>
            <w:r w:rsidRPr="00F955C6">
              <w:rPr>
                <w:rFonts w:cs="Arial"/>
                <w:color w:val="000000"/>
                <w:sz w:val="20"/>
                <w:szCs w:val="20"/>
              </w:rPr>
              <w:t>5.0</w:t>
            </w:r>
          </w:p>
          <w:p w14:paraId="110046F4"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color w:val="000000"/>
                <w:sz w:val="20"/>
                <w:szCs w:val="20"/>
              </w:rPr>
              <w:t>(0.7)</w:t>
            </w:r>
          </w:p>
        </w:tc>
        <w:tc>
          <w:tcPr>
            <w:tcW w:w="1440" w:type="dxa"/>
            <w:tcBorders>
              <w:left w:val="single" w:sz="4" w:space="0" w:color="auto"/>
              <w:bottom w:val="nil"/>
            </w:tcBorders>
          </w:tcPr>
          <w:p w14:paraId="52AEB603" w14:textId="77777777" w:rsidR="000923BB" w:rsidRPr="00F955C6" w:rsidRDefault="000923BB" w:rsidP="003A385F">
            <w:pPr>
              <w:tabs>
                <w:tab w:val="center" w:pos="5731"/>
              </w:tabs>
              <w:autoSpaceDE w:val="0"/>
              <w:autoSpaceDN w:val="0"/>
              <w:adjustRightInd w:val="0"/>
              <w:jc w:val="both"/>
              <w:rPr>
                <w:rFonts w:cs="Arial"/>
                <w:color w:val="000000"/>
                <w:sz w:val="20"/>
                <w:szCs w:val="20"/>
              </w:rPr>
            </w:pPr>
            <w:r w:rsidRPr="00F955C6">
              <w:rPr>
                <w:rFonts w:cs="Arial"/>
                <w:color w:val="000000"/>
                <w:sz w:val="20"/>
                <w:szCs w:val="20"/>
              </w:rPr>
              <w:t>3.8</w:t>
            </w:r>
          </w:p>
          <w:p w14:paraId="138973D9"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color w:val="000000"/>
                <w:sz w:val="20"/>
                <w:szCs w:val="20"/>
              </w:rPr>
              <w:t>(1.1)</w:t>
            </w:r>
          </w:p>
        </w:tc>
      </w:tr>
      <w:tr w:rsidR="000923BB" w:rsidRPr="00F955C6" w14:paraId="28AE7043" w14:textId="77777777" w:rsidTr="003A385F">
        <w:tc>
          <w:tcPr>
            <w:tcW w:w="1548" w:type="dxa"/>
            <w:vMerge/>
            <w:tcBorders>
              <w:right w:val="nil"/>
            </w:tcBorders>
          </w:tcPr>
          <w:p w14:paraId="50F870BB" w14:textId="77777777" w:rsidR="000923BB" w:rsidRPr="00F955C6" w:rsidRDefault="000923BB" w:rsidP="003A385F">
            <w:pPr>
              <w:tabs>
                <w:tab w:val="center" w:pos="5731"/>
              </w:tabs>
              <w:autoSpaceDE w:val="0"/>
              <w:autoSpaceDN w:val="0"/>
              <w:adjustRightInd w:val="0"/>
              <w:jc w:val="both"/>
              <w:rPr>
                <w:rFonts w:cs="Arial"/>
                <w:b/>
                <w:color w:val="000000"/>
                <w:sz w:val="20"/>
                <w:szCs w:val="20"/>
              </w:rPr>
            </w:pPr>
          </w:p>
        </w:tc>
        <w:tc>
          <w:tcPr>
            <w:tcW w:w="1440" w:type="dxa"/>
            <w:tcBorders>
              <w:top w:val="nil"/>
              <w:left w:val="nil"/>
              <w:bottom w:val="nil"/>
              <w:right w:val="single" w:sz="4" w:space="0" w:color="auto"/>
            </w:tcBorders>
          </w:tcPr>
          <w:p w14:paraId="66098A60"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Median (IQR)</w:t>
            </w:r>
          </w:p>
        </w:tc>
        <w:tc>
          <w:tcPr>
            <w:tcW w:w="1440" w:type="dxa"/>
            <w:tcBorders>
              <w:top w:val="nil"/>
              <w:left w:val="single" w:sz="4" w:space="0" w:color="auto"/>
              <w:bottom w:val="nil"/>
              <w:right w:val="single" w:sz="4" w:space="0" w:color="auto"/>
            </w:tcBorders>
          </w:tcPr>
          <w:p w14:paraId="170E79EA"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5.0</w:t>
            </w:r>
          </w:p>
          <w:p w14:paraId="2167D536"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(4.0 – 5.0)</w:t>
            </w:r>
          </w:p>
        </w:tc>
        <w:tc>
          <w:tcPr>
            <w:tcW w:w="1440" w:type="dxa"/>
            <w:tcBorders>
              <w:top w:val="nil"/>
              <w:left w:val="single" w:sz="4" w:space="0" w:color="auto"/>
              <w:bottom w:val="nil"/>
              <w:right w:val="single" w:sz="4" w:space="0" w:color="auto"/>
            </w:tcBorders>
          </w:tcPr>
          <w:p w14:paraId="276B2BDF" w14:textId="77777777" w:rsidR="000923BB" w:rsidRPr="00F955C6" w:rsidRDefault="000923BB" w:rsidP="003A385F">
            <w:pPr>
              <w:tabs>
                <w:tab w:val="center" w:pos="5731"/>
              </w:tabs>
              <w:autoSpaceDE w:val="0"/>
              <w:autoSpaceDN w:val="0"/>
              <w:adjustRightInd w:val="0"/>
              <w:jc w:val="both"/>
              <w:rPr>
                <w:rFonts w:cs="Arial"/>
                <w:color w:val="000000"/>
                <w:sz w:val="20"/>
                <w:szCs w:val="20"/>
              </w:rPr>
            </w:pPr>
            <w:r w:rsidRPr="00F955C6">
              <w:rPr>
                <w:rFonts w:cs="Arial"/>
                <w:color w:val="000000"/>
                <w:sz w:val="20"/>
                <w:szCs w:val="20"/>
              </w:rPr>
              <w:t>5.0</w:t>
            </w:r>
          </w:p>
          <w:p w14:paraId="557EC6C7"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color w:val="000000"/>
                <w:sz w:val="20"/>
                <w:szCs w:val="20"/>
              </w:rPr>
              <w:t>(</w:t>
            </w:r>
            <w:r w:rsidRPr="00F955C6">
              <w:rPr>
                <w:rFonts w:cs="Arial"/>
                <w:bCs/>
                <w:color w:val="000000"/>
                <w:sz w:val="20"/>
                <w:szCs w:val="20"/>
              </w:rPr>
              <w:t>5.0 – 5.0)</w:t>
            </w:r>
          </w:p>
        </w:tc>
        <w:tc>
          <w:tcPr>
            <w:tcW w:w="1440" w:type="dxa"/>
            <w:tcBorders>
              <w:top w:val="nil"/>
              <w:left w:val="single" w:sz="4" w:space="0" w:color="auto"/>
              <w:bottom w:val="nil"/>
            </w:tcBorders>
          </w:tcPr>
          <w:p w14:paraId="7B9CA60B" w14:textId="77777777" w:rsidR="000923BB" w:rsidRPr="00F955C6" w:rsidRDefault="000923BB" w:rsidP="003A385F">
            <w:pPr>
              <w:tabs>
                <w:tab w:val="center" w:pos="5731"/>
              </w:tabs>
              <w:autoSpaceDE w:val="0"/>
              <w:autoSpaceDN w:val="0"/>
              <w:adjustRightInd w:val="0"/>
              <w:jc w:val="both"/>
              <w:rPr>
                <w:rFonts w:cs="Arial"/>
                <w:color w:val="000000"/>
                <w:sz w:val="20"/>
                <w:szCs w:val="20"/>
              </w:rPr>
            </w:pPr>
            <w:r w:rsidRPr="00F955C6">
              <w:rPr>
                <w:rFonts w:cs="Arial"/>
                <w:color w:val="000000"/>
                <w:sz w:val="20"/>
                <w:szCs w:val="20"/>
              </w:rPr>
              <w:t>4.0</w:t>
            </w:r>
          </w:p>
          <w:p w14:paraId="439AE776"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color w:val="000000"/>
                <w:sz w:val="20"/>
                <w:szCs w:val="20"/>
              </w:rPr>
              <w:t>(3.0 – 5.0)</w:t>
            </w:r>
          </w:p>
        </w:tc>
      </w:tr>
      <w:tr w:rsidR="000923BB" w:rsidRPr="00F955C6" w14:paraId="1E2DDDD2" w14:textId="77777777" w:rsidTr="003A385F">
        <w:tc>
          <w:tcPr>
            <w:tcW w:w="1548" w:type="dxa"/>
            <w:vMerge/>
            <w:tcBorders>
              <w:right w:val="nil"/>
            </w:tcBorders>
          </w:tcPr>
          <w:p w14:paraId="47157E60" w14:textId="77777777" w:rsidR="000923BB" w:rsidRPr="00F955C6" w:rsidRDefault="000923BB" w:rsidP="003A385F">
            <w:pPr>
              <w:tabs>
                <w:tab w:val="center" w:pos="5731"/>
              </w:tabs>
              <w:autoSpaceDE w:val="0"/>
              <w:autoSpaceDN w:val="0"/>
              <w:adjustRightInd w:val="0"/>
              <w:jc w:val="both"/>
              <w:rPr>
                <w:rFonts w:cs="Arial"/>
                <w:b/>
                <w:color w:val="000000"/>
                <w:sz w:val="20"/>
                <w:szCs w:val="20"/>
              </w:rPr>
            </w:pPr>
          </w:p>
        </w:tc>
        <w:tc>
          <w:tcPr>
            <w:tcW w:w="1440" w:type="dxa"/>
            <w:tcBorders>
              <w:top w:val="nil"/>
              <w:left w:val="nil"/>
              <w:bottom w:val="single" w:sz="4" w:space="0" w:color="auto"/>
              <w:right w:val="single" w:sz="4" w:space="0" w:color="auto"/>
            </w:tcBorders>
          </w:tcPr>
          <w:p w14:paraId="1E9E0005"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Min - max</w:t>
            </w:r>
          </w:p>
        </w:tc>
        <w:tc>
          <w:tcPr>
            <w:tcW w:w="1440" w:type="dxa"/>
            <w:tcBorders>
              <w:top w:val="nil"/>
              <w:left w:val="single" w:sz="4" w:space="0" w:color="auto"/>
              <w:bottom w:val="single" w:sz="4" w:space="0" w:color="auto"/>
              <w:right w:val="single" w:sz="4" w:space="0" w:color="auto"/>
            </w:tcBorders>
          </w:tcPr>
          <w:p w14:paraId="2E737CCF"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3.0 – 5.0</w:t>
            </w:r>
          </w:p>
        </w:tc>
        <w:tc>
          <w:tcPr>
            <w:tcW w:w="1440" w:type="dxa"/>
            <w:tcBorders>
              <w:top w:val="nil"/>
              <w:left w:val="single" w:sz="4" w:space="0" w:color="auto"/>
              <w:bottom w:val="single" w:sz="4" w:space="0" w:color="auto"/>
              <w:right w:val="single" w:sz="4" w:space="0" w:color="auto"/>
            </w:tcBorders>
          </w:tcPr>
          <w:p w14:paraId="1F87E57F"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3.0 – 6.0</w:t>
            </w:r>
          </w:p>
        </w:tc>
        <w:tc>
          <w:tcPr>
            <w:tcW w:w="1440" w:type="dxa"/>
            <w:tcBorders>
              <w:top w:val="nil"/>
              <w:left w:val="single" w:sz="4" w:space="0" w:color="auto"/>
              <w:bottom w:val="single" w:sz="4" w:space="0" w:color="auto"/>
            </w:tcBorders>
          </w:tcPr>
          <w:p w14:paraId="3B7BF9E0"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 xml:space="preserve">1.0 – 5.0 </w:t>
            </w:r>
          </w:p>
        </w:tc>
      </w:tr>
      <w:tr w:rsidR="000923BB" w:rsidRPr="00F955C6" w14:paraId="54855633" w14:textId="77777777" w:rsidTr="003A385F">
        <w:tc>
          <w:tcPr>
            <w:tcW w:w="1548" w:type="dxa"/>
            <w:vMerge w:val="restart"/>
            <w:tcBorders>
              <w:right w:val="nil"/>
            </w:tcBorders>
          </w:tcPr>
          <w:p w14:paraId="60A373CA" w14:textId="77777777" w:rsidR="000923BB" w:rsidRPr="00F955C6" w:rsidRDefault="000923BB" w:rsidP="003A385F">
            <w:pPr>
              <w:tabs>
                <w:tab w:val="center" w:pos="5731"/>
              </w:tabs>
              <w:autoSpaceDE w:val="0"/>
              <w:autoSpaceDN w:val="0"/>
              <w:adjustRightInd w:val="0"/>
              <w:rPr>
                <w:rFonts w:cs="Arial"/>
                <w:b/>
                <w:color w:val="000000"/>
                <w:sz w:val="20"/>
                <w:szCs w:val="20"/>
              </w:rPr>
            </w:pPr>
            <w:r w:rsidRPr="00F955C6">
              <w:rPr>
                <w:rFonts w:cs="Arial"/>
                <w:b/>
                <w:color w:val="000000"/>
                <w:sz w:val="20"/>
                <w:szCs w:val="20"/>
              </w:rPr>
              <w:t>Overall phase quality of care rating</w:t>
            </w:r>
          </w:p>
        </w:tc>
        <w:tc>
          <w:tcPr>
            <w:tcW w:w="1440" w:type="dxa"/>
            <w:tcBorders>
              <w:left w:val="nil"/>
              <w:bottom w:val="nil"/>
              <w:right w:val="single" w:sz="4" w:space="0" w:color="auto"/>
            </w:tcBorders>
          </w:tcPr>
          <w:p w14:paraId="799DF68E"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 xml:space="preserve">Mean </w:t>
            </w:r>
          </w:p>
          <w:p w14:paraId="3C088E30"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(SD)</w:t>
            </w:r>
          </w:p>
        </w:tc>
        <w:tc>
          <w:tcPr>
            <w:tcW w:w="1440" w:type="dxa"/>
            <w:tcBorders>
              <w:left w:val="single" w:sz="4" w:space="0" w:color="auto"/>
              <w:bottom w:val="nil"/>
              <w:right w:val="single" w:sz="4" w:space="0" w:color="auto"/>
            </w:tcBorders>
          </w:tcPr>
          <w:p w14:paraId="2F4390CB" w14:textId="77777777" w:rsidR="000923BB" w:rsidRPr="00F955C6" w:rsidRDefault="000923BB" w:rsidP="003A385F">
            <w:pPr>
              <w:tabs>
                <w:tab w:val="center" w:pos="5731"/>
              </w:tabs>
              <w:autoSpaceDE w:val="0"/>
              <w:autoSpaceDN w:val="0"/>
              <w:adjustRightInd w:val="0"/>
              <w:jc w:val="both"/>
              <w:rPr>
                <w:rFonts w:cs="Arial"/>
                <w:color w:val="000000"/>
                <w:sz w:val="20"/>
                <w:szCs w:val="20"/>
              </w:rPr>
            </w:pPr>
            <w:r w:rsidRPr="00F955C6">
              <w:rPr>
                <w:rFonts w:cs="Arial"/>
                <w:color w:val="000000"/>
                <w:sz w:val="20"/>
                <w:szCs w:val="20"/>
              </w:rPr>
              <w:t>4.4</w:t>
            </w:r>
          </w:p>
          <w:p w14:paraId="4E168EEA"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color w:val="000000"/>
                <w:sz w:val="20"/>
                <w:szCs w:val="20"/>
              </w:rPr>
              <w:t>(0.5)</w:t>
            </w:r>
          </w:p>
        </w:tc>
        <w:tc>
          <w:tcPr>
            <w:tcW w:w="1440" w:type="dxa"/>
            <w:tcBorders>
              <w:left w:val="single" w:sz="4" w:space="0" w:color="auto"/>
              <w:bottom w:val="nil"/>
              <w:right w:val="single" w:sz="4" w:space="0" w:color="auto"/>
            </w:tcBorders>
          </w:tcPr>
          <w:p w14:paraId="527598AC" w14:textId="77777777" w:rsidR="000923BB" w:rsidRPr="00F955C6" w:rsidRDefault="000923BB" w:rsidP="003A385F">
            <w:pPr>
              <w:tabs>
                <w:tab w:val="center" w:pos="5731"/>
              </w:tabs>
              <w:autoSpaceDE w:val="0"/>
              <w:autoSpaceDN w:val="0"/>
              <w:adjustRightInd w:val="0"/>
              <w:jc w:val="both"/>
              <w:rPr>
                <w:rFonts w:cs="Arial"/>
                <w:color w:val="000000"/>
                <w:sz w:val="20"/>
                <w:szCs w:val="20"/>
              </w:rPr>
            </w:pPr>
            <w:r w:rsidRPr="00F955C6">
              <w:rPr>
                <w:rFonts w:cs="Arial"/>
                <w:color w:val="000000"/>
                <w:sz w:val="20"/>
                <w:szCs w:val="20"/>
              </w:rPr>
              <w:t>4.8</w:t>
            </w:r>
          </w:p>
          <w:p w14:paraId="046EED62"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color w:val="000000"/>
                <w:sz w:val="20"/>
                <w:szCs w:val="20"/>
              </w:rPr>
              <w:t>(0.9)</w:t>
            </w:r>
          </w:p>
        </w:tc>
        <w:tc>
          <w:tcPr>
            <w:tcW w:w="1440" w:type="dxa"/>
            <w:tcBorders>
              <w:left w:val="single" w:sz="4" w:space="0" w:color="auto"/>
              <w:bottom w:val="nil"/>
            </w:tcBorders>
          </w:tcPr>
          <w:p w14:paraId="2E95757C" w14:textId="77777777" w:rsidR="000923BB" w:rsidRPr="00F955C6" w:rsidRDefault="000923BB" w:rsidP="003A385F">
            <w:pPr>
              <w:tabs>
                <w:tab w:val="center" w:pos="5731"/>
              </w:tabs>
              <w:autoSpaceDE w:val="0"/>
              <w:autoSpaceDN w:val="0"/>
              <w:adjustRightInd w:val="0"/>
              <w:jc w:val="both"/>
              <w:rPr>
                <w:rFonts w:cs="Arial"/>
                <w:color w:val="000000"/>
                <w:sz w:val="20"/>
                <w:szCs w:val="20"/>
              </w:rPr>
            </w:pPr>
            <w:r w:rsidRPr="00F955C6">
              <w:rPr>
                <w:rFonts w:cs="Arial"/>
                <w:color w:val="000000"/>
                <w:sz w:val="20"/>
                <w:szCs w:val="20"/>
              </w:rPr>
              <w:t>4.0</w:t>
            </w:r>
          </w:p>
          <w:p w14:paraId="36C8E852"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color w:val="000000"/>
                <w:sz w:val="20"/>
                <w:szCs w:val="20"/>
              </w:rPr>
              <w:t>(0.9)</w:t>
            </w:r>
          </w:p>
        </w:tc>
      </w:tr>
      <w:tr w:rsidR="000923BB" w:rsidRPr="00F955C6" w14:paraId="5E149022" w14:textId="77777777" w:rsidTr="003A385F">
        <w:tc>
          <w:tcPr>
            <w:tcW w:w="1548" w:type="dxa"/>
            <w:vMerge/>
            <w:tcBorders>
              <w:right w:val="nil"/>
            </w:tcBorders>
          </w:tcPr>
          <w:p w14:paraId="1A48B626" w14:textId="77777777" w:rsidR="000923BB" w:rsidRPr="00F955C6" w:rsidRDefault="000923BB" w:rsidP="003A385F">
            <w:pPr>
              <w:tabs>
                <w:tab w:val="center" w:pos="5731"/>
              </w:tabs>
              <w:autoSpaceDE w:val="0"/>
              <w:autoSpaceDN w:val="0"/>
              <w:adjustRightInd w:val="0"/>
              <w:jc w:val="both"/>
              <w:rPr>
                <w:rFonts w:cs="Arial"/>
                <w:b/>
                <w:color w:val="000000"/>
                <w:sz w:val="20"/>
                <w:szCs w:val="20"/>
              </w:rPr>
            </w:pPr>
          </w:p>
        </w:tc>
        <w:tc>
          <w:tcPr>
            <w:tcW w:w="1440" w:type="dxa"/>
            <w:tcBorders>
              <w:top w:val="nil"/>
              <w:left w:val="nil"/>
              <w:bottom w:val="nil"/>
              <w:right w:val="single" w:sz="4" w:space="0" w:color="auto"/>
            </w:tcBorders>
          </w:tcPr>
          <w:p w14:paraId="72809E8D"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Median (IQR)</w:t>
            </w:r>
          </w:p>
        </w:tc>
        <w:tc>
          <w:tcPr>
            <w:tcW w:w="1440" w:type="dxa"/>
            <w:tcBorders>
              <w:top w:val="nil"/>
              <w:left w:val="single" w:sz="4" w:space="0" w:color="auto"/>
              <w:bottom w:val="nil"/>
              <w:right w:val="single" w:sz="4" w:space="0" w:color="auto"/>
            </w:tcBorders>
          </w:tcPr>
          <w:p w14:paraId="4B4F83C1"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4.0</w:t>
            </w:r>
          </w:p>
          <w:p w14:paraId="447E58C2"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(4.0 – 5.0)</w:t>
            </w:r>
          </w:p>
        </w:tc>
        <w:tc>
          <w:tcPr>
            <w:tcW w:w="1440" w:type="dxa"/>
            <w:tcBorders>
              <w:top w:val="nil"/>
              <w:left w:val="single" w:sz="4" w:space="0" w:color="auto"/>
              <w:bottom w:val="nil"/>
              <w:right w:val="single" w:sz="4" w:space="0" w:color="auto"/>
            </w:tcBorders>
          </w:tcPr>
          <w:p w14:paraId="3E1FD58E" w14:textId="77777777" w:rsidR="000923BB" w:rsidRPr="00F955C6" w:rsidRDefault="000923BB" w:rsidP="003A385F">
            <w:pPr>
              <w:tabs>
                <w:tab w:val="center" w:pos="5731"/>
              </w:tabs>
              <w:autoSpaceDE w:val="0"/>
              <w:autoSpaceDN w:val="0"/>
              <w:adjustRightInd w:val="0"/>
              <w:jc w:val="both"/>
              <w:rPr>
                <w:rFonts w:cs="Arial"/>
                <w:color w:val="000000"/>
                <w:sz w:val="20"/>
                <w:szCs w:val="20"/>
              </w:rPr>
            </w:pPr>
            <w:r w:rsidRPr="00F955C6">
              <w:rPr>
                <w:rFonts w:cs="Arial"/>
                <w:color w:val="000000"/>
                <w:sz w:val="20"/>
                <w:szCs w:val="20"/>
              </w:rPr>
              <w:t>5.0</w:t>
            </w:r>
          </w:p>
          <w:p w14:paraId="66508293"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color w:val="000000"/>
                <w:sz w:val="20"/>
                <w:szCs w:val="20"/>
              </w:rPr>
              <w:t>(</w:t>
            </w:r>
            <w:r w:rsidRPr="00F955C6">
              <w:rPr>
                <w:rFonts w:cs="Arial"/>
                <w:bCs/>
                <w:color w:val="000000"/>
                <w:sz w:val="20"/>
                <w:szCs w:val="20"/>
              </w:rPr>
              <w:t>4.5 – 5.0)</w:t>
            </w:r>
          </w:p>
        </w:tc>
        <w:tc>
          <w:tcPr>
            <w:tcW w:w="1440" w:type="dxa"/>
            <w:tcBorders>
              <w:top w:val="nil"/>
              <w:left w:val="single" w:sz="4" w:space="0" w:color="auto"/>
              <w:bottom w:val="nil"/>
            </w:tcBorders>
          </w:tcPr>
          <w:p w14:paraId="39AE2103" w14:textId="77777777" w:rsidR="000923BB" w:rsidRPr="00F955C6" w:rsidRDefault="000923BB" w:rsidP="003A385F">
            <w:pPr>
              <w:tabs>
                <w:tab w:val="center" w:pos="5731"/>
              </w:tabs>
              <w:autoSpaceDE w:val="0"/>
              <w:autoSpaceDN w:val="0"/>
              <w:adjustRightInd w:val="0"/>
              <w:jc w:val="both"/>
              <w:rPr>
                <w:rFonts w:cs="Arial"/>
                <w:color w:val="000000"/>
                <w:sz w:val="20"/>
                <w:szCs w:val="20"/>
              </w:rPr>
            </w:pPr>
            <w:r w:rsidRPr="00F955C6">
              <w:rPr>
                <w:rFonts w:cs="Arial"/>
                <w:color w:val="000000"/>
                <w:sz w:val="20"/>
                <w:szCs w:val="20"/>
              </w:rPr>
              <w:t>4.0</w:t>
            </w:r>
          </w:p>
          <w:p w14:paraId="6835413C"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color w:val="000000"/>
                <w:sz w:val="20"/>
                <w:szCs w:val="20"/>
              </w:rPr>
              <w:t>(3.0 – 5.0)</w:t>
            </w:r>
          </w:p>
        </w:tc>
      </w:tr>
      <w:tr w:rsidR="000923BB" w:rsidRPr="00F955C6" w14:paraId="6A0554D9" w14:textId="77777777" w:rsidTr="003A385F">
        <w:tc>
          <w:tcPr>
            <w:tcW w:w="1548" w:type="dxa"/>
            <w:vMerge/>
            <w:tcBorders>
              <w:right w:val="nil"/>
            </w:tcBorders>
          </w:tcPr>
          <w:p w14:paraId="55EA536C" w14:textId="77777777" w:rsidR="000923BB" w:rsidRPr="00F955C6" w:rsidRDefault="000923BB" w:rsidP="003A385F">
            <w:pPr>
              <w:tabs>
                <w:tab w:val="center" w:pos="5731"/>
              </w:tabs>
              <w:autoSpaceDE w:val="0"/>
              <w:autoSpaceDN w:val="0"/>
              <w:adjustRightInd w:val="0"/>
              <w:jc w:val="both"/>
              <w:rPr>
                <w:rFonts w:cs="Arial"/>
                <w:b/>
                <w:color w:val="000000"/>
                <w:sz w:val="20"/>
                <w:szCs w:val="20"/>
              </w:rPr>
            </w:pPr>
          </w:p>
        </w:tc>
        <w:tc>
          <w:tcPr>
            <w:tcW w:w="1440" w:type="dxa"/>
            <w:tcBorders>
              <w:top w:val="nil"/>
              <w:left w:val="nil"/>
              <w:bottom w:val="single" w:sz="4" w:space="0" w:color="auto"/>
              <w:right w:val="single" w:sz="4" w:space="0" w:color="auto"/>
            </w:tcBorders>
          </w:tcPr>
          <w:p w14:paraId="198F45BB"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Min - max</w:t>
            </w:r>
          </w:p>
        </w:tc>
        <w:tc>
          <w:tcPr>
            <w:tcW w:w="1440" w:type="dxa"/>
            <w:tcBorders>
              <w:top w:val="nil"/>
              <w:left w:val="single" w:sz="4" w:space="0" w:color="auto"/>
              <w:bottom w:val="single" w:sz="4" w:space="0" w:color="auto"/>
              <w:right w:val="single" w:sz="4" w:space="0" w:color="auto"/>
            </w:tcBorders>
          </w:tcPr>
          <w:p w14:paraId="2872D533"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4.0– 5.0</w:t>
            </w:r>
          </w:p>
        </w:tc>
        <w:tc>
          <w:tcPr>
            <w:tcW w:w="1440" w:type="dxa"/>
            <w:tcBorders>
              <w:top w:val="nil"/>
              <w:left w:val="single" w:sz="4" w:space="0" w:color="auto"/>
              <w:bottom w:val="single" w:sz="4" w:space="0" w:color="auto"/>
              <w:right w:val="single" w:sz="4" w:space="0" w:color="auto"/>
            </w:tcBorders>
          </w:tcPr>
          <w:p w14:paraId="5869DD31"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1.0 – 6.0</w:t>
            </w:r>
          </w:p>
        </w:tc>
        <w:tc>
          <w:tcPr>
            <w:tcW w:w="1440" w:type="dxa"/>
            <w:tcBorders>
              <w:top w:val="nil"/>
              <w:left w:val="single" w:sz="4" w:space="0" w:color="auto"/>
              <w:bottom w:val="single" w:sz="4" w:space="0" w:color="auto"/>
            </w:tcBorders>
          </w:tcPr>
          <w:p w14:paraId="70578E91"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2.0 – 5.0</w:t>
            </w:r>
          </w:p>
        </w:tc>
      </w:tr>
    </w:tbl>
    <w:p w14:paraId="6994F28E" w14:textId="77777777" w:rsidR="000923BB" w:rsidRPr="003234D9" w:rsidRDefault="000923BB" w:rsidP="000923BB">
      <w:pPr>
        <w:autoSpaceDE w:val="0"/>
        <w:autoSpaceDN w:val="0"/>
        <w:adjustRightInd w:val="0"/>
        <w:jc w:val="both"/>
        <w:rPr>
          <w:rFonts w:cs="Arial"/>
          <w:b/>
          <w:color w:val="000000"/>
          <w:sz w:val="22"/>
          <w:szCs w:val="22"/>
        </w:rPr>
      </w:pPr>
    </w:p>
    <w:p w14:paraId="122A16BE" w14:textId="77777777" w:rsidR="00900FF0" w:rsidRDefault="00900FF0" w:rsidP="000923BB">
      <w:pPr>
        <w:autoSpaceDE w:val="0"/>
        <w:autoSpaceDN w:val="0"/>
        <w:adjustRightInd w:val="0"/>
        <w:jc w:val="both"/>
        <w:rPr>
          <w:rFonts w:cs="Arial"/>
          <w:color w:val="000000"/>
          <w:sz w:val="22"/>
          <w:szCs w:val="22"/>
          <w:u w:val="single"/>
        </w:rPr>
      </w:pPr>
    </w:p>
    <w:p w14:paraId="73B732BD" w14:textId="77777777" w:rsidR="00900FF0" w:rsidRDefault="00900FF0" w:rsidP="000923BB">
      <w:pPr>
        <w:autoSpaceDE w:val="0"/>
        <w:autoSpaceDN w:val="0"/>
        <w:adjustRightInd w:val="0"/>
        <w:jc w:val="both"/>
        <w:rPr>
          <w:rFonts w:cs="Arial"/>
          <w:color w:val="000000"/>
          <w:sz w:val="22"/>
          <w:szCs w:val="22"/>
          <w:u w:val="single"/>
        </w:rPr>
      </w:pPr>
    </w:p>
    <w:p w14:paraId="562273F2" w14:textId="77777777" w:rsidR="00900FF0" w:rsidRDefault="00900FF0" w:rsidP="000923BB">
      <w:pPr>
        <w:autoSpaceDE w:val="0"/>
        <w:autoSpaceDN w:val="0"/>
        <w:adjustRightInd w:val="0"/>
        <w:jc w:val="both"/>
        <w:rPr>
          <w:rFonts w:cs="Arial"/>
          <w:color w:val="000000"/>
          <w:sz w:val="22"/>
          <w:szCs w:val="22"/>
          <w:u w:val="single"/>
        </w:rPr>
      </w:pPr>
    </w:p>
    <w:p w14:paraId="02C6EB5A" w14:textId="77777777" w:rsidR="00900FF0" w:rsidRDefault="00900FF0" w:rsidP="000923BB">
      <w:pPr>
        <w:autoSpaceDE w:val="0"/>
        <w:autoSpaceDN w:val="0"/>
        <w:adjustRightInd w:val="0"/>
        <w:jc w:val="both"/>
        <w:rPr>
          <w:rFonts w:cs="Arial"/>
          <w:color w:val="000000"/>
          <w:sz w:val="22"/>
          <w:szCs w:val="22"/>
          <w:u w:val="single"/>
        </w:rPr>
      </w:pPr>
    </w:p>
    <w:p w14:paraId="243F8668" w14:textId="77777777" w:rsidR="000923BB" w:rsidRPr="00A73EB4" w:rsidRDefault="000923BB" w:rsidP="000923BB">
      <w:pPr>
        <w:autoSpaceDE w:val="0"/>
        <w:autoSpaceDN w:val="0"/>
        <w:adjustRightInd w:val="0"/>
        <w:jc w:val="both"/>
        <w:rPr>
          <w:rFonts w:cs="Arial"/>
          <w:color w:val="000000"/>
          <w:sz w:val="22"/>
          <w:szCs w:val="22"/>
          <w:u w:val="single"/>
        </w:rPr>
      </w:pPr>
      <w:r w:rsidRPr="00A73EB4">
        <w:rPr>
          <w:rFonts w:cs="Arial"/>
          <w:color w:val="000000"/>
          <w:sz w:val="22"/>
          <w:szCs w:val="22"/>
          <w:u w:val="single"/>
        </w:rPr>
        <w:lastRenderedPageBreak/>
        <w:t xml:space="preserve">Box and whisker plots of holistic scale score data </w:t>
      </w:r>
    </w:p>
    <w:p w14:paraId="34140BCA" w14:textId="77777777" w:rsidR="000923BB" w:rsidRPr="0087360B" w:rsidRDefault="000923BB" w:rsidP="000923BB">
      <w:pPr>
        <w:autoSpaceDE w:val="0"/>
        <w:autoSpaceDN w:val="0"/>
        <w:adjustRightInd w:val="0"/>
        <w:jc w:val="both"/>
        <w:rPr>
          <w:rFonts w:cs="Arial"/>
          <w:color w:val="000000"/>
          <w:sz w:val="22"/>
          <w:szCs w:val="22"/>
        </w:rPr>
      </w:pPr>
      <w:r w:rsidRPr="003234D9">
        <w:rPr>
          <w:rFonts w:cs="Arial"/>
          <w:color w:val="000000"/>
          <w:sz w:val="22"/>
          <w:szCs w:val="22"/>
        </w:rPr>
        <w:t>The box and whisker plots compare the median qu</w:t>
      </w:r>
      <w:r>
        <w:rPr>
          <w:rFonts w:cs="Arial"/>
          <w:color w:val="000000"/>
          <w:sz w:val="22"/>
          <w:szCs w:val="22"/>
        </w:rPr>
        <w:t>ality of care scale rating and the i</w:t>
      </w:r>
      <w:r w:rsidRPr="003234D9">
        <w:rPr>
          <w:rFonts w:cs="Arial"/>
          <w:color w:val="000000"/>
          <w:sz w:val="22"/>
          <w:szCs w:val="22"/>
        </w:rPr>
        <w:t>nter-quartile range</w:t>
      </w:r>
      <w:r>
        <w:rPr>
          <w:rFonts w:cs="Arial"/>
          <w:color w:val="000000"/>
          <w:sz w:val="22"/>
          <w:szCs w:val="22"/>
        </w:rPr>
        <w:t>,</w:t>
      </w:r>
      <w:r w:rsidRPr="003234D9">
        <w:rPr>
          <w:rFonts w:cs="Arial"/>
          <w:color w:val="000000"/>
          <w:sz w:val="22"/>
          <w:szCs w:val="22"/>
        </w:rPr>
        <w:t xml:space="preserve"> for each reviewer for each phase of care. </w:t>
      </w:r>
    </w:p>
    <w:p w14:paraId="00152438" w14:textId="77777777" w:rsidR="000923BB" w:rsidRDefault="000923BB" w:rsidP="000923BB">
      <w:pPr>
        <w:jc w:val="both"/>
        <w:rPr>
          <w:rFonts w:cs="Arial"/>
          <w:b/>
          <w:sz w:val="22"/>
          <w:szCs w:val="22"/>
        </w:rPr>
      </w:pPr>
      <w:r>
        <w:rPr>
          <w:rFonts w:cs="Arial"/>
          <w:b/>
          <w:sz w:val="22"/>
          <w:szCs w:val="22"/>
        </w:rPr>
        <w:t>Figure 13.1: Holistic</w:t>
      </w:r>
      <w:r w:rsidRPr="003234D9">
        <w:rPr>
          <w:rFonts w:cs="Arial"/>
          <w:b/>
          <w:sz w:val="22"/>
          <w:szCs w:val="22"/>
        </w:rPr>
        <w:t xml:space="preserve"> phase quality of care rating </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3969"/>
      </w:tblGrid>
      <w:tr w:rsidR="000923BB" w:rsidRPr="00F955C6" w14:paraId="73077892" w14:textId="77777777" w:rsidTr="005B2F93">
        <w:tc>
          <w:tcPr>
            <w:tcW w:w="4111" w:type="dxa"/>
          </w:tcPr>
          <w:p w14:paraId="461B3808" w14:textId="77777777" w:rsidR="000923BB" w:rsidRPr="00F955C6" w:rsidRDefault="000923BB" w:rsidP="003A385F">
            <w:pPr>
              <w:jc w:val="center"/>
              <w:rPr>
                <w:rFonts w:cs="Arial"/>
                <w:b/>
                <w:sz w:val="22"/>
                <w:szCs w:val="22"/>
              </w:rPr>
            </w:pPr>
            <w:r w:rsidRPr="00F955C6">
              <w:rPr>
                <w:rFonts w:cs="Arial"/>
                <w:b/>
                <w:sz w:val="22"/>
                <w:szCs w:val="22"/>
              </w:rPr>
              <w:t xml:space="preserve">Admission phase </w:t>
            </w:r>
          </w:p>
        </w:tc>
        <w:tc>
          <w:tcPr>
            <w:tcW w:w="3969" w:type="dxa"/>
          </w:tcPr>
          <w:p w14:paraId="1D4173E2" w14:textId="77777777" w:rsidR="000923BB" w:rsidRPr="00F955C6" w:rsidRDefault="000923BB" w:rsidP="003A385F">
            <w:pPr>
              <w:jc w:val="center"/>
              <w:rPr>
                <w:rFonts w:cs="Arial"/>
                <w:b/>
                <w:sz w:val="22"/>
                <w:szCs w:val="22"/>
              </w:rPr>
            </w:pPr>
            <w:r w:rsidRPr="00F955C6">
              <w:rPr>
                <w:rFonts w:cs="Arial"/>
                <w:b/>
                <w:sz w:val="22"/>
                <w:szCs w:val="22"/>
              </w:rPr>
              <w:t xml:space="preserve">Initial management phase </w:t>
            </w:r>
          </w:p>
        </w:tc>
      </w:tr>
      <w:tr w:rsidR="000923BB" w:rsidRPr="00F955C6" w14:paraId="03540DD9" w14:textId="77777777" w:rsidTr="005B2F93">
        <w:tc>
          <w:tcPr>
            <w:tcW w:w="4111" w:type="dxa"/>
          </w:tcPr>
          <w:p w14:paraId="00A96038" w14:textId="77777777" w:rsidR="000923BB" w:rsidRPr="00F955C6" w:rsidRDefault="000923BB" w:rsidP="003A385F">
            <w:pPr>
              <w:autoSpaceDE w:val="0"/>
              <w:autoSpaceDN w:val="0"/>
              <w:adjustRightInd w:val="0"/>
            </w:pPr>
          </w:p>
          <w:p w14:paraId="7CDCFC76" w14:textId="77777777" w:rsidR="000923BB" w:rsidRPr="00F955C6" w:rsidRDefault="000923BB" w:rsidP="003A385F">
            <w:pPr>
              <w:autoSpaceDE w:val="0"/>
              <w:autoSpaceDN w:val="0"/>
              <w:adjustRightInd w:val="0"/>
            </w:pPr>
            <w:r>
              <w:rPr>
                <w:rFonts w:cs="Arial"/>
                <w:noProof/>
                <w:sz w:val="14"/>
                <w:szCs w:val="14"/>
                <w:lang w:eastAsia="en-GB" w:bidi="ar-SA"/>
              </w:rPr>
              <w:drawing>
                <wp:inline distT="0" distB="0" distL="0" distR="0" wp14:anchorId="0C4797ED" wp14:editId="319C289B">
                  <wp:extent cx="2059305" cy="1645920"/>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cstate="print"/>
                          <a:srcRect/>
                          <a:stretch>
                            <a:fillRect/>
                          </a:stretch>
                        </pic:blipFill>
                        <pic:spPr bwMode="auto">
                          <a:xfrm>
                            <a:off x="0" y="0"/>
                            <a:ext cx="2059305" cy="1645920"/>
                          </a:xfrm>
                          <a:prstGeom prst="rect">
                            <a:avLst/>
                          </a:prstGeom>
                          <a:noFill/>
                          <a:ln w="9525">
                            <a:noFill/>
                            <a:miter lim="800000"/>
                            <a:headEnd/>
                            <a:tailEnd/>
                          </a:ln>
                        </pic:spPr>
                      </pic:pic>
                    </a:graphicData>
                  </a:graphic>
                </wp:inline>
              </w:drawing>
            </w:r>
          </w:p>
          <w:p w14:paraId="44CE3CF2" w14:textId="77777777" w:rsidR="000923BB" w:rsidRPr="00F955C6" w:rsidRDefault="000923BB" w:rsidP="003A385F">
            <w:pPr>
              <w:rPr>
                <w:rFonts w:cs="Arial"/>
                <w:sz w:val="22"/>
                <w:szCs w:val="22"/>
              </w:rPr>
            </w:pPr>
          </w:p>
        </w:tc>
        <w:tc>
          <w:tcPr>
            <w:tcW w:w="3969" w:type="dxa"/>
          </w:tcPr>
          <w:p w14:paraId="3704DB85" w14:textId="77777777" w:rsidR="000923BB" w:rsidRPr="00F955C6" w:rsidRDefault="000923BB" w:rsidP="003A385F">
            <w:pPr>
              <w:autoSpaceDE w:val="0"/>
              <w:autoSpaceDN w:val="0"/>
              <w:adjustRightInd w:val="0"/>
            </w:pPr>
          </w:p>
          <w:p w14:paraId="50663B5B" w14:textId="77777777" w:rsidR="000923BB" w:rsidRPr="00F955C6" w:rsidRDefault="000923BB" w:rsidP="003A385F">
            <w:pPr>
              <w:autoSpaceDE w:val="0"/>
              <w:autoSpaceDN w:val="0"/>
              <w:adjustRightInd w:val="0"/>
            </w:pPr>
            <w:r>
              <w:rPr>
                <w:rFonts w:cs="Arial"/>
                <w:noProof/>
                <w:sz w:val="14"/>
                <w:szCs w:val="14"/>
                <w:lang w:eastAsia="en-GB" w:bidi="ar-SA"/>
              </w:rPr>
              <w:drawing>
                <wp:inline distT="0" distB="0" distL="0" distR="0" wp14:anchorId="4ECE7D0D" wp14:editId="62A04525">
                  <wp:extent cx="2289810" cy="1828800"/>
                  <wp:effectExtent l="1905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cstate="print"/>
                          <a:srcRect/>
                          <a:stretch>
                            <a:fillRect/>
                          </a:stretch>
                        </pic:blipFill>
                        <pic:spPr bwMode="auto">
                          <a:xfrm>
                            <a:off x="0" y="0"/>
                            <a:ext cx="2289810" cy="1828800"/>
                          </a:xfrm>
                          <a:prstGeom prst="rect">
                            <a:avLst/>
                          </a:prstGeom>
                          <a:noFill/>
                          <a:ln w="9525">
                            <a:noFill/>
                            <a:miter lim="800000"/>
                            <a:headEnd/>
                            <a:tailEnd/>
                          </a:ln>
                        </pic:spPr>
                      </pic:pic>
                    </a:graphicData>
                  </a:graphic>
                </wp:inline>
              </w:drawing>
            </w:r>
          </w:p>
          <w:p w14:paraId="7CFFFB2E" w14:textId="77777777" w:rsidR="000923BB" w:rsidRPr="00F955C6" w:rsidRDefault="000923BB" w:rsidP="003A385F">
            <w:pPr>
              <w:rPr>
                <w:rFonts w:cs="Arial"/>
                <w:sz w:val="22"/>
                <w:szCs w:val="22"/>
              </w:rPr>
            </w:pPr>
          </w:p>
        </w:tc>
      </w:tr>
      <w:tr w:rsidR="000923BB" w:rsidRPr="00F955C6" w14:paraId="49A5F988" w14:textId="77777777" w:rsidTr="005B2F93">
        <w:tc>
          <w:tcPr>
            <w:tcW w:w="4111" w:type="dxa"/>
          </w:tcPr>
          <w:p w14:paraId="4AA3F44E" w14:textId="77777777" w:rsidR="000923BB" w:rsidRPr="00F955C6" w:rsidRDefault="000923BB" w:rsidP="003A385F">
            <w:pPr>
              <w:jc w:val="center"/>
              <w:rPr>
                <w:rFonts w:cs="Arial"/>
                <w:b/>
                <w:sz w:val="22"/>
                <w:szCs w:val="22"/>
              </w:rPr>
            </w:pPr>
            <w:r w:rsidRPr="00F955C6">
              <w:rPr>
                <w:rFonts w:cs="Arial"/>
                <w:b/>
                <w:sz w:val="22"/>
                <w:szCs w:val="22"/>
              </w:rPr>
              <w:t xml:space="preserve">Pre-discharge phase </w:t>
            </w:r>
          </w:p>
        </w:tc>
        <w:tc>
          <w:tcPr>
            <w:tcW w:w="3969" w:type="dxa"/>
          </w:tcPr>
          <w:p w14:paraId="0EE03034" w14:textId="77777777" w:rsidR="000923BB" w:rsidRPr="00F955C6" w:rsidRDefault="000923BB" w:rsidP="003A385F">
            <w:pPr>
              <w:jc w:val="center"/>
              <w:rPr>
                <w:rFonts w:cs="Arial"/>
                <w:b/>
                <w:sz w:val="22"/>
                <w:szCs w:val="22"/>
              </w:rPr>
            </w:pPr>
            <w:r w:rsidRPr="00F955C6">
              <w:rPr>
                <w:rFonts w:cs="Arial"/>
                <w:b/>
                <w:sz w:val="22"/>
                <w:szCs w:val="22"/>
              </w:rPr>
              <w:t xml:space="preserve">Total score </w:t>
            </w:r>
          </w:p>
        </w:tc>
      </w:tr>
      <w:tr w:rsidR="000923BB" w:rsidRPr="00F955C6" w14:paraId="173626D9" w14:textId="77777777" w:rsidTr="005B2F93">
        <w:tc>
          <w:tcPr>
            <w:tcW w:w="4111" w:type="dxa"/>
          </w:tcPr>
          <w:p w14:paraId="7F62AA8C" w14:textId="77777777" w:rsidR="000923BB" w:rsidRPr="00F955C6" w:rsidRDefault="000923BB" w:rsidP="003A385F">
            <w:pPr>
              <w:autoSpaceDE w:val="0"/>
              <w:autoSpaceDN w:val="0"/>
              <w:adjustRightInd w:val="0"/>
            </w:pPr>
            <w:r>
              <w:rPr>
                <w:rFonts w:cs="Arial"/>
                <w:noProof/>
                <w:sz w:val="14"/>
                <w:szCs w:val="14"/>
                <w:lang w:eastAsia="en-GB" w:bidi="ar-SA"/>
              </w:rPr>
              <w:drawing>
                <wp:inline distT="0" distB="0" distL="0" distR="0" wp14:anchorId="39898C16" wp14:editId="6CCFF431">
                  <wp:extent cx="2059305" cy="1654175"/>
                  <wp:effectExtent l="1905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cstate="print"/>
                          <a:srcRect/>
                          <a:stretch>
                            <a:fillRect/>
                          </a:stretch>
                        </pic:blipFill>
                        <pic:spPr bwMode="auto">
                          <a:xfrm>
                            <a:off x="0" y="0"/>
                            <a:ext cx="2059305" cy="1654175"/>
                          </a:xfrm>
                          <a:prstGeom prst="rect">
                            <a:avLst/>
                          </a:prstGeom>
                          <a:noFill/>
                          <a:ln w="9525">
                            <a:noFill/>
                            <a:miter lim="800000"/>
                            <a:headEnd/>
                            <a:tailEnd/>
                          </a:ln>
                        </pic:spPr>
                      </pic:pic>
                    </a:graphicData>
                  </a:graphic>
                </wp:inline>
              </w:drawing>
            </w:r>
          </w:p>
          <w:p w14:paraId="0735BC64" w14:textId="77777777" w:rsidR="000923BB" w:rsidRPr="00F955C6" w:rsidRDefault="000923BB" w:rsidP="003A385F">
            <w:pPr>
              <w:autoSpaceDE w:val="0"/>
              <w:autoSpaceDN w:val="0"/>
              <w:adjustRightInd w:val="0"/>
            </w:pPr>
          </w:p>
          <w:p w14:paraId="338901CD" w14:textId="77777777" w:rsidR="000923BB" w:rsidRPr="00F955C6" w:rsidRDefault="000923BB" w:rsidP="003A385F">
            <w:pPr>
              <w:rPr>
                <w:rFonts w:cs="Arial"/>
                <w:sz w:val="22"/>
                <w:szCs w:val="22"/>
              </w:rPr>
            </w:pPr>
          </w:p>
        </w:tc>
        <w:tc>
          <w:tcPr>
            <w:tcW w:w="3969" w:type="dxa"/>
          </w:tcPr>
          <w:p w14:paraId="2A16D52A" w14:textId="77777777" w:rsidR="000923BB" w:rsidRPr="00F955C6" w:rsidRDefault="000923BB" w:rsidP="003A385F">
            <w:pPr>
              <w:autoSpaceDE w:val="0"/>
              <w:autoSpaceDN w:val="0"/>
              <w:adjustRightInd w:val="0"/>
            </w:pPr>
            <w:r>
              <w:rPr>
                <w:rFonts w:cs="Arial"/>
                <w:noProof/>
                <w:sz w:val="14"/>
                <w:szCs w:val="14"/>
                <w:lang w:eastAsia="en-GB" w:bidi="ar-SA"/>
              </w:rPr>
              <w:drawing>
                <wp:inline distT="0" distB="0" distL="0" distR="0" wp14:anchorId="00D7F198" wp14:editId="775BF602">
                  <wp:extent cx="2289810" cy="1828800"/>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cstate="print"/>
                          <a:srcRect/>
                          <a:stretch>
                            <a:fillRect/>
                          </a:stretch>
                        </pic:blipFill>
                        <pic:spPr bwMode="auto">
                          <a:xfrm>
                            <a:off x="0" y="0"/>
                            <a:ext cx="2289810" cy="1828800"/>
                          </a:xfrm>
                          <a:prstGeom prst="rect">
                            <a:avLst/>
                          </a:prstGeom>
                          <a:noFill/>
                          <a:ln w="9525">
                            <a:noFill/>
                            <a:miter lim="800000"/>
                            <a:headEnd/>
                            <a:tailEnd/>
                          </a:ln>
                        </pic:spPr>
                      </pic:pic>
                    </a:graphicData>
                  </a:graphic>
                </wp:inline>
              </w:drawing>
            </w:r>
          </w:p>
          <w:p w14:paraId="48FC6EDE" w14:textId="77777777" w:rsidR="000923BB" w:rsidRPr="00F955C6" w:rsidRDefault="000923BB" w:rsidP="003A385F">
            <w:pPr>
              <w:rPr>
                <w:rFonts w:cs="Arial"/>
                <w:sz w:val="14"/>
                <w:szCs w:val="14"/>
              </w:rPr>
            </w:pPr>
          </w:p>
        </w:tc>
      </w:tr>
    </w:tbl>
    <w:p w14:paraId="137D1166" w14:textId="77777777" w:rsidR="000923BB" w:rsidRDefault="000923BB" w:rsidP="000923BB">
      <w:pPr>
        <w:tabs>
          <w:tab w:val="left" w:pos="0"/>
          <w:tab w:val="left" w:pos="540"/>
        </w:tabs>
        <w:jc w:val="both"/>
        <w:rPr>
          <w:rFonts w:cs="Arial"/>
          <w:b/>
          <w:sz w:val="22"/>
          <w:szCs w:val="22"/>
        </w:rPr>
      </w:pPr>
    </w:p>
    <w:tbl>
      <w:tblPr>
        <w:tblW w:w="311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2127"/>
      </w:tblGrid>
      <w:tr w:rsidR="000923BB" w:rsidRPr="00F955C6" w14:paraId="33C77127" w14:textId="77777777" w:rsidTr="005B2F93">
        <w:tc>
          <w:tcPr>
            <w:tcW w:w="992" w:type="dxa"/>
          </w:tcPr>
          <w:p w14:paraId="4011433B" w14:textId="77777777" w:rsidR="000923BB" w:rsidRPr="00F955C6" w:rsidRDefault="000923BB" w:rsidP="003A385F">
            <w:pPr>
              <w:tabs>
                <w:tab w:val="left" w:pos="0"/>
                <w:tab w:val="left" w:pos="540"/>
              </w:tabs>
              <w:jc w:val="both"/>
              <w:rPr>
                <w:rFonts w:cs="Arial"/>
                <w:sz w:val="22"/>
                <w:szCs w:val="22"/>
              </w:rPr>
            </w:pPr>
            <w:r w:rsidRPr="00F955C6">
              <w:rPr>
                <w:rFonts w:cs="Arial"/>
                <w:sz w:val="22"/>
                <w:szCs w:val="22"/>
              </w:rPr>
              <w:t xml:space="preserve">Key </w:t>
            </w:r>
          </w:p>
        </w:tc>
        <w:tc>
          <w:tcPr>
            <w:tcW w:w="2127" w:type="dxa"/>
          </w:tcPr>
          <w:p w14:paraId="714D0BB7" w14:textId="77777777" w:rsidR="000923BB" w:rsidRPr="00F955C6" w:rsidRDefault="000923BB" w:rsidP="003A385F">
            <w:pPr>
              <w:tabs>
                <w:tab w:val="left" w:pos="0"/>
                <w:tab w:val="left" w:pos="540"/>
              </w:tabs>
              <w:jc w:val="both"/>
              <w:rPr>
                <w:rFonts w:cs="Arial"/>
                <w:sz w:val="22"/>
                <w:szCs w:val="22"/>
              </w:rPr>
            </w:pPr>
          </w:p>
        </w:tc>
      </w:tr>
      <w:tr w:rsidR="000923BB" w:rsidRPr="00F955C6" w14:paraId="0B32ECD3" w14:textId="77777777" w:rsidTr="005B2F93">
        <w:tc>
          <w:tcPr>
            <w:tcW w:w="992" w:type="dxa"/>
          </w:tcPr>
          <w:p w14:paraId="054CC0CF" w14:textId="77777777" w:rsidR="000923BB" w:rsidRPr="00F955C6" w:rsidRDefault="000923BB" w:rsidP="003A385F">
            <w:pPr>
              <w:tabs>
                <w:tab w:val="left" w:pos="0"/>
                <w:tab w:val="left" w:pos="540"/>
              </w:tabs>
              <w:jc w:val="both"/>
              <w:rPr>
                <w:rFonts w:cs="Arial"/>
                <w:sz w:val="22"/>
                <w:szCs w:val="22"/>
              </w:rPr>
            </w:pPr>
            <w:r w:rsidRPr="00F955C6">
              <w:rPr>
                <w:rFonts w:cs="Arial"/>
                <w:sz w:val="22"/>
                <w:szCs w:val="22"/>
              </w:rPr>
              <w:t>1733</w:t>
            </w:r>
          </w:p>
        </w:tc>
        <w:tc>
          <w:tcPr>
            <w:tcW w:w="2127" w:type="dxa"/>
          </w:tcPr>
          <w:p w14:paraId="6C8D7E4B" w14:textId="77777777" w:rsidR="000923BB" w:rsidRPr="00F955C6" w:rsidRDefault="000923BB" w:rsidP="003A385F">
            <w:pPr>
              <w:tabs>
                <w:tab w:val="left" w:pos="0"/>
                <w:tab w:val="left" w:pos="540"/>
              </w:tabs>
              <w:jc w:val="both"/>
              <w:rPr>
                <w:rFonts w:cs="Arial"/>
                <w:sz w:val="22"/>
                <w:szCs w:val="22"/>
              </w:rPr>
            </w:pPr>
            <w:r w:rsidRPr="00F955C6">
              <w:rPr>
                <w:rFonts w:cs="Arial"/>
                <w:sz w:val="22"/>
                <w:szCs w:val="22"/>
              </w:rPr>
              <w:t>Clinical reviewer</w:t>
            </w:r>
          </w:p>
        </w:tc>
      </w:tr>
      <w:tr w:rsidR="000923BB" w:rsidRPr="00F955C6" w14:paraId="2EE6F181" w14:textId="77777777" w:rsidTr="005B2F93">
        <w:tc>
          <w:tcPr>
            <w:tcW w:w="992" w:type="dxa"/>
          </w:tcPr>
          <w:p w14:paraId="3BB40B95" w14:textId="77777777" w:rsidR="000923BB" w:rsidRPr="00F955C6" w:rsidRDefault="000923BB" w:rsidP="003A385F">
            <w:pPr>
              <w:tabs>
                <w:tab w:val="left" w:pos="0"/>
                <w:tab w:val="left" w:pos="540"/>
              </w:tabs>
              <w:jc w:val="both"/>
              <w:rPr>
                <w:rFonts w:cs="Arial"/>
                <w:sz w:val="22"/>
                <w:szCs w:val="22"/>
              </w:rPr>
            </w:pPr>
            <w:r w:rsidRPr="00F955C6">
              <w:rPr>
                <w:rFonts w:cs="Arial"/>
                <w:sz w:val="22"/>
                <w:szCs w:val="22"/>
              </w:rPr>
              <w:t>1831</w:t>
            </w:r>
          </w:p>
        </w:tc>
        <w:tc>
          <w:tcPr>
            <w:tcW w:w="2127" w:type="dxa"/>
          </w:tcPr>
          <w:p w14:paraId="052D1E10" w14:textId="77777777" w:rsidR="000923BB" w:rsidRPr="00F955C6" w:rsidRDefault="000923BB" w:rsidP="003A385F">
            <w:pPr>
              <w:tabs>
                <w:tab w:val="left" w:pos="0"/>
                <w:tab w:val="left" w:pos="540"/>
              </w:tabs>
              <w:jc w:val="both"/>
              <w:rPr>
                <w:rFonts w:cs="Arial"/>
                <w:sz w:val="22"/>
                <w:szCs w:val="22"/>
              </w:rPr>
            </w:pPr>
            <w:r w:rsidRPr="00F955C6">
              <w:rPr>
                <w:rFonts w:cs="Arial"/>
                <w:sz w:val="22"/>
                <w:szCs w:val="22"/>
              </w:rPr>
              <w:t>Doctor 1</w:t>
            </w:r>
          </w:p>
        </w:tc>
      </w:tr>
      <w:tr w:rsidR="000923BB" w:rsidRPr="00F955C6" w14:paraId="3B4662D0" w14:textId="77777777" w:rsidTr="005B2F93">
        <w:tc>
          <w:tcPr>
            <w:tcW w:w="992" w:type="dxa"/>
          </w:tcPr>
          <w:p w14:paraId="6CCBA359" w14:textId="77777777" w:rsidR="000923BB" w:rsidRPr="00F955C6" w:rsidRDefault="000923BB" w:rsidP="003A385F">
            <w:pPr>
              <w:tabs>
                <w:tab w:val="left" w:pos="0"/>
                <w:tab w:val="left" w:pos="540"/>
              </w:tabs>
              <w:jc w:val="both"/>
              <w:rPr>
                <w:rFonts w:cs="Arial"/>
                <w:sz w:val="22"/>
                <w:szCs w:val="22"/>
              </w:rPr>
            </w:pPr>
            <w:r w:rsidRPr="00F955C6">
              <w:rPr>
                <w:rFonts w:cs="Arial"/>
                <w:sz w:val="22"/>
                <w:szCs w:val="22"/>
              </w:rPr>
              <w:t>1832</w:t>
            </w:r>
          </w:p>
        </w:tc>
        <w:tc>
          <w:tcPr>
            <w:tcW w:w="2127" w:type="dxa"/>
          </w:tcPr>
          <w:p w14:paraId="5B468418" w14:textId="77777777" w:rsidR="000923BB" w:rsidRPr="00F955C6" w:rsidRDefault="000923BB" w:rsidP="003A385F">
            <w:pPr>
              <w:tabs>
                <w:tab w:val="left" w:pos="0"/>
                <w:tab w:val="left" w:pos="540"/>
              </w:tabs>
              <w:jc w:val="both"/>
              <w:rPr>
                <w:rFonts w:cs="Arial"/>
                <w:sz w:val="22"/>
                <w:szCs w:val="22"/>
              </w:rPr>
            </w:pPr>
            <w:r w:rsidRPr="00F955C6">
              <w:rPr>
                <w:rFonts w:cs="Arial"/>
                <w:sz w:val="22"/>
                <w:szCs w:val="22"/>
              </w:rPr>
              <w:t>Doctor 2</w:t>
            </w:r>
          </w:p>
        </w:tc>
      </w:tr>
    </w:tbl>
    <w:p w14:paraId="16499417" w14:textId="77777777" w:rsidR="000923BB" w:rsidRDefault="000923BB" w:rsidP="000923BB">
      <w:pPr>
        <w:tabs>
          <w:tab w:val="left" w:pos="0"/>
          <w:tab w:val="left" w:pos="540"/>
        </w:tabs>
        <w:jc w:val="both"/>
        <w:rPr>
          <w:rFonts w:cs="Arial"/>
          <w:b/>
          <w:sz w:val="22"/>
          <w:szCs w:val="22"/>
        </w:rPr>
      </w:pPr>
    </w:p>
    <w:p w14:paraId="1FC2F79F" w14:textId="77777777" w:rsidR="000923BB" w:rsidRPr="00905C5C" w:rsidRDefault="000923BB" w:rsidP="000923BB">
      <w:pPr>
        <w:tabs>
          <w:tab w:val="left" w:pos="0"/>
          <w:tab w:val="left" w:pos="540"/>
        </w:tabs>
        <w:jc w:val="both"/>
        <w:rPr>
          <w:rFonts w:cs="Arial"/>
          <w:sz w:val="22"/>
          <w:szCs w:val="22"/>
          <w:u w:val="single"/>
        </w:rPr>
      </w:pPr>
      <w:r w:rsidRPr="00905C5C">
        <w:rPr>
          <w:rFonts w:cs="Arial"/>
          <w:sz w:val="22"/>
          <w:szCs w:val="22"/>
          <w:u w:val="single"/>
        </w:rPr>
        <w:lastRenderedPageBreak/>
        <w:t xml:space="preserve">Reliability between reviewers </w:t>
      </w:r>
    </w:p>
    <w:p w14:paraId="15A24A42" w14:textId="77777777" w:rsidR="000923BB" w:rsidRDefault="000923BB" w:rsidP="000923BB">
      <w:pPr>
        <w:tabs>
          <w:tab w:val="left" w:pos="0"/>
          <w:tab w:val="left" w:pos="540"/>
        </w:tabs>
        <w:jc w:val="both"/>
        <w:rPr>
          <w:rFonts w:cs="Arial"/>
          <w:b/>
          <w:sz w:val="22"/>
          <w:szCs w:val="22"/>
        </w:rPr>
      </w:pPr>
      <w:r w:rsidRPr="003234D9">
        <w:rPr>
          <w:rFonts w:cs="Arial"/>
          <w:sz w:val="22"/>
          <w:szCs w:val="22"/>
        </w:rPr>
        <w:t xml:space="preserve">Table </w:t>
      </w:r>
      <w:r>
        <w:rPr>
          <w:rFonts w:cs="Arial"/>
          <w:sz w:val="22"/>
          <w:szCs w:val="22"/>
        </w:rPr>
        <w:t>13.</w:t>
      </w:r>
      <w:r w:rsidRPr="003234D9">
        <w:rPr>
          <w:rFonts w:cs="Arial"/>
          <w:sz w:val="22"/>
          <w:szCs w:val="22"/>
        </w:rPr>
        <w:t xml:space="preserve">3 presents the results of the stroke </w:t>
      </w:r>
      <w:r>
        <w:rPr>
          <w:rFonts w:cs="Arial"/>
          <w:sz w:val="22"/>
          <w:szCs w:val="22"/>
        </w:rPr>
        <w:t xml:space="preserve">care </w:t>
      </w:r>
      <w:r w:rsidRPr="003234D9">
        <w:rPr>
          <w:rFonts w:cs="Arial"/>
          <w:sz w:val="22"/>
          <w:szCs w:val="22"/>
        </w:rPr>
        <w:t xml:space="preserve">holistic review </w:t>
      </w:r>
      <w:r>
        <w:rPr>
          <w:rFonts w:cs="Arial"/>
          <w:sz w:val="22"/>
          <w:szCs w:val="22"/>
        </w:rPr>
        <w:t xml:space="preserve">inter-rater </w:t>
      </w:r>
      <w:r w:rsidRPr="003234D9">
        <w:rPr>
          <w:rFonts w:cs="Arial"/>
          <w:sz w:val="22"/>
          <w:szCs w:val="22"/>
        </w:rPr>
        <w:t xml:space="preserve">reliability analysis and shows the level of agreement between reviewers for the overall quality of care ratings. </w:t>
      </w:r>
    </w:p>
    <w:p w14:paraId="0E0781FF" w14:textId="77777777" w:rsidR="000923BB" w:rsidRDefault="000923BB" w:rsidP="000923BB">
      <w:pPr>
        <w:tabs>
          <w:tab w:val="left" w:pos="0"/>
          <w:tab w:val="left" w:pos="540"/>
        </w:tabs>
        <w:jc w:val="both"/>
        <w:rPr>
          <w:rFonts w:cs="Arial"/>
          <w:b/>
          <w:sz w:val="22"/>
          <w:szCs w:val="22"/>
        </w:rPr>
      </w:pPr>
    </w:p>
    <w:p w14:paraId="5112DA12" w14:textId="77777777" w:rsidR="000923BB" w:rsidRPr="003234D9" w:rsidRDefault="000923BB" w:rsidP="000923BB">
      <w:pPr>
        <w:jc w:val="both"/>
        <w:rPr>
          <w:rFonts w:cs="Arial"/>
          <w:b/>
          <w:sz w:val="22"/>
          <w:szCs w:val="22"/>
        </w:rPr>
      </w:pPr>
      <w:r w:rsidRPr="003234D9">
        <w:rPr>
          <w:rFonts w:cs="Arial"/>
          <w:b/>
          <w:sz w:val="22"/>
          <w:szCs w:val="22"/>
        </w:rPr>
        <w:t xml:space="preserve">Table </w:t>
      </w:r>
      <w:r>
        <w:rPr>
          <w:rFonts w:cs="Arial"/>
          <w:b/>
          <w:sz w:val="22"/>
          <w:szCs w:val="22"/>
        </w:rPr>
        <w:t>13.</w:t>
      </w:r>
      <w:r w:rsidRPr="003234D9">
        <w:rPr>
          <w:rFonts w:cs="Arial"/>
          <w:b/>
          <w:sz w:val="22"/>
          <w:szCs w:val="22"/>
        </w:rPr>
        <w:t xml:space="preserve">3: Inter-rater reliability </w:t>
      </w:r>
      <w:r>
        <w:rPr>
          <w:rFonts w:cs="Arial"/>
          <w:b/>
          <w:sz w:val="22"/>
          <w:szCs w:val="22"/>
        </w:rPr>
        <w:t>of</w:t>
      </w:r>
      <w:r w:rsidRPr="003234D9">
        <w:rPr>
          <w:rFonts w:cs="Arial"/>
          <w:b/>
          <w:sz w:val="22"/>
          <w:szCs w:val="22"/>
        </w:rPr>
        <w:t xml:space="preserve"> holistic ove</w:t>
      </w:r>
      <w:r>
        <w:rPr>
          <w:rFonts w:cs="Arial"/>
          <w:b/>
          <w:sz w:val="22"/>
          <w:szCs w:val="22"/>
        </w:rPr>
        <w:t>rall quality of care ratings</w:t>
      </w:r>
    </w:p>
    <w:tbl>
      <w:tblPr>
        <w:tblW w:w="7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2"/>
        <w:gridCol w:w="2176"/>
        <w:gridCol w:w="1202"/>
        <w:gridCol w:w="1620"/>
      </w:tblGrid>
      <w:tr w:rsidR="000923BB" w:rsidRPr="00F955C6" w14:paraId="75C0960D" w14:textId="77777777" w:rsidTr="003A385F">
        <w:tc>
          <w:tcPr>
            <w:tcW w:w="2742" w:type="dxa"/>
          </w:tcPr>
          <w:p w14:paraId="5B44B47C" w14:textId="77777777" w:rsidR="000923BB" w:rsidRPr="00F955C6" w:rsidRDefault="000923BB" w:rsidP="003A385F">
            <w:pPr>
              <w:rPr>
                <w:rFonts w:cs="Arial"/>
                <w:sz w:val="20"/>
                <w:szCs w:val="20"/>
              </w:rPr>
            </w:pPr>
            <w:r w:rsidRPr="00F955C6">
              <w:rPr>
                <w:rFonts w:cs="Arial"/>
                <w:sz w:val="20"/>
                <w:szCs w:val="20"/>
              </w:rPr>
              <w:t xml:space="preserve">Reviewer Pair </w:t>
            </w:r>
          </w:p>
        </w:tc>
        <w:tc>
          <w:tcPr>
            <w:tcW w:w="2176" w:type="dxa"/>
          </w:tcPr>
          <w:p w14:paraId="75CCF1FA" w14:textId="77777777" w:rsidR="000923BB" w:rsidRPr="00F955C6" w:rsidRDefault="000923BB" w:rsidP="003A385F">
            <w:pPr>
              <w:rPr>
                <w:rFonts w:cs="Arial"/>
                <w:sz w:val="20"/>
                <w:szCs w:val="20"/>
              </w:rPr>
            </w:pPr>
            <w:r w:rsidRPr="00F955C6">
              <w:rPr>
                <w:rFonts w:cs="Arial"/>
                <w:sz w:val="20"/>
                <w:szCs w:val="20"/>
              </w:rPr>
              <w:t xml:space="preserve">Phase of care </w:t>
            </w:r>
          </w:p>
        </w:tc>
        <w:tc>
          <w:tcPr>
            <w:tcW w:w="1202" w:type="dxa"/>
          </w:tcPr>
          <w:p w14:paraId="526C0A77" w14:textId="77777777" w:rsidR="000923BB" w:rsidRPr="00F955C6" w:rsidRDefault="000923BB" w:rsidP="003A385F">
            <w:pPr>
              <w:rPr>
                <w:rFonts w:cs="Arial"/>
                <w:sz w:val="20"/>
                <w:szCs w:val="20"/>
              </w:rPr>
            </w:pPr>
            <w:r w:rsidRPr="00F955C6">
              <w:rPr>
                <w:rFonts w:cs="Arial"/>
                <w:sz w:val="20"/>
                <w:szCs w:val="20"/>
              </w:rPr>
              <w:t xml:space="preserve">ICC </w:t>
            </w:r>
          </w:p>
        </w:tc>
        <w:tc>
          <w:tcPr>
            <w:tcW w:w="1620" w:type="dxa"/>
          </w:tcPr>
          <w:p w14:paraId="15DA60CF" w14:textId="77777777" w:rsidR="000923BB" w:rsidRPr="00F955C6" w:rsidRDefault="000923BB" w:rsidP="003A385F">
            <w:pPr>
              <w:rPr>
                <w:rFonts w:cs="Arial"/>
                <w:sz w:val="20"/>
                <w:szCs w:val="20"/>
              </w:rPr>
            </w:pPr>
            <w:r w:rsidRPr="00F955C6">
              <w:rPr>
                <w:rFonts w:cs="Arial"/>
                <w:sz w:val="20"/>
                <w:szCs w:val="20"/>
              </w:rPr>
              <w:t xml:space="preserve">Significance </w:t>
            </w:r>
          </w:p>
        </w:tc>
      </w:tr>
      <w:tr w:rsidR="000923BB" w:rsidRPr="00F955C6" w14:paraId="0EF5ED89" w14:textId="77777777" w:rsidTr="003A385F">
        <w:tc>
          <w:tcPr>
            <w:tcW w:w="2742" w:type="dxa"/>
          </w:tcPr>
          <w:p w14:paraId="78495B0B" w14:textId="77777777" w:rsidR="000923BB" w:rsidRPr="00F955C6" w:rsidRDefault="000923BB" w:rsidP="003A385F">
            <w:pPr>
              <w:rPr>
                <w:rFonts w:cs="Arial"/>
                <w:sz w:val="20"/>
                <w:szCs w:val="20"/>
              </w:rPr>
            </w:pPr>
            <w:r w:rsidRPr="00F955C6">
              <w:rPr>
                <w:rFonts w:cs="Arial"/>
                <w:sz w:val="20"/>
                <w:szCs w:val="20"/>
              </w:rPr>
              <w:t xml:space="preserve">Doctor 1 versus Doctor 2 </w:t>
            </w:r>
          </w:p>
        </w:tc>
        <w:tc>
          <w:tcPr>
            <w:tcW w:w="2176" w:type="dxa"/>
          </w:tcPr>
          <w:p w14:paraId="3136AB9C" w14:textId="77777777" w:rsidR="000923BB" w:rsidRPr="00F955C6" w:rsidRDefault="000923BB" w:rsidP="003A385F">
            <w:pPr>
              <w:rPr>
                <w:rFonts w:cs="Arial"/>
                <w:sz w:val="20"/>
                <w:szCs w:val="20"/>
              </w:rPr>
            </w:pPr>
            <w:r w:rsidRPr="00F955C6">
              <w:rPr>
                <w:rFonts w:cs="Arial"/>
                <w:sz w:val="20"/>
                <w:szCs w:val="20"/>
              </w:rPr>
              <w:t xml:space="preserve">Overall quality of care rating </w:t>
            </w:r>
          </w:p>
        </w:tc>
        <w:tc>
          <w:tcPr>
            <w:tcW w:w="1202" w:type="dxa"/>
          </w:tcPr>
          <w:p w14:paraId="196247D5" w14:textId="77777777" w:rsidR="000923BB" w:rsidRPr="00F955C6" w:rsidRDefault="000923BB" w:rsidP="003A385F">
            <w:pPr>
              <w:rPr>
                <w:rFonts w:cs="Arial"/>
                <w:sz w:val="20"/>
                <w:szCs w:val="20"/>
              </w:rPr>
            </w:pPr>
            <w:r w:rsidRPr="00F955C6">
              <w:rPr>
                <w:rFonts w:cs="Arial"/>
                <w:sz w:val="20"/>
                <w:szCs w:val="20"/>
              </w:rPr>
              <w:t>0.328</w:t>
            </w:r>
          </w:p>
        </w:tc>
        <w:tc>
          <w:tcPr>
            <w:tcW w:w="1620" w:type="dxa"/>
          </w:tcPr>
          <w:p w14:paraId="6A6A66C8" w14:textId="77777777" w:rsidR="000923BB" w:rsidRPr="00F955C6" w:rsidRDefault="000923BB" w:rsidP="003A385F">
            <w:pPr>
              <w:ind w:right="-1493"/>
              <w:rPr>
                <w:rFonts w:cs="Arial"/>
                <w:sz w:val="20"/>
                <w:szCs w:val="20"/>
              </w:rPr>
            </w:pPr>
            <w:r w:rsidRPr="00F955C6">
              <w:rPr>
                <w:rFonts w:cs="Arial"/>
                <w:sz w:val="20"/>
                <w:szCs w:val="20"/>
              </w:rPr>
              <w:t>0.022</w:t>
            </w:r>
          </w:p>
        </w:tc>
      </w:tr>
      <w:tr w:rsidR="000923BB" w:rsidRPr="00F955C6" w14:paraId="52AD8860" w14:textId="77777777" w:rsidTr="003A385F">
        <w:tc>
          <w:tcPr>
            <w:tcW w:w="2742" w:type="dxa"/>
          </w:tcPr>
          <w:p w14:paraId="0BA6634F" w14:textId="77777777" w:rsidR="000923BB" w:rsidRPr="00F955C6" w:rsidRDefault="000923BB" w:rsidP="003A385F">
            <w:pPr>
              <w:rPr>
                <w:rFonts w:cs="Arial"/>
                <w:sz w:val="20"/>
                <w:szCs w:val="20"/>
              </w:rPr>
            </w:pPr>
            <w:r w:rsidRPr="00F955C6">
              <w:rPr>
                <w:rFonts w:cs="Arial"/>
                <w:sz w:val="20"/>
                <w:szCs w:val="20"/>
              </w:rPr>
              <w:t>Doctor 1 versus Clinical audit 1</w:t>
            </w:r>
          </w:p>
        </w:tc>
        <w:tc>
          <w:tcPr>
            <w:tcW w:w="2176" w:type="dxa"/>
          </w:tcPr>
          <w:p w14:paraId="093C8C91" w14:textId="77777777" w:rsidR="000923BB" w:rsidRPr="00F955C6" w:rsidRDefault="000923BB" w:rsidP="003A385F">
            <w:pPr>
              <w:rPr>
                <w:rFonts w:cs="Arial"/>
                <w:sz w:val="20"/>
                <w:szCs w:val="20"/>
              </w:rPr>
            </w:pPr>
            <w:r w:rsidRPr="00F955C6">
              <w:rPr>
                <w:rFonts w:cs="Arial"/>
                <w:sz w:val="20"/>
                <w:szCs w:val="20"/>
              </w:rPr>
              <w:t xml:space="preserve">Overall quality of care rating </w:t>
            </w:r>
          </w:p>
        </w:tc>
        <w:tc>
          <w:tcPr>
            <w:tcW w:w="1202" w:type="dxa"/>
          </w:tcPr>
          <w:p w14:paraId="72E9595C" w14:textId="77777777" w:rsidR="000923BB" w:rsidRPr="00F955C6" w:rsidRDefault="000923BB" w:rsidP="003A385F">
            <w:pPr>
              <w:rPr>
                <w:rFonts w:cs="Arial"/>
                <w:sz w:val="20"/>
                <w:szCs w:val="20"/>
              </w:rPr>
            </w:pPr>
            <w:r w:rsidRPr="00F955C6">
              <w:rPr>
                <w:rFonts w:cs="Arial"/>
                <w:sz w:val="20"/>
                <w:szCs w:val="20"/>
              </w:rPr>
              <w:t>- 0.285</w:t>
            </w:r>
          </w:p>
        </w:tc>
        <w:tc>
          <w:tcPr>
            <w:tcW w:w="1620" w:type="dxa"/>
          </w:tcPr>
          <w:p w14:paraId="7D161195" w14:textId="77777777" w:rsidR="000923BB" w:rsidRPr="00F955C6" w:rsidRDefault="000923BB" w:rsidP="003A385F">
            <w:pPr>
              <w:rPr>
                <w:rFonts w:cs="Arial"/>
                <w:sz w:val="20"/>
                <w:szCs w:val="20"/>
              </w:rPr>
            </w:pPr>
            <w:r w:rsidRPr="00F955C6">
              <w:rPr>
                <w:rFonts w:cs="Arial"/>
                <w:sz w:val="20"/>
                <w:szCs w:val="20"/>
              </w:rPr>
              <w:t>0.959</w:t>
            </w:r>
          </w:p>
        </w:tc>
      </w:tr>
      <w:tr w:rsidR="000923BB" w:rsidRPr="00F955C6" w14:paraId="6BED6524" w14:textId="77777777" w:rsidTr="003A385F">
        <w:tc>
          <w:tcPr>
            <w:tcW w:w="2742" w:type="dxa"/>
          </w:tcPr>
          <w:p w14:paraId="66559F78" w14:textId="77777777" w:rsidR="000923BB" w:rsidRPr="00F955C6" w:rsidRDefault="000923BB" w:rsidP="003A385F">
            <w:pPr>
              <w:rPr>
                <w:rFonts w:cs="Arial"/>
                <w:sz w:val="20"/>
                <w:szCs w:val="20"/>
              </w:rPr>
            </w:pPr>
            <w:r w:rsidRPr="00F955C6">
              <w:rPr>
                <w:rFonts w:cs="Arial"/>
                <w:sz w:val="20"/>
                <w:szCs w:val="20"/>
              </w:rPr>
              <w:t>Doctor 2 versus Clinical 1</w:t>
            </w:r>
          </w:p>
        </w:tc>
        <w:tc>
          <w:tcPr>
            <w:tcW w:w="2176" w:type="dxa"/>
          </w:tcPr>
          <w:p w14:paraId="7DD39B34" w14:textId="77777777" w:rsidR="000923BB" w:rsidRPr="00F955C6" w:rsidRDefault="000923BB" w:rsidP="003A385F">
            <w:pPr>
              <w:rPr>
                <w:rFonts w:cs="Arial"/>
                <w:sz w:val="20"/>
                <w:szCs w:val="20"/>
              </w:rPr>
            </w:pPr>
            <w:r w:rsidRPr="00F955C6">
              <w:rPr>
                <w:rFonts w:cs="Arial"/>
                <w:sz w:val="20"/>
                <w:szCs w:val="20"/>
              </w:rPr>
              <w:t xml:space="preserve">Overall quality of care rating </w:t>
            </w:r>
          </w:p>
        </w:tc>
        <w:tc>
          <w:tcPr>
            <w:tcW w:w="1202" w:type="dxa"/>
          </w:tcPr>
          <w:p w14:paraId="39F60736" w14:textId="77777777" w:rsidR="000923BB" w:rsidRPr="00F955C6" w:rsidRDefault="000923BB" w:rsidP="003A385F">
            <w:pPr>
              <w:rPr>
                <w:rFonts w:cs="Arial"/>
                <w:sz w:val="20"/>
                <w:szCs w:val="20"/>
              </w:rPr>
            </w:pPr>
            <w:r w:rsidRPr="00F955C6">
              <w:rPr>
                <w:rFonts w:cs="Arial"/>
                <w:sz w:val="20"/>
                <w:szCs w:val="20"/>
              </w:rPr>
              <w:t>0.047</w:t>
            </w:r>
          </w:p>
        </w:tc>
        <w:tc>
          <w:tcPr>
            <w:tcW w:w="1620" w:type="dxa"/>
          </w:tcPr>
          <w:p w14:paraId="2E7F7D0F" w14:textId="77777777" w:rsidR="000923BB" w:rsidRPr="00F955C6" w:rsidRDefault="000923BB" w:rsidP="003A385F">
            <w:pPr>
              <w:rPr>
                <w:rFonts w:cs="Arial"/>
                <w:sz w:val="20"/>
                <w:szCs w:val="20"/>
              </w:rPr>
            </w:pPr>
            <w:r w:rsidRPr="00F955C6">
              <w:rPr>
                <w:rFonts w:cs="Arial"/>
                <w:sz w:val="20"/>
                <w:szCs w:val="20"/>
              </w:rPr>
              <w:t>0.389</w:t>
            </w:r>
          </w:p>
        </w:tc>
      </w:tr>
      <w:tr w:rsidR="000923BB" w:rsidRPr="00F955C6" w14:paraId="0C20A81E" w14:textId="77777777" w:rsidTr="003A385F">
        <w:tc>
          <w:tcPr>
            <w:tcW w:w="2742" w:type="dxa"/>
          </w:tcPr>
          <w:p w14:paraId="0D4DF4DE" w14:textId="77777777" w:rsidR="000923BB" w:rsidRPr="00F955C6" w:rsidRDefault="000923BB" w:rsidP="003A385F">
            <w:pPr>
              <w:rPr>
                <w:rFonts w:cs="Arial"/>
                <w:sz w:val="20"/>
                <w:szCs w:val="20"/>
              </w:rPr>
            </w:pPr>
            <w:r w:rsidRPr="00F955C6">
              <w:rPr>
                <w:rFonts w:cs="Arial"/>
                <w:sz w:val="20"/>
                <w:szCs w:val="20"/>
              </w:rPr>
              <w:t>All staff (Doctor 1, Doctor 2, Clinical 1)</w:t>
            </w:r>
          </w:p>
        </w:tc>
        <w:tc>
          <w:tcPr>
            <w:tcW w:w="2176" w:type="dxa"/>
          </w:tcPr>
          <w:p w14:paraId="02B79396" w14:textId="77777777" w:rsidR="000923BB" w:rsidRPr="00F955C6" w:rsidRDefault="000923BB" w:rsidP="003A385F">
            <w:pPr>
              <w:rPr>
                <w:rFonts w:cs="Arial"/>
                <w:sz w:val="20"/>
                <w:szCs w:val="20"/>
              </w:rPr>
            </w:pPr>
            <w:r w:rsidRPr="00F955C6">
              <w:rPr>
                <w:rFonts w:cs="Arial"/>
                <w:sz w:val="20"/>
                <w:szCs w:val="20"/>
              </w:rPr>
              <w:t xml:space="preserve">Overall quality of care rating </w:t>
            </w:r>
          </w:p>
        </w:tc>
        <w:tc>
          <w:tcPr>
            <w:tcW w:w="1202" w:type="dxa"/>
          </w:tcPr>
          <w:p w14:paraId="57A5980A" w14:textId="77777777" w:rsidR="000923BB" w:rsidRPr="00F955C6" w:rsidRDefault="000923BB" w:rsidP="003A385F">
            <w:pPr>
              <w:rPr>
                <w:rFonts w:cs="Arial"/>
                <w:sz w:val="20"/>
                <w:szCs w:val="20"/>
                <w:highlight w:val="magenta"/>
              </w:rPr>
            </w:pPr>
            <w:r w:rsidRPr="00F955C6">
              <w:rPr>
                <w:rFonts w:cs="Arial"/>
                <w:sz w:val="20"/>
                <w:szCs w:val="20"/>
              </w:rPr>
              <w:t>0.077</w:t>
            </w:r>
          </w:p>
        </w:tc>
        <w:tc>
          <w:tcPr>
            <w:tcW w:w="1620" w:type="dxa"/>
          </w:tcPr>
          <w:p w14:paraId="06C69A78" w14:textId="77777777" w:rsidR="000923BB" w:rsidRPr="00F955C6" w:rsidRDefault="000923BB" w:rsidP="003A385F">
            <w:pPr>
              <w:rPr>
                <w:rFonts w:cs="Arial"/>
                <w:sz w:val="20"/>
                <w:szCs w:val="20"/>
              </w:rPr>
            </w:pPr>
            <w:r w:rsidRPr="00F955C6">
              <w:rPr>
                <w:rFonts w:cs="Arial"/>
                <w:sz w:val="20"/>
                <w:szCs w:val="20"/>
              </w:rPr>
              <w:t>0.210</w:t>
            </w:r>
          </w:p>
        </w:tc>
      </w:tr>
    </w:tbl>
    <w:p w14:paraId="5BDE350E" w14:textId="77777777" w:rsidR="000923BB" w:rsidRDefault="000923BB" w:rsidP="000923BB">
      <w:pPr>
        <w:jc w:val="both"/>
        <w:rPr>
          <w:rFonts w:cs="Arial"/>
          <w:sz w:val="22"/>
          <w:szCs w:val="22"/>
          <w:u w:val="single"/>
        </w:rPr>
      </w:pPr>
      <w:r w:rsidRPr="00905C5C">
        <w:rPr>
          <w:rFonts w:cs="Arial"/>
          <w:sz w:val="22"/>
          <w:szCs w:val="22"/>
          <w:u w:val="single"/>
        </w:rPr>
        <w:t>Comparison with results from the main study</w:t>
      </w:r>
    </w:p>
    <w:p w14:paraId="76A62FBA" w14:textId="77777777" w:rsidR="000923BB" w:rsidRPr="00905C5C" w:rsidRDefault="000923BB" w:rsidP="000923BB">
      <w:pPr>
        <w:jc w:val="both"/>
        <w:rPr>
          <w:rFonts w:cs="Arial"/>
          <w:sz w:val="22"/>
          <w:szCs w:val="22"/>
          <w:u w:val="single"/>
        </w:rPr>
      </w:pPr>
    </w:p>
    <w:p w14:paraId="6081E403" w14:textId="77777777" w:rsidR="000923BB" w:rsidRPr="003234D9" w:rsidRDefault="000923BB" w:rsidP="000923BB">
      <w:pPr>
        <w:jc w:val="both"/>
        <w:rPr>
          <w:rFonts w:cs="Arial"/>
          <w:sz w:val="22"/>
          <w:szCs w:val="22"/>
        </w:rPr>
      </w:pPr>
      <w:r>
        <w:rPr>
          <w:rFonts w:cs="Arial"/>
          <w:sz w:val="22"/>
          <w:szCs w:val="22"/>
        </w:rPr>
        <w:t xml:space="preserve">The pair of doctor reviewers achieves the highest reliability. This is in line with findings from the </w:t>
      </w:r>
      <w:r w:rsidRPr="003234D9">
        <w:rPr>
          <w:rFonts w:cs="Arial"/>
          <w:sz w:val="22"/>
          <w:szCs w:val="22"/>
        </w:rPr>
        <w:t xml:space="preserve">main </w:t>
      </w:r>
      <w:r>
        <w:rPr>
          <w:rFonts w:cs="Arial"/>
          <w:sz w:val="22"/>
          <w:szCs w:val="22"/>
        </w:rPr>
        <w:t>s</w:t>
      </w:r>
      <w:r w:rsidRPr="003234D9">
        <w:rPr>
          <w:rFonts w:cs="Arial"/>
          <w:sz w:val="22"/>
          <w:szCs w:val="22"/>
        </w:rPr>
        <w:t>tudy</w:t>
      </w:r>
      <w:r>
        <w:rPr>
          <w:rFonts w:cs="Arial"/>
          <w:sz w:val="22"/>
          <w:szCs w:val="22"/>
        </w:rPr>
        <w:t>, which</w:t>
      </w:r>
      <w:r w:rsidRPr="003234D9">
        <w:rPr>
          <w:rFonts w:cs="Arial"/>
          <w:sz w:val="22"/>
          <w:szCs w:val="22"/>
        </w:rPr>
        <w:t xml:space="preserve"> found that </w:t>
      </w:r>
      <w:r>
        <w:rPr>
          <w:rFonts w:cs="Arial"/>
          <w:sz w:val="22"/>
          <w:szCs w:val="22"/>
        </w:rPr>
        <w:t>pairs of doctor reviewers</w:t>
      </w:r>
      <w:r w:rsidRPr="003234D9">
        <w:rPr>
          <w:rFonts w:cs="Arial"/>
          <w:sz w:val="22"/>
          <w:szCs w:val="22"/>
        </w:rPr>
        <w:t xml:space="preserve"> achieved the highest reliability for holistic review. The </w:t>
      </w:r>
      <w:r>
        <w:rPr>
          <w:rFonts w:cs="Arial"/>
          <w:sz w:val="22"/>
          <w:szCs w:val="22"/>
        </w:rPr>
        <w:t xml:space="preserve">Phase One reliability </w:t>
      </w:r>
      <w:r w:rsidRPr="003234D9">
        <w:rPr>
          <w:rFonts w:cs="Arial"/>
          <w:sz w:val="22"/>
          <w:szCs w:val="22"/>
        </w:rPr>
        <w:t xml:space="preserve">study also found that there was low reliability between different staff type reviewer pairs e.g. </w:t>
      </w:r>
      <w:r>
        <w:rPr>
          <w:rFonts w:cs="Arial"/>
          <w:sz w:val="22"/>
          <w:szCs w:val="22"/>
        </w:rPr>
        <w:t>d</w:t>
      </w:r>
      <w:r w:rsidRPr="003234D9">
        <w:rPr>
          <w:rFonts w:cs="Arial"/>
          <w:sz w:val="22"/>
          <w:szCs w:val="22"/>
        </w:rPr>
        <w:t xml:space="preserve">octor and </w:t>
      </w:r>
      <w:r>
        <w:rPr>
          <w:rFonts w:cs="Arial"/>
          <w:sz w:val="22"/>
          <w:szCs w:val="22"/>
        </w:rPr>
        <w:t>n</w:t>
      </w:r>
      <w:r w:rsidRPr="003234D9">
        <w:rPr>
          <w:rFonts w:cs="Arial"/>
          <w:sz w:val="22"/>
          <w:szCs w:val="22"/>
        </w:rPr>
        <w:t>urse</w:t>
      </w:r>
      <w:r>
        <w:rPr>
          <w:rFonts w:cs="Arial"/>
          <w:sz w:val="22"/>
          <w:szCs w:val="22"/>
        </w:rPr>
        <w:t xml:space="preserve"> for holistic review (see Table 7)</w:t>
      </w:r>
      <w:r w:rsidRPr="003234D9">
        <w:rPr>
          <w:rFonts w:cs="Arial"/>
          <w:sz w:val="22"/>
          <w:szCs w:val="22"/>
        </w:rPr>
        <w:t>. This finding is supported by the analysis of the stroke data</w:t>
      </w:r>
      <w:r>
        <w:rPr>
          <w:rFonts w:cs="Arial"/>
          <w:sz w:val="22"/>
          <w:szCs w:val="22"/>
        </w:rPr>
        <w:t xml:space="preserve"> as the different staff type reviewer pairs achieve lower ICCs here</w:t>
      </w:r>
      <w:r w:rsidRPr="003234D9">
        <w:rPr>
          <w:rFonts w:cs="Arial"/>
          <w:sz w:val="22"/>
          <w:szCs w:val="22"/>
        </w:rPr>
        <w:t xml:space="preserve">. </w:t>
      </w:r>
    </w:p>
    <w:p w14:paraId="7215213A" w14:textId="77777777" w:rsidR="000923BB" w:rsidRPr="003234D9" w:rsidRDefault="000923BB" w:rsidP="000923BB">
      <w:pPr>
        <w:ind w:left="360"/>
        <w:jc w:val="both"/>
        <w:rPr>
          <w:rFonts w:cs="Arial"/>
          <w:sz w:val="22"/>
          <w:szCs w:val="22"/>
        </w:rPr>
      </w:pPr>
    </w:p>
    <w:p w14:paraId="2FA89B9E" w14:textId="77777777" w:rsidR="000923BB" w:rsidRPr="003234D9" w:rsidRDefault="000923BB" w:rsidP="000923BB">
      <w:pPr>
        <w:jc w:val="both"/>
        <w:rPr>
          <w:rFonts w:cs="Arial"/>
          <w:sz w:val="22"/>
          <w:szCs w:val="22"/>
        </w:rPr>
      </w:pPr>
      <w:r w:rsidRPr="003234D9">
        <w:rPr>
          <w:rFonts w:cs="Arial"/>
          <w:sz w:val="22"/>
          <w:szCs w:val="22"/>
        </w:rPr>
        <w:t xml:space="preserve">The amount of comparison that can be undertaken between the stroke reviewer reliability </w:t>
      </w:r>
      <w:r>
        <w:rPr>
          <w:rFonts w:cs="Arial"/>
          <w:sz w:val="22"/>
          <w:szCs w:val="22"/>
        </w:rPr>
        <w:t xml:space="preserve">analysis </w:t>
      </w:r>
      <w:r w:rsidRPr="003234D9">
        <w:rPr>
          <w:rFonts w:cs="Arial"/>
          <w:sz w:val="22"/>
          <w:szCs w:val="22"/>
        </w:rPr>
        <w:t xml:space="preserve">and the main study reviewer pair reliability </w:t>
      </w:r>
      <w:r>
        <w:rPr>
          <w:rFonts w:cs="Arial"/>
          <w:sz w:val="22"/>
          <w:szCs w:val="22"/>
        </w:rPr>
        <w:t xml:space="preserve">analysis </w:t>
      </w:r>
      <w:r w:rsidRPr="003234D9">
        <w:rPr>
          <w:rFonts w:cs="Arial"/>
          <w:sz w:val="22"/>
          <w:szCs w:val="22"/>
        </w:rPr>
        <w:t xml:space="preserve">is limited, due to the small number of stroke reviewers taking part. The doctor reviewer pair ICC is similar to that of the COPD doctor reviewer pair in the </w:t>
      </w:r>
      <w:r>
        <w:rPr>
          <w:rFonts w:cs="Arial"/>
          <w:sz w:val="22"/>
          <w:szCs w:val="22"/>
        </w:rPr>
        <w:t>Phase One</w:t>
      </w:r>
      <w:r w:rsidRPr="003234D9">
        <w:rPr>
          <w:rFonts w:cs="Arial"/>
          <w:sz w:val="22"/>
          <w:szCs w:val="22"/>
        </w:rPr>
        <w:t xml:space="preserve"> </w:t>
      </w:r>
      <w:r>
        <w:rPr>
          <w:rFonts w:cs="Arial"/>
          <w:sz w:val="22"/>
          <w:szCs w:val="22"/>
        </w:rPr>
        <w:t xml:space="preserve">reliability </w:t>
      </w:r>
      <w:r w:rsidRPr="003234D9">
        <w:rPr>
          <w:rFonts w:cs="Arial"/>
          <w:sz w:val="22"/>
          <w:szCs w:val="22"/>
        </w:rPr>
        <w:t>study (0.328 versus 0.33 respectively</w:t>
      </w:r>
      <w:r>
        <w:rPr>
          <w:rFonts w:cs="Arial"/>
          <w:sz w:val="22"/>
          <w:szCs w:val="22"/>
        </w:rPr>
        <w:t>, Table 6</w:t>
      </w:r>
      <w:r w:rsidRPr="003234D9">
        <w:rPr>
          <w:rFonts w:cs="Arial"/>
          <w:sz w:val="22"/>
          <w:szCs w:val="22"/>
        </w:rPr>
        <w:t>)</w:t>
      </w:r>
      <w:r>
        <w:rPr>
          <w:rFonts w:cs="Arial"/>
          <w:sz w:val="22"/>
          <w:szCs w:val="22"/>
        </w:rPr>
        <w:t>.  In this much smaller study on stroke care t</w:t>
      </w:r>
      <w:r w:rsidRPr="003234D9">
        <w:rPr>
          <w:rFonts w:cs="Arial"/>
          <w:sz w:val="22"/>
          <w:szCs w:val="22"/>
        </w:rPr>
        <w:t xml:space="preserve">he different staff type reviewer pair reliability comparisons are generally much lower than those presented in Table </w:t>
      </w:r>
      <w:r>
        <w:rPr>
          <w:rFonts w:cs="Arial"/>
          <w:sz w:val="22"/>
          <w:szCs w:val="22"/>
        </w:rPr>
        <w:t>6</w:t>
      </w:r>
      <w:r w:rsidRPr="003234D9">
        <w:rPr>
          <w:rFonts w:cs="Arial"/>
          <w:sz w:val="22"/>
          <w:szCs w:val="22"/>
        </w:rPr>
        <w:t xml:space="preserve"> in the </w:t>
      </w:r>
      <w:r>
        <w:rPr>
          <w:rFonts w:cs="Arial"/>
          <w:sz w:val="22"/>
          <w:szCs w:val="22"/>
        </w:rPr>
        <w:t>Phase One</w:t>
      </w:r>
      <w:r w:rsidRPr="003234D9">
        <w:rPr>
          <w:rFonts w:cs="Arial"/>
          <w:sz w:val="22"/>
          <w:szCs w:val="22"/>
        </w:rPr>
        <w:t xml:space="preserve"> study. </w:t>
      </w:r>
    </w:p>
    <w:p w14:paraId="7266C573" w14:textId="77777777" w:rsidR="000923BB" w:rsidRDefault="000923BB" w:rsidP="000923BB">
      <w:pPr>
        <w:jc w:val="both"/>
        <w:rPr>
          <w:rFonts w:cs="Arial"/>
          <w:b/>
          <w:i/>
          <w:sz w:val="22"/>
          <w:szCs w:val="22"/>
        </w:rPr>
      </w:pPr>
    </w:p>
    <w:p w14:paraId="6BB1D0CC" w14:textId="77777777" w:rsidR="000923BB" w:rsidRDefault="000923BB" w:rsidP="000923BB">
      <w:pPr>
        <w:jc w:val="both"/>
        <w:rPr>
          <w:rFonts w:cs="Arial"/>
          <w:b/>
          <w:i/>
          <w:sz w:val="22"/>
          <w:szCs w:val="22"/>
        </w:rPr>
      </w:pPr>
    </w:p>
    <w:p w14:paraId="1FA42469" w14:textId="77777777" w:rsidR="00900FF0" w:rsidRDefault="00900FF0" w:rsidP="000923BB">
      <w:pPr>
        <w:jc w:val="both"/>
        <w:rPr>
          <w:rFonts w:cs="Arial"/>
          <w:b/>
          <w:i/>
          <w:sz w:val="22"/>
          <w:szCs w:val="22"/>
        </w:rPr>
      </w:pPr>
    </w:p>
    <w:p w14:paraId="7715A52F" w14:textId="77777777" w:rsidR="00900FF0" w:rsidRDefault="00900FF0" w:rsidP="000923BB">
      <w:pPr>
        <w:jc w:val="both"/>
        <w:rPr>
          <w:rFonts w:cs="Arial"/>
          <w:b/>
          <w:i/>
          <w:sz w:val="22"/>
          <w:szCs w:val="22"/>
        </w:rPr>
      </w:pPr>
    </w:p>
    <w:p w14:paraId="146F0280" w14:textId="77777777" w:rsidR="00900FF0" w:rsidRDefault="00900FF0" w:rsidP="000923BB">
      <w:pPr>
        <w:jc w:val="both"/>
        <w:rPr>
          <w:rFonts w:cs="Arial"/>
          <w:b/>
          <w:i/>
          <w:sz w:val="22"/>
          <w:szCs w:val="22"/>
        </w:rPr>
      </w:pPr>
    </w:p>
    <w:p w14:paraId="01BF96E2" w14:textId="77777777" w:rsidR="000923BB" w:rsidRPr="00905C5C" w:rsidRDefault="000923BB" w:rsidP="000923BB">
      <w:pPr>
        <w:jc w:val="both"/>
        <w:rPr>
          <w:rFonts w:cs="Arial"/>
          <w:i/>
          <w:sz w:val="22"/>
          <w:szCs w:val="22"/>
        </w:rPr>
      </w:pPr>
      <w:r w:rsidRPr="00905C5C">
        <w:rPr>
          <w:rFonts w:cs="Arial"/>
          <w:b/>
          <w:i/>
          <w:sz w:val="22"/>
          <w:szCs w:val="22"/>
        </w:rPr>
        <w:lastRenderedPageBreak/>
        <w:t xml:space="preserve">Criterion based </w:t>
      </w:r>
      <w:r>
        <w:rPr>
          <w:rFonts w:cs="Arial"/>
          <w:b/>
          <w:i/>
          <w:sz w:val="22"/>
          <w:szCs w:val="22"/>
        </w:rPr>
        <w:t>review</w:t>
      </w:r>
    </w:p>
    <w:p w14:paraId="2E0C204A" w14:textId="77777777" w:rsidR="000923BB" w:rsidRPr="003234D9" w:rsidRDefault="000923BB" w:rsidP="000923BB">
      <w:pPr>
        <w:jc w:val="both"/>
        <w:rPr>
          <w:rFonts w:cs="Arial"/>
          <w:b/>
          <w:sz w:val="22"/>
          <w:szCs w:val="22"/>
        </w:rPr>
      </w:pPr>
    </w:p>
    <w:p w14:paraId="223F759A" w14:textId="77777777" w:rsidR="000923BB" w:rsidRDefault="000923BB" w:rsidP="000923BB">
      <w:pPr>
        <w:jc w:val="both"/>
        <w:rPr>
          <w:rFonts w:cs="Arial"/>
          <w:sz w:val="22"/>
          <w:szCs w:val="22"/>
          <w:u w:val="single"/>
        </w:rPr>
      </w:pPr>
      <w:r w:rsidRPr="00905C5C">
        <w:rPr>
          <w:rFonts w:cs="Arial"/>
          <w:sz w:val="22"/>
          <w:szCs w:val="22"/>
          <w:u w:val="single"/>
        </w:rPr>
        <w:t>Completeness</w:t>
      </w:r>
      <w:r>
        <w:rPr>
          <w:rFonts w:cs="Arial"/>
          <w:sz w:val="22"/>
          <w:szCs w:val="22"/>
          <w:u w:val="single"/>
        </w:rPr>
        <w:t xml:space="preserve"> of data capture</w:t>
      </w:r>
    </w:p>
    <w:p w14:paraId="778F60B2" w14:textId="77777777" w:rsidR="000923BB" w:rsidRPr="00905C5C" w:rsidRDefault="000923BB" w:rsidP="000923BB">
      <w:pPr>
        <w:jc w:val="both"/>
        <w:rPr>
          <w:rFonts w:cs="Arial"/>
          <w:sz w:val="22"/>
          <w:szCs w:val="22"/>
          <w:u w:val="single"/>
        </w:rPr>
      </w:pPr>
      <w:r w:rsidRPr="00905C5C">
        <w:rPr>
          <w:rFonts w:cs="Arial"/>
          <w:sz w:val="22"/>
          <w:szCs w:val="22"/>
          <w:u w:val="single"/>
        </w:rPr>
        <w:t xml:space="preserve"> </w:t>
      </w:r>
    </w:p>
    <w:p w14:paraId="527D7F01" w14:textId="77777777" w:rsidR="000923BB" w:rsidRDefault="000923BB" w:rsidP="000923BB">
      <w:pPr>
        <w:jc w:val="both"/>
        <w:rPr>
          <w:rFonts w:cs="Arial"/>
          <w:sz w:val="22"/>
          <w:szCs w:val="22"/>
        </w:rPr>
      </w:pPr>
      <w:r w:rsidRPr="003234D9">
        <w:rPr>
          <w:rFonts w:cs="Arial"/>
          <w:sz w:val="22"/>
          <w:szCs w:val="22"/>
        </w:rPr>
        <w:t xml:space="preserve">Each reviewer completed 37 reviews (of the same patient records). Where a reviewer did not select one of the pre-defined answer options for each criterion, this was classed as missing data. The results in </w:t>
      </w:r>
      <w:r>
        <w:rPr>
          <w:rFonts w:cs="Arial"/>
          <w:sz w:val="22"/>
          <w:szCs w:val="22"/>
        </w:rPr>
        <w:t>T</w:t>
      </w:r>
      <w:r w:rsidRPr="003234D9">
        <w:rPr>
          <w:rFonts w:cs="Arial"/>
          <w:sz w:val="22"/>
          <w:szCs w:val="22"/>
        </w:rPr>
        <w:t xml:space="preserve">able </w:t>
      </w:r>
      <w:r>
        <w:rPr>
          <w:rFonts w:cs="Arial"/>
          <w:sz w:val="22"/>
          <w:szCs w:val="22"/>
        </w:rPr>
        <w:t>13.</w:t>
      </w:r>
      <w:r w:rsidRPr="003234D9">
        <w:rPr>
          <w:rFonts w:cs="Arial"/>
          <w:sz w:val="22"/>
          <w:szCs w:val="22"/>
        </w:rPr>
        <w:t xml:space="preserve">4 show that there are very </w:t>
      </w:r>
      <w:r>
        <w:rPr>
          <w:rFonts w:cs="Arial"/>
          <w:sz w:val="22"/>
          <w:szCs w:val="22"/>
        </w:rPr>
        <w:t>low missing data rates</w:t>
      </w:r>
      <w:r w:rsidRPr="003234D9">
        <w:rPr>
          <w:rFonts w:cs="Arial"/>
          <w:sz w:val="22"/>
          <w:szCs w:val="22"/>
        </w:rPr>
        <w:t xml:space="preserve"> for all reviewers for the criterion based data collection. </w:t>
      </w:r>
    </w:p>
    <w:p w14:paraId="337E2A66" w14:textId="77777777" w:rsidR="000923BB" w:rsidRDefault="000923BB" w:rsidP="000923BB">
      <w:pPr>
        <w:jc w:val="both"/>
        <w:rPr>
          <w:rFonts w:cs="Arial"/>
          <w:b/>
          <w:sz w:val="22"/>
          <w:szCs w:val="22"/>
        </w:rPr>
      </w:pPr>
    </w:p>
    <w:p w14:paraId="0A2D4727" w14:textId="77777777" w:rsidR="000923BB" w:rsidRPr="003234D9" w:rsidRDefault="000923BB" w:rsidP="000923BB">
      <w:pPr>
        <w:jc w:val="both"/>
        <w:rPr>
          <w:rFonts w:cs="Arial"/>
          <w:b/>
          <w:sz w:val="22"/>
          <w:szCs w:val="22"/>
        </w:rPr>
      </w:pPr>
      <w:r w:rsidRPr="003234D9">
        <w:rPr>
          <w:rFonts w:cs="Arial"/>
          <w:b/>
          <w:sz w:val="22"/>
          <w:szCs w:val="22"/>
        </w:rPr>
        <w:t xml:space="preserve">Table </w:t>
      </w:r>
      <w:r>
        <w:rPr>
          <w:rFonts w:cs="Arial"/>
          <w:b/>
          <w:sz w:val="22"/>
          <w:szCs w:val="22"/>
        </w:rPr>
        <w:t>13.</w:t>
      </w:r>
      <w:r w:rsidRPr="003234D9">
        <w:rPr>
          <w:rFonts w:cs="Arial"/>
          <w:b/>
          <w:sz w:val="22"/>
          <w:szCs w:val="22"/>
        </w:rPr>
        <w:t>4: criterion based data completeness rates</w:t>
      </w:r>
    </w:p>
    <w:tbl>
      <w:tblPr>
        <w:tblW w:w="79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8"/>
        <w:gridCol w:w="1080"/>
        <w:gridCol w:w="1440"/>
        <w:gridCol w:w="1080"/>
        <w:gridCol w:w="900"/>
      </w:tblGrid>
      <w:tr w:rsidR="000923BB" w:rsidRPr="00F955C6" w14:paraId="1406F55E" w14:textId="77777777" w:rsidTr="005B2F93">
        <w:tc>
          <w:tcPr>
            <w:tcW w:w="3458" w:type="dxa"/>
          </w:tcPr>
          <w:p w14:paraId="060F4A36" w14:textId="77777777" w:rsidR="000923BB" w:rsidRPr="00F955C6" w:rsidRDefault="000923BB" w:rsidP="003A385F">
            <w:pPr>
              <w:jc w:val="both"/>
              <w:rPr>
                <w:rFonts w:cs="Arial"/>
                <w:sz w:val="20"/>
                <w:szCs w:val="20"/>
              </w:rPr>
            </w:pPr>
          </w:p>
        </w:tc>
        <w:tc>
          <w:tcPr>
            <w:tcW w:w="1080" w:type="dxa"/>
          </w:tcPr>
          <w:p w14:paraId="139E9F16" w14:textId="77777777" w:rsidR="000923BB" w:rsidRPr="00F955C6" w:rsidRDefault="000923BB" w:rsidP="003A385F">
            <w:pPr>
              <w:jc w:val="both"/>
              <w:rPr>
                <w:rFonts w:cs="Arial"/>
                <w:sz w:val="20"/>
                <w:szCs w:val="20"/>
              </w:rPr>
            </w:pPr>
            <w:r w:rsidRPr="00F955C6">
              <w:rPr>
                <w:rFonts w:cs="Arial"/>
                <w:sz w:val="20"/>
                <w:szCs w:val="20"/>
              </w:rPr>
              <w:t xml:space="preserve">Clinical reviewer (Nurse </w:t>
            </w:r>
          </w:p>
        </w:tc>
        <w:tc>
          <w:tcPr>
            <w:tcW w:w="1440" w:type="dxa"/>
          </w:tcPr>
          <w:p w14:paraId="4749BB93" w14:textId="77777777" w:rsidR="000923BB" w:rsidRPr="00F955C6" w:rsidRDefault="000923BB" w:rsidP="003A385F">
            <w:pPr>
              <w:jc w:val="both"/>
              <w:rPr>
                <w:rFonts w:cs="Arial"/>
                <w:sz w:val="20"/>
                <w:szCs w:val="20"/>
              </w:rPr>
            </w:pPr>
            <w:r w:rsidRPr="00F955C6">
              <w:rPr>
                <w:rFonts w:cs="Arial"/>
                <w:sz w:val="20"/>
                <w:szCs w:val="20"/>
              </w:rPr>
              <w:t>Doctor 1 reviewer</w:t>
            </w:r>
          </w:p>
        </w:tc>
        <w:tc>
          <w:tcPr>
            <w:tcW w:w="1080" w:type="dxa"/>
          </w:tcPr>
          <w:p w14:paraId="72ADD329" w14:textId="77777777" w:rsidR="000923BB" w:rsidRPr="00F955C6" w:rsidRDefault="000923BB" w:rsidP="003A385F">
            <w:pPr>
              <w:jc w:val="both"/>
              <w:rPr>
                <w:rFonts w:cs="Arial"/>
                <w:sz w:val="20"/>
                <w:szCs w:val="20"/>
              </w:rPr>
            </w:pPr>
            <w:r w:rsidRPr="00F955C6">
              <w:rPr>
                <w:rFonts w:cs="Arial"/>
                <w:sz w:val="20"/>
                <w:szCs w:val="20"/>
              </w:rPr>
              <w:t>Doctor 2 reviewer</w:t>
            </w:r>
          </w:p>
        </w:tc>
        <w:tc>
          <w:tcPr>
            <w:tcW w:w="900" w:type="dxa"/>
          </w:tcPr>
          <w:p w14:paraId="118AC728" w14:textId="77777777" w:rsidR="000923BB" w:rsidRPr="00F955C6" w:rsidRDefault="000923BB" w:rsidP="003A385F">
            <w:pPr>
              <w:jc w:val="both"/>
              <w:rPr>
                <w:rFonts w:cs="Arial"/>
                <w:sz w:val="20"/>
                <w:szCs w:val="20"/>
              </w:rPr>
            </w:pPr>
            <w:r w:rsidRPr="00F955C6">
              <w:rPr>
                <w:rFonts w:cs="Arial"/>
                <w:sz w:val="20"/>
                <w:szCs w:val="20"/>
              </w:rPr>
              <w:t xml:space="preserve">Total </w:t>
            </w:r>
          </w:p>
        </w:tc>
      </w:tr>
      <w:tr w:rsidR="000923BB" w:rsidRPr="00F955C6" w14:paraId="4DD8DC12" w14:textId="77777777" w:rsidTr="005B2F93">
        <w:tc>
          <w:tcPr>
            <w:tcW w:w="3458" w:type="dxa"/>
          </w:tcPr>
          <w:p w14:paraId="69FFD496" w14:textId="77777777" w:rsidR="000923BB" w:rsidRPr="00F955C6" w:rsidRDefault="000923BB" w:rsidP="003A385F">
            <w:pPr>
              <w:jc w:val="both"/>
              <w:rPr>
                <w:rFonts w:cs="Arial"/>
                <w:sz w:val="20"/>
                <w:szCs w:val="20"/>
              </w:rPr>
            </w:pPr>
            <w:r w:rsidRPr="00F955C6">
              <w:rPr>
                <w:rFonts w:cs="Arial"/>
                <w:sz w:val="20"/>
                <w:szCs w:val="20"/>
              </w:rPr>
              <w:t>Total number of reviews</w:t>
            </w:r>
          </w:p>
        </w:tc>
        <w:tc>
          <w:tcPr>
            <w:tcW w:w="1080" w:type="dxa"/>
          </w:tcPr>
          <w:p w14:paraId="168B7C99" w14:textId="77777777" w:rsidR="000923BB" w:rsidRPr="00F955C6" w:rsidRDefault="000923BB" w:rsidP="003A385F">
            <w:pPr>
              <w:jc w:val="both"/>
              <w:rPr>
                <w:rFonts w:cs="Arial"/>
                <w:sz w:val="20"/>
                <w:szCs w:val="20"/>
              </w:rPr>
            </w:pPr>
            <w:r w:rsidRPr="00F955C6">
              <w:rPr>
                <w:rFonts w:cs="Arial"/>
                <w:sz w:val="20"/>
                <w:szCs w:val="20"/>
              </w:rPr>
              <w:t>37</w:t>
            </w:r>
          </w:p>
        </w:tc>
        <w:tc>
          <w:tcPr>
            <w:tcW w:w="1440" w:type="dxa"/>
          </w:tcPr>
          <w:p w14:paraId="0037C7F6" w14:textId="77777777" w:rsidR="000923BB" w:rsidRPr="00F955C6" w:rsidRDefault="000923BB" w:rsidP="003A385F">
            <w:pPr>
              <w:jc w:val="both"/>
              <w:rPr>
                <w:rFonts w:cs="Arial"/>
                <w:sz w:val="20"/>
                <w:szCs w:val="20"/>
              </w:rPr>
            </w:pPr>
            <w:r w:rsidRPr="00F955C6">
              <w:rPr>
                <w:rFonts w:cs="Arial"/>
                <w:sz w:val="20"/>
                <w:szCs w:val="20"/>
              </w:rPr>
              <w:t>37</w:t>
            </w:r>
          </w:p>
        </w:tc>
        <w:tc>
          <w:tcPr>
            <w:tcW w:w="1080" w:type="dxa"/>
          </w:tcPr>
          <w:p w14:paraId="76FEDBB1" w14:textId="77777777" w:rsidR="000923BB" w:rsidRPr="00F955C6" w:rsidRDefault="000923BB" w:rsidP="003A385F">
            <w:pPr>
              <w:jc w:val="both"/>
              <w:rPr>
                <w:rFonts w:cs="Arial"/>
                <w:sz w:val="20"/>
                <w:szCs w:val="20"/>
              </w:rPr>
            </w:pPr>
            <w:r w:rsidRPr="00F955C6">
              <w:rPr>
                <w:rFonts w:cs="Arial"/>
                <w:sz w:val="20"/>
                <w:szCs w:val="20"/>
              </w:rPr>
              <w:t>37</w:t>
            </w:r>
          </w:p>
        </w:tc>
        <w:tc>
          <w:tcPr>
            <w:tcW w:w="900" w:type="dxa"/>
          </w:tcPr>
          <w:p w14:paraId="2A3EFF67" w14:textId="77777777" w:rsidR="000923BB" w:rsidRPr="00F955C6" w:rsidRDefault="000923BB" w:rsidP="003A385F">
            <w:pPr>
              <w:jc w:val="both"/>
              <w:rPr>
                <w:rFonts w:cs="Arial"/>
                <w:sz w:val="20"/>
                <w:szCs w:val="20"/>
              </w:rPr>
            </w:pPr>
            <w:r w:rsidRPr="00F955C6">
              <w:rPr>
                <w:rFonts w:cs="Arial"/>
                <w:sz w:val="20"/>
                <w:szCs w:val="20"/>
              </w:rPr>
              <w:t>111</w:t>
            </w:r>
          </w:p>
        </w:tc>
      </w:tr>
      <w:tr w:rsidR="000923BB" w:rsidRPr="00F955C6" w14:paraId="0B6A0582" w14:textId="77777777" w:rsidTr="005B2F93">
        <w:tc>
          <w:tcPr>
            <w:tcW w:w="3458" w:type="dxa"/>
          </w:tcPr>
          <w:p w14:paraId="137F8D96" w14:textId="77777777" w:rsidR="000923BB" w:rsidRPr="00F955C6" w:rsidRDefault="000923BB" w:rsidP="003A385F">
            <w:pPr>
              <w:jc w:val="both"/>
              <w:rPr>
                <w:rFonts w:cs="Arial"/>
                <w:sz w:val="20"/>
                <w:szCs w:val="20"/>
              </w:rPr>
            </w:pPr>
            <w:r w:rsidRPr="00F955C6">
              <w:rPr>
                <w:rFonts w:cs="Arial"/>
                <w:sz w:val="20"/>
                <w:szCs w:val="20"/>
              </w:rPr>
              <w:t>Total number of data items available (sum of admission, initial management and pre-discharge phases)</w:t>
            </w:r>
          </w:p>
        </w:tc>
        <w:tc>
          <w:tcPr>
            <w:tcW w:w="1080" w:type="dxa"/>
          </w:tcPr>
          <w:p w14:paraId="1F676E50" w14:textId="77777777" w:rsidR="000923BB" w:rsidRPr="00F955C6" w:rsidRDefault="000923BB" w:rsidP="003A385F">
            <w:pPr>
              <w:jc w:val="both"/>
              <w:rPr>
                <w:rFonts w:cs="Arial"/>
                <w:sz w:val="20"/>
                <w:szCs w:val="20"/>
              </w:rPr>
            </w:pPr>
            <w:r w:rsidRPr="00F955C6">
              <w:rPr>
                <w:rFonts w:cs="Arial"/>
                <w:sz w:val="20"/>
                <w:szCs w:val="20"/>
              </w:rPr>
              <w:t>1406</w:t>
            </w:r>
          </w:p>
          <w:p w14:paraId="5DFFBD17" w14:textId="77777777" w:rsidR="000923BB" w:rsidRPr="00F955C6" w:rsidRDefault="000923BB" w:rsidP="003A385F">
            <w:pPr>
              <w:jc w:val="both"/>
              <w:rPr>
                <w:rFonts w:cs="Arial"/>
                <w:sz w:val="20"/>
                <w:szCs w:val="20"/>
              </w:rPr>
            </w:pPr>
          </w:p>
        </w:tc>
        <w:tc>
          <w:tcPr>
            <w:tcW w:w="1440" w:type="dxa"/>
          </w:tcPr>
          <w:p w14:paraId="370606E1" w14:textId="77777777" w:rsidR="000923BB" w:rsidRPr="00F955C6" w:rsidRDefault="000923BB" w:rsidP="003A385F">
            <w:pPr>
              <w:jc w:val="both"/>
              <w:rPr>
                <w:rFonts w:cs="Arial"/>
                <w:sz w:val="20"/>
                <w:szCs w:val="20"/>
              </w:rPr>
            </w:pPr>
            <w:r w:rsidRPr="00F955C6">
              <w:rPr>
                <w:rFonts w:cs="Arial"/>
                <w:sz w:val="20"/>
                <w:szCs w:val="20"/>
              </w:rPr>
              <w:t>1406</w:t>
            </w:r>
          </w:p>
        </w:tc>
        <w:tc>
          <w:tcPr>
            <w:tcW w:w="1080" w:type="dxa"/>
          </w:tcPr>
          <w:p w14:paraId="7D42B250" w14:textId="77777777" w:rsidR="000923BB" w:rsidRPr="00F955C6" w:rsidRDefault="000923BB" w:rsidP="003A385F">
            <w:pPr>
              <w:jc w:val="both"/>
              <w:rPr>
                <w:rFonts w:cs="Arial"/>
                <w:sz w:val="20"/>
                <w:szCs w:val="20"/>
              </w:rPr>
            </w:pPr>
            <w:r w:rsidRPr="00F955C6">
              <w:rPr>
                <w:rFonts w:cs="Arial"/>
                <w:sz w:val="20"/>
                <w:szCs w:val="20"/>
              </w:rPr>
              <w:t>1406</w:t>
            </w:r>
          </w:p>
        </w:tc>
        <w:tc>
          <w:tcPr>
            <w:tcW w:w="900" w:type="dxa"/>
          </w:tcPr>
          <w:p w14:paraId="02BF9955" w14:textId="77777777" w:rsidR="000923BB" w:rsidRPr="00F955C6" w:rsidRDefault="000923BB" w:rsidP="003A385F">
            <w:pPr>
              <w:jc w:val="both"/>
              <w:rPr>
                <w:rFonts w:cs="Arial"/>
                <w:sz w:val="20"/>
                <w:szCs w:val="20"/>
              </w:rPr>
            </w:pPr>
            <w:r w:rsidRPr="00F955C6">
              <w:rPr>
                <w:rFonts w:cs="Arial"/>
                <w:sz w:val="20"/>
                <w:szCs w:val="20"/>
              </w:rPr>
              <w:t>4218</w:t>
            </w:r>
          </w:p>
        </w:tc>
      </w:tr>
      <w:tr w:rsidR="000923BB" w:rsidRPr="00F955C6" w14:paraId="57622C21" w14:textId="77777777" w:rsidTr="005B2F93">
        <w:tc>
          <w:tcPr>
            <w:tcW w:w="3458" w:type="dxa"/>
          </w:tcPr>
          <w:p w14:paraId="7D620578" w14:textId="77777777" w:rsidR="000923BB" w:rsidRPr="00F955C6" w:rsidRDefault="000923BB" w:rsidP="003A385F">
            <w:pPr>
              <w:jc w:val="both"/>
              <w:rPr>
                <w:rFonts w:cs="Arial"/>
                <w:sz w:val="20"/>
                <w:szCs w:val="20"/>
              </w:rPr>
            </w:pPr>
            <w:r w:rsidRPr="00F955C6">
              <w:rPr>
                <w:rFonts w:cs="Arial"/>
                <w:sz w:val="20"/>
                <w:szCs w:val="20"/>
              </w:rPr>
              <w:t>Total number of data items missing</w:t>
            </w:r>
          </w:p>
        </w:tc>
        <w:tc>
          <w:tcPr>
            <w:tcW w:w="1080" w:type="dxa"/>
          </w:tcPr>
          <w:p w14:paraId="3478DB19" w14:textId="77777777" w:rsidR="000923BB" w:rsidRPr="00F955C6" w:rsidRDefault="000923BB" w:rsidP="003A385F">
            <w:pPr>
              <w:jc w:val="both"/>
              <w:rPr>
                <w:rFonts w:cs="Arial"/>
                <w:sz w:val="20"/>
                <w:szCs w:val="20"/>
              </w:rPr>
            </w:pPr>
            <w:r w:rsidRPr="00F955C6">
              <w:rPr>
                <w:rFonts w:cs="Arial"/>
                <w:sz w:val="20"/>
                <w:szCs w:val="20"/>
              </w:rPr>
              <w:t>0</w:t>
            </w:r>
          </w:p>
        </w:tc>
        <w:tc>
          <w:tcPr>
            <w:tcW w:w="1440" w:type="dxa"/>
          </w:tcPr>
          <w:p w14:paraId="1B7A2B38" w14:textId="77777777" w:rsidR="000923BB" w:rsidRPr="00F955C6" w:rsidRDefault="000923BB" w:rsidP="003A385F">
            <w:pPr>
              <w:jc w:val="both"/>
              <w:rPr>
                <w:rFonts w:cs="Arial"/>
                <w:sz w:val="20"/>
                <w:szCs w:val="20"/>
              </w:rPr>
            </w:pPr>
            <w:r w:rsidRPr="00F955C6">
              <w:rPr>
                <w:rFonts w:cs="Arial"/>
                <w:sz w:val="20"/>
                <w:szCs w:val="20"/>
              </w:rPr>
              <w:t>19</w:t>
            </w:r>
          </w:p>
        </w:tc>
        <w:tc>
          <w:tcPr>
            <w:tcW w:w="1080" w:type="dxa"/>
          </w:tcPr>
          <w:p w14:paraId="38D8D4B7" w14:textId="77777777" w:rsidR="000923BB" w:rsidRPr="00F955C6" w:rsidRDefault="000923BB" w:rsidP="003A385F">
            <w:pPr>
              <w:jc w:val="both"/>
              <w:rPr>
                <w:rFonts w:cs="Arial"/>
                <w:sz w:val="20"/>
                <w:szCs w:val="20"/>
              </w:rPr>
            </w:pPr>
            <w:r w:rsidRPr="00F955C6">
              <w:rPr>
                <w:rFonts w:cs="Arial"/>
                <w:sz w:val="20"/>
                <w:szCs w:val="20"/>
              </w:rPr>
              <w:t>7</w:t>
            </w:r>
          </w:p>
        </w:tc>
        <w:tc>
          <w:tcPr>
            <w:tcW w:w="900" w:type="dxa"/>
          </w:tcPr>
          <w:p w14:paraId="7165545B" w14:textId="77777777" w:rsidR="000923BB" w:rsidRPr="00F955C6" w:rsidRDefault="000923BB" w:rsidP="003A385F">
            <w:pPr>
              <w:jc w:val="both"/>
              <w:rPr>
                <w:rFonts w:cs="Arial"/>
                <w:sz w:val="20"/>
                <w:szCs w:val="20"/>
              </w:rPr>
            </w:pPr>
            <w:r w:rsidRPr="00F955C6">
              <w:rPr>
                <w:rFonts w:cs="Arial"/>
                <w:sz w:val="20"/>
                <w:szCs w:val="20"/>
              </w:rPr>
              <w:t>26</w:t>
            </w:r>
          </w:p>
        </w:tc>
      </w:tr>
      <w:tr w:rsidR="000923BB" w:rsidRPr="00F955C6" w14:paraId="086E3089" w14:textId="77777777" w:rsidTr="005B2F93">
        <w:tc>
          <w:tcPr>
            <w:tcW w:w="3458" w:type="dxa"/>
          </w:tcPr>
          <w:p w14:paraId="6C43DE9A" w14:textId="77777777" w:rsidR="000923BB" w:rsidRPr="00F955C6" w:rsidRDefault="000923BB" w:rsidP="003A385F">
            <w:pPr>
              <w:jc w:val="both"/>
              <w:rPr>
                <w:rFonts w:cs="Arial"/>
                <w:sz w:val="20"/>
                <w:szCs w:val="20"/>
              </w:rPr>
            </w:pPr>
            <w:r w:rsidRPr="00F955C6">
              <w:rPr>
                <w:rFonts w:cs="Arial"/>
                <w:sz w:val="20"/>
                <w:szCs w:val="20"/>
              </w:rPr>
              <w:t>Percentage of data missing from each reviewer</w:t>
            </w:r>
          </w:p>
        </w:tc>
        <w:tc>
          <w:tcPr>
            <w:tcW w:w="1080" w:type="dxa"/>
          </w:tcPr>
          <w:p w14:paraId="02BFBA60" w14:textId="77777777" w:rsidR="000923BB" w:rsidRPr="00F955C6" w:rsidRDefault="000923BB" w:rsidP="003A385F">
            <w:pPr>
              <w:jc w:val="both"/>
              <w:rPr>
                <w:rFonts w:cs="Arial"/>
                <w:sz w:val="20"/>
                <w:szCs w:val="20"/>
              </w:rPr>
            </w:pPr>
            <w:r w:rsidRPr="00F955C6">
              <w:rPr>
                <w:rFonts w:cs="Arial"/>
                <w:sz w:val="20"/>
                <w:szCs w:val="20"/>
              </w:rPr>
              <w:t>0%</w:t>
            </w:r>
          </w:p>
        </w:tc>
        <w:tc>
          <w:tcPr>
            <w:tcW w:w="1440" w:type="dxa"/>
          </w:tcPr>
          <w:p w14:paraId="105DB53E" w14:textId="77777777" w:rsidR="000923BB" w:rsidRPr="00F955C6" w:rsidRDefault="000923BB" w:rsidP="003A385F">
            <w:pPr>
              <w:jc w:val="both"/>
              <w:rPr>
                <w:rFonts w:cs="Arial"/>
                <w:sz w:val="20"/>
                <w:szCs w:val="20"/>
              </w:rPr>
            </w:pPr>
            <w:r w:rsidRPr="00F955C6">
              <w:rPr>
                <w:rFonts w:cs="Arial"/>
                <w:sz w:val="20"/>
                <w:szCs w:val="20"/>
              </w:rPr>
              <w:t>0.01%</w:t>
            </w:r>
          </w:p>
        </w:tc>
        <w:tc>
          <w:tcPr>
            <w:tcW w:w="1080" w:type="dxa"/>
          </w:tcPr>
          <w:p w14:paraId="75FEC01F" w14:textId="77777777" w:rsidR="000923BB" w:rsidRPr="00F955C6" w:rsidRDefault="000923BB" w:rsidP="003A385F">
            <w:pPr>
              <w:jc w:val="both"/>
              <w:rPr>
                <w:rFonts w:cs="Arial"/>
                <w:sz w:val="20"/>
                <w:szCs w:val="20"/>
              </w:rPr>
            </w:pPr>
            <w:r w:rsidRPr="00F955C6">
              <w:rPr>
                <w:rFonts w:cs="Arial"/>
                <w:sz w:val="20"/>
                <w:szCs w:val="20"/>
              </w:rPr>
              <w:t>0.004%</w:t>
            </w:r>
          </w:p>
        </w:tc>
        <w:tc>
          <w:tcPr>
            <w:tcW w:w="900" w:type="dxa"/>
          </w:tcPr>
          <w:p w14:paraId="491D69BC" w14:textId="77777777" w:rsidR="000923BB" w:rsidRPr="00F955C6" w:rsidRDefault="000923BB" w:rsidP="003A385F">
            <w:pPr>
              <w:jc w:val="both"/>
              <w:rPr>
                <w:rFonts w:cs="Arial"/>
                <w:sz w:val="20"/>
                <w:szCs w:val="20"/>
              </w:rPr>
            </w:pPr>
            <w:r w:rsidRPr="00F955C6">
              <w:rPr>
                <w:rFonts w:cs="Arial"/>
                <w:sz w:val="20"/>
                <w:szCs w:val="20"/>
              </w:rPr>
              <w:t>0.006%</w:t>
            </w:r>
          </w:p>
        </w:tc>
      </w:tr>
    </w:tbl>
    <w:p w14:paraId="0648A614" w14:textId="77777777" w:rsidR="000923BB" w:rsidRDefault="000923BB" w:rsidP="000923BB">
      <w:pPr>
        <w:autoSpaceDE w:val="0"/>
        <w:autoSpaceDN w:val="0"/>
        <w:adjustRightInd w:val="0"/>
        <w:jc w:val="both"/>
        <w:rPr>
          <w:rFonts w:cs="Arial"/>
          <w:b/>
          <w:color w:val="000000"/>
          <w:sz w:val="22"/>
          <w:szCs w:val="22"/>
        </w:rPr>
      </w:pPr>
    </w:p>
    <w:p w14:paraId="2C180A7C" w14:textId="77777777" w:rsidR="000923BB" w:rsidRDefault="000923BB" w:rsidP="000923BB">
      <w:pPr>
        <w:autoSpaceDE w:val="0"/>
        <w:autoSpaceDN w:val="0"/>
        <w:adjustRightInd w:val="0"/>
        <w:jc w:val="both"/>
        <w:rPr>
          <w:rFonts w:cs="Arial"/>
          <w:color w:val="000000"/>
          <w:sz w:val="22"/>
          <w:szCs w:val="22"/>
          <w:u w:val="single"/>
        </w:rPr>
      </w:pPr>
      <w:r w:rsidRPr="00DE6467">
        <w:rPr>
          <w:rFonts w:cs="Arial"/>
          <w:color w:val="000000"/>
          <w:sz w:val="22"/>
          <w:szCs w:val="22"/>
          <w:u w:val="single"/>
        </w:rPr>
        <w:t xml:space="preserve">Criterion based quality of care scores </w:t>
      </w:r>
    </w:p>
    <w:p w14:paraId="3156F9E2" w14:textId="77777777" w:rsidR="000923BB" w:rsidRPr="00DE6467" w:rsidRDefault="000923BB" w:rsidP="000923BB">
      <w:pPr>
        <w:autoSpaceDE w:val="0"/>
        <w:autoSpaceDN w:val="0"/>
        <w:adjustRightInd w:val="0"/>
        <w:jc w:val="both"/>
        <w:rPr>
          <w:rFonts w:cs="Arial"/>
          <w:color w:val="000000"/>
          <w:sz w:val="22"/>
          <w:szCs w:val="22"/>
          <w:u w:val="single"/>
        </w:rPr>
      </w:pPr>
    </w:p>
    <w:p w14:paraId="70BD2DD6" w14:textId="77777777" w:rsidR="000923BB" w:rsidRDefault="000923BB" w:rsidP="000923BB">
      <w:pPr>
        <w:autoSpaceDE w:val="0"/>
        <w:autoSpaceDN w:val="0"/>
        <w:adjustRightInd w:val="0"/>
        <w:jc w:val="both"/>
        <w:rPr>
          <w:rFonts w:cs="Arial"/>
          <w:color w:val="000000"/>
          <w:sz w:val="22"/>
          <w:szCs w:val="22"/>
        </w:rPr>
      </w:pPr>
      <w:r>
        <w:rPr>
          <w:rFonts w:cs="Arial"/>
          <w:color w:val="000000"/>
          <w:sz w:val="22"/>
          <w:szCs w:val="22"/>
        </w:rPr>
        <w:t>Quality of care scores were assigned to t</w:t>
      </w:r>
      <w:r w:rsidRPr="003234D9">
        <w:rPr>
          <w:rFonts w:cs="Arial"/>
          <w:color w:val="000000"/>
          <w:sz w:val="22"/>
          <w:szCs w:val="22"/>
        </w:rPr>
        <w:t xml:space="preserve">he criterion in the admission, initial management and pre-discharge phases. </w:t>
      </w:r>
      <w:r>
        <w:rPr>
          <w:rFonts w:cs="Arial"/>
          <w:color w:val="000000"/>
          <w:sz w:val="22"/>
          <w:szCs w:val="22"/>
        </w:rPr>
        <w:t>The method used was similar to that in the Phase One study, whereby e</w:t>
      </w:r>
      <w:r w:rsidRPr="003234D9">
        <w:rPr>
          <w:rFonts w:cs="Arial"/>
          <w:color w:val="000000"/>
          <w:sz w:val="22"/>
          <w:szCs w:val="22"/>
        </w:rPr>
        <w:t>ach time a criteri</w:t>
      </w:r>
      <w:r>
        <w:rPr>
          <w:rFonts w:cs="Arial"/>
          <w:color w:val="000000"/>
          <w:sz w:val="22"/>
          <w:szCs w:val="22"/>
        </w:rPr>
        <w:t>on</w:t>
      </w:r>
      <w:r w:rsidRPr="003234D9">
        <w:rPr>
          <w:rFonts w:cs="Arial"/>
          <w:color w:val="000000"/>
          <w:sz w:val="22"/>
          <w:szCs w:val="22"/>
        </w:rPr>
        <w:t xml:space="preserve"> was met or done or the reviewer selected the not done for a valid reason option a score of 1 was given. If a reviewer </w:t>
      </w:r>
      <w:r>
        <w:rPr>
          <w:rFonts w:cs="Arial"/>
          <w:color w:val="000000"/>
          <w:sz w:val="22"/>
          <w:szCs w:val="22"/>
        </w:rPr>
        <w:t>selected</w:t>
      </w:r>
      <w:r w:rsidRPr="003234D9">
        <w:rPr>
          <w:rFonts w:cs="Arial"/>
          <w:color w:val="000000"/>
          <w:sz w:val="22"/>
          <w:szCs w:val="22"/>
        </w:rPr>
        <w:t xml:space="preserve"> not recorded, the review item did not receive a score</w:t>
      </w:r>
      <w:r>
        <w:rPr>
          <w:rFonts w:cs="Arial"/>
          <w:color w:val="000000"/>
          <w:sz w:val="22"/>
          <w:szCs w:val="22"/>
        </w:rPr>
        <w:t xml:space="preserve"> as this option presumes the care was not provided</w:t>
      </w:r>
      <w:r w:rsidRPr="003234D9">
        <w:rPr>
          <w:rFonts w:cs="Arial"/>
          <w:color w:val="000000"/>
          <w:sz w:val="22"/>
          <w:szCs w:val="22"/>
        </w:rPr>
        <w:t xml:space="preserve">. The mean and median quality of care scores are presented in table </w:t>
      </w:r>
      <w:r>
        <w:rPr>
          <w:rFonts w:cs="Arial"/>
          <w:color w:val="000000"/>
          <w:sz w:val="22"/>
          <w:szCs w:val="22"/>
        </w:rPr>
        <w:t>13.5</w:t>
      </w:r>
      <w:r w:rsidRPr="003234D9">
        <w:rPr>
          <w:rFonts w:cs="Arial"/>
          <w:color w:val="000000"/>
          <w:sz w:val="22"/>
          <w:szCs w:val="22"/>
        </w:rPr>
        <w:t xml:space="preserve">. </w:t>
      </w:r>
    </w:p>
    <w:p w14:paraId="249469AC" w14:textId="77777777" w:rsidR="000923BB" w:rsidRDefault="000923BB" w:rsidP="000923BB">
      <w:pPr>
        <w:autoSpaceDE w:val="0"/>
        <w:autoSpaceDN w:val="0"/>
        <w:adjustRightInd w:val="0"/>
        <w:jc w:val="both"/>
        <w:rPr>
          <w:rFonts w:cs="Arial"/>
          <w:color w:val="000000"/>
          <w:sz w:val="22"/>
          <w:szCs w:val="22"/>
        </w:rPr>
      </w:pPr>
    </w:p>
    <w:p w14:paraId="6CA6B9EF" w14:textId="77777777" w:rsidR="000923BB" w:rsidRDefault="000923BB" w:rsidP="000923BB">
      <w:pPr>
        <w:autoSpaceDE w:val="0"/>
        <w:autoSpaceDN w:val="0"/>
        <w:adjustRightInd w:val="0"/>
        <w:jc w:val="both"/>
        <w:rPr>
          <w:rFonts w:cs="Arial"/>
          <w:color w:val="000000"/>
          <w:sz w:val="22"/>
          <w:szCs w:val="22"/>
        </w:rPr>
      </w:pPr>
    </w:p>
    <w:p w14:paraId="5337E67B" w14:textId="77777777" w:rsidR="000923BB" w:rsidRDefault="000923BB" w:rsidP="000923BB">
      <w:pPr>
        <w:autoSpaceDE w:val="0"/>
        <w:autoSpaceDN w:val="0"/>
        <w:adjustRightInd w:val="0"/>
        <w:jc w:val="both"/>
        <w:rPr>
          <w:rFonts w:cs="Arial"/>
          <w:color w:val="000000"/>
          <w:sz w:val="22"/>
          <w:szCs w:val="22"/>
        </w:rPr>
      </w:pPr>
    </w:p>
    <w:p w14:paraId="2291E2D0" w14:textId="77777777" w:rsidR="000923BB" w:rsidRDefault="000923BB" w:rsidP="000923BB">
      <w:pPr>
        <w:autoSpaceDE w:val="0"/>
        <w:autoSpaceDN w:val="0"/>
        <w:adjustRightInd w:val="0"/>
        <w:jc w:val="both"/>
        <w:rPr>
          <w:rFonts w:cs="Arial"/>
          <w:color w:val="000000"/>
          <w:sz w:val="22"/>
          <w:szCs w:val="22"/>
        </w:rPr>
      </w:pPr>
    </w:p>
    <w:p w14:paraId="51B70F24" w14:textId="77777777" w:rsidR="000923BB" w:rsidRPr="001C532A" w:rsidRDefault="000923BB" w:rsidP="000923BB">
      <w:pPr>
        <w:autoSpaceDE w:val="0"/>
        <w:autoSpaceDN w:val="0"/>
        <w:adjustRightInd w:val="0"/>
        <w:rPr>
          <w:rFonts w:cs="Arial"/>
          <w:color w:val="000000"/>
          <w:sz w:val="22"/>
          <w:szCs w:val="22"/>
        </w:rPr>
      </w:pPr>
      <w:r w:rsidRPr="003234D9">
        <w:rPr>
          <w:rFonts w:cs="Arial"/>
          <w:b/>
          <w:color w:val="000000"/>
          <w:sz w:val="22"/>
          <w:szCs w:val="22"/>
        </w:rPr>
        <w:lastRenderedPageBreak/>
        <w:t xml:space="preserve">Table </w:t>
      </w:r>
      <w:r>
        <w:rPr>
          <w:rFonts w:cs="Arial"/>
          <w:b/>
          <w:color w:val="000000"/>
          <w:sz w:val="22"/>
          <w:szCs w:val="22"/>
        </w:rPr>
        <w:t>13.</w:t>
      </w:r>
      <w:r w:rsidRPr="003234D9">
        <w:rPr>
          <w:rFonts w:cs="Arial"/>
          <w:b/>
          <w:color w:val="000000"/>
          <w:sz w:val="22"/>
          <w:szCs w:val="22"/>
        </w:rPr>
        <w:t xml:space="preserve">5: Criterion based quality of care scores  </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gridCol w:w="1800"/>
        <w:gridCol w:w="1620"/>
        <w:gridCol w:w="1600"/>
      </w:tblGrid>
      <w:tr w:rsidR="000923BB" w:rsidRPr="00F955C6" w14:paraId="0024E7CB" w14:textId="77777777" w:rsidTr="005B2F93">
        <w:tc>
          <w:tcPr>
            <w:tcW w:w="1620" w:type="dxa"/>
          </w:tcPr>
          <w:p w14:paraId="76CCC027" w14:textId="77777777" w:rsidR="000923BB" w:rsidRPr="00F955C6" w:rsidRDefault="000923BB" w:rsidP="003A385F">
            <w:pPr>
              <w:jc w:val="both"/>
              <w:rPr>
                <w:rFonts w:cs="Arial"/>
                <w:b/>
                <w:sz w:val="20"/>
                <w:szCs w:val="20"/>
              </w:rPr>
            </w:pPr>
            <w:r w:rsidRPr="00F955C6">
              <w:rPr>
                <w:rFonts w:cs="Arial"/>
                <w:b/>
                <w:sz w:val="20"/>
                <w:szCs w:val="20"/>
              </w:rPr>
              <w:t xml:space="preserve">Phase of care </w:t>
            </w:r>
          </w:p>
        </w:tc>
        <w:tc>
          <w:tcPr>
            <w:tcW w:w="1440" w:type="dxa"/>
            <w:tcBorders>
              <w:bottom w:val="single" w:sz="4" w:space="0" w:color="auto"/>
            </w:tcBorders>
          </w:tcPr>
          <w:p w14:paraId="27F47D79" w14:textId="77777777" w:rsidR="000923BB" w:rsidRPr="00F955C6" w:rsidRDefault="000923BB" w:rsidP="003A385F">
            <w:pPr>
              <w:jc w:val="both"/>
              <w:rPr>
                <w:rFonts w:cs="Arial"/>
                <w:b/>
                <w:sz w:val="20"/>
                <w:szCs w:val="20"/>
              </w:rPr>
            </w:pPr>
          </w:p>
        </w:tc>
        <w:tc>
          <w:tcPr>
            <w:tcW w:w="1800" w:type="dxa"/>
            <w:tcBorders>
              <w:bottom w:val="single" w:sz="4" w:space="0" w:color="auto"/>
            </w:tcBorders>
          </w:tcPr>
          <w:p w14:paraId="697E549C" w14:textId="77777777" w:rsidR="000923BB" w:rsidRPr="00F955C6" w:rsidRDefault="000923BB" w:rsidP="003A385F">
            <w:pPr>
              <w:jc w:val="both"/>
              <w:rPr>
                <w:rFonts w:cs="Arial"/>
                <w:b/>
                <w:sz w:val="20"/>
                <w:szCs w:val="20"/>
              </w:rPr>
            </w:pPr>
            <w:r w:rsidRPr="00F955C6">
              <w:rPr>
                <w:rFonts w:cs="Arial"/>
                <w:sz w:val="20"/>
                <w:szCs w:val="20"/>
              </w:rPr>
              <w:t xml:space="preserve">Clinical reviewer (Nurse </w:t>
            </w:r>
          </w:p>
        </w:tc>
        <w:tc>
          <w:tcPr>
            <w:tcW w:w="1620" w:type="dxa"/>
            <w:tcBorders>
              <w:bottom w:val="single" w:sz="4" w:space="0" w:color="auto"/>
            </w:tcBorders>
          </w:tcPr>
          <w:p w14:paraId="2E80D3B8" w14:textId="77777777" w:rsidR="000923BB" w:rsidRPr="00F955C6" w:rsidRDefault="000923BB" w:rsidP="003A385F">
            <w:pPr>
              <w:jc w:val="both"/>
              <w:rPr>
                <w:rFonts w:cs="Arial"/>
                <w:b/>
                <w:sz w:val="20"/>
                <w:szCs w:val="20"/>
              </w:rPr>
            </w:pPr>
            <w:r w:rsidRPr="00F955C6">
              <w:rPr>
                <w:rFonts w:cs="Arial"/>
                <w:sz w:val="20"/>
                <w:szCs w:val="20"/>
              </w:rPr>
              <w:t>Doctor 1 reviewer</w:t>
            </w:r>
          </w:p>
        </w:tc>
        <w:tc>
          <w:tcPr>
            <w:tcW w:w="1600" w:type="dxa"/>
            <w:tcBorders>
              <w:bottom w:val="single" w:sz="4" w:space="0" w:color="auto"/>
            </w:tcBorders>
          </w:tcPr>
          <w:p w14:paraId="1F46F4AA" w14:textId="77777777" w:rsidR="000923BB" w:rsidRPr="00F955C6" w:rsidRDefault="000923BB" w:rsidP="003A385F">
            <w:pPr>
              <w:jc w:val="both"/>
              <w:rPr>
                <w:rFonts w:cs="Arial"/>
                <w:b/>
                <w:sz w:val="20"/>
                <w:szCs w:val="20"/>
              </w:rPr>
            </w:pPr>
            <w:r w:rsidRPr="00F955C6">
              <w:rPr>
                <w:rFonts w:cs="Arial"/>
                <w:sz w:val="20"/>
                <w:szCs w:val="20"/>
              </w:rPr>
              <w:t>Doctor 2 reviewer</w:t>
            </w:r>
          </w:p>
        </w:tc>
      </w:tr>
      <w:tr w:rsidR="000923BB" w:rsidRPr="00F955C6" w14:paraId="611A6887" w14:textId="77777777" w:rsidTr="005B2F93">
        <w:tc>
          <w:tcPr>
            <w:tcW w:w="1620" w:type="dxa"/>
            <w:vMerge w:val="restart"/>
          </w:tcPr>
          <w:p w14:paraId="22DCF58B" w14:textId="77777777" w:rsidR="000923BB" w:rsidRPr="00F955C6" w:rsidRDefault="000923BB" w:rsidP="003A385F">
            <w:pPr>
              <w:jc w:val="both"/>
              <w:rPr>
                <w:rFonts w:cs="Arial"/>
                <w:sz w:val="20"/>
                <w:szCs w:val="20"/>
              </w:rPr>
            </w:pPr>
            <w:r w:rsidRPr="00F955C6">
              <w:rPr>
                <w:rFonts w:cs="Arial"/>
                <w:sz w:val="20"/>
                <w:szCs w:val="20"/>
              </w:rPr>
              <w:t>Admission Phase (out of 11)</w:t>
            </w:r>
          </w:p>
        </w:tc>
        <w:tc>
          <w:tcPr>
            <w:tcW w:w="1440" w:type="dxa"/>
            <w:tcBorders>
              <w:bottom w:val="nil"/>
              <w:right w:val="single" w:sz="4" w:space="0" w:color="auto"/>
            </w:tcBorders>
          </w:tcPr>
          <w:p w14:paraId="11C4A214" w14:textId="77777777" w:rsidR="000923BB" w:rsidRPr="00F955C6" w:rsidRDefault="000923BB" w:rsidP="003A385F">
            <w:pPr>
              <w:jc w:val="both"/>
              <w:rPr>
                <w:rFonts w:cs="Arial"/>
                <w:sz w:val="20"/>
                <w:szCs w:val="20"/>
              </w:rPr>
            </w:pPr>
            <w:r w:rsidRPr="00F955C6">
              <w:rPr>
                <w:rFonts w:cs="Arial"/>
                <w:sz w:val="20"/>
                <w:szCs w:val="20"/>
              </w:rPr>
              <w:t xml:space="preserve">Mean </w:t>
            </w:r>
          </w:p>
          <w:p w14:paraId="3F8A8D31" w14:textId="77777777" w:rsidR="000923BB" w:rsidRPr="00F955C6" w:rsidRDefault="000923BB" w:rsidP="003A385F">
            <w:pPr>
              <w:jc w:val="both"/>
              <w:rPr>
                <w:rFonts w:cs="Arial"/>
                <w:sz w:val="20"/>
                <w:szCs w:val="20"/>
              </w:rPr>
            </w:pPr>
            <w:r w:rsidRPr="00F955C6">
              <w:rPr>
                <w:rFonts w:cs="Arial"/>
                <w:sz w:val="20"/>
                <w:szCs w:val="20"/>
              </w:rPr>
              <w:t>(SD)</w:t>
            </w:r>
          </w:p>
        </w:tc>
        <w:tc>
          <w:tcPr>
            <w:tcW w:w="1800" w:type="dxa"/>
            <w:tcBorders>
              <w:left w:val="single" w:sz="4" w:space="0" w:color="auto"/>
              <w:bottom w:val="nil"/>
              <w:right w:val="single" w:sz="4" w:space="0" w:color="auto"/>
            </w:tcBorders>
          </w:tcPr>
          <w:p w14:paraId="415765EB" w14:textId="77777777" w:rsidR="000923BB" w:rsidRPr="00F955C6" w:rsidRDefault="000923BB" w:rsidP="003A385F">
            <w:pPr>
              <w:jc w:val="both"/>
              <w:rPr>
                <w:rFonts w:cs="Arial"/>
                <w:sz w:val="20"/>
                <w:szCs w:val="20"/>
              </w:rPr>
            </w:pPr>
            <w:r w:rsidRPr="00F955C6">
              <w:rPr>
                <w:rFonts w:cs="Arial"/>
                <w:sz w:val="20"/>
                <w:szCs w:val="20"/>
              </w:rPr>
              <w:t>9.2</w:t>
            </w:r>
          </w:p>
          <w:p w14:paraId="50EDCF66" w14:textId="77777777" w:rsidR="000923BB" w:rsidRPr="00F955C6" w:rsidRDefault="000923BB" w:rsidP="003A385F">
            <w:pPr>
              <w:jc w:val="both"/>
              <w:rPr>
                <w:rFonts w:cs="Arial"/>
                <w:sz w:val="20"/>
                <w:szCs w:val="20"/>
              </w:rPr>
            </w:pPr>
            <w:r w:rsidRPr="00F955C6">
              <w:rPr>
                <w:rFonts w:cs="Arial"/>
                <w:sz w:val="20"/>
                <w:szCs w:val="20"/>
              </w:rPr>
              <w:t>(1.2)</w:t>
            </w:r>
          </w:p>
        </w:tc>
        <w:tc>
          <w:tcPr>
            <w:tcW w:w="1620" w:type="dxa"/>
            <w:tcBorders>
              <w:left w:val="single" w:sz="4" w:space="0" w:color="auto"/>
              <w:bottom w:val="nil"/>
              <w:right w:val="single" w:sz="4" w:space="0" w:color="auto"/>
            </w:tcBorders>
          </w:tcPr>
          <w:p w14:paraId="4E3A4C87" w14:textId="77777777" w:rsidR="000923BB" w:rsidRPr="00F955C6" w:rsidRDefault="000923BB" w:rsidP="003A385F">
            <w:pPr>
              <w:jc w:val="both"/>
              <w:rPr>
                <w:rFonts w:cs="Arial"/>
                <w:sz w:val="20"/>
                <w:szCs w:val="20"/>
              </w:rPr>
            </w:pPr>
            <w:r w:rsidRPr="00F955C6">
              <w:rPr>
                <w:rFonts w:cs="Arial"/>
                <w:sz w:val="20"/>
                <w:szCs w:val="20"/>
              </w:rPr>
              <w:t>10.5</w:t>
            </w:r>
          </w:p>
          <w:p w14:paraId="2D96B408" w14:textId="77777777" w:rsidR="000923BB" w:rsidRPr="00F955C6" w:rsidRDefault="000923BB" w:rsidP="003A385F">
            <w:pPr>
              <w:jc w:val="both"/>
              <w:rPr>
                <w:rFonts w:cs="Arial"/>
                <w:sz w:val="20"/>
                <w:szCs w:val="20"/>
              </w:rPr>
            </w:pPr>
            <w:r w:rsidRPr="00F955C6">
              <w:rPr>
                <w:rFonts w:cs="Arial"/>
                <w:sz w:val="20"/>
                <w:szCs w:val="20"/>
              </w:rPr>
              <w:t>(0.6)</w:t>
            </w:r>
          </w:p>
        </w:tc>
        <w:tc>
          <w:tcPr>
            <w:tcW w:w="1600" w:type="dxa"/>
            <w:tcBorders>
              <w:left w:val="single" w:sz="4" w:space="0" w:color="auto"/>
              <w:bottom w:val="nil"/>
              <w:right w:val="single" w:sz="4" w:space="0" w:color="auto"/>
            </w:tcBorders>
          </w:tcPr>
          <w:p w14:paraId="09855A58" w14:textId="77777777" w:rsidR="000923BB" w:rsidRPr="00F955C6" w:rsidRDefault="000923BB" w:rsidP="003A385F">
            <w:pPr>
              <w:jc w:val="both"/>
              <w:rPr>
                <w:rFonts w:cs="Arial"/>
                <w:sz w:val="20"/>
                <w:szCs w:val="20"/>
              </w:rPr>
            </w:pPr>
            <w:r w:rsidRPr="00F955C6">
              <w:rPr>
                <w:rFonts w:cs="Arial"/>
                <w:sz w:val="20"/>
                <w:szCs w:val="20"/>
              </w:rPr>
              <w:t>7.8</w:t>
            </w:r>
          </w:p>
          <w:p w14:paraId="5BE7A7BA" w14:textId="77777777" w:rsidR="000923BB" w:rsidRPr="00F955C6" w:rsidRDefault="000923BB" w:rsidP="003A385F">
            <w:pPr>
              <w:jc w:val="both"/>
              <w:rPr>
                <w:rFonts w:cs="Arial"/>
                <w:sz w:val="20"/>
                <w:szCs w:val="20"/>
              </w:rPr>
            </w:pPr>
            <w:r w:rsidRPr="00F955C6">
              <w:rPr>
                <w:rFonts w:cs="Arial"/>
                <w:sz w:val="20"/>
                <w:szCs w:val="20"/>
              </w:rPr>
              <w:t>(2.3)</w:t>
            </w:r>
          </w:p>
        </w:tc>
      </w:tr>
      <w:tr w:rsidR="000923BB" w:rsidRPr="00F955C6" w14:paraId="5726443D" w14:textId="77777777" w:rsidTr="005B2F93">
        <w:tc>
          <w:tcPr>
            <w:tcW w:w="1620" w:type="dxa"/>
            <w:vMerge/>
          </w:tcPr>
          <w:p w14:paraId="4D28FAB4" w14:textId="77777777" w:rsidR="000923BB" w:rsidRPr="00F955C6" w:rsidRDefault="000923BB" w:rsidP="003A385F">
            <w:pPr>
              <w:jc w:val="both"/>
              <w:rPr>
                <w:rFonts w:cs="Arial"/>
                <w:sz w:val="20"/>
                <w:szCs w:val="20"/>
              </w:rPr>
            </w:pPr>
          </w:p>
        </w:tc>
        <w:tc>
          <w:tcPr>
            <w:tcW w:w="1440" w:type="dxa"/>
            <w:tcBorders>
              <w:top w:val="nil"/>
              <w:bottom w:val="nil"/>
              <w:right w:val="single" w:sz="4" w:space="0" w:color="auto"/>
            </w:tcBorders>
          </w:tcPr>
          <w:p w14:paraId="3826A84D" w14:textId="77777777" w:rsidR="000923BB" w:rsidRPr="00F955C6" w:rsidRDefault="000923BB" w:rsidP="003A385F">
            <w:pPr>
              <w:jc w:val="both"/>
              <w:rPr>
                <w:rFonts w:cs="Arial"/>
                <w:sz w:val="20"/>
                <w:szCs w:val="20"/>
              </w:rPr>
            </w:pPr>
            <w:r w:rsidRPr="00F955C6">
              <w:rPr>
                <w:rFonts w:cs="Arial"/>
                <w:sz w:val="20"/>
                <w:szCs w:val="20"/>
              </w:rPr>
              <w:t>Median</w:t>
            </w:r>
          </w:p>
          <w:p w14:paraId="3E1374CE" w14:textId="77777777" w:rsidR="000923BB" w:rsidRPr="00F955C6" w:rsidRDefault="000923BB" w:rsidP="003A385F">
            <w:pPr>
              <w:jc w:val="both"/>
              <w:rPr>
                <w:rFonts w:cs="Arial"/>
                <w:sz w:val="20"/>
                <w:szCs w:val="20"/>
              </w:rPr>
            </w:pPr>
            <w:r w:rsidRPr="00F955C6">
              <w:rPr>
                <w:rFonts w:cs="Arial"/>
                <w:sz w:val="20"/>
                <w:szCs w:val="20"/>
              </w:rPr>
              <w:t>(IQR)</w:t>
            </w:r>
          </w:p>
        </w:tc>
        <w:tc>
          <w:tcPr>
            <w:tcW w:w="1800" w:type="dxa"/>
            <w:tcBorders>
              <w:top w:val="nil"/>
              <w:left w:val="single" w:sz="4" w:space="0" w:color="auto"/>
              <w:bottom w:val="nil"/>
              <w:right w:val="single" w:sz="4" w:space="0" w:color="auto"/>
            </w:tcBorders>
          </w:tcPr>
          <w:p w14:paraId="0B74CCB8" w14:textId="77777777" w:rsidR="000923BB" w:rsidRPr="00F955C6" w:rsidRDefault="000923BB" w:rsidP="003A385F">
            <w:pPr>
              <w:jc w:val="both"/>
              <w:rPr>
                <w:rFonts w:cs="Arial"/>
                <w:sz w:val="20"/>
                <w:szCs w:val="20"/>
              </w:rPr>
            </w:pPr>
            <w:r w:rsidRPr="00F955C6">
              <w:rPr>
                <w:rFonts w:cs="Arial"/>
                <w:sz w:val="20"/>
                <w:szCs w:val="20"/>
              </w:rPr>
              <w:t>9.0</w:t>
            </w:r>
          </w:p>
          <w:p w14:paraId="1ADE6612" w14:textId="77777777" w:rsidR="000923BB" w:rsidRPr="00F955C6" w:rsidRDefault="000923BB" w:rsidP="003A385F">
            <w:pPr>
              <w:jc w:val="both"/>
              <w:rPr>
                <w:rFonts w:cs="Arial"/>
                <w:sz w:val="20"/>
                <w:szCs w:val="20"/>
              </w:rPr>
            </w:pPr>
            <w:r w:rsidRPr="00F955C6">
              <w:rPr>
                <w:rFonts w:cs="Arial"/>
                <w:sz w:val="20"/>
                <w:szCs w:val="20"/>
              </w:rPr>
              <w:t>(9.0 – 10.0)</w:t>
            </w:r>
          </w:p>
        </w:tc>
        <w:tc>
          <w:tcPr>
            <w:tcW w:w="1620" w:type="dxa"/>
            <w:tcBorders>
              <w:top w:val="nil"/>
              <w:left w:val="single" w:sz="4" w:space="0" w:color="auto"/>
              <w:bottom w:val="nil"/>
              <w:right w:val="single" w:sz="4" w:space="0" w:color="auto"/>
            </w:tcBorders>
          </w:tcPr>
          <w:p w14:paraId="60FE6EFE" w14:textId="77777777" w:rsidR="000923BB" w:rsidRPr="00F955C6" w:rsidRDefault="000923BB" w:rsidP="003A385F">
            <w:pPr>
              <w:jc w:val="both"/>
              <w:rPr>
                <w:rFonts w:cs="Arial"/>
                <w:sz w:val="20"/>
                <w:szCs w:val="20"/>
              </w:rPr>
            </w:pPr>
            <w:r w:rsidRPr="00F955C6">
              <w:rPr>
                <w:rFonts w:cs="Arial"/>
                <w:sz w:val="20"/>
                <w:szCs w:val="20"/>
              </w:rPr>
              <w:t>11.0</w:t>
            </w:r>
          </w:p>
          <w:p w14:paraId="1BF4F7CB" w14:textId="77777777" w:rsidR="000923BB" w:rsidRPr="00F955C6" w:rsidRDefault="000923BB" w:rsidP="003A385F">
            <w:pPr>
              <w:jc w:val="both"/>
              <w:rPr>
                <w:rFonts w:cs="Arial"/>
                <w:sz w:val="20"/>
                <w:szCs w:val="20"/>
              </w:rPr>
            </w:pPr>
            <w:r w:rsidRPr="00F955C6">
              <w:rPr>
                <w:rFonts w:cs="Arial"/>
                <w:sz w:val="20"/>
                <w:szCs w:val="20"/>
              </w:rPr>
              <w:t>(10.0 – 11.0)</w:t>
            </w:r>
          </w:p>
        </w:tc>
        <w:tc>
          <w:tcPr>
            <w:tcW w:w="1600" w:type="dxa"/>
            <w:tcBorders>
              <w:top w:val="nil"/>
              <w:left w:val="single" w:sz="4" w:space="0" w:color="auto"/>
              <w:bottom w:val="nil"/>
              <w:right w:val="single" w:sz="4" w:space="0" w:color="auto"/>
            </w:tcBorders>
          </w:tcPr>
          <w:p w14:paraId="1FD2E158" w14:textId="77777777" w:rsidR="000923BB" w:rsidRPr="00F955C6" w:rsidRDefault="000923BB" w:rsidP="003A385F">
            <w:pPr>
              <w:jc w:val="both"/>
              <w:rPr>
                <w:rFonts w:cs="Arial"/>
                <w:sz w:val="20"/>
                <w:szCs w:val="20"/>
              </w:rPr>
            </w:pPr>
            <w:r w:rsidRPr="00F955C6">
              <w:rPr>
                <w:rFonts w:cs="Arial"/>
                <w:sz w:val="20"/>
                <w:szCs w:val="20"/>
              </w:rPr>
              <w:t>8.0</w:t>
            </w:r>
          </w:p>
          <w:p w14:paraId="781BA217" w14:textId="77777777" w:rsidR="000923BB" w:rsidRPr="00F955C6" w:rsidRDefault="000923BB" w:rsidP="003A385F">
            <w:pPr>
              <w:jc w:val="both"/>
              <w:rPr>
                <w:rFonts w:cs="Arial"/>
                <w:sz w:val="20"/>
                <w:szCs w:val="20"/>
              </w:rPr>
            </w:pPr>
            <w:r w:rsidRPr="00F955C6">
              <w:rPr>
                <w:rFonts w:cs="Arial"/>
                <w:sz w:val="20"/>
                <w:szCs w:val="20"/>
              </w:rPr>
              <w:t>(6.0 – 10.0)</w:t>
            </w:r>
          </w:p>
        </w:tc>
      </w:tr>
      <w:tr w:rsidR="000923BB" w:rsidRPr="00F955C6" w14:paraId="2FA90179" w14:textId="77777777" w:rsidTr="005B2F93">
        <w:tc>
          <w:tcPr>
            <w:tcW w:w="1620" w:type="dxa"/>
            <w:vMerge/>
          </w:tcPr>
          <w:p w14:paraId="7214C9F9" w14:textId="77777777" w:rsidR="000923BB" w:rsidRPr="00F955C6" w:rsidRDefault="000923BB" w:rsidP="003A385F">
            <w:pPr>
              <w:jc w:val="both"/>
              <w:rPr>
                <w:rFonts w:cs="Arial"/>
                <w:sz w:val="20"/>
                <w:szCs w:val="20"/>
              </w:rPr>
            </w:pPr>
          </w:p>
        </w:tc>
        <w:tc>
          <w:tcPr>
            <w:tcW w:w="1440" w:type="dxa"/>
            <w:tcBorders>
              <w:top w:val="nil"/>
              <w:bottom w:val="single" w:sz="4" w:space="0" w:color="auto"/>
              <w:right w:val="single" w:sz="4" w:space="0" w:color="auto"/>
            </w:tcBorders>
          </w:tcPr>
          <w:p w14:paraId="2295524A" w14:textId="77777777" w:rsidR="000923BB" w:rsidRPr="00F955C6" w:rsidRDefault="000923BB" w:rsidP="003A385F">
            <w:pPr>
              <w:jc w:val="both"/>
              <w:rPr>
                <w:rFonts w:cs="Arial"/>
                <w:sz w:val="20"/>
                <w:szCs w:val="20"/>
              </w:rPr>
            </w:pPr>
            <w:r w:rsidRPr="00F955C6">
              <w:rPr>
                <w:rFonts w:cs="Arial"/>
                <w:sz w:val="20"/>
                <w:szCs w:val="20"/>
              </w:rPr>
              <w:t xml:space="preserve">Min – Max </w:t>
            </w:r>
          </w:p>
        </w:tc>
        <w:tc>
          <w:tcPr>
            <w:tcW w:w="1800" w:type="dxa"/>
            <w:tcBorders>
              <w:top w:val="nil"/>
              <w:left w:val="single" w:sz="4" w:space="0" w:color="auto"/>
              <w:bottom w:val="single" w:sz="4" w:space="0" w:color="auto"/>
              <w:right w:val="single" w:sz="4" w:space="0" w:color="auto"/>
            </w:tcBorders>
          </w:tcPr>
          <w:p w14:paraId="5582AC09" w14:textId="77777777" w:rsidR="000923BB" w:rsidRPr="00F955C6" w:rsidRDefault="000923BB" w:rsidP="003A385F">
            <w:pPr>
              <w:jc w:val="both"/>
              <w:rPr>
                <w:rFonts w:cs="Arial"/>
                <w:sz w:val="20"/>
                <w:szCs w:val="20"/>
              </w:rPr>
            </w:pPr>
            <w:r w:rsidRPr="00F955C6">
              <w:rPr>
                <w:rFonts w:cs="Arial"/>
                <w:sz w:val="20"/>
                <w:szCs w:val="20"/>
              </w:rPr>
              <w:t>6.0 – 11.0</w:t>
            </w:r>
          </w:p>
        </w:tc>
        <w:tc>
          <w:tcPr>
            <w:tcW w:w="1620" w:type="dxa"/>
            <w:tcBorders>
              <w:top w:val="nil"/>
              <w:left w:val="single" w:sz="4" w:space="0" w:color="auto"/>
              <w:bottom w:val="single" w:sz="4" w:space="0" w:color="auto"/>
              <w:right w:val="single" w:sz="4" w:space="0" w:color="auto"/>
            </w:tcBorders>
          </w:tcPr>
          <w:p w14:paraId="110EB63B" w14:textId="77777777" w:rsidR="000923BB" w:rsidRPr="00F955C6" w:rsidRDefault="000923BB" w:rsidP="003A385F">
            <w:pPr>
              <w:jc w:val="both"/>
              <w:rPr>
                <w:rFonts w:cs="Arial"/>
                <w:sz w:val="20"/>
                <w:szCs w:val="20"/>
              </w:rPr>
            </w:pPr>
            <w:r w:rsidRPr="00F955C6">
              <w:rPr>
                <w:rFonts w:cs="Arial"/>
                <w:sz w:val="20"/>
                <w:szCs w:val="20"/>
              </w:rPr>
              <w:t>9.0 – 11.0</w:t>
            </w:r>
          </w:p>
        </w:tc>
        <w:tc>
          <w:tcPr>
            <w:tcW w:w="1600" w:type="dxa"/>
            <w:tcBorders>
              <w:top w:val="nil"/>
              <w:left w:val="single" w:sz="4" w:space="0" w:color="auto"/>
              <w:bottom w:val="single" w:sz="4" w:space="0" w:color="auto"/>
              <w:right w:val="single" w:sz="4" w:space="0" w:color="auto"/>
            </w:tcBorders>
          </w:tcPr>
          <w:p w14:paraId="7C71AA8E" w14:textId="77777777" w:rsidR="000923BB" w:rsidRPr="00F955C6" w:rsidRDefault="000923BB" w:rsidP="003A385F">
            <w:pPr>
              <w:jc w:val="both"/>
              <w:rPr>
                <w:rFonts w:cs="Arial"/>
                <w:sz w:val="20"/>
                <w:szCs w:val="20"/>
              </w:rPr>
            </w:pPr>
            <w:r w:rsidRPr="00F955C6">
              <w:rPr>
                <w:rFonts w:cs="Arial"/>
                <w:sz w:val="20"/>
                <w:szCs w:val="20"/>
              </w:rPr>
              <w:t>3.0 – 11.0</w:t>
            </w:r>
          </w:p>
        </w:tc>
      </w:tr>
      <w:tr w:rsidR="000923BB" w:rsidRPr="00F955C6" w14:paraId="61E60FDA" w14:textId="77777777" w:rsidTr="005B2F93">
        <w:tc>
          <w:tcPr>
            <w:tcW w:w="1620" w:type="dxa"/>
            <w:vMerge w:val="restart"/>
          </w:tcPr>
          <w:p w14:paraId="01AA4A6A" w14:textId="77777777" w:rsidR="000923BB" w:rsidRPr="00F955C6" w:rsidRDefault="000923BB" w:rsidP="003A385F">
            <w:pPr>
              <w:jc w:val="both"/>
              <w:rPr>
                <w:rFonts w:cs="Arial"/>
                <w:sz w:val="20"/>
                <w:szCs w:val="20"/>
              </w:rPr>
            </w:pPr>
            <w:r w:rsidRPr="00F955C6">
              <w:rPr>
                <w:rFonts w:cs="Arial"/>
                <w:sz w:val="20"/>
                <w:szCs w:val="20"/>
              </w:rPr>
              <w:t>Initial Management Phase (out of 6)</w:t>
            </w:r>
          </w:p>
        </w:tc>
        <w:tc>
          <w:tcPr>
            <w:tcW w:w="1440" w:type="dxa"/>
            <w:tcBorders>
              <w:bottom w:val="nil"/>
              <w:right w:val="single" w:sz="4" w:space="0" w:color="auto"/>
            </w:tcBorders>
          </w:tcPr>
          <w:p w14:paraId="7CF5749C" w14:textId="77777777" w:rsidR="000923BB" w:rsidRPr="00F955C6" w:rsidRDefault="000923BB" w:rsidP="003A385F">
            <w:pPr>
              <w:jc w:val="both"/>
              <w:rPr>
                <w:rFonts w:cs="Arial"/>
                <w:sz w:val="20"/>
                <w:szCs w:val="20"/>
              </w:rPr>
            </w:pPr>
            <w:r w:rsidRPr="00F955C6">
              <w:rPr>
                <w:rFonts w:cs="Arial"/>
                <w:sz w:val="20"/>
                <w:szCs w:val="20"/>
              </w:rPr>
              <w:t xml:space="preserve">Mean </w:t>
            </w:r>
          </w:p>
          <w:p w14:paraId="6F877609" w14:textId="77777777" w:rsidR="000923BB" w:rsidRPr="00F955C6" w:rsidRDefault="000923BB" w:rsidP="003A385F">
            <w:pPr>
              <w:jc w:val="both"/>
              <w:rPr>
                <w:rFonts w:cs="Arial"/>
                <w:sz w:val="20"/>
                <w:szCs w:val="20"/>
              </w:rPr>
            </w:pPr>
            <w:r w:rsidRPr="00F955C6">
              <w:rPr>
                <w:rFonts w:cs="Arial"/>
                <w:sz w:val="20"/>
                <w:szCs w:val="20"/>
              </w:rPr>
              <w:t>(SD)</w:t>
            </w:r>
          </w:p>
        </w:tc>
        <w:tc>
          <w:tcPr>
            <w:tcW w:w="1800" w:type="dxa"/>
            <w:tcBorders>
              <w:left w:val="single" w:sz="4" w:space="0" w:color="auto"/>
              <w:bottom w:val="nil"/>
              <w:right w:val="single" w:sz="4" w:space="0" w:color="auto"/>
            </w:tcBorders>
          </w:tcPr>
          <w:p w14:paraId="3AC83C45" w14:textId="77777777" w:rsidR="000923BB" w:rsidRPr="00F955C6" w:rsidRDefault="000923BB" w:rsidP="003A385F">
            <w:pPr>
              <w:jc w:val="both"/>
              <w:rPr>
                <w:rFonts w:cs="Arial"/>
                <w:sz w:val="20"/>
                <w:szCs w:val="20"/>
              </w:rPr>
            </w:pPr>
            <w:r w:rsidRPr="00F955C6">
              <w:rPr>
                <w:rFonts w:cs="Arial"/>
                <w:sz w:val="20"/>
                <w:szCs w:val="20"/>
              </w:rPr>
              <w:t>5.2</w:t>
            </w:r>
          </w:p>
          <w:p w14:paraId="2EBCE66E" w14:textId="77777777" w:rsidR="000923BB" w:rsidRPr="00F955C6" w:rsidRDefault="000923BB" w:rsidP="003A385F">
            <w:pPr>
              <w:jc w:val="both"/>
              <w:rPr>
                <w:rFonts w:cs="Arial"/>
                <w:sz w:val="20"/>
                <w:szCs w:val="20"/>
              </w:rPr>
            </w:pPr>
            <w:r w:rsidRPr="00F955C6">
              <w:rPr>
                <w:rFonts w:cs="Arial"/>
                <w:sz w:val="20"/>
                <w:szCs w:val="20"/>
              </w:rPr>
              <w:t>(0.9)</w:t>
            </w:r>
          </w:p>
        </w:tc>
        <w:tc>
          <w:tcPr>
            <w:tcW w:w="1620" w:type="dxa"/>
            <w:tcBorders>
              <w:left w:val="single" w:sz="4" w:space="0" w:color="auto"/>
              <w:bottom w:val="nil"/>
              <w:right w:val="single" w:sz="4" w:space="0" w:color="auto"/>
            </w:tcBorders>
          </w:tcPr>
          <w:p w14:paraId="1FE0C8C1" w14:textId="77777777" w:rsidR="000923BB" w:rsidRPr="00F955C6" w:rsidRDefault="000923BB" w:rsidP="003A385F">
            <w:pPr>
              <w:jc w:val="both"/>
              <w:rPr>
                <w:rFonts w:cs="Arial"/>
                <w:sz w:val="20"/>
                <w:szCs w:val="20"/>
              </w:rPr>
            </w:pPr>
            <w:r w:rsidRPr="00F955C6">
              <w:rPr>
                <w:rFonts w:cs="Arial"/>
                <w:sz w:val="20"/>
                <w:szCs w:val="20"/>
              </w:rPr>
              <w:t>5.8</w:t>
            </w:r>
          </w:p>
          <w:p w14:paraId="0D824FD6" w14:textId="77777777" w:rsidR="000923BB" w:rsidRPr="00F955C6" w:rsidRDefault="000923BB" w:rsidP="003A385F">
            <w:pPr>
              <w:jc w:val="both"/>
              <w:rPr>
                <w:rFonts w:cs="Arial"/>
                <w:sz w:val="20"/>
                <w:szCs w:val="20"/>
              </w:rPr>
            </w:pPr>
            <w:r w:rsidRPr="00F955C6">
              <w:rPr>
                <w:rFonts w:cs="Arial"/>
                <w:sz w:val="20"/>
                <w:szCs w:val="20"/>
              </w:rPr>
              <w:t>(0.4)</w:t>
            </w:r>
          </w:p>
        </w:tc>
        <w:tc>
          <w:tcPr>
            <w:tcW w:w="1600" w:type="dxa"/>
            <w:tcBorders>
              <w:left w:val="single" w:sz="4" w:space="0" w:color="auto"/>
              <w:bottom w:val="nil"/>
              <w:right w:val="single" w:sz="4" w:space="0" w:color="auto"/>
            </w:tcBorders>
          </w:tcPr>
          <w:p w14:paraId="5B3D6F4D" w14:textId="77777777" w:rsidR="000923BB" w:rsidRPr="00F955C6" w:rsidRDefault="000923BB" w:rsidP="003A385F">
            <w:pPr>
              <w:jc w:val="both"/>
              <w:rPr>
                <w:rFonts w:cs="Arial"/>
                <w:sz w:val="20"/>
                <w:szCs w:val="20"/>
              </w:rPr>
            </w:pPr>
            <w:r w:rsidRPr="00F955C6">
              <w:rPr>
                <w:rFonts w:cs="Arial"/>
                <w:sz w:val="20"/>
                <w:szCs w:val="20"/>
              </w:rPr>
              <w:t>4.6</w:t>
            </w:r>
          </w:p>
          <w:p w14:paraId="5EE3BD67" w14:textId="77777777" w:rsidR="000923BB" w:rsidRPr="00F955C6" w:rsidRDefault="000923BB" w:rsidP="003A385F">
            <w:pPr>
              <w:jc w:val="both"/>
              <w:rPr>
                <w:rFonts w:cs="Arial"/>
                <w:sz w:val="20"/>
                <w:szCs w:val="20"/>
              </w:rPr>
            </w:pPr>
            <w:r w:rsidRPr="00F955C6">
              <w:rPr>
                <w:rFonts w:cs="Arial"/>
                <w:sz w:val="20"/>
                <w:szCs w:val="20"/>
              </w:rPr>
              <w:t>(1.2)</w:t>
            </w:r>
          </w:p>
        </w:tc>
      </w:tr>
      <w:tr w:rsidR="000923BB" w:rsidRPr="00F955C6" w14:paraId="38990D39" w14:textId="77777777" w:rsidTr="005B2F93">
        <w:tc>
          <w:tcPr>
            <w:tcW w:w="1620" w:type="dxa"/>
            <w:vMerge/>
          </w:tcPr>
          <w:p w14:paraId="51FB0C90" w14:textId="77777777" w:rsidR="000923BB" w:rsidRPr="00F955C6" w:rsidRDefault="000923BB" w:rsidP="003A385F">
            <w:pPr>
              <w:jc w:val="both"/>
              <w:rPr>
                <w:rFonts w:cs="Arial"/>
                <w:sz w:val="20"/>
                <w:szCs w:val="20"/>
              </w:rPr>
            </w:pPr>
          </w:p>
        </w:tc>
        <w:tc>
          <w:tcPr>
            <w:tcW w:w="1440" w:type="dxa"/>
            <w:tcBorders>
              <w:top w:val="nil"/>
              <w:bottom w:val="nil"/>
              <w:right w:val="single" w:sz="4" w:space="0" w:color="auto"/>
            </w:tcBorders>
          </w:tcPr>
          <w:p w14:paraId="271DDF82" w14:textId="77777777" w:rsidR="000923BB" w:rsidRPr="00F955C6" w:rsidRDefault="000923BB" w:rsidP="003A385F">
            <w:pPr>
              <w:jc w:val="both"/>
              <w:rPr>
                <w:rFonts w:cs="Arial"/>
                <w:sz w:val="20"/>
                <w:szCs w:val="20"/>
              </w:rPr>
            </w:pPr>
            <w:r w:rsidRPr="00F955C6">
              <w:rPr>
                <w:rFonts w:cs="Arial"/>
                <w:sz w:val="20"/>
                <w:szCs w:val="20"/>
              </w:rPr>
              <w:t>Median</w:t>
            </w:r>
          </w:p>
          <w:p w14:paraId="401446FB" w14:textId="77777777" w:rsidR="000923BB" w:rsidRPr="00F955C6" w:rsidRDefault="000923BB" w:rsidP="003A385F">
            <w:pPr>
              <w:jc w:val="both"/>
              <w:rPr>
                <w:rFonts w:cs="Arial"/>
                <w:sz w:val="20"/>
                <w:szCs w:val="20"/>
              </w:rPr>
            </w:pPr>
            <w:r w:rsidRPr="00F955C6">
              <w:rPr>
                <w:rFonts w:cs="Arial"/>
                <w:sz w:val="20"/>
                <w:szCs w:val="20"/>
              </w:rPr>
              <w:t>(IQR)</w:t>
            </w:r>
          </w:p>
        </w:tc>
        <w:tc>
          <w:tcPr>
            <w:tcW w:w="1800" w:type="dxa"/>
            <w:tcBorders>
              <w:top w:val="nil"/>
              <w:left w:val="single" w:sz="4" w:space="0" w:color="auto"/>
              <w:bottom w:val="nil"/>
              <w:right w:val="single" w:sz="4" w:space="0" w:color="auto"/>
            </w:tcBorders>
          </w:tcPr>
          <w:p w14:paraId="64F3F355" w14:textId="77777777" w:rsidR="000923BB" w:rsidRPr="00F955C6" w:rsidRDefault="000923BB" w:rsidP="003A385F">
            <w:pPr>
              <w:jc w:val="both"/>
              <w:rPr>
                <w:rFonts w:cs="Arial"/>
                <w:sz w:val="20"/>
                <w:szCs w:val="20"/>
              </w:rPr>
            </w:pPr>
            <w:r w:rsidRPr="00F955C6">
              <w:rPr>
                <w:rFonts w:cs="Arial"/>
                <w:sz w:val="20"/>
                <w:szCs w:val="20"/>
              </w:rPr>
              <w:t>5.0</w:t>
            </w:r>
          </w:p>
          <w:p w14:paraId="7DCAF026" w14:textId="77777777" w:rsidR="000923BB" w:rsidRPr="00F955C6" w:rsidRDefault="000923BB" w:rsidP="003A385F">
            <w:pPr>
              <w:jc w:val="both"/>
              <w:rPr>
                <w:rFonts w:cs="Arial"/>
                <w:sz w:val="20"/>
                <w:szCs w:val="20"/>
              </w:rPr>
            </w:pPr>
            <w:r w:rsidRPr="00F955C6">
              <w:rPr>
                <w:rFonts w:cs="Arial"/>
                <w:sz w:val="20"/>
                <w:szCs w:val="20"/>
              </w:rPr>
              <w:t>(5.0 – 6.0)</w:t>
            </w:r>
          </w:p>
        </w:tc>
        <w:tc>
          <w:tcPr>
            <w:tcW w:w="1620" w:type="dxa"/>
            <w:tcBorders>
              <w:top w:val="nil"/>
              <w:left w:val="single" w:sz="4" w:space="0" w:color="auto"/>
              <w:bottom w:val="nil"/>
              <w:right w:val="single" w:sz="4" w:space="0" w:color="auto"/>
            </w:tcBorders>
          </w:tcPr>
          <w:p w14:paraId="6D6BCDB3" w14:textId="77777777" w:rsidR="000923BB" w:rsidRPr="00F955C6" w:rsidRDefault="000923BB" w:rsidP="003A385F">
            <w:pPr>
              <w:jc w:val="both"/>
              <w:rPr>
                <w:rFonts w:cs="Arial"/>
                <w:sz w:val="20"/>
                <w:szCs w:val="20"/>
              </w:rPr>
            </w:pPr>
            <w:r w:rsidRPr="00F955C6">
              <w:rPr>
                <w:rFonts w:cs="Arial"/>
                <w:sz w:val="20"/>
                <w:szCs w:val="20"/>
              </w:rPr>
              <w:t>6.0</w:t>
            </w:r>
          </w:p>
          <w:p w14:paraId="5BBF3B72" w14:textId="77777777" w:rsidR="000923BB" w:rsidRPr="00F955C6" w:rsidRDefault="000923BB" w:rsidP="003A385F">
            <w:pPr>
              <w:jc w:val="both"/>
              <w:rPr>
                <w:rFonts w:cs="Arial"/>
                <w:sz w:val="20"/>
                <w:szCs w:val="20"/>
              </w:rPr>
            </w:pPr>
            <w:r w:rsidRPr="00F955C6">
              <w:rPr>
                <w:rFonts w:cs="Arial"/>
                <w:sz w:val="20"/>
                <w:szCs w:val="20"/>
              </w:rPr>
              <w:t>(6.0 – 6.0)</w:t>
            </w:r>
          </w:p>
        </w:tc>
        <w:tc>
          <w:tcPr>
            <w:tcW w:w="1600" w:type="dxa"/>
            <w:tcBorders>
              <w:top w:val="nil"/>
              <w:left w:val="single" w:sz="4" w:space="0" w:color="auto"/>
              <w:bottom w:val="nil"/>
              <w:right w:val="single" w:sz="4" w:space="0" w:color="auto"/>
            </w:tcBorders>
          </w:tcPr>
          <w:p w14:paraId="52586226" w14:textId="77777777" w:rsidR="000923BB" w:rsidRPr="00F955C6" w:rsidRDefault="000923BB" w:rsidP="003A385F">
            <w:pPr>
              <w:jc w:val="both"/>
              <w:rPr>
                <w:rFonts w:cs="Arial"/>
                <w:sz w:val="20"/>
                <w:szCs w:val="20"/>
              </w:rPr>
            </w:pPr>
            <w:r w:rsidRPr="00F955C6">
              <w:rPr>
                <w:rFonts w:cs="Arial"/>
                <w:sz w:val="20"/>
                <w:szCs w:val="20"/>
              </w:rPr>
              <w:t xml:space="preserve">5.0 </w:t>
            </w:r>
          </w:p>
          <w:p w14:paraId="23BA2E90" w14:textId="77777777" w:rsidR="000923BB" w:rsidRPr="00F955C6" w:rsidRDefault="000923BB" w:rsidP="003A385F">
            <w:pPr>
              <w:jc w:val="both"/>
              <w:rPr>
                <w:rFonts w:cs="Arial"/>
                <w:sz w:val="20"/>
                <w:szCs w:val="20"/>
              </w:rPr>
            </w:pPr>
            <w:r w:rsidRPr="00F955C6">
              <w:rPr>
                <w:rFonts w:cs="Arial"/>
                <w:sz w:val="20"/>
                <w:szCs w:val="20"/>
              </w:rPr>
              <w:t>(4.0 – 5.0)</w:t>
            </w:r>
          </w:p>
        </w:tc>
      </w:tr>
      <w:tr w:rsidR="000923BB" w:rsidRPr="00F955C6" w14:paraId="5D9C90CA" w14:textId="77777777" w:rsidTr="005B2F93">
        <w:tc>
          <w:tcPr>
            <w:tcW w:w="1620" w:type="dxa"/>
            <w:vMerge/>
          </w:tcPr>
          <w:p w14:paraId="629D2569" w14:textId="77777777" w:rsidR="000923BB" w:rsidRPr="00F955C6" w:rsidRDefault="000923BB" w:rsidP="003A385F">
            <w:pPr>
              <w:jc w:val="both"/>
              <w:rPr>
                <w:rFonts w:cs="Arial"/>
                <w:sz w:val="20"/>
                <w:szCs w:val="20"/>
              </w:rPr>
            </w:pPr>
          </w:p>
        </w:tc>
        <w:tc>
          <w:tcPr>
            <w:tcW w:w="1440" w:type="dxa"/>
            <w:tcBorders>
              <w:top w:val="nil"/>
              <w:bottom w:val="single" w:sz="4" w:space="0" w:color="auto"/>
              <w:right w:val="single" w:sz="4" w:space="0" w:color="auto"/>
            </w:tcBorders>
          </w:tcPr>
          <w:p w14:paraId="41B127F4" w14:textId="77777777" w:rsidR="000923BB" w:rsidRPr="00F955C6" w:rsidRDefault="000923BB" w:rsidP="003A385F">
            <w:pPr>
              <w:jc w:val="both"/>
              <w:rPr>
                <w:rFonts w:cs="Arial"/>
                <w:sz w:val="20"/>
                <w:szCs w:val="20"/>
              </w:rPr>
            </w:pPr>
            <w:r w:rsidRPr="00F955C6">
              <w:rPr>
                <w:rFonts w:cs="Arial"/>
                <w:sz w:val="20"/>
                <w:szCs w:val="20"/>
              </w:rPr>
              <w:t xml:space="preserve">Min – Max </w:t>
            </w:r>
          </w:p>
        </w:tc>
        <w:tc>
          <w:tcPr>
            <w:tcW w:w="1800" w:type="dxa"/>
            <w:tcBorders>
              <w:top w:val="nil"/>
              <w:left w:val="single" w:sz="4" w:space="0" w:color="auto"/>
              <w:bottom w:val="single" w:sz="4" w:space="0" w:color="auto"/>
              <w:right w:val="single" w:sz="4" w:space="0" w:color="auto"/>
            </w:tcBorders>
          </w:tcPr>
          <w:p w14:paraId="44568A51" w14:textId="77777777" w:rsidR="000923BB" w:rsidRPr="00F955C6" w:rsidRDefault="000923BB" w:rsidP="003A385F">
            <w:pPr>
              <w:jc w:val="both"/>
              <w:rPr>
                <w:rFonts w:cs="Arial"/>
                <w:sz w:val="20"/>
                <w:szCs w:val="20"/>
              </w:rPr>
            </w:pPr>
            <w:r w:rsidRPr="00F955C6">
              <w:rPr>
                <w:rFonts w:cs="Arial"/>
                <w:sz w:val="20"/>
                <w:szCs w:val="20"/>
              </w:rPr>
              <w:t>2.0 – 6.0</w:t>
            </w:r>
          </w:p>
        </w:tc>
        <w:tc>
          <w:tcPr>
            <w:tcW w:w="1620" w:type="dxa"/>
            <w:tcBorders>
              <w:top w:val="nil"/>
              <w:left w:val="single" w:sz="4" w:space="0" w:color="auto"/>
              <w:bottom w:val="single" w:sz="4" w:space="0" w:color="auto"/>
              <w:right w:val="single" w:sz="4" w:space="0" w:color="auto"/>
            </w:tcBorders>
          </w:tcPr>
          <w:p w14:paraId="470514A0" w14:textId="77777777" w:rsidR="000923BB" w:rsidRPr="00F955C6" w:rsidRDefault="000923BB" w:rsidP="003A385F">
            <w:pPr>
              <w:jc w:val="both"/>
              <w:rPr>
                <w:rFonts w:cs="Arial"/>
                <w:sz w:val="20"/>
                <w:szCs w:val="20"/>
              </w:rPr>
            </w:pPr>
            <w:r w:rsidRPr="00F955C6">
              <w:rPr>
                <w:rFonts w:cs="Arial"/>
                <w:sz w:val="20"/>
                <w:szCs w:val="20"/>
              </w:rPr>
              <w:t>5.0 – 6.0</w:t>
            </w:r>
          </w:p>
        </w:tc>
        <w:tc>
          <w:tcPr>
            <w:tcW w:w="1600" w:type="dxa"/>
            <w:tcBorders>
              <w:top w:val="nil"/>
              <w:left w:val="single" w:sz="4" w:space="0" w:color="auto"/>
              <w:bottom w:val="single" w:sz="4" w:space="0" w:color="auto"/>
              <w:right w:val="single" w:sz="4" w:space="0" w:color="auto"/>
            </w:tcBorders>
          </w:tcPr>
          <w:p w14:paraId="28F517BE" w14:textId="77777777" w:rsidR="000923BB" w:rsidRPr="00F955C6" w:rsidRDefault="000923BB" w:rsidP="003A385F">
            <w:pPr>
              <w:jc w:val="both"/>
              <w:rPr>
                <w:rFonts w:cs="Arial"/>
                <w:sz w:val="20"/>
                <w:szCs w:val="20"/>
              </w:rPr>
            </w:pPr>
            <w:r w:rsidRPr="00F955C6">
              <w:rPr>
                <w:rFonts w:cs="Arial"/>
                <w:sz w:val="20"/>
                <w:szCs w:val="20"/>
              </w:rPr>
              <w:t>1.0 – 6.0)</w:t>
            </w:r>
          </w:p>
        </w:tc>
      </w:tr>
      <w:tr w:rsidR="000923BB" w:rsidRPr="00F955C6" w14:paraId="5808A222" w14:textId="77777777" w:rsidTr="005B2F93">
        <w:tc>
          <w:tcPr>
            <w:tcW w:w="1620" w:type="dxa"/>
            <w:vMerge w:val="restart"/>
          </w:tcPr>
          <w:p w14:paraId="5A6B7B22" w14:textId="77777777" w:rsidR="000923BB" w:rsidRPr="00F955C6" w:rsidRDefault="000923BB" w:rsidP="003A385F">
            <w:pPr>
              <w:jc w:val="both"/>
              <w:rPr>
                <w:rFonts w:cs="Arial"/>
                <w:sz w:val="20"/>
                <w:szCs w:val="20"/>
              </w:rPr>
            </w:pPr>
            <w:r w:rsidRPr="00F955C6">
              <w:rPr>
                <w:rFonts w:cs="Arial"/>
                <w:sz w:val="20"/>
                <w:szCs w:val="20"/>
              </w:rPr>
              <w:t>Pre-discharge phase (out of 16)</w:t>
            </w:r>
          </w:p>
        </w:tc>
        <w:tc>
          <w:tcPr>
            <w:tcW w:w="1440" w:type="dxa"/>
            <w:tcBorders>
              <w:bottom w:val="nil"/>
              <w:right w:val="single" w:sz="4" w:space="0" w:color="auto"/>
            </w:tcBorders>
          </w:tcPr>
          <w:p w14:paraId="685FBAD0" w14:textId="77777777" w:rsidR="000923BB" w:rsidRPr="00F955C6" w:rsidRDefault="000923BB" w:rsidP="003A385F">
            <w:pPr>
              <w:jc w:val="both"/>
              <w:rPr>
                <w:rFonts w:cs="Arial"/>
                <w:sz w:val="20"/>
                <w:szCs w:val="20"/>
              </w:rPr>
            </w:pPr>
            <w:r w:rsidRPr="00F955C6">
              <w:rPr>
                <w:rFonts w:cs="Arial"/>
                <w:sz w:val="20"/>
                <w:szCs w:val="20"/>
              </w:rPr>
              <w:t xml:space="preserve">Mean </w:t>
            </w:r>
          </w:p>
          <w:p w14:paraId="3B8EBA3E" w14:textId="77777777" w:rsidR="000923BB" w:rsidRPr="00F955C6" w:rsidRDefault="000923BB" w:rsidP="003A385F">
            <w:pPr>
              <w:jc w:val="both"/>
              <w:rPr>
                <w:rFonts w:cs="Arial"/>
                <w:sz w:val="20"/>
                <w:szCs w:val="20"/>
              </w:rPr>
            </w:pPr>
            <w:r w:rsidRPr="00F955C6">
              <w:rPr>
                <w:rFonts w:cs="Arial"/>
                <w:sz w:val="20"/>
                <w:szCs w:val="20"/>
              </w:rPr>
              <w:t>(SD)</w:t>
            </w:r>
          </w:p>
        </w:tc>
        <w:tc>
          <w:tcPr>
            <w:tcW w:w="1800" w:type="dxa"/>
            <w:tcBorders>
              <w:left w:val="single" w:sz="4" w:space="0" w:color="auto"/>
              <w:bottom w:val="nil"/>
              <w:right w:val="single" w:sz="4" w:space="0" w:color="auto"/>
            </w:tcBorders>
          </w:tcPr>
          <w:p w14:paraId="6D8BBFF3" w14:textId="77777777" w:rsidR="000923BB" w:rsidRPr="00F955C6" w:rsidRDefault="000923BB" w:rsidP="003A385F">
            <w:pPr>
              <w:jc w:val="both"/>
              <w:rPr>
                <w:rFonts w:cs="Arial"/>
                <w:sz w:val="20"/>
                <w:szCs w:val="20"/>
              </w:rPr>
            </w:pPr>
            <w:r w:rsidRPr="00F955C6">
              <w:rPr>
                <w:rFonts w:cs="Arial"/>
                <w:sz w:val="20"/>
                <w:szCs w:val="20"/>
              </w:rPr>
              <w:t>13.5</w:t>
            </w:r>
          </w:p>
          <w:p w14:paraId="254FCEE8" w14:textId="77777777" w:rsidR="000923BB" w:rsidRPr="00F955C6" w:rsidRDefault="000923BB" w:rsidP="003A385F">
            <w:pPr>
              <w:jc w:val="both"/>
              <w:rPr>
                <w:rFonts w:cs="Arial"/>
                <w:sz w:val="20"/>
                <w:szCs w:val="20"/>
              </w:rPr>
            </w:pPr>
            <w:r w:rsidRPr="00F955C6">
              <w:rPr>
                <w:rFonts w:cs="Arial"/>
                <w:sz w:val="20"/>
                <w:szCs w:val="20"/>
              </w:rPr>
              <w:t>(1.3)</w:t>
            </w:r>
          </w:p>
        </w:tc>
        <w:tc>
          <w:tcPr>
            <w:tcW w:w="1620" w:type="dxa"/>
            <w:tcBorders>
              <w:left w:val="single" w:sz="4" w:space="0" w:color="auto"/>
              <w:bottom w:val="nil"/>
              <w:right w:val="single" w:sz="4" w:space="0" w:color="auto"/>
            </w:tcBorders>
          </w:tcPr>
          <w:p w14:paraId="01C1570D" w14:textId="77777777" w:rsidR="000923BB" w:rsidRPr="00F955C6" w:rsidRDefault="000923BB" w:rsidP="003A385F">
            <w:pPr>
              <w:jc w:val="both"/>
              <w:rPr>
                <w:rFonts w:cs="Arial"/>
                <w:sz w:val="20"/>
                <w:szCs w:val="20"/>
              </w:rPr>
            </w:pPr>
            <w:r w:rsidRPr="00F955C6">
              <w:rPr>
                <w:rFonts w:cs="Arial"/>
                <w:sz w:val="20"/>
                <w:szCs w:val="20"/>
              </w:rPr>
              <w:t>15.2</w:t>
            </w:r>
          </w:p>
          <w:p w14:paraId="71354D1C" w14:textId="77777777" w:rsidR="000923BB" w:rsidRPr="00F955C6" w:rsidRDefault="000923BB" w:rsidP="003A385F">
            <w:pPr>
              <w:jc w:val="both"/>
              <w:rPr>
                <w:rFonts w:cs="Arial"/>
                <w:sz w:val="20"/>
                <w:szCs w:val="20"/>
              </w:rPr>
            </w:pPr>
            <w:r w:rsidRPr="00F955C6">
              <w:rPr>
                <w:rFonts w:cs="Arial"/>
                <w:sz w:val="20"/>
                <w:szCs w:val="20"/>
              </w:rPr>
              <w:t>(1.9)</w:t>
            </w:r>
          </w:p>
        </w:tc>
        <w:tc>
          <w:tcPr>
            <w:tcW w:w="1600" w:type="dxa"/>
            <w:tcBorders>
              <w:left w:val="single" w:sz="4" w:space="0" w:color="auto"/>
              <w:bottom w:val="nil"/>
              <w:right w:val="single" w:sz="4" w:space="0" w:color="auto"/>
            </w:tcBorders>
          </w:tcPr>
          <w:p w14:paraId="24DC1EA4" w14:textId="77777777" w:rsidR="000923BB" w:rsidRPr="00F955C6" w:rsidRDefault="000923BB" w:rsidP="003A385F">
            <w:pPr>
              <w:jc w:val="both"/>
              <w:rPr>
                <w:rFonts w:cs="Arial"/>
                <w:sz w:val="20"/>
                <w:szCs w:val="20"/>
              </w:rPr>
            </w:pPr>
            <w:r w:rsidRPr="00F955C6">
              <w:rPr>
                <w:rFonts w:cs="Arial"/>
                <w:sz w:val="20"/>
                <w:szCs w:val="20"/>
              </w:rPr>
              <w:t>10.1</w:t>
            </w:r>
          </w:p>
          <w:p w14:paraId="2B904089" w14:textId="77777777" w:rsidR="000923BB" w:rsidRPr="00F955C6" w:rsidRDefault="000923BB" w:rsidP="003A385F">
            <w:pPr>
              <w:jc w:val="both"/>
              <w:rPr>
                <w:rFonts w:cs="Arial"/>
                <w:sz w:val="20"/>
                <w:szCs w:val="20"/>
              </w:rPr>
            </w:pPr>
            <w:r w:rsidRPr="00F955C6">
              <w:rPr>
                <w:rFonts w:cs="Arial"/>
                <w:sz w:val="20"/>
                <w:szCs w:val="20"/>
              </w:rPr>
              <w:t>(2.8)</w:t>
            </w:r>
          </w:p>
        </w:tc>
      </w:tr>
      <w:tr w:rsidR="000923BB" w:rsidRPr="00F955C6" w14:paraId="2FB0D705" w14:textId="77777777" w:rsidTr="005B2F93">
        <w:tc>
          <w:tcPr>
            <w:tcW w:w="1620" w:type="dxa"/>
            <w:vMerge/>
          </w:tcPr>
          <w:p w14:paraId="5E40CE70" w14:textId="77777777" w:rsidR="000923BB" w:rsidRPr="00F955C6" w:rsidRDefault="000923BB" w:rsidP="003A385F">
            <w:pPr>
              <w:jc w:val="both"/>
              <w:rPr>
                <w:rFonts w:cs="Arial"/>
                <w:sz w:val="20"/>
                <w:szCs w:val="20"/>
              </w:rPr>
            </w:pPr>
          </w:p>
        </w:tc>
        <w:tc>
          <w:tcPr>
            <w:tcW w:w="1440" w:type="dxa"/>
            <w:tcBorders>
              <w:top w:val="nil"/>
              <w:bottom w:val="nil"/>
              <w:right w:val="single" w:sz="4" w:space="0" w:color="auto"/>
            </w:tcBorders>
          </w:tcPr>
          <w:p w14:paraId="773C8197" w14:textId="77777777" w:rsidR="000923BB" w:rsidRPr="00F955C6" w:rsidRDefault="000923BB" w:rsidP="003A385F">
            <w:pPr>
              <w:jc w:val="both"/>
              <w:rPr>
                <w:rFonts w:cs="Arial"/>
                <w:sz w:val="20"/>
                <w:szCs w:val="20"/>
              </w:rPr>
            </w:pPr>
            <w:r w:rsidRPr="00F955C6">
              <w:rPr>
                <w:rFonts w:cs="Arial"/>
                <w:sz w:val="20"/>
                <w:szCs w:val="20"/>
              </w:rPr>
              <w:t>Median</w:t>
            </w:r>
          </w:p>
          <w:p w14:paraId="67447510" w14:textId="77777777" w:rsidR="000923BB" w:rsidRPr="00F955C6" w:rsidRDefault="000923BB" w:rsidP="003A385F">
            <w:pPr>
              <w:jc w:val="both"/>
              <w:rPr>
                <w:rFonts w:cs="Arial"/>
                <w:sz w:val="20"/>
                <w:szCs w:val="20"/>
              </w:rPr>
            </w:pPr>
            <w:r w:rsidRPr="00F955C6">
              <w:rPr>
                <w:rFonts w:cs="Arial"/>
                <w:sz w:val="20"/>
                <w:szCs w:val="20"/>
              </w:rPr>
              <w:t>(IQR)</w:t>
            </w:r>
          </w:p>
        </w:tc>
        <w:tc>
          <w:tcPr>
            <w:tcW w:w="1800" w:type="dxa"/>
            <w:tcBorders>
              <w:top w:val="nil"/>
              <w:left w:val="single" w:sz="4" w:space="0" w:color="auto"/>
              <w:bottom w:val="nil"/>
              <w:right w:val="single" w:sz="4" w:space="0" w:color="auto"/>
            </w:tcBorders>
          </w:tcPr>
          <w:p w14:paraId="484BE6B7" w14:textId="77777777" w:rsidR="000923BB" w:rsidRPr="00F955C6" w:rsidRDefault="000923BB" w:rsidP="003A385F">
            <w:pPr>
              <w:jc w:val="both"/>
              <w:rPr>
                <w:rFonts w:cs="Arial"/>
                <w:sz w:val="20"/>
                <w:szCs w:val="20"/>
              </w:rPr>
            </w:pPr>
            <w:r w:rsidRPr="00F955C6">
              <w:rPr>
                <w:rFonts w:cs="Arial"/>
                <w:sz w:val="20"/>
                <w:szCs w:val="20"/>
              </w:rPr>
              <w:t>13.0</w:t>
            </w:r>
          </w:p>
          <w:p w14:paraId="22DED6A5" w14:textId="77777777" w:rsidR="000923BB" w:rsidRPr="00F955C6" w:rsidRDefault="000923BB" w:rsidP="003A385F">
            <w:pPr>
              <w:jc w:val="both"/>
              <w:rPr>
                <w:rFonts w:cs="Arial"/>
                <w:sz w:val="20"/>
                <w:szCs w:val="20"/>
              </w:rPr>
            </w:pPr>
            <w:r w:rsidRPr="00F955C6">
              <w:rPr>
                <w:rFonts w:cs="Arial"/>
                <w:sz w:val="20"/>
                <w:szCs w:val="20"/>
              </w:rPr>
              <w:t>(13.0 – 14.5)</w:t>
            </w:r>
          </w:p>
        </w:tc>
        <w:tc>
          <w:tcPr>
            <w:tcW w:w="1620" w:type="dxa"/>
            <w:tcBorders>
              <w:top w:val="nil"/>
              <w:left w:val="single" w:sz="4" w:space="0" w:color="auto"/>
              <w:bottom w:val="nil"/>
              <w:right w:val="single" w:sz="4" w:space="0" w:color="auto"/>
            </w:tcBorders>
          </w:tcPr>
          <w:p w14:paraId="59DD3B73" w14:textId="77777777" w:rsidR="000923BB" w:rsidRPr="00F955C6" w:rsidRDefault="000923BB" w:rsidP="003A385F">
            <w:pPr>
              <w:jc w:val="both"/>
              <w:rPr>
                <w:rFonts w:cs="Arial"/>
                <w:sz w:val="20"/>
                <w:szCs w:val="20"/>
              </w:rPr>
            </w:pPr>
            <w:r w:rsidRPr="00F955C6">
              <w:rPr>
                <w:rFonts w:cs="Arial"/>
                <w:sz w:val="20"/>
                <w:szCs w:val="20"/>
              </w:rPr>
              <w:t>16.0</w:t>
            </w:r>
          </w:p>
          <w:p w14:paraId="173E9DDF" w14:textId="77777777" w:rsidR="000923BB" w:rsidRPr="00F955C6" w:rsidRDefault="000923BB" w:rsidP="003A385F">
            <w:pPr>
              <w:jc w:val="both"/>
              <w:rPr>
                <w:rFonts w:cs="Arial"/>
                <w:sz w:val="20"/>
                <w:szCs w:val="20"/>
              </w:rPr>
            </w:pPr>
            <w:r w:rsidRPr="00F955C6">
              <w:rPr>
                <w:rFonts w:cs="Arial"/>
                <w:sz w:val="20"/>
                <w:szCs w:val="20"/>
              </w:rPr>
              <w:t>(15.0 – 16.0)</w:t>
            </w:r>
          </w:p>
        </w:tc>
        <w:tc>
          <w:tcPr>
            <w:tcW w:w="1600" w:type="dxa"/>
            <w:tcBorders>
              <w:top w:val="nil"/>
              <w:left w:val="single" w:sz="4" w:space="0" w:color="auto"/>
              <w:bottom w:val="nil"/>
              <w:right w:val="single" w:sz="4" w:space="0" w:color="auto"/>
            </w:tcBorders>
          </w:tcPr>
          <w:p w14:paraId="583B277C" w14:textId="77777777" w:rsidR="000923BB" w:rsidRPr="00F955C6" w:rsidRDefault="000923BB" w:rsidP="003A385F">
            <w:pPr>
              <w:jc w:val="both"/>
              <w:rPr>
                <w:rFonts w:cs="Arial"/>
                <w:sz w:val="20"/>
                <w:szCs w:val="20"/>
              </w:rPr>
            </w:pPr>
            <w:r w:rsidRPr="00F955C6">
              <w:rPr>
                <w:rFonts w:cs="Arial"/>
                <w:sz w:val="20"/>
                <w:szCs w:val="20"/>
              </w:rPr>
              <w:t>10.0</w:t>
            </w:r>
          </w:p>
          <w:p w14:paraId="7066B814" w14:textId="77777777" w:rsidR="000923BB" w:rsidRPr="00F955C6" w:rsidRDefault="000923BB" w:rsidP="003A385F">
            <w:pPr>
              <w:jc w:val="both"/>
              <w:rPr>
                <w:rFonts w:cs="Arial"/>
                <w:sz w:val="20"/>
                <w:szCs w:val="20"/>
              </w:rPr>
            </w:pPr>
            <w:r w:rsidRPr="00F955C6">
              <w:rPr>
                <w:rFonts w:cs="Arial"/>
                <w:sz w:val="20"/>
                <w:szCs w:val="20"/>
              </w:rPr>
              <w:t>(8.0 – 12.0)</w:t>
            </w:r>
          </w:p>
        </w:tc>
      </w:tr>
      <w:tr w:rsidR="000923BB" w:rsidRPr="00F955C6" w14:paraId="7A7114C2" w14:textId="77777777" w:rsidTr="005B2F93">
        <w:tc>
          <w:tcPr>
            <w:tcW w:w="1620" w:type="dxa"/>
            <w:vMerge/>
          </w:tcPr>
          <w:p w14:paraId="2E35A91E" w14:textId="77777777" w:rsidR="000923BB" w:rsidRPr="00F955C6" w:rsidRDefault="000923BB" w:rsidP="003A385F">
            <w:pPr>
              <w:jc w:val="both"/>
              <w:rPr>
                <w:rFonts w:cs="Arial"/>
                <w:sz w:val="20"/>
                <w:szCs w:val="20"/>
              </w:rPr>
            </w:pPr>
          </w:p>
        </w:tc>
        <w:tc>
          <w:tcPr>
            <w:tcW w:w="1440" w:type="dxa"/>
            <w:tcBorders>
              <w:top w:val="nil"/>
              <w:bottom w:val="single" w:sz="4" w:space="0" w:color="auto"/>
              <w:right w:val="single" w:sz="4" w:space="0" w:color="auto"/>
            </w:tcBorders>
          </w:tcPr>
          <w:p w14:paraId="5BA5B69E" w14:textId="77777777" w:rsidR="000923BB" w:rsidRPr="00F955C6" w:rsidRDefault="000923BB" w:rsidP="003A385F">
            <w:pPr>
              <w:jc w:val="both"/>
              <w:rPr>
                <w:rFonts w:cs="Arial"/>
                <w:sz w:val="20"/>
                <w:szCs w:val="20"/>
              </w:rPr>
            </w:pPr>
            <w:r w:rsidRPr="00F955C6">
              <w:rPr>
                <w:rFonts w:cs="Arial"/>
                <w:sz w:val="20"/>
                <w:szCs w:val="20"/>
              </w:rPr>
              <w:t xml:space="preserve">Min – Max </w:t>
            </w:r>
          </w:p>
        </w:tc>
        <w:tc>
          <w:tcPr>
            <w:tcW w:w="1800" w:type="dxa"/>
            <w:tcBorders>
              <w:top w:val="nil"/>
              <w:left w:val="single" w:sz="4" w:space="0" w:color="auto"/>
              <w:bottom w:val="single" w:sz="4" w:space="0" w:color="auto"/>
              <w:right w:val="single" w:sz="4" w:space="0" w:color="auto"/>
            </w:tcBorders>
          </w:tcPr>
          <w:p w14:paraId="7F5BB99D" w14:textId="77777777" w:rsidR="000923BB" w:rsidRPr="00F955C6" w:rsidRDefault="000923BB" w:rsidP="003A385F">
            <w:pPr>
              <w:jc w:val="both"/>
              <w:rPr>
                <w:rFonts w:cs="Arial"/>
                <w:sz w:val="20"/>
                <w:szCs w:val="20"/>
              </w:rPr>
            </w:pPr>
            <w:r w:rsidRPr="00F955C6">
              <w:rPr>
                <w:rFonts w:cs="Arial"/>
                <w:sz w:val="20"/>
                <w:szCs w:val="20"/>
              </w:rPr>
              <w:t>11.0 – 16.0</w:t>
            </w:r>
          </w:p>
        </w:tc>
        <w:tc>
          <w:tcPr>
            <w:tcW w:w="1620" w:type="dxa"/>
            <w:tcBorders>
              <w:top w:val="nil"/>
              <w:left w:val="single" w:sz="4" w:space="0" w:color="auto"/>
              <w:bottom w:val="single" w:sz="4" w:space="0" w:color="auto"/>
              <w:right w:val="single" w:sz="4" w:space="0" w:color="auto"/>
            </w:tcBorders>
          </w:tcPr>
          <w:p w14:paraId="7CECC3A7" w14:textId="77777777" w:rsidR="000923BB" w:rsidRPr="00F955C6" w:rsidRDefault="000923BB" w:rsidP="003A385F">
            <w:pPr>
              <w:jc w:val="both"/>
              <w:rPr>
                <w:rFonts w:cs="Arial"/>
                <w:sz w:val="20"/>
                <w:szCs w:val="20"/>
              </w:rPr>
            </w:pPr>
            <w:r w:rsidRPr="00F955C6">
              <w:rPr>
                <w:rFonts w:cs="Arial"/>
                <w:sz w:val="20"/>
                <w:szCs w:val="20"/>
              </w:rPr>
              <w:t>5.0 – 16.0</w:t>
            </w:r>
          </w:p>
        </w:tc>
        <w:tc>
          <w:tcPr>
            <w:tcW w:w="1600" w:type="dxa"/>
            <w:tcBorders>
              <w:top w:val="nil"/>
              <w:left w:val="single" w:sz="4" w:space="0" w:color="auto"/>
              <w:bottom w:val="single" w:sz="4" w:space="0" w:color="auto"/>
              <w:right w:val="single" w:sz="4" w:space="0" w:color="auto"/>
            </w:tcBorders>
          </w:tcPr>
          <w:p w14:paraId="221AD52E" w14:textId="77777777" w:rsidR="000923BB" w:rsidRPr="00F955C6" w:rsidRDefault="000923BB" w:rsidP="003A385F">
            <w:pPr>
              <w:jc w:val="both"/>
              <w:rPr>
                <w:rFonts w:cs="Arial"/>
                <w:sz w:val="20"/>
                <w:szCs w:val="20"/>
              </w:rPr>
            </w:pPr>
            <w:r w:rsidRPr="00F955C6">
              <w:rPr>
                <w:rFonts w:cs="Arial"/>
                <w:sz w:val="20"/>
                <w:szCs w:val="20"/>
              </w:rPr>
              <w:t>4.0 – 16.0</w:t>
            </w:r>
          </w:p>
        </w:tc>
      </w:tr>
      <w:tr w:rsidR="000923BB" w:rsidRPr="00F955C6" w14:paraId="208BD8E2" w14:textId="77777777" w:rsidTr="005B2F93">
        <w:tc>
          <w:tcPr>
            <w:tcW w:w="1620" w:type="dxa"/>
            <w:vMerge w:val="restart"/>
          </w:tcPr>
          <w:p w14:paraId="5F364884" w14:textId="77777777" w:rsidR="000923BB" w:rsidRPr="00F955C6" w:rsidRDefault="000923BB" w:rsidP="003A385F">
            <w:pPr>
              <w:jc w:val="both"/>
              <w:rPr>
                <w:rFonts w:cs="Arial"/>
                <w:sz w:val="20"/>
                <w:szCs w:val="20"/>
              </w:rPr>
            </w:pPr>
            <w:r w:rsidRPr="00F955C6">
              <w:rPr>
                <w:rFonts w:cs="Arial"/>
                <w:sz w:val="20"/>
                <w:szCs w:val="20"/>
              </w:rPr>
              <w:t>Total score (sum of all phases, max 33)</w:t>
            </w:r>
          </w:p>
        </w:tc>
        <w:tc>
          <w:tcPr>
            <w:tcW w:w="1440" w:type="dxa"/>
            <w:tcBorders>
              <w:bottom w:val="nil"/>
              <w:right w:val="single" w:sz="4" w:space="0" w:color="auto"/>
            </w:tcBorders>
          </w:tcPr>
          <w:p w14:paraId="4088DB7A" w14:textId="77777777" w:rsidR="000923BB" w:rsidRPr="00F955C6" w:rsidRDefault="000923BB" w:rsidP="003A385F">
            <w:pPr>
              <w:jc w:val="both"/>
              <w:rPr>
                <w:rFonts w:cs="Arial"/>
                <w:sz w:val="20"/>
                <w:szCs w:val="20"/>
              </w:rPr>
            </w:pPr>
            <w:r w:rsidRPr="00F955C6">
              <w:rPr>
                <w:rFonts w:cs="Arial"/>
                <w:sz w:val="20"/>
                <w:szCs w:val="20"/>
              </w:rPr>
              <w:t xml:space="preserve">Mean </w:t>
            </w:r>
          </w:p>
          <w:p w14:paraId="5D58A3E5" w14:textId="77777777" w:rsidR="000923BB" w:rsidRPr="00F955C6" w:rsidRDefault="000923BB" w:rsidP="003A385F">
            <w:pPr>
              <w:jc w:val="both"/>
              <w:rPr>
                <w:rFonts w:cs="Arial"/>
                <w:sz w:val="20"/>
                <w:szCs w:val="20"/>
              </w:rPr>
            </w:pPr>
            <w:r w:rsidRPr="00F955C6">
              <w:rPr>
                <w:rFonts w:cs="Arial"/>
                <w:sz w:val="20"/>
                <w:szCs w:val="20"/>
              </w:rPr>
              <w:t>(SD)</w:t>
            </w:r>
          </w:p>
        </w:tc>
        <w:tc>
          <w:tcPr>
            <w:tcW w:w="1800" w:type="dxa"/>
            <w:tcBorders>
              <w:left w:val="single" w:sz="4" w:space="0" w:color="auto"/>
              <w:bottom w:val="nil"/>
              <w:right w:val="single" w:sz="4" w:space="0" w:color="auto"/>
            </w:tcBorders>
          </w:tcPr>
          <w:p w14:paraId="2C947A75" w14:textId="77777777" w:rsidR="000923BB" w:rsidRPr="00F955C6" w:rsidRDefault="000923BB" w:rsidP="003A385F">
            <w:pPr>
              <w:jc w:val="both"/>
              <w:rPr>
                <w:rFonts w:cs="Arial"/>
                <w:sz w:val="20"/>
                <w:szCs w:val="20"/>
              </w:rPr>
            </w:pPr>
            <w:r w:rsidRPr="00F955C6">
              <w:rPr>
                <w:rFonts w:cs="Arial"/>
                <w:sz w:val="20"/>
                <w:szCs w:val="20"/>
              </w:rPr>
              <w:t>28.0</w:t>
            </w:r>
          </w:p>
          <w:p w14:paraId="572AB46B" w14:textId="77777777" w:rsidR="000923BB" w:rsidRPr="00F955C6" w:rsidRDefault="000923BB" w:rsidP="003A385F">
            <w:pPr>
              <w:jc w:val="both"/>
              <w:rPr>
                <w:rFonts w:cs="Arial"/>
                <w:sz w:val="20"/>
                <w:szCs w:val="20"/>
              </w:rPr>
            </w:pPr>
            <w:r w:rsidRPr="00F955C6">
              <w:rPr>
                <w:rFonts w:cs="Arial"/>
                <w:sz w:val="20"/>
                <w:szCs w:val="20"/>
              </w:rPr>
              <w:t>(2.3)</w:t>
            </w:r>
          </w:p>
        </w:tc>
        <w:tc>
          <w:tcPr>
            <w:tcW w:w="1620" w:type="dxa"/>
            <w:tcBorders>
              <w:left w:val="single" w:sz="4" w:space="0" w:color="auto"/>
              <w:bottom w:val="nil"/>
              <w:right w:val="single" w:sz="4" w:space="0" w:color="auto"/>
            </w:tcBorders>
          </w:tcPr>
          <w:p w14:paraId="1C584584" w14:textId="77777777" w:rsidR="000923BB" w:rsidRPr="00F955C6" w:rsidRDefault="000923BB" w:rsidP="003A385F">
            <w:pPr>
              <w:jc w:val="both"/>
              <w:rPr>
                <w:rFonts w:cs="Arial"/>
                <w:sz w:val="20"/>
                <w:szCs w:val="20"/>
              </w:rPr>
            </w:pPr>
            <w:r w:rsidRPr="00F955C6">
              <w:rPr>
                <w:rFonts w:cs="Arial"/>
                <w:sz w:val="20"/>
                <w:szCs w:val="20"/>
              </w:rPr>
              <w:t>31.2</w:t>
            </w:r>
          </w:p>
          <w:p w14:paraId="016F87DD" w14:textId="77777777" w:rsidR="000923BB" w:rsidRPr="00F955C6" w:rsidRDefault="000923BB" w:rsidP="003A385F">
            <w:pPr>
              <w:jc w:val="both"/>
              <w:rPr>
                <w:rFonts w:cs="Arial"/>
                <w:sz w:val="20"/>
                <w:szCs w:val="20"/>
              </w:rPr>
            </w:pPr>
            <w:r w:rsidRPr="00F955C6">
              <w:rPr>
                <w:rFonts w:cs="Arial"/>
                <w:sz w:val="20"/>
                <w:szCs w:val="20"/>
              </w:rPr>
              <w:t>(2.0)</w:t>
            </w:r>
          </w:p>
        </w:tc>
        <w:tc>
          <w:tcPr>
            <w:tcW w:w="1600" w:type="dxa"/>
            <w:tcBorders>
              <w:left w:val="single" w:sz="4" w:space="0" w:color="auto"/>
              <w:bottom w:val="nil"/>
              <w:right w:val="single" w:sz="4" w:space="0" w:color="auto"/>
            </w:tcBorders>
          </w:tcPr>
          <w:p w14:paraId="2EBBD186" w14:textId="77777777" w:rsidR="000923BB" w:rsidRPr="00F955C6" w:rsidRDefault="000923BB" w:rsidP="003A385F">
            <w:pPr>
              <w:jc w:val="both"/>
              <w:rPr>
                <w:rFonts w:cs="Arial"/>
                <w:sz w:val="20"/>
                <w:szCs w:val="20"/>
              </w:rPr>
            </w:pPr>
            <w:r w:rsidRPr="00F955C6">
              <w:rPr>
                <w:rFonts w:cs="Arial"/>
                <w:sz w:val="20"/>
                <w:szCs w:val="20"/>
              </w:rPr>
              <w:t>22.6</w:t>
            </w:r>
          </w:p>
          <w:p w14:paraId="7661C9E9" w14:textId="77777777" w:rsidR="000923BB" w:rsidRPr="00F955C6" w:rsidRDefault="000923BB" w:rsidP="003A385F">
            <w:pPr>
              <w:jc w:val="both"/>
              <w:rPr>
                <w:rFonts w:cs="Arial"/>
                <w:sz w:val="20"/>
                <w:szCs w:val="20"/>
              </w:rPr>
            </w:pPr>
            <w:r w:rsidRPr="00F955C6">
              <w:rPr>
                <w:rFonts w:cs="Arial"/>
                <w:sz w:val="20"/>
                <w:szCs w:val="20"/>
              </w:rPr>
              <w:t>(4.5)</w:t>
            </w:r>
          </w:p>
        </w:tc>
      </w:tr>
      <w:tr w:rsidR="000923BB" w:rsidRPr="00F955C6" w14:paraId="195B482C" w14:textId="77777777" w:rsidTr="005B2F93">
        <w:tc>
          <w:tcPr>
            <w:tcW w:w="1620" w:type="dxa"/>
            <w:vMerge/>
          </w:tcPr>
          <w:p w14:paraId="300C2142" w14:textId="77777777" w:rsidR="000923BB" w:rsidRPr="00F955C6" w:rsidRDefault="000923BB" w:rsidP="003A385F">
            <w:pPr>
              <w:jc w:val="both"/>
              <w:rPr>
                <w:rFonts w:cs="Arial"/>
                <w:sz w:val="20"/>
                <w:szCs w:val="20"/>
              </w:rPr>
            </w:pPr>
          </w:p>
        </w:tc>
        <w:tc>
          <w:tcPr>
            <w:tcW w:w="1440" w:type="dxa"/>
            <w:tcBorders>
              <w:top w:val="nil"/>
              <w:bottom w:val="nil"/>
              <w:right w:val="single" w:sz="4" w:space="0" w:color="auto"/>
            </w:tcBorders>
          </w:tcPr>
          <w:p w14:paraId="5C649B92" w14:textId="77777777" w:rsidR="000923BB" w:rsidRPr="00F955C6" w:rsidRDefault="000923BB" w:rsidP="003A385F">
            <w:pPr>
              <w:jc w:val="both"/>
              <w:rPr>
                <w:rFonts w:cs="Arial"/>
                <w:sz w:val="20"/>
                <w:szCs w:val="20"/>
              </w:rPr>
            </w:pPr>
            <w:r w:rsidRPr="00F955C6">
              <w:rPr>
                <w:rFonts w:cs="Arial"/>
                <w:sz w:val="20"/>
                <w:szCs w:val="20"/>
              </w:rPr>
              <w:t>Median</w:t>
            </w:r>
          </w:p>
          <w:p w14:paraId="1AB10B87" w14:textId="77777777" w:rsidR="000923BB" w:rsidRPr="00F955C6" w:rsidRDefault="000923BB" w:rsidP="003A385F">
            <w:pPr>
              <w:jc w:val="both"/>
              <w:rPr>
                <w:rFonts w:cs="Arial"/>
                <w:sz w:val="20"/>
                <w:szCs w:val="20"/>
              </w:rPr>
            </w:pPr>
            <w:r w:rsidRPr="00F955C6">
              <w:rPr>
                <w:rFonts w:cs="Arial"/>
                <w:sz w:val="20"/>
                <w:szCs w:val="20"/>
              </w:rPr>
              <w:t>(IQR)</w:t>
            </w:r>
          </w:p>
        </w:tc>
        <w:tc>
          <w:tcPr>
            <w:tcW w:w="1800" w:type="dxa"/>
            <w:tcBorders>
              <w:top w:val="nil"/>
              <w:left w:val="single" w:sz="4" w:space="0" w:color="auto"/>
              <w:bottom w:val="nil"/>
              <w:right w:val="single" w:sz="4" w:space="0" w:color="auto"/>
            </w:tcBorders>
          </w:tcPr>
          <w:p w14:paraId="15140B91" w14:textId="77777777" w:rsidR="000923BB" w:rsidRPr="00F955C6" w:rsidRDefault="000923BB" w:rsidP="003A385F">
            <w:pPr>
              <w:jc w:val="both"/>
              <w:rPr>
                <w:rFonts w:cs="Arial"/>
                <w:sz w:val="20"/>
                <w:szCs w:val="20"/>
              </w:rPr>
            </w:pPr>
            <w:r w:rsidRPr="00F955C6">
              <w:rPr>
                <w:rFonts w:cs="Arial"/>
                <w:sz w:val="20"/>
                <w:szCs w:val="20"/>
              </w:rPr>
              <w:t>29.0</w:t>
            </w:r>
          </w:p>
          <w:p w14:paraId="3D0C8521" w14:textId="77777777" w:rsidR="000923BB" w:rsidRPr="00F955C6" w:rsidRDefault="000923BB" w:rsidP="003A385F">
            <w:pPr>
              <w:jc w:val="both"/>
              <w:rPr>
                <w:rFonts w:cs="Arial"/>
                <w:sz w:val="20"/>
                <w:szCs w:val="20"/>
              </w:rPr>
            </w:pPr>
            <w:r w:rsidRPr="00F955C6">
              <w:rPr>
                <w:rFonts w:cs="Arial"/>
                <w:sz w:val="20"/>
                <w:szCs w:val="20"/>
              </w:rPr>
              <w:t>(27.0 – 29.0)</w:t>
            </w:r>
          </w:p>
        </w:tc>
        <w:tc>
          <w:tcPr>
            <w:tcW w:w="1620" w:type="dxa"/>
            <w:tcBorders>
              <w:top w:val="nil"/>
              <w:left w:val="single" w:sz="4" w:space="0" w:color="auto"/>
              <w:bottom w:val="nil"/>
              <w:right w:val="single" w:sz="4" w:space="0" w:color="auto"/>
            </w:tcBorders>
          </w:tcPr>
          <w:p w14:paraId="245C1975" w14:textId="77777777" w:rsidR="000923BB" w:rsidRPr="00F955C6" w:rsidRDefault="000923BB" w:rsidP="003A385F">
            <w:pPr>
              <w:jc w:val="both"/>
              <w:rPr>
                <w:rFonts w:cs="Arial"/>
                <w:sz w:val="20"/>
                <w:szCs w:val="20"/>
              </w:rPr>
            </w:pPr>
            <w:r w:rsidRPr="00F955C6">
              <w:rPr>
                <w:rFonts w:cs="Arial"/>
                <w:sz w:val="20"/>
                <w:szCs w:val="20"/>
              </w:rPr>
              <w:t>32.0</w:t>
            </w:r>
          </w:p>
          <w:p w14:paraId="7C496881" w14:textId="77777777" w:rsidR="000923BB" w:rsidRPr="00F955C6" w:rsidRDefault="000923BB" w:rsidP="003A385F">
            <w:pPr>
              <w:jc w:val="both"/>
              <w:rPr>
                <w:rFonts w:cs="Arial"/>
                <w:sz w:val="20"/>
                <w:szCs w:val="20"/>
              </w:rPr>
            </w:pPr>
            <w:r w:rsidRPr="00F955C6">
              <w:rPr>
                <w:rFonts w:cs="Arial"/>
                <w:sz w:val="20"/>
                <w:szCs w:val="20"/>
              </w:rPr>
              <w:t>(31.0 – 32.0)</w:t>
            </w:r>
          </w:p>
        </w:tc>
        <w:tc>
          <w:tcPr>
            <w:tcW w:w="1600" w:type="dxa"/>
            <w:tcBorders>
              <w:top w:val="nil"/>
              <w:left w:val="single" w:sz="4" w:space="0" w:color="auto"/>
              <w:bottom w:val="nil"/>
              <w:right w:val="single" w:sz="4" w:space="0" w:color="auto"/>
            </w:tcBorders>
          </w:tcPr>
          <w:p w14:paraId="273B1640" w14:textId="77777777" w:rsidR="000923BB" w:rsidRPr="00F955C6" w:rsidRDefault="000923BB" w:rsidP="003A385F">
            <w:pPr>
              <w:jc w:val="both"/>
              <w:rPr>
                <w:rFonts w:cs="Arial"/>
                <w:sz w:val="20"/>
                <w:szCs w:val="20"/>
              </w:rPr>
            </w:pPr>
            <w:r w:rsidRPr="00F955C6">
              <w:rPr>
                <w:rFonts w:cs="Arial"/>
                <w:sz w:val="20"/>
                <w:szCs w:val="20"/>
              </w:rPr>
              <w:t>22.6</w:t>
            </w:r>
          </w:p>
          <w:p w14:paraId="20D1529E" w14:textId="77777777" w:rsidR="000923BB" w:rsidRPr="00F955C6" w:rsidRDefault="000923BB" w:rsidP="003A385F">
            <w:pPr>
              <w:jc w:val="both"/>
              <w:rPr>
                <w:rFonts w:cs="Arial"/>
                <w:sz w:val="20"/>
                <w:szCs w:val="20"/>
              </w:rPr>
            </w:pPr>
            <w:r w:rsidRPr="00F955C6">
              <w:rPr>
                <w:rFonts w:cs="Arial"/>
                <w:sz w:val="20"/>
                <w:szCs w:val="20"/>
              </w:rPr>
              <w:t>(20.8 – 25.9)</w:t>
            </w:r>
          </w:p>
        </w:tc>
      </w:tr>
      <w:tr w:rsidR="000923BB" w:rsidRPr="00F955C6" w14:paraId="7BA77454" w14:textId="77777777" w:rsidTr="005B2F93">
        <w:tc>
          <w:tcPr>
            <w:tcW w:w="1620" w:type="dxa"/>
            <w:vMerge/>
          </w:tcPr>
          <w:p w14:paraId="5DEC927B" w14:textId="77777777" w:rsidR="000923BB" w:rsidRPr="00F955C6" w:rsidRDefault="000923BB" w:rsidP="003A385F">
            <w:pPr>
              <w:jc w:val="both"/>
              <w:rPr>
                <w:rFonts w:cs="Arial"/>
                <w:sz w:val="20"/>
                <w:szCs w:val="20"/>
              </w:rPr>
            </w:pPr>
          </w:p>
        </w:tc>
        <w:tc>
          <w:tcPr>
            <w:tcW w:w="1440" w:type="dxa"/>
            <w:tcBorders>
              <w:top w:val="nil"/>
              <w:right w:val="single" w:sz="4" w:space="0" w:color="auto"/>
            </w:tcBorders>
          </w:tcPr>
          <w:p w14:paraId="57BC51FF" w14:textId="77777777" w:rsidR="000923BB" w:rsidRPr="00F955C6" w:rsidRDefault="000923BB" w:rsidP="003A385F">
            <w:pPr>
              <w:jc w:val="both"/>
              <w:rPr>
                <w:rFonts w:cs="Arial"/>
                <w:sz w:val="20"/>
                <w:szCs w:val="20"/>
              </w:rPr>
            </w:pPr>
            <w:r w:rsidRPr="00F955C6">
              <w:rPr>
                <w:rFonts w:cs="Arial"/>
                <w:sz w:val="20"/>
                <w:szCs w:val="20"/>
              </w:rPr>
              <w:t xml:space="preserve">Min – Max </w:t>
            </w:r>
          </w:p>
        </w:tc>
        <w:tc>
          <w:tcPr>
            <w:tcW w:w="1800" w:type="dxa"/>
            <w:tcBorders>
              <w:top w:val="nil"/>
              <w:left w:val="single" w:sz="4" w:space="0" w:color="auto"/>
              <w:right w:val="single" w:sz="4" w:space="0" w:color="auto"/>
            </w:tcBorders>
          </w:tcPr>
          <w:p w14:paraId="6EA29141" w14:textId="77777777" w:rsidR="000923BB" w:rsidRPr="00F955C6" w:rsidRDefault="000923BB" w:rsidP="003A385F">
            <w:pPr>
              <w:jc w:val="both"/>
              <w:rPr>
                <w:rFonts w:cs="Arial"/>
                <w:sz w:val="20"/>
                <w:szCs w:val="20"/>
              </w:rPr>
            </w:pPr>
            <w:r w:rsidRPr="00F955C6">
              <w:rPr>
                <w:rFonts w:cs="Arial"/>
                <w:sz w:val="20"/>
                <w:szCs w:val="20"/>
              </w:rPr>
              <w:t xml:space="preserve">22.0 – 33.0 </w:t>
            </w:r>
          </w:p>
        </w:tc>
        <w:tc>
          <w:tcPr>
            <w:tcW w:w="1620" w:type="dxa"/>
            <w:tcBorders>
              <w:top w:val="nil"/>
              <w:left w:val="single" w:sz="4" w:space="0" w:color="auto"/>
              <w:right w:val="single" w:sz="4" w:space="0" w:color="auto"/>
            </w:tcBorders>
          </w:tcPr>
          <w:p w14:paraId="6DAB60D9" w14:textId="77777777" w:rsidR="000923BB" w:rsidRPr="00F955C6" w:rsidRDefault="000923BB" w:rsidP="003A385F">
            <w:pPr>
              <w:jc w:val="both"/>
              <w:rPr>
                <w:rFonts w:cs="Arial"/>
                <w:sz w:val="20"/>
                <w:szCs w:val="20"/>
              </w:rPr>
            </w:pPr>
            <w:r w:rsidRPr="00F955C6">
              <w:rPr>
                <w:rFonts w:cs="Arial"/>
                <w:sz w:val="20"/>
                <w:szCs w:val="20"/>
              </w:rPr>
              <w:t>22.0 – 33.0</w:t>
            </w:r>
          </w:p>
        </w:tc>
        <w:tc>
          <w:tcPr>
            <w:tcW w:w="1600" w:type="dxa"/>
            <w:tcBorders>
              <w:top w:val="nil"/>
              <w:left w:val="single" w:sz="4" w:space="0" w:color="auto"/>
              <w:right w:val="single" w:sz="4" w:space="0" w:color="auto"/>
            </w:tcBorders>
          </w:tcPr>
          <w:p w14:paraId="62AF56F2" w14:textId="77777777" w:rsidR="000923BB" w:rsidRPr="00F955C6" w:rsidRDefault="000923BB" w:rsidP="003A385F">
            <w:pPr>
              <w:jc w:val="both"/>
              <w:rPr>
                <w:rFonts w:cs="Arial"/>
                <w:sz w:val="20"/>
                <w:szCs w:val="20"/>
              </w:rPr>
            </w:pPr>
            <w:r w:rsidRPr="00F955C6">
              <w:rPr>
                <w:rFonts w:cs="Arial"/>
                <w:sz w:val="20"/>
                <w:szCs w:val="20"/>
              </w:rPr>
              <w:t>11.4 – 33.0</w:t>
            </w:r>
          </w:p>
        </w:tc>
      </w:tr>
    </w:tbl>
    <w:p w14:paraId="6226A25D" w14:textId="77777777" w:rsidR="000923BB" w:rsidRDefault="000923BB" w:rsidP="000923BB">
      <w:pPr>
        <w:ind w:left="360"/>
        <w:jc w:val="both"/>
        <w:rPr>
          <w:rFonts w:cs="Arial"/>
          <w:sz w:val="22"/>
          <w:szCs w:val="22"/>
        </w:rPr>
      </w:pPr>
    </w:p>
    <w:p w14:paraId="7F2FC0B1" w14:textId="77777777" w:rsidR="000923BB" w:rsidRPr="003234D9" w:rsidRDefault="000923BB" w:rsidP="000923BB">
      <w:pPr>
        <w:ind w:left="360"/>
        <w:jc w:val="both"/>
        <w:rPr>
          <w:rFonts w:cs="Arial"/>
          <w:sz w:val="22"/>
          <w:szCs w:val="22"/>
        </w:rPr>
      </w:pPr>
    </w:p>
    <w:p w14:paraId="6600509E" w14:textId="77777777" w:rsidR="00900FF0" w:rsidRDefault="00900FF0" w:rsidP="000923BB">
      <w:pPr>
        <w:autoSpaceDE w:val="0"/>
        <w:autoSpaceDN w:val="0"/>
        <w:adjustRightInd w:val="0"/>
        <w:jc w:val="both"/>
        <w:rPr>
          <w:rFonts w:cs="Arial"/>
          <w:color w:val="000000"/>
          <w:sz w:val="22"/>
          <w:szCs w:val="22"/>
          <w:u w:val="single"/>
        </w:rPr>
      </w:pPr>
    </w:p>
    <w:p w14:paraId="3521A33A" w14:textId="77777777" w:rsidR="00900FF0" w:rsidRDefault="00900FF0" w:rsidP="000923BB">
      <w:pPr>
        <w:autoSpaceDE w:val="0"/>
        <w:autoSpaceDN w:val="0"/>
        <w:adjustRightInd w:val="0"/>
        <w:jc w:val="both"/>
        <w:rPr>
          <w:rFonts w:cs="Arial"/>
          <w:color w:val="000000"/>
          <w:sz w:val="22"/>
          <w:szCs w:val="22"/>
          <w:u w:val="single"/>
        </w:rPr>
      </w:pPr>
    </w:p>
    <w:p w14:paraId="667FBC23" w14:textId="77777777" w:rsidR="000923BB" w:rsidRDefault="000923BB" w:rsidP="000923BB">
      <w:pPr>
        <w:autoSpaceDE w:val="0"/>
        <w:autoSpaceDN w:val="0"/>
        <w:adjustRightInd w:val="0"/>
        <w:jc w:val="both"/>
        <w:rPr>
          <w:rFonts w:cs="Arial"/>
          <w:color w:val="000000"/>
          <w:sz w:val="22"/>
          <w:szCs w:val="22"/>
          <w:u w:val="single"/>
        </w:rPr>
      </w:pPr>
      <w:r w:rsidRPr="00F14727">
        <w:rPr>
          <w:rFonts w:cs="Arial"/>
          <w:color w:val="000000"/>
          <w:sz w:val="22"/>
          <w:szCs w:val="22"/>
          <w:u w:val="single"/>
        </w:rPr>
        <w:t xml:space="preserve">Box and whisker plots of criterion based total quality of care scores </w:t>
      </w:r>
    </w:p>
    <w:p w14:paraId="4D618346" w14:textId="77777777" w:rsidR="000923BB" w:rsidRDefault="000923BB" w:rsidP="000923BB">
      <w:pPr>
        <w:autoSpaceDE w:val="0"/>
        <w:autoSpaceDN w:val="0"/>
        <w:adjustRightInd w:val="0"/>
        <w:jc w:val="both"/>
        <w:rPr>
          <w:rFonts w:cs="Arial"/>
          <w:color w:val="000000"/>
          <w:sz w:val="22"/>
          <w:szCs w:val="22"/>
        </w:rPr>
      </w:pPr>
      <w:r w:rsidRPr="003234D9">
        <w:rPr>
          <w:rFonts w:cs="Arial"/>
          <w:color w:val="000000"/>
          <w:sz w:val="22"/>
          <w:szCs w:val="22"/>
        </w:rPr>
        <w:t xml:space="preserve">The box and whisker plots compare the median </w:t>
      </w:r>
      <w:r>
        <w:rPr>
          <w:rFonts w:cs="Arial"/>
          <w:color w:val="000000"/>
          <w:sz w:val="22"/>
          <w:szCs w:val="22"/>
        </w:rPr>
        <w:t xml:space="preserve">criterion based </w:t>
      </w:r>
      <w:r w:rsidRPr="003234D9">
        <w:rPr>
          <w:rFonts w:cs="Arial"/>
          <w:color w:val="000000"/>
          <w:sz w:val="22"/>
          <w:szCs w:val="22"/>
        </w:rPr>
        <w:t xml:space="preserve">quality of care </w:t>
      </w:r>
      <w:r>
        <w:rPr>
          <w:rFonts w:cs="Arial"/>
          <w:color w:val="000000"/>
          <w:sz w:val="22"/>
          <w:szCs w:val="22"/>
        </w:rPr>
        <w:t>scores and the i</w:t>
      </w:r>
      <w:r w:rsidRPr="003234D9">
        <w:rPr>
          <w:rFonts w:cs="Arial"/>
          <w:color w:val="000000"/>
          <w:sz w:val="22"/>
          <w:szCs w:val="22"/>
        </w:rPr>
        <w:t>nter-quartile range</w:t>
      </w:r>
      <w:r>
        <w:rPr>
          <w:rFonts w:cs="Arial"/>
          <w:color w:val="000000"/>
          <w:sz w:val="22"/>
          <w:szCs w:val="22"/>
        </w:rPr>
        <w:t xml:space="preserve">, for each reviewer </w:t>
      </w:r>
      <w:r w:rsidRPr="003234D9">
        <w:rPr>
          <w:rFonts w:cs="Arial"/>
          <w:color w:val="000000"/>
          <w:sz w:val="22"/>
          <w:szCs w:val="22"/>
        </w:rPr>
        <w:t xml:space="preserve">for each phase of care. </w:t>
      </w:r>
    </w:p>
    <w:p w14:paraId="30F5F83C" w14:textId="77777777" w:rsidR="000923BB" w:rsidRDefault="000923BB" w:rsidP="000923BB">
      <w:pPr>
        <w:autoSpaceDE w:val="0"/>
        <w:autoSpaceDN w:val="0"/>
        <w:adjustRightInd w:val="0"/>
        <w:jc w:val="both"/>
        <w:rPr>
          <w:rFonts w:cs="Arial"/>
          <w:color w:val="000000"/>
          <w:sz w:val="22"/>
          <w:szCs w:val="22"/>
        </w:rPr>
      </w:pPr>
    </w:p>
    <w:p w14:paraId="6740ED89" w14:textId="77777777" w:rsidR="000923BB" w:rsidRDefault="000923BB" w:rsidP="000923BB">
      <w:pPr>
        <w:ind w:left="360"/>
        <w:jc w:val="both"/>
        <w:rPr>
          <w:rFonts w:cs="Arial"/>
          <w:b/>
          <w:sz w:val="22"/>
          <w:szCs w:val="22"/>
        </w:rPr>
      </w:pPr>
      <w:r>
        <w:rPr>
          <w:rFonts w:cs="Arial"/>
          <w:b/>
          <w:sz w:val="22"/>
          <w:szCs w:val="22"/>
        </w:rPr>
        <w:t>Figure 13.2: C</w:t>
      </w:r>
      <w:r w:rsidRPr="00FA02B8">
        <w:rPr>
          <w:rFonts w:cs="Arial"/>
          <w:b/>
          <w:sz w:val="22"/>
          <w:szCs w:val="22"/>
        </w:rPr>
        <w:t xml:space="preserve">riterion based quality of care scores </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3969"/>
      </w:tblGrid>
      <w:tr w:rsidR="000923BB" w:rsidRPr="00F955C6" w14:paraId="60A97C1B" w14:textId="77777777" w:rsidTr="003C12FD">
        <w:tc>
          <w:tcPr>
            <w:tcW w:w="3827" w:type="dxa"/>
          </w:tcPr>
          <w:p w14:paraId="40E59582" w14:textId="77777777" w:rsidR="000923BB" w:rsidRPr="00F955C6" w:rsidRDefault="000923BB" w:rsidP="003A385F">
            <w:pPr>
              <w:jc w:val="center"/>
              <w:rPr>
                <w:rFonts w:cs="Arial"/>
                <w:b/>
                <w:sz w:val="22"/>
                <w:szCs w:val="22"/>
              </w:rPr>
            </w:pPr>
            <w:r w:rsidRPr="00F955C6">
              <w:rPr>
                <w:rFonts w:cs="Arial"/>
                <w:b/>
                <w:sz w:val="22"/>
                <w:szCs w:val="22"/>
              </w:rPr>
              <w:t xml:space="preserve">Admission phase </w:t>
            </w:r>
          </w:p>
        </w:tc>
        <w:tc>
          <w:tcPr>
            <w:tcW w:w="3969" w:type="dxa"/>
          </w:tcPr>
          <w:p w14:paraId="42A575EA" w14:textId="77777777" w:rsidR="000923BB" w:rsidRPr="00F955C6" w:rsidRDefault="000923BB" w:rsidP="003A385F">
            <w:pPr>
              <w:jc w:val="center"/>
              <w:rPr>
                <w:rFonts w:cs="Arial"/>
                <w:b/>
                <w:sz w:val="22"/>
                <w:szCs w:val="22"/>
              </w:rPr>
            </w:pPr>
            <w:r w:rsidRPr="00F955C6">
              <w:rPr>
                <w:rFonts w:cs="Arial"/>
                <w:b/>
                <w:sz w:val="22"/>
                <w:szCs w:val="22"/>
              </w:rPr>
              <w:t xml:space="preserve">Initial management phase </w:t>
            </w:r>
          </w:p>
        </w:tc>
      </w:tr>
      <w:tr w:rsidR="000923BB" w:rsidRPr="00F955C6" w14:paraId="0A97BF8C" w14:textId="77777777" w:rsidTr="003C12FD">
        <w:tc>
          <w:tcPr>
            <w:tcW w:w="3827" w:type="dxa"/>
          </w:tcPr>
          <w:p w14:paraId="610AF970" w14:textId="77777777" w:rsidR="000923BB" w:rsidRPr="00F955C6" w:rsidRDefault="000923BB" w:rsidP="003A385F">
            <w:pPr>
              <w:autoSpaceDE w:val="0"/>
              <w:autoSpaceDN w:val="0"/>
              <w:adjustRightInd w:val="0"/>
            </w:pPr>
            <w:r>
              <w:rPr>
                <w:rFonts w:cs="Arial"/>
                <w:noProof/>
                <w:sz w:val="14"/>
                <w:szCs w:val="14"/>
                <w:lang w:eastAsia="en-GB" w:bidi="ar-SA"/>
              </w:rPr>
              <w:drawing>
                <wp:inline distT="0" distB="0" distL="0" distR="0" wp14:anchorId="1DF9A7DC" wp14:editId="0DA96EFA">
                  <wp:extent cx="2289810" cy="1828800"/>
                  <wp:effectExtent l="1905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cstate="print"/>
                          <a:srcRect/>
                          <a:stretch>
                            <a:fillRect/>
                          </a:stretch>
                        </pic:blipFill>
                        <pic:spPr bwMode="auto">
                          <a:xfrm>
                            <a:off x="0" y="0"/>
                            <a:ext cx="2289810" cy="1828800"/>
                          </a:xfrm>
                          <a:prstGeom prst="rect">
                            <a:avLst/>
                          </a:prstGeom>
                          <a:noFill/>
                          <a:ln w="9525">
                            <a:noFill/>
                            <a:miter lim="800000"/>
                            <a:headEnd/>
                            <a:tailEnd/>
                          </a:ln>
                        </pic:spPr>
                      </pic:pic>
                    </a:graphicData>
                  </a:graphic>
                </wp:inline>
              </w:drawing>
            </w:r>
          </w:p>
          <w:p w14:paraId="7D103186" w14:textId="77777777" w:rsidR="000923BB" w:rsidRPr="00F955C6" w:rsidRDefault="000923BB" w:rsidP="003A385F">
            <w:pPr>
              <w:rPr>
                <w:rFonts w:cs="Arial"/>
                <w:sz w:val="22"/>
                <w:szCs w:val="22"/>
              </w:rPr>
            </w:pPr>
          </w:p>
        </w:tc>
        <w:tc>
          <w:tcPr>
            <w:tcW w:w="3969" w:type="dxa"/>
          </w:tcPr>
          <w:p w14:paraId="7148DAD6" w14:textId="77777777" w:rsidR="000923BB" w:rsidRPr="00F955C6" w:rsidRDefault="000923BB" w:rsidP="003A385F">
            <w:pPr>
              <w:autoSpaceDE w:val="0"/>
              <w:autoSpaceDN w:val="0"/>
              <w:adjustRightInd w:val="0"/>
            </w:pPr>
            <w:r>
              <w:rPr>
                <w:rFonts w:cs="Arial"/>
                <w:noProof/>
                <w:sz w:val="14"/>
                <w:szCs w:val="14"/>
                <w:lang w:eastAsia="en-GB" w:bidi="ar-SA"/>
              </w:rPr>
              <w:drawing>
                <wp:inline distT="0" distB="0" distL="0" distR="0" wp14:anchorId="38132E4F" wp14:editId="52E45D19">
                  <wp:extent cx="2298065" cy="1837055"/>
                  <wp:effectExtent l="19050" t="0" r="698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cstate="print"/>
                          <a:srcRect/>
                          <a:stretch>
                            <a:fillRect/>
                          </a:stretch>
                        </pic:blipFill>
                        <pic:spPr bwMode="auto">
                          <a:xfrm>
                            <a:off x="0" y="0"/>
                            <a:ext cx="2298065" cy="1837055"/>
                          </a:xfrm>
                          <a:prstGeom prst="rect">
                            <a:avLst/>
                          </a:prstGeom>
                          <a:noFill/>
                          <a:ln w="9525">
                            <a:noFill/>
                            <a:miter lim="800000"/>
                            <a:headEnd/>
                            <a:tailEnd/>
                          </a:ln>
                        </pic:spPr>
                      </pic:pic>
                    </a:graphicData>
                  </a:graphic>
                </wp:inline>
              </w:drawing>
            </w:r>
          </w:p>
          <w:p w14:paraId="13003902" w14:textId="77777777" w:rsidR="000923BB" w:rsidRPr="00F955C6" w:rsidRDefault="000923BB" w:rsidP="003A385F">
            <w:pPr>
              <w:rPr>
                <w:rFonts w:cs="Arial"/>
                <w:sz w:val="22"/>
                <w:szCs w:val="22"/>
              </w:rPr>
            </w:pPr>
          </w:p>
        </w:tc>
      </w:tr>
      <w:tr w:rsidR="000923BB" w:rsidRPr="00F955C6" w14:paraId="21B3A1AD" w14:textId="77777777" w:rsidTr="003C12FD">
        <w:tc>
          <w:tcPr>
            <w:tcW w:w="3827" w:type="dxa"/>
          </w:tcPr>
          <w:p w14:paraId="7A9C0BB6" w14:textId="77777777" w:rsidR="000923BB" w:rsidRPr="00F955C6" w:rsidRDefault="000923BB" w:rsidP="003A385F">
            <w:pPr>
              <w:jc w:val="center"/>
              <w:rPr>
                <w:rFonts w:cs="Arial"/>
                <w:b/>
                <w:sz w:val="22"/>
                <w:szCs w:val="22"/>
              </w:rPr>
            </w:pPr>
            <w:r w:rsidRPr="00F955C6">
              <w:rPr>
                <w:rFonts w:cs="Arial"/>
                <w:b/>
                <w:sz w:val="22"/>
                <w:szCs w:val="22"/>
              </w:rPr>
              <w:t xml:space="preserve">Pre-discharge phase </w:t>
            </w:r>
          </w:p>
        </w:tc>
        <w:tc>
          <w:tcPr>
            <w:tcW w:w="3969" w:type="dxa"/>
          </w:tcPr>
          <w:p w14:paraId="4F7A4B9D" w14:textId="77777777" w:rsidR="000923BB" w:rsidRPr="00F955C6" w:rsidRDefault="000923BB" w:rsidP="003A385F">
            <w:pPr>
              <w:jc w:val="center"/>
              <w:rPr>
                <w:rFonts w:cs="Arial"/>
                <w:b/>
                <w:sz w:val="22"/>
                <w:szCs w:val="22"/>
              </w:rPr>
            </w:pPr>
            <w:r w:rsidRPr="00F955C6">
              <w:rPr>
                <w:rFonts w:cs="Arial"/>
                <w:b/>
                <w:sz w:val="22"/>
                <w:szCs w:val="22"/>
              </w:rPr>
              <w:t xml:space="preserve">Total score </w:t>
            </w:r>
          </w:p>
        </w:tc>
      </w:tr>
      <w:tr w:rsidR="000923BB" w:rsidRPr="00F955C6" w14:paraId="4006A556" w14:textId="77777777" w:rsidTr="003C12FD">
        <w:tc>
          <w:tcPr>
            <w:tcW w:w="3827" w:type="dxa"/>
          </w:tcPr>
          <w:p w14:paraId="034E22F2" w14:textId="77777777" w:rsidR="000923BB" w:rsidRPr="00F955C6" w:rsidRDefault="000923BB" w:rsidP="003A385F">
            <w:pPr>
              <w:autoSpaceDE w:val="0"/>
              <w:autoSpaceDN w:val="0"/>
              <w:adjustRightInd w:val="0"/>
            </w:pPr>
            <w:r>
              <w:rPr>
                <w:rFonts w:cs="Arial"/>
                <w:noProof/>
                <w:sz w:val="14"/>
                <w:szCs w:val="14"/>
                <w:lang w:eastAsia="en-GB" w:bidi="ar-SA"/>
              </w:rPr>
              <w:drawing>
                <wp:inline distT="0" distB="0" distL="0" distR="0" wp14:anchorId="1DD45E1A" wp14:editId="772AD300">
                  <wp:extent cx="2289810" cy="1828800"/>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cstate="print"/>
                          <a:srcRect/>
                          <a:stretch>
                            <a:fillRect/>
                          </a:stretch>
                        </pic:blipFill>
                        <pic:spPr bwMode="auto">
                          <a:xfrm>
                            <a:off x="0" y="0"/>
                            <a:ext cx="2289810" cy="1828800"/>
                          </a:xfrm>
                          <a:prstGeom prst="rect">
                            <a:avLst/>
                          </a:prstGeom>
                          <a:noFill/>
                          <a:ln w="9525">
                            <a:noFill/>
                            <a:miter lim="800000"/>
                            <a:headEnd/>
                            <a:tailEnd/>
                          </a:ln>
                        </pic:spPr>
                      </pic:pic>
                    </a:graphicData>
                  </a:graphic>
                </wp:inline>
              </w:drawing>
            </w:r>
          </w:p>
          <w:p w14:paraId="679F611F" w14:textId="77777777" w:rsidR="000923BB" w:rsidRPr="00F955C6" w:rsidRDefault="000923BB" w:rsidP="003A385F">
            <w:pPr>
              <w:rPr>
                <w:rFonts w:cs="Arial"/>
                <w:sz w:val="22"/>
                <w:szCs w:val="22"/>
              </w:rPr>
            </w:pPr>
          </w:p>
        </w:tc>
        <w:tc>
          <w:tcPr>
            <w:tcW w:w="3969" w:type="dxa"/>
          </w:tcPr>
          <w:p w14:paraId="685DDFD7" w14:textId="77777777" w:rsidR="000923BB" w:rsidRPr="00F955C6" w:rsidRDefault="000923BB" w:rsidP="003A385F">
            <w:pPr>
              <w:autoSpaceDE w:val="0"/>
              <w:autoSpaceDN w:val="0"/>
              <w:adjustRightInd w:val="0"/>
            </w:pPr>
            <w:r>
              <w:rPr>
                <w:rFonts w:cs="Arial"/>
                <w:noProof/>
                <w:sz w:val="14"/>
                <w:szCs w:val="14"/>
                <w:lang w:eastAsia="en-GB" w:bidi="ar-SA"/>
              </w:rPr>
              <w:drawing>
                <wp:inline distT="0" distB="0" distL="0" distR="0" wp14:anchorId="40ED92BF" wp14:editId="75238B04">
                  <wp:extent cx="2289810" cy="1828800"/>
                  <wp:effectExtent l="1905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cstate="print"/>
                          <a:srcRect/>
                          <a:stretch>
                            <a:fillRect/>
                          </a:stretch>
                        </pic:blipFill>
                        <pic:spPr bwMode="auto">
                          <a:xfrm>
                            <a:off x="0" y="0"/>
                            <a:ext cx="2289810" cy="1828800"/>
                          </a:xfrm>
                          <a:prstGeom prst="rect">
                            <a:avLst/>
                          </a:prstGeom>
                          <a:noFill/>
                          <a:ln w="9525">
                            <a:noFill/>
                            <a:miter lim="800000"/>
                            <a:headEnd/>
                            <a:tailEnd/>
                          </a:ln>
                        </pic:spPr>
                      </pic:pic>
                    </a:graphicData>
                  </a:graphic>
                </wp:inline>
              </w:drawing>
            </w:r>
          </w:p>
          <w:p w14:paraId="74613C6E" w14:textId="77777777" w:rsidR="000923BB" w:rsidRPr="00F955C6" w:rsidRDefault="000923BB" w:rsidP="003A385F">
            <w:pPr>
              <w:autoSpaceDE w:val="0"/>
              <w:autoSpaceDN w:val="0"/>
              <w:adjustRightInd w:val="0"/>
            </w:pPr>
          </w:p>
          <w:p w14:paraId="5158356E" w14:textId="77777777" w:rsidR="000923BB" w:rsidRPr="00F955C6" w:rsidRDefault="000923BB" w:rsidP="003A385F">
            <w:pPr>
              <w:rPr>
                <w:rFonts w:cs="Arial"/>
                <w:sz w:val="14"/>
                <w:szCs w:val="14"/>
              </w:rPr>
            </w:pPr>
          </w:p>
        </w:tc>
      </w:tr>
    </w:tbl>
    <w:p w14:paraId="5A01AF0E" w14:textId="77777777" w:rsidR="000923BB" w:rsidRPr="00FA02B8" w:rsidRDefault="000923BB" w:rsidP="000923BB">
      <w:pPr>
        <w:ind w:left="360"/>
        <w:jc w:val="both"/>
        <w:rPr>
          <w:rFonts w:cs="Arial"/>
          <w:b/>
          <w:sz w:val="22"/>
          <w:szCs w:val="22"/>
        </w:rPr>
      </w:pPr>
    </w:p>
    <w:tbl>
      <w:tblPr>
        <w:tblW w:w="411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2976"/>
      </w:tblGrid>
      <w:tr w:rsidR="000923BB" w:rsidRPr="00F955C6" w14:paraId="0A651CA6" w14:textId="77777777" w:rsidTr="005B2F93">
        <w:tc>
          <w:tcPr>
            <w:tcW w:w="1134" w:type="dxa"/>
          </w:tcPr>
          <w:p w14:paraId="0DA58B9F" w14:textId="77777777" w:rsidR="000923BB" w:rsidRPr="00F955C6" w:rsidRDefault="000923BB" w:rsidP="003A385F">
            <w:pPr>
              <w:tabs>
                <w:tab w:val="left" w:pos="0"/>
                <w:tab w:val="left" w:pos="540"/>
              </w:tabs>
              <w:jc w:val="both"/>
              <w:rPr>
                <w:rFonts w:cs="Arial"/>
                <w:sz w:val="22"/>
                <w:szCs w:val="22"/>
              </w:rPr>
            </w:pPr>
            <w:r w:rsidRPr="00F955C6">
              <w:rPr>
                <w:rFonts w:cs="Arial"/>
                <w:sz w:val="22"/>
                <w:szCs w:val="22"/>
              </w:rPr>
              <w:t xml:space="preserve">Key </w:t>
            </w:r>
          </w:p>
        </w:tc>
        <w:tc>
          <w:tcPr>
            <w:tcW w:w="2976" w:type="dxa"/>
          </w:tcPr>
          <w:p w14:paraId="22EA1CF1" w14:textId="77777777" w:rsidR="000923BB" w:rsidRPr="00F955C6" w:rsidRDefault="000923BB" w:rsidP="003A385F">
            <w:pPr>
              <w:tabs>
                <w:tab w:val="left" w:pos="0"/>
                <w:tab w:val="left" w:pos="540"/>
              </w:tabs>
              <w:jc w:val="both"/>
              <w:rPr>
                <w:rFonts w:cs="Arial"/>
                <w:sz w:val="22"/>
                <w:szCs w:val="22"/>
              </w:rPr>
            </w:pPr>
          </w:p>
        </w:tc>
      </w:tr>
      <w:tr w:rsidR="000923BB" w:rsidRPr="00F955C6" w14:paraId="4064DA4E" w14:textId="77777777" w:rsidTr="005B2F93">
        <w:tc>
          <w:tcPr>
            <w:tcW w:w="1134" w:type="dxa"/>
          </w:tcPr>
          <w:p w14:paraId="6408D0A3" w14:textId="77777777" w:rsidR="000923BB" w:rsidRPr="00F955C6" w:rsidRDefault="000923BB" w:rsidP="003A385F">
            <w:pPr>
              <w:tabs>
                <w:tab w:val="left" w:pos="0"/>
                <w:tab w:val="left" w:pos="540"/>
              </w:tabs>
              <w:jc w:val="both"/>
              <w:rPr>
                <w:rFonts w:cs="Arial"/>
                <w:sz w:val="22"/>
                <w:szCs w:val="22"/>
              </w:rPr>
            </w:pPr>
            <w:r w:rsidRPr="00F955C6">
              <w:rPr>
                <w:rFonts w:cs="Arial"/>
                <w:sz w:val="22"/>
                <w:szCs w:val="22"/>
              </w:rPr>
              <w:t>1733</w:t>
            </w:r>
          </w:p>
        </w:tc>
        <w:tc>
          <w:tcPr>
            <w:tcW w:w="2976" w:type="dxa"/>
          </w:tcPr>
          <w:p w14:paraId="4138F03B" w14:textId="77777777" w:rsidR="000923BB" w:rsidRPr="00F955C6" w:rsidRDefault="000923BB" w:rsidP="003A385F">
            <w:pPr>
              <w:tabs>
                <w:tab w:val="left" w:pos="0"/>
                <w:tab w:val="left" w:pos="540"/>
              </w:tabs>
              <w:jc w:val="both"/>
              <w:rPr>
                <w:rFonts w:cs="Arial"/>
                <w:sz w:val="22"/>
                <w:szCs w:val="22"/>
              </w:rPr>
            </w:pPr>
            <w:r w:rsidRPr="00F955C6">
              <w:rPr>
                <w:rFonts w:cs="Arial"/>
                <w:sz w:val="22"/>
                <w:szCs w:val="22"/>
              </w:rPr>
              <w:t>Clinical reviewer</w:t>
            </w:r>
          </w:p>
        </w:tc>
      </w:tr>
      <w:tr w:rsidR="000923BB" w:rsidRPr="00F955C6" w14:paraId="2A1D2F1D" w14:textId="77777777" w:rsidTr="005B2F93">
        <w:tc>
          <w:tcPr>
            <w:tcW w:w="1134" w:type="dxa"/>
          </w:tcPr>
          <w:p w14:paraId="7817B820" w14:textId="77777777" w:rsidR="000923BB" w:rsidRPr="00F955C6" w:rsidRDefault="000923BB" w:rsidP="003A385F">
            <w:pPr>
              <w:tabs>
                <w:tab w:val="left" w:pos="0"/>
                <w:tab w:val="left" w:pos="540"/>
              </w:tabs>
              <w:jc w:val="both"/>
              <w:rPr>
                <w:rFonts w:cs="Arial"/>
                <w:sz w:val="22"/>
                <w:szCs w:val="22"/>
              </w:rPr>
            </w:pPr>
            <w:r w:rsidRPr="00F955C6">
              <w:rPr>
                <w:rFonts w:cs="Arial"/>
                <w:sz w:val="22"/>
                <w:szCs w:val="22"/>
              </w:rPr>
              <w:t>1831</w:t>
            </w:r>
          </w:p>
        </w:tc>
        <w:tc>
          <w:tcPr>
            <w:tcW w:w="2976" w:type="dxa"/>
          </w:tcPr>
          <w:p w14:paraId="40FFA301" w14:textId="77777777" w:rsidR="000923BB" w:rsidRPr="00F955C6" w:rsidRDefault="000923BB" w:rsidP="003A385F">
            <w:pPr>
              <w:tabs>
                <w:tab w:val="left" w:pos="0"/>
                <w:tab w:val="left" w:pos="540"/>
              </w:tabs>
              <w:jc w:val="both"/>
              <w:rPr>
                <w:rFonts w:cs="Arial"/>
                <w:sz w:val="22"/>
                <w:szCs w:val="22"/>
              </w:rPr>
            </w:pPr>
            <w:r w:rsidRPr="00F955C6">
              <w:rPr>
                <w:rFonts w:cs="Arial"/>
                <w:sz w:val="22"/>
                <w:szCs w:val="22"/>
              </w:rPr>
              <w:t>Doctor 1</w:t>
            </w:r>
          </w:p>
        </w:tc>
      </w:tr>
      <w:tr w:rsidR="000923BB" w:rsidRPr="00F955C6" w14:paraId="078A19B9" w14:textId="77777777" w:rsidTr="005B2F93">
        <w:tc>
          <w:tcPr>
            <w:tcW w:w="1134" w:type="dxa"/>
          </w:tcPr>
          <w:p w14:paraId="3CA52588" w14:textId="77777777" w:rsidR="000923BB" w:rsidRPr="00F955C6" w:rsidRDefault="000923BB" w:rsidP="003A385F">
            <w:pPr>
              <w:tabs>
                <w:tab w:val="left" w:pos="0"/>
                <w:tab w:val="left" w:pos="540"/>
              </w:tabs>
              <w:jc w:val="both"/>
              <w:rPr>
                <w:rFonts w:cs="Arial"/>
                <w:sz w:val="22"/>
                <w:szCs w:val="22"/>
              </w:rPr>
            </w:pPr>
            <w:r w:rsidRPr="00F955C6">
              <w:rPr>
                <w:rFonts w:cs="Arial"/>
                <w:sz w:val="22"/>
                <w:szCs w:val="22"/>
              </w:rPr>
              <w:t>1832</w:t>
            </w:r>
          </w:p>
        </w:tc>
        <w:tc>
          <w:tcPr>
            <w:tcW w:w="2976" w:type="dxa"/>
          </w:tcPr>
          <w:p w14:paraId="269D9C83" w14:textId="77777777" w:rsidR="000923BB" w:rsidRPr="00F955C6" w:rsidRDefault="000923BB" w:rsidP="003A385F">
            <w:pPr>
              <w:tabs>
                <w:tab w:val="left" w:pos="0"/>
                <w:tab w:val="left" w:pos="540"/>
              </w:tabs>
              <w:jc w:val="both"/>
              <w:rPr>
                <w:rFonts w:cs="Arial"/>
                <w:sz w:val="22"/>
                <w:szCs w:val="22"/>
              </w:rPr>
            </w:pPr>
            <w:r w:rsidRPr="00F955C6">
              <w:rPr>
                <w:rFonts w:cs="Arial"/>
                <w:sz w:val="22"/>
                <w:szCs w:val="22"/>
              </w:rPr>
              <w:t>Doctor 2</w:t>
            </w:r>
          </w:p>
        </w:tc>
      </w:tr>
    </w:tbl>
    <w:p w14:paraId="5809704C" w14:textId="77777777" w:rsidR="000923BB" w:rsidRDefault="000923BB" w:rsidP="000923BB">
      <w:pPr>
        <w:autoSpaceDE w:val="0"/>
        <w:autoSpaceDN w:val="0"/>
        <w:adjustRightInd w:val="0"/>
        <w:rPr>
          <w:rFonts w:cs="Arial"/>
          <w:sz w:val="14"/>
          <w:szCs w:val="14"/>
        </w:rPr>
      </w:pPr>
    </w:p>
    <w:p w14:paraId="7D26063F" w14:textId="77777777" w:rsidR="005B2F93" w:rsidRDefault="005B2F93" w:rsidP="005B2F93">
      <w:pPr>
        <w:ind w:left="720"/>
        <w:jc w:val="both"/>
        <w:rPr>
          <w:rFonts w:cs="Arial"/>
          <w:sz w:val="22"/>
          <w:szCs w:val="22"/>
          <w:u w:val="single"/>
        </w:rPr>
      </w:pPr>
    </w:p>
    <w:p w14:paraId="36CA9BA5" w14:textId="77777777" w:rsidR="005B2F93" w:rsidRDefault="005B2F93" w:rsidP="005B2F93">
      <w:pPr>
        <w:ind w:left="720"/>
        <w:jc w:val="both"/>
        <w:rPr>
          <w:rFonts w:cs="Arial"/>
          <w:sz w:val="22"/>
          <w:szCs w:val="22"/>
          <w:u w:val="single"/>
        </w:rPr>
      </w:pPr>
    </w:p>
    <w:p w14:paraId="15C1CD0E" w14:textId="77777777" w:rsidR="005B2F93" w:rsidRDefault="005B2F93" w:rsidP="005B2F93">
      <w:pPr>
        <w:ind w:left="720"/>
        <w:jc w:val="both"/>
        <w:rPr>
          <w:rFonts w:cs="Arial"/>
          <w:sz w:val="22"/>
          <w:szCs w:val="22"/>
          <w:u w:val="single"/>
        </w:rPr>
      </w:pPr>
    </w:p>
    <w:p w14:paraId="46E449D5" w14:textId="77777777" w:rsidR="000923BB" w:rsidRDefault="00900FF0" w:rsidP="005B2F93">
      <w:pPr>
        <w:ind w:left="720"/>
        <w:jc w:val="both"/>
        <w:rPr>
          <w:rFonts w:cs="Arial"/>
          <w:sz w:val="22"/>
          <w:szCs w:val="22"/>
          <w:u w:val="single"/>
        </w:rPr>
      </w:pPr>
      <w:r>
        <w:rPr>
          <w:rFonts w:cs="Arial"/>
          <w:sz w:val="22"/>
          <w:szCs w:val="22"/>
          <w:u w:val="single"/>
        </w:rPr>
        <w:lastRenderedPageBreak/>
        <w:t>Reliabili</w:t>
      </w:r>
      <w:r w:rsidR="000923BB" w:rsidRPr="000108C0">
        <w:rPr>
          <w:rFonts w:cs="Arial"/>
          <w:sz w:val="22"/>
          <w:szCs w:val="22"/>
          <w:u w:val="single"/>
        </w:rPr>
        <w:t xml:space="preserve">ty between reviewers </w:t>
      </w:r>
    </w:p>
    <w:p w14:paraId="3EF14F9D" w14:textId="77777777" w:rsidR="000923BB" w:rsidRPr="000108C0" w:rsidRDefault="000923BB" w:rsidP="000923BB">
      <w:pPr>
        <w:jc w:val="both"/>
        <w:rPr>
          <w:rFonts w:cs="Arial"/>
          <w:sz w:val="22"/>
          <w:szCs w:val="22"/>
          <w:u w:val="single"/>
        </w:rPr>
      </w:pPr>
    </w:p>
    <w:p w14:paraId="4A880EB4" w14:textId="77777777" w:rsidR="000923BB" w:rsidRPr="003234D9" w:rsidRDefault="000923BB" w:rsidP="000923BB">
      <w:pPr>
        <w:jc w:val="both"/>
        <w:rPr>
          <w:rFonts w:cs="Arial"/>
          <w:sz w:val="22"/>
          <w:szCs w:val="22"/>
        </w:rPr>
      </w:pPr>
      <w:r w:rsidRPr="003234D9">
        <w:rPr>
          <w:rFonts w:cs="Arial"/>
          <w:sz w:val="22"/>
          <w:szCs w:val="22"/>
        </w:rPr>
        <w:t xml:space="preserve">Table </w:t>
      </w:r>
      <w:r>
        <w:rPr>
          <w:rFonts w:cs="Arial"/>
          <w:sz w:val="22"/>
          <w:szCs w:val="22"/>
        </w:rPr>
        <w:t>13.</w:t>
      </w:r>
      <w:r w:rsidRPr="003234D9">
        <w:rPr>
          <w:rFonts w:cs="Arial"/>
          <w:sz w:val="22"/>
          <w:szCs w:val="22"/>
        </w:rPr>
        <w:t xml:space="preserve">6 presents the results of the stroke criterion based review reliability analysis. The </w:t>
      </w:r>
      <w:r>
        <w:rPr>
          <w:rFonts w:cs="Arial"/>
          <w:sz w:val="22"/>
          <w:szCs w:val="22"/>
        </w:rPr>
        <w:t>quality of care scores assigned to the</w:t>
      </w:r>
      <w:r w:rsidRPr="003234D9">
        <w:rPr>
          <w:rFonts w:cs="Arial"/>
          <w:sz w:val="22"/>
          <w:szCs w:val="22"/>
        </w:rPr>
        <w:t xml:space="preserve"> criterion based data w</w:t>
      </w:r>
      <w:r>
        <w:rPr>
          <w:rFonts w:cs="Arial"/>
          <w:sz w:val="22"/>
          <w:szCs w:val="22"/>
        </w:rPr>
        <w:t>as</w:t>
      </w:r>
      <w:r w:rsidRPr="003234D9">
        <w:rPr>
          <w:rFonts w:cs="Arial"/>
          <w:sz w:val="22"/>
          <w:szCs w:val="22"/>
        </w:rPr>
        <w:t xml:space="preserve"> used to calculate ICCs for each reviewer pair.  </w:t>
      </w:r>
    </w:p>
    <w:p w14:paraId="60A8F2F8" w14:textId="77777777" w:rsidR="000923BB" w:rsidRPr="003234D9" w:rsidRDefault="000923BB" w:rsidP="000923BB">
      <w:pPr>
        <w:jc w:val="both"/>
        <w:rPr>
          <w:rFonts w:cs="Arial"/>
          <w:b/>
          <w:sz w:val="22"/>
          <w:szCs w:val="22"/>
        </w:rPr>
      </w:pPr>
    </w:p>
    <w:p w14:paraId="4C7DFD4B" w14:textId="77777777" w:rsidR="000923BB" w:rsidRPr="003234D9" w:rsidRDefault="000923BB" w:rsidP="000923BB">
      <w:pPr>
        <w:jc w:val="both"/>
        <w:rPr>
          <w:rFonts w:cs="Arial"/>
          <w:b/>
          <w:sz w:val="22"/>
          <w:szCs w:val="22"/>
        </w:rPr>
      </w:pPr>
      <w:r w:rsidRPr="003234D9">
        <w:rPr>
          <w:rFonts w:cs="Arial"/>
          <w:b/>
          <w:sz w:val="22"/>
          <w:szCs w:val="22"/>
        </w:rPr>
        <w:t xml:space="preserve">Table </w:t>
      </w:r>
      <w:r>
        <w:rPr>
          <w:rFonts w:cs="Arial"/>
          <w:b/>
          <w:sz w:val="22"/>
          <w:szCs w:val="22"/>
        </w:rPr>
        <w:t>13.</w:t>
      </w:r>
      <w:r w:rsidRPr="003234D9">
        <w:rPr>
          <w:rFonts w:cs="Arial"/>
          <w:b/>
          <w:sz w:val="22"/>
          <w:szCs w:val="22"/>
        </w:rPr>
        <w:t xml:space="preserve">6: Inter-rater reliability between criterion based review </w:t>
      </w:r>
      <w:r>
        <w:rPr>
          <w:rFonts w:cs="Arial"/>
          <w:b/>
          <w:sz w:val="22"/>
          <w:szCs w:val="22"/>
        </w:rPr>
        <w:t xml:space="preserve">quality of care </w:t>
      </w:r>
      <w:r w:rsidRPr="003234D9">
        <w:rPr>
          <w:rFonts w:cs="Arial"/>
          <w:b/>
          <w:sz w:val="22"/>
          <w:szCs w:val="22"/>
        </w:rPr>
        <w:t xml:space="preserve">scores </w:t>
      </w:r>
    </w:p>
    <w:tbl>
      <w:tblPr>
        <w:tblW w:w="84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2"/>
        <w:gridCol w:w="2176"/>
        <w:gridCol w:w="1704"/>
        <w:gridCol w:w="1792"/>
      </w:tblGrid>
      <w:tr w:rsidR="000923BB" w:rsidRPr="00F955C6" w14:paraId="163A5441" w14:textId="77777777" w:rsidTr="003A385F">
        <w:tc>
          <w:tcPr>
            <w:tcW w:w="2742" w:type="dxa"/>
          </w:tcPr>
          <w:p w14:paraId="186B00FD" w14:textId="77777777" w:rsidR="000923BB" w:rsidRPr="00F955C6" w:rsidRDefault="000923BB" w:rsidP="003A385F">
            <w:pPr>
              <w:rPr>
                <w:rFonts w:cs="Arial"/>
                <w:sz w:val="20"/>
                <w:szCs w:val="20"/>
              </w:rPr>
            </w:pPr>
          </w:p>
          <w:p w14:paraId="5C119C1C" w14:textId="77777777" w:rsidR="000923BB" w:rsidRPr="00F955C6" w:rsidRDefault="000923BB" w:rsidP="003A385F">
            <w:pPr>
              <w:rPr>
                <w:rFonts w:cs="Arial"/>
                <w:sz w:val="20"/>
                <w:szCs w:val="20"/>
              </w:rPr>
            </w:pPr>
            <w:r w:rsidRPr="00F955C6">
              <w:rPr>
                <w:rFonts w:cs="Arial"/>
                <w:sz w:val="20"/>
                <w:szCs w:val="20"/>
              </w:rPr>
              <w:t xml:space="preserve">Reviewer Pair </w:t>
            </w:r>
          </w:p>
        </w:tc>
        <w:tc>
          <w:tcPr>
            <w:tcW w:w="2176" w:type="dxa"/>
          </w:tcPr>
          <w:p w14:paraId="2A9ED2D6" w14:textId="77777777" w:rsidR="000923BB" w:rsidRPr="00F955C6" w:rsidRDefault="000923BB" w:rsidP="003A385F">
            <w:pPr>
              <w:rPr>
                <w:rFonts w:cs="Arial"/>
                <w:sz w:val="20"/>
                <w:szCs w:val="20"/>
              </w:rPr>
            </w:pPr>
          </w:p>
        </w:tc>
        <w:tc>
          <w:tcPr>
            <w:tcW w:w="1704" w:type="dxa"/>
          </w:tcPr>
          <w:p w14:paraId="2A0B2E77" w14:textId="77777777" w:rsidR="000923BB" w:rsidRPr="00F955C6" w:rsidRDefault="000923BB" w:rsidP="003A385F">
            <w:pPr>
              <w:rPr>
                <w:rFonts w:cs="Arial"/>
                <w:sz w:val="20"/>
                <w:szCs w:val="20"/>
              </w:rPr>
            </w:pPr>
            <w:r w:rsidRPr="00F955C6">
              <w:rPr>
                <w:rFonts w:cs="Arial"/>
                <w:sz w:val="20"/>
                <w:szCs w:val="20"/>
              </w:rPr>
              <w:t xml:space="preserve">ICC </w:t>
            </w:r>
          </w:p>
        </w:tc>
        <w:tc>
          <w:tcPr>
            <w:tcW w:w="1792" w:type="dxa"/>
          </w:tcPr>
          <w:p w14:paraId="0A025317" w14:textId="77777777" w:rsidR="000923BB" w:rsidRPr="00F955C6" w:rsidRDefault="000923BB" w:rsidP="003A385F">
            <w:pPr>
              <w:rPr>
                <w:rFonts w:cs="Arial"/>
                <w:sz w:val="20"/>
                <w:szCs w:val="20"/>
              </w:rPr>
            </w:pPr>
            <w:r w:rsidRPr="00F955C6">
              <w:rPr>
                <w:rFonts w:cs="Arial"/>
                <w:sz w:val="20"/>
                <w:szCs w:val="20"/>
              </w:rPr>
              <w:t xml:space="preserve">Significance </w:t>
            </w:r>
          </w:p>
        </w:tc>
      </w:tr>
      <w:tr w:rsidR="000923BB" w:rsidRPr="00F955C6" w14:paraId="0F1641CF" w14:textId="77777777" w:rsidTr="003A385F">
        <w:tc>
          <w:tcPr>
            <w:tcW w:w="2742" w:type="dxa"/>
          </w:tcPr>
          <w:p w14:paraId="56BEEC3F" w14:textId="77777777" w:rsidR="000923BB" w:rsidRPr="00F955C6" w:rsidRDefault="000923BB" w:rsidP="003A385F">
            <w:pPr>
              <w:rPr>
                <w:rFonts w:cs="Arial"/>
                <w:sz w:val="20"/>
                <w:szCs w:val="20"/>
              </w:rPr>
            </w:pPr>
            <w:r w:rsidRPr="00F955C6">
              <w:rPr>
                <w:rFonts w:cs="Arial"/>
                <w:sz w:val="20"/>
                <w:szCs w:val="20"/>
              </w:rPr>
              <w:t xml:space="preserve">Doctor 1 versus Doctor 2 </w:t>
            </w:r>
          </w:p>
        </w:tc>
        <w:tc>
          <w:tcPr>
            <w:tcW w:w="2176" w:type="dxa"/>
          </w:tcPr>
          <w:p w14:paraId="757A1449" w14:textId="77777777" w:rsidR="000923BB" w:rsidRPr="00F955C6" w:rsidRDefault="000923BB" w:rsidP="003A385F">
            <w:pPr>
              <w:rPr>
                <w:rFonts w:cs="Arial"/>
                <w:sz w:val="20"/>
                <w:szCs w:val="20"/>
              </w:rPr>
            </w:pPr>
            <w:r w:rsidRPr="00F955C6">
              <w:rPr>
                <w:rFonts w:cs="Arial"/>
                <w:sz w:val="20"/>
                <w:szCs w:val="20"/>
              </w:rPr>
              <w:t xml:space="preserve">Criterion based total quality of care score  </w:t>
            </w:r>
          </w:p>
        </w:tc>
        <w:tc>
          <w:tcPr>
            <w:tcW w:w="1704" w:type="dxa"/>
          </w:tcPr>
          <w:p w14:paraId="676927D5" w14:textId="77777777" w:rsidR="000923BB" w:rsidRPr="00F955C6" w:rsidRDefault="000923BB" w:rsidP="003A385F">
            <w:pPr>
              <w:rPr>
                <w:rFonts w:cs="Arial"/>
                <w:sz w:val="20"/>
                <w:szCs w:val="20"/>
              </w:rPr>
            </w:pPr>
            <w:r w:rsidRPr="00F955C6">
              <w:rPr>
                <w:rFonts w:cs="Arial"/>
                <w:sz w:val="20"/>
                <w:szCs w:val="20"/>
              </w:rPr>
              <w:t>0.031</w:t>
            </w:r>
          </w:p>
        </w:tc>
        <w:tc>
          <w:tcPr>
            <w:tcW w:w="1792" w:type="dxa"/>
          </w:tcPr>
          <w:p w14:paraId="482A0533" w14:textId="77777777" w:rsidR="000923BB" w:rsidRPr="00F955C6" w:rsidRDefault="000923BB" w:rsidP="003A385F">
            <w:pPr>
              <w:ind w:right="-1493"/>
              <w:rPr>
                <w:rFonts w:cs="Arial"/>
                <w:sz w:val="20"/>
                <w:szCs w:val="20"/>
              </w:rPr>
            </w:pPr>
            <w:r w:rsidRPr="00F955C6">
              <w:rPr>
                <w:rFonts w:cs="Arial"/>
                <w:sz w:val="20"/>
                <w:szCs w:val="20"/>
              </w:rPr>
              <w:t>0.426</w:t>
            </w:r>
          </w:p>
        </w:tc>
      </w:tr>
      <w:tr w:rsidR="000923BB" w:rsidRPr="00F955C6" w14:paraId="56E328F6" w14:textId="77777777" w:rsidTr="003A385F">
        <w:tc>
          <w:tcPr>
            <w:tcW w:w="2742" w:type="dxa"/>
          </w:tcPr>
          <w:p w14:paraId="63E7523A" w14:textId="77777777" w:rsidR="000923BB" w:rsidRPr="00F955C6" w:rsidRDefault="000923BB" w:rsidP="003A385F">
            <w:pPr>
              <w:rPr>
                <w:rFonts w:cs="Arial"/>
                <w:sz w:val="20"/>
                <w:szCs w:val="20"/>
              </w:rPr>
            </w:pPr>
            <w:r w:rsidRPr="00F955C6">
              <w:rPr>
                <w:rFonts w:cs="Arial"/>
                <w:sz w:val="20"/>
                <w:szCs w:val="20"/>
              </w:rPr>
              <w:t>Doctor 1 versus Clinical 1</w:t>
            </w:r>
          </w:p>
        </w:tc>
        <w:tc>
          <w:tcPr>
            <w:tcW w:w="2176" w:type="dxa"/>
          </w:tcPr>
          <w:p w14:paraId="3C4A6578" w14:textId="77777777" w:rsidR="000923BB" w:rsidRPr="00F955C6" w:rsidRDefault="000923BB" w:rsidP="003A385F">
            <w:pPr>
              <w:rPr>
                <w:rFonts w:cs="Arial"/>
                <w:sz w:val="20"/>
                <w:szCs w:val="20"/>
              </w:rPr>
            </w:pPr>
            <w:r w:rsidRPr="00F955C6">
              <w:rPr>
                <w:rFonts w:cs="Arial"/>
                <w:sz w:val="20"/>
                <w:szCs w:val="20"/>
              </w:rPr>
              <w:t xml:space="preserve">Criterion based total quality of care score  </w:t>
            </w:r>
          </w:p>
        </w:tc>
        <w:tc>
          <w:tcPr>
            <w:tcW w:w="1704" w:type="dxa"/>
          </w:tcPr>
          <w:p w14:paraId="0D2383BD" w14:textId="77777777" w:rsidR="000923BB" w:rsidRPr="00F955C6" w:rsidRDefault="000923BB" w:rsidP="003A385F">
            <w:pPr>
              <w:rPr>
                <w:rFonts w:cs="Arial"/>
                <w:sz w:val="20"/>
                <w:szCs w:val="20"/>
              </w:rPr>
            </w:pPr>
            <w:r w:rsidRPr="00F955C6">
              <w:rPr>
                <w:rFonts w:cs="Arial"/>
                <w:sz w:val="20"/>
                <w:szCs w:val="20"/>
              </w:rPr>
              <w:t>0.126</w:t>
            </w:r>
          </w:p>
        </w:tc>
        <w:tc>
          <w:tcPr>
            <w:tcW w:w="1792" w:type="dxa"/>
          </w:tcPr>
          <w:p w14:paraId="2681A6A7" w14:textId="77777777" w:rsidR="000923BB" w:rsidRPr="00F955C6" w:rsidRDefault="000923BB" w:rsidP="003A385F">
            <w:pPr>
              <w:rPr>
                <w:rFonts w:cs="Arial"/>
                <w:sz w:val="20"/>
                <w:szCs w:val="20"/>
              </w:rPr>
            </w:pPr>
            <w:r w:rsidRPr="00F955C6">
              <w:rPr>
                <w:rFonts w:cs="Arial"/>
                <w:sz w:val="20"/>
                <w:szCs w:val="20"/>
              </w:rPr>
              <w:t>0.226</w:t>
            </w:r>
          </w:p>
        </w:tc>
      </w:tr>
      <w:tr w:rsidR="000923BB" w:rsidRPr="00F955C6" w14:paraId="54A2245B" w14:textId="77777777" w:rsidTr="003A385F">
        <w:tc>
          <w:tcPr>
            <w:tcW w:w="2742" w:type="dxa"/>
          </w:tcPr>
          <w:p w14:paraId="63A74C77" w14:textId="77777777" w:rsidR="000923BB" w:rsidRPr="00F955C6" w:rsidRDefault="000923BB" w:rsidP="003A385F">
            <w:pPr>
              <w:rPr>
                <w:rFonts w:cs="Arial"/>
                <w:sz w:val="20"/>
                <w:szCs w:val="20"/>
              </w:rPr>
            </w:pPr>
            <w:r w:rsidRPr="00F955C6">
              <w:rPr>
                <w:rFonts w:cs="Arial"/>
                <w:sz w:val="20"/>
                <w:szCs w:val="20"/>
              </w:rPr>
              <w:t>Doctor 2 versus Clinical 1</w:t>
            </w:r>
          </w:p>
        </w:tc>
        <w:tc>
          <w:tcPr>
            <w:tcW w:w="2176" w:type="dxa"/>
          </w:tcPr>
          <w:p w14:paraId="242D6F09" w14:textId="77777777" w:rsidR="000923BB" w:rsidRPr="00F955C6" w:rsidRDefault="000923BB" w:rsidP="003A385F">
            <w:pPr>
              <w:rPr>
                <w:rFonts w:cs="Arial"/>
                <w:sz w:val="20"/>
                <w:szCs w:val="20"/>
              </w:rPr>
            </w:pPr>
            <w:r w:rsidRPr="00F955C6">
              <w:rPr>
                <w:rFonts w:cs="Arial"/>
                <w:sz w:val="20"/>
                <w:szCs w:val="20"/>
              </w:rPr>
              <w:t xml:space="preserve">Criterion based total quality of care score  </w:t>
            </w:r>
          </w:p>
        </w:tc>
        <w:tc>
          <w:tcPr>
            <w:tcW w:w="1704" w:type="dxa"/>
          </w:tcPr>
          <w:p w14:paraId="7E098522" w14:textId="77777777" w:rsidR="000923BB" w:rsidRPr="00F955C6" w:rsidRDefault="000923BB" w:rsidP="003A385F">
            <w:pPr>
              <w:rPr>
                <w:rFonts w:cs="Arial"/>
                <w:sz w:val="20"/>
                <w:szCs w:val="20"/>
              </w:rPr>
            </w:pPr>
            <w:r w:rsidRPr="00F955C6">
              <w:rPr>
                <w:rFonts w:cs="Arial"/>
                <w:sz w:val="20"/>
                <w:szCs w:val="20"/>
              </w:rPr>
              <w:t>0.384</w:t>
            </w:r>
          </w:p>
        </w:tc>
        <w:tc>
          <w:tcPr>
            <w:tcW w:w="1792" w:type="dxa"/>
          </w:tcPr>
          <w:p w14:paraId="4E455386" w14:textId="77777777" w:rsidR="000923BB" w:rsidRPr="00F955C6" w:rsidRDefault="000923BB" w:rsidP="003A385F">
            <w:pPr>
              <w:rPr>
                <w:rFonts w:cs="Arial"/>
                <w:sz w:val="20"/>
                <w:szCs w:val="20"/>
              </w:rPr>
            </w:pPr>
            <w:r w:rsidRPr="00F955C6">
              <w:rPr>
                <w:rFonts w:cs="Arial"/>
                <w:sz w:val="20"/>
                <w:szCs w:val="20"/>
              </w:rPr>
              <w:t>0.009</w:t>
            </w:r>
          </w:p>
        </w:tc>
      </w:tr>
      <w:tr w:rsidR="000923BB" w:rsidRPr="00F955C6" w14:paraId="11FBB681" w14:textId="77777777" w:rsidTr="003A385F">
        <w:tc>
          <w:tcPr>
            <w:tcW w:w="2742" w:type="dxa"/>
          </w:tcPr>
          <w:p w14:paraId="6B598761" w14:textId="77777777" w:rsidR="000923BB" w:rsidRPr="00F955C6" w:rsidRDefault="000923BB" w:rsidP="003A385F">
            <w:pPr>
              <w:rPr>
                <w:rFonts w:cs="Arial"/>
                <w:sz w:val="20"/>
                <w:szCs w:val="20"/>
              </w:rPr>
            </w:pPr>
            <w:r w:rsidRPr="00F955C6">
              <w:rPr>
                <w:rFonts w:cs="Arial"/>
                <w:sz w:val="20"/>
                <w:szCs w:val="20"/>
              </w:rPr>
              <w:t>All staff (Doctor 1, Doctor 2, Clinical 1)</w:t>
            </w:r>
          </w:p>
        </w:tc>
        <w:tc>
          <w:tcPr>
            <w:tcW w:w="2176" w:type="dxa"/>
          </w:tcPr>
          <w:p w14:paraId="64AB89A6" w14:textId="77777777" w:rsidR="000923BB" w:rsidRPr="00F955C6" w:rsidRDefault="000923BB" w:rsidP="003A385F">
            <w:pPr>
              <w:rPr>
                <w:rFonts w:cs="Arial"/>
                <w:sz w:val="20"/>
                <w:szCs w:val="20"/>
              </w:rPr>
            </w:pPr>
            <w:r w:rsidRPr="00F955C6">
              <w:rPr>
                <w:rFonts w:cs="Arial"/>
                <w:sz w:val="20"/>
                <w:szCs w:val="20"/>
              </w:rPr>
              <w:t xml:space="preserve">Criterion based total quality of care score  </w:t>
            </w:r>
          </w:p>
        </w:tc>
        <w:tc>
          <w:tcPr>
            <w:tcW w:w="1704" w:type="dxa"/>
          </w:tcPr>
          <w:p w14:paraId="23CC976C" w14:textId="77777777" w:rsidR="000923BB" w:rsidRPr="00F955C6" w:rsidRDefault="000923BB" w:rsidP="003A385F">
            <w:pPr>
              <w:rPr>
                <w:rFonts w:cs="Arial"/>
                <w:sz w:val="20"/>
                <w:szCs w:val="20"/>
              </w:rPr>
            </w:pPr>
            <w:r w:rsidRPr="00F955C6">
              <w:rPr>
                <w:rFonts w:cs="Arial"/>
                <w:sz w:val="20"/>
                <w:szCs w:val="20"/>
              </w:rPr>
              <w:t>0.199</w:t>
            </w:r>
          </w:p>
        </w:tc>
        <w:tc>
          <w:tcPr>
            <w:tcW w:w="1792" w:type="dxa"/>
          </w:tcPr>
          <w:p w14:paraId="7AD9D635" w14:textId="77777777" w:rsidR="000923BB" w:rsidRPr="00F955C6" w:rsidRDefault="000923BB" w:rsidP="003A385F">
            <w:pPr>
              <w:rPr>
                <w:rFonts w:cs="Arial"/>
                <w:sz w:val="20"/>
                <w:szCs w:val="20"/>
              </w:rPr>
            </w:pPr>
            <w:r w:rsidRPr="00F955C6">
              <w:rPr>
                <w:rFonts w:cs="Arial"/>
                <w:sz w:val="20"/>
                <w:szCs w:val="20"/>
              </w:rPr>
              <w:t>0.022</w:t>
            </w:r>
          </w:p>
        </w:tc>
      </w:tr>
    </w:tbl>
    <w:p w14:paraId="00952119" w14:textId="77777777" w:rsidR="000923BB" w:rsidRPr="003234D9" w:rsidRDefault="000923BB" w:rsidP="000923BB">
      <w:pPr>
        <w:jc w:val="both"/>
        <w:rPr>
          <w:rFonts w:cs="Arial"/>
          <w:b/>
          <w:sz w:val="22"/>
          <w:szCs w:val="22"/>
        </w:rPr>
      </w:pPr>
    </w:p>
    <w:p w14:paraId="74237254" w14:textId="77777777" w:rsidR="000923BB" w:rsidRDefault="000923BB" w:rsidP="000923BB">
      <w:pPr>
        <w:jc w:val="both"/>
        <w:rPr>
          <w:rFonts w:cs="Arial"/>
          <w:sz w:val="22"/>
          <w:szCs w:val="22"/>
          <w:u w:val="single"/>
        </w:rPr>
      </w:pPr>
      <w:r w:rsidRPr="000108C0">
        <w:rPr>
          <w:rFonts w:cs="Arial"/>
          <w:sz w:val="22"/>
          <w:szCs w:val="22"/>
          <w:u w:val="single"/>
        </w:rPr>
        <w:t xml:space="preserve">Comparison with results from the </w:t>
      </w:r>
      <w:r>
        <w:rPr>
          <w:rFonts w:cs="Arial"/>
          <w:sz w:val="22"/>
          <w:szCs w:val="22"/>
          <w:u w:val="single"/>
        </w:rPr>
        <w:t>Phase One</w:t>
      </w:r>
      <w:r w:rsidRPr="000108C0">
        <w:rPr>
          <w:rFonts w:cs="Arial"/>
          <w:sz w:val="22"/>
          <w:szCs w:val="22"/>
          <w:u w:val="single"/>
        </w:rPr>
        <w:t xml:space="preserve"> study</w:t>
      </w:r>
    </w:p>
    <w:p w14:paraId="0EE5EDD7" w14:textId="77777777" w:rsidR="000923BB" w:rsidRPr="000108C0" w:rsidRDefault="000923BB" w:rsidP="000923BB">
      <w:pPr>
        <w:jc w:val="both"/>
        <w:rPr>
          <w:rFonts w:cs="Arial"/>
          <w:sz w:val="22"/>
          <w:szCs w:val="22"/>
          <w:u w:val="single"/>
        </w:rPr>
      </w:pPr>
    </w:p>
    <w:p w14:paraId="25E210B9" w14:textId="77777777" w:rsidR="000923BB" w:rsidRDefault="000923BB" w:rsidP="000923BB">
      <w:pPr>
        <w:jc w:val="both"/>
        <w:rPr>
          <w:rFonts w:cs="Arial"/>
          <w:sz w:val="22"/>
          <w:szCs w:val="22"/>
        </w:rPr>
      </w:pPr>
      <w:r>
        <w:rPr>
          <w:rFonts w:cs="Arial"/>
          <w:sz w:val="22"/>
          <w:szCs w:val="22"/>
        </w:rPr>
        <w:t>As with the holistic data, t</w:t>
      </w:r>
      <w:r w:rsidRPr="003234D9">
        <w:rPr>
          <w:rFonts w:cs="Arial"/>
          <w:sz w:val="22"/>
          <w:szCs w:val="22"/>
        </w:rPr>
        <w:t xml:space="preserve">he amount of comparison that can be undertaken between the stroke reviewer reliability </w:t>
      </w:r>
      <w:r>
        <w:rPr>
          <w:rFonts w:cs="Arial"/>
          <w:sz w:val="22"/>
          <w:szCs w:val="22"/>
        </w:rPr>
        <w:t>analysis and the main study</w:t>
      </w:r>
      <w:r w:rsidRPr="003234D9">
        <w:rPr>
          <w:rFonts w:cs="Arial"/>
          <w:sz w:val="22"/>
          <w:szCs w:val="22"/>
        </w:rPr>
        <w:t xml:space="preserve"> reliability </w:t>
      </w:r>
      <w:r>
        <w:rPr>
          <w:rFonts w:cs="Arial"/>
          <w:sz w:val="22"/>
          <w:szCs w:val="22"/>
        </w:rPr>
        <w:t xml:space="preserve">analysis </w:t>
      </w:r>
      <w:r w:rsidRPr="003234D9">
        <w:rPr>
          <w:rFonts w:cs="Arial"/>
          <w:sz w:val="22"/>
          <w:szCs w:val="22"/>
        </w:rPr>
        <w:t xml:space="preserve">is limited, due to the small number of stroke reviewers taking part. </w:t>
      </w:r>
    </w:p>
    <w:p w14:paraId="6CA844D9" w14:textId="77777777" w:rsidR="000923BB" w:rsidRPr="003234D9" w:rsidRDefault="000923BB" w:rsidP="000923BB">
      <w:pPr>
        <w:jc w:val="both"/>
        <w:rPr>
          <w:rFonts w:cs="Arial"/>
          <w:sz w:val="22"/>
          <w:szCs w:val="22"/>
        </w:rPr>
      </w:pPr>
    </w:p>
    <w:p w14:paraId="0E662927" w14:textId="77777777" w:rsidR="000923BB" w:rsidRDefault="000923BB" w:rsidP="000923BB">
      <w:pPr>
        <w:jc w:val="both"/>
        <w:rPr>
          <w:rFonts w:cs="Arial"/>
          <w:sz w:val="22"/>
          <w:szCs w:val="22"/>
          <w:u w:val="single"/>
        </w:rPr>
      </w:pPr>
      <w:r>
        <w:rPr>
          <w:rFonts w:cs="Arial"/>
          <w:sz w:val="22"/>
          <w:szCs w:val="22"/>
        </w:rPr>
        <w:t>On the whole the reliability results for the stroke data are much lower than that of the Phase One study where the reliability results were 0.88 (range 0.64 to 0.96) for the pairs of doctor reviewers (Table 9). The stroke review reliability for the doctor pairs is much less at only 0.031, suggesting that the reviewers are not completing the data collection form in the same way.  However, reliability results for doctors in the Phase One study did vary quite widely between individual pairs</w:t>
      </w:r>
    </w:p>
    <w:p w14:paraId="00457B70" w14:textId="77777777" w:rsidR="000923BB" w:rsidRDefault="000923BB" w:rsidP="000923BB">
      <w:pPr>
        <w:jc w:val="both"/>
        <w:rPr>
          <w:rFonts w:cs="Arial"/>
          <w:sz w:val="22"/>
          <w:szCs w:val="22"/>
          <w:u w:val="single"/>
        </w:rPr>
      </w:pPr>
    </w:p>
    <w:p w14:paraId="049D28FF" w14:textId="77777777" w:rsidR="00900FF0" w:rsidRDefault="00900FF0" w:rsidP="000923BB">
      <w:pPr>
        <w:autoSpaceDE w:val="0"/>
        <w:autoSpaceDN w:val="0"/>
        <w:adjustRightInd w:val="0"/>
        <w:rPr>
          <w:rFonts w:cs="Arial"/>
          <w:sz w:val="22"/>
          <w:szCs w:val="22"/>
          <w:u w:val="single"/>
        </w:rPr>
      </w:pPr>
    </w:p>
    <w:p w14:paraId="1C3A5FAF" w14:textId="77777777" w:rsidR="00900FF0" w:rsidRDefault="00900FF0" w:rsidP="000923BB">
      <w:pPr>
        <w:autoSpaceDE w:val="0"/>
        <w:autoSpaceDN w:val="0"/>
        <w:adjustRightInd w:val="0"/>
        <w:rPr>
          <w:rFonts w:cs="Arial"/>
          <w:sz w:val="22"/>
          <w:szCs w:val="22"/>
          <w:u w:val="single"/>
        </w:rPr>
      </w:pPr>
    </w:p>
    <w:p w14:paraId="06758266" w14:textId="77777777" w:rsidR="00900FF0" w:rsidRDefault="00900FF0" w:rsidP="000923BB">
      <w:pPr>
        <w:autoSpaceDE w:val="0"/>
        <w:autoSpaceDN w:val="0"/>
        <w:adjustRightInd w:val="0"/>
        <w:rPr>
          <w:rFonts w:cs="Arial"/>
          <w:sz w:val="22"/>
          <w:szCs w:val="22"/>
          <w:u w:val="single"/>
        </w:rPr>
      </w:pPr>
    </w:p>
    <w:p w14:paraId="65182ABA" w14:textId="77777777" w:rsidR="000923BB" w:rsidRPr="00E42C14" w:rsidRDefault="000923BB" w:rsidP="000923BB">
      <w:pPr>
        <w:autoSpaceDE w:val="0"/>
        <w:autoSpaceDN w:val="0"/>
        <w:adjustRightInd w:val="0"/>
        <w:rPr>
          <w:rFonts w:cs="Arial"/>
          <w:sz w:val="22"/>
          <w:szCs w:val="22"/>
          <w:u w:val="single"/>
        </w:rPr>
      </w:pPr>
      <w:r w:rsidRPr="00E42C14">
        <w:rPr>
          <w:rFonts w:cs="Arial"/>
          <w:sz w:val="22"/>
          <w:szCs w:val="22"/>
          <w:u w:val="single"/>
        </w:rPr>
        <w:lastRenderedPageBreak/>
        <w:t xml:space="preserve">Time taken to complete reviews </w:t>
      </w:r>
    </w:p>
    <w:p w14:paraId="6B2C1572" w14:textId="77777777" w:rsidR="000923BB" w:rsidRDefault="000923BB" w:rsidP="000923BB">
      <w:pPr>
        <w:jc w:val="both"/>
        <w:rPr>
          <w:rFonts w:cs="Arial"/>
          <w:sz w:val="22"/>
          <w:szCs w:val="22"/>
        </w:rPr>
      </w:pPr>
      <w:r>
        <w:rPr>
          <w:rFonts w:cs="Arial"/>
          <w:sz w:val="22"/>
          <w:szCs w:val="22"/>
        </w:rPr>
        <w:t>D</w:t>
      </w:r>
      <w:r w:rsidRPr="002B0CFE">
        <w:rPr>
          <w:rFonts w:cs="Arial"/>
          <w:sz w:val="22"/>
          <w:szCs w:val="22"/>
        </w:rPr>
        <w:t xml:space="preserve">ata presented </w:t>
      </w:r>
      <w:r>
        <w:rPr>
          <w:rFonts w:cs="Arial"/>
          <w:sz w:val="22"/>
          <w:szCs w:val="22"/>
        </w:rPr>
        <w:t>in Table 13.7 show that</w:t>
      </w:r>
      <w:r w:rsidRPr="002B0CFE">
        <w:rPr>
          <w:rFonts w:cs="Arial"/>
          <w:sz w:val="22"/>
          <w:szCs w:val="22"/>
        </w:rPr>
        <w:t xml:space="preserve"> </w:t>
      </w:r>
      <w:r>
        <w:rPr>
          <w:rFonts w:cs="Arial"/>
          <w:sz w:val="22"/>
          <w:szCs w:val="22"/>
        </w:rPr>
        <w:t xml:space="preserve">each stroke care record review took approximately 1 hour. </w:t>
      </w:r>
    </w:p>
    <w:p w14:paraId="153F9FEB" w14:textId="77777777" w:rsidR="000923BB" w:rsidRPr="00052FFC" w:rsidRDefault="000923BB" w:rsidP="000923BB">
      <w:pPr>
        <w:jc w:val="both"/>
        <w:rPr>
          <w:rFonts w:cs="Arial"/>
          <w:b/>
          <w:sz w:val="22"/>
          <w:szCs w:val="22"/>
        </w:rPr>
      </w:pPr>
      <w:r>
        <w:rPr>
          <w:rFonts w:cs="Arial"/>
          <w:b/>
          <w:sz w:val="22"/>
          <w:szCs w:val="22"/>
        </w:rPr>
        <w:t>Table 13.7: S</w:t>
      </w:r>
      <w:r w:rsidRPr="003234D9">
        <w:rPr>
          <w:rFonts w:cs="Arial"/>
          <w:b/>
          <w:sz w:val="22"/>
          <w:szCs w:val="22"/>
        </w:rPr>
        <w:t>ummary statistics for time taken to review records (minutes)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5"/>
        <w:gridCol w:w="1707"/>
        <w:gridCol w:w="1707"/>
        <w:gridCol w:w="1707"/>
      </w:tblGrid>
      <w:tr w:rsidR="000923BB" w:rsidRPr="00F955C6" w14:paraId="5FCEDCA0" w14:textId="77777777" w:rsidTr="005B2F93">
        <w:tc>
          <w:tcPr>
            <w:tcW w:w="1465" w:type="dxa"/>
          </w:tcPr>
          <w:p w14:paraId="44E6A442" w14:textId="77777777" w:rsidR="000923BB" w:rsidRPr="00F955C6" w:rsidRDefault="000923BB" w:rsidP="003A385F">
            <w:pPr>
              <w:tabs>
                <w:tab w:val="center" w:pos="4276"/>
              </w:tabs>
              <w:autoSpaceDE w:val="0"/>
              <w:autoSpaceDN w:val="0"/>
              <w:adjustRightInd w:val="0"/>
              <w:jc w:val="both"/>
              <w:rPr>
                <w:rFonts w:cs="Arial"/>
                <w:b/>
                <w:bCs/>
                <w:color w:val="000000"/>
                <w:sz w:val="22"/>
                <w:szCs w:val="22"/>
              </w:rPr>
            </w:pPr>
          </w:p>
        </w:tc>
        <w:tc>
          <w:tcPr>
            <w:tcW w:w="1707" w:type="dxa"/>
          </w:tcPr>
          <w:p w14:paraId="5F38400E" w14:textId="77777777" w:rsidR="000923BB" w:rsidRPr="00F955C6" w:rsidRDefault="000923BB" w:rsidP="003A385F">
            <w:pPr>
              <w:tabs>
                <w:tab w:val="center" w:pos="4276"/>
              </w:tabs>
              <w:autoSpaceDE w:val="0"/>
              <w:autoSpaceDN w:val="0"/>
              <w:adjustRightInd w:val="0"/>
              <w:jc w:val="both"/>
              <w:rPr>
                <w:rFonts w:cs="Arial"/>
                <w:b/>
                <w:bCs/>
                <w:color w:val="000000"/>
                <w:sz w:val="22"/>
                <w:szCs w:val="22"/>
              </w:rPr>
            </w:pPr>
            <w:r w:rsidRPr="00F955C6">
              <w:rPr>
                <w:rFonts w:cs="Arial"/>
                <w:sz w:val="20"/>
                <w:szCs w:val="20"/>
              </w:rPr>
              <w:t xml:space="preserve">Clinical reviewer (Nurse </w:t>
            </w:r>
          </w:p>
        </w:tc>
        <w:tc>
          <w:tcPr>
            <w:tcW w:w="1707" w:type="dxa"/>
          </w:tcPr>
          <w:p w14:paraId="0BFE4F40" w14:textId="77777777" w:rsidR="000923BB" w:rsidRPr="00F955C6" w:rsidRDefault="000923BB" w:rsidP="003A385F">
            <w:pPr>
              <w:tabs>
                <w:tab w:val="center" w:pos="4276"/>
              </w:tabs>
              <w:autoSpaceDE w:val="0"/>
              <w:autoSpaceDN w:val="0"/>
              <w:adjustRightInd w:val="0"/>
              <w:jc w:val="both"/>
              <w:rPr>
                <w:rFonts w:cs="Arial"/>
                <w:b/>
                <w:bCs/>
                <w:color w:val="000000"/>
                <w:sz w:val="22"/>
                <w:szCs w:val="22"/>
              </w:rPr>
            </w:pPr>
            <w:r w:rsidRPr="00F955C6">
              <w:rPr>
                <w:rFonts w:cs="Arial"/>
                <w:sz w:val="20"/>
                <w:szCs w:val="20"/>
              </w:rPr>
              <w:t>Doctor 1 reviewer</w:t>
            </w:r>
          </w:p>
        </w:tc>
        <w:tc>
          <w:tcPr>
            <w:tcW w:w="1707" w:type="dxa"/>
          </w:tcPr>
          <w:p w14:paraId="36330EE3" w14:textId="77777777" w:rsidR="000923BB" w:rsidRPr="00F955C6" w:rsidRDefault="000923BB" w:rsidP="003A385F">
            <w:pPr>
              <w:tabs>
                <w:tab w:val="center" w:pos="4276"/>
              </w:tabs>
              <w:autoSpaceDE w:val="0"/>
              <w:autoSpaceDN w:val="0"/>
              <w:adjustRightInd w:val="0"/>
              <w:jc w:val="both"/>
              <w:rPr>
                <w:rFonts w:cs="Arial"/>
                <w:b/>
                <w:bCs/>
                <w:color w:val="000000"/>
                <w:sz w:val="22"/>
                <w:szCs w:val="22"/>
              </w:rPr>
            </w:pPr>
            <w:r w:rsidRPr="00F955C6">
              <w:rPr>
                <w:rFonts w:cs="Arial"/>
                <w:sz w:val="20"/>
                <w:szCs w:val="20"/>
              </w:rPr>
              <w:t>Doctor 2 reviewer</w:t>
            </w:r>
          </w:p>
        </w:tc>
      </w:tr>
      <w:tr w:rsidR="000923BB" w:rsidRPr="00F955C6" w14:paraId="0826D2C9" w14:textId="77777777" w:rsidTr="005B2F93">
        <w:tc>
          <w:tcPr>
            <w:tcW w:w="1465" w:type="dxa"/>
          </w:tcPr>
          <w:p w14:paraId="1DF2CEE1" w14:textId="77777777" w:rsidR="000923BB" w:rsidRPr="00F955C6" w:rsidRDefault="000923BB" w:rsidP="003A385F">
            <w:pPr>
              <w:autoSpaceDE w:val="0"/>
              <w:autoSpaceDN w:val="0"/>
              <w:adjustRightInd w:val="0"/>
              <w:jc w:val="both"/>
              <w:rPr>
                <w:rFonts w:cs="Arial"/>
                <w:color w:val="000000"/>
                <w:sz w:val="22"/>
                <w:szCs w:val="22"/>
              </w:rPr>
            </w:pPr>
            <w:r w:rsidRPr="00F955C6">
              <w:rPr>
                <w:rFonts w:cs="Arial"/>
                <w:color w:val="000000"/>
                <w:sz w:val="22"/>
                <w:szCs w:val="22"/>
              </w:rPr>
              <w:t>Mean</w:t>
            </w:r>
          </w:p>
        </w:tc>
        <w:tc>
          <w:tcPr>
            <w:tcW w:w="1707" w:type="dxa"/>
            <w:shd w:val="clear" w:color="auto" w:fill="auto"/>
            <w:vAlign w:val="center"/>
          </w:tcPr>
          <w:p w14:paraId="06F73EAC" w14:textId="77777777" w:rsidR="000923BB" w:rsidRPr="00F955C6" w:rsidRDefault="000923BB" w:rsidP="003A385F">
            <w:pPr>
              <w:autoSpaceDE w:val="0"/>
              <w:autoSpaceDN w:val="0"/>
              <w:adjustRightInd w:val="0"/>
              <w:jc w:val="both"/>
              <w:rPr>
                <w:rFonts w:cs="Arial"/>
                <w:color w:val="000000"/>
                <w:sz w:val="22"/>
                <w:szCs w:val="22"/>
              </w:rPr>
            </w:pPr>
            <w:r w:rsidRPr="00F955C6">
              <w:rPr>
                <w:rFonts w:cs="Arial"/>
                <w:color w:val="000000"/>
                <w:sz w:val="22"/>
                <w:szCs w:val="22"/>
              </w:rPr>
              <w:t>53.78</w:t>
            </w:r>
          </w:p>
        </w:tc>
        <w:tc>
          <w:tcPr>
            <w:tcW w:w="1707" w:type="dxa"/>
            <w:shd w:val="clear" w:color="auto" w:fill="auto"/>
            <w:vAlign w:val="center"/>
          </w:tcPr>
          <w:p w14:paraId="562BF10C" w14:textId="77777777" w:rsidR="000923BB" w:rsidRPr="00F955C6" w:rsidRDefault="000923BB" w:rsidP="003A385F">
            <w:pPr>
              <w:autoSpaceDE w:val="0"/>
              <w:autoSpaceDN w:val="0"/>
              <w:adjustRightInd w:val="0"/>
              <w:jc w:val="both"/>
              <w:rPr>
                <w:rFonts w:cs="Arial"/>
                <w:color w:val="000000"/>
                <w:sz w:val="22"/>
                <w:szCs w:val="22"/>
              </w:rPr>
            </w:pPr>
            <w:r w:rsidRPr="00F955C6">
              <w:rPr>
                <w:rFonts w:cs="Arial"/>
                <w:color w:val="000000"/>
                <w:sz w:val="22"/>
                <w:szCs w:val="22"/>
              </w:rPr>
              <w:t>70.14</w:t>
            </w:r>
          </w:p>
        </w:tc>
        <w:tc>
          <w:tcPr>
            <w:tcW w:w="1707" w:type="dxa"/>
            <w:shd w:val="clear" w:color="auto" w:fill="auto"/>
            <w:vAlign w:val="center"/>
          </w:tcPr>
          <w:p w14:paraId="6ECB4BC6" w14:textId="77777777" w:rsidR="000923BB" w:rsidRPr="00F955C6" w:rsidRDefault="000923BB" w:rsidP="003A385F">
            <w:pPr>
              <w:autoSpaceDE w:val="0"/>
              <w:autoSpaceDN w:val="0"/>
              <w:adjustRightInd w:val="0"/>
              <w:jc w:val="both"/>
              <w:rPr>
                <w:rFonts w:cs="Arial"/>
                <w:color w:val="000000"/>
                <w:sz w:val="22"/>
                <w:szCs w:val="22"/>
              </w:rPr>
            </w:pPr>
            <w:r w:rsidRPr="00F955C6">
              <w:rPr>
                <w:rFonts w:cs="Arial"/>
                <w:color w:val="000000"/>
                <w:sz w:val="22"/>
                <w:szCs w:val="22"/>
              </w:rPr>
              <w:t>66.57</w:t>
            </w:r>
          </w:p>
        </w:tc>
      </w:tr>
      <w:tr w:rsidR="000923BB" w:rsidRPr="00F955C6" w14:paraId="149B59A1" w14:textId="77777777" w:rsidTr="005B2F93">
        <w:tc>
          <w:tcPr>
            <w:tcW w:w="1465" w:type="dxa"/>
          </w:tcPr>
          <w:p w14:paraId="54711334" w14:textId="77777777" w:rsidR="000923BB" w:rsidRPr="00F955C6" w:rsidRDefault="000923BB" w:rsidP="003A385F">
            <w:pPr>
              <w:autoSpaceDE w:val="0"/>
              <w:autoSpaceDN w:val="0"/>
              <w:adjustRightInd w:val="0"/>
              <w:jc w:val="both"/>
              <w:rPr>
                <w:rFonts w:cs="Arial"/>
                <w:color w:val="000000"/>
                <w:sz w:val="22"/>
                <w:szCs w:val="22"/>
              </w:rPr>
            </w:pPr>
            <w:r w:rsidRPr="00F955C6">
              <w:rPr>
                <w:rFonts w:cs="Arial"/>
                <w:color w:val="000000"/>
                <w:sz w:val="22"/>
                <w:szCs w:val="22"/>
              </w:rPr>
              <w:t>Median</w:t>
            </w:r>
          </w:p>
        </w:tc>
        <w:tc>
          <w:tcPr>
            <w:tcW w:w="1707" w:type="dxa"/>
            <w:shd w:val="clear" w:color="auto" w:fill="auto"/>
            <w:vAlign w:val="center"/>
          </w:tcPr>
          <w:p w14:paraId="10FA95D9" w14:textId="77777777" w:rsidR="000923BB" w:rsidRPr="00F955C6" w:rsidRDefault="000923BB" w:rsidP="003A385F">
            <w:pPr>
              <w:autoSpaceDE w:val="0"/>
              <w:autoSpaceDN w:val="0"/>
              <w:adjustRightInd w:val="0"/>
              <w:jc w:val="both"/>
              <w:rPr>
                <w:rFonts w:cs="Arial"/>
                <w:color w:val="000000"/>
                <w:sz w:val="22"/>
                <w:szCs w:val="22"/>
              </w:rPr>
            </w:pPr>
            <w:r w:rsidRPr="00F955C6">
              <w:rPr>
                <w:rFonts w:cs="Arial"/>
                <w:color w:val="000000"/>
                <w:sz w:val="22"/>
                <w:szCs w:val="22"/>
              </w:rPr>
              <w:t>50.00</w:t>
            </w:r>
          </w:p>
        </w:tc>
        <w:tc>
          <w:tcPr>
            <w:tcW w:w="1707" w:type="dxa"/>
            <w:shd w:val="clear" w:color="auto" w:fill="auto"/>
            <w:vAlign w:val="center"/>
          </w:tcPr>
          <w:p w14:paraId="78536525" w14:textId="77777777" w:rsidR="000923BB" w:rsidRPr="00F955C6" w:rsidRDefault="000923BB" w:rsidP="003A385F">
            <w:pPr>
              <w:autoSpaceDE w:val="0"/>
              <w:autoSpaceDN w:val="0"/>
              <w:adjustRightInd w:val="0"/>
              <w:jc w:val="both"/>
              <w:rPr>
                <w:rFonts w:cs="Arial"/>
                <w:color w:val="000000"/>
                <w:sz w:val="22"/>
                <w:szCs w:val="22"/>
              </w:rPr>
            </w:pPr>
            <w:r w:rsidRPr="00F955C6">
              <w:rPr>
                <w:rFonts w:cs="Arial"/>
                <w:color w:val="000000"/>
                <w:sz w:val="22"/>
                <w:szCs w:val="22"/>
              </w:rPr>
              <w:t>70.00</w:t>
            </w:r>
          </w:p>
        </w:tc>
        <w:tc>
          <w:tcPr>
            <w:tcW w:w="1707" w:type="dxa"/>
            <w:shd w:val="clear" w:color="auto" w:fill="auto"/>
            <w:vAlign w:val="center"/>
          </w:tcPr>
          <w:p w14:paraId="325C28F0" w14:textId="77777777" w:rsidR="000923BB" w:rsidRPr="00F955C6" w:rsidRDefault="000923BB" w:rsidP="003A385F">
            <w:pPr>
              <w:autoSpaceDE w:val="0"/>
              <w:autoSpaceDN w:val="0"/>
              <w:adjustRightInd w:val="0"/>
              <w:jc w:val="both"/>
              <w:rPr>
                <w:rFonts w:cs="Arial"/>
                <w:color w:val="000000"/>
                <w:sz w:val="22"/>
                <w:szCs w:val="22"/>
              </w:rPr>
            </w:pPr>
            <w:r w:rsidRPr="00F955C6">
              <w:rPr>
                <w:rFonts w:cs="Arial"/>
                <w:color w:val="000000"/>
                <w:sz w:val="22"/>
                <w:szCs w:val="22"/>
              </w:rPr>
              <w:t>60.00</w:t>
            </w:r>
          </w:p>
        </w:tc>
      </w:tr>
      <w:tr w:rsidR="000923BB" w:rsidRPr="00F955C6" w14:paraId="13829BBD" w14:textId="77777777" w:rsidTr="005B2F93">
        <w:tc>
          <w:tcPr>
            <w:tcW w:w="1465" w:type="dxa"/>
          </w:tcPr>
          <w:p w14:paraId="26CA322F" w14:textId="77777777" w:rsidR="000923BB" w:rsidRPr="00F955C6" w:rsidRDefault="000923BB" w:rsidP="003A385F">
            <w:pPr>
              <w:autoSpaceDE w:val="0"/>
              <w:autoSpaceDN w:val="0"/>
              <w:adjustRightInd w:val="0"/>
              <w:jc w:val="both"/>
              <w:rPr>
                <w:rFonts w:cs="Arial"/>
                <w:color w:val="000000"/>
                <w:sz w:val="22"/>
                <w:szCs w:val="22"/>
              </w:rPr>
            </w:pPr>
            <w:r w:rsidRPr="00F955C6">
              <w:rPr>
                <w:rFonts w:cs="Arial"/>
                <w:color w:val="000000"/>
                <w:sz w:val="22"/>
                <w:szCs w:val="22"/>
              </w:rPr>
              <w:t>Std. Deviation</w:t>
            </w:r>
          </w:p>
        </w:tc>
        <w:tc>
          <w:tcPr>
            <w:tcW w:w="1707" w:type="dxa"/>
            <w:shd w:val="clear" w:color="auto" w:fill="auto"/>
            <w:vAlign w:val="center"/>
          </w:tcPr>
          <w:p w14:paraId="35F3ED7F" w14:textId="77777777" w:rsidR="000923BB" w:rsidRPr="00F955C6" w:rsidRDefault="000923BB" w:rsidP="003A385F">
            <w:pPr>
              <w:autoSpaceDE w:val="0"/>
              <w:autoSpaceDN w:val="0"/>
              <w:adjustRightInd w:val="0"/>
              <w:jc w:val="both"/>
              <w:rPr>
                <w:rFonts w:cs="Arial"/>
                <w:color w:val="000000"/>
                <w:sz w:val="22"/>
                <w:szCs w:val="22"/>
              </w:rPr>
            </w:pPr>
            <w:r w:rsidRPr="00F955C6">
              <w:rPr>
                <w:rFonts w:cs="Arial"/>
                <w:color w:val="000000"/>
                <w:sz w:val="22"/>
                <w:szCs w:val="22"/>
              </w:rPr>
              <w:t>12.985</w:t>
            </w:r>
          </w:p>
        </w:tc>
        <w:tc>
          <w:tcPr>
            <w:tcW w:w="1707" w:type="dxa"/>
            <w:shd w:val="clear" w:color="auto" w:fill="auto"/>
            <w:vAlign w:val="center"/>
          </w:tcPr>
          <w:p w14:paraId="69EAF25B" w14:textId="77777777" w:rsidR="000923BB" w:rsidRPr="00F955C6" w:rsidRDefault="000923BB" w:rsidP="003A385F">
            <w:pPr>
              <w:autoSpaceDE w:val="0"/>
              <w:autoSpaceDN w:val="0"/>
              <w:adjustRightInd w:val="0"/>
              <w:jc w:val="both"/>
              <w:rPr>
                <w:rFonts w:cs="Arial"/>
                <w:color w:val="000000"/>
                <w:sz w:val="22"/>
                <w:szCs w:val="22"/>
              </w:rPr>
            </w:pPr>
            <w:r w:rsidRPr="00F955C6">
              <w:rPr>
                <w:rFonts w:cs="Arial"/>
                <w:color w:val="000000"/>
                <w:sz w:val="22"/>
                <w:szCs w:val="22"/>
              </w:rPr>
              <w:t>12.047</w:t>
            </w:r>
          </w:p>
        </w:tc>
        <w:tc>
          <w:tcPr>
            <w:tcW w:w="1707" w:type="dxa"/>
            <w:shd w:val="clear" w:color="auto" w:fill="auto"/>
            <w:vAlign w:val="center"/>
          </w:tcPr>
          <w:p w14:paraId="7560895D" w14:textId="77777777" w:rsidR="000923BB" w:rsidRPr="00F955C6" w:rsidRDefault="000923BB" w:rsidP="003A385F">
            <w:pPr>
              <w:autoSpaceDE w:val="0"/>
              <w:autoSpaceDN w:val="0"/>
              <w:adjustRightInd w:val="0"/>
              <w:jc w:val="both"/>
              <w:rPr>
                <w:rFonts w:cs="Arial"/>
                <w:color w:val="000000"/>
                <w:sz w:val="22"/>
                <w:szCs w:val="22"/>
              </w:rPr>
            </w:pPr>
            <w:r w:rsidRPr="00F955C6">
              <w:rPr>
                <w:rFonts w:cs="Arial"/>
                <w:color w:val="000000"/>
                <w:sz w:val="22"/>
                <w:szCs w:val="22"/>
              </w:rPr>
              <w:t>26.031</w:t>
            </w:r>
          </w:p>
        </w:tc>
      </w:tr>
      <w:tr w:rsidR="000923BB" w:rsidRPr="00F955C6" w14:paraId="69E3CA5D" w14:textId="77777777" w:rsidTr="005B2F93">
        <w:tc>
          <w:tcPr>
            <w:tcW w:w="1465" w:type="dxa"/>
          </w:tcPr>
          <w:p w14:paraId="149D6B51" w14:textId="77777777" w:rsidR="000923BB" w:rsidRPr="00F955C6" w:rsidRDefault="000923BB" w:rsidP="003A385F">
            <w:pPr>
              <w:autoSpaceDE w:val="0"/>
              <w:autoSpaceDN w:val="0"/>
              <w:adjustRightInd w:val="0"/>
              <w:jc w:val="both"/>
              <w:rPr>
                <w:rFonts w:cs="Arial"/>
                <w:color w:val="000000"/>
                <w:sz w:val="22"/>
                <w:szCs w:val="22"/>
              </w:rPr>
            </w:pPr>
            <w:r w:rsidRPr="00F955C6">
              <w:rPr>
                <w:rFonts w:cs="Arial"/>
                <w:color w:val="000000"/>
                <w:sz w:val="22"/>
                <w:szCs w:val="22"/>
              </w:rPr>
              <w:t>Minimum</w:t>
            </w:r>
          </w:p>
        </w:tc>
        <w:tc>
          <w:tcPr>
            <w:tcW w:w="1707" w:type="dxa"/>
            <w:shd w:val="clear" w:color="auto" w:fill="auto"/>
            <w:vAlign w:val="center"/>
          </w:tcPr>
          <w:p w14:paraId="762ACB1A" w14:textId="77777777" w:rsidR="000923BB" w:rsidRPr="00F955C6" w:rsidRDefault="000923BB" w:rsidP="003A385F">
            <w:pPr>
              <w:autoSpaceDE w:val="0"/>
              <w:autoSpaceDN w:val="0"/>
              <w:adjustRightInd w:val="0"/>
              <w:jc w:val="both"/>
              <w:rPr>
                <w:rFonts w:cs="Arial"/>
                <w:color w:val="000000"/>
                <w:sz w:val="22"/>
                <w:szCs w:val="22"/>
              </w:rPr>
            </w:pPr>
            <w:r w:rsidRPr="00F955C6">
              <w:rPr>
                <w:rFonts w:cs="Arial"/>
                <w:color w:val="000000"/>
                <w:sz w:val="22"/>
                <w:szCs w:val="22"/>
              </w:rPr>
              <w:t>40</w:t>
            </w:r>
          </w:p>
        </w:tc>
        <w:tc>
          <w:tcPr>
            <w:tcW w:w="1707" w:type="dxa"/>
            <w:shd w:val="clear" w:color="auto" w:fill="auto"/>
            <w:vAlign w:val="center"/>
          </w:tcPr>
          <w:p w14:paraId="62BEABFD" w14:textId="77777777" w:rsidR="000923BB" w:rsidRPr="00F955C6" w:rsidRDefault="000923BB" w:rsidP="003A385F">
            <w:pPr>
              <w:autoSpaceDE w:val="0"/>
              <w:autoSpaceDN w:val="0"/>
              <w:adjustRightInd w:val="0"/>
              <w:jc w:val="both"/>
              <w:rPr>
                <w:rFonts w:cs="Arial"/>
                <w:color w:val="000000"/>
                <w:sz w:val="22"/>
                <w:szCs w:val="22"/>
              </w:rPr>
            </w:pPr>
            <w:r w:rsidRPr="00F955C6">
              <w:rPr>
                <w:rFonts w:cs="Arial"/>
                <w:color w:val="000000"/>
                <w:sz w:val="22"/>
                <w:szCs w:val="22"/>
              </w:rPr>
              <w:t>45</w:t>
            </w:r>
          </w:p>
        </w:tc>
        <w:tc>
          <w:tcPr>
            <w:tcW w:w="1707" w:type="dxa"/>
            <w:shd w:val="clear" w:color="auto" w:fill="auto"/>
            <w:vAlign w:val="center"/>
          </w:tcPr>
          <w:p w14:paraId="47D8F961" w14:textId="77777777" w:rsidR="000923BB" w:rsidRPr="00F955C6" w:rsidRDefault="000923BB" w:rsidP="003A385F">
            <w:pPr>
              <w:autoSpaceDE w:val="0"/>
              <w:autoSpaceDN w:val="0"/>
              <w:adjustRightInd w:val="0"/>
              <w:jc w:val="both"/>
              <w:rPr>
                <w:rFonts w:cs="Arial"/>
                <w:color w:val="000000"/>
                <w:sz w:val="22"/>
                <w:szCs w:val="22"/>
              </w:rPr>
            </w:pPr>
            <w:r w:rsidRPr="00F955C6">
              <w:rPr>
                <w:rFonts w:cs="Arial"/>
                <w:color w:val="000000"/>
                <w:sz w:val="22"/>
                <w:szCs w:val="22"/>
              </w:rPr>
              <w:t>30</w:t>
            </w:r>
          </w:p>
        </w:tc>
      </w:tr>
      <w:tr w:rsidR="000923BB" w:rsidRPr="00F955C6" w14:paraId="687ABB83" w14:textId="77777777" w:rsidTr="005B2F93">
        <w:tc>
          <w:tcPr>
            <w:tcW w:w="1465" w:type="dxa"/>
          </w:tcPr>
          <w:p w14:paraId="62D7409A" w14:textId="77777777" w:rsidR="000923BB" w:rsidRPr="00F955C6" w:rsidRDefault="000923BB" w:rsidP="003A385F">
            <w:pPr>
              <w:autoSpaceDE w:val="0"/>
              <w:autoSpaceDN w:val="0"/>
              <w:adjustRightInd w:val="0"/>
              <w:jc w:val="both"/>
              <w:rPr>
                <w:rFonts w:cs="Arial"/>
                <w:color w:val="000000"/>
                <w:sz w:val="22"/>
                <w:szCs w:val="22"/>
              </w:rPr>
            </w:pPr>
            <w:r w:rsidRPr="00F955C6">
              <w:rPr>
                <w:rFonts w:cs="Arial"/>
                <w:color w:val="000000"/>
                <w:sz w:val="22"/>
                <w:szCs w:val="22"/>
              </w:rPr>
              <w:t>Maximum</w:t>
            </w:r>
          </w:p>
        </w:tc>
        <w:tc>
          <w:tcPr>
            <w:tcW w:w="1707" w:type="dxa"/>
            <w:shd w:val="clear" w:color="auto" w:fill="auto"/>
            <w:vAlign w:val="center"/>
          </w:tcPr>
          <w:p w14:paraId="76D64695" w14:textId="77777777" w:rsidR="000923BB" w:rsidRPr="00F955C6" w:rsidRDefault="000923BB" w:rsidP="003A385F">
            <w:pPr>
              <w:autoSpaceDE w:val="0"/>
              <w:autoSpaceDN w:val="0"/>
              <w:adjustRightInd w:val="0"/>
              <w:jc w:val="both"/>
              <w:rPr>
                <w:rFonts w:cs="Arial"/>
                <w:color w:val="000000"/>
                <w:sz w:val="22"/>
                <w:szCs w:val="22"/>
              </w:rPr>
            </w:pPr>
            <w:r w:rsidRPr="00F955C6">
              <w:rPr>
                <w:rFonts w:cs="Arial"/>
                <w:color w:val="000000"/>
                <w:sz w:val="22"/>
                <w:szCs w:val="22"/>
              </w:rPr>
              <w:t>110</w:t>
            </w:r>
          </w:p>
        </w:tc>
        <w:tc>
          <w:tcPr>
            <w:tcW w:w="1707" w:type="dxa"/>
            <w:shd w:val="clear" w:color="auto" w:fill="auto"/>
            <w:vAlign w:val="center"/>
          </w:tcPr>
          <w:p w14:paraId="155EBEE3" w14:textId="77777777" w:rsidR="000923BB" w:rsidRPr="00F955C6" w:rsidRDefault="000923BB" w:rsidP="003A385F">
            <w:pPr>
              <w:autoSpaceDE w:val="0"/>
              <w:autoSpaceDN w:val="0"/>
              <w:adjustRightInd w:val="0"/>
              <w:jc w:val="both"/>
              <w:rPr>
                <w:rFonts w:cs="Arial"/>
                <w:color w:val="000000"/>
                <w:sz w:val="22"/>
                <w:szCs w:val="22"/>
              </w:rPr>
            </w:pPr>
            <w:r w:rsidRPr="00F955C6">
              <w:rPr>
                <w:rFonts w:cs="Arial"/>
                <w:color w:val="000000"/>
                <w:sz w:val="22"/>
                <w:szCs w:val="22"/>
              </w:rPr>
              <w:t>90</w:t>
            </w:r>
          </w:p>
        </w:tc>
        <w:tc>
          <w:tcPr>
            <w:tcW w:w="1707" w:type="dxa"/>
            <w:shd w:val="clear" w:color="auto" w:fill="auto"/>
            <w:vAlign w:val="center"/>
          </w:tcPr>
          <w:p w14:paraId="6ECDCE92" w14:textId="77777777" w:rsidR="000923BB" w:rsidRPr="00F955C6" w:rsidRDefault="000923BB" w:rsidP="003A385F">
            <w:pPr>
              <w:autoSpaceDE w:val="0"/>
              <w:autoSpaceDN w:val="0"/>
              <w:adjustRightInd w:val="0"/>
              <w:jc w:val="both"/>
              <w:rPr>
                <w:rFonts w:cs="Arial"/>
                <w:color w:val="000000"/>
                <w:sz w:val="22"/>
                <w:szCs w:val="22"/>
              </w:rPr>
            </w:pPr>
            <w:r w:rsidRPr="00F955C6">
              <w:rPr>
                <w:rFonts w:cs="Arial"/>
                <w:color w:val="000000"/>
                <w:sz w:val="22"/>
                <w:szCs w:val="22"/>
              </w:rPr>
              <w:t>150</w:t>
            </w:r>
          </w:p>
        </w:tc>
      </w:tr>
    </w:tbl>
    <w:p w14:paraId="47786FD3" w14:textId="77777777" w:rsidR="000923BB" w:rsidRDefault="000923BB" w:rsidP="000923BB">
      <w:pPr>
        <w:tabs>
          <w:tab w:val="center" w:pos="2707"/>
        </w:tabs>
        <w:autoSpaceDE w:val="0"/>
        <w:autoSpaceDN w:val="0"/>
        <w:adjustRightInd w:val="0"/>
        <w:jc w:val="both"/>
        <w:rPr>
          <w:rFonts w:cs="Arial"/>
          <w:b/>
          <w:bCs/>
          <w:color w:val="000000"/>
          <w:sz w:val="22"/>
          <w:szCs w:val="22"/>
        </w:rPr>
      </w:pPr>
    </w:p>
    <w:p w14:paraId="7266C652" w14:textId="77777777" w:rsidR="000923BB" w:rsidRDefault="000923BB" w:rsidP="000923BB">
      <w:pPr>
        <w:tabs>
          <w:tab w:val="center" w:pos="2707"/>
        </w:tabs>
        <w:autoSpaceDE w:val="0"/>
        <w:autoSpaceDN w:val="0"/>
        <w:adjustRightInd w:val="0"/>
        <w:jc w:val="both"/>
        <w:rPr>
          <w:rFonts w:cs="Arial"/>
          <w:sz w:val="22"/>
          <w:szCs w:val="22"/>
        </w:rPr>
      </w:pPr>
      <w:r>
        <w:rPr>
          <w:rFonts w:cs="Arial"/>
          <w:sz w:val="22"/>
          <w:szCs w:val="22"/>
        </w:rPr>
        <w:t xml:space="preserve">The length of hospital stay for stroke patients tends to be long and the records associated with the care are large. From our sample, the mean length of stay for each patient was 33.7 days, but this ranged from 2 days to 314 days. Also, the method used was a joint holistic and criterion based method, with scale scores, textual data and review of criteria, so the length of time taken to perform each review is probably not unreasonable. </w:t>
      </w:r>
    </w:p>
    <w:p w14:paraId="6BD31B5E" w14:textId="77777777" w:rsidR="000923BB" w:rsidRDefault="000923BB" w:rsidP="000923BB">
      <w:pPr>
        <w:tabs>
          <w:tab w:val="center" w:pos="2707"/>
        </w:tabs>
        <w:autoSpaceDE w:val="0"/>
        <w:autoSpaceDN w:val="0"/>
        <w:adjustRightInd w:val="0"/>
        <w:jc w:val="both"/>
        <w:rPr>
          <w:rFonts w:cs="Arial"/>
          <w:sz w:val="22"/>
          <w:szCs w:val="22"/>
          <w:u w:val="single"/>
        </w:rPr>
      </w:pPr>
      <w:r w:rsidRPr="00E42C14">
        <w:rPr>
          <w:rFonts w:cs="Arial"/>
          <w:sz w:val="22"/>
          <w:szCs w:val="22"/>
          <w:u w:val="single"/>
        </w:rPr>
        <w:t xml:space="preserve">Quality of records </w:t>
      </w:r>
    </w:p>
    <w:p w14:paraId="1CCDCE6D" w14:textId="77777777" w:rsidR="000923BB" w:rsidRPr="00E42C14" w:rsidRDefault="000923BB" w:rsidP="000923BB">
      <w:pPr>
        <w:tabs>
          <w:tab w:val="center" w:pos="2707"/>
        </w:tabs>
        <w:autoSpaceDE w:val="0"/>
        <w:autoSpaceDN w:val="0"/>
        <w:adjustRightInd w:val="0"/>
        <w:jc w:val="both"/>
        <w:rPr>
          <w:rFonts w:cs="Arial"/>
          <w:sz w:val="22"/>
          <w:szCs w:val="22"/>
          <w:u w:val="single"/>
        </w:rPr>
      </w:pPr>
    </w:p>
    <w:p w14:paraId="1E74E705" w14:textId="77777777" w:rsidR="000923BB" w:rsidRDefault="000923BB" w:rsidP="000923BB">
      <w:pPr>
        <w:tabs>
          <w:tab w:val="center" w:pos="2707"/>
        </w:tabs>
        <w:autoSpaceDE w:val="0"/>
        <w:autoSpaceDN w:val="0"/>
        <w:adjustRightInd w:val="0"/>
        <w:jc w:val="both"/>
        <w:rPr>
          <w:rFonts w:cs="Arial"/>
          <w:bCs/>
          <w:color w:val="000000"/>
          <w:sz w:val="22"/>
          <w:szCs w:val="22"/>
        </w:rPr>
      </w:pPr>
      <w:r w:rsidRPr="00052FFC">
        <w:rPr>
          <w:rFonts w:cs="Arial"/>
          <w:bCs/>
          <w:color w:val="000000"/>
          <w:sz w:val="22"/>
          <w:szCs w:val="22"/>
        </w:rPr>
        <w:t xml:space="preserve">The quality of the </w:t>
      </w:r>
      <w:r>
        <w:rPr>
          <w:rFonts w:cs="Arial"/>
          <w:bCs/>
          <w:color w:val="000000"/>
          <w:sz w:val="22"/>
          <w:szCs w:val="22"/>
        </w:rPr>
        <w:t>case notes</w:t>
      </w:r>
      <w:r w:rsidRPr="00052FFC">
        <w:rPr>
          <w:rFonts w:cs="Arial"/>
          <w:bCs/>
          <w:color w:val="000000"/>
          <w:sz w:val="22"/>
          <w:szCs w:val="22"/>
        </w:rPr>
        <w:t xml:space="preserve"> reviewed for this study was rated on a rating scale (1 = poor, 6 = excellent). </w:t>
      </w:r>
      <w:r>
        <w:rPr>
          <w:rFonts w:cs="Arial"/>
          <w:bCs/>
          <w:color w:val="000000"/>
          <w:sz w:val="22"/>
          <w:szCs w:val="22"/>
        </w:rPr>
        <w:t xml:space="preserve">Case notes received similar quality ratings from the Clinical and Doctor 1 reviewer, while Doctor 2 tended assign a lower quality rating than the other two reviewers (Table 13.8). </w:t>
      </w:r>
    </w:p>
    <w:p w14:paraId="05CF5FDF" w14:textId="77777777" w:rsidR="000923BB" w:rsidRDefault="000923BB" w:rsidP="000923BB">
      <w:pPr>
        <w:tabs>
          <w:tab w:val="center" w:pos="2707"/>
        </w:tabs>
        <w:autoSpaceDE w:val="0"/>
        <w:autoSpaceDN w:val="0"/>
        <w:adjustRightInd w:val="0"/>
        <w:jc w:val="both"/>
        <w:rPr>
          <w:rFonts w:cs="Arial"/>
          <w:bCs/>
          <w:color w:val="000000"/>
          <w:sz w:val="22"/>
          <w:szCs w:val="22"/>
        </w:rPr>
      </w:pPr>
    </w:p>
    <w:p w14:paraId="7F9D9233" w14:textId="77777777" w:rsidR="005B2F93" w:rsidRDefault="005B2F93" w:rsidP="000923BB">
      <w:pPr>
        <w:tabs>
          <w:tab w:val="center" w:pos="2707"/>
        </w:tabs>
        <w:autoSpaceDE w:val="0"/>
        <w:autoSpaceDN w:val="0"/>
        <w:adjustRightInd w:val="0"/>
        <w:jc w:val="both"/>
        <w:rPr>
          <w:rFonts w:cs="Arial"/>
          <w:b/>
          <w:bCs/>
          <w:color w:val="000000"/>
          <w:sz w:val="22"/>
          <w:szCs w:val="22"/>
        </w:rPr>
      </w:pPr>
    </w:p>
    <w:p w14:paraId="5AFEA477" w14:textId="77777777" w:rsidR="005B2F93" w:rsidRDefault="005B2F93" w:rsidP="000923BB">
      <w:pPr>
        <w:tabs>
          <w:tab w:val="center" w:pos="2707"/>
        </w:tabs>
        <w:autoSpaceDE w:val="0"/>
        <w:autoSpaceDN w:val="0"/>
        <w:adjustRightInd w:val="0"/>
        <w:jc w:val="both"/>
        <w:rPr>
          <w:rFonts w:cs="Arial"/>
          <w:b/>
          <w:bCs/>
          <w:color w:val="000000"/>
          <w:sz w:val="22"/>
          <w:szCs w:val="22"/>
        </w:rPr>
      </w:pPr>
    </w:p>
    <w:p w14:paraId="75F83F78" w14:textId="77777777" w:rsidR="005B2F93" w:rsidRDefault="005B2F93" w:rsidP="000923BB">
      <w:pPr>
        <w:tabs>
          <w:tab w:val="center" w:pos="2707"/>
        </w:tabs>
        <w:autoSpaceDE w:val="0"/>
        <w:autoSpaceDN w:val="0"/>
        <w:adjustRightInd w:val="0"/>
        <w:jc w:val="both"/>
        <w:rPr>
          <w:rFonts w:cs="Arial"/>
          <w:b/>
          <w:bCs/>
          <w:color w:val="000000"/>
          <w:sz w:val="22"/>
          <w:szCs w:val="22"/>
        </w:rPr>
      </w:pPr>
    </w:p>
    <w:p w14:paraId="4FA7E16B" w14:textId="77777777" w:rsidR="005B2F93" w:rsidRDefault="005B2F93" w:rsidP="000923BB">
      <w:pPr>
        <w:tabs>
          <w:tab w:val="center" w:pos="2707"/>
        </w:tabs>
        <w:autoSpaceDE w:val="0"/>
        <w:autoSpaceDN w:val="0"/>
        <w:adjustRightInd w:val="0"/>
        <w:jc w:val="both"/>
        <w:rPr>
          <w:rFonts w:cs="Arial"/>
          <w:b/>
          <w:bCs/>
          <w:color w:val="000000"/>
          <w:sz w:val="22"/>
          <w:szCs w:val="22"/>
        </w:rPr>
      </w:pPr>
    </w:p>
    <w:p w14:paraId="767FA567" w14:textId="77777777" w:rsidR="005B2F93" w:rsidRDefault="005B2F93" w:rsidP="000923BB">
      <w:pPr>
        <w:tabs>
          <w:tab w:val="center" w:pos="2707"/>
        </w:tabs>
        <w:autoSpaceDE w:val="0"/>
        <w:autoSpaceDN w:val="0"/>
        <w:adjustRightInd w:val="0"/>
        <w:jc w:val="both"/>
        <w:rPr>
          <w:rFonts w:cs="Arial"/>
          <w:b/>
          <w:bCs/>
          <w:color w:val="000000"/>
          <w:sz w:val="22"/>
          <w:szCs w:val="22"/>
        </w:rPr>
      </w:pPr>
    </w:p>
    <w:p w14:paraId="19F950F7" w14:textId="77777777" w:rsidR="005B2F93" w:rsidRDefault="005B2F93" w:rsidP="000923BB">
      <w:pPr>
        <w:tabs>
          <w:tab w:val="center" w:pos="2707"/>
        </w:tabs>
        <w:autoSpaceDE w:val="0"/>
        <w:autoSpaceDN w:val="0"/>
        <w:adjustRightInd w:val="0"/>
        <w:jc w:val="both"/>
        <w:rPr>
          <w:rFonts w:cs="Arial"/>
          <w:b/>
          <w:bCs/>
          <w:color w:val="000000"/>
          <w:sz w:val="22"/>
          <w:szCs w:val="22"/>
        </w:rPr>
      </w:pPr>
    </w:p>
    <w:p w14:paraId="0CA3C09E" w14:textId="77777777" w:rsidR="005B2F93" w:rsidRDefault="005B2F93" w:rsidP="000923BB">
      <w:pPr>
        <w:tabs>
          <w:tab w:val="center" w:pos="2707"/>
        </w:tabs>
        <w:autoSpaceDE w:val="0"/>
        <w:autoSpaceDN w:val="0"/>
        <w:adjustRightInd w:val="0"/>
        <w:jc w:val="both"/>
        <w:rPr>
          <w:rFonts w:cs="Arial"/>
          <w:b/>
          <w:bCs/>
          <w:color w:val="000000"/>
          <w:sz w:val="22"/>
          <w:szCs w:val="22"/>
        </w:rPr>
      </w:pPr>
    </w:p>
    <w:p w14:paraId="01211950" w14:textId="77777777" w:rsidR="000923BB" w:rsidRPr="007D2C6C" w:rsidRDefault="000923BB" w:rsidP="000923BB">
      <w:pPr>
        <w:tabs>
          <w:tab w:val="center" w:pos="2707"/>
        </w:tabs>
        <w:autoSpaceDE w:val="0"/>
        <w:autoSpaceDN w:val="0"/>
        <w:adjustRightInd w:val="0"/>
        <w:jc w:val="both"/>
        <w:rPr>
          <w:rFonts w:cs="Arial"/>
          <w:b/>
          <w:bCs/>
          <w:color w:val="000000"/>
          <w:sz w:val="22"/>
          <w:szCs w:val="22"/>
        </w:rPr>
      </w:pPr>
      <w:r w:rsidRPr="007D2C6C">
        <w:rPr>
          <w:rFonts w:cs="Arial"/>
          <w:b/>
          <w:bCs/>
          <w:color w:val="000000"/>
          <w:sz w:val="22"/>
          <w:szCs w:val="22"/>
        </w:rPr>
        <w:lastRenderedPageBreak/>
        <w:t xml:space="preserve">Table </w:t>
      </w:r>
      <w:r>
        <w:rPr>
          <w:rFonts w:cs="Arial"/>
          <w:b/>
          <w:bCs/>
          <w:color w:val="000000"/>
          <w:sz w:val="22"/>
          <w:szCs w:val="22"/>
        </w:rPr>
        <w:t>13.</w:t>
      </w:r>
      <w:r w:rsidRPr="007D2C6C">
        <w:rPr>
          <w:rFonts w:cs="Arial"/>
          <w:b/>
          <w:bCs/>
          <w:color w:val="000000"/>
          <w:sz w:val="22"/>
          <w:szCs w:val="22"/>
        </w:rPr>
        <w:t xml:space="preserve">8: </w:t>
      </w:r>
      <w:r>
        <w:rPr>
          <w:rFonts w:cs="Arial"/>
          <w:b/>
          <w:bCs/>
          <w:color w:val="000000"/>
          <w:sz w:val="22"/>
          <w:szCs w:val="22"/>
        </w:rPr>
        <w:t>Q</w:t>
      </w:r>
      <w:r w:rsidRPr="007D2C6C">
        <w:rPr>
          <w:rFonts w:cs="Arial"/>
          <w:b/>
          <w:bCs/>
          <w:color w:val="000000"/>
          <w:sz w:val="22"/>
          <w:szCs w:val="22"/>
        </w:rPr>
        <w:t>uality of record ratings</w:t>
      </w:r>
    </w:p>
    <w:tbl>
      <w:tblPr>
        <w:tblW w:w="79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1920"/>
        <w:gridCol w:w="1920"/>
        <w:gridCol w:w="1720"/>
      </w:tblGrid>
      <w:tr w:rsidR="000923BB" w:rsidRPr="00F955C6" w14:paraId="3B6F31FE" w14:textId="77777777" w:rsidTr="005B2F93">
        <w:tc>
          <w:tcPr>
            <w:tcW w:w="2378" w:type="dxa"/>
            <w:tcBorders>
              <w:left w:val="single" w:sz="4" w:space="0" w:color="auto"/>
              <w:bottom w:val="single" w:sz="4" w:space="0" w:color="auto"/>
            </w:tcBorders>
          </w:tcPr>
          <w:p w14:paraId="6DD4B01B" w14:textId="77777777" w:rsidR="000923BB" w:rsidRPr="00F955C6" w:rsidRDefault="000923BB" w:rsidP="003A385F">
            <w:pPr>
              <w:tabs>
                <w:tab w:val="center" w:pos="5731"/>
              </w:tabs>
              <w:autoSpaceDE w:val="0"/>
              <w:autoSpaceDN w:val="0"/>
              <w:adjustRightInd w:val="0"/>
              <w:jc w:val="both"/>
              <w:rPr>
                <w:rFonts w:cs="Arial"/>
                <w:b/>
                <w:bCs/>
                <w:color w:val="000000"/>
                <w:sz w:val="20"/>
                <w:szCs w:val="20"/>
              </w:rPr>
            </w:pPr>
            <w:r w:rsidRPr="00F955C6">
              <w:rPr>
                <w:rFonts w:cs="Arial"/>
                <w:b/>
                <w:color w:val="000000"/>
                <w:sz w:val="20"/>
                <w:szCs w:val="20"/>
              </w:rPr>
              <w:t>Quality of records rating</w:t>
            </w:r>
          </w:p>
        </w:tc>
        <w:tc>
          <w:tcPr>
            <w:tcW w:w="1920" w:type="dxa"/>
            <w:tcBorders>
              <w:bottom w:val="single" w:sz="4" w:space="0" w:color="auto"/>
            </w:tcBorders>
          </w:tcPr>
          <w:p w14:paraId="1374F5CC" w14:textId="77777777" w:rsidR="000923BB" w:rsidRPr="00F955C6" w:rsidRDefault="000923BB" w:rsidP="003A385F">
            <w:pPr>
              <w:tabs>
                <w:tab w:val="center" w:pos="5731"/>
              </w:tabs>
              <w:autoSpaceDE w:val="0"/>
              <w:autoSpaceDN w:val="0"/>
              <w:adjustRightInd w:val="0"/>
              <w:jc w:val="both"/>
              <w:rPr>
                <w:rFonts w:cs="Arial"/>
                <w:b/>
                <w:bCs/>
                <w:color w:val="000000"/>
                <w:sz w:val="20"/>
                <w:szCs w:val="20"/>
              </w:rPr>
            </w:pPr>
            <w:r w:rsidRPr="00F955C6">
              <w:rPr>
                <w:rFonts w:cs="Arial"/>
                <w:sz w:val="20"/>
                <w:szCs w:val="20"/>
              </w:rPr>
              <w:t xml:space="preserve">Clinical reviewer (Nurse </w:t>
            </w:r>
          </w:p>
        </w:tc>
        <w:tc>
          <w:tcPr>
            <w:tcW w:w="1920" w:type="dxa"/>
            <w:tcBorders>
              <w:bottom w:val="single" w:sz="4" w:space="0" w:color="auto"/>
            </w:tcBorders>
          </w:tcPr>
          <w:p w14:paraId="0906470A" w14:textId="77777777" w:rsidR="000923BB" w:rsidRPr="00F955C6" w:rsidRDefault="000923BB" w:rsidP="003A385F">
            <w:pPr>
              <w:tabs>
                <w:tab w:val="center" w:pos="5731"/>
              </w:tabs>
              <w:autoSpaceDE w:val="0"/>
              <w:autoSpaceDN w:val="0"/>
              <w:adjustRightInd w:val="0"/>
              <w:jc w:val="both"/>
              <w:rPr>
                <w:rFonts w:cs="Arial"/>
                <w:b/>
                <w:bCs/>
                <w:color w:val="000000"/>
                <w:sz w:val="20"/>
                <w:szCs w:val="20"/>
              </w:rPr>
            </w:pPr>
            <w:r w:rsidRPr="00F955C6">
              <w:rPr>
                <w:rFonts w:cs="Arial"/>
                <w:sz w:val="20"/>
                <w:szCs w:val="20"/>
              </w:rPr>
              <w:t>Doctor 1 reviewer</w:t>
            </w:r>
          </w:p>
        </w:tc>
        <w:tc>
          <w:tcPr>
            <w:tcW w:w="1720" w:type="dxa"/>
            <w:tcBorders>
              <w:bottom w:val="single" w:sz="4" w:space="0" w:color="auto"/>
            </w:tcBorders>
          </w:tcPr>
          <w:p w14:paraId="50DFF963" w14:textId="77777777" w:rsidR="000923BB" w:rsidRPr="00F955C6" w:rsidRDefault="000923BB" w:rsidP="003A385F">
            <w:pPr>
              <w:tabs>
                <w:tab w:val="center" w:pos="5731"/>
              </w:tabs>
              <w:autoSpaceDE w:val="0"/>
              <w:autoSpaceDN w:val="0"/>
              <w:adjustRightInd w:val="0"/>
              <w:jc w:val="both"/>
              <w:rPr>
                <w:rFonts w:cs="Arial"/>
                <w:b/>
                <w:bCs/>
                <w:color w:val="000000"/>
                <w:sz w:val="20"/>
                <w:szCs w:val="20"/>
              </w:rPr>
            </w:pPr>
            <w:r w:rsidRPr="00F955C6">
              <w:rPr>
                <w:rFonts w:cs="Arial"/>
                <w:sz w:val="20"/>
                <w:szCs w:val="20"/>
              </w:rPr>
              <w:t>Doctor 2 reviewer</w:t>
            </w:r>
          </w:p>
        </w:tc>
      </w:tr>
      <w:tr w:rsidR="000923BB" w:rsidRPr="00F955C6" w14:paraId="1A9A4F40" w14:textId="77777777" w:rsidTr="005B2F93">
        <w:trPr>
          <w:trHeight w:val="369"/>
        </w:trPr>
        <w:tc>
          <w:tcPr>
            <w:tcW w:w="2378" w:type="dxa"/>
            <w:tcBorders>
              <w:left w:val="single" w:sz="4" w:space="0" w:color="auto"/>
              <w:bottom w:val="single" w:sz="4" w:space="0" w:color="auto"/>
              <w:right w:val="single" w:sz="4" w:space="0" w:color="auto"/>
            </w:tcBorders>
          </w:tcPr>
          <w:p w14:paraId="33DDADBF"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 xml:space="preserve">Mean </w:t>
            </w:r>
          </w:p>
        </w:tc>
        <w:tc>
          <w:tcPr>
            <w:tcW w:w="1920" w:type="dxa"/>
            <w:tcBorders>
              <w:left w:val="single" w:sz="4" w:space="0" w:color="auto"/>
              <w:bottom w:val="single" w:sz="4" w:space="0" w:color="auto"/>
              <w:right w:val="single" w:sz="4" w:space="0" w:color="auto"/>
            </w:tcBorders>
          </w:tcPr>
          <w:p w14:paraId="5A5F555F"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color w:val="000000"/>
                <w:sz w:val="20"/>
                <w:szCs w:val="20"/>
              </w:rPr>
              <w:t>4.38</w:t>
            </w:r>
          </w:p>
        </w:tc>
        <w:tc>
          <w:tcPr>
            <w:tcW w:w="1920" w:type="dxa"/>
            <w:tcBorders>
              <w:left w:val="single" w:sz="4" w:space="0" w:color="auto"/>
              <w:bottom w:val="single" w:sz="4" w:space="0" w:color="auto"/>
              <w:right w:val="single" w:sz="4" w:space="0" w:color="auto"/>
            </w:tcBorders>
          </w:tcPr>
          <w:p w14:paraId="165B0750"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color w:val="000000"/>
                <w:sz w:val="20"/>
                <w:szCs w:val="20"/>
              </w:rPr>
              <w:t>4.70</w:t>
            </w:r>
          </w:p>
        </w:tc>
        <w:tc>
          <w:tcPr>
            <w:tcW w:w="1720" w:type="dxa"/>
            <w:tcBorders>
              <w:left w:val="single" w:sz="4" w:space="0" w:color="auto"/>
              <w:bottom w:val="single" w:sz="4" w:space="0" w:color="auto"/>
            </w:tcBorders>
          </w:tcPr>
          <w:p w14:paraId="3D344DD2"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color w:val="000000"/>
                <w:sz w:val="20"/>
                <w:szCs w:val="20"/>
              </w:rPr>
              <w:t>3.33</w:t>
            </w:r>
          </w:p>
        </w:tc>
      </w:tr>
      <w:tr w:rsidR="005B2F93" w:rsidRPr="00F955C6" w14:paraId="4CC61E69" w14:textId="77777777" w:rsidTr="005B2F93">
        <w:trPr>
          <w:trHeight w:val="569"/>
        </w:trPr>
        <w:tc>
          <w:tcPr>
            <w:tcW w:w="2378" w:type="dxa"/>
            <w:tcBorders>
              <w:left w:val="single" w:sz="4" w:space="0" w:color="auto"/>
              <w:bottom w:val="single" w:sz="4" w:space="0" w:color="auto"/>
              <w:right w:val="single" w:sz="4" w:space="0" w:color="auto"/>
            </w:tcBorders>
          </w:tcPr>
          <w:p w14:paraId="2CDF1B8C" w14:textId="77777777" w:rsidR="005B2F93" w:rsidRPr="00F955C6" w:rsidRDefault="005B2F93"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(SD)</w:t>
            </w:r>
          </w:p>
        </w:tc>
        <w:tc>
          <w:tcPr>
            <w:tcW w:w="1920" w:type="dxa"/>
            <w:tcBorders>
              <w:left w:val="single" w:sz="4" w:space="0" w:color="auto"/>
              <w:bottom w:val="single" w:sz="4" w:space="0" w:color="auto"/>
              <w:right w:val="single" w:sz="4" w:space="0" w:color="auto"/>
            </w:tcBorders>
          </w:tcPr>
          <w:p w14:paraId="0630A6C6" w14:textId="77777777" w:rsidR="005B2F93" w:rsidRPr="00F955C6" w:rsidRDefault="005B2F93" w:rsidP="003A385F">
            <w:pPr>
              <w:tabs>
                <w:tab w:val="center" w:pos="5731"/>
              </w:tabs>
              <w:autoSpaceDE w:val="0"/>
              <w:autoSpaceDN w:val="0"/>
              <w:adjustRightInd w:val="0"/>
              <w:jc w:val="both"/>
              <w:rPr>
                <w:rFonts w:cs="Arial"/>
                <w:color w:val="000000"/>
                <w:sz w:val="20"/>
                <w:szCs w:val="20"/>
              </w:rPr>
            </w:pPr>
            <w:r w:rsidRPr="00F955C6">
              <w:rPr>
                <w:rFonts w:cs="Arial"/>
                <w:color w:val="000000"/>
                <w:sz w:val="20"/>
                <w:szCs w:val="20"/>
              </w:rPr>
              <w:t>(0.5)</w:t>
            </w:r>
          </w:p>
        </w:tc>
        <w:tc>
          <w:tcPr>
            <w:tcW w:w="1920" w:type="dxa"/>
            <w:tcBorders>
              <w:left w:val="single" w:sz="4" w:space="0" w:color="auto"/>
              <w:bottom w:val="single" w:sz="4" w:space="0" w:color="auto"/>
              <w:right w:val="single" w:sz="4" w:space="0" w:color="auto"/>
            </w:tcBorders>
          </w:tcPr>
          <w:p w14:paraId="137AB666" w14:textId="77777777" w:rsidR="005B2F93" w:rsidRPr="00F955C6" w:rsidRDefault="005B2F93" w:rsidP="003A385F">
            <w:pPr>
              <w:tabs>
                <w:tab w:val="center" w:pos="5731"/>
              </w:tabs>
              <w:autoSpaceDE w:val="0"/>
              <w:autoSpaceDN w:val="0"/>
              <w:adjustRightInd w:val="0"/>
              <w:jc w:val="both"/>
              <w:rPr>
                <w:rFonts w:cs="Arial"/>
                <w:color w:val="000000"/>
                <w:sz w:val="20"/>
                <w:szCs w:val="20"/>
              </w:rPr>
            </w:pPr>
            <w:r w:rsidRPr="00F955C6">
              <w:rPr>
                <w:rFonts w:cs="Arial"/>
                <w:color w:val="000000"/>
                <w:sz w:val="20"/>
                <w:szCs w:val="20"/>
              </w:rPr>
              <w:t>(0.661)</w:t>
            </w:r>
          </w:p>
        </w:tc>
        <w:tc>
          <w:tcPr>
            <w:tcW w:w="1720" w:type="dxa"/>
            <w:tcBorders>
              <w:left w:val="single" w:sz="4" w:space="0" w:color="auto"/>
              <w:bottom w:val="single" w:sz="4" w:space="0" w:color="auto"/>
            </w:tcBorders>
          </w:tcPr>
          <w:p w14:paraId="65B430EF" w14:textId="77777777" w:rsidR="005B2F93" w:rsidRPr="00F955C6" w:rsidRDefault="005B2F93" w:rsidP="003A385F">
            <w:pPr>
              <w:tabs>
                <w:tab w:val="center" w:pos="5731"/>
              </w:tabs>
              <w:autoSpaceDE w:val="0"/>
              <w:autoSpaceDN w:val="0"/>
              <w:adjustRightInd w:val="0"/>
              <w:jc w:val="both"/>
              <w:rPr>
                <w:rFonts w:cs="Arial"/>
                <w:color w:val="000000"/>
                <w:sz w:val="20"/>
                <w:szCs w:val="20"/>
              </w:rPr>
            </w:pPr>
            <w:r w:rsidRPr="00F955C6">
              <w:rPr>
                <w:rFonts w:cs="Arial"/>
                <w:color w:val="000000"/>
                <w:sz w:val="20"/>
                <w:szCs w:val="20"/>
              </w:rPr>
              <w:t>(0.717)</w:t>
            </w:r>
          </w:p>
        </w:tc>
      </w:tr>
      <w:tr w:rsidR="000923BB" w:rsidRPr="00F955C6" w14:paraId="7A5FDB60" w14:textId="77777777" w:rsidTr="005B2F93">
        <w:tc>
          <w:tcPr>
            <w:tcW w:w="2378" w:type="dxa"/>
            <w:tcBorders>
              <w:top w:val="single" w:sz="4" w:space="0" w:color="auto"/>
              <w:left w:val="single" w:sz="4" w:space="0" w:color="auto"/>
              <w:bottom w:val="single" w:sz="4" w:space="0" w:color="auto"/>
              <w:right w:val="single" w:sz="4" w:space="0" w:color="auto"/>
            </w:tcBorders>
          </w:tcPr>
          <w:p w14:paraId="678976F6"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Median (IQR)</w:t>
            </w:r>
          </w:p>
        </w:tc>
        <w:tc>
          <w:tcPr>
            <w:tcW w:w="1920" w:type="dxa"/>
            <w:tcBorders>
              <w:top w:val="single" w:sz="4" w:space="0" w:color="auto"/>
              <w:left w:val="single" w:sz="4" w:space="0" w:color="auto"/>
              <w:bottom w:val="single" w:sz="4" w:space="0" w:color="auto"/>
              <w:right w:val="single" w:sz="4" w:space="0" w:color="auto"/>
            </w:tcBorders>
          </w:tcPr>
          <w:p w14:paraId="1FA5ACE3"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4.0</w:t>
            </w:r>
          </w:p>
          <w:p w14:paraId="31E63B0F"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(4.0 – 5.0)</w:t>
            </w:r>
          </w:p>
        </w:tc>
        <w:tc>
          <w:tcPr>
            <w:tcW w:w="1920" w:type="dxa"/>
            <w:tcBorders>
              <w:top w:val="single" w:sz="4" w:space="0" w:color="auto"/>
              <w:left w:val="single" w:sz="4" w:space="0" w:color="auto"/>
              <w:bottom w:val="single" w:sz="4" w:space="0" w:color="auto"/>
              <w:right w:val="single" w:sz="4" w:space="0" w:color="auto"/>
            </w:tcBorders>
          </w:tcPr>
          <w:p w14:paraId="687489EF" w14:textId="77777777" w:rsidR="000923BB" w:rsidRPr="00F955C6" w:rsidRDefault="000923BB" w:rsidP="003A385F">
            <w:pPr>
              <w:tabs>
                <w:tab w:val="center" w:pos="5731"/>
              </w:tabs>
              <w:autoSpaceDE w:val="0"/>
              <w:autoSpaceDN w:val="0"/>
              <w:adjustRightInd w:val="0"/>
              <w:jc w:val="both"/>
              <w:rPr>
                <w:rFonts w:cs="Arial"/>
                <w:color w:val="000000"/>
                <w:sz w:val="20"/>
                <w:szCs w:val="20"/>
              </w:rPr>
            </w:pPr>
            <w:r w:rsidRPr="00F955C6">
              <w:rPr>
                <w:rFonts w:cs="Arial"/>
                <w:color w:val="000000"/>
                <w:sz w:val="20"/>
                <w:szCs w:val="20"/>
              </w:rPr>
              <w:t>5.00</w:t>
            </w:r>
          </w:p>
          <w:p w14:paraId="59DC8DB5"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color w:val="000000"/>
                <w:sz w:val="20"/>
                <w:szCs w:val="20"/>
              </w:rPr>
              <w:t>(4.0 – 5.0)</w:t>
            </w:r>
          </w:p>
        </w:tc>
        <w:tc>
          <w:tcPr>
            <w:tcW w:w="1720" w:type="dxa"/>
            <w:tcBorders>
              <w:top w:val="single" w:sz="4" w:space="0" w:color="auto"/>
              <w:left w:val="single" w:sz="4" w:space="0" w:color="auto"/>
              <w:bottom w:val="single" w:sz="4" w:space="0" w:color="auto"/>
            </w:tcBorders>
          </w:tcPr>
          <w:p w14:paraId="7D354A91" w14:textId="77777777" w:rsidR="000923BB" w:rsidRPr="00F955C6" w:rsidRDefault="000923BB" w:rsidP="003A385F">
            <w:pPr>
              <w:tabs>
                <w:tab w:val="center" w:pos="5731"/>
              </w:tabs>
              <w:autoSpaceDE w:val="0"/>
              <w:autoSpaceDN w:val="0"/>
              <w:adjustRightInd w:val="0"/>
              <w:jc w:val="both"/>
              <w:rPr>
                <w:rFonts w:cs="Arial"/>
                <w:color w:val="000000"/>
                <w:sz w:val="20"/>
                <w:szCs w:val="20"/>
              </w:rPr>
            </w:pPr>
            <w:r w:rsidRPr="00F955C6">
              <w:rPr>
                <w:rFonts w:cs="Arial"/>
                <w:color w:val="000000"/>
                <w:sz w:val="20"/>
                <w:szCs w:val="20"/>
              </w:rPr>
              <w:t>3.00</w:t>
            </w:r>
          </w:p>
          <w:p w14:paraId="007A9983"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color w:val="000000"/>
                <w:sz w:val="20"/>
                <w:szCs w:val="20"/>
              </w:rPr>
              <w:t>(3.0 – 4.0)</w:t>
            </w:r>
          </w:p>
        </w:tc>
      </w:tr>
      <w:tr w:rsidR="000923BB" w:rsidRPr="00F955C6" w14:paraId="0E37284F" w14:textId="77777777" w:rsidTr="005B2F93">
        <w:tc>
          <w:tcPr>
            <w:tcW w:w="2378" w:type="dxa"/>
            <w:tcBorders>
              <w:top w:val="single" w:sz="4" w:space="0" w:color="auto"/>
              <w:left w:val="single" w:sz="4" w:space="0" w:color="auto"/>
              <w:right w:val="single" w:sz="4" w:space="0" w:color="auto"/>
            </w:tcBorders>
          </w:tcPr>
          <w:p w14:paraId="4A6FF932"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Min - max</w:t>
            </w:r>
          </w:p>
        </w:tc>
        <w:tc>
          <w:tcPr>
            <w:tcW w:w="1920" w:type="dxa"/>
            <w:tcBorders>
              <w:top w:val="single" w:sz="4" w:space="0" w:color="auto"/>
              <w:left w:val="single" w:sz="4" w:space="0" w:color="auto"/>
              <w:right w:val="single" w:sz="4" w:space="0" w:color="auto"/>
            </w:tcBorders>
          </w:tcPr>
          <w:p w14:paraId="44B7DA31"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3 – 5</w:t>
            </w:r>
          </w:p>
        </w:tc>
        <w:tc>
          <w:tcPr>
            <w:tcW w:w="1920" w:type="dxa"/>
            <w:tcBorders>
              <w:top w:val="single" w:sz="4" w:space="0" w:color="auto"/>
              <w:left w:val="single" w:sz="4" w:space="0" w:color="auto"/>
              <w:right w:val="single" w:sz="4" w:space="0" w:color="auto"/>
            </w:tcBorders>
          </w:tcPr>
          <w:p w14:paraId="5C3A5A46"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 xml:space="preserve">3 – 6 </w:t>
            </w:r>
          </w:p>
        </w:tc>
        <w:tc>
          <w:tcPr>
            <w:tcW w:w="1720" w:type="dxa"/>
            <w:tcBorders>
              <w:top w:val="single" w:sz="4" w:space="0" w:color="auto"/>
              <w:left w:val="single" w:sz="4" w:space="0" w:color="auto"/>
            </w:tcBorders>
          </w:tcPr>
          <w:p w14:paraId="45A60C6A" w14:textId="77777777" w:rsidR="000923BB" w:rsidRPr="00F955C6" w:rsidRDefault="000923BB" w:rsidP="003A385F">
            <w:pPr>
              <w:tabs>
                <w:tab w:val="center" w:pos="5731"/>
              </w:tabs>
              <w:autoSpaceDE w:val="0"/>
              <w:autoSpaceDN w:val="0"/>
              <w:adjustRightInd w:val="0"/>
              <w:jc w:val="both"/>
              <w:rPr>
                <w:rFonts w:cs="Arial"/>
                <w:bCs/>
                <w:color w:val="000000"/>
                <w:sz w:val="20"/>
                <w:szCs w:val="20"/>
              </w:rPr>
            </w:pPr>
            <w:r w:rsidRPr="00F955C6">
              <w:rPr>
                <w:rFonts w:cs="Arial"/>
                <w:bCs/>
                <w:color w:val="000000"/>
                <w:sz w:val="20"/>
                <w:szCs w:val="20"/>
              </w:rPr>
              <w:t xml:space="preserve">1 – 4 </w:t>
            </w:r>
          </w:p>
        </w:tc>
      </w:tr>
    </w:tbl>
    <w:p w14:paraId="75122474" w14:textId="77777777" w:rsidR="005B2F93" w:rsidRDefault="005B2F93" w:rsidP="000923BB">
      <w:pPr>
        <w:jc w:val="both"/>
        <w:rPr>
          <w:rFonts w:cs="Arial"/>
          <w:sz w:val="22"/>
          <w:szCs w:val="22"/>
        </w:rPr>
      </w:pPr>
    </w:p>
    <w:p w14:paraId="540D7A77" w14:textId="77777777" w:rsidR="000923BB" w:rsidRPr="007D2C6C" w:rsidRDefault="000923BB" w:rsidP="000923BB">
      <w:pPr>
        <w:jc w:val="both"/>
        <w:rPr>
          <w:rFonts w:cs="Arial"/>
          <w:sz w:val="22"/>
          <w:szCs w:val="22"/>
        </w:rPr>
      </w:pPr>
      <w:r w:rsidRPr="007D2C6C">
        <w:rPr>
          <w:rFonts w:cs="Arial"/>
          <w:sz w:val="22"/>
          <w:szCs w:val="22"/>
        </w:rPr>
        <w:t xml:space="preserve">In the </w:t>
      </w:r>
      <w:r>
        <w:rPr>
          <w:rFonts w:cs="Arial"/>
          <w:sz w:val="22"/>
          <w:szCs w:val="22"/>
        </w:rPr>
        <w:t>Phase One</w:t>
      </w:r>
      <w:r w:rsidRPr="007D2C6C">
        <w:rPr>
          <w:rFonts w:cs="Arial"/>
          <w:sz w:val="22"/>
          <w:szCs w:val="22"/>
        </w:rPr>
        <w:t xml:space="preserve"> study the mean quality of </w:t>
      </w:r>
      <w:r>
        <w:rPr>
          <w:rFonts w:cs="Arial"/>
          <w:sz w:val="22"/>
          <w:szCs w:val="22"/>
        </w:rPr>
        <w:t>case notes</w:t>
      </w:r>
      <w:r w:rsidRPr="007D2C6C">
        <w:rPr>
          <w:rFonts w:cs="Arial"/>
          <w:sz w:val="22"/>
          <w:szCs w:val="22"/>
        </w:rPr>
        <w:t xml:space="preserve"> rating for COPD and Heart Failure were 4.3 (SD 1.2) and 4.7 (SD 0.9) respectively. The stroke </w:t>
      </w:r>
      <w:r>
        <w:rPr>
          <w:rFonts w:cs="Arial"/>
          <w:sz w:val="22"/>
          <w:szCs w:val="22"/>
        </w:rPr>
        <w:t>care case notes</w:t>
      </w:r>
      <w:r w:rsidRPr="007D2C6C">
        <w:rPr>
          <w:rFonts w:cs="Arial"/>
          <w:sz w:val="22"/>
          <w:szCs w:val="22"/>
        </w:rPr>
        <w:t xml:space="preserve"> receive</w:t>
      </w:r>
      <w:r>
        <w:rPr>
          <w:rFonts w:cs="Arial"/>
          <w:sz w:val="22"/>
          <w:szCs w:val="22"/>
        </w:rPr>
        <w:t>d</w:t>
      </w:r>
      <w:r w:rsidRPr="007D2C6C">
        <w:rPr>
          <w:rFonts w:cs="Arial"/>
          <w:sz w:val="22"/>
          <w:szCs w:val="22"/>
        </w:rPr>
        <w:t xml:space="preserve"> similar ratings. </w:t>
      </w:r>
      <w:r>
        <w:rPr>
          <w:rFonts w:cs="Arial"/>
          <w:sz w:val="22"/>
          <w:szCs w:val="22"/>
        </w:rPr>
        <w:t xml:space="preserve"> </w:t>
      </w:r>
    </w:p>
    <w:p w14:paraId="241FF8AE" w14:textId="77777777" w:rsidR="000923BB" w:rsidRDefault="000923BB" w:rsidP="000923BB">
      <w:pPr>
        <w:jc w:val="both"/>
        <w:rPr>
          <w:rFonts w:cs="Arial"/>
          <w:b/>
          <w:sz w:val="22"/>
          <w:szCs w:val="22"/>
        </w:rPr>
      </w:pPr>
    </w:p>
    <w:p w14:paraId="7993EFB1" w14:textId="77777777" w:rsidR="000923BB" w:rsidRPr="003D3603" w:rsidRDefault="000923BB" w:rsidP="000923BB">
      <w:pPr>
        <w:jc w:val="both"/>
        <w:rPr>
          <w:rFonts w:cs="Arial"/>
          <w:b/>
          <w:sz w:val="22"/>
          <w:szCs w:val="22"/>
        </w:rPr>
      </w:pPr>
      <w:r w:rsidRPr="003D3603">
        <w:rPr>
          <w:rFonts w:cs="Arial"/>
          <w:b/>
          <w:sz w:val="22"/>
          <w:szCs w:val="22"/>
        </w:rPr>
        <w:t xml:space="preserve">Conclusions </w:t>
      </w:r>
    </w:p>
    <w:p w14:paraId="3B5F5A41" w14:textId="77777777" w:rsidR="000923BB" w:rsidRDefault="000923BB" w:rsidP="000923BB">
      <w:pPr>
        <w:jc w:val="both"/>
        <w:rPr>
          <w:rFonts w:cs="Arial"/>
          <w:sz w:val="22"/>
          <w:szCs w:val="22"/>
        </w:rPr>
      </w:pPr>
    </w:p>
    <w:p w14:paraId="54163A51" w14:textId="77777777" w:rsidR="000923BB" w:rsidRDefault="000923BB" w:rsidP="000923BB">
      <w:pPr>
        <w:jc w:val="both"/>
        <w:rPr>
          <w:rFonts w:cs="Arial"/>
          <w:sz w:val="22"/>
          <w:szCs w:val="22"/>
        </w:rPr>
      </w:pPr>
      <w:r>
        <w:rPr>
          <w:rFonts w:cs="Arial"/>
          <w:sz w:val="22"/>
          <w:szCs w:val="22"/>
        </w:rPr>
        <w:t>The size of this adjunct study was limited by resources and subsequently by access, thus reducing its generalisability.  For the criterion based component of the review there is some indication that the reviewers were able to capture a more complete data set than the 39 reviewers in the main study were able to do.  This may have been due to the quality of the recording and perhaps the structured nature of the case notes, although it is also possible that the reviewers were more skilled at the task than were the main study reviewers.</w:t>
      </w:r>
    </w:p>
    <w:p w14:paraId="73C812EF" w14:textId="77777777" w:rsidR="000923BB" w:rsidRDefault="000923BB" w:rsidP="000923BB">
      <w:pPr>
        <w:jc w:val="both"/>
        <w:rPr>
          <w:rFonts w:cs="Arial"/>
          <w:sz w:val="22"/>
          <w:szCs w:val="22"/>
        </w:rPr>
      </w:pPr>
    </w:p>
    <w:p w14:paraId="5D8B4F09" w14:textId="77777777" w:rsidR="000923BB" w:rsidRPr="00DA6E21" w:rsidRDefault="000923BB" w:rsidP="000923BB">
      <w:pPr>
        <w:jc w:val="both"/>
        <w:rPr>
          <w:rFonts w:cs="Arial"/>
          <w:sz w:val="22"/>
          <w:szCs w:val="22"/>
        </w:rPr>
      </w:pPr>
      <w:r>
        <w:rPr>
          <w:rFonts w:cs="Arial"/>
          <w:sz w:val="22"/>
          <w:szCs w:val="22"/>
        </w:rPr>
        <w:t xml:space="preserve">The inter-rater reliability results were poor for the holistic reviews, more so that the main study although even the main study showed that there were considerable differences between reviewers in their inter and intra rater reliability.  There may be a number of reasons for this poor level of agreement, including the general level of difficulty of providing holistic reviews of case notes belonging to patients who had prolonged hospital stays.  Under such conditions, it may be that holistic reviewing requires a very high level of training and experience to be able to identify variations in care from the mass of available information, perhaps supported by electronic means of screening such as might be possible by using trigger methodologies (Appendix 14) based on a condition specific set of review criteria. </w:t>
      </w:r>
    </w:p>
    <w:p w14:paraId="446401FB" w14:textId="77777777" w:rsidR="000923BB" w:rsidRDefault="000923BB" w:rsidP="000923BB">
      <w:pPr>
        <w:rPr>
          <w:rFonts w:cs="Arial"/>
          <w:b/>
          <w:sz w:val="22"/>
          <w:szCs w:val="22"/>
        </w:rPr>
      </w:pPr>
    </w:p>
    <w:p w14:paraId="4BACE1BC" w14:textId="77777777" w:rsidR="000923BB" w:rsidRDefault="000923BB" w:rsidP="000923BB">
      <w:pPr>
        <w:rPr>
          <w:rFonts w:cs="Arial"/>
          <w:b/>
          <w:sz w:val="22"/>
          <w:szCs w:val="22"/>
        </w:rPr>
      </w:pPr>
      <w:r>
        <w:rPr>
          <w:rFonts w:cs="Arial"/>
          <w:b/>
          <w:sz w:val="22"/>
          <w:szCs w:val="22"/>
        </w:rPr>
        <w:t xml:space="preserve">References </w:t>
      </w:r>
    </w:p>
    <w:p w14:paraId="425CC42F" w14:textId="77777777" w:rsidR="000923BB" w:rsidRDefault="000923BB" w:rsidP="000923BB">
      <w:pPr>
        <w:rPr>
          <w:rFonts w:cs="Arial"/>
          <w:sz w:val="22"/>
          <w:szCs w:val="22"/>
        </w:rPr>
      </w:pPr>
    </w:p>
    <w:p w14:paraId="7BDF2593" w14:textId="77777777" w:rsidR="000923BB" w:rsidRPr="001E5F52" w:rsidRDefault="000923BB" w:rsidP="00900FF0">
      <w:pPr>
        <w:spacing w:line="240" w:lineRule="auto"/>
        <w:rPr>
          <w:rFonts w:cs="Arial"/>
          <w:sz w:val="22"/>
          <w:szCs w:val="22"/>
        </w:rPr>
      </w:pPr>
      <w:r w:rsidRPr="001E5F52">
        <w:rPr>
          <w:rFonts w:cs="Arial"/>
          <w:sz w:val="22"/>
          <w:szCs w:val="22"/>
        </w:rPr>
        <w:lastRenderedPageBreak/>
        <w:t xml:space="preserve">1] Intercollegiate Stroke Audit Working Party.  </w:t>
      </w:r>
      <w:r w:rsidRPr="001E5F52">
        <w:rPr>
          <w:rFonts w:cs="Arial"/>
          <w:i/>
          <w:sz w:val="22"/>
          <w:szCs w:val="22"/>
        </w:rPr>
        <w:t>National Sentinel Stroke Audit</w:t>
      </w:r>
      <w:r w:rsidRPr="001E5F52">
        <w:rPr>
          <w:rFonts w:cs="Arial"/>
          <w:sz w:val="22"/>
          <w:szCs w:val="22"/>
        </w:rPr>
        <w:t>.  London: Royal College of Physicians of London, 2007</w:t>
      </w:r>
    </w:p>
    <w:p w14:paraId="3AB164D3" w14:textId="77777777" w:rsidR="000923BB" w:rsidRPr="001E5F52" w:rsidRDefault="000923BB" w:rsidP="00900FF0">
      <w:pPr>
        <w:shd w:val="clear" w:color="auto" w:fill="FFFFFF"/>
        <w:spacing w:line="240" w:lineRule="auto"/>
        <w:jc w:val="both"/>
        <w:rPr>
          <w:rFonts w:cs="Arial"/>
          <w:sz w:val="22"/>
          <w:szCs w:val="22"/>
        </w:rPr>
      </w:pPr>
      <w:r w:rsidRPr="001E5F52">
        <w:rPr>
          <w:rFonts w:cs="Arial"/>
          <w:sz w:val="22"/>
          <w:szCs w:val="22"/>
        </w:rPr>
        <w:t xml:space="preserve">2] Mohammed MA, Mant J, Bentham L, Stevens A, Hussain S.  Process and mortality of stroke patients with and without do not resuscitate order in the West Midlands, </w:t>
      </w:r>
      <w:smartTag w:uri="urn:schemas-microsoft-com:office:smarttags" w:element="country-region">
        <w:smartTag w:uri="urn:schemas-microsoft-com:office:smarttags" w:element="place">
          <w:r w:rsidRPr="001E5F52">
            <w:rPr>
              <w:rFonts w:cs="Arial"/>
              <w:sz w:val="22"/>
              <w:szCs w:val="22"/>
            </w:rPr>
            <w:t>UK</w:t>
          </w:r>
        </w:smartTag>
      </w:smartTag>
      <w:r w:rsidRPr="001E5F52">
        <w:rPr>
          <w:rFonts w:cs="Arial"/>
          <w:sz w:val="22"/>
          <w:szCs w:val="22"/>
        </w:rPr>
        <w:t xml:space="preserve">.  </w:t>
      </w:r>
      <w:r w:rsidRPr="001E5F52">
        <w:rPr>
          <w:rFonts w:cs="Arial"/>
          <w:i/>
          <w:sz w:val="22"/>
          <w:szCs w:val="22"/>
        </w:rPr>
        <w:t>Int J Qual Healthcare</w:t>
      </w:r>
      <w:r w:rsidRPr="001E5F52">
        <w:rPr>
          <w:rFonts w:cs="Arial"/>
          <w:sz w:val="22"/>
          <w:szCs w:val="22"/>
        </w:rPr>
        <w:t>, 2006;</w:t>
      </w:r>
      <w:r w:rsidRPr="001E5F52">
        <w:rPr>
          <w:rFonts w:cs="Arial"/>
          <w:b/>
          <w:sz w:val="22"/>
          <w:szCs w:val="22"/>
        </w:rPr>
        <w:t>18</w:t>
      </w:r>
      <w:r w:rsidRPr="001E5F52">
        <w:rPr>
          <w:rFonts w:cs="Arial"/>
          <w:sz w:val="22"/>
          <w:szCs w:val="22"/>
        </w:rPr>
        <w:t xml:space="preserve">:102-106. </w:t>
      </w:r>
    </w:p>
    <w:p w14:paraId="4275C633" w14:textId="77777777" w:rsidR="000923BB" w:rsidRPr="001E5F52" w:rsidRDefault="000923BB" w:rsidP="00900FF0">
      <w:pPr>
        <w:spacing w:line="240" w:lineRule="auto"/>
        <w:rPr>
          <w:rFonts w:cs="Arial"/>
          <w:sz w:val="22"/>
          <w:szCs w:val="22"/>
        </w:rPr>
      </w:pPr>
      <w:r w:rsidRPr="001E5F52">
        <w:rPr>
          <w:rFonts w:cs="Arial"/>
          <w:sz w:val="22"/>
          <w:szCs w:val="22"/>
        </w:rPr>
        <w:t xml:space="preserve">3] </w:t>
      </w:r>
      <w:hyperlink r:id="rId124" w:history="1">
        <w:r w:rsidRPr="001E5F52">
          <w:rPr>
            <w:rStyle w:val="Hyperlink"/>
            <w:rFonts w:cs="Arial"/>
            <w:sz w:val="22"/>
            <w:szCs w:val="22"/>
          </w:rPr>
          <w:t>http://www.nao.org.uk/pn/05-06/0506452.htm</w:t>
        </w:r>
      </w:hyperlink>
      <w:r w:rsidRPr="001E5F52">
        <w:rPr>
          <w:rFonts w:cs="Arial"/>
          <w:sz w:val="22"/>
          <w:szCs w:val="22"/>
        </w:rPr>
        <w:t xml:space="preserve"> </w:t>
      </w:r>
    </w:p>
    <w:p w14:paraId="3B415A4F" w14:textId="77777777" w:rsidR="000923BB" w:rsidRPr="001E5F52" w:rsidRDefault="000923BB" w:rsidP="00900FF0">
      <w:pPr>
        <w:spacing w:line="240" w:lineRule="auto"/>
        <w:rPr>
          <w:rFonts w:cs="Arial"/>
          <w:sz w:val="22"/>
          <w:szCs w:val="22"/>
        </w:rPr>
      </w:pPr>
      <w:r w:rsidRPr="001E5F52">
        <w:rPr>
          <w:rFonts w:cs="Arial"/>
          <w:sz w:val="22"/>
          <w:szCs w:val="22"/>
        </w:rPr>
        <w:t xml:space="preserve">4] Department of Health. </w:t>
      </w:r>
      <w:r w:rsidRPr="001E5F52">
        <w:rPr>
          <w:rFonts w:cs="Arial"/>
          <w:i/>
          <w:sz w:val="22"/>
          <w:szCs w:val="22"/>
        </w:rPr>
        <w:t>National Service Framework for Older People</w:t>
      </w:r>
      <w:r w:rsidRPr="001E5F52">
        <w:rPr>
          <w:rFonts w:cs="Arial"/>
          <w:sz w:val="22"/>
          <w:szCs w:val="22"/>
        </w:rPr>
        <w:t xml:space="preserve">. </w:t>
      </w:r>
      <w:smartTag w:uri="urn:schemas-microsoft-com:office:smarttags" w:element="City">
        <w:smartTag w:uri="urn:schemas-microsoft-com:office:smarttags" w:element="place">
          <w:r w:rsidRPr="001E5F52">
            <w:rPr>
              <w:rFonts w:cs="Arial"/>
              <w:sz w:val="22"/>
              <w:szCs w:val="22"/>
            </w:rPr>
            <w:t>London</w:t>
          </w:r>
        </w:smartTag>
      </w:smartTag>
      <w:r w:rsidRPr="001E5F52">
        <w:rPr>
          <w:rFonts w:cs="Arial"/>
          <w:sz w:val="22"/>
          <w:szCs w:val="22"/>
        </w:rPr>
        <w:t>: Department of Health, 2001</w:t>
      </w:r>
    </w:p>
    <w:p w14:paraId="553262FD" w14:textId="77777777" w:rsidR="000923BB" w:rsidRDefault="000923BB" w:rsidP="00900FF0">
      <w:pPr>
        <w:spacing w:line="240" w:lineRule="auto"/>
        <w:rPr>
          <w:rFonts w:cs="Arial"/>
          <w:color w:val="000000"/>
          <w:sz w:val="22"/>
          <w:szCs w:val="22"/>
        </w:rPr>
      </w:pPr>
      <w:r>
        <w:rPr>
          <w:rFonts w:cs="Arial"/>
          <w:color w:val="000000"/>
          <w:sz w:val="22"/>
          <w:szCs w:val="22"/>
        </w:rPr>
        <w:t xml:space="preserve">5] </w:t>
      </w:r>
      <w:r w:rsidRPr="001E5F52">
        <w:rPr>
          <w:rFonts w:cs="Arial"/>
          <w:color w:val="000000"/>
          <w:sz w:val="22"/>
          <w:szCs w:val="22"/>
        </w:rPr>
        <w:t xml:space="preserve">Mawson S, Gerrish K, Schofield J, Debbage S, Somers A. A pragmatic governance framework for differentiating between research, audit and service review activities.  </w:t>
      </w:r>
      <w:r w:rsidRPr="001E5F52">
        <w:rPr>
          <w:rFonts w:cs="Arial"/>
          <w:i/>
          <w:color w:val="000000"/>
          <w:sz w:val="22"/>
          <w:szCs w:val="22"/>
        </w:rPr>
        <w:t>Clin in Management</w:t>
      </w:r>
      <w:r w:rsidRPr="001E5F52">
        <w:rPr>
          <w:rFonts w:cs="Arial"/>
          <w:color w:val="000000"/>
          <w:sz w:val="22"/>
          <w:szCs w:val="22"/>
        </w:rPr>
        <w:t>, 2007;</w:t>
      </w:r>
      <w:r w:rsidRPr="001B40D2">
        <w:rPr>
          <w:rFonts w:cs="Arial"/>
          <w:b/>
          <w:color w:val="000000"/>
          <w:sz w:val="22"/>
          <w:szCs w:val="22"/>
        </w:rPr>
        <w:t>15</w:t>
      </w:r>
      <w:r w:rsidRPr="001E5F52">
        <w:rPr>
          <w:rFonts w:cs="Arial"/>
          <w:color w:val="000000"/>
          <w:sz w:val="22"/>
          <w:szCs w:val="22"/>
        </w:rPr>
        <w:t>:</w:t>
      </w:r>
      <w:r>
        <w:rPr>
          <w:rFonts w:cs="Arial"/>
          <w:color w:val="000000"/>
          <w:sz w:val="22"/>
          <w:szCs w:val="22"/>
        </w:rPr>
        <w:t>29-35</w:t>
      </w:r>
      <w:r w:rsidRPr="001E5F52">
        <w:rPr>
          <w:rFonts w:cs="Arial"/>
          <w:color w:val="000000"/>
          <w:sz w:val="22"/>
          <w:szCs w:val="22"/>
        </w:rPr>
        <w:t xml:space="preserve"> </w:t>
      </w:r>
    </w:p>
    <w:p w14:paraId="090C5908" w14:textId="77777777" w:rsidR="000923BB" w:rsidRDefault="000923BB" w:rsidP="000923BB">
      <w:pPr>
        <w:jc w:val="center"/>
        <w:rPr>
          <w:rFonts w:cs="Arial"/>
          <w:b/>
          <w:sz w:val="28"/>
          <w:szCs w:val="28"/>
        </w:rPr>
      </w:pPr>
      <w:r>
        <w:rPr>
          <w:rFonts w:cs="Arial"/>
          <w:color w:val="000000"/>
          <w:sz w:val="22"/>
          <w:szCs w:val="22"/>
        </w:rPr>
        <w:br w:type="page"/>
      </w:r>
      <w:r>
        <w:rPr>
          <w:rFonts w:cs="Arial"/>
          <w:b/>
          <w:sz w:val="28"/>
          <w:szCs w:val="28"/>
        </w:rPr>
        <w:lastRenderedPageBreak/>
        <w:t>Appendix 14</w:t>
      </w:r>
    </w:p>
    <w:p w14:paraId="39C04892" w14:textId="77777777" w:rsidR="000923BB" w:rsidRDefault="000923BB" w:rsidP="000923BB">
      <w:pPr>
        <w:jc w:val="center"/>
        <w:rPr>
          <w:rFonts w:cs="Arial"/>
          <w:b/>
          <w:sz w:val="28"/>
          <w:szCs w:val="28"/>
        </w:rPr>
      </w:pPr>
    </w:p>
    <w:p w14:paraId="20ACD984" w14:textId="77777777" w:rsidR="000923BB" w:rsidRDefault="000923BB" w:rsidP="000923BB">
      <w:pPr>
        <w:jc w:val="center"/>
        <w:rPr>
          <w:rFonts w:cs="Arial"/>
          <w:b/>
          <w:sz w:val="28"/>
          <w:szCs w:val="28"/>
        </w:rPr>
      </w:pPr>
      <w:r w:rsidRPr="00CC1FBA">
        <w:rPr>
          <w:rFonts w:cs="Arial"/>
          <w:b/>
          <w:sz w:val="28"/>
          <w:szCs w:val="28"/>
        </w:rPr>
        <w:t>The place of trigger tool methodology in case note review for quality and safety</w:t>
      </w:r>
    </w:p>
    <w:p w14:paraId="22215394" w14:textId="77777777" w:rsidR="000923BB" w:rsidRPr="0041344D" w:rsidRDefault="000923BB" w:rsidP="000923BB">
      <w:pPr>
        <w:jc w:val="both"/>
        <w:rPr>
          <w:rFonts w:cs="Arial"/>
          <w:b/>
          <w:sz w:val="22"/>
        </w:rPr>
      </w:pPr>
      <w:r w:rsidRPr="0041344D">
        <w:rPr>
          <w:rFonts w:cs="Arial"/>
          <w:b/>
          <w:sz w:val="22"/>
        </w:rPr>
        <w:t>Context of the analysis</w:t>
      </w:r>
    </w:p>
    <w:p w14:paraId="73901833" w14:textId="77777777" w:rsidR="000923BB" w:rsidRDefault="000923BB" w:rsidP="000923BB">
      <w:pPr>
        <w:jc w:val="both"/>
        <w:rPr>
          <w:rFonts w:cs="Arial"/>
          <w:sz w:val="22"/>
        </w:rPr>
      </w:pPr>
      <w:r>
        <w:rPr>
          <w:rFonts w:cs="Arial"/>
          <w:sz w:val="22"/>
        </w:rPr>
        <w:t xml:space="preserve">The initial study proposal indicated that it would be valuable to undertake an exploration of electronic trigger tool methods for assessing safety and quality in the two study conditions, acute exacerbations of COPD and heart failure, in contrasting trigger tools with paper-based holistic and criterion review.  </w:t>
      </w:r>
    </w:p>
    <w:p w14:paraId="79FD48A5" w14:textId="77777777" w:rsidR="000923BB" w:rsidRDefault="000923BB" w:rsidP="000923BB">
      <w:pPr>
        <w:jc w:val="both"/>
        <w:rPr>
          <w:rFonts w:cs="Arial"/>
          <w:sz w:val="22"/>
        </w:rPr>
      </w:pPr>
      <w:r>
        <w:rPr>
          <w:rFonts w:cs="Arial"/>
          <w:sz w:val="22"/>
        </w:rPr>
        <w:t xml:space="preserve">Because this trigger tool study required research ethics approval it could only practically be undertaken in a hospital local to the study team, given the extent of the resource commitments of the main studies.  It proved to be the case that none of the local hospitals had sufficient electronic records systems to support even a small study.  In the most likely setting for the research there were a total of seven separate paper based record systems.  The research commissioners therefore agreed that a short review of trigger tool methods in the context of paper based records would be an appropriate alternative. </w:t>
      </w:r>
    </w:p>
    <w:p w14:paraId="04D8E658" w14:textId="77777777" w:rsidR="000923BB" w:rsidRPr="0041344D" w:rsidRDefault="000923BB" w:rsidP="000923BB">
      <w:pPr>
        <w:jc w:val="both"/>
        <w:rPr>
          <w:rFonts w:cs="Arial"/>
          <w:b/>
          <w:sz w:val="22"/>
        </w:rPr>
      </w:pPr>
      <w:r w:rsidRPr="0041344D">
        <w:rPr>
          <w:rFonts w:cs="Arial"/>
          <w:b/>
          <w:sz w:val="22"/>
        </w:rPr>
        <w:t xml:space="preserve">Trigger tool methods </w:t>
      </w:r>
    </w:p>
    <w:p w14:paraId="10096FF3" w14:textId="77777777" w:rsidR="000923BB" w:rsidRDefault="000923BB" w:rsidP="000923BB">
      <w:pPr>
        <w:jc w:val="both"/>
        <w:rPr>
          <w:rFonts w:cs="Arial"/>
          <w:sz w:val="22"/>
        </w:rPr>
      </w:pPr>
      <w:r>
        <w:rPr>
          <w:rFonts w:cs="Arial"/>
          <w:sz w:val="22"/>
        </w:rPr>
        <w:t xml:space="preserve">Healthcare trigger tools were first described by </w:t>
      </w:r>
      <w:r w:rsidRPr="00CC1FBA">
        <w:rPr>
          <w:rFonts w:cs="Arial"/>
          <w:sz w:val="22"/>
        </w:rPr>
        <w:t>Classen</w:t>
      </w:r>
      <w:r>
        <w:rPr>
          <w:rFonts w:cs="Arial"/>
          <w:sz w:val="22"/>
        </w:rPr>
        <w:t xml:space="preserve"> and colleagues[1] as an electronic screening tool for identifying markers or ‘sentinels’[2] for possible adverse drug events (ADEs).    Since this original prototype was developed in the context of a hospital with an electronic record system, it was possible to develop data searching techniques that scanned for a drug, test or procedure that is usually associated with the management of an ADE.  If a marker was found then a full review of a medical record could be undertaken to determine whether there had indeed been an avoidable event.  </w:t>
      </w:r>
    </w:p>
    <w:p w14:paraId="551876AC" w14:textId="77777777" w:rsidR="000923BB" w:rsidRDefault="000923BB" w:rsidP="000923BB">
      <w:pPr>
        <w:jc w:val="both"/>
        <w:rPr>
          <w:rFonts w:cs="Arial"/>
          <w:sz w:val="22"/>
        </w:rPr>
      </w:pPr>
      <w:r>
        <w:rPr>
          <w:rFonts w:cs="Arial"/>
          <w:sz w:val="22"/>
        </w:rPr>
        <w:t>It should be noted here, however, that the term ADE includes both preventable adverse events and adverse drug reactions which may be unforeseeable even under circumstances of the very best care.  So the sensitivity of the original electronic trigger tool system for identifying safety events was limited by the choice of tracer – in this case an ADE.</w:t>
      </w:r>
    </w:p>
    <w:p w14:paraId="268D8392" w14:textId="77777777" w:rsidR="000923BB" w:rsidRDefault="000923BB" w:rsidP="000923BB">
      <w:pPr>
        <w:jc w:val="both"/>
        <w:rPr>
          <w:rFonts w:cs="Arial"/>
          <w:sz w:val="22"/>
        </w:rPr>
      </w:pPr>
      <w:r>
        <w:rPr>
          <w:rFonts w:cs="Arial"/>
          <w:sz w:val="22"/>
        </w:rPr>
        <w:t xml:space="preserve">Resar et al[2] point out that this initial trigger tool system had the benefit of much reducing the staff time that might otherwise be needed to screen all case notes (for example, under circumstances where routine screening is identified by an organisation  as a priority or in a search for ADEs).  Routine automated screening could also be done within a very short time of an event, conceivably within a short enough timeframe for the patient still to be under active management of an event.  </w:t>
      </w:r>
    </w:p>
    <w:p w14:paraId="1DFD3EC6" w14:textId="77777777" w:rsidR="000923BB" w:rsidRDefault="000923BB" w:rsidP="000923BB">
      <w:pPr>
        <w:jc w:val="both"/>
        <w:rPr>
          <w:rFonts w:cs="Arial"/>
          <w:sz w:val="22"/>
        </w:rPr>
      </w:pPr>
      <w:r>
        <w:rPr>
          <w:rFonts w:cs="Arial"/>
          <w:sz w:val="22"/>
        </w:rPr>
        <w:t xml:space="preserve">The initial trigger tool concept applied to electronic records, therefore posed a potentially cost effective and timely method for screening large numbers of case notes, of a range of patients and conditions.  For example, Jha et al[3] reviewed care </w:t>
      </w:r>
      <w:r>
        <w:rPr>
          <w:rFonts w:cs="Arial"/>
          <w:sz w:val="22"/>
        </w:rPr>
        <w:lastRenderedPageBreak/>
        <w:t xml:space="preserve">over 21964 patient days and compared the results of voluntary reporting of ADEs with chart review (398 ADEs) and computer monitoring using a trigger tool (2620 alerts of which 275 </w:t>
      </w:r>
      <w:r w:rsidR="005259A3">
        <w:rPr>
          <w:rFonts w:cs="Arial"/>
          <w:sz w:val="22"/>
        </w:rPr>
        <w:t>((</w:t>
      </w:r>
      <w:r>
        <w:rPr>
          <w:rFonts w:cs="Arial"/>
          <w:sz w:val="22"/>
        </w:rPr>
        <w:t>99.5%)</w:t>
      </w:r>
      <w:r w:rsidR="005259A3">
        <w:rPr>
          <w:rFonts w:cs="Arial"/>
          <w:sz w:val="22"/>
        </w:rPr>
        <w:t>)</w:t>
      </w:r>
      <w:r>
        <w:rPr>
          <w:rFonts w:cs="Arial"/>
          <w:sz w:val="22"/>
        </w:rPr>
        <w:t xml:space="preserve"> were ADEs</w:t>
      </w:r>
      <w:r w:rsidR="005259A3">
        <w:rPr>
          <w:rFonts w:cs="Arial"/>
          <w:sz w:val="22"/>
        </w:rPr>
        <w:t>)</w:t>
      </w:r>
      <w:r>
        <w:rPr>
          <w:rFonts w:cs="Arial"/>
          <w:sz w:val="22"/>
        </w:rPr>
        <w:t>.  Little commentary was made on the low specificity of the computerised alert screening method.</w:t>
      </w:r>
    </w:p>
    <w:p w14:paraId="175DF764" w14:textId="77777777" w:rsidR="000923BB" w:rsidRDefault="000923BB" w:rsidP="000923BB">
      <w:pPr>
        <w:jc w:val="both"/>
        <w:rPr>
          <w:rFonts w:cs="Arial"/>
          <w:sz w:val="22"/>
        </w:rPr>
      </w:pPr>
      <w:r>
        <w:rPr>
          <w:rFonts w:cs="Arial"/>
          <w:sz w:val="22"/>
        </w:rPr>
        <w:t xml:space="preserve"> Rozich et al[4] subsequently used Classen’s[1] original ideas to develop and test a more broadly based ADE trigger tool of 24 criteria which could be used across a wide range of hospital types, from community to tertiary hospitals.</w:t>
      </w:r>
    </w:p>
    <w:p w14:paraId="0AE8796B" w14:textId="77777777" w:rsidR="000923BB" w:rsidRDefault="000923BB" w:rsidP="000923BB">
      <w:pPr>
        <w:jc w:val="both"/>
        <w:rPr>
          <w:rFonts w:cs="Arial"/>
          <w:sz w:val="22"/>
        </w:rPr>
      </w:pPr>
      <w:r>
        <w:rPr>
          <w:rFonts w:cs="Arial"/>
          <w:sz w:val="22"/>
        </w:rPr>
        <w:t xml:space="preserve">Trigger tools are essentially composed of a set of review criteria that are designed to identify possible active incidents or errors, such as the patient being given the wrong medication or a failure by the clinical team to respond to deteriorating vital signs.  In this sense, although the evidence base on which they are built may be different, trigger tools are similar to evidence based review criteria derived from clinical practice guidelines.  Review criteria that are guideline based are more usually focused on positive acts than are ‘incident based’ trigger tools. For instance, the lack of a guideline based review criterion in the case notes may indicate that an event has not happened – possibly linked to a ‘failure to provide’ event.  For example, the failure to record that a measure of glucose level has been taken in a person with diabetes might indicate a more general failure to actively manage the case. </w:t>
      </w:r>
    </w:p>
    <w:p w14:paraId="1386B94B" w14:textId="77777777" w:rsidR="000923BB" w:rsidRDefault="000923BB" w:rsidP="000923BB">
      <w:pPr>
        <w:jc w:val="both"/>
        <w:rPr>
          <w:rFonts w:cs="Arial"/>
          <w:sz w:val="22"/>
        </w:rPr>
      </w:pPr>
      <w:r>
        <w:rPr>
          <w:rFonts w:cs="Arial"/>
          <w:sz w:val="22"/>
        </w:rPr>
        <w:t>Initially, trigger tools were used either in near ‘real time’ or retrospectively, from paper based or electronic records, to identify possible preventable events in medication safety.  Trigger technology was subsequently broadened to identify possible harm in services such as paediatric intensive care,</w:t>
      </w:r>
      <w:r w:rsidRPr="008D6099">
        <w:rPr>
          <w:rFonts w:cs="Arial"/>
          <w:sz w:val="22"/>
        </w:rPr>
        <w:t xml:space="preserve"> </w:t>
      </w:r>
      <w:r>
        <w:rPr>
          <w:rFonts w:cs="Arial"/>
          <w:sz w:val="22"/>
        </w:rPr>
        <w:t xml:space="preserve">[5] where situation specific trigger criteria have been developed to screen for some of the more frequently occurring, preventable, safety events.  In the initial validation study of this tool the most commonly identified adverse events were healthcare associated infections, catheter infiltrates and unplanned extubations requiring re-intubation. Trigger tools for adult intensive care have included such criteria as abrupt falls in haemoglobin level – indicative of severe bleeding or the occurrence of a case of pneumonia in a person who is already a patient in a hospital .[6] </w:t>
      </w:r>
    </w:p>
    <w:p w14:paraId="327F274C" w14:textId="77777777" w:rsidR="000923BB" w:rsidRDefault="000923BB" w:rsidP="000923BB">
      <w:pPr>
        <w:jc w:val="both"/>
        <w:rPr>
          <w:rFonts w:cs="Arial"/>
          <w:sz w:val="22"/>
        </w:rPr>
      </w:pPr>
      <w:r>
        <w:rPr>
          <w:rFonts w:cs="Arial"/>
          <w:sz w:val="22"/>
        </w:rPr>
        <w:t>Recent developments have taken a different approach in looking globally for adverse events across whole hospital inpatient systems[7] and providing a measure for comparing one hospital’s results with another, using denominators such as:</w:t>
      </w:r>
    </w:p>
    <w:p w14:paraId="5313592A" w14:textId="77777777" w:rsidR="000923BB" w:rsidRDefault="000923BB" w:rsidP="000923BB">
      <w:pPr>
        <w:jc w:val="both"/>
        <w:rPr>
          <w:rFonts w:cs="Arial"/>
          <w:sz w:val="22"/>
        </w:rPr>
      </w:pPr>
      <w:r>
        <w:rPr>
          <w:rFonts w:cs="Arial"/>
          <w:sz w:val="22"/>
        </w:rPr>
        <w:t>Adverse events per 1000 patient days or</w:t>
      </w:r>
    </w:p>
    <w:p w14:paraId="28506FD5" w14:textId="77777777" w:rsidR="000923BB" w:rsidRDefault="000923BB" w:rsidP="000923BB">
      <w:pPr>
        <w:jc w:val="both"/>
        <w:rPr>
          <w:rFonts w:cs="Arial"/>
          <w:sz w:val="22"/>
        </w:rPr>
      </w:pPr>
      <w:r>
        <w:rPr>
          <w:rFonts w:cs="Arial"/>
          <w:sz w:val="22"/>
        </w:rPr>
        <w:t>Adverse events per 100 admissions or</w:t>
      </w:r>
    </w:p>
    <w:p w14:paraId="30DF1479" w14:textId="77777777" w:rsidR="000923BB" w:rsidRDefault="000923BB" w:rsidP="000923BB">
      <w:pPr>
        <w:jc w:val="both"/>
        <w:rPr>
          <w:rFonts w:cs="Arial"/>
          <w:sz w:val="22"/>
        </w:rPr>
      </w:pPr>
      <w:r>
        <w:rPr>
          <w:rFonts w:cs="Arial"/>
          <w:sz w:val="22"/>
        </w:rPr>
        <w:t xml:space="preserve">Percentage of admissions with an adverse event. </w:t>
      </w:r>
    </w:p>
    <w:p w14:paraId="7921347B" w14:textId="77777777" w:rsidR="000923BB" w:rsidRDefault="000923BB" w:rsidP="000923BB">
      <w:pPr>
        <w:jc w:val="both"/>
        <w:rPr>
          <w:rFonts w:cs="Arial"/>
          <w:sz w:val="22"/>
        </w:rPr>
      </w:pPr>
    </w:p>
    <w:p w14:paraId="09E73A50" w14:textId="77777777" w:rsidR="000923BB" w:rsidRDefault="000923BB" w:rsidP="000923BB">
      <w:pPr>
        <w:jc w:val="both"/>
        <w:rPr>
          <w:rFonts w:cs="Arial"/>
          <w:sz w:val="22"/>
        </w:rPr>
      </w:pPr>
      <w:r>
        <w:rPr>
          <w:rFonts w:cs="Arial"/>
          <w:sz w:val="22"/>
        </w:rPr>
        <w:t xml:space="preserve">More controversially, the </w:t>
      </w:r>
      <w:smartTag w:uri="urn:schemas-microsoft-com:office:smarttags" w:element="place">
        <w:smartTag w:uri="urn:schemas-microsoft-com:office:smarttags" w:element="PlaceType">
          <w:r>
            <w:rPr>
              <w:rFonts w:cs="Arial"/>
              <w:sz w:val="22"/>
            </w:rPr>
            <w:t>Institute</w:t>
          </w:r>
        </w:smartTag>
        <w:r>
          <w:rPr>
            <w:rFonts w:cs="Arial"/>
            <w:sz w:val="22"/>
          </w:rPr>
          <w:t xml:space="preserve"> of </w:t>
        </w:r>
        <w:smartTag w:uri="urn:schemas-microsoft-com:office:smarttags" w:element="PlaceName">
          <w:r>
            <w:rPr>
              <w:rFonts w:cs="Arial"/>
              <w:sz w:val="22"/>
            </w:rPr>
            <w:t>Healthcare Improvement</w:t>
          </w:r>
        </w:smartTag>
      </w:smartTag>
      <w:r>
        <w:rPr>
          <w:rFonts w:cs="Arial"/>
          <w:sz w:val="22"/>
        </w:rPr>
        <w:t xml:space="preserve"> [8] has developed an outpatient care trigger tool that “bands together multiple episodes of care across a continuum” [8], using triggers data from malpractice claims to categorise outpatient care related adverse events.  The tool comprises 11 criteria “to provide ‘clues’ to the possibility of adverse events in a patient record” [8].</w:t>
      </w:r>
    </w:p>
    <w:p w14:paraId="06B4CAA2" w14:textId="77777777" w:rsidR="000923BB" w:rsidRDefault="000923BB" w:rsidP="000923BB">
      <w:pPr>
        <w:jc w:val="both"/>
        <w:rPr>
          <w:rFonts w:cs="Arial"/>
          <w:b/>
          <w:i/>
          <w:sz w:val="22"/>
        </w:rPr>
      </w:pPr>
    </w:p>
    <w:p w14:paraId="60CE6BD6" w14:textId="77777777" w:rsidR="000923BB" w:rsidRPr="0041344D" w:rsidRDefault="000923BB" w:rsidP="000923BB">
      <w:pPr>
        <w:jc w:val="both"/>
        <w:rPr>
          <w:rFonts w:cs="Arial"/>
          <w:b/>
          <w:sz w:val="22"/>
        </w:rPr>
      </w:pPr>
      <w:r w:rsidRPr="0041344D">
        <w:rPr>
          <w:rFonts w:cs="Arial"/>
          <w:b/>
          <w:sz w:val="22"/>
        </w:rPr>
        <w:t>Strengths and weaknesses of trigger tool methods</w:t>
      </w:r>
    </w:p>
    <w:p w14:paraId="6A0BD96A" w14:textId="77777777" w:rsidR="000923BB" w:rsidRDefault="000923BB" w:rsidP="000923BB">
      <w:pPr>
        <w:jc w:val="both"/>
        <w:rPr>
          <w:rFonts w:cs="Arial"/>
          <w:sz w:val="22"/>
        </w:rPr>
      </w:pPr>
    </w:p>
    <w:p w14:paraId="63A0AE31" w14:textId="77777777" w:rsidR="000923BB" w:rsidRDefault="000923BB" w:rsidP="000923BB">
      <w:pPr>
        <w:jc w:val="both"/>
        <w:rPr>
          <w:rFonts w:cs="Arial"/>
          <w:sz w:val="22"/>
        </w:rPr>
      </w:pPr>
      <w:r>
        <w:rPr>
          <w:rFonts w:cs="Arial"/>
          <w:sz w:val="22"/>
        </w:rPr>
        <w:t>Although the value of using the electronic screening trigger programmes has been recognised, it is also apparent that many hospital record systems are still paper based, so that more recent versions of trigger tools have been directed towards supporting the screening of case notes by trained reviewers, using what is effectively a criterion based, explicit, approach. Just like review criteria, trigger tools bring structure to a review, being used as a framework for screening case notes or electronic records and identifying pointers to potential adverse events, which are then explored through full, holistic, case note review.</w:t>
      </w:r>
    </w:p>
    <w:p w14:paraId="26478337" w14:textId="77777777" w:rsidR="000923BB" w:rsidRDefault="000923BB" w:rsidP="000923BB">
      <w:pPr>
        <w:jc w:val="both"/>
        <w:rPr>
          <w:rFonts w:cs="Arial"/>
          <w:sz w:val="22"/>
        </w:rPr>
      </w:pPr>
      <w:r>
        <w:rPr>
          <w:rFonts w:cs="Arial"/>
          <w:sz w:val="22"/>
        </w:rPr>
        <w:t xml:space="preserve">Although these more broadly based service reviews are now being more widely promoted by the Institute for Healthcare Improvement and through projects in the UK NHS [8], rather less is currently being said about the limitations of the method.  These limitations can be seen as: </w:t>
      </w:r>
    </w:p>
    <w:p w14:paraId="2081A0A9" w14:textId="77777777" w:rsidR="000923BB" w:rsidRDefault="000923BB" w:rsidP="000923BB">
      <w:pPr>
        <w:jc w:val="both"/>
        <w:rPr>
          <w:rFonts w:cs="Arial"/>
          <w:sz w:val="22"/>
        </w:rPr>
      </w:pPr>
      <w:r>
        <w:rPr>
          <w:rFonts w:cs="Arial"/>
          <w:sz w:val="22"/>
        </w:rPr>
        <w:t xml:space="preserve">1] development effort required for the criteria for the trigger tool </w:t>
      </w:r>
    </w:p>
    <w:p w14:paraId="27FD3868" w14:textId="77777777" w:rsidR="000923BB" w:rsidRDefault="000923BB" w:rsidP="000923BB">
      <w:pPr>
        <w:jc w:val="both"/>
        <w:rPr>
          <w:rFonts w:cs="Arial"/>
          <w:sz w:val="22"/>
        </w:rPr>
      </w:pPr>
      <w:r>
        <w:rPr>
          <w:rFonts w:cs="Arial"/>
          <w:sz w:val="22"/>
        </w:rPr>
        <w:t xml:space="preserve">2] requirement for casenote review where trigger criteria are found  </w:t>
      </w:r>
    </w:p>
    <w:p w14:paraId="3869AC6C" w14:textId="77777777" w:rsidR="000923BB" w:rsidRDefault="000923BB" w:rsidP="000923BB">
      <w:pPr>
        <w:jc w:val="both"/>
        <w:rPr>
          <w:rFonts w:cs="Arial"/>
          <w:sz w:val="22"/>
        </w:rPr>
      </w:pPr>
      <w:r>
        <w:rPr>
          <w:rFonts w:cs="Arial"/>
          <w:sz w:val="22"/>
        </w:rPr>
        <w:t>3] validity and interpretation of the results.</w:t>
      </w:r>
    </w:p>
    <w:p w14:paraId="49087F61" w14:textId="77777777" w:rsidR="00900FF0" w:rsidRDefault="00900FF0" w:rsidP="000923BB">
      <w:pPr>
        <w:jc w:val="both"/>
        <w:rPr>
          <w:rFonts w:cs="Arial"/>
          <w:sz w:val="22"/>
          <w:u w:val="single"/>
        </w:rPr>
      </w:pPr>
    </w:p>
    <w:p w14:paraId="660B8567" w14:textId="77777777" w:rsidR="000923BB" w:rsidRDefault="000923BB" w:rsidP="000923BB">
      <w:pPr>
        <w:jc w:val="both"/>
        <w:rPr>
          <w:rFonts w:cs="Arial"/>
          <w:sz w:val="22"/>
          <w:u w:val="single"/>
        </w:rPr>
      </w:pPr>
      <w:r w:rsidRPr="008D6099">
        <w:rPr>
          <w:rFonts w:cs="Arial"/>
          <w:sz w:val="22"/>
          <w:u w:val="single"/>
        </w:rPr>
        <w:t>Development resource</w:t>
      </w:r>
    </w:p>
    <w:p w14:paraId="6309A019" w14:textId="77777777" w:rsidR="000923BB" w:rsidRDefault="000923BB" w:rsidP="000923BB">
      <w:pPr>
        <w:jc w:val="both"/>
        <w:rPr>
          <w:rFonts w:cs="Arial"/>
          <w:sz w:val="22"/>
        </w:rPr>
      </w:pPr>
      <w:r>
        <w:rPr>
          <w:rFonts w:cs="Arial"/>
          <w:sz w:val="22"/>
        </w:rPr>
        <w:t xml:space="preserve">Extensive effort is required to develop a set of review criteria that have some evidence base, face validity and reproducibility.  Although Resar and colleagues do not indicate how much effort was required to develop the four trigger programmes they outline in their 2003 review article,[2] they indicate in another article that many person hours were required to develop the IHI adverse drug event tool.  </w:t>
      </w:r>
    </w:p>
    <w:p w14:paraId="034FDD91" w14:textId="77777777" w:rsidR="000923BB" w:rsidRDefault="000923BB" w:rsidP="000923BB">
      <w:pPr>
        <w:jc w:val="both"/>
        <w:rPr>
          <w:rFonts w:cs="Arial"/>
          <w:sz w:val="22"/>
        </w:rPr>
      </w:pPr>
      <w:r>
        <w:rPr>
          <w:rFonts w:cs="Arial"/>
          <w:sz w:val="22"/>
        </w:rPr>
        <w:t>To create trigger tools for (types of) adverse events, it would be necessary first to create an initial list of possible adverse events for a clinical condition or care setting – this has been the approach in the IHI global adverse events tool.[7]  Once an initial list of trigger criteria are developed then validation and reproducibility testing adds a further burden. For instance, development of the IHI medication tool [4] was undertaken in 86 hospitals and was based on a review of 2837</w:t>
      </w:r>
      <w:r w:rsidRPr="00F0434F">
        <w:rPr>
          <w:rFonts w:cs="Arial"/>
          <w:sz w:val="22"/>
        </w:rPr>
        <w:t xml:space="preserve"> records</w:t>
      </w:r>
      <w:r>
        <w:rPr>
          <w:rFonts w:cs="Arial"/>
          <w:sz w:val="22"/>
        </w:rPr>
        <w:t>.  This is a highly resource intensive process and it is unlikely that this level of funding will available often, particularly in the UK, so that trigger tools are likely to be limited in number and for the foreseeable future to be essentially of North American origin.</w:t>
      </w:r>
    </w:p>
    <w:p w14:paraId="29F3A82B" w14:textId="77777777" w:rsidR="000923BB" w:rsidRPr="009C5F48" w:rsidRDefault="000923BB" w:rsidP="000923BB">
      <w:pPr>
        <w:jc w:val="both"/>
        <w:rPr>
          <w:rFonts w:cs="Arial"/>
          <w:sz w:val="22"/>
          <w:u w:val="single"/>
        </w:rPr>
      </w:pPr>
      <w:r w:rsidRPr="009C5F48">
        <w:rPr>
          <w:rFonts w:cs="Arial"/>
          <w:sz w:val="22"/>
          <w:u w:val="single"/>
        </w:rPr>
        <w:t>Use of case note review</w:t>
      </w:r>
    </w:p>
    <w:p w14:paraId="03873EB6" w14:textId="77777777" w:rsidR="000923BB" w:rsidRDefault="000923BB" w:rsidP="000923BB">
      <w:pPr>
        <w:jc w:val="both"/>
        <w:rPr>
          <w:rFonts w:cs="Arial"/>
          <w:sz w:val="22"/>
        </w:rPr>
      </w:pPr>
      <w:r>
        <w:rPr>
          <w:rFonts w:cs="Arial"/>
          <w:sz w:val="22"/>
        </w:rPr>
        <w:t xml:space="preserve">During a screening review using trigger tools, a positive finding of any one criterion requires that a full case note review must be undertaken.  Resar and colleagues </w:t>
      </w:r>
      <w:r w:rsidRPr="009C5F48">
        <w:rPr>
          <w:rFonts w:cs="Arial"/>
          <w:sz w:val="22"/>
        </w:rPr>
        <w:t>[</w:t>
      </w:r>
      <w:r>
        <w:rPr>
          <w:rFonts w:cs="Arial"/>
          <w:sz w:val="22"/>
        </w:rPr>
        <w:t>2</w:t>
      </w:r>
      <w:r w:rsidRPr="009C5F48">
        <w:rPr>
          <w:rFonts w:cs="Arial"/>
          <w:sz w:val="22"/>
        </w:rPr>
        <w:t>]</w:t>
      </w:r>
      <w:r>
        <w:rPr>
          <w:rFonts w:cs="Arial"/>
          <w:sz w:val="22"/>
        </w:rPr>
        <w:t xml:space="preserve"> point out that ‘the reviewer must review the use of the trigger in the context of the care documented’.  For example, in a medication review an event that appears to be an </w:t>
      </w:r>
      <w:r>
        <w:rPr>
          <w:rFonts w:cs="Arial"/>
          <w:sz w:val="22"/>
        </w:rPr>
        <w:lastRenderedPageBreak/>
        <w:t xml:space="preserve">ADE may be an adverse drug reaction [unpredictable and probably not preventable] rather than an adverse event.  </w:t>
      </w:r>
    </w:p>
    <w:p w14:paraId="767D825D" w14:textId="77777777" w:rsidR="000923BB" w:rsidRDefault="000923BB" w:rsidP="000923BB">
      <w:pPr>
        <w:jc w:val="both"/>
        <w:rPr>
          <w:rFonts w:cs="Arial"/>
          <w:sz w:val="22"/>
        </w:rPr>
      </w:pPr>
    </w:p>
    <w:p w14:paraId="47FF171B" w14:textId="77777777" w:rsidR="000923BB" w:rsidRDefault="000923BB" w:rsidP="000923BB">
      <w:pPr>
        <w:jc w:val="both"/>
        <w:rPr>
          <w:rFonts w:cs="Arial"/>
          <w:sz w:val="22"/>
        </w:rPr>
      </w:pPr>
      <w:r>
        <w:rPr>
          <w:rFonts w:cs="Arial"/>
          <w:sz w:val="22"/>
        </w:rPr>
        <w:t xml:space="preserve">One of the key limitations of trigger technology is that any adverse events not identified by a trigger would be missed[9] unless a general screen </w:t>
      </w:r>
      <w:r w:rsidR="005259A3">
        <w:rPr>
          <w:rFonts w:cs="Arial"/>
          <w:sz w:val="22"/>
        </w:rPr>
        <w:t xml:space="preserve">is </w:t>
      </w:r>
      <w:r>
        <w:rPr>
          <w:rFonts w:cs="Arial"/>
          <w:sz w:val="22"/>
        </w:rPr>
        <w:t xml:space="preserve">carried out, which defeats the efficiency purpose.  Moreover, it could be argued that if it takes circa 15 - 20 minutes[4] to manually scan to identify for one in a set of adverse review criteria, this is about the same length of time as an experienced reviewer might take to undertake a structured implicit review.  The IHI trigger tool study[4] used full retrospective case note review with 23 (together with one open) review criteria. Instead of being a screening tool, therefore, the trigger criteria could be seen </w:t>
      </w:r>
      <w:r w:rsidR="005259A3">
        <w:rPr>
          <w:rFonts w:cs="Arial"/>
          <w:sz w:val="22"/>
        </w:rPr>
        <w:t xml:space="preserve">as </w:t>
      </w:r>
      <w:r>
        <w:rPr>
          <w:rFonts w:cs="Arial"/>
          <w:sz w:val="22"/>
        </w:rPr>
        <w:t xml:space="preserve">part of a mixed explicit/implicit case note review methodology. </w:t>
      </w:r>
    </w:p>
    <w:p w14:paraId="20264140" w14:textId="77777777" w:rsidR="000923BB" w:rsidRPr="009C5F48" w:rsidRDefault="000923BB" w:rsidP="000923BB">
      <w:pPr>
        <w:jc w:val="both"/>
        <w:rPr>
          <w:rFonts w:cs="Arial"/>
          <w:sz w:val="22"/>
          <w:u w:val="single"/>
        </w:rPr>
      </w:pPr>
      <w:r w:rsidRPr="009C5F48">
        <w:rPr>
          <w:rFonts w:cs="Arial"/>
          <w:sz w:val="22"/>
          <w:u w:val="single"/>
        </w:rPr>
        <w:t>Validity and interpretation of the results</w:t>
      </w:r>
    </w:p>
    <w:p w14:paraId="76A1F0F0" w14:textId="77777777" w:rsidR="000923BB" w:rsidRDefault="000923BB" w:rsidP="000923BB">
      <w:pPr>
        <w:jc w:val="both"/>
        <w:rPr>
          <w:rFonts w:cs="Arial"/>
          <w:sz w:val="22"/>
        </w:rPr>
      </w:pPr>
      <w:r>
        <w:rPr>
          <w:rFonts w:cs="Arial"/>
          <w:sz w:val="22"/>
        </w:rPr>
        <w:t>When trigger tools are developed using rigorous methods and with extensive validation, there is undoubtedly a role for such review methods when they are used to review sets of case notes within an institution and, in combination with full implicit review, they can also be used to explore safety and quality between institutions.  However, Brown and colleagues</w:t>
      </w:r>
      <w:r w:rsidRPr="009C5F48">
        <w:rPr>
          <w:rFonts w:cs="Arial"/>
          <w:sz w:val="22"/>
        </w:rPr>
        <w:t>[</w:t>
      </w:r>
      <w:r>
        <w:rPr>
          <w:rFonts w:cs="Arial"/>
          <w:sz w:val="22"/>
        </w:rPr>
        <w:t>10</w:t>
      </w:r>
      <w:r w:rsidRPr="009C5F48">
        <w:rPr>
          <w:rFonts w:cs="Arial"/>
          <w:sz w:val="22"/>
        </w:rPr>
        <w:t>]</w:t>
      </w:r>
      <w:r>
        <w:rPr>
          <w:rFonts w:cs="Arial"/>
          <w:sz w:val="22"/>
        </w:rPr>
        <w:t xml:space="preserve"> point out a number of methodological limitations when trigger results alone are used as screening methods.  Under such circumstances, the arguments comprise concerns over both sensitivity and specificity.  </w:t>
      </w:r>
    </w:p>
    <w:p w14:paraId="3DA52C56" w14:textId="77777777" w:rsidR="000923BB" w:rsidRPr="007C32B7" w:rsidRDefault="000923BB" w:rsidP="000923BB">
      <w:pPr>
        <w:pStyle w:val="BodyText"/>
        <w:jc w:val="both"/>
        <w:rPr>
          <w:rFonts w:cs="Arial"/>
          <w:sz w:val="22"/>
          <w:szCs w:val="22"/>
        </w:rPr>
      </w:pPr>
      <w:r w:rsidRPr="007C32B7">
        <w:rPr>
          <w:rFonts w:cs="Arial"/>
          <w:sz w:val="22"/>
          <w:szCs w:val="22"/>
        </w:rPr>
        <w:t xml:space="preserve">The authors identify the problem of a lack of a ‘gold standard’ for identifying the actual level of events occurring (even observation is not an accurate measure) so that the sensitivity of a specific trigger tool - for example for measuring the rate of ADEs in a particular population – may be higher than reporting but is not as high as some other (possibly more expensive) methods such as full holistic review.  Trigger tools can, of course, be used denominator free or used with a denominator such as 100 bed days, just the same as in criterion based clinical audit. </w:t>
      </w:r>
    </w:p>
    <w:p w14:paraId="04A2B08B" w14:textId="77777777" w:rsidR="000923BB" w:rsidRDefault="000923BB" w:rsidP="000923BB">
      <w:pPr>
        <w:jc w:val="both"/>
        <w:rPr>
          <w:rFonts w:cs="Arial"/>
          <w:sz w:val="22"/>
        </w:rPr>
      </w:pPr>
      <w:r>
        <w:rPr>
          <w:rFonts w:cs="Arial"/>
          <w:sz w:val="22"/>
        </w:rPr>
        <w:t>If the specificity of the criteria in a trigger tool is high then only a narrow range of events may be identify.  Conversely, Brown and colleagues point out,[10] if specificity is low then there will be many false positives and resource inefficient review.  Use of tools with low levels of specificity might yield biased data in comparisons between organisations.</w:t>
      </w:r>
    </w:p>
    <w:p w14:paraId="705B7B0B" w14:textId="77777777" w:rsidR="000923BB" w:rsidRPr="0041344D" w:rsidRDefault="000923BB" w:rsidP="000923BB">
      <w:pPr>
        <w:jc w:val="both"/>
        <w:rPr>
          <w:rFonts w:cs="Arial"/>
          <w:b/>
          <w:sz w:val="22"/>
        </w:rPr>
      </w:pPr>
      <w:r w:rsidRPr="0041344D">
        <w:rPr>
          <w:rFonts w:cs="Arial"/>
          <w:b/>
          <w:sz w:val="22"/>
        </w:rPr>
        <w:t>Is there a role for trigger tools in case note review of care for conditions such as COPD and heart failure?</w:t>
      </w:r>
    </w:p>
    <w:p w14:paraId="008C37D5" w14:textId="77777777" w:rsidR="000923BB" w:rsidRDefault="000923BB" w:rsidP="000923BB">
      <w:pPr>
        <w:jc w:val="both"/>
        <w:rPr>
          <w:rFonts w:cs="Arial"/>
          <w:sz w:val="22"/>
        </w:rPr>
      </w:pPr>
      <w:r>
        <w:rPr>
          <w:rFonts w:cs="Arial"/>
          <w:sz w:val="22"/>
        </w:rPr>
        <w:t xml:space="preserve">The application of trigger tools to care for chronic conditions is certainly possible, in somewhat similar manner to the production of evidence based review criteria.  In the evaluation of safety, trigger tools have some advantage in that they can be developed to directly identify possible poor care, unlike the more usual review criteria which usually indicate possible gaps in care.  However the extent of the development work required to identify the range of indicators needed to trace possible flaws in care might be even greater than that needed for evidence based review criteria to evaluate the process of care delivery. </w:t>
      </w:r>
    </w:p>
    <w:p w14:paraId="1E4689F9" w14:textId="77777777" w:rsidR="000923BB" w:rsidRDefault="000923BB" w:rsidP="000923BB">
      <w:pPr>
        <w:jc w:val="both"/>
        <w:rPr>
          <w:rFonts w:cs="Arial"/>
          <w:sz w:val="22"/>
        </w:rPr>
      </w:pPr>
    </w:p>
    <w:p w14:paraId="1327D3A7" w14:textId="77777777" w:rsidR="000923BB" w:rsidRDefault="000923BB" w:rsidP="000923BB">
      <w:pPr>
        <w:jc w:val="both"/>
        <w:rPr>
          <w:rFonts w:cs="Arial"/>
          <w:sz w:val="22"/>
        </w:rPr>
      </w:pPr>
      <w:r>
        <w:rPr>
          <w:rFonts w:cs="Arial"/>
          <w:sz w:val="22"/>
        </w:rPr>
        <w:t xml:space="preserve">It is likely, therefore, that only limited trigger tool sets of criteria will be available in the foreseeable future and that these will be more likely to be applied to specific instances, such as medication events, or to complex and event prone settings such as intensive care units.  </w:t>
      </w:r>
    </w:p>
    <w:p w14:paraId="79EF6380" w14:textId="77777777" w:rsidR="000923BB" w:rsidRDefault="000923BB" w:rsidP="000923BB">
      <w:pPr>
        <w:jc w:val="both"/>
        <w:rPr>
          <w:rFonts w:cs="Arial"/>
          <w:sz w:val="22"/>
        </w:rPr>
      </w:pPr>
      <w:r>
        <w:rPr>
          <w:rFonts w:cs="Arial"/>
          <w:sz w:val="22"/>
        </w:rPr>
        <w:t>Nevertheless, where trigger tool criteria do exist it may be worth exploring their use as electronic medical records become commonplace in hospitals. While  methodological limitations will remain, and care will be required in interpreting data from trigger tools that are used to provide ‘comparable’ data, research should be undertaken on the utility of a combined method of trigger tool screening with structured holistic review of identified records.</w:t>
      </w:r>
    </w:p>
    <w:p w14:paraId="6FC92609" w14:textId="77777777" w:rsidR="000923BB" w:rsidRDefault="000923BB" w:rsidP="000923BB">
      <w:pPr>
        <w:jc w:val="both"/>
        <w:rPr>
          <w:rFonts w:cs="Arial"/>
          <w:b/>
          <w:sz w:val="22"/>
        </w:rPr>
      </w:pPr>
      <w:r>
        <w:rPr>
          <w:rFonts w:cs="Arial"/>
          <w:b/>
          <w:sz w:val="22"/>
        </w:rPr>
        <w:t xml:space="preserve">References </w:t>
      </w:r>
    </w:p>
    <w:p w14:paraId="12C52B85" w14:textId="77777777" w:rsidR="000923BB" w:rsidRDefault="000923BB" w:rsidP="000923BB">
      <w:pPr>
        <w:jc w:val="both"/>
        <w:rPr>
          <w:rFonts w:cs="Arial"/>
          <w:sz w:val="22"/>
        </w:rPr>
      </w:pPr>
      <w:r>
        <w:rPr>
          <w:rFonts w:cs="Arial"/>
          <w:sz w:val="22"/>
        </w:rPr>
        <w:t xml:space="preserve">1] Classen D, Pestotnik SL, Evans RS, Burke JP.  Computerised surveillance of adverse drug events in hospital patients.  </w:t>
      </w:r>
      <w:r w:rsidRPr="00FA2A4A">
        <w:rPr>
          <w:rFonts w:cs="Arial"/>
          <w:i/>
          <w:sz w:val="22"/>
        </w:rPr>
        <w:t>JAMA</w:t>
      </w:r>
      <w:r>
        <w:rPr>
          <w:rFonts w:cs="Arial"/>
          <w:sz w:val="22"/>
        </w:rPr>
        <w:t xml:space="preserve"> 1991;266:2847-2851.</w:t>
      </w:r>
    </w:p>
    <w:p w14:paraId="312357B9" w14:textId="77777777" w:rsidR="000923BB" w:rsidRDefault="000923BB" w:rsidP="000923BB">
      <w:pPr>
        <w:jc w:val="both"/>
        <w:rPr>
          <w:rFonts w:cs="Arial"/>
          <w:sz w:val="22"/>
        </w:rPr>
      </w:pPr>
      <w:r w:rsidRPr="008F56C2">
        <w:rPr>
          <w:rFonts w:cs="Arial"/>
          <w:sz w:val="22"/>
          <w:lang w:val="de-DE"/>
        </w:rPr>
        <w:t xml:space="preserve">2] Resar RK, Rozich JD, Classen D.  </w:t>
      </w:r>
      <w:r>
        <w:rPr>
          <w:rFonts w:cs="Arial"/>
          <w:sz w:val="22"/>
        </w:rPr>
        <w:t xml:space="preserve">Methodology and rationale for the measurement of harm with trigger tools.  </w:t>
      </w:r>
      <w:r w:rsidRPr="008C043E">
        <w:rPr>
          <w:rFonts w:cs="Arial"/>
          <w:i/>
          <w:sz w:val="22"/>
        </w:rPr>
        <w:t>Qual Saf Health Care</w:t>
      </w:r>
      <w:r>
        <w:rPr>
          <w:rFonts w:cs="Arial"/>
          <w:sz w:val="22"/>
        </w:rPr>
        <w:t xml:space="preserve"> 2003;12: ii39-ii45.</w:t>
      </w:r>
    </w:p>
    <w:p w14:paraId="33E915D8" w14:textId="77777777" w:rsidR="000923BB" w:rsidRDefault="000923BB" w:rsidP="000923BB">
      <w:pPr>
        <w:jc w:val="both"/>
        <w:rPr>
          <w:rFonts w:cs="Arial"/>
          <w:sz w:val="22"/>
        </w:rPr>
      </w:pPr>
      <w:r w:rsidRPr="001351BD">
        <w:rPr>
          <w:rFonts w:cs="Arial"/>
          <w:sz w:val="22"/>
        </w:rPr>
        <w:t xml:space="preserve">3] Jha AK, Kuperman GJ, Teich JM, Leape LL, Shea B, Rittenberg MA, Burdick E, Seger DL, Vliet MV, Bates DW.  </w:t>
      </w:r>
      <w:r>
        <w:rPr>
          <w:rFonts w:cs="Arial"/>
          <w:sz w:val="22"/>
        </w:rPr>
        <w:t xml:space="preserve">Identifying adverse drug events: development of a computer-based monitor and comparison with chart review and stimulated voluntary report. </w:t>
      </w:r>
      <w:r w:rsidRPr="00F074B5">
        <w:rPr>
          <w:rFonts w:cs="Arial"/>
          <w:i/>
          <w:sz w:val="22"/>
        </w:rPr>
        <w:t>JAMIA</w:t>
      </w:r>
      <w:r>
        <w:rPr>
          <w:rFonts w:cs="Arial"/>
          <w:sz w:val="22"/>
        </w:rPr>
        <w:t xml:space="preserve"> 1998;5:305-314.</w:t>
      </w:r>
    </w:p>
    <w:p w14:paraId="0FF7DDCF" w14:textId="77777777" w:rsidR="000923BB" w:rsidRDefault="000923BB" w:rsidP="000923BB">
      <w:pPr>
        <w:jc w:val="both"/>
        <w:rPr>
          <w:rFonts w:cs="Arial"/>
          <w:sz w:val="22"/>
        </w:rPr>
      </w:pPr>
      <w:r w:rsidRPr="001351BD">
        <w:rPr>
          <w:rFonts w:cs="Arial"/>
          <w:sz w:val="22"/>
          <w:lang w:val="de-DE"/>
        </w:rPr>
        <w:t xml:space="preserve">4] Rozich JD, Haraden CR, Resar RK. </w:t>
      </w:r>
      <w:r>
        <w:rPr>
          <w:rFonts w:cs="Arial"/>
          <w:sz w:val="22"/>
        </w:rPr>
        <w:t xml:space="preserve">Adverse drug event trigger tool: a practical methodology for measuring medication related harm.  </w:t>
      </w:r>
      <w:r w:rsidRPr="008C043E">
        <w:rPr>
          <w:rFonts w:cs="Arial"/>
          <w:i/>
          <w:sz w:val="22"/>
        </w:rPr>
        <w:t>Qual Saf Health Care</w:t>
      </w:r>
      <w:r w:rsidRPr="00FA2A4A">
        <w:rPr>
          <w:rFonts w:cs="Arial"/>
          <w:i/>
          <w:sz w:val="22"/>
        </w:rPr>
        <w:t xml:space="preserve"> </w:t>
      </w:r>
      <w:r>
        <w:rPr>
          <w:rFonts w:cs="Arial"/>
          <w:sz w:val="22"/>
        </w:rPr>
        <w:t>2003; 12:194-200.</w:t>
      </w:r>
    </w:p>
    <w:p w14:paraId="3304F59D" w14:textId="77777777" w:rsidR="000923BB" w:rsidRDefault="000923BB" w:rsidP="000923BB">
      <w:pPr>
        <w:jc w:val="both"/>
        <w:rPr>
          <w:rFonts w:cs="Arial"/>
          <w:sz w:val="22"/>
        </w:rPr>
      </w:pPr>
      <w:r>
        <w:rPr>
          <w:rFonts w:cs="Arial"/>
          <w:sz w:val="22"/>
        </w:rPr>
        <w:t xml:space="preserve">5] Sharek PJ, Horbar JD, , Mason W, Bisarya H, Thurm CW, Suresh G, Fray JE, Edwards WH, Goldmann D, Classen D.  Adverse events in the neonatal intensive care unit: development, testing, and findings of an NICU-focused trigger tool to identify harm in North American NICUs.  </w:t>
      </w:r>
      <w:r w:rsidRPr="00FA2A4A">
        <w:rPr>
          <w:rFonts w:cs="Arial"/>
          <w:i/>
          <w:sz w:val="22"/>
        </w:rPr>
        <w:t>Pediatrics</w:t>
      </w:r>
      <w:r>
        <w:rPr>
          <w:rFonts w:cs="Arial"/>
          <w:sz w:val="22"/>
        </w:rPr>
        <w:t xml:space="preserve"> 2006;118:1332-1340.</w:t>
      </w:r>
    </w:p>
    <w:p w14:paraId="604F5057" w14:textId="77777777" w:rsidR="000923BB" w:rsidRDefault="000923BB" w:rsidP="000923BB">
      <w:pPr>
        <w:jc w:val="both"/>
        <w:rPr>
          <w:rFonts w:cs="Arial"/>
          <w:sz w:val="22"/>
        </w:rPr>
      </w:pPr>
      <w:r w:rsidRPr="008F56C2">
        <w:rPr>
          <w:rFonts w:cs="Arial"/>
          <w:sz w:val="22"/>
        </w:rPr>
        <w:t xml:space="preserve">6] Resar RK, Rozich JD, Simmonds T, Haraden CR.  </w:t>
      </w:r>
      <w:r>
        <w:rPr>
          <w:rFonts w:cs="Arial"/>
          <w:sz w:val="22"/>
        </w:rPr>
        <w:t xml:space="preserve">A trigger tool to identify adverse events in the intensive care unit. </w:t>
      </w:r>
      <w:r w:rsidRPr="00FA2A4A">
        <w:rPr>
          <w:rFonts w:cs="Arial"/>
          <w:i/>
          <w:sz w:val="22"/>
        </w:rPr>
        <w:t>Joint Commission Journal of Quality Improvement</w:t>
      </w:r>
      <w:r>
        <w:rPr>
          <w:rFonts w:cs="Arial"/>
          <w:sz w:val="22"/>
        </w:rPr>
        <w:t>. 2006;32:585-590.</w:t>
      </w:r>
    </w:p>
    <w:p w14:paraId="5DC9FE4F" w14:textId="77777777" w:rsidR="000923BB" w:rsidRDefault="000923BB" w:rsidP="000923BB">
      <w:pPr>
        <w:jc w:val="both"/>
        <w:rPr>
          <w:rFonts w:cs="Arial"/>
          <w:sz w:val="22"/>
        </w:rPr>
      </w:pPr>
      <w:r>
        <w:rPr>
          <w:rFonts w:cs="Arial"/>
          <w:sz w:val="22"/>
        </w:rPr>
        <w:t xml:space="preserve">7] Griffin FA, Resar RK.  IHI global trigger tool for measuring adverse events.  IHI Innovation Series white paper.  </w:t>
      </w:r>
      <w:smartTag w:uri="urn:schemas-microsoft-com:office:smarttags" w:element="City">
        <w:r>
          <w:rPr>
            <w:rFonts w:cs="Arial"/>
            <w:sz w:val="22"/>
          </w:rPr>
          <w:t>Cambridge</w:t>
        </w:r>
      </w:smartTag>
      <w:r>
        <w:rPr>
          <w:rFonts w:cs="Arial"/>
          <w:sz w:val="22"/>
        </w:rPr>
        <w:t xml:space="preserve"> </w:t>
      </w:r>
      <w:smartTag w:uri="urn:schemas-microsoft-com:office:smarttags" w:element="State">
        <w:r>
          <w:rPr>
            <w:rFonts w:cs="Arial"/>
            <w:sz w:val="22"/>
          </w:rPr>
          <w:t>MA</w:t>
        </w:r>
      </w:smartTag>
      <w:r>
        <w:rPr>
          <w:rFonts w:cs="Arial"/>
          <w:sz w:val="22"/>
        </w:rPr>
        <w:t xml:space="preserve">: </w:t>
      </w:r>
      <w:smartTag w:uri="urn:schemas-microsoft-com:office:smarttags" w:element="place">
        <w:smartTag w:uri="urn:schemas-microsoft-com:office:smarttags" w:element="PlaceType">
          <w:r>
            <w:rPr>
              <w:rFonts w:cs="Arial"/>
              <w:sz w:val="22"/>
            </w:rPr>
            <w:t>Institute</w:t>
          </w:r>
        </w:smartTag>
        <w:r>
          <w:rPr>
            <w:rFonts w:cs="Arial"/>
            <w:sz w:val="22"/>
          </w:rPr>
          <w:t xml:space="preserve"> of </w:t>
        </w:r>
        <w:smartTag w:uri="urn:schemas-microsoft-com:office:smarttags" w:element="PlaceName">
          <w:r>
            <w:rPr>
              <w:rFonts w:cs="Arial"/>
              <w:sz w:val="22"/>
            </w:rPr>
            <w:t>Healthcare</w:t>
          </w:r>
        </w:smartTag>
      </w:smartTag>
      <w:r>
        <w:rPr>
          <w:rFonts w:cs="Arial"/>
          <w:sz w:val="22"/>
        </w:rPr>
        <w:t xml:space="preserve"> Improvement; 2007.</w:t>
      </w:r>
    </w:p>
    <w:p w14:paraId="292DFB56" w14:textId="77777777" w:rsidR="00900FF0" w:rsidRDefault="000923BB" w:rsidP="000923BB">
      <w:pPr>
        <w:jc w:val="both"/>
        <w:rPr>
          <w:rFonts w:cs="Arial"/>
          <w:sz w:val="22"/>
        </w:rPr>
      </w:pPr>
      <w:r>
        <w:rPr>
          <w:rFonts w:cs="Arial"/>
          <w:sz w:val="22"/>
        </w:rPr>
        <w:t xml:space="preserve">8] </w:t>
      </w:r>
      <w:hyperlink r:id="rId125" w:history="1">
        <w:r w:rsidRPr="00D11A8C">
          <w:rPr>
            <w:rStyle w:val="Hyperlink"/>
            <w:rFonts w:cs="Arial"/>
            <w:sz w:val="22"/>
          </w:rPr>
          <w:t>http://www.IHI.org</w:t>
        </w:r>
      </w:hyperlink>
      <w:r>
        <w:rPr>
          <w:rFonts w:cs="Arial"/>
          <w:sz w:val="22"/>
        </w:rPr>
        <w:t xml:space="preserve"> accessed 13 March 2008.</w:t>
      </w:r>
    </w:p>
    <w:p w14:paraId="640FD587" w14:textId="77777777" w:rsidR="000923BB" w:rsidRDefault="000923BB" w:rsidP="000923BB">
      <w:pPr>
        <w:jc w:val="both"/>
        <w:rPr>
          <w:rFonts w:cs="Arial"/>
          <w:sz w:val="22"/>
        </w:rPr>
      </w:pPr>
      <w:r>
        <w:rPr>
          <w:rFonts w:cs="Arial"/>
          <w:sz w:val="22"/>
        </w:rPr>
        <w:t xml:space="preserve">9] Dean B. Adverse drug events: what’s the truth. </w:t>
      </w:r>
      <w:r w:rsidRPr="008C043E">
        <w:rPr>
          <w:rFonts w:cs="Arial"/>
          <w:i/>
          <w:sz w:val="22"/>
        </w:rPr>
        <w:t>Qual Saf Health Care</w:t>
      </w:r>
      <w:r>
        <w:rPr>
          <w:rFonts w:cs="Arial"/>
          <w:sz w:val="22"/>
        </w:rPr>
        <w:t xml:space="preserve"> 2003;12:165-166.</w:t>
      </w:r>
    </w:p>
    <w:p w14:paraId="4E7F7A3A" w14:textId="77777777" w:rsidR="000923BB" w:rsidRPr="001E5F52" w:rsidRDefault="000923BB" w:rsidP="00404794">
      <w:pPr>
        <w:jc w:val="both"/>
        <w:rPr>
          <w:rFonts w:cs="Arial"/>
          <w:b/>
          <w:sz w:val="22"/>
          <w:szCs w:val="22"/>
        </w:rPr>
      </w:pPr>
      <w:r>
        <w:rPr>
          <w:rFonts w:cs="Arial"/>
          <w:sz w:val="22"/>
        </w:rPr>
        <w:t xml:space="preserve">10] Brown C, Hofer T, Johal A, Thomson R, Nicholl J, Franklin BD, Lilford RJ.  </w:t>
      </w:r>
      <w:r w:rsidRPr="00FA2A4A">
        <w:rPr>
          <w:rFonts w:cs="Arial"/>
          <w:i/>
          <w:sz w:val="22"/>
        </w:rPr>
        <w:t>An epistemology of patient safety research: a framework for study design and interpretation</w:t>
      </w:r>
      <w:r>
        <w:rPr>
          <w:rFonts w:cs="Arial"/>
          <w:sz w:val="22"/>
        </w:rPr>
        <w:t>.  Birmingham: MRC Patient safety Methodology Network, 2007.</w:t>
      </w:r>
    </w:p>
    <w:p w14:paraId="0B80E947" w14:textId="77777777" w:rsidR="00A43C02" w:rsidRPr="00E5549E" w:rsidRDefault="00E5549E">
      <w:pPr>
        <w:rPr>
          <w:b/>
          <w:sz w:val="28"/>
          <w:szCs w:val="28"/>
        </w:rPr>
      </w:pPr>
      <w:r w:rsidRPr="00E5549E">
        <w:rPr>
          <w:b/>
          <w:sz w:val="28"/>
          <w:szCs w:val="28"/>
        </w:rPr>
        <w:lastRenderedPageBreak/>
        <w:t>10.</w:t>
      </w:r>
      <w:r w:rsidR="00EC00B2">
        <w:rPr>
          <w:b/>
          <w:sz w:val="28"/>
          <w:szCs w:val="28"/>
        </w:rPr>
        <w:t>6</w:t>
      </w:r>
      <w:r w:rsidRPr="00E5549E">
        <w:rPr>
          <w:b/>
          <w:sz w:val="28"/>
          <w:szCs w:val="28"/>
        </w:rPr>
        <w:t xml:space="preserve"> </w:t>
      </w:r>
      <w:r w:rsidR="000923BB" w:rsidRPr="00E5549E">
        <w:rPr>
          <w:b/>
          <w:sz w:val="28"/>
          <w:szCs w:val="28"/>
        </w:rPr>
        <w:t>Publication 6</w:t>
      </w:r>
    </w:p>
    <w:p w14:paraId="6B81F2FA" w14:textId="77777777" w:rsidR="00A43C02" w:rsidRDefault="00A43C02"/>
    <w:p w14:paraId="735344C6" w14:textId="77777777" w:rsidR="001C5D08" w:rsidRPr="004D4AEE" w:rsidRDefault="001C5D08" w:rsidP="001B160A">
      <w:pPr>
        <w:spacing w:line="360" w:lineRule="auto"/>
        <w:rPr>
          <w:rFonts w:cs="Arial"/>
        </w:rPr>
      </w:pPr>
      <w:r w:rsidRPr="004D4AEE">
        <w:rPr>
          <w:rFonts w:cs="Arial"/>
          <w:b/>
        </w:rPr>
        <w:t>Hutchinson A</w:t>
      </w:r>
      <w:r w:rsidRPr="004D4AEE">
        <w:rPr>
          <w:rFonts w:cs="Arial"/>
        </w:rPr>
        <w:t>, Coster JE, Cooper K L, Pearson M, McIntosh A, Bath P A.   A structured judgement method to enhance mortality case note review: development and evaluation. BMJ Quality and Safety</w:t>
      </w:r>
      <w:r w:rsidRPr="004D4AEE">
        <w:rPr>
          <w:rFonts w:cs="Arial"/>
          <w:i/>
        </w:rPr>
        <w:t xml:space="preserve"> </w:t>
      </w:r>
      <w:r w:rsidRPr="004D4AEE">
        <w:rPr>
          <w:rFonts w:cs="Arial"/>
        </w:rPr>
        <w:t>2013; doi:10.1136/bmjqs-2013-001839</w:t>
      </w:r>
    </w:p>
    <w:p w14:paraId="5C8245C1" w14:textId="77777777" w:rsidR="00A43C02" w:rsidRDefault="00A43C02"/>
    <w:p w14:paraId="0CBAF7A0" w14:textId="77777777" w:rsidR="00A43C02" w:rsidRDefault="00A43C02"/>
    <w:p w14:paraId="7BBA67EC" w14:textId="77777777" w:rsidR="00A43C02" w:rsidRDefault="00A43C02"/>
    <w:p w14:paraId="3931CEC8" w14:textId="77777777" w:rsidR="00A43C02" w:rsidRDefault="00A43C02"/>
    <w:p w14:paraId="46D6A6D9" w14:textId="77777777" w:rsidR="00A43C02" w:rsidRDefault="00A43C02"/>
    <w:p w14:paraId="33CBA4A8" w14:textId="77777777" w:rsidR="00A43C02" w:rsidRDefault="00A43C02"/>
    <w:p w14:paraId="267881FF" w14:textId="77777777" w:rsidR="00A43C02" w:rsidRDefault="00A43C02"/>
    <w:p w14:paraId="781FD99E" w14:textId="77777777" w:rsidR="00A43C02" w:rsidRDefault="00A43C02"/>
    <w:p w14:paraId="78EC7543" w14:textId="77777777" w:rsidR="00A43C02" w:rsidRDefault="00A43C02"/>
    <w:p w14:paraId="225B76B7" w14:textId="77777777" w:rsidR="00A43C02" w:rsidRDefault="00A43C02"/>
    <w:p w14:paraId="29E60932" w14:textId="77777777" w:rsidR="00A43C02" w:rsidRDefault="00A43C02"/>
    <w:p w14:paraId="78FB9E46" w14:textId="77777777" w:rsidR="00A43C02" w:rsidRDefault="00A43C02"/>
    <w:p w14:paraId="67F3DED6" w14:textId="77777777" w:rsidR="00A43C02" w:rsidRDefault="00A43C02"/>
    <w:p w14:paraId="11B897E1" w14:textId="77777777" w:rsidR="00A43C02" w:rsidRDefault="00A43C02"/>
    <w:p w14:paraId="71A747EF" w14:textId="77777777" w:rsidR="00A43C02" w:rsidRDefault="00A43C02"/>
    <w:p w14:paraId="397F9AAE" w14:textId="77777777" w:rsidR="00A43C02" w:rsidRDefault="00A43C02"/>
    <w:p w14:paraId="6F5DCC9D" w14:textId="77777777" w:rsidR="00A43C02" w:rsidRDefault="00A43C02"/>
    <w:p w14:paraId="7C7FA735" w14:textId="77777777" w:rsidR="00A43C02" w:rsidRDefault="00A43C02"/>
    <w:p w14:paraId="483E85FA" w14:textId="77777777" w:rsidR="00A43C02" w:rsidRDefault="00A43C02"/>
    <w:p w14:paraId="21A6AD0D" w14:textId="77777777" w:rsidR="00A43C02" w:rsidRDefault="00A43C02"/>
    <w:p w14:paraId="12498E69" w14:textId="77777777" w:rsidR="00A43C02" w:rsidRDefault="00A43C02"/>
    <w:p w14:paraId="2AE91EF3" w14:textId="77777777" w:rsidR="00A43C02" w:rsidRDefault="00A43C02"/>
    <w:p w14:paraId="4C550AB9" w14:textId="77777777" w:rsidR="000923BB" w:rsidRDefault="000923BB" w:rsidP="000923BB">
      <w:pPr>
        <w:jc w:val="both"/>
        <w:rPr>
          <w:rFonts w:cs="Arial"/>
          <w:b/>
        </w:rPr>
      </w:pPr>
      <w:r>
        <w:rPr>
          <w:rFonts w:cs="Arial"/>
          <w:b/>
        </w:rPr>
        <w:t xml:space="preserve">A structured judgement method to enhance mortality case note review: development and evaluation </w:t>
      </w:r>
    </w:p>
    <w:p w14:paraId="758928C1" w14:textId="77777777" w:rsidR="000923BB" w:rsidRDefault="000923BB" w:rsidP="000923BB">
      <w:pPr>
        <w:jc w:val="both"/>
        <w:rPr>
          <w:rFonts w:cs="Arial"/>
          <w:b/>
        </w:rPr>
      </w:pPr>
    </w:p>
    <w:p w14:paraId="29ED743E" w14:textId="77777777" w:rsidR="000923BB" w:rsidRPr="00445927" w:rsidRDefault="000923BB" w:rsidP="000923BB">
      <w:pPr>
        <w:jc w:val="both"/>
        <w:rPr>
          <w:rFonts w:cs="Arial"/>
          <w:sz w:val="22"/>
          <w:szCs w:val="22"/>
        </w:rPr>
      </w:pPr>
      <w:r w:rsidRPr="00445927">
        <w:rPr>
          <w:rFonts w:cs="Arial"/>
          <w:sz w:val="22"/>
          <w:szCs w:val="22"/>
        </w:rPr>
        <w:t xml:space="preserve">Allen Hutchinson, Section of Public Health, School of Health and Related Research (ScHARR), University of Sheffield, Sheffield, UK </w:t>
      </w:r>
    </w:p>
    <w:p w14:paraId="15913961" w14:textId="77777777" w:rsidR="000923BB" w:rsidRPr="00445927" w:rsidRDefault="000923BB" w:rsidP="000923BB">
      <w:pPr>
        <w:jc w:val="both"/>
        <w:rPr>
          <w:rFonts w:cs="Arial"/>
          <w:sz w:val="22"/>
          <w:szCs w:val="22"/>
        </w:rPr>
      </w:pPr>
      <w:r w:rsidRPr="00445927">
        <w:rPr>
          <w:rFonts w:cs="Arial"/>
          <w:sz w:val="22"/>
          <w:szCs w:val="22"/>
        </w:rPr>
        <w:t>Joanne E Coster, Section of Public Health, School of Health and Related Research (ScHARR), University of Sheffield, Sheffield, UK</w:t>
      </w:r>
    </w:p>
    <w:p w14:paraId="7F530352" w14:textId="77777777" w:rsidR="000923BB" w:rsidRPr="00445927" w:rsidRDefault="000923BB" w:rsidP="000923BB">
      <w:pPr>
        <w:jc w:val="both"/>
        <w:rPr>
          <w:rFonts w:cs="Arial"/>
          <w:sz w:val="22"/>
          <w:szCs w:val="22"/>
        </w:rPr>
      </w:pPr>
      <w:r w:rsidRPr="00445927">
        <w:rPr>
          <w:rFonts w:cs="Arial"/>
          <w:sz w:val="22"/>
          <w:szCs w:val="22"/>
        </w:rPr>
        <w:t>Katy L Cooper, Section of Public Health, School of Health and Related Research (ScHARR), University of Sheffield, Sheffield, UK</w:t>
      </w:r>
    </w:p>
    <w:p w14:paraId="2EB34CC3" w14:textId="77777777" w:rsidR="000923BB" w:rsidRPr="00445927" w:rsidRDefault="000923BB" w:rsidP="000923BB">
      <w:pPr>
        <w:jc w:val="both"/>
        <w:rPr>
          <w:rFonts w:cs="Arial"/>
          <w:sz w:val="22"/>
          <w:szCs w:val="22"/>
        </w:rPr>
      </w:pPr>
      <w:r w:rsidRPr="00445927">
        <w:rPr>
          <w:rFonts w:cs="Arial"/>
          <w:sz w:val="22"/>
          <w:szCs w:val="22"/>
        </w:rPr>
        <w:t xml:space="preserve">Michael Pearson, Department of Clinical Evaluation, University of Liverpool, Liverpool, UK </w:t>
      </w:r>
    </w:p>
    <w:p w14:paraId="2F94A4F1" w14:textId="77777777" w:rsidR="000923BB" w:rsidRPr="00445927" w:rsidRDefault="000923BB" w:rsidP="000923BB">
      <w:pPr>
        <w:jc w:val="both"/>
        <w:rPr>
          <w:rFonts w:cs="Arial"/>
          <w:sz w:val="22"/>
          <w:szCs w:val="22"/>
        </w:rPr>
      </w:pPr>
      <w:r w:rsidRPr="00445927">
        <w:rPr>
          <w:rFonts w:cs="Arial"/>
          <w:sz w:val="22"/>
          <w:szCs w:val="22"/>
        </w:rPr>
        <w:t>Aileen McIntosh, Section of Public Health, School of Health and Related Research (ScHARR), University of Sheffield, Sheffield, UK</w:t>
      </w:r>
    </w:p>
    <w:p w14:paraId="74886BB1" w14:textId="77777777" w:rsidR="000923BB" w:rsidRPr="00445927" w:rsidRDefault="000923BB" w:rsidP="000923BB">
      <w:pPr>
        <w:jc w:val="both"/>
        <w:rPr>
          <w:rFonts w:cs="Arial"/>
          <w:sz w:val="22"/>
          <w:szCs w:val="22"/>
        </w:rPr>
      </w:pPr>
      <w:r w:rsidRPr="00445927">
        <w:rPr>
          <w:rFonts w:cs="Arial"/>
          <w:sz w:val="22"/>
          <w:szCs w:val="22"/>
        </w:rPr>
        <w:t>Peter A Bath, Information School, University of Sheffield, Sheffield, UK</w:t>
      </w:r>
    </w:p>
    <w:p w14:paraId="309863B5" w14:textId="77777777" w:rsidR="000923BB" w:rsidRPr="00445927" w:rsidRDefault="000923BB" w:rsidP="000923BB">
      <w:pPr>
        <w:jc w:val="both"/>
        <w:rPr>
          <w:rFonts w:cs="Arial"/>
          <w:sz w:val="22"/>
          <w:szCs w:val="22"/>
        </w:rPr>
      </w:pPr>
    </w:p>
    <w:p w14:paraId="6135DAB6" w14:textId="77777777" w:rsidR="000923BB" w:rsidRPr="00445927" w:rsidRDefault="000923BB" w:rsidP="000923BB">
      <w:pPr>
        <w:jc w:val="both"/>
        <w:rPr>
          <w:rFonts w:cs="Arial"/>
          <w:sz w:val="22"/>
          <w:szCs w:val="22"/>
        </w:rPr>
      </w:pPr>
      <w:r w:rsidRPr="00445927">
        <w:rPr>
          <w:rFonts w:cs="Arial"/>
          <w:sz w:val="22"/>
          <w:szCs w:val="22"/>
        </w:rPr>
        <w:t>Corresponding Author</w:t>
      </w:r>
    </w:p>
    <w:p w14:paraId="6A146EA7" w14:textId="77777777" w:rsidR="000923BB" w:rsidRPr="00445927" w:rsidRDefault="000923BB" w:rsidP="000923BB">
      <w:pPr>
        <w:jc w:val="both"/>
        <w:rPr>
          <w:rFonts w:cs="Arial"/>
          <w:sz w:val="22"/>
          <w:szCs w:val="22"/>
        </w:rPr>
      </w:pPr>
      <w:r w:rsidRPr="00445927">
        <w:rPr>
          <w:rFonts w:cs="Arial"/>
          <w:sz w:val="22"/>
          <w:szCs w:val="22"/>
        </w:rPr>
        <w:t>Professor Allen Hutchinson</w:t>
      </w:r>
    </w:p>
    <w:p w14:paraId="2CE5E425" w14:textId="77777777" w:rsidR="000923BB" w:rsidRPr="00445927" w:rsidRDefault="000923BB" w:rsidP="000923BB">
      <w:pPr>
        <w:jc w:val="both"/>
        <w:rPr>
          <w:rFonts w:cs="Arial"/>
          <w:sz w:val="22"/>
          <w:szCs w:val="22"/>
        </w:rPr>
      </w:pPr>
      <w:r w:rsidRPr="00445927">
        <w:rPr>
          <w:rFonts w:cs="Arial"/>
          <w:sz w:val="22"/>
          <w:szCs w:val="22"/>
        </w:rPr>
        <w:t>Public Health, ScHARR, University of Sheffield</w:t>
      </w:r>
    </w:p>
    <w:p w14:paraId="0A6E335D" w14:textId="77777777" w:rsidR="000923BB" w:rsidRPr="00445927" w:rsidRDefault="000923BB" w:rsidP="000923BB">
      <w:pPr>
        <w:jc w:val="both"/>
        <w:rPr>
          <w:rFonts w:cs="Arial"/>
          <w:sz w:val="22"/>
          <w:szCs w:val="22"/>
        </w:rPr>
      </w:pPr>
      <w:r w:rsidRPr="00445927">
        <w:rPr>
          <w:rFonts w:cs="Arial"/>
          <w:sz w:val="22"/>
          <w:szCs w:val="22"/>
        </w:rPr>
        <w:t>Regent Court, 30 Regent St. Sheffield, S1 4DA, United Kingdom</w:t>
      </w:r>
    </w:p>
    <w:p w14:paraId="40B53B0C" w14:textId="77777777" w:rsidR="000923BB" w:rsidRPr="00445927" w:rsidRDefault="000923BB" w:rsidP="000923BB">
      <w:pPr>
        <w:jc w:val="both"/>
        <w:rPr>
          <w:rFonts w:cs="Arial"/>
          <w:sz w:val="22"/>
          <w:szCs w:val="22"/>
        </w:rPr>
      </w:pPr>
      <w:r w:rsidRPr="00445927">
        <w:rPr>
          <w:rFonts w:cs="Arial"/>
          <w:sz w:val="22"/>
          <w:szCs w:val="22"/>
        </w:rPr>
        <w:t xml:space="preserve">Email; </w:t>
      </w:r>
      <w:hyperlink r:id="rId126" w:history="1">
        <w:r w:rsidRPr="00445927">
          <w:rPr>
            <w:rStyle w:val="Hyperlink"/>
            <w:rFonts w:cs="Arial"/>
            <w:sz w:val="22"/>
            <w:szCs w:val="22"/>
          </w:rPr>
          <w:t>allen.hutchinson@sheffield.ac.uk</w:t>
        </w:r>
      </w:hyperlink>
      <w:r w:rsidRPr="00445927">
        <w:rPr>
          <w:rFonts w:cs="Arial"/>
          <w:sz w:val="22"/>
          <w:szCs w:val="22"/>
        </w:rPr>
        <w:t xml:space="preserve"> </w:t>
      </w:r>
    </w:p>
    <w:p w14:paraId="03A7010C" w14:textId="77777777" w:rsidR="000923BB" w:rsidRPr="00445927" w:rsidRDefault="000923BB" w:rsidP="000923BB">
      <w:pPr>
        <w:jc w:val="both"/>
        <w:rPr>
          <w:rFonts w:cs="Arial"/>
          <w:sz w:val="22"/>
          <w:szCs w:val="22"/>
        </w:rPr>
      </w:pPr>
      <w:r w:rsidRPr="00445927">
        <w:rPr>
          <w:rFonts w:cs="Arial"/>
          <w:sz w:val="22"/>
          <w:szCs w:val="22"/>
        </w:rPr>
        <w:t>Telephone: 01433650919</w:t>
      </w:r>
      <w:r w:rsidR="00445927">
        <w:rPr>
          <w:rFonts w:cs="Arial"/>
          <w:sz w:val="22"/>
          <w:szCs w:val="22"/>
        </w:rPr>
        <w:t xml:space="preserve">, </w:t>
      </w:r>
      <w:r w:rsidRPr="00445927">
        <w:rPr>
          <w:rFonts w:cs="Arial"/>
          <w:sz w:val="22"/>
          <w:szCs w:val="22"/>
        </w:rPr>
        <w:t>Fax: 01142724095</w:t>
      </w:r>
    </w:p>
    <w:p w14:paraId="38DFD9FD" w14:textId="77777777" w:rsidR="000923BB" w:rsidRPr="00445927" w:rsidRDefault="000923BB" w:rsidP="000923BB">
      <w:pPr>
        <w:jc w:val="both"/>
        <w:rPr>
          <w:rFonts w:cs="Arial"/>
          <w:b/>
          <w:sz w:val="22"/>
          <w:szCs w:val="22"/>
        </w:rPr>
      </w:pPr>
    </w:p>
    <w:p w14:paraId="7EBA9453" w14:textId="77777777" w:rsidR="000923BB" w:rsidRPr="00445927" w:rsidRDefault="000923BB" w:rsidP="000923BB">
      <w:pPr>
        <w:jc w:val="both"/>
        <w:rPr>
          <w:rFonts w:ascii="Verdana" w:eastAsia="Times New Roman" w:hAnsi="Verdana"/>
          <w:color w:val="000000"/>
          <w:lang w:eastAsia="en-GB"/>
        </w:rPr>
      </w:pPr>
      <w:r w:rsidRPr="00445927">
        <w:rPr>
          <w:rFonts w:cs="Arial"/>
          <w:b/>
        </w:rPr>
        <w:t>Keywords</w:t>
      </w:r>
      <w:r w:rsidRPr="00445927">
        <w:rPr>
          <w:rFonts w:ascii="Verdana" w:eastAsia="Times New Roman" w:hAnsi="Verdana"/>
          <w:color w:val="000000"/>
          <w:lang w:eastAsia="en-GB"/>
        </w:rPr>
        <w:t xml:space="preserve"> </w:t>
      </w:r>
    </w:p>
    <w:p w14:paraId="56D9370D" w14:textId="77777777" w:rsidR="000923BB" w:rsidRPr="00445927" w:rsidRDefault="000923BB" w:rsidP="000923BB">
      <w:pPr>
        <w:jc w:val="both"/>
        <w:rPr>
          <w:rFonts w:cs="Arial"/>
          <w:b/>
          <w:sz w:val="22"/>
          <w:szCs w:val="22"/>
        </w:rPr>
      </w:pPr>
      <w:r w:rsidRPr="00445927">
        <w:rPr>
          <w:rFonts w:cs="Arial"/>
          <w:b/>
          <w:sz w:val="22"/>
          <w:szCs w:val="22"/>
        </w:rPr>
        <w:t>Chart review methodologies, Quality improvement methodologies, Healthcare quality improvement, Patient safety, Qualitative research</w:t>
      </w:r>
    </w:p>
    <w:p w14:paraId="6621D426" w14:textId="77777777" w:rsidR="000923BB" w:rsidRPr="0007197F" w:rsidRDefault="000923BB" w:rsidP="000923BB">
      <w:pPr>
        <w:jc w:val="both"/>
        <w:rPr>
          <w:rFonts w:cs="Arial"/>
          <w:b/>
        </w:rPr>
      </w:pPr>
    </w:p>
    <w:p w14:paraId="3AD49B42" w14:textId="77777777" w:rsidR="000923BB" w:rsidRDefault="000923BB" w:rsidP="000923BB">
      <w:pPr>
        <w:jc w:val="both"/>
        <w:rPr>
          <w:rFonts w:cs="Arial"/>
          <w:b/>
        </w:rPr>
      </w:pPr>
    </w:p>
    <w:p w14:paraId="09550A92" w14:textId="77777777" w:rsidR="000923BB" w:rsidRDefault="000923BB" w:rsidP="000923BB">
      <w:pPr>
        <w:jc w:val="both"/>
        <w:rPr>
          <w:rFonts w:cs="Arial"/>
          <w:b/>
        </w:rPr>
      </w:pPr>
    </w:p>
    <w:p w14:paraId="1E83437B" w14:textId="77777777" w:rsidR="000923BB" w:rsidRDefault="000923BB" w:rsidP="000923BB">
      <w:pPr>
        <w:jc w:val="both"/>
        <w:rPr>
          <w:rFonts w:cs="Arial"/>
          <w:b/>
        </w:rPr>
      </w:pPr>
    </w:p>
    <w:p w14:paraId="2CC08141" w14:textId="77777777" w:rsidR="000923BB" w:rsidRDefault="000923BB" w:rsidP="000923BB">
      <w:pPr>
        <w:jc w:val="both"/>
        <w:rPr>
          <w:rFonts w:cs="Arial"/>
          <w:b/>
        </w:rPr>
      </w:pPr>
    </w:p>
    <w:p w14:paraId="702B5D99" w14:textId="77777777" w:rsidR="00445927" w:rsidRDefault="00445927" w:rsidP="000923BB">
      <w:pPr>
        <w:jc w:val="both"/>
        <w:rPr>
          <w:rFonts w:cs="Arial"/>
          <w:b/>
        </w:rPr>
      </w:pPr>
    </w:p>
    <w:p w14:paraId="4AB29F42" w14:textId="77777777" w:rsidR="000923BB" w:rsidRPr="00465AE5" w:rsidRDefault="000923BB" w:rsidP="000923BB">
      <w:pPr>
        <w:jc w:val="both"/>
        <w:rPr>
          <w:rFonts w:cs="Arial"/>
          <w:b/>
        </w:rPr>
      </w:pPr>
      <w:r w:rsidRPr="00465AE5">
        <w:rPr>
          <w:rFonts w:cs="Arial"/>
          <w:b/>
        </w:rPr>
        <w:t>ABSTRACT</w:t>
      </w:r>
    </w:p>
    <w:p w14:paraId="41947760" w14:textId="77777777" w:rsidR="000923BB" w:rsidRPr="001C5D08" w:rsidRDefault="000923BB" w:rsidP="000923BB">
      <w:pPr>
        <w:jc w:val="both"/>
        <w:rPr>
          <w:rFonts w:cs="Arial"/>
          <w:b/>
          <w:sz w:val="22"/>
          <w:szCs w:val="22"/>
        </w:rPr>
      </w:pPr>
      <w:r w:rsidRPr="001C5D08">
        <w:rPr>
          <w:rFonts w:cs="Arial"/>
          <w:b/>
          <w:sz w:val="22"/>
          <w:szCs w:val="22"/>
        </w:rPr>
        <w:t>Background</w:t>
      </w:r>
    </w:p>
    <w:p w14:paraId="77B473E4" w14:textId="77777777" w:rsidR="000923BB" w:rsidRPr="001C5D08" w:rsidRDefault="000923BB" w:rsidP="000923BB">
      <w:pPr>
        <w:jc w:val="both"/>
        <w:rPr>
          <w:rFonts w:cs="Arial"/>
          <w:sz w:val="22"/>
          <w:szCs w:val="22"/>
        </w:rPr>
      </w:pPr>
      <w:r w:rsidRPr="001C5D08">
        <w:rPr>
          <w:rFonts w:cs="Arial"/>
          <w:sz w:val="22"/>
          <w:szCs w:val="22"/>
        </w:rPr>
        <w:t xml:space="preserve">Case note review remains a prime means of retrospectively assessing quality of care.  This study examines the value of using a new implicit judgement method, combining structured reviewer comments with quality of care scores, to assess the care of people who die in hospital. </w:t>
      </w:r>
    </w:p>
    <w:p w14:paraId="60CEDFBF" w14:textId="77777777" w:rsidR="000923BB" w:rsidRPr="001C5D08" w:rsidRDefault="000923BB" w:rsidP="000923BB">
      <w:pPr>
        <w:jc w:val="both"/>
        <w:rPr>
          <w:rFonts w:cs="Arial"/>
          <w:b/>
          <w:sz w:val="22"/>
          <w:szCs w:val="22"/>
        </w:rPr>
      </w:pPr>
      <w:r w:rsidRPr="001C5D08">
        <w:rPr>
          <w:rFonts w:cs="Arial"/>
          <w:b/>
          <w:sz w:val="22"/>
          <w:szCs w:val="22"/>
        </w:rPr>
        <w:t>Methods</w:t>
      </w:r>
    </w:p>
    <w:p w14:paraId="7B6A8E35" w14:textId="77777777" w:rsidR="000923BB" w:rsidRPr="001C5D08" w:rsidRDefault="000923BB" w:rsidP="000923BB">
      <w:pPr>
        <w:jc w:val="both"/>
        <w:rPr>
          <w:rFonts w:cs="Arial"/>
          <w:sz w:val="22"/>
          <w:szCs w:val="22"/>
        </w:rPr>
      </w:pPr>
      <w:r w:rsidRPr="001C5D08">
        <w:rPr>
          <w:rFonts w:cs="Arial"/>
          <w:sz w:val="22"/>
          <w:szCs w:val="22"/>
        </w:rPr>
        <w:t xml:space="preserve">Using 1566 case notes from 20 English hospitals, 40 physicians each reviewed 30-40 case notes, writing structured judgement-based comments on the care provided within three phases of care, and for care overall, and scoring quality of care from one [unsatisfactory] to six [very best care]. </w:t>
      </w:r>
    </w:p>
    <w:p w14:paraId="41DE6FB4" w14:textId="77777777" w:rsidR="000923BB" w:rsidRPr="001C5D08" w:rsidRDefault="000923BB" w:rsidP="000923BB">
      <w:pPr>
        <w:jc w:val="both"/>
        <w:rPr>
          <w:rFonts w:cs="Arial"/>
          <w:sz w:val="22"/>
          <w:szCs w:val="22"/>
        </w:rPr>
      </w:pPr>
      <w:r w:rsidRPr="001C5D08">
        <w:rPr>
          <w:rFonts w:cs="Arial"/>
          <w:sz w:val="22"/>
          <w:szCs w:val="22"/>
        </w:rPr>
        <w:t xml:space="preserve">Quality of care comments on the 119 people who died (8% of the cohort total) were analysed independently by two researchers to investigate how well reviewers could provide structured short judgement notes on quality of care, together with an appropriate care score. Consistency between the explanatory textual data and the related scores was explored, using the overall care score to group cases.  </w:t>
      </w:r>
    </w:p>
    <w:p w14:paraId="0D702E53" w14:textId="77777777" w:rsidR="000923BB" w:rsidRPr="001C5D08" w:rsidRDefault="000923BB" w:rsidP="000923BB">
      <w:pPr>
        <w:jc w:val="both"/>
        <w:rPr>
          <w:rFonts w:cs="Arial"/>
          <w:b/>
          <w:sz w:val="22"/>
          <w:szCs w:val="22"/>
        </w:rPr>
      </w:pPr>
      <w:r w:rsidRPr="001C5D08">
        <w:rPr>
          <w:rFonts w:cs="Arial"/>
          <w:b/>
          <w:sz w:val="22"/>
          <w:szCs w:val="22"/>
        </w:rPr>
        <w:t xml:space="preserve">Results </w:t>
      </w:r>
    </w:p>
    <w:p w14:paraId="23ADE924" w14:textId="77777777" w:rsidR="000923BB" w:rsidRPr="001C5D08" w:rsidRDefault="000923BB" w:rsidP="000923BB">
      <w:pPr>
        <w:jc w:val="both"/>
        <w:rPr>
          <w:rFonts w:cs="Arial"/>
          <w:sz w:val="22"/>
          <w:szCs w:val="22"/>
        </w:rPr>
      </w:pPr>
      <w:r w:rsidRPr="001C5D08">
        <w:rPr>
          <w:rFonts w:cs="Arial"/>
          <w:sz w:val="22"/>
          <w:szCs w:val="22"/>
        </w:rPr>
        <w:t xml:space="preserve">Physician reviewers were able to make informative, clinical-judgement based, comments across all phases of care and were usually able to provide a coherent quality of care score relating to each phase. The majority of comments (83%) were explicit judgements. About a fifth of the patients were considered to have suffered from less than satisfactory care, often suffering a series of adverse events. </w:t>
      </w:r>
    </w:p>
    <w:p w14:paraId="61D5CC63" w14:textId="77777777" w:rsidR="000923BB" w:rsidRPr="001C5D08" w:rsidDel="00C3183C" w:rsidRDefault="000923BB" w:rsidP="000923BB">
      <w:pPr>
        <w:jc w:val="both"/>
        <w:rPr>
          <w:rFonts w:cs="Arial"/>
          <w:b/>
          <w:sz w:val="22"/>
          <w:szCs w:val="22"/>
        </w:rPr>
      </w:pPr>
      <w:r w:rsidRPr="001C5D08">
        <w:rPr>
          <w:rFonts w:cs="Arial"/>
          <w:b/>
          <w:sz w:val="22"/>
          <w:szCs w:val="22"/>
        </w:rPr>
        <w:t>Conclusion</w:t>
      </w:r>
      <w:r w:rsidRPr="001C5D08" w:rsidDel="00C3183C">
        <w:rPr>
          <w:rFonts w:cs="Arial"/>
          <w:b/>
          <w:sz w:val="22"/>
          <w:szCs w:val="22"/>
        </w:rPr>
        <w:t xml:space="preserve"> </w:t>
      </w:r>
    </w:p>
    <w:p w14:paraId="620EE8A6" w14:textId="77777777" w:rsidR="000923BB" w:rsidRPr="001C5D08" w:rsidRDefault="000923BB" w:rsidP="000923BB">
      <w:pPr>
        <w:jc w:val="both"/>
        <w:rPr>
          <w:rFonts w:cs="Arial"/>
          <w:sz w:val="22"/>
          <w:szCs w:val="22"/>
        </w:rPr>
      </w:pPr>
      <w:r w:rsidRPr="001C5D08">
        <w:rPr>
          <w:rFonts w:cs="Arial"/>
          <w:sz w:val="22"/>
          <w:szCs w:val="22"/>
        </w:rPr>
        <w:t xml:space="preserve">This study shows that a combination of implicit judgement, explicit explanatory comment and related quality of care scores can be used effectively to review the spectrum of care provided for people who die in hospital.  The method can be used to quickly evaluate deaths so that lessons can be learned about both poor and high quality care. </w:t>
      </w:r>
    </w:p>
    <w:p w14:paraId="71001DB7" w14:textId="77777777" w:rsidR="000923BB" w:rsidRDefault="000923BB" w:rsidP="000923BB">
      <w:pPr>
        <w:jc w:val="both"/>
        <w:rPr>
          <w:rFonts w:cs="Arial"/>
        </w:rPr>
      </w:pPr>
    </w:p>
    <w:p w14:paraId="2C80E786" w14:textId="77777777" w:rsidR="000923BB" w:rsidRDefault="000923BB" w:rsidP="000923BB">
      <w:pPr>
        <w:jc w:val="both"/>
        <w:rPr>
          <w:rFonts w:cs="Arial"/>
        </w:rPr>
      </w:pPr>
    </w:p>
    <w:p w14:paraId="683EC4D6" w14:textId="77777777" w:rsidR="000923BB" w:rsidRDefault="000923BB" w:rsidP="000923BB">
      <w:pPr>
        <w:jc w:val="both"/>
        <w:rPr>
          <w:rFonts w:cs="Arial"/>
        </w:rPr>
      </w:pPr>
    </w:p>
    <w:p w14:paraId="4B1238AF" w14:textId="77777777" w:rsidR="000923BB" w:rsidRDefault="000923BB" w:rsidP="000923BB">
      <w:pPr>
        <w:jc w:val="both"/>
        <w:rPr>
          <w:rFonts w:cs="Arial"/>
        </w:rPr>
      </w:pPr>
    </w:p>
    <w:p w14:paraId="15155D7B" w14:textId="77777777" w:rsidR="000923BB" w:rsidRDefault="000923BB" w:rsidP="000923BB">
      <w:pPr>
        <w:jc w:val="both"/>
        <w:rPr>
          <w:rFonts w:cs="Arial"/>
        </w:rPr>
      </w:pPr>
    </w:p>
    <w:p w14:paraId="6FAFEB3B" w14:textId="77777777" w:rsidR="000923BB" w:rsidRDefault="000923BB" w:rsidP="000923BB">
      <w:pPr>
        <w:jc w:val="both"/>
        <w:rPr>
          <w:rFonts w:cs="Arial"/>
        </w:rPr>
      </w:pPr>
    </w:p>
    <w:p w14:paraId="4AE03570" w14:textId="77777777" w:rsidR="000923BB" w:rsidRDefault="000923BB" w:rsidP="000923BB">
      <w:pPr>
        <w:jc w:val="both"/>
        <w:rPr>
          <w:rFonts w:cs="Arial"/>
        </w:rPr>
      </w:pPr>
    </w:p>
    <w:p w14:paraId="166EDF09" w14:textId="77777777" w:rsidR="000923BB" w:rsidRDefault="000923BB" w:rsidP="000923BB">
      <w:pPr>
        <w:jc w:val="both"/>
        <w:rPr>
          <w:rFonts w:cs="Arial"/>
        </w:rPr>
      </w:pPr>
    </w:p>
    <w:p w14:paraId="366F0B7A" w14:textId="77777777" w:rsidR="000923BB" w:rsidRPr="00770CB0" w:rsidRDefault="000923BB" w:rsidP="000923BB">
      <w:pPr>
        <w:jc w:val="both"/>
        <w:rPr>
          <w:rFonts w:cs="Arial"/>
          <w:b/>
        </w:rPr>
      </w:pPr>
      <w:r w:rsidRPr="00770CB0">
        <w:rPr>
          <w:rFonts w:cs="Arial"/>
          <w:b/>
        </w:rPr>
        <w:t>B</w:t>
      </w:r>
      <w:r>
        <w:rPr>
          <w:rFonts w:cs="Arial"/>
          <w:b/>
        </w:rPr>
        <w:t>ACKGROUND</w:t>
      </w:r>
      <w:r w:rsidRPr="00770CB0">
        <w:rPr>
          <w:rFonts w:cs="Arial"/>
          <w:b/>
        </w:rPr>
        <w:t xml:space="preserve"> </w:t>
      </w:r>
    </w:p>
    <w:p w14:paraId="5D180B6E" w14:textId="77777777" w:rsidR="000923BB" w:rsidRPr="001C5D08" w:rsidRDefault="000923BB" w:rsidP="000923BB">
      <w:pPr>
        <w:jc w:val="both"/>
        <w:rPr>
          <w:rFonts w:cs="Arial"/>
          <w:sz w:val="22"/>
          <w:szCs w:val="22"/>
        </w:rPr>
      </w:pPr>
      <w:r w:rsidRPr="001C5D08">
        <w:rPr>
          <w:rFonts w:cs="Arial"/>
          <w:sz w:val="22"/>
          <w:szCs w:val="22"/>
        </w:rPr>
        <w:t xml:space="preserve">Hospital death rates are a matter of public concern in the United Kingdom and have been the subject of both country-wide data analysis and local intensive reviews, one of which has resulted in a major public debate.[1,2] Concerns about hospital deaths in well-developed health systems, especially when linked to the occurrence of adverse events,[3] have also been expressed internationally. This has resulted in a number of rigorous epidemiological studies of adverse event frequency, for example in Australia, Canada and Sweden.[4-6]  More recently there have been large studies of hospital deaths, together with associated events, which have examined whether some hospital deaths might have been preventable. [7,8]  On a day to day level, however, there remains a need for rigorous methods to enable clinical teams to retrospectively assess quality of care in a timely manner and, thus, to identify when deaths were inevitable, or whether they might have been prevented with better care.  This could assist, for example, in the discussions on care that currently take place in hospital Morbidity and Mortality meetings.  </w:t>
      </w:r>
    </w:p>
    <w:p w14:paraId="7E7B5911" w14:textId="77777777" w:rsidR="000923BB" w:rsidRPr="001C5D08" w:rsidRDefault="000923BB" w:rsidP="000923BB">
      <w:pPr>
        <w:jc w:val="both"/>
        <w:rPr>
          <w:rFonts w:cs="Arial"/>
          <w:sz w:val="22"/>
          <w:szCs w:val="22"/>
        </w:rPr>
      </w:pPr>
      <w:r w:rsidRPr="001C5D08">
        <w:rPr>
          <w:rFonts w:cs="Arial"/>
          <w:sz w:val="22"/>
          <w:szCs w:val="22"/>
        </w:rPr>
        <w:t xml:space="preserve">Internationally, case note review remains a prime means of retrospectively assessing quality of care,[3-8] despite the known methodological and practical challenges of this review method.[9-11]  Two principal review methods are used:- explicit criterion-based methods,  and implicit (sometimes called holistic) methods which are based on clinical judgement.  </w:t>
      </w:r>
    </w:p>
    <w:p w14:paraId="5D14E6C5" w14:textId="77777777" w:rsidR="000923BB" w:rsidRPr="001C5D08" w:rsidRDefault="000923BB" w:rsidP="000923BB">
      <w:pPr>
        <w:jc w:val="both"/>
        <w:rPr>
          <w:rFonts w:cs="Arial"/>
          <w:sz w:val="22"/>
          <w:szCs w:val="22"/>
        </w:rPr>
      </w:pPr>
      <w:r w:rsidRPr="001C5D08">
        <w:rPr>
          <w:rFonts w:cs="Arial"/>
          <w:sz w:val="22"/>
          <w:szCs w:val="22"/>
        </w:rPr>
        <w:t xml:space="preserve">Criterion-based methods, usually using frameworks of pre-determined criteria to identify elements of care which are either met or not met, are useful for large-scale audits of care or for screening case notes using criterion-based trigger tools.[9] </w:t>
      </w:r>
    </w:p>
    <w:p w14:paraId="05E60EAD" w14:textId="77777777" w:rsidR="000923BB" w:rsidRPr="001C5D08" w:rsidRDefault="000923BB" w:rsidP="000923BB">
      <w:pPr>
        <w:jc w:val="both"/>
        <w:rPr>
          <w:rFonts w:cs="Arial"/>
          <w:sz w:val="22"/>
          <w:szCs w:val="22"/>
        </w:rPr>
      </w:pPr>
      <w:r w:rsidRPr="001C5D08">
        <w:rPr>
          <w:rFonts w:cs="Arial"/>
          <w:sz w:val="22"/>
          <w:szCs w:val="22"/>
        </w:rPr>
        <w:t>Implicit review methods are based on clinical judgement, and are probably more effective for identifying and recording the detail and nuance of care (both unsatisfactory and good).[12] Thus, implicit review methods are probably more appropriate for detailed exploration of the care for people who die in hospital.  However, unstructured implicit review formats have been criticised for low inter-rater reliability (high variability) and for potential reviewer bias,[9-11,13] whereas structured implicit review limits the variability and creates specific frameworks so that reviewers are able to make, justify and organise statements on care.[14]</w:t>
      </w:r>
    </w:p>
    <w:p w14:paraId="65CDC708" w14:textId="77777777" w:rsidR="000923BB" w:rsidRPr="001C5D08" w:rsidRDefault="000923BB" w:rsidP="000923BB">
      <w:pPr>
        <w:jc w:val="both"/>
        <w:rPr>
          <w:rFonts w:cs="Arial"/>
          <w:sz w:val="22"/>
          <w:szCs w:val="22"/>
        </w:rPr>
      </w:pPr>
      <w:r w:rsidRPr="001C5D08">
        <w:rPr>
          <w:rFonts w:cs="Arial"/>
          <w:sz w:val="22"/>
          <w:szCs w:val="22"/>
        </w:rPr>
        <w:t xml:space="preserve">Initial models of structured implicit review methods were actually a fusion of implicit judgements of quality of care which were required of the reviewer in order for them to complete a set of explicit review criteria (for example, a criterion such as ‘no appropriate nursing interventions carried out’).[14]  A framework such as this was used by Pearson et al to monitor nursing care quality.[15]  More recently, Hogan et al used this approach in a study of the frequency of adverse event rates and preventable deaths in English hospitals, where a judgement-based, structured, explicit one-to-five scale was used by reviewers to rate quality of care, from very poor to excellent.[8] In a study of adverse event frequency and preventability upon 8400 patient records in the Netherlands, Zegers and colleagues used two six-point scales on which reviewers </w:t>
      </w:r>
      <w:r w:rsidRPr="001C5D08">
        <w:rPr>
          <w:rFonts w:cs="Arial"/>
          <w:sz w:val="22"/>
          <w:szCs w:val="22"/>
        </w:rPr>
        <w:lastRenderedPageBreak/>
        <w:t xml:space="preserve">used their judgement to record whether injury was caused by health care management or the disease process and to assess the degree of preventability.[7,16] </w:t>
      </w:r>
    </w:p>
    <w:p w14:paraId="225962FD" w14:textId="77777777" w:rsidR="000923BB" w:rsidRPr="001C5D08" w:rsidRDefault="000923BB" w:rsidP="000923BB">
      <w:pPr>
        <w:jc w:val="both"/>
        <w:rPr>
          <w:rFonts w:cs="Arial"/>
          <w:sz w:val="22"/>
          <w:szCs w:val="22"/>
        </w:rPr>
      </w:pPr>
      <w:r w:rsidRPr="001C5D08">
        <w:rPr>
          <w:rFonts w:cs="Arial"/>
          <w:sz w:val="22"/>
          <w:szCs w:val="22"/>
        </w:rPr>
        <w:t>However, this form of judgement-based structured implicit review only provides a scale-based quantitative result and there is no means of understanding how or why the reviewer judgement was made. Thus the method is useful for large scale monitoring or epidemiological studies of adverse events, but has rather less value for more detailed review at the ward or hospital level of why an event occurred.</w:t>
      </w:r>
    </w:p>
    <w:p w14:paraId="5A3738A9" w14:textId="77777777" w:rsidR="000923BB" w:rsidRPr="001C5D08" w:rsidRDefault="000923BB" w:rsidP="000923BB">
      <w:pPr>
        <w:jc w:val="both"/>
        <w:rPr>
          <w:rFonts w:cs="Arial"/>
          <w:sz w:val="22"/>
          <w:szCs w:val="22"/>
        </w:rPr>
      </w:pPr>
      <w:r w:rsidRPr="001C5D08">
        <w:rPr>
          <w:rFonts w:cs="Arial"/>
          <w:sz w:val="22"/>
          <w:szCs w:val="22"/>
        </w:rPr>
        <w:t xml:space="preserve">To increase the value of structured implicit review in the context of reviewing the whole spectrum of care quality, rather than focussing only on adverse event rates, we designed and tested a structured care review method, drawing on the initial work of Kahn and colleagues.[14]  This required reviewers to make implicit clinical judgements and to write explicit comments to support judgement-based quality of care scores.[9]  In the developmental stage of the study, </w:t>
      </w:r>
      <w:r w:rsidRPr="001C5D08">
        <w:rPr>
          <w:rFonts w:eastAsia="Arial" w:cs="Arial"/>
          <w:sz w:val="22"/>
          <w:szCs w:val="22"/>
        </w:rPr>
        <w:t xml:space="preserve">multi-professional groups of reviewers independently reviewed the same records, first using a quantitative and then using a qualitative review process.  </w:t>
      </w:r>
      <w:r w:rsidRPr="001C5D08">
        <w:rPr>
          <w:rFonts w:cs="Arial"/>
          <w:sz w:val="22"/>
          <w:szCs w:val="22"/>
        </w:rPr>
        <w:t>For each case the review process was undertaken for three phases of care (admission, initial management and later management), followed by an overall judgement of the care provided for the patient.</w:t>
      </w:r>
      <w:r w:rsidRPr="001C5D08">
        <w:rPr>
          <w:rFonts w:cs="Arial"/>
          <w:b/>
          <w:sz w:val="22"/>
          <w:szCs w:val="22"/>
        </w:rPr>
        <w:t xml:space="preserve"> </w:t>
      </w:r>
      <w:r w:rsidRPr="001C5D08">
        <w:rPr>
          <w:rFonts w:cs="Arial"/>
          <w:sz w:val="22"/>
          <w:szCs w:val="22"/>
        </w:rPr>
        <w:t xml:space="preserve">For each phase of care, and for care overall, reviewers, both physicians and nurses, were asked to rate quality of care on a one (unsatisfactory) to six (excellent) scale. This was similar to a four-stage, phase of care approach, together with overall care quality, subsequently used by Hogan et al to provide a framework on which to rate quality of care.[8] </w:t>
      </w:r>
    </w:p>
    <w:p w14:paraId="13858071" w14:textId="77777777" w:rsidR="000923BB" w:rsidRPr="001C5D08" w:rsidRDefault="000923BB" w:rsidP="000923BB">
      <w:pPr>
        <w:jc w:val="both"/>
        <w:rPr>
          <w:rFonts w:cs="Arial"/>
          <w:sz w:val="22"/>
          <w:szCs w:val="22"/>
        </w:rPr>
      </w:pPr>
      <w:r w:rsidRPr="001C5D08">
        <w:rPr>
          <w:rFonts w:cs="Arial"/>
          <w:sz w:val="22"/>
          <w:szCs w:val="22"/>
        </w:rPr>
        <w:t xml:space="preserve">There was moderate inter-rater reliability of these judgement-based scores when two or three physicians, working separately, used structured implicit review on the same set of case notes (Intra-Class Correlation Coefficient [ICC] 0.52).  Physician reviewers tended to make more explicit written judgements on the quality of care provided than did nurse reviewers, who more often made commentaries about the process/pathway of care.[13] </w:t>
      </w:r>
    </w:p>
    <w:p w14:paraId="039D28C0" w14:textId="77777777" w:rsidR="000923BB" w:rsidRPr="001C5D08" w:rsidRDefault="000923BB" w:rsidP="000923BB">
      <w:pPr>
        <w:jc w:val="both"/>
        <w:rPr>
          <w:rFonts w:cs="Arial"/>
          <w:sz w:val="22"/>
          <w:szCs w:val="22"/>
        </w:rPr>
      </w:pPr>
      <w:r w:rsidRPr="001C5D08">
        <w:rPr>
          <w:rFonts w:cs="Arial"/>
          <w:sz w:val="22"/>
          <w:szCs w:val="22"/>
        </w:rPr>
        <w:t xml:space="preserve">Subsequently we asked 40 physician reviewers to undertake this enhanced form of structured implicit review to examine the quality of care provided for 1566 people with either Chronic Obstructive Pulmonary Disease [COPD] or heart failure as their main diagnosis. There was no oversampling of deaths and each set of case notes was reviewed only once. There were two reviewers (one for COPD cases and one for heart failure cases) for each of twenty randomly-selected large hospitals in England and each reviewer judged between 30-40 consecutively selected sets of case notes and associated clinical records in their own hospital. Reviewers were either senior respiratory or cardiology physicians in training. Our initial quantitative analysis, reported elsewhere, examined the range of phase of care scores and overall care scores for each of the 20 hospitals and the relationship of the care scores to broader quality of care markers.[9]  </w:t>
      </w:r>
    </w:p>
    <w:p w14:paraId="3F30FBFB" w14:textId="77777777" w:rsidR="000923BB" w:rsidRPr="001C5D08" w:rsidRDefault="000923BB" w:rsidP="000923BB">
      <w:pPr>
        <w:jc w:val="both"/>
        <w:rPr>
          <w:rFonts w:cs="Arial"/>
          <w:sz w:val="22"/>
          <w:szCs w:val="22"/>
        </w:rPr>
      </w:pPr>
      <w:r w:rsidRPr="001C5D08">
        <w:rPr>
          <w:rFonts w:cs="Arial"/>
          <w:sz w:val="22"/>
          <w:szCs w:val="22"/>
        </w:rPr>
        <w:t xml:space="preserve">Here we report a new qualitative and quantitative analysis of the commentaries written by the reviewers to support their judgement scores of care provided for the 119 cases who died in hospital (8% of the total within the cohort of 1566 cases). The purpose of the analysis was to explore whether physician reviewers can consistently provide short, structured, judgement-based comments on quality of care that they can also </w:t>
      </w:r>
      <w:r w:rsidRPr="001C5D08">
        <w:rPr>
          <w:rFonts w:cs="Arial"/>
          <w:sz w:val="22"/>
          <w:szCs w:val="22"/>
        </w:rPr>
        <w:lastRenderedPageBreak/>
        <w:t xml:space="preserve">justify with an appropriate care score. The consistency between the explanatory textual data and the related scores is explored with a view to considering whether this structured method, combining implicit judgements supported by explanatory comments, together with quality of care scores, can be used for routine mortality case note review.  </w:t>
      </w:r>
    </w:p>
    <w:p w14:paraId="553FA8CB" w14:textId="77777777" w:rsidR="000923BB" w:rsidRPr="001C5D08" w:rsidRDefault="000923BB" w:rsidP="000923BB">
      <w:pPr>
        <w:jc w:val="both"/>
        <w:rPr>
          <w:rFonts w:cs="Arial"/>
          <w:b/>
          <w:sz w:val="22"/>
          <w:szCs w:val="22"/>
        </w:rPr>
      </w:pPr>
    </w:p>
    <w:p w14:paraId="063B6112" w14:textId="77777777" w:rsidR="000923BB" w:rsidRDefault="000923BB" w:rsidP="000923BB">
      <w:pPr>
        <w:jc w:val="both"/>
        <w:rPr>
          <w:rFonts w:cs="Arial"/>
          <w:b/>
        </w:rPr>
      </w:pPr>
    </w:p>
    <w:p w14:paraId="2F07A38A" w14:textId="77777777" w:rsidR="000923BB" w:rsidRPr="00947BC1" w:rsidRDefault="000923BB" w:rsidP="000923BB">
      <w:pPr>
        <w:jc w:val="both"/>
        <w:rPr>
          <w:rFonts w:cs="Arial"/>
          <w:b/>
        </w:rPr>
      </w:pPr>
      <w:r w:rsidRPr="00947BC1">
        <w:rPr>
          <w:rFonts w:cs="Arial"/>
          <w:b/>
        </w:rPr>
        <w:t>M</w:t>
      </w:r>
      <w:r>
        <w:rPr>
          <w:rFonts w:cs="Arial"/>
          <w:b/>
        </w:rPr>
        <w:t>ETHODS</w:t>
      </w:r>
      <w:r w:rsidRPr="00947BC1">
        <w:rPr>
          <w:rFonts w:cs="Arial"/>
          <w:b/>
        </w:rPr>
        <w:t xml:space="preserve"> </w:t>
      </w:r>
    </w:p>
    <w:p w14:paraId="5319C138" w14:textId="77777777" w:rsidR="000923BB" w:rsidRPr="001C5D08" w:rsidRDefault="000923BB" w:rsidP="000923BB">
      <w:pPr>
        <w:jc w:val="both"/>
        <w:rPr>
          <w:rFonts w:cs="Arial"/>
          <w:b/>
          <w:sz w:val="22"/>
          <w:szCs w:val="22"/>
        </w:rPr>
      </w:pPr>
      <w:r w:rsidRPr="001C5D08">
        <w:rPr>
          <w:rFonts w:cs="Arial"/>
          <w:b/>
          <w:sz w:val="22"/>
          <w:szCs w:val="22"/>
        </w:rPr>
        <w:t>Hospital and reviewer selection</w:t>
      </w:r>
    </w:p>
    <w:p w14:paraId="1E166440" w14:textId="77777777" w:rsidR="000923BB" w:rsidRPr="001C5D08" w:rsidRDefault="000923BB" w:rsidP="000923BB">
      <w:pPr>
        <w:jc w:val="both"/>
        <w:rPr>
          <w:rFonts w:cs="Arial"/>
          <w:sz w:val="22"/>
          <w:szCs w:val="22"/>
        </w:rPr>
      </w:pPr>
      <w:r w:rsidRPr="001C5D08">
        <w:rPr>
          <w:rFonts w:cs="Arial"/>
          <w:sz w:val="22"/>
          <w:szCs w:val="22"/>
        </w:rPr>
        <w:t>Acute care h</w:t>
      </w:r>
      <w:r w:rsidRPr="001C5D08">
        <w:rPr>
          <w:rFonts w:eastAsia="Arial" w:cs="Arial"/>
          <w:sz w:val="22"/>
          <w:szCs w:val="22"/>
        </w:rPr>
        <w:t>ospitals in England were first grouped into quartiles using mortality data. Equal numbers of hospitals from the upper and lower quartiles were then randomly selected (20 in total). E</w:t>
      </w:r>
      <w:r w:rsidRPr="001C5D08">
        <w:rPr>
          <w:rFonts w:cs="Arial"/>
          <w:sz w:val="22"/>
          <w:szCs w:val="22"/>
        </w:rPr>
        <w:t xml:space="preserve">ach randomly selected hospital had to provide two reviewers, who were all volunteers and specialists in training. Each was initially approached by specialists in their own hospitals and initial research team contact with the specialists was made through the Royal College of Physicians. </w:t>
      </w:r>
    </w:p>
    <w:p w14:paraId="5C10BC19" w14:textId="77777777" w:rsidR="000923BB" w:rsidRPr="001C5D08" w:rsidRDefault="000923BB" w:rsidP="000923BB">
      <w:pPr>
        <w:jc w:val="both"/>
        <w:rPr>
          <w:rFonts w:cs="Arial"/>
          <w:b/>
          <w:sz w:val="22"/>
          <w:szCs w:val="22"/>
        </w:rPr>
      </w:pPr>
      <w:r w:rsidRPr="001C5D08">
        <w:rPr>
          <w:rFonts w:cs="Arial"/>
          <w:b/>
          <w:sz w:val="22"/>
          <w:szCs w:val="22"/>
        </w:rPr>
        <w:t>Reviewer training</w:t>
      </w:r>
    </w:p>
    <w:p w14:paraId="090CE48D" w14:textId="77777777" w:rsidR="000923BB" w:rsidRPr="001C5D08" w:rsidRDefault="000923BB" w:rsidP="000923BB">
      <w:pPr>
        <w:jc w:val="both"/>
        <w:rPr>
          <w:rFonts w:cs="Arial"/>
          <w:sz w:val="22"/>
          <w:szCs w:val="22"/>
        </w:rPr>
      </w:pPr>
      <w:r w:rsidRPr="001C5D08">
        <w:rPr>
          <w:rFonts w:cs="Arial"/>
          <w:sz w:val="22"/>
          <w:szCs w:val="22"/>
        </w:rPr>
        <w:t>All reviewers received training in the review methods and in data recording prior to data collection. A full-day training session comprised a description of the methods, discussion about the need to be as explicit as possible about the judgement commentaries and a session of reviewing a set of case notes in pairs with tutors. Finally, all of the reviewers judged the care from the same set of anonymised case notes and then commented on their findings in a managed small group discussion, which again emphasised the need to be explicit in their judgements. Data was collected via an electronic form which enabled direct entry by reviewers of both comments and scores for all relevant care phases and care overall. This enabled reviewers to structure their commentaries and the data collection program was also demonstrated during the training day.</w:t>
      </w:r>
    </w:p>
    <w:p w14:paraId="4EA8A40D" w14:textId="77777777" w:rsidR="000923BB" w:rsidRPr="001C5D08" w:rsidRDefault="000923BB" w:rsidP="000923BB">
      <w:pPr>
        <w:jc w:val="both"/>
        <w:rPr>
          <w:rFonts w:cs="Arial"/>
          <w:sz w:val="22"/>
          <w:szCs w:val="22"/>
        </w:rPr>
      </w:pPr>
      <w:r w:rsidRPr="001C5D08">
        <w:rPr>
          <w:rFonts w:cs="Arial"/>
          <w:sz w:val="22"/>
          <w:szCs w:val="22"/>
        </w:rPr>
        <w:t xml:space="preserve">Finally, reviewers were provided with a set of national clinical practice guidelines relevant to their clinical specialty. Regular contact was maintained between the study team and the reviewers, who could ask for advice during the review period, using a telephone helpline.  </w:t>
      </w:r>
    </w:p>
    <w:p w14:paraId="36AA74B8" w14:textId="77777777" w:rsidR="000923BB" w:rsidRPr="001C5D08" w:rsidRDefault="000923BB" w:rsidP="000923BB">
      <w:pPr>
        <w:jc w:val="both"/>
        <w:rPr>
          <w:rFonts w:cs="Arial"/>
          <w:b/>
          <w:sz w:val="22"/>
          <w:szCs w:val="22"/>
        </w:rPr>
      </w:pPr>
      <w:r w:rsidRPr="001C5D08">
        <w:rPr>
          <w:rFonts w:cs="Arial"/>
          <w:b/>
          <w:sz w:val="22"/>
          <w:szCs w:val="22"/>
        </w:rPr>
        <w:t>Data collection</w:t>
      </w:r>
    </w:p>
    <w:p w14:paraId="444C8332" w14:textId="77777777" w:rsidR="000923BB" w:rsidRPr="001C5D08" w:rsidRDefault="000923BB" w:rsidP="000923BB">
      <w:pPr>
        <w:jc w:val="both"/>
        <w:rPr>
          <w:rFonts w:cs="Arial"/>
          <w:sz w:val="22"/>
          <w:szCs w:val="22"/>
        </w:rPr>
      </w:pPr>
      <w:r w:rsidRPr="001C5D08">
        <w:rPr>
          <w:rFonts w:cs="Arial"/>
          <w:sz w:val="22"/>
          <w:szCs w:val="22"/>
        </w:rPr>
        <w:t xml:space="preserve">Each set of case notes was reviewed by a single physician reviewer.  Quality of care was assessed in three phases – admission, initial management and later management and also for care overall.  For each phase of care and for care overall, reviewers wrote short textual comments on the quality of care provided and were encouraged to be explicit in their comments on care. They also gave the care a score from one to six for each phase and for overall care, based on the criteria in box 1.  </w:t>
      </w:r>
    </w:p>
    <w:p w14:paraId="4651F286" w14:textId="77777777" w:rsidR="008D0A20" w:rsidRDefault="008D0A20" w:rsidP="000923BB">
      <w:pPr>
        <w:jc w:val="both"/>
        <w:rPr>
          <w:rFonts w:cs="Arial"/>
          <w:b/>
        </w:rPr>
      </w:pPr>
    </w:p>
    <w:p w14:paraId="50D1E4F5" w14:textId="77777777" w:rsidR="000923BB" w:rsidRPr="00A6561E" w:rsidRDefault="000923BB" w:rsidP="000923BB">
      <w:pPr>
        <w:jc w:val="both"/>
        <w:rPr>
          <w:rFonts w:cs="Arial"/>
          <w:b/>
        </w:rPr>
      </w:pPr>
      <w:r w:rsidRPr="00A6561E">
        <w:rPr>
          <w:rFonts w:cs="Arial"/>
          <w:b/>
        </w:rPr>
        <w:lastRenderedPageBreak/>
        <w:t>Box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
        <w:gridCol w:w="7315"/>
      </w:tblGrid>
      <w:tr w:rsidR="000923BB" w:rsidRPr="000611C7" w14:paraId="30895FDC" w14:textId="77777777" w:rsidTr="00E5549E">
        <w:tc>
          <w:tcPr>
            <w:tcW w:w="960" w:type="dxa"/>
          </w:tcPr>
          <w:p w14:paraId="1F496286" w14:textId="77777777" w:rsidR="000923BB" w:rsidRPr="002C0841" w:rsidRDefault="000923BB" w:rsidP="003A385F">
            <w:pPr>
              <w:spacing w:after="0" w:line="240" w:lineRule="auto"/>
              <w:jc w:val="both"/>
              <w:rPr>
                <w:rFonts w:cs="Arial"/>
                <w:sz w:val="20"/>
                <w:szCs w:val="20"/>
              </w:rPr>
            </w:pPr>
            <w:r w:rsidRPr="00FE4756">
              <w:rPr>
                <w:rFonts w:cs="Arial"/>
                <w:sz w:val="20"/>
                <w:szCs w:val="20"/>
              </w:rPr>
              <w:t>Score 1</w:t>
            </w:r>
          </w:p>
        </w:tc>
        <w:tc>
          <w:tcPr>
            <w:tcW w:w="7404" w:type="dxa"/>
          </w:tcPr>
          <w:p w14:paraId="5D556826" w14:textId="77777777" w:rsidR="000923BB" w:rsidRPr="002C0841" w:rsidRDefault="000923BB" w:rsidP="003A385F">
            <w:pPr>
              <w:spacing w:after="0" w:line="240" w:lineRule="auto"/>
              <w:jc w:val="both"/>
              <w:rPr>
                <w:rFonts w:cs="Arial"/>
                <w:sz w:val="20"/>
                <w:szCs w:val="20"/>
              </w:rPr>
            </w:pPr>
            <w:r w:rsidRPr="00FE4756">
              <w:rPr>
                <w:rFonts w:cs="Arial"/>
                <w:sz w:val="20"/>
                <w:szCs w:val="20"/>
              </w:rPr>
              <w:t>Unsatisfactory: care fell short of current best practice in one or more significant areas resulting in the potential for, or actual, adverse impact on the patient</w:t>
            </w:r>
          </w:p>
        </w:tc>
      </w:tr>
      <w:tr w:rsidR="000923BB" w:rsidRPr="000611C7" w14:paraId="58CAD6DF" w14:textId="77777777" w:rsidTr="00E5549E">
        <w:tc>
          <w:tcPr>
            <w:tcW w:w="960" w:type="dxa"/>
          </w:tcPr>
          <w:p w14:paraId="212F3D89" w14:textId="77777777" w:rsidR="000923BB" w:rsidRPr="002C0841" w:rsidRDefault="000923BB" w:rsidP="003A385F">
            <w:pPr>
              <w:spacing w:after="0" w:line="240" w:lineRule="auto"/>
              <w:jc w:val="both"/>
              <w:rPr>
                <w:rFonts w:cs="Arial"/>
                <w:sz w:val="20"/>
                <w:szCs w:val="20"/>
              </w:rPr>
            </w:pPr>
            <w:r w:rsidRPr="00FE4756">
              <w:rPr>
                <w:rFonts w:cs="Arial"/>
                <w:sz w:val="20"/>
                <w:szCs w:val="20"/>
              </w:rPr>
              <w:t>Score 2</w:t>
            </w:r>
          </w:p>
        </w:tc>
        <w:tc>
          <w:tcPr>
            <w:tcW w:w="7404" w:type="dxa"/>
          </w:tcPr>
          <w:p w14:paraId="2C58769B" w14:textId="77777777" w:rsidR="000923BB" w:rsidRPr="002C0841" w:rsidRDefault="000923BB" w:rsidP="003A385F">
            <w:pPr>
              <w:spacing w:after="0" w:line="240" w:lineRule="auto"/>
              <w:jc w:val="both"/>
              <w:rPr>
                <w:rFonts w:cs="Arial"/>
                <w:sz w:val="20"/>
                <w:szCs w:val="20"/>
              </w:rPr>
            </w:pPr>
            <w:r w:rsidRPr="00FE4756">
              <w:rPr>
                <w:rFonts w:cs="Arial"/>
                <w:sz w:val="20"/>
                <w:szCs w:val="20"/>
              </w:rPr>
              <w:t>Care fell short of current best practice in more than one significant area, but is not considered to have the potential for adverse impact on the patient</w:t>
            </w:r>
          </w:p>
        </w:tc>
      </w:tr>
      <w:tr w:rsidR="000923BB" w:rsidRPr="000611C7" w14:paraId="4C219C9C" w14:textId="77777777" w:rsidTr="00E5549E">
        <w:tc>
          <w:tcPr>
            <w:tcW w:w="960" w:type="dxa"/>
          </w:tcPr>
          <w:p w14:paraId="78A21C8C" w14:textId="77777777" w:rsidR="000923BB" w:rsidRPr="002C0841" w:rsidRDefault="000923BB" w:rsidP="003A385F">
            <w:pPr>
              <w:spacing w:after="0" w:line="240" w:lineRule="auto"/>
              <w:jc w:val="both"/>
              <w:rPr>
                <w:rFonts w:cs="Arial"/>
                <w:sz w:val="20"/>
                <w:szCs w:val="20"/>
              </w:rPr>
            </w:pPr>
            <w:r w:rsidRPr="00FE4756">
              <w:rPr>
                <w:rFonts w:cs="Arial"/>
                <w:sz w:val="20"/>
                <w:szCs w:val="20"/>
              </w:rPr>
              <w:t>Score 3</w:t>
            </w:r>
          </w:p>
        </w:tc>
        <w:tc>
          <w:tcPr>
            <w:tcW w:w="7404" w:type="dxa"/>
          </w:tcPr>
          <w:p w14:paraId="7E2E2A81" w14:textId="77777777" w:rsidR="000923BB" w:rsidRPr="002C0841" w:rsidRDefault="000923BB" w:rsidP="003A385F">
            <w:pPr>
              <w:spacing w:after="0" w:line="240" w:lineRule="auto"/>
              <w:jc w:val="both"/>
              <w:rPr>
                <w:rFonts w:cs="Arial"/>
                <w:sz w:val="20"/>
                <w:szCs w:val="20"/>
              </w:rPr>
            </w:pPr>
            <w:r w:rsidRPr="00FE4756">
              <w:rPr>
                <w:rFonts w:cs="Arial"/>
                <w:sz w:val="20"/>
                <w:szCs w:val="20"/>
              </w:rPr>
              <w:t>Care fell short of current best practice in only one significant area, but is not considered to have the potential for adverse impact on the patient</w:t>
            </w:r>
          </w:p>
        </w:tc>
      </w:tr>
      <w:tr w:rsidR="000923BB" w:rsidRPr="000611C7" w14:paraId="42330FD4" w14:textId="77777777" w:rsidTr="00E5549E">
        <w:tc>
          <w:tcPr>
            <w:tcW w:w="960" w:type="dxa"/>
          </w:tcPr>
          <w:p w14:paraId="4081EF5A" w14:textId="77777777" w:rsidR="000923BB" w:rsidRPr="002C0841" w:rsidRDefault="000923BB" w:rsidP="003A385F">
            <w:pPr>
              <w:spacing w:after="0" w:line="240" w:lineRule="auto"/>
              <w:jc w:val="both"/>
              <w:rPr>
                <w:rFonts w:cs="Arial"/>
                <w:sz w:val="20"/>
                <w:szCs w:val="20"/>
              </w:rPr>
            </w:pPr>
            <w:r w:rsidRPr="00FE4756">
              <w:rPr>
                <w:rFonts w:cs="Arial"/>
                <w:sz w:val="20"/>
                <w:szCs w:val="20"/>
              </w:rPr>
              <w:t>Score 4</w:t>
            </w:r>
          </w:p>
        </w:tc>
        <w:tc>
          <w:tcPr>
            <w:tcW w:w="7404" w:type="dxa"/>
          </w:tcPr>
          <w:p w14:paraId="53C83200" w14:textId="77777777" w:rsidR="000923BB" w:rsidRPr="002C0841" w:rsidRDefault="000923BB" w:rsidP="003A385F">
            <w:pPr>
              <w:spacing w:after="0" w:line="240" w:lineRule="auto"/>
              <w:jc w:val="both"/>
              <w:rPr>
                <w:rFonts w:cs="Arial"/>
                <w:sz w:val="20"/>
                <w:szCs w:val="20"/>
              </w:rPr>
            </w:pPr>
            <w:r w:rsidRPr="00FE4756">
              <w:rPr>
                <w:rFonts w:cs="Arial"/>
                <w:sz w:val="20"/>
                <w:szCs w:val="20"/>
              </w:rPr>
              <w:t>This was satisfactory care, only falling short of current best practice in more than two minor areas</w:t>
            </w:r>
          </w:p>
        </w:tc>
      </w:tr>
      <w:tr w:rsidR="000923BB" w:rsidRPr="000611C7" w14:paraId="4A13673E" w14:textId="77777777" w:rsidTr="00E5549E">
        <w:tc>
          <w:tcPr>
            <w:tcW w:w="960" w:type="dxa"/>
          </w:tcPr>
          <w:p w14:paraId="3BF30C16" w14:textId="77777777" w:rsidR="000923BB" w:rsidRPr="002C0841" w:rsidRDefault="000923BB" w:rsidP="003A385F">
            <w:pPr>
              <w:spacing w:after="0" w:line="240" w:lineRule="auto"/>
              <w:jc w:val="both"/>
              <w:rPr>
                <w:rFonts w:cs="Arial"/>
                <w:sz w:val="20"/>
                <w:szCs w:val="20"/>
              </w:rPr>
            </w:pPr>
            <w:r w:rsidRPr="00FE4756">
              <w:rPr>
                <w:rFonts w:cs="Arial"/>
                <w:sz w:val="20"/>
                <w:szCs w:val="20"/>
              </w:rPr>
              <w:t>Score 5</w:t>
            </w:r>
          </w:p>
        </w:tc>
        <w:tc>
          <w:tcPr>
            <w:tcW w:w="7404" w:type="dxa"/>
          </w:tcPr>
          <w:p w14:paraId="76237A2F" w14:textId="77777777" w:rsidR="000923BB" w:rsidRPr="002C0841" w:rsidRDefault="000923BB" w:rsidP="003A385F">
            <w:pPr>
              <w:spacing w:after="0" w:line="240" w:lineRule="auto"/>
              <w:jc w:val="both"/>
              <w:rPr>
                <w:rFonts w:cs="Arial"/>
                <w:sz w:val="20"/>
                <w:szCs w:val="20"/>
              </w:rPr>
            </w:pPr>
            <w:r w:rsidRPr="00FE4756">
              <w:rPr>
                <w:rFonts w:cs="Arial"/>
                <w:sz w:val="20"/>
                <w:szCs w:val="20"/>
              </w:rPr>
              <w:t>This was good care, which only fell short of current best practice in one or two minor areas</w:t>
            </w:r>
          </w:p>
        </w:tc>
      </w:tr>
      <w:tr w:rsidR="000923BB" w:rsidRPr="000611C7" w14:paraId="559830F4" w14:textId="77777777" w:rsidTr="00E5549E">
        <w:tc>
          <w:tcPr>
            <w:tcW w:w="960" w:type="dxa"/>
          </w:tcPr>
          <w:p w14:paraId="656C8D43" w14:textId="77777777" w:rsidR="000923BB" w:rsidRPr="002C0841" w:rsidRDefault="000923BB" w:rsidP="003A385F">
            <w:pPr>
              <w:spacing w:after="0" w:line="240" w:lineRule="auto"/>
              <w:jc w:val="both"/>
              <w:rPr>
                <w:rFonts w:cs="Arial"/>
                <w:sz w:val="20"/>
                <w:szCs w:val="20"/>
              </w:rPr>
            </w:pPr>
            <w:r w:rsidRPr="00FE4756">
              <w:rPr>
                <w:rFonts w:cs="Arial"/>
                <w:sz w:val="20"/>
                <w:szCs w:val="20"/>
              </w:rPr>
              <w:t>Score 6</w:t>
            </w:r>
          </w:p>
        </w:tc>
        <w:tc>
          <w:tcPr>
            <w:tcW w:w="7404" w:type="dxa"/>
          </w:tcPr>
          <w:p w14:paraId="10743815" w14:textId="77777777" w:rsidR="000923BB" w:rsidRPr="002C0841" w:rsidRDefault="000923BB" w:rsidP="003A385F">
            <w:pPr>
              <w:spacing w:after="0" w:line="240" w:lineRule="auto"/>
              <w:jc w:val="both"/>
              <w:rPr>
                <w:rFonts w:cs="Arial"/>
                <w:sz w:val="20"/>
                <w:szCs w:val="20"/>
              </w:rPr>
            </w:pPr>
            <w:r w:rsidRPr="00FE4756">
              <w:rPr>
                <w:rFonts w:cs="Arial"/>
                <w:sz w:val="20"/>
                <w:szCs w:val="20"/>
              </w:rPr>
              <w:t xml:space="preserve">Very best care: this was excellent care and met current best practice  </w:t>
            </w:r>
          </w:p>
        </w:tc>
      </w:tr>
    </w:tbl>
    <w:p w14:paraId="4A9AEABD" w14:textId="77777777" w:rsidR="00E5549E" w:rsidRDefault="00E5549E" w:rsidP="000923BB">
      <w:pPr>
        <w:jc w:val="both"/>
        <w:rPr>
          <w:rFonts w:cs="Arial"/>
          <w:b/>
        </w:rPr>
      </w:pPr>
    </w:p>
    <w:p w14:paraId="342C364B" w14:textId="77777777" w:rsidR="000923BB" w:rsidRDefault="000923BB" w:rsidP="000923BB">
      <w:pPr>
        <w:jc w:val="both"/>
        <w:rPr>
          <w:rFonts w:cs="Arial"/>
          <w:b/>
        </w:rPr>
      </w:pPr>
      <w:r w:rsidRPr="00254A07">
        <w:rPr>
          <w:rFonts w:cs="Arial"/>
          <w:b/>
        </w:rPr>
        <w:t>Analysis methods</w:t>
      </w:r>
    </w:p>
    <w:p w14:paraId="1F2BA8B9" w14:textId="77777777" w:rsidR="000923BB" w:rsidRPr="001C5D08" w:rsidRDefault="000923BB" w:rsidP="000923BB">
      <w:pPr>
        <w:jc w:val="both"/>
        <w:rPr>
          <w:rFonts w:cs="Arial"/>
          <w:sz w:val="22"/>
          <w:szCs w:val="22"/>
        </w:rPr>
      </w:pPr>
      <w:r w:rsidRPr="001C5D08">
        <w:rPr>
          <w:rFonts w:cs="Arial"/>
          <w:sz w:val="22"/>
          <w:szCs w:val="22"/>
        </w:rPr>
        <w:t>Of the 1566 cases reviewed, 119 cases had died during their hospital admission.To explore the type and content of written comments by the reviewers on each of the 119 cases, a textual analysis framework, developed during the study prior to this analysis and previously reported,[9]</w:t>
      </w:r>
      <w:r w:rsidRPr="001C5D08">
        <w:rPr>
          <w:rFonts w:cs="Arial"/>
          <w:b/>
          <w:sz w:val="22"/>
          <w:szCs w:val="22"/>
        </w:rPr>
        <w:t xml:space="preserve"> </w:t>
      </w:r>
      <w:r w:rsidRPr="001C5D08">
        <w:rPr>
          <w:rFonts w:cs="Arial"/>
          <w:sz w:val="22"/>
          <w:szCs w:val="22"/>
        </w:rPr>
        <w:t>was applied to all of the phase and overall care comments.  Two authors (AH, JC) reviewed and categorised the comments independently and any differences in categorisation were resolved through discussion.</w:t>
      </w:r>
    </w:p>
    <w:p w14:paraId="68F49400" w14:textId="77777777" w:rsidR="000923BB" w:rsidRPr="001C5D08" w:rsidRDefault="000923BB" w:rsidP="000923BB">
      <w:pPr>
        <w:jc w:val="both"/>
        <w:rPr>
          <w:rFonts w:cs="Arial"/>
          <w:sz w:val="22"/>
          <w:szCs w:val="22"/>
        </w:rPr>
      </w:pPr>
      <w:r w:rsidRPr="001C5D08">
        <w:rPr>
          <w:rFonts w:cs="Arial"/>
          <w:sz w:val="22"/>
          <w:szCs w:val="22"/>
        </w:rPr>
        <w:t xml:space="preserve">Comments were categorised into three groups (see box 2): </w:t>
      </w:r>
    </w:p>
    <w:p w14:paraId="09DEB931" w14:textId="77777777" w:rsidR="000923BB" w:rsidRPr="001C5D08" w:rsidRDefault="000923BB" w:rsidP="000923BB">
      <w:pPr>
        <w:jc w:val="both"/>
        <w:rPr>
          <w:rFonts w:cs="Arial"/>
          <w:b/>
          <w:sz w:val="22"/>
          <w:szCs w:val="22"/>
        </w:rPr>
      </w:pPr>
      <w:r w:rsidRPr="001C5D08">
        <w:rPr>
          <w:rFonts w:cs="Arial"/>
          <w:b/>
          <w:sz w:val="22"/>
          <w:szCs w:val="22"/>
        </w:rPr>
        <w:t>Box 2</w:t>
      </w:r>
    </w:p>
    <w:tbl>
      <w:tblPr>
        <w:tblW w:w="0" w:type="auto"/>
        <w:tblInd w:w="250" w:type="dxa"/>
        <w:tblLook w:val="04A0" w:firstRow="1" w:lastRow="0" w:firstColumn="1" w:lastColumn="0" w:noHBand="0" w:noVBand="1"/>
      </w:tblPr>
      <w:tblGrid>
        <w:gridCol w:w="8080"/>
      </w:tblGrid>
      <w:tr w:rsidR="000923BB" w14:paraId="54181A9F" w14:textId="77777777" w:rsidTr="005259A3">
        <w:tc>
          <w:tcPr>
            <w:tcW w:w="8080" w:type="dxa"/>
          </w:tcPr>
          <w:p w14:paraId="40734393" w14:textId="77777777" w:rsidR="000923BB" w:rsidRDefault="000923BB" w:rsidP="003A385F">
            <w:pPr>
              <w:jc w:val="both"/>
              <w:rPr>
                <w:rFonts w:cs="Arial"/>
              </w:rPr>
            </w:pPr>
          </w:p>
          <w:p w14:paraId="20F42FC7" w14:textId="77777777" w:rsidR="000923BB" w:rsidRPr="00E5549E" w:rsidRDefault="000923BB" w:rsidP="00E5549E">
            <w:pPr>
              <w:pBdr>
                <w:top w:val="single" w:sz="4" w:space="1" w:color="auto"/>
                <w:left w:val="single" w:sz="4" w:space="4" w:color="auto"/>
                <w:bottom w:val="single" w:sz="4" w:space="1" w:color="auto"/>
                <w:right w:val="single" w:sz="4" w:space="4" w:color="auto"/>
              </w:pBdr>
              <w:jc w:val="both"/>
              <w:rPr>
                <w:rFonts w:cs="Arial"/>
                <w:sz w:val="22"/>
                <w:szCs w:val="22"/>
              </w:rPr>
            </w:pPr>
            <w:r w:rsidRPr="00E5549E">
              <w:rPr>
                <w:rFonts w:cs="Arial"/>
                <w:sz w:val="22"/>
                <w:szCs w:val="22"/>
              </w:rPr>
              <w:t xml:space="preserve">Category A.  Little or no comment about care and/or little or no judgement, including, for example, a description of what was in the case note or a description of what happened to the patient (not the care they received).  </w:t>
            </w:r>
          </w:p>
          <w:p w14:paraId="52D9A2CF" w14:textId="77777777" w:rsidR="000923BB" w:rsidRPr="00E5549E" w:rsidRDefault="000923BB" w:rsidP="00E5549E">
            <w:pPr>
              <w:pBdr>
                <w:top w:val="single" w:sz="4" w:space="1" w:color="auto"/>
                <w:left w:val="single" w:sz="4" w:space="4" w:color="auto"/>
                <w:bottom w:val="single" w:sz="4" w:space="1" w:color="auto"/>
                <w:right w:val="single" w:sz="4" w:space="4" w:color="auto"/>
              </w:pBdr>
              <w:jc w:val="both"/>
              <w:rPr>
                <w:rFonts w:cs="Arial"/>
                <w:i/>
                <w:sz w:val="22"/>
                <w:szCs w:val="22"/>
              </w:rPr>
            </w:pPr>
            <w:r w:rsidRPr="00E5549E">
              <w:rPr>
                <w:rFonts w:cs="Arial"/>
                <w:i/>
                <w:sz w:val="22"/>
                <w:szCs w:val="22"/>
              </w:rPr>
              <w:t>Note: Category A did not contribute to the analysis presented here, since this analysis was concerned with judgements, rather than descriptive reports.</w:t>
            </w:r>
          </w:p>
          <w:p w14:paraId="0247BDEA" w14:textId="77777777" w:rsidR="000923BB" w:rsidRPr="00E5549E" w:rsidRDefault="000923BB" w:rsidP="00E5549E">
            <w:pPr>
              <w:pBdr>
                <w:top w:val="single" w:sz="4" w:space="1" w:color="auto"/>
                <w:left w:val="single" w:sz="4" w:space="4" w:color="auto"/>
                <w:bottom w:val="single" w:sz="4" w:space="1" w:color="auto"/>
                <w:right w:val="single" w:sz="4" w:space="4" w:color="auto"/>
              </w:pBdr>
              <w:jc w:val="both"/>
              <w:rPr>
                <w:rFonts w:cs="Arial"/>
                <w:sz w:val="22"/>
                <w:szCs w:val="22"/>
              </w:rPr>
            </w:pPr>
            <w:r w:rsidRPr="00E5549E">
              <w:rPr>
                <w:rFonts w:cs="Arial"/>
                <w:sz w:val="22"/>
                <w:szCs w:val="22"/>
              </w:rPr>
              <w:t>Category B.  Limited comment about quality of care and/or implied judgement. This category included an implied judgment and/or a description of the care delivered (not just a description of a patient pathway) and/or a description of an omission of care.</w:t>
            </w:r>
          </w:p>
          <w:p w14:paraId="154D5DE7" w14:textId="77777777" w:rsidR="000923BB" w:rsidRDefault="000923BB" w:rsidP="00E5549E">
            <w:pPr>
              <w:pBdr>
                <w:top w:val="single" w:sz="4" w:space="1" w:color="auto"/>
                <w:left w:val="single" w:sz="4" w:space="4" w:color="auto"/>
                <w:bottom w:val="single" w:sz="4" w:space="1" w:color="auto"/>
                <w:right w:val="single" w:sz="4" w:space="4" w:color="auto"/>
              </w:pBdr>
              <w:jc w:val="both"/>
              <w:rPr>
                <w:rFonts w:cs="Arial"/>
              </w:rPr>
            </w:pPr>
            <w:r w:rsidRPr="00E5549E">
              <w:rPr>
                <w:rFonts w:cs="Arial"/>
                <w:sz w:val="22"/>
                <w:szCs w:val="22"/>
              </w:rPr>
              <w:t>Category C.  Comments about care with explicit judgements and views. This category included explicit judgements of care delivered, questioning or queries about the care delivered, explanations or justification of care delivered, alternative options or justification of care that should have been delivered or concerns about care.</w:t>
            </w:r>
          </w:p>
        </w:tc>
      </w:tr>
    </w:tbl>
    <w:p w14:paraId="3BC21CFB" w14:textId="77777777" w:rsidR="000923BB" w:rsidRPr="00754632" w:rsidRDefault="000923BB" w:rsidP="000923BB">
      <w:pPr>
        <w:jc w:val="both"/>
        <w:rPr>
          <w:rFonts w:cs="Arial"/>
        </w:rPr>
      </w:pPr>
    </w:p>
    <w:p w14:paraId="20DE8D25" w14:textId="77777777" w:rsidR="000923BB" w:rsidRPr="001C5D08" w:rsidRDefault="000923BB" w:rsidP="000923BB">
      <w:pPr>
        <w:jc w:val="both"/>
        <w:rPr>
          <w:rFonts w:cs="Arial"/>
          <w:sz w:val="22"/>
          <w:szCs w:val="22"/>
        </w:rPr>
      </w:pPr>
      <w:r w:rsidRPr="001C5D08">
        <w:rPr>
          <w:rFonts w:cs="Arial"/>
          <w:sz w:val="22"/>
          <w:szCs w:val="22"/>
        </w:rPr>
        <w:t xml:space="preserve">All comments in categories B (implicit judgement comments) and C (explicit judgement comments) were subsequently classified by the two study analysts as indicating good quality of care (positive comments) or as indicating poor quality of </w:t>
      </w:r>
      <w:r w:rsidRPr="001C5D08">
        <w:rPr>
          <w:rFonts w:cs="Arial"/>
          <w:sz w:val="22"/>
          <w:szCs w:val="22"/>
        </w:rPr>
        <w:lastRenderedPageBreak/>
        <w:t>care (negative comments). These two categories of comment for each case were then grouped by their related overall quality of care scores, which were then used to classify each case into one of six groups, from unsatisfactory care (score one) to very best care (score six). Examples of the detailed textual analysis are presented in the results in Boxes 3-4.</w:t>
      </w:r>
    </w:p>
    <w:p w14:paraId="14D9949E" w14:textId="77777777" w:rsidR="000923BB" w:rsidRPr="001C5D08" w:rsidRDefault="000923BB" w:rsidP="000923BB">
      <w:pPr>
        <w:jc w:val="both"/>
        <w:rPr>
          <w:sz w:val="22"/>
          <w:szCs w:val="22"/>
        </w:rPr>
      </w:pPr>
      <w:r w:rsidRPr="001C5D08">
        <w:rPr>
          <w:rFonts w:cs="Arial"/>
          <w:sz w:val="22"/>
          <w:szCs w:val="22"/>
        </w:rPr>
        <w:t xml:space="preserve">The association between the quality scores for care overall for the group of 119 people who died was compared with the distribution of scores for the 1447 cases who survived, using the Chi-squared test. The association between the comment category and type and their relationship one to another were explored across overall care scores using the Chi-squared test. </w:t>
      </w:r>
      <w:r w:rsidRPr="001C5D08">
        <w:rPr>
          <w:rFonts w:eastAsia="Arial" w:cs="Arial"/>
          <w:sz w:val="22"/>
          <w:szCs w:val="22"/>
        </w:rPr>
        <w:t>Chi-squared tests were undertaken using Microsoft Excel and p-values were calculated using Graphpad software (http://graphpad.com/).</w:t>
      </w:r>
    </w:p>
    <w:p w14:paraId="7A273282" w14:textId="77777777" w:rsidR="000923BB" w:rsidRPr="00350CCD" w:rsidRDefault="000923BB" w:rsidP="000923BB">
      <w:pPr>
        <w:jc w:val="both"/>
        <w:rPr>
          <w:rFonts w:cs="Arial"/>
          <w:b/>
        </w:rPr>
      </w:pPr>
      <w:r w:rsidRPr="00350CCD">
        <w:rPr>
          <w:rFonts w:cs="Arial"/>
          <w:b/>
        </w:rPr>
        <w:t>R</w:t>
      </w:r>
      <w:r>
        <w:rPr>
          <w:rFonts w:cs="Arial"/>
          <w:b/>
        </w:rPr>
        <w:t xml:space="preserve">ESULTS </w:t>
      </w:r>
    </w:p>
    <w:p w14:paraId="4CC99F82" w14:textId="77777777" w:rsidR="000923BB" w:rsidRPr="001C5D08" w:rsidRDefault="000923BB" w:rsidP="000923BB">
      <w:pPr>
        <w:jc w:val="both"/>
        <w:rPr>
          <w:rFonts w:cs="Arial"/>
          <w:sz w:val="22"/>
          <w:szCs w:val="22"/>
        </w:rPr>
      </w:pPr>
      <w:r w:rsidRPr="001C5D08">
        <w:rPr>
          <w:rFonts w:cs="Arial"/>
          <w:sz w:val="22"/>
          <w:szCs w:val="22"/>
        </w:rPr>
        <w:t xml:space="preserve">The overall quality of care scores for the patients who died are compared, in Table 1, with the scores for all patients who survived. The proportions of cases in which care fell short of good practice are relatively similar across the two groups of cases, although there are a higher proportion of ‘satisfactory’ cases and a somewhat lower proportion of the ‘good’ cases among those people who died than in the survivor group.  There were no </w:t>
      </w:r>
      <w:r w:rsidRPr="001C5D08">
        <w:rPr>
          <w:rFonts w:eastAsia="Arial" w:cs="Arial"/>
          <w:sz w:val="22"/>
          <w:szCs w:val="22"/>
        </w:rPr>
        <w:t>statistically significant differences between the two groups (</w:t>
      </w:r>
      <w:r w:rsidRPr="001C5D08">
        <w:rPr>
          <w:rFonts w:eastAsia="Arial" w:cs="Arial"/>
          <w:sz w:val="22"/>
          <w:szCs w:val="22"/>
        </w:rPr>
        <w:sym w:font="Symbol" w:char="F063"/>
      </w:r>
      <w:r w:rsidRPr="001C5D08">
        <w:rPr>
          <w:rFonts w:eastAsia="Arial" w:cs="Arial"/>
          <w:sz w:val="22"/>
          <w:szCs w:val="22"/>
          <w:vertAlign w:val="superscript"/>
        </w:rPr>
        <w:t>2</w:t>
      </w:r>
      <w:r w:rsidRPr="001C5D08">
        <w:rPr>
          <w:rFonts w:eastAsia="Arial" w:cs="Arial"/>
          <w:sz w:val="22"/>
          <w:szCs w:val="22"/>
        </w:rPr>
        <w:t>=9.800; degrees of freedom (df)=5; p=0.0811).</w:t>
      </w:r>
    </w:p>
    <w:p w14:paraId="6DF928D9" w14:textId="77777777" w:rsidR="000923BB" w:rsidRPr="00D95084" w:rsidRDefault="000923BB" w:rsidP="000923BB">
      <w:pPr>
        <w:jc w:val="both"/>
        <w:rPr>
          <w:rFonts w:cs="Arial"/>
          <w:b/>
        </w:rPr>
      </w:pPr>
      <w:r w:rsidRPr="00D95084">
        <w:rPr>
          <w:rFonts w:cs="Arial"/>
          <w:b/>
        </w:rPr>
        <w:t xml:space="preserve">Table 1 Quality of care </w:t>
      </w:r>
      <w:r>
        <w:rPr>
          <w:rFonts w:cs="Arial"/>
          <w:b/>
        </w:rPr>
        <w:t xml:space="preserve">overall: </w:t>
      </w:r>
      <w:r w:rsidRPr="00D95084">
        <w:rPr>
          <w:rFonts w:cs="Arial"/>
          <w:b/>
        </w:rPr>
        <w:t>score comparison</w:t>
      </w:r>
      <w:r>
        <w:rPr>
          <w:rFonts w:cs="Arial"/>
          <w:b/>
        </w:rPr>
        <w:t>s</w:t>
      </w:r>
      <w:r w:rsidRPr="00D95084">
        <w:rPr>
          <w:rFonts w:cs="Arial"/>
          <w:b/>
        </w:rPr>
        <w:t xml:space="preserve"> between </w:t>
      </w:r>
      <w:r>
        <w:rPr>
          <w:rFonts w:cs="Arial"/>
          <w:b/>
        </w:rPr>
        <w:t>people</w:t>
      </w:r>
      <w:r w:rsidRPr="00D95084">
        <w:rPr>
          <w:rFonts w:cs="Arial"/>
          <w:b/>
        </w:rPr>
        <w:t xml:space="preserve"> </w:t>
      </w:r>
      <w:r>
        <w:rPr>
          <w:rFonts w:cs="Arial"/>
          <w:b/>
        </w:rPr>
        <w:t>who</w:t>
      </w:r>
      <w:r w:rsidRPr="00D95084">
        <w:rPr>
          <w:rFonts w:cs="Arial"/>
          <w:b/>
        </w:rPr>
        <w:t xml:space="preserve"> died and </w:t>
      </w:r>
      <w:r>
        <w:rPr>
          <w:rFonts w:cs="Arial"/>
          <w:b/>
        </w:rPr>
        <w:t>those that survived</w:t>
      </w:r>
      <w:r w:rsidRPr="00D95084">
        <w:rPr>
          <w:rFonts w:cs="Arial"/>
          <w: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9"/>
        <w:gridCol w:w="1476"/>
        <w:gridCol w:w="753"/>
        <w:gridCol w:w="853"/>
        <w:gridCol w:w="1256"/>
        <w:gridCol w:w="825"/>
        <w:gridCol w:w="909"/>
        <w:gridCol w:w="1195"/>
      </w:tblGrid>
      <w:tr w:rsidR="000923BB" w:rsidRPr="009C5637" w14:paraId="18F3033F" w14:textId="77777777" w:rsidTr="00E5549E">
        <w:trPr>
          <w:cantSplit/>
        </w:trPr>
        <w:tc>
          <w:tcPr>
            <w:tcW w:w="980" w:type="dxa"/>
            <w:tcBorders>
              <w:top w:val="single" w:sz="18" w:space="0" w:color="auto"/>
              <w:left w:val="single" w:sz="18" w:space="0" w:color="auto"/>
              <w:bottom w:val="single" w:sz="12" w:space="0" w:color="auto"/>
            </w:tcBorders>
          </w:tcPr>
          <w:p w14:paraId="0AA0F8E2" w14:textId="77777777" w:rsidR="000923BB" w:rsidRPr="009960CB" w:rsidRDefault="000923BB" w:rsidP="003A385F">
            <w:pPr>
              <w:rPr>
                <w:rFonts w:cs="Arial"/>
                <w:b/>
                <w:sz w:val="18"/>
                <w:szCs w:val="18"/>
              </w:rPr>
            </w:pPr>
            <w:r w:rsidRPr="009960CB">
              <w:rPr>
                <w:rFonts w:cs="Arial"/>
                <w:b/>
                <w:sz w:val="18"/>
                <w:szCs w:val="18"/>
              </w:rPr>
              <w:t>Quality of care</w:t>
            </w:r>
          </w:p>
        </w:tc>
        <w:tc>
          <w:tcPr>
            <w:tcW w:w="3130" w:type="dxa"/>
            <w:gridSpan w:val="3"/>
            <w:tcBorders>
              <w:top w:val="single" w:sz="18" w:space="0" w:color="auto"/>
              <w:bottom w:val="single" w:sz="12" w:space="0" w:color="auto"/>
            </w:tcBorders>
          </w:tcPr>
          <w:p w14:paraId="5C78A6E1" w14:textId="77777777" w:rsidR="000923BB" w:rsidRPr="009960CB" w:rsidRDefault="000923BB" w:rsidP="003A385F">
            <w:pPr>
              <w:jc w:val="both"/>
              <w:rPr>
                <w:rFonts w:cs="Arial"/>
                <w:b/>
                <w:sz w:val="18"/>
                <w:szCs w:val="18"/>
              </w:rPr>
            </w:pPr>
            <w:r w:rsidRPr="009960CB">
              <w:rPr>
                <w:rFonts w:cs="Arial"/>
                <w:b/>
                <w:sz w:val="18"/>
                <w:szCs w:val="18"/>
              </w:rPr>
              <w:t>Care fell short of good practice</w:t>
            </w:r>
          </w:p>
        </w:tc>
        <w:tc>
          <w:tcPr>
            <w:tcW w:w="1257" w:type="dxa"/>
            <w:tcBorders>
              <w:top w:val="single" w:sz="18" w:space="0" w:color="auto"/>
              <w:bottom w:val="single" w:sz="12" w:space="0" w:color="auto"/>
            </w:tcBorders>
          </w:tcPr>
          <w:p w14:paraId="1BA6E919" w14:textId="77777777" w:rsidR="000923BB" w:rsidRPr="009960CB" w:rsidRDefault="000923BB" w:rsidP="003A385F">
            <w:pPr>
              <w:jc w:val="both"/>
              <w:rPr>
                <w:rFonts w:cs="Arial"/>
                <w:b/>
                <w:sz w:val="18"/>
                <w:szCs w:val="18"/>
              </w:rPr>
            </w:pPr>
            <w:r w:rsidRPr="009960CB">
              <w:rPr>
                <w:rFonts w:cs="Arial"/>
                <w:b/>
                <w:sz w:val="18"/>
                <w:szCs w:val="18"/>
              </w:rPr>
              <w:t xml:space="preserve">Satisfactory care </w:t>
            </w:r>
          </w:p>
        </w:tc>
        <w:tc>
          <w:tcPr>
            <w:tcW w:w="1774" w:type="dxa"/>
            <w:gridSpan w:val="2"/>
            <w:tcBorders>
              <w:top w:val="single" w:sz="18" w:space="0" w:color="auto"/>
              <w:bottom w:val="single" w:sz="12" w:space="0" w:color="auto"/>
            </w:tcBorders>
          </w:tcPr>
          <w:p w14:paraId="6D491203" w14:textId="77777777" w:rsidR="000923BB" w:rsidRPr="009960CB" w:rsidRDefault="000923BB" w:rsidP="003A385F">
            <w:pPr>
              <w:jc w:val="both"/>
              <w:rPr>
                <w:rFonts w:cs="Arial"/>
                <w:b/>
                <w:sz w:val="18"/>
                <w:szCs w:val="18"/>
              </w:rPr>
            </w:pPr>
            <w:r w:rsidRPr="009960CB">
              <w:rPr>
                <w:rFonts w:cs="Arial"/>
                <w:b/>
                <w:sz w:val="18"/>
                <w:szCs w:val="18"/>
              </w:rPr>
              <w:t>Good or better care</w:t>
            </w:r>
          </w:p>
        </w:tc>
        <w:tc>
          <w:tcPr>
            <w:tcW w:w="1223" w:type="dxa"/>
            <w:tcBorders>
              <w:top w:val="single" w:sz="18" w:space="0" w:color="auto"/>
              <w:bottom w:val="single" w:sz="12" w:space="0" w:color="auto"/>
              <w:right w:val="single" w:sz="18" w:space="0" w:color="auto"/>
            </w:tcBorders>
          </w:tcPr>
          <w:p w14:paraId="2744E431" w14:textId="77777777" w:rsidR="000923BB" w:rsidRPr="009960CB" w:rsidRDefault="000923BB" w:rsidP="003A385F">
            <w:pPr>
              <w:rPr>
                <w:rFonts w:cs="Arial"/>
                <w:b/>
                <w:sz w:val="18"/>
                <w:szCs w:val="18"/>
              </w:rPr>
            </w:pPr>
            <w:r w:rsidRPr="009960CB">
              <w:rPr>
                <w:rFonts w:cs="Arial"/>
                <w:b/>
                <w:sz w:val="18"/>
                <w:szCs w:val="18"/>
              </w:rPr>
              <w:t xml:space="preserve">Total numbers of reviews </w:t>
            </w:r>
          </w:p>
        </w:tc>
      </w:tr>
      <w:tr w:rsidR="000923BB" w:rsidRPr="009C5637" w14:paraId="29B3E68B" w14:textId="77777777" w:rsidTr="00E5549E">
        <w:tc>
          <w:tcPr>
            <w:tcW w:w="980" w:type="dxa"/>
            <w:tcBorders>
              <w:top w:val="single" w:sz="12" w:space="0" w:color="auto"/>
              <w:left w:val="single" w:sz="18" w:space="0" w:color="auto"/>
              <w:bottom w:val="single" w:sz="12" w:space="0" w:color="auto"/>
            </w:tcBorders>
          </w:tcPr>
          <w:p w14:paraId="3DD03A64" w14:textId="77777777" w:rsidR="000923BB" w:rsidRPr="009960CB" w:rsidRDefault="000923BB" w:rsidP="003A385F">
            <w:pPr>
              <w:rPr>
                <w:rFonts w:cs="Arial"/>
                <w:sz w:val="18"/>
                <w:szCs w:val="18"/>
              </w:rPr>
            </w:pPr>
            <w:r w:rsidRPr="009960CB">
              <w:rPr>
                <w:rFonts w:cs="Arial"/>
                <w:sz w:val="18"/>
                <w:szCs w:val="18"/>
              </w:rPr>
              <w:t>Quality of care scores</w:t>
            </w:r>
          </w:p>
        </w:tc>
        <w:tc>
          <w:tcPr>
            <w:tcW w:w="1480" w:type="dxa"/>
            <w:tcBorders>
              <w:top w:val="single" w:sz="12" w:space="0" w:color="auto"/>
              <w:bottom w:val="single" w:sz="12" w:space="0" w:color="auto"/>
            </w:tcBorders>
          </w:tcPr>
          <w:p w14:paraId="785CD223" w14:textId="77777777" w:rsidR="000923BB" w:rsidRPr="009960CB" w:rsidRDefault="000923BB" w:rsidP="003A385F">
            <w:pPr>
              <w:jc w:val="both"/>
              <w:rPr>
                <w:rFonts w:cs="Arial"/>
                <w:sz w:val="18"/>
                <w:szCs w:val="18"/>
              </w:rPr>
            </w:pPr>
            <w:r w:rsidRPr="009960CB">
              <w:rPr>
                <w:rFonts w:cs="Arial"/>
                <w:sz w:val="18"/>
                <w:szCs w:val="18"/>
              </w:rPr>
              <w:t>1 (unsatisfactory)</w:t>
            </w:r>
          </w:p>
        </w:tc>
        <w:tc>
          <w:tcPr>
            <w:tcW w:w="775" w:type="dxa"/>
            <w:tcBorders>
              <w:top w:val="single" w:sz="12" w:space="0" w:color="auto"/>
              <w:bottom w:val="single" w:sz="12" w:space="0" w:color="auto"/>
            </w:tcBorders>
          </w:tcPr>
          <w:p w14:paraId="1BF67151" w14:textId="77777777" w:rsidR="000923BB" w:rsidRPr="009960CB" w:rsidRDefault="000923BB" w:rsidP="003A385F">
            <w:pPr>
              <w:jc w:val="both"/>
              <w:rPr>
                <w:rFonts w:cs="Arial"/>
                <w:sz w:val="18"/>
                <w:szCs w:val="18"/>
              </w:rPr>
            </w:pPr>
            <w:r w:rsidRPr="009960CB">
              <w:rPr>
                <w:rFonts w:cs="Arial"/>
                <w:sz w:val="18"/>
                <w:szCs w:val="18"/>
              </w:rPr>
              <w:t>2</w:t>
            </w:r>
          </w:p>
        </w:tc>
        <w:tc>
          <w:tcPr>
            <w:tcW w:w="875" w:type="dxa"/>
            <w:tcBorders>
              <w:top w:val="single" w:sz="12" w:space="0" w:color="auto"/>
              <w:bottom w:val="single" w:sz="12" w:space="0" w:color="auto"/>
            </w:tcBorders>
          </w:tcPr>
          <w:p w14:paraId="5865F9C8" w14:textId="77777777" w:rsidR="000923BB" w:rsidRPr="009960CB" w:rsidRDefault="000923BB" w:rsidP="003A385F">
            <w:pPr>
              <w:jc w:val="both"/>
              <w:rPr>
                <w:rFonts w:cs="Arial"/>
                <w:sz w:val="18"/>
                <w:szCs w:val="18"/>
              </w:rPr>
            </w:pPr>
            <w:r w:rsidRPr="009960CB">
              <w:rPr>
                <w:rFonts w:cs="Arial"/>
                <w:sz w:val="18"/>
                <w:szCs w:val="18"/>
              </w:rPr>
              <w:t>3</w:t>
            </w:r>
          </w:p>
        </w:tc>
        <w:tc>
          <w:tcPr>
            <w:tcW w:w="1257" w:type="dxa"/>
            <w:tcBorders>
              <w:top w:val="single" w:sz="12" w:space="0" w:color="auto"/>
              <w:bottom w:val="single" w:sz="12" w:space="0" w:color="auto"/>
            </w:tcBorders>
          </w:tcPr>
          <w:p w14:paraId="5B2C40D3" w14:textId="77777777" w:rsidR="000923BB" w:rsidRPr="009960CB" w:rsidRDefault="000923BB" w:rsidP="003A385F">
            <w:pPr>
              <w:jc w:val="both"/>
              <w:rPr>
                <w:rFonts w:cs="Arial"/>
                <w:sz w:val="18"/>
                <w:szCs w:val="18"/>
              </w:rPr>
            </w:pPr>
            <w:r w:rsidRPr="009960CB">
              <w:rPr>
                <w:rFonts w:cs="Arial"/>
                <w:sz w:val="18"/>
                <w:szCs w:val="18"/>
              </w:rPr>
              <w:t>4</w:t>
            </w:r>
          </w:p>
        </w:tc>
        <w:tc>
          <w:tcPr>
            <w:tcW w:w="836" w:type="dxa"/>
            <w:tcBorders>
              <w:top w:val="single" w:sz="12" w:space="0" w:color="auto"/>
              <w:bottom w:val="single" w:sz="12" w:space="0" w:color="auto"/>
            </w:tcBorders>
          </w:tcPr>
          <w:p w14:paraId="4BBFD051" w14:textId="77777777" w:rsidR="000923BB" w:rsidRPr="009960CB" w:rsidRDefault="000923BB" w:rsidP="003A385F">
            <w:pPr>
              <w:jc w:val="both"/>
              <w:rPr>
                <w:rFonts w:cs="Arial"/>
                <w:sz w:val="18"/>
                <w:szCs w:val="18"/>
              </w:rPr>
            </w:pPr>
            <w:r w:rsidRPr="009960CB">
              <w:rPr>
                <w:rFonts w:cs="Arial"/>
                <w:sz w:val="18"/>
                <w:szCs w:val="18"/>
              </w:rPr>
              <w:t>5 (good)</w:t>
            </w:r>
          </w:p>
        </w:tc>
        <w:tc>
          <w:tcPr>
            <w:tcW w:w="938" w:type="dxa"/>
            <w:tcBorders>
              <w:top w:val="single" w:sz="12" w:space="0" w:color="auto"/>
              <w:bottom w:val="single" w:sz="12" w:space="0" w:color="auto"/>
            </w:tcBorders>
          </w:tcPr>
          <w:p w14:paraId="18A7A253" w14:textId="77777777" w:rsidR="000923BB" w:rsidRPr="009960CB" w:rsidRDefault="000923BB" w:rsidP="003A385F">
            <w:pPr>
              <w:jc w:val="both"/>
              <w:rPr>
                <w:rFonts w:cs="Arial"/>
                <w:sz w:val="18"/>
                <w:szCs w:val="18"/>
              </w:rPr>
            </w:pPr>
            <w:r w:rsidRPr="009960CB">
              <w:rPr>
                <w:rFonts w:cs="Arial"/>
                <w:sz w:val="18"/>
                <w:szCs w:val="18"/>
              </w:rPr>
              <w:t>6 (very best care)</w:t>
            </w:r>
          </w:p>
        </w:tc>
        <w:tc>
          <w:tcPr>
            <w:tcW w:w="1223" w:type="dxa"/>
            <w:tcBorders>
              <w:top w:val="single" w:sz="12" w:space="0" w:color="auto"/>
              <w:bottom w:val="single" w:sz="12" w:space="0" w:color="auto"/>
              <w:right w:val="single" w:sz="18" w:space="0" w:color="auto"/>
            </w:tcBorders>
          </w:tcPr>
          <w:p w14:paraId="720AF708" w14:textId="77777777" w:rsidR="000923BB" w:rsidRPr="009960CB" w:rsidRDefault="000923BB" w:rsidP="003A385F">
            <w:pPr>
              <w:jc w:val="both"/>
              <w:rPr>
                <w:rFonts w:cs="Arial"/>
                <w:sz w:val="18"/>
                <w:szCs w:val="18"/>
              </w:rPr>
            </w:pPr>
          </w:p>
        </w:tc>
      </w:tr>
      <w:tr w:rsidR="000923BB" w:rsidRPr="009C5637" w14:paraId="3757B7A7" w14:textId="77777777" w:rsidTr="00E5549E">
        <w:tc>
          <w:tcPr>
            <w:tcW w:w="980" w:type="dxa"/>
            <w:tcBorders>
              <w:top w:val="single" w:sz="12" w:space="0" w:color="auto"/>
              <w:left w:val="single" w:sz="18" w:space="0" w:color="auto"/>
            </w:tcBorders>
          </w:tcPr>
          <w:p w14:paraId="75A0270D" w14:textId="77777777" w:rsidR="000923BB" w:rsidRPr="009960CB" w:rsidRDefault="000923BB" w:rsidP="003A385F">
            <w:pPr>
              <w:rPr>
                <w:rFonts w:cs="Arial"/>
                <w:sz w:val="18"/>
                <w:szCs w:val="18"/>
              </w:rPr>
            </w:pPr>
            <w:r w:rsidRPr="009960CB">
              <w:rPr>
                <w:rFonts w:cs="Arial"/>
                <w:sz w:val="18"/>
                <w:szCs w:val="18"/>
              </w:rPr>
              <w:t>People  who died</w:t>
            </w:r>
            <w:r>
              <w:rPr>
                <w:rFonts w:cs="Arial"/>
                <w:sz w:val="18"/>
                <w:szCs w:val="18"/>
              </w:rPr>
              <w:t xml:space="preserve"> </w:t>
            </w:r>
            <w:r w:rsidRPr="009960CB">
              <w:rPr>
                <w:rFonts w:cs="Arial"/>
                <w:sz w:val="18"/>
                <w:szCs w:val="18"/>
              </w:rPr>
              <w:t>(%)</w:t>
            </w:r>
          </w:p>
        </w:tc>
        <w:tc>
          <w:tcPr>
            <w:tcW w:w="1480" w:type="dxa"/>
            <w:tcBorders>
              <w:top w:val="single" w:sz="12" w:space="0" w:color="auto"/>
            </w:tcBorders>
          </w:tcPr>
          <w:p w14:paraId="1C0725A5" w14:textId="77777777" w:rsidR="000923BB" w:rsidRPr="009960CB" w:rsidRDefault="000923BB" w:rsidP="003A385F">
            <w:pPr>
              <w:jc w:val="both"/>
              <w:rPr>
                <w:rFonts w:cs="Arial"/>
                <w:sz w:val="18"/>
                <w:szCs w:val="18"/>
              </w:rPr>
            </w:pPr>
            <w:r w:rsidRPr="009960CB">
              <w:rPr>
                <w:rFonts w:cs="Arial"/>
                <w:sz w:val="18"/>
                <w:szCs w:val="18"/>
              </w:rPr>
              <w:t xml:space="preserve">5 </w:t>
            </w:r>
          </w:p>
          <w:p w14:paraId="593BF199" w14:textId="77777777" w:rsidR="000923BB" w:rsidRPr="009960CB" w:rsidRDefault="000923BB" w:rsidP="003A385F">
            <w:pPr>
              <w:jc w:val="both"/>
              <w:rPr>
                <w:rFonts w:cs="Arial"/>
                <w:sz w:val="18"/>
                <w:szCs w:val="18"/>
              </w:rPr>
            </w:pPr>
            <w:r w:rsidRPr="009960CB">
              <w:rPr>
                <w:rFonts w:cs="Arial"/>
                <w:sz w:val="18"/>
                <w:szCs w:val="18"/>
              </w:rPr>
              <w:t>(4.3)</w:t>
            </w:r>
          </w:p>
        </w:tc>
        <w:tc>
          <w:tcPr>
            <w:tcW w:w="775" w:type="dxa"/>
            <w:tcBorders>
              <w:top w:val="single" w:sz="12" w:space="0" w:color="auto"/>
            </w:tcBorders>
          </w:tcPr>
          <w:p w14:paraId="6BB05F6F" w14:textId="77777777" w:rsidR="000923BB" w:rsidRPr="009960CB" w:rsidRDefault="000923BB" w:rsidP="003A385F">
            <w:pPr>
              <w:jc w:val="both"/>
              <w:rPr>
                <w:rFonts w:cs="Arial"/>
                <w:sz w:val="18"/>
                <w:szCs w:val="18"/>
              </w:rPr>
            </w:pPr>
            <w:r w:rsidRPr="009960CB">
              <w:rPr>
                <w:rFonts w:cs="Arial"/>
                <w:sz w:val="18"/>
                <w:szCs w:val="18"/>
              </w:rPr>
              <w:t>3</w:t>
            </w:r>
          </w:p>
          <w:p w14:paraId="684A11E5" w14:textId="77777777" w:rsidR="000923BB" w:rsidRPr="009960CB" w:rsidRDefault="000923BB" w:rsidP="003A385F">
            <w:pPr>
              <w:jc w:val="both"/>
              <w:rPr>
                <w:rFonts w:cs="Arial"/>
                <w:sz w:val="18"/>
                <w:szCs w:val="18"/>
              </w:rPr>
            </w:pPr>
            <w:r w:rsidRPr="009960CB">
              <w:rPr>
                <w:rFonts w:cs="Arial"/>
                <w:sz w:val="18"/>
                <w:szCs w:val="18"/>
              </w:rPr>
              <w:t xml:space="preserve"> (2.6)</w:t>
            </w:r>
          </w:p>
        </w:tc>
        <w:tc>
          <w:tcPr>
            <w:tcW w:w="875" w:type="dxa"/>
            <w:tcBorders>
              <w:top w:val="single" w:sz="12" w:space="0" w:color="auto"/>
            </w:tcBorders>
          </w:tcPr>
          <w:p w14:paraId="7C9D5FAB" w14:textId="77777777" w:rsidR="000923BB" w:rsidRPr="009960CB" w:rsidRDefault="000923BB" w:rsidP="003A385F">
            <w:pPr>
              <w:jc w:val="both"/>
              <w:rPr>
                <w:rFonts w:cs="Arial"/>
                <w:sz w:val="18"/>
                <w:szCs w:val="18"/>
              </w:rPr>
            </w:pPr>
            <w:r w:rsidRPr="009960CB">
              <w:rPr>
                <w:rFonts w:cs="Arial"/>
                <w:sz w:val="18"/>
                <w:szCs w:val="18"/>
              </w:rPr>
              <w:t xml:space="preserve">13 </w:t>
            </w:r>
          </w:p>
          <w:p w14:paraId="3C6C2F63" w14:textId="77777777" w:rsidR="000923BB" w:rsidRPr="009960CB" w:rsidRDefault="000923BB" w:rsidP="003A385F">
            <w:pPr>
              <w:jc w:val="both"/>
              <w:rPr>
                <w:rFonts w:cs="Arial"/>
                <w:sz w:val="18"/>
                <w:szCs w:val="18"/>
              </w:rPr>
            </w:pPr>
            <w:r w:rsidRPr="009960CB">
              <w:rPr>
                <w:rFonts w:cs="Arial"/>
                <w:sz w:val="18"/>
                <w:szCs w:val="18"/>
              </w:rPr>
              <w:t>(11.</w:t>
            </w:r>
            <w:r>
              <w:rPr>
                <w:rFonts w:cs="Arial"/>
                <w:sz w:val="18"/>
                <w:szCs w:val="18"/>
              </w:rPr>
              <w:t>1</w:t>
            </w:r>
            <w:r w:rsidRPr="009960CB">
              <w:rPr>
                <w:rFonts w:cs="Arial"/>
                <w:sz w:val="18"/>
                <w:szCs w:val="18"/>
              </w:rPr>
              <w:t>)</w:t>
            </w:r>
          </w:p>
        </w:tc>
        <w:tc>
          <w:tcPr>
            <w:tcW w:w="1257" w:type="dxa"/>
            <w:tcBorders>
              <w:top w:val="single" w:sz="12" w:space="0" w:color="auto"/>
            </w:tcBorders>
          </w:tcPr>
          <w:p w14:paraId="1D62C401" w14:textId="77777777" w:rsidR="000923BB" w:rsidRPr="009960CB" w:rsidRDefault="000923BB" w:rsidP="003A385F">
            <w:pPr>
              <w:jc w:val="both"/>
              <w:rPr>
                <w:rFonts w:cs="Arial"/>
                <w:sz w:val="18"/>
                <w:szCs w:val="18"/>
              </w:rPr>
            </w:pPr>
            <w:r w:rsidRPr="009960CB">
              <w:rPr>
                <w:rFonts w:cs="Arial"/>
                <w:sz w:val="18"/>
                <w:szCs w:val="18"/>
              </w:rPr>
              <w:t xml:space="preserve">32 </w:t>
            </w:r>
          </w:p>
          <w:p w14:paraId="71062870" w14:textId="77777777" w:rsidR="000923BB" w:rsidRPr="009960CB" w:rsidRDefault="000923BB" w:rsidP="003A385F">
            <w:pPr>
              <w:jc w:val="both"/>
              <w:rPr>
                <w:rFonts w:cs="Arial"/>
                <w:sz w:val="18"/>
                <w:szCs w:val="18"/>
              </w:rPr>
            </w:pPr>
            <w:r w:rsidRPr="009960CB">
              <w:rPr>
                <w:rFonts w:cs="Arial"/>
                <w:sz w:val="18"/>
                <w:szCs w:val="18"/>
              </w:rPr>
              <w:t>(27.</w:t>
            </w:r>
            <w:r>
              <w:rPr>
                <w:rFonts w:cs="Arial"/>
                <w:sz w:val="18"/>
                <w:szCs w:val="18"/>
              </w:rPr>
              <w:t>4</w:t>
            </w:r>
            <w:r w:rsidRPr="009960CB">
              <w:rPr>
                <w:rFonts w:cs="Arial"/>
                <w:sz w:val="18"/>
                <w:szCs w:val="18"/>
              </w:rPr>
              <w:t>)</w:t>
            </w:r>
          </w:p>
        </w:tc>
        <w:tc>
          <w:tcPr>
            <w:tcW w:w="836" w:type="dxa"/>
            <w:tcBorders>
              <w:top w:val="single" w:sz="12" w:space="0" w:color="auto"/>
            </w:tcBorders>
          </w:tcPr>
          <w:p w14:paraId="144A34DF" w14:textId="77777777" w:rsidR="000923BB" w:rsidRPr="009960CB" w:rsidRDefault="000923BB" w:rsidP="003A385F">
            <w:pPr>
              <w:jc w:val="both"/>
              <w:rPr>
                <w:rFonts w:cs="Arial"/>
                <w:sz w:val="18"/>
                <w:szCs w:val="18"/>
              </w:rPr>
            </w:pPr>
            <w:r w:rsidRPr="009960CB">
              <w:rPr>
                <w:rFonts w:cs="Arial"/>
                <w:sz w:val="18"/>
                <w:szCs w:val="18"/>
              </w:rPr>
              <w:t xml:space="preserve">40 </w:t>
            </w:r>
          </w:p>
          <w:p w14:paraId="7DDAFCF0" w14:textId="77777777" w:rsidR="000923BB" w:rsidRPr="009960CB" w:rsidRDefault="000923BB" w:rsidP="003A385F">
            <w:pPr>
              <w:jc w:val="both"/>
              <w:rPr>
                <w:rFonts w:cs="Arial"/>
                <w:sz w:val="18"/>
                <w:szCs w:val="18"/>
              </w:rPr>
            </w:pPr>
            <w:r w:rsidRPr="009960CB">
              <w:rPr>
                <w:rFonts w:cs="Arial"/>
                <w:sz w:val="18"/>
                <w:szCs w:val="18"/>
              </w:rPr>
              <w:t>(34.</w:t>
            </w:r>
            <w:r>
              <w:rPr>
                <w:rFonts w:cs="Arial"/>
                <w:sz w:val="18"/>
                <w:szCs w:val="18"/>
              </w:rPr>
              <w:t>1</w:t>
            </w:r>
            <w:r w:rsidRPr="009960CB">
              <w:rPr>
                <w:rFonts w:cs="Arial"/>
                <w:sz w:val="18"/>
                <w:szCs w:val="18"/>
              </w:rPr>
              <w:t>)</w:t>
            </w:r>
          </w:p>
        </w:tc>
        <w:tc>
          <w:tcPr>
            <w:tcW w:w="938" w:type="dxa"/>
            <w:tcBorders>
              <w:top w:val="single" w:sz="12" w:space="0" w:color="auto"/>
            </w:tcBorders>
          </w:tcPr>
          <w:p w14:paraId="552690A7" w14:textId="77777777" w:rsidR="000923BB" w:rsidRPr="009960CB" w:rsidRDefault="000923BB" w:rsidP="003A385F">
            <w:pPr>
              <w:jc w:val="both"/>
              <w:rPr>
                <w:rFonts w:cs="Arial"/>
                <w:sz w:val="18"/>
                <w:szCs w:val="18"/>
              </w:rPr>
            </w:pPr>
            <w:r w:rsidRPr="009960CB">
              <w:rPr>
                <w:rFonts w:cs="Arial"/>
                <w:sz w:val="18"/>
                <w:szCs w:val="18"/>
              </w:rPr>
              <w:t>2</w:t>
            </w:r>
            <w:r>
              <w:rPr>
                <w:rFonts w:cs="Arial"/>
                <w:sz w:val="18"/>
                <w:szCs w:val="18"/>
              </w:rPr>
              <w:t>4</w:t>
            </w:r>
          </w:p>
          <w:p w14:paraId="43882E1C" w14:textId="77777777" w:rsidR="000923BB" w:rsidRPr="009960CB" w:rsidRDefault="000923BB" w:rsidP="003A385F">
            <w:pPr>
              <w:jc w:val="both"/>
              <w:rPr>
                <w:rFonts w:cs="Arial"/>
                <w:sz w:val="18"/>
                <w:szCs w:val="18"/>
              </w:rPr>
            </w:pPr>
            <w:r w:rsidRPr="009960CB">
              <w:rPr>
                <w:rFonts w:cs="Arial"/>
                <w:sz w:val="18"/>
                <w:szCs w:val="18"/>
              </w:rPr>
              <w:t>(</w:t>
            </w:r>
            <w:r>
              <w:rPr>
                <w:rFonts w:cs="Arial"/>
                <w:sz w:val="18"/>
                <w:szCs w:val="18"/>
              </w:rPr>
              <w:t>20.5</w:t>
            </w:r>
            <w:r w:rsidRPr="009960CB">
              <w:rPr>
                <w:rFonts w:cs="Arial"/>
                <w:sz w:val="18"/>
                <w:szCs w:val="18"/>
              </w:rPr>
              <w:t>)</w:t>
            </w:r>
          </w:p>
        </w:tc>
        <w:tc>
          <w:tcPr>
            <w:tcW w:w="1223" w:type="dxa"/>
            <w:tcBorders>
              <w:top w:val="single" w:sz="12" w:space="0" w:color="auto"/>
              <w:right w:val="single" w:sz="18" w:space="0" w:color="auto"/>
            </w:tcBorders>
          </w:tcPr>
          <w:p w14:paraId="5A5DC109" w14:textId="77777777" w:rsidR="000923BB" w:rsidRPr="009960CB" w:rsidRDefault="000923BB" w:rsidP="003A385F">
            <w:pPr>
              <w:jc w:val="both"/>
              <w:rPr>
                <w:rFonts w:cs="Arial"/>
                <w:sz w:val="18"/>
                <w:szCs w:val="18"/>
              </w:rPr>
            </w:pPr>
            <w:r w:rsidRPr="009960CB">
              <w:rPr>
                <w:rFonts w:cs="Arial"/>
                <w:sz w:val="18"/>
                <w:szCs w:val="18"/>
              </w:rPr>
              <w:t>11</w:t>
            </w:r>
            <w:r>
              <w:rPr>
                <w:rFonts w:cs="Arial"/>
                <w:sz w:val="18"/>
                <w:szCs w:val="18"/>
              </w:rPr>
              <w:t>7</w:t>
            </w:r>
            <w:r w:rsidRPr="009960CB">
              <w:rPr>
                <w:rFonts w:cs="Arial"/>
                <w:sz w:val="18"/>
                <w:szCs w:val="18"/>
              </w:rPr>
              <w:t>*</w:t>
            </w:r>
          </w:p>
          <w:p w14:paraId="59C36071" w14:textId="77777777" w:rsidR="000923BB" w:rsidRPr="009960CB" w:rsidRDefault="000923BB" w:rsidP="003A385F">
            <w:pPr>
              <w:jc w:val="both"/>
              <w:rPr>
                <w:rFonts w:cs="Arial"/>
                <w:sz w:val="18"/>
                <w:szCs w:val="18"/>
              </w:rPr>
            </w:pPr>
            <w:r w:rsidRPr="009960CB">
              <w:rPr>
                <w:rFonts w:cs="Arial"/>
                <w:sz w:val="18"/>
                <w:szCs w:val="18"/>
              </w:rPr>
              <w:t>(100%)</w:t>
            </w:r>
          </w:p>
        </w:tc>
      </w:tr>
      <w:tr w:rsidR="000923BB" w:rsidRPr="009C5637" w14:paraId="36CF2512" w14:textId="77777777" w:rsidTr="00E5549E">
        <w:trPr>
          <w:trHeight w:val="919"/>
        </w:trPr>
        <w:tc>
          <w:tcPr>
            <w:tcW w:w="980" w:type="dxa"/>
            <w:tcBorders>
              <w:left w:val="single" w:sz="18" w:space="0" w:color="auto"/>
              <w:bottom w:val="single" w:sz="18" w:space="0" w:color="auto"/>
            </w:tcBorders>
          </w:tcPr>
          <w:p w14:paraId="3B2D4B06" w14:textId="77777777" w:rsidR="000923BB" w:rsidRDefault="000923BB" w:rsidP="003A385F">
            <w:pPr>
              <w:rPr>
                <w:rFonts w:cs="Arial"/>
                <w:sz w:val="18"/>
                <w:szCs w:val="18"/>
              </w:rPr>
            </w:pPr>
            <w:r w:rsidRPr="009960CB">
              <w:rPr>
                <w:rFonts w:cs="Arial"/>
                <w:sz w:val="18"/>
                <w:szCs w:val="18"/>
              </w:rPr>
              <w:t>People who survived</w:t>
            </w:r>
            <w:r>
              <w:rPr>
                <w:rFonts w:cs="Arial"/>
                <w:sz w:val="18"/>
                <w:szCs w:val="18"/>
              </w:rPr>
              <w:t xml:space="preserve">  (%)         </w:t>
            </w:r>
          </w:p>
          <w:p w14:paraId="53A3F859" w14:textId="77777777" w:rsidR="000923BB" w:rsidRPr="009960CB" w:rsidRDefault="000923BB" w:rsidP="003A385F">
            <w:pPr>
              <w:rPr>
                <w:rFonts w:cs="Arial"/>
                <w:sz w:val="18"/>
                <w:szCs w:val="18"/>
              </w:rPr>
            </w:pPr>
          </w:p>
        </w:tc>
        <w:tc>
          <w:tcPr>
            <w:tcW w:w="1480" w:type="dxa"/>
            <w:tcBorders>
              <w:bottom w:val="single" w:sz="18" w:space="0" w:color="auto"/>
            </w:tcBorders>
          </w:tcPr>
          <w:p w14:paraId="547B5FFF" w14:textId="77777777" w:rsidR="000923BB" w:rsidRPr="009960CB" w:rsidRDefault="000923BB" w:rsidP="003A385F">
            <w:pPr>
              <w:jc w:val="both"/>
              <w:rPr>
                <w:rFonts w:cs="Arial"/>
                <w:sz w:val="18"/>
                <w:szCs w:val="18"/>
              </w:rPr>
            </w:pPr>
            <w:r w:rsidRPr="009960CB">
              <w:rPr>
                <w:rFonts w:cs="Arial"/>
                <w:sz w:val="18"/>
                <w:szCs w:val="18"/>
              </w:rPr>
              <w:t xml:space="preserve">59 </w:t>
            </w:r>
          </w:p>
          <w:p w14:paraId="1C1EA888" w14:textId="77777777" w:rsidR="000923BB" w:rsidRDefault="000923BB" w:rsidP="003A385F">
            <w:pPr>
              <w:jc w:val="both"/>
              <w:rPr>
                <w:rFonts w:cs="Arial"/>
                <w:sz w:val="18"/>
                <w:szCs w:val="18"/>
              </w:rPr>
            </w:pPr>
            <w:r w:rsidRPr="009960CB">
              <w:rPr>
                <w:rFonts w:cs="Arial"/>
                <w:sz w:val="18"/>
                <w:szCs w:val="18"/>
              </w:rPr>
              <w:t>(4.1)</w:t>
            </w:r>
          </w:p>
          <w:p w14:paraId="5F343CA6" w14:textId="77777777" w:rsidR="000923BB" w:rsidRPr="009960CB" w:rsidRDefault="000923BB" w:rsidP="003A385F">
            <w:pPr>
              <w:jc w:val="both"/>
              <w:rPr>
                <w:rFonts w:cs="Arial"/>
                <w:sz w:val="18"/>
                <w:szCs w:val="18"/>
              </w:rPr>
            </w:pPr>
          </w:p>
        </w:tc>
        <w:tc>
          <w:tcPr>
            <w:tcW w:w="775" w:type="dxa"/>
            <w:tcBorders>
              <w:bottom w:val="single" w:sz="18" w:space="0" w:color="auto"/>
            </w:tcBorders>
          </w:tcPr>
          <w:p w14:paraId="7207A4F0" w14:textId="77777777" w:rsidR="000923BB" w:rsidRPr="009960CB" w:rsidRDefault="000923BB" w:rsidP="003A385F">
            <w:pPr>
              <w:jc w:val="both"/>
              <w:rPr>
                <w:rFonts w:cs="Arial"/>
                <w:sz w:val="18"/>
                <w:szCs w:val="18"/>
              </w:rPr>
            </w:pPr>
            <w:r w:rsidRPr="009960CB">
              <w:rPr>
                <w:rFonts w:cs="Arial"/>
                <w:sz w:val="18"/>
                <w:szCs w:val="18"/>
              </w:rPr>
              <w:t xml:space="preserve">97 </w:t>
            </w:r>
          </w:p>
          <w:p w14:paraId="2A4F75F6" w14:textId="77777777" w:rsidR="000923BB" w:rsidRPr="009960CB" w:rsidRDefault="000923BB" w:rsidP="003A385F">
            <w:pPr>
              <w:jc w:val="both"/>
              <w:rPr>
                <w:rFonts w:cs="Arial"/>
                <w:sz w:val="18"/>
                <w:szCs w:val="18"/>
              </w:rPr>
            </w:pPr>
            <w:r w:rsidRPr="009960CB">
              <w:rPr>
                <w:rFonts w:cs="Arial"/>
                <w:sz w:val="18"/>
                <w:szCs w:val="18"/>
              </w:rPr>
              <w:t>(6.7)</w:t>
            </w:r>
          </w:p>
        </w:tc>
        <w:tc>
          <w:tcPr>
            <w:tcW w:w="875" w:type="dxa"/>
            <w:tcBorders>
              <w:bottom w:val="single" w:sz="18" w:space="0" w:color="auto"/>
            </w:tcBorders>
          </w:tcPr>
          <w:p w14:paraId="456D3210" w14:textId="77777777" w:rsidR="000923BB" w:rsidRPr="009960CB" w:rsidRDefault="000923BB" w:rsidP="003A385F">
            <w:pPr>
              <w:jc w:val="both"/>
              <w:rPr>
                <w:rFonts w:cs="Arial"/>
                <w:sz w:val="18"/>
                <w:szCs w:val="18"/>
              </w:rPr>
            </w:pPr>
            <w:r w:rsidRPr="009960CB">
              <w:rPr>
                <w:rFonts w:cs="Arial"/>
                <w:sz w:val="18"/>
                <w:szCs w:val="18"/>
              </w:rPr>
              <w:t xml:space="preserve">134 </w:t>
            </w:r>
          </w:p>
          <w:p w14:paraId="09266589" w14:textId="77777777" w:rsidR="000923BB" w:rsidRPr="009960CB" w:rsidRDefault="000923BB" w:rsidP="003A385F">
            <w:pPr>
              <w:jc w:val="both"/>
              <w:rPr>
                <w:rFonts w:cs="Arial"/>
                <w:sz w:val="18"/>
                <w:szCs w:val="18"/>
              </w:rPr>
            </w:pPr>
            <w:r w:rsidRPr="009960CB">
              <w:rPr>
                <w:rFonts w:cs="Arial"/>
                <w:sz w:val="18"/>
                <w:szCs w:val="18"/>
              </w:rPr>
              <w:t>(9.3)</w:t>
            </w:r>
          </w:p>
        </w:tc>
        <w:tc>
          <w:tcPr>
            <w:tcW w:w="1257" w:type="dxa"/>
            <w:tcBorders>
              <w:bottom w:val="single" w:sz="18" w:space="0" w:color="auto"/>
            </w:tcBorders>
          </w:tcPr>
          <w:p w14:paraId="2111E474" w14:textId="77777777" w:rsidR="000923BB" w:rsidRPr="009960CB" w:rsidRDefault="000923BB" w:rsidP="003A385F">
            <w:pPr>
              <w:jc w:val="both"/>
              <w:rPr>
                <w:rFonts w:cs="Arial"/>
                <w:sz w:val="18"/>
                <w:szCs w:val="18"/>
              </w:rPr>
            </w:pPr>
            <w:r w:rsidRPr="009960CB">
              <w:rPr>
                <w:rFonts w:cs="Arial"/>
                <w:sz w:val="18"/>
                <w:szCs w:val="18"/>
              </w:rPr>
              <w:t xml:space="preserve">288  </w:t>
            </w:r>
          </w:p>
          <w:p w14:paraId="46760C02" w14:textId="77777777" w:rsidR="000923BB" w:rsidRPr="009960CB" w:rsidRDefault="000923BB" w:rsidP="003A385F">
            <w:pPr>
              <w:jc w:val="both"/>
              <w:rPr>
                <w:rFonts w:cs="Arial"/>
                <w:sz w:val="18"/>
                <w:szCs w:val="18"/>
              </w:rPr>
            </w:pPr>
            <w:r w:rsidRPr="009960CB">
              <w:rPr>
                <w:rFonts w:cs="Arial"/>
                <w:sz w:val="18"/>
                <w:szCs w:val="18"/>
              </w:rPr>
              <w:t>(19.9)</w:t>
            </w:r>
          </w:p>
        </w:tc>
        <w:tc>
          <w:tcPr>
            <w:tcW w:w="836" w:type="dxa"/>
            <w:tcBorders>
              <w:bottom w:val="single" w:sz="18" w:space="0" w:color="auto"/>
            </w:tcBorders>
          </w:tcPr>
          <w:p w14:paraId="39B788B6" w14:textId="77777777" w:rsidR="000923BB" w:rsidRPr="009960CB" w:rsidRDefault="000923BB" w:rsidP="003A385F">
            <w:pPr>
              <w:jc w:val="both"/>
              <w:rPr>
                <w:rFonts w:cs="Arial"/>
                <w:sz w:val="18"/>
                <w:szCs w:val="18"/>
              </w:rPr>
            </w:pPr>
            <w:r w:rsidRPr="009960CB">
              <w:rPr>
                <w:rFonts w:cs="Arial"/>
                <w:sz w:val="18"/>
                <w:szCs w:val="18"/>
              </w:rPr>
              <w:t>640</w:t>
            </w:r>
          </w:p>
          <w:p w14:paraId="51047BBE" w14:textId="77777777" w:rsidR="000923BB" w:rsidRPr="009960CB" w:rsidRDefault="000923BB" w:rsidP="003A385F">
            <w:pPr>
              <w:jc w:val="both"/>
              <w:rPr>
                <w:rFonts w:cs="Arial"/>
                <w:sz w:val="18"/>
                <w:szCs w:val="18"/>
              </w:rPr>
            </w:pPr>
            <w:r w:rsidRPr="009960CB">
              <w:rPr>
                <w:rFonts w:cs="Arial"/>
                <w:sz w:val="18"/>
                <w:szCs w:val="18"/>
              </w:rPr>
              <w:t>(44.2)</w:t>
            </w:r>
          </w:p>
        </w:tc>
        <w:tc>
          <w:tcPr>
            <w:tcW w:w="938" w:type="dxa"/>
            <w:tcBorders>
              <w:bottom w:val="single" w:sz="18" w:space="0" w:color="auto"/>
            </w:tcBorders>
          </w:tcPr>
          <w:p w14:paraId="340C08C2" w14:textId="77777777" w:rsidR="000923BB" w:rsidRPr="009960CB" w:rsidRDefault="000923BB" w:rsidP="003A385F">
            <w:pPr>
              <w:jc w:val="both"/>
              <w:rPr>
                <w:rFonts w:cs="Arial"/>
                <w:sz w:val="18"/>
                <w:szCs w:val="18"/>
              </w:rPr>
            </w:pPr>
            <w:r w:rsidRPr="009960CB">
              <w:rPr>
                <w:rFonts w:cs="Arial"/>
                <w:sz w:val="18"/>
                <w:szCs w:val="18"/>
              </w:rPr>
              <w:t>229</w:t>
            </w:r>
          </w:p>
          <w:p w14:paraId="4CB8C10F" w14:textId="77777777" w:rsidR="000923BB" w:rsidRPr="009960CB" w:rsidRDefault="000923BB" w:rsidP="003A385F">
            <w:pPr>
              <w:jc w:val="both"/>
              <w:rPr>
                <w:rFonts w:cs="Arial"/>
                <w:sz w:val="18"/>
                <w:szCs w:val="18"/>
              </w:rPr>
            </w:pPr>
            <w:r w:rsidRPr="009960CB">
              <w:rPr>
                <w:rFonts w:cs="Arial"/>
                <w:sz w:val="18"/>
                <w:szCs w:val="18"/>
              </w:rPr>
              <w:t>(15.8)</w:t>
            </w:r>
          </w:p>
        </w:tc>
        <w:tc>
          <w:tcPr>
            <w:tcW w:w="1223" w:type="dxa"/>
            <w:tcBorders>
              <w:bottom w:val="single" w:sz="18" w:space="0" w:color="auto"/>
              <w:right w:val="single" w:sz="18" w:space="0" w:color="auto"/>
            </w:tcBorders>
          </w:tcPr>
          <w:p w14:paraId="66D33A55" w14:textId="77777777" w:rsidR="000923BB" w:rsidRPr="009960CB" w:rsidRDefault="000923BB" w:rsidP="003A385F">
            <w:pPr>
              <w:jc w:val="both"/>
              <w:rPr>
                <w:rFonts w:cs="Arial"/>
                <w:sz w:val="18"/>
                <w:szCs w:val="18"/>
              </w:rPr>
            </w:pPr>
            <w:r w:rsidRPr="009960CB">
              <w:rPr>
                <w:rFonts w:cs="Arial"/>
                <w:sz w:val="18"/>
                <w:szCs w:val="18"/>
              </w:rPr>
              <w:t xml:space="preserve">1447* </w:t>
            </w:r>
          </w:p>
          <w:p w14:paraId="5071BF92" w14:textId="77777777" w:rsidR="000923BB" w:rsidRPr="009960CB" w:rsidRDefault="000923BB" w:rsidP="003A385F">
            <w:pPr>
              <w:jc w:val="both"/>
              <w:rPr>
                <w:rFonts w:cs="Arial"/>
                <w:sz w:val="18"/>
                <w:szCs w:val="18"/>
              </w:rPr>
            </w:pPr>
            <w:r w:rsidRPr="009960CB">
              <w:rPr>
                <w:rFonts w:cs="Arial"/>
                <w:sz w:val="18"/>
                <w:szCs w:val="18"/>
              </w:rPr>
              <w:t xml:space="preserve">(100%) </w:t>
            </w:r>
          </w:p>
        </w:tc>
      </w:tr>
    </w:tbl>
    <w:p w14:paraId="43CE05FF" w14:textId="77777777" w:rsidR="000923BB" w:rsidRPr="00333C2A" w:rsidRDefault="000923BB" w:rsidP="000923BB">
      <w:pPr>
        <w:jc w:val="both"/>
        <w:rPr>
          <w:rFonts w:cs="Arial"/>
          <w:sz w:val="18"/>
          <w:szCs w:val="18"/>
        </w:rPr>
      </w:pPr>
      <w:r w:rsidRPr="00254A07">
        <w:rPr>
          <w:rFonts w:eastAsia="Arial" w:cs="Arial"/>
          <w:sz w:val="18"/>
          <w:szCs w:val="18"/>
        </w:rPr>
        <w:t>(</w:t>
      </w:r>
      <w:r w:rsidRPr="00254A07">
        <w:rPr>
          <w:rFonts w:eastAsia="Arial" w:cs="Arial"/>
          <w:sz w:val="18"/>
          <w:szCs w:val="18"/>
        </w:rPr>
        <w:sym w:font="Symbol" w:char="F063"/>
      </w:r>
      <w:r w:rsidRPr="00254A07">
        <w:rPr>
          <w:rFonts w:eastAsia="Arial" w:cs="Arial"/>
          <w:sz w:val="18"/>
          <w:szCs w:val="18"/>
          <w:vertAlign w:val="superscript"/>
        </w:rPr>
        <w:t>2</w:t>
      </w:r>
      <w:r w:rsidRPr="00254A07">
        <w:rPr>
          <w:rFonts w:eastAsia="Arial" w:cs="Arial"/>
          <w:sz w:val="18"/>
          <w:szCs w:val="18"/>
        </w:rPr>
        <w:t>=9.800; degrees of freedom (df)=5; p=0.0811).</w:t>
      </w:r>
    </w:p>
    <w:p w14:paraId="51C8D509" w14:textId="77777777" w:rsidR="000923BB" w:rsidRPr="00E63512" w:rsidRDefault="000923BB" w:rsidP="000923BB">
      <w:pPr>
        <w:jc w:val="both"/>
        <w:rPr>
          <w:rFonts w:cs="Arial"/>
          <w:sz w:val="18"/>
          <w:szCs w:val="18"/>
        </w:rPr>
      </w:pPr>
      <w:r>
        <w:rPr>
          <w:rFonts w:cs="Arial"/>
        </w:rPr>
        <w:t>*</w:t>
      </w:r>
      <w:r w:rsidRPr="00254A07">
        <w:rPr>
          <w:rFonts w:cs="Arial"/>
          <w:sz w:val="18"/>
          <w:szCs w:val="18"/>
        </w:rPr>
        <w:t>Two cases from the group of 119 people are not included in this analysis due to incomplete data.  Both had phase scores of five or six with no negative comments but for each the overall care score was missing, so they could not be grouped by overall care score.</w:t>
      </w:r>
    </w:p>
    <w:p w14:paraId="20A1AC76" w14:textId="77777777" w:rsidR="008D0A20" w:rsidRDefault="008D0A20" w:rsidP="000923BB">
      <w:pPr>
        <w:jc w:val="both"/>
        <w:rPr>
          <w:rFonts w:cs="Arial"/>
          <w:b/>
          <w:sz w:val="22"/>
          <w:szCs w:val="22"/>
        </w:rPr>
      </w:pPr>
    </w:p>
    <w:p w14:paraId="7561FDCF" w14:textId="77777777" w:rsidR="008D0A20" w:rsidRDefault="008D0A20" w:rsidP="000923BB">
      <w:pPr>
        <w:jc w:val="both"/>
        <w:rPr>
          <w:rFonts w:cs="Arial"/>
          <w:b/>
          <w:sz w:val="22"/>
          <w:szCs w:val="22"/>
        </w:rPr>
      </w:pPr>
    </w:p>
    <w:p w14:paraId="4B52F153" w14:textId="77777777" w:rsidR="000923BB" w:rsidRPr="001C5D08" w:rsidRDefault="000923BB" w:rsidP="000923BB">
      <w:pPr>
        <w:jc w:val="both"/>
        <w:rPr>
          <w:rFonts w:cs="Arial"/>
          <w:b/>
          <w:sz w:val="22"/>
          <w:szCs w:val="22"/>
        </w:rPr>
      </w:pPr>
      <w:r w:rsidRPr="001C5D08">
        <w:rPr>
          <w:rFonts w:cs="Arial"/>
          <w:b/>
          <w:sz w:val="22"/>
          <w:szCs w:val="22"/>
        </w:rPr>
        <w:lastRenderedPageBreak/>
        <w:t>Relationship of positive and negative comments to overall care scores</w:t>
      </w:r>
    </w:p>
    <w:p w14:paraId="4800D232" w14:textId="77777777" w:rsidR="000923BB" w:rsidRPr="001C5D08" w:rsidRDefault="000923BB" w:rsidP="000923BB">
      <w:pPr>
        <w:jc w:val="both"/>
        <w:rPr>
          <w:rFonts w:eastAsia="Arial" w:cs="Arial"/>
          <w:sz w:val="22"/>
          <w:szCs w:val="22"/>
        </w:rPr>
      </w:pPr>
      <w:r w:rsidRPr="001C5D08">
        <w:rPr>
          <w:rFonts w:cs="Arial"/>
          <w:sz w:val="22"/>
          <w:szCs w:val="22"/>
        </w:rPr>
        <w:t xml:space="preserve">Table 2 summarises the relationship between the overall care score for each case and the types of comment (whether positive or negative judgements) provided by the reviewers for each of the phases and for overall care.  </w:t>
      </w:r>
      <w:r w:rsidRPr="001C5D08">
        <w:rPr>
          <w:rFonts w:eastAsia="Arial" w:cs="Arial"/>
          <w:sz w:val="22"/>
          <w:szCs w:val="22"/>
        </w:rPr>
        <w:t>There was a significant association between the total number of positive and negative comments and the overall scores (</w:t>
      </w:r>
      <w:r w:rsidRPr="001C5D08">
        <w:rPr>
          <w:rFonts w:eastAsia="Arial" w:cs="Arial"/>
          <w:sz w:val="22"/>
          <w:szCs w:val="22"/>
        </w:rPr>
        <w:sym w:font="Symbol" w:char="F063"/>
      </w:r>
      <w:r w:rsidRPr="001C5D08">
        <w:rPr>
          <w:rFonts w:eastAsia="Arial" w:cs="Arial"/>
          <w:sz w:val="22"/>
          <w:szCs w:val="22"/>
          <w:vertAlign w:val="superscript"/>
        </w:rPr>
        <w:t>2</w:t>
      </w:r>
      <w:r w:rsidRPr="001C5D08">
        <w:rPr>
          <w:rFonts w:eastAsia="Arial" w:cs="Arial"/>
          <w:sz w:val="22"/>
          <w:szCs w:val="22"/>
        </w:rPr>
        <w:t xml:space="preserve">=205.50; df=5; p&lt;0.0001). </w:t>
      </w:r>
    </w:p>
    <w:p w14:paraId="628CA838" w14:textId="77777777" w:rsidR="000923BB" w:rsidRPr="001C5D08" w:rsidRDefault="000923BB" w:rsidP="000923BB">
      <w:pPr>
        <w:jc w:val="both"/>
        <w:rPr>
          <w:rFonts w:cs="Arial"/>
          <w:sz w:val="22"/>
          <w:szCs w:val="22"/>
        </w:rPr>
      </w:pPr>
      <w:r w:rsidRPr="001C5D08">
        <w:rPr>
          <w:rFonts w:cs="Arial"/>
          <w:sz w:val="22"/>
          <w:szCs w:val="22"/>
        </w:rPr>
        <w:t xml:space="preserve">In the care score range unsatisfactory (one) to falling short of best practice (three), the proportion of negative comments outweighs the positive comments. When the care is rated from satisfactory (four) to very best care (six) the positive comments increasingly outweigh the negative.  Generally, the positive to negative ratio of comments for each phase remains stable across each overall group score band.  So where the overall score is three or less, across each of the phases there are more negative comments than there are positive comments, and the reverse is true for the summary of the higher scores, indicating that the reviewer judgements are generally consistent with the overall score that was given. The ratios of positive to negative comments ranges between 0.28 for overall care score one to 21.17 for those cases grouped by overall care score six.  </w:t>
      </w:r>
    </w:p>
    <w:p w14:paraId="491E674D" w14:textId="77777777" w:rsidR="001C5D08" w:rsidRDefault="001C5D08" w:rsidP="000923BB">
      <w:pPr>
        <w:jc w:val="both"/>
        <w:rPr>
          <w:rFonts w:cs="Arial"/>
          <w:b/>
          <w:sz w:val="22"/>
          <w:szCs w:val="22"/>
        </w:rPr>
      </w:pPr>
    </w:p>
    <w:p w14:paraId="2E6DD196" w14:textId="77777777" w:rsidR="000923BB" w:rsidRPr="001C5D08" w:rsidRDefault="000923BB" w:rsidP="000923BB">
      <w:pPr>
        <w:jc w:val="both"/>
        <w:rPr>
          <w:rFonts w:cs="Arial"/>
          <w:sz w:val="22"/>
          <w:szCs w:val="22"/>
        </w:rPr>
      </w:pPr>
      <w:r w:rsidRPr="001C5D08">
        <w:rPr>
          <w:rFonts w:cs="Arial"/>
          <w:b/>
          <w:sz w:val="22"/>
          <w:szCs w:val="22"/>
        </w:rPr>
        <w:t>Table 2</w:t>
      </w:r>
      <w:r w:rsidRPr="001C5D08">
        <w:rPr>
          <w:rFonts w:cs="Arial"/>
          <w:sz w:val="22"/>
          <w:szCs w:val="22"/>
        </w:rPr>
        <w:t xml:space="preserve"> </w:t>
      </w:r>
      <w:r w:rsidRPr="001C5D08">
        <w:rPr>
          <w:rFonts w:cs="Arial"/>
          <w:b/>
          <w:sz w:val="22"/>
          <w:szCs w:val="22"/>
        </w:rPr>
        <w:t>Numbers of positive and negative comments per overall score</w:t>
      </w:r>
      <w:r w:rsidRPr="001C5D08">
        <w:rPr>
          <w:rFonts w:cs="Arial"/>
          <w:sz w:val="22"/>
          <w:szCs w:val="22"/>
        </w:rPr>
        <w:t xml:space="preserve"> </w:t>
      </w:r>
    </w:p>
    <w:tbl>
      <w:tblPr>
        <w:tblW w:w="83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9"/>
        <w:gridCol w:w="617"/>
        <w:gridCol w:w="597"/>
        <w:gridCol w:w="618"/>
        <w:gridCol w:w="713"/>
        <w:gridCol w:w="638"/>
        <w:gridCol w:w="643"/>
        <w:gridCol w:w="675"/>
        <w:gridCol w:w="597"/>
        <w:gridCol w:w="691"/>
        <w:gridCol w:w="597"/>
        <w:gridCol w:w="957"/>
      </w:tblGrid>
      <w:tr w:rsidR="000923BB" w:rsidRPr="006538C4" w14:paraId="4F8942BF" w14:textId="77777777" w:rsidTr="00E5549E">
        <w:trPr>
          <w:trHeight w:val="1373"/>
        </w:trPr>
        <w:tc>
          <w:tcPr>
            <w:tcW w:w="1018" w:type="dxa"/>
            <w:tcBorders>
              <w:top w:val="single" w:sz="18" w:space="0" w:color="auto"/>
              <w:left w:val="single" w:sz="18" w:space="0" w:color="auto"/>
              <w:right w:val="single" w:sz="18" w:space="0" w:color="auto"/>
            </w:tcBorders>
          </w:tcPr>
          <w:p w14:paraId="460E2E73" w14:textId="77777777" w:rsidR="000923BB" w:rsidRPr="00AC0C56" w:rsidRDefault="000923BB" w:rsidP="003A385F">
            <w:pPr>
              <w:spacing w:after="0" w:line="240" w:lineRule="auto"/>
              <w:jc w:val="both"/>
              <w:rPr>
                <w:rFonts w:cs="Arial"/>
                <w:sz w:val="18"/>
                <w:szCs w:val="18"/>
              </w:rPr>
            </w:pPr>
            <w:r w:rsidRPr="00AC0C56">
              <w:rPr>
                <w:rFonts w:cs="Arial"/>
                <w:sz w:val="18"/>
                <w:szCs w:val="18"/>
              </w:rPr>
              <w:t xml:space="preserve">Overall score </w:t>
            </w:r>
          </w:p>
          <w:p w14:paraId="2918CC25" w14:textId="77777777" w:rsidR="000923BB" w:rsidRPr="00AC0C56" w:rsidRDefault="000923BB" w:rsidP="003A385F">
            <w:pPr>
              <w:spacing w:after="0" w:line="240" w:lineRule="auto"/>
              <w:jc w:val="both"/>
              <w:rPr>
                <w:rFonts w:cs="Arial"/>
                <w:sz w:val="18"/>
                <w:szCs w:val="18"/>
              </w:rPr>
            </w:pPr>
            <w:r w:rsidRPr="00AC0C56">
              <w:rPr>
                <w:rFonts w:cs="Arial"/>
                <w:sz w:val="18"/>
                <w:szCs w:val="18"/>
              </w:rPr>
              <w:t>(N cases)</w:t>
            </w:r>
          </w:p>
          <w:p w14:paraId="375C5D2A" w14:textId="77777777" w:rsidR="000923BB" w:rsidRPr="00AC0C56" w:rsidRDefault="000923BB" w:rsidP="003A385F">
            <w:pPr>
              <w:spacing w:after="0" w:line="240" w:lineRule="auto"/>
              <w:jc w:val="both"/>
              <w:rPr>
                <w:rFonts w:cs="Arial"/>
                <w:sz w:val="18"/>
                <w:szCs w:val="18"/>
              </w:rPr>
            </w:pPr>
          </w:p>
        </w:tc>
        <w:tc>
          <w:tcPr>
            <w:tcW w:w="1214" w:type="dxa"/>
            <w:gridSpan w:val="2"/>
            <w:tcBorders>
              <w:top w:val="single" w:sz="18" w:space="0" w:color="auto"/>
              <w:left w:val="single" w:sz="18" w:space="0" w:color="auto"/>
              <w:right w:val="single" w:sz="18" w:space="0" w:color="auto"/>
            </w:tcBorders>
          </w:tcPr>
          <w:p w14:paraId="6D6EF729" w14:textId="77777777" w:rsidR="000923BB" w:rsidRPr="00AC0C56" w:rsidRDefault="000923BB" w:rsidP="003A385F">
            <w:pPr>
              <w:spacing w:after="0" w:line="240" w:lineRule="auto"/>
              <w:rPr>
                <w:rFonts w:cs="Arial"/>
                <w:sz w:val="18"/>
                <w:szCs w:val="18"/>
              </w:rPr>
            </w:pPr>
            <w:r w:rsidRPr="00AC0C56">
              <w:rPr>
                <w:rFonts w:cs="Arial"/>
                <w:sz w:val="18"/>
                <w:szCs w:val="18"/>
              </w:rPr>
              <w:t>Admission phase comment type and nos.</w:t>
            </w:r>
          </w:p>
        </w:tc>
        <w:tc>
          <w:tcPr>
            <w:tcW w:w="1341" w:type="dxa"/>
            <w:gridSpan w:val="2"/>
            <w:tcBorders>
              <w:top w:val="single" w:sz="18" w:space="0" w:color="auto"/>
              <w:left w:val="single" w:sz="18" w:space="0" w:color="auto"/>
              <w:right w:val="single" w:sz="18" w:space="0" w:color="auto"/>
            </w:tcBorders>
          </w:tcPr>
          <w:p w14:paraId="550CD71B" w14:textId="77777777" w:rsidR="000923BB" w:rsidRPr="00AC0C56" w:rsidRDefault="000923BB" w:rsidP="003A385F">
            <w:pPr>
              <w:spacing w:after="0" w:line="240" w:lineRule="auto"/>
              <w:rPr>
                <w:rFonts w:cs="Arial"/>
                <w:sz w:val="18"/>
                <w:szCs w:val="18"/>
              </w:rPr>
            </w:pPr>
            <w:r w:rsidRPr="00AC0C56">
              <w:rPr>
                <w:rFonts w:cs="Arial"/>
                <w:sz w:val="18"/>
                <w:szCs w:val="18"/>
              </w:rPr>
              <w:t>Early management phase comment type and nos.</w:t>
            </w:r>
          </w:p>
        </w:tc>
        <w:tc>
          <w:tcPr>
            <w:tcW w:w="1245" w:type="dxa"/>
            <w:gridSpan w:val="2"/>
            <w:tcBorders>
              <w:top w:val="single" w:sz="18" w:space="0" w:color="auto"/>
              <w:left w:val="single" w:sz="18" w:space="0" w:color="auto"/>
              <w:right w:val="single" w:sz="18" w:space="0" w:color="auto"/>
            </w:tcBorders>
          </w:tcPr>
          <w:p w14:paraId="68A50059" w14:textId="77777777" w:rsidR="000923BB" w:rsidRPr="00AC0C56" w:rsidRDefault="000923BB" w:rsidP="003A385F">
            <w:pPr>
              <w:spacing w:after="0" w:line="240" w:lineRule="auto"/>
              <w:rPr>
                <w:rFonts w:cs="Arial"/>
                <w:sz w:val="18"/>
                <w:szCs w:val="18"/>
              </w:rPr>
            </w:pPr>
            <w:r w:rsidRPr="00AC0C56">
              <w:rPr>
                <w:rFonts w:cs="Arial"/>
                <w:sz w:val="18"/>
                <w:szCs w:val="18"/>
              </w:rPr>
              <w:t>Later management phase comment type and nos.</w:t>
            </w:r>
          </w:p>
        </w:tc>
        <w:tc>
          <w:tcPr>
            <w:tcW w:w="1280" w:type="dxa"/>
            <w:gridSpan w:val="2"/>
            <w:tcBorders>
              <w:top w:val="single" w:sz="18" w:space="0" w:color="auto"/>
              <w:left w:val="single" w:sz="18" w:space="0" w:color="auto"/>
              <w:right w:val="single" w:sz="18" w:space="0" w:color="auto"/>
            </w:tcBorders>
          </w:tcPr>
          <w:p w14:paraId="1D0B327F" w14:textId="77777777" w:rsidR="000923BB" w:rsidRPr="00AC0C56" w:rsidRDefault="000923BB" w:rsidP="003A385F">
            <w:pPr>
              <w:spacing w:after="0" w:line="240" w:lineRule="auto"/>
              <w:rPr>
                <w:rFonts w:cs="Arial"/>
                <w:sz w:val="18"/>
                <w:szCs w:val="18"/>
              </w:rPr>
            </w:pPr>
            <w:r w:rsidRPr="00AC0C56">
              <w:rPr>
                <w:rFonts w:cs="Arial"/>
                <w:sz w:val="18"/>
                <w:szCs w:val="18"/>
              </w:rPr>
              <w:t>Overall care comment type and nos.</w:t>
            </w:r>
          </w:p>
        </w:tc>
        <w:tc>
          <w:tcPr>
            <w:tcW w:w="1299" w:type="dxa"/>
            <w:gridSpan w:val="2"/>
            <w:tcBorders>
              <w:top w:val="single" w:sz="18" w:space="0" w:color="auto"/>
              <w:left w:val="single" w:sz="18" w:space="0" w:color="auto"/>
            </w:tcBorders>
          </w:tcPr>
          <w:p w14:paraId="519CF5A5" w14:textId="77777777" w:rsidR="000923BB" w:rsidRPr="00AC0C56" w:rsidRDefault="000923BB" w:rsidP="003A385F">
            <w:pPr>
              <w:spacing w:after="0" w:line="240" w:lineRule="auto"/>
              <w:rPr>
                <w:rFonts w:cs="Arial"/>
                <w:sz w:val="18"/>
                <w:szCs w:val="18"/>
              </w:rPr>
            </w:pPr>
            <w:r w:rsidRPr="00AC0C56">
              <w:rPr>
                <w:rFonts w:cs="Arial"/>
                <w:sz w:val="18"/>
                <w:szCs w:val="18"/>
              </w:rPr>
              <w:t>Total number of comments</w:t>
            </w:r>
          </w:p>
        </w:tc>
        <w:tc>
          <w:tcPr>
            <w:tcW w:w="935" w:type="dxa"/>
            <w:tcBorders>
              <w:top w:val="single" w:sz="18" w:space="0" w:color="auto"/>
              <w:left w:val="single" w:sz="18" w:space="0" w:color="auto"/>
              <w:right w:val="single" w:sz="18" w:space="0" w:color="auto"/>
            </w:tcBorders>
          </w:tcPr>
          <w:p w14:paraId="0D88AE09" w14:textId="77777777" w:rsidR="000923BB" w:rsidRPr="00AC0C56" w:rsidRDefault="000923BB" w:rsidP="003A385F">
            <w:pPr>
              <w:spacing w:after="0" w:line="240" w:lineRule="auto"/>
              <w:rPr>
                <w:rFonts w:cs="Arial"/>
                <w:sz w:val="18"/>
                <w:szCs w:val="18"/>
              </w:rPr>
            </w:pPr>
            <w:r w:rsidRPr="00AC0C56">
              <w:rPr>
                <w:rFonts w:cs="Arial"/>
                <w:sz w:val="18"/>
                <w:szCs w:val="18"/>
              </w:rPr>
              <w:t>Positive/ negative comment ratio</w:t>
            </w:r>
          </w:p>
        </w:tc>
      </w:tr>
      <w:tr w:rsidR="00E5549E" w:rsidRPr="006538C4" w14:paraId="121875E8" w14:textId="77777777" w:rsidTr="00E5549E">
        <w:trPr>
          <w:trHeight w:val="187"/>
        </w:trPr>
        <w:tc>
          <w:tcPr>
            <w:tcW w:w="1018" w:type="dxa"/>
            <w:tcBorders>
              <w:left w:val="single" w:sz="18" w:space="0" w:color="auto"/>
              <w:right w:val="single" w:sz="18" w:space="0" w:color="auto"/>
            </w:tcBorders>
          </w:tcPr>
          <w:p w14:paraId="5FD26B0F" w14:textId="77777777" w:rsidR="000923BB" w:rsidRPr="00AC0C56" w:rsidRDefault="000923BB" w:rsidP="003A385F">
            <w:pPr>
              <w:spacing w:after="0" w:line="240" w:lineRule="auto"/>
              <w:jc w:val="both"/>
              <w:rPr>
                <w:rFonts w:cs="Arial"/>
                <w:sz w:val="18"/>
                <w:szCs w:val="18"/>
              </w:rPr>
            </w:pPr>
          </w:p>
        </w:tc>
        <w:tc>
          <w:tcPr>
            <w:tcW w:w="631" w:type="dxa"/>
            <w:tcBorders>
              <w:left w:val="single" w:sz="18" w:space="0" w:color="auto"/>
            </w:tcBorders>
          </w:tcPr>
          <w:p w14:paraId="2661F7D7" w14:textId="77777777" w:rsidR="000923BB" w:rsidRPr="00AC0C56" w:rsidRDefault="000923BB" w:rsidP="003A385F">
            <w:pPr>
              <w:spacing w:after="0" w:line="240" w:lineRule="auto"/>
              <w:jc w:val="both"/>
              <w:rPr>
                <w:rFonts w:cs="Arial"/>
                <w:sz w:val="18"/>
                <w:szCs w:val="18"/>
              </w:rPr>
            </w:pPr>
            <w:r w:rsidRPr="00AC0C56">
              <w:rPr>
                <w:rFonts w:cs="Arial"/>
                <w:sz w:val="18"/>
                <w:szCs w:val="18"/>
              </w:rPr>
              <w:t>Pos</w:t>
            </w:r>
          </w:p>
        </w:tc>
        <w:tc>
          <w:tcPr>
            <w:tcW w:w="583" w:type="dxa"/>
            <w:tcBorders>
              <w:right w:val="single" w:sz="18" w:space="0" w:color="auto"/>
            </w:tcBorders>
          </w:tcPr>
          <w:p w14:paraId="176DC155" w14:textId="77777777" w:rsidR="000923BB" w:rsidRPr="00AC0C56" w:rsidRDefault="000923BB" w:rsidP="003A385F">
            <w:pPr>
              <w:spacing w:after="0" w:line="240" w:lineRule="auto"/>
              <w:jc w:val="both"/>
              <w:rPr>
                <w:rFonts w:cs="Arial"/>
                <w:sz w:val="18"/>
                <w:szCs w:val="18"/>
              </w:rPr>
            </w:pPr>
            <w:r w:rsidRPr="00AC0C56">
              <w:rPr>
                <w:rFonts w:cs="Arial"/>
                <w:sz w:val="18"/>
                <w:szCs w:val="18"/>
              </w:rPr>
              <w:t>Neg.</w:t>
            </w:r>
          </w:p>
        </w:tc>
        <w:tc>
          <w:tcPr>
            <w:tcW w:w="619" w:type="dxa"/>
            <w:tcBorders>
              <w:left w:val="single" w:sz="18" w:space="0" w:color="auto"/>
            </w:tcBorders>
          </w:tcPr>
          <w:p w14:paraId="689EA5A1" w14:textId="77777777" w:rsidR="000923BB" w:rsidRPr="00AC0C56" w:rsidRDefault="000923BB" w:rsidP="003A385F">
            <w:pPr>
              <w:spacing w:after="0" w:line="240" w:lineRule="auto"/>
              <w:jc w:val="both"/>
              <w:rPr>
                <w:rFonts w:cs="Arial"/>
                <w:sz w:val="18"/>
                <w:szCs w:val="18"/>
              </w:rPr>
            </w:pPr>
            <w:r w:rsidRPr="00AC0C56">
              <w:rPr>
                <w:rFonts w:cs="Arial"/>
                <w:sz w:val="18"/>
                <w:szCs w:val="18"/>
              </w:rPr>
              <w:t>Pos</w:t>
            </w:r>
          </w:p>
        </w:tc>
        <w:tc>
          <w:tcPr>
            <w:tcW w:w="722" w:type="dxa"/>
            <w:tcBorders>
              <w:right w:val="single" w:sz="18" w:space="0" w:color="auto"/>
            </w:tcBorders>
          </w:tcPr>
          <w:p w14:paraId="294503D5" w14:textId="77777777" w:rsidR="000923BB" w:rsidRPr="00AC0C56" w:rsidRDefault="000923BB" w:rsidP="003A385F">
            <w:pPr>
              <w:spacing w:after="0" w:line="240" w:lineRule="auto"/>
              <w:jc w:val="both"/>
              <w:rPr>
                <w:rFonts w:cs="Arial"/>
                <w:sz w:val="18"/>
                <w:szCs w:val="18"/>
              </w:rPr>
            </w:pPr>
            <w:r w:rsidRPr="00AC0C56">
              <w:rPr>
                <w:rFonts w:cs="Arial"/>
                <w:sz w:val="18"/>
                <w:szCs w:val="18"/>
              </w:rPr>
              <w:t>Neg.</w:t>
            </w:r>
          </w:p>
        </w:tc>
        <w:tc>
          <w:tcPr>
            <w:tcW w:w="640" w:type="dxa"/>
            <w:tcBorders>
              <w:left w:val="single" w:sz="18" w:space="0" w:color="auto"/>
            </w:tcBorders>
          </w:tcPr>
          <w:p w14:paraId="57B0BCE6" w14:textId="77777777" w:rsidR="000923BB" w:rsidRPr="00AC0C56" w:rsidRDefault="000923BB" w:rsidP="003A385F">
            <w:pPr>
              <w:spacing w:after="0" w:line="240" w:lineRule="auto"/>
              <w:jc w:val="both"/>
              <w:rPr>
                <w:rFonts w:cs="Arial"/>
                <w:sz w:val="18"/>
                <w:szCs w:val="18"/>
              </w:rPr>
            </w:pPr>
            <w:r w:rsidRPr="00AC0C56">
              <w:rPr>
                <w:rFonts w:cs="Arial"/>
                <w:sz w:val="18"/>
                <w:szCs w:val="18"/>
              </w:rPr>
              <w:t>Pos</w:t>
            </w:r>
          </w:p>
        </w:tc>
        <w:tc>
          <w:tcPr>
            <w:tcW w:w="605" w:type="dxa"/>
            <w:tcBorders>
              <w:right w:val="single" w:sz="18" w:space="0" w:color="auto"/>
            </w:tcBorders>
          </w:tcPr>
          <w:p w14:paraId="324B9813" w14:textId="77777777" w:rsidR="000923BB" w:rsidRPr="00AC0C56" w:rsidRDefault="000923BB" w:rsidP="003A385F">
            <w:pPr>
              <w:spacing w:after="0" w:line="240" w:lineRule="auto"/>
              <w:jc w:val="both"/>
              <w:rPr>
                <w:rFonts w:cs="Arial"/>
                <w:sz w:val="18"/>
                <w:szCs w:val="18"/>
              </w:rPr>
            </w:pPr>
            <w:r w:rsidRPr="00AC0C56">
              <w:rPr>
                <w:rFonts w:cs="Arial"/>
                <w:sz w:val="18"/>
                <w:szCs w:val="18"/>
              </w:rPr>
              <w:t>Neg.</w:t>
            </w:r>
          </w:p>
        </w:tc>
        <w:tc>
          <w:tcPr>
            <w:tcW w:w="697" w:type="dxa"/>
            <w:tcBorders>
              <w:left w:val="single" w:sz="18" w:space="0" w:color="auto"/>
            </w:tcBorders>
          </w:tcPr>
          <w:p w14:paraId="1915E68C" w14:textId="77777777" w:rsidR="000923BB" w:rsidRPr="00AC0C56" w:rsidRDefault="000923BB" w:rsidP="003A385F">
            <w:pPr>
              <w:spacing w:after="0" w:line="240" w:lineRule="auto"/>
              <w:jc w:val="both"/>
              <w:rPr>
                <w:rFonts w:cs="Arial"/>
                <w:sz w:val="18"/>
                <w:szCs w:val="18"/>
              </w:rPr>
            </w:pPr>
            <w:r w:rsidRPr="00AC0C56">
              <w:rPr>
                <w:rFonts w:cs="Arial"/>
                <w:sz w:val="18"/>
                <w:szCs w:val="18"/>
              </w:rPr>
              <w:t>Pos</w:t>
            </w:r>
          </w:p>
        </w:tc>
        <w:tc>
          <w:tcPr>
            <w:tcW w:w="583" w:type="dxa"/>
            <w:tcBorders>
              <w:right w:val="single" w:sz="18" w:space="0" w:color="auto"/>
            </w:tcBorders>
          </w:tcPr>
          <w:p w14:paraId="783A53EF" w14:textId="77777777" w:rsidR="000923BB" w:rsidRPr="00AC0C56" w:rsidRDefault="000923BB" w:rsidP="003A385F">
            <w:pPr>
              <w:spacing w:after="0" w:line="240" w:lineRule="auto"/>
              <w:jc w:val="both"/>
              <w:rPr>
                <w:rFonts w:cs="Arial"/>
                <w:sz w:val="18"/>
                <w:szCs w:val="18"/>
              </w:rPr>
            </w:pPr>
            <w:r w:rsidRPr="00AC0C56">
              <w:rPr>
                <w:rFonts w:cs="Arial"/>
                <w:sz w:val="18"/>
                <w:szCs w:val="18"/>
              </w:rPr>
              <w:t>Neg.</w:t>
            </w:r>
          </w:p>
        </w:tc>
        <w:tc>
          <w:tcPr>
            <w:tcW w:w="716" w:type="dxa"/>
            <w:tcBorders>
              <w:left w:val="single" w:sz="18" w:space="0" w:color="auto"/>
              <w:right w:val="single" w:sz="2" w:space="0" w:color="auto"/>
            </w:tcBorders>
          </w:tcPr>
          <w:p w14:paraId="70B2F82C" w14:textId="77777777" w:rsidR="000923BB" w:rsidRPr="00AC0C56" w:rsidRDefault="000923BB" w:rsidP="003A385F">
            <w:pPr>
              <w:spacing w:after="0" w:line="240" w:lineRule="auto"/>
              <w:jc w:val="both"/>
              <w:rPr>
                <w:rFonts w:cs="Arial"/>
                <w:sz w:val="18"/>
                <w:szCs w:val="18"/>
              </w:rPr>
            </w:pPr>
            <w:r w:rsidRPr="00AC0C56">
              <w:rPr>
                <w:rFonts w:cs="Arial"/>
                <w:sz w:val="18"/>
                <w:szCs w:val="18"/>
              </w:rPr>
              <w:t xml:space="preserve">Pos </w:t>
            </w:r>
          </w:p>
        </w:tc>
        <w:tc>
          <w:tcPr>
            <w:tcW w:w="583" w:type="dxa"/>
            <w:tcBorders>
              <w:left w:val="single" w:sz="2" w:space="0" w:color="auto"/>
              <w:right w:val="single" w:sz="18" w:space="0" w:color="auto"/>
            </w:tcBorders>
          </w:tcPr>
          <w:p w14:paraId="1CE7B609" w14:textId="77777777" w:rsidR="000923BB" w:rsidRPr="00AC0C56" w:rsidRDefault="000923BB" w:rsidP="003A385F">
            <w:pPr>
              <w:spacing w:after="0" w:line="240" w:lineRule="auto"/>
              <w:jc w:val="both"/>
              <w:rPr>
                <w:rFonts w:cs="Arial"/>
                <w:sz w:val="18"/>
                <w:szCs w:val="18"/>
              </w:rPr>
            </w:pPr>
            <w:r w:rsidRPr="00AC0C56">
              <w:rPr>
                <w:rFonts w:cs="Arial"/>
                <w:sz w:val="18"/>
                <w:szCs w:val="18"/>
              </w:rPr>
              <w:t xml:space="preserve">Neg. </w:t>
            </w:r>
          </w:p>
        </w:tc>
        <w:tc>
          <w:tcPr>
            <w:tcW w:w="935" w:type="dxa"/>
            <w:tcBorders>
              <w:left w:val="single" w:sz="18" w:space="0" w:color="auto"/>
              <w:right w:val="single" w:sz="18" w:space="0" w:color="auto"/>
            </w:tcBorders>
          </w:tcPr>
          <w:p w14:paraId="003F291A" w14:textId="77777777" w:rsidR="000923BB" w:rsidRPr="00AC0C56" w:rsidRDefault="000923BB" w:rsidP="003A385F">
            <w:pPr>
              <w:spacing w:after="0" w:line="240" w:lineRule="auto"/>
              <w:jc w:val="both"/>
              <w:rPr>
                <w:rFonts w:cs="Arial"/>
                <w:sz w:val="18"/>
                <w:szCs w:val="18"/>
              </w:rPr>
            </w:pPr>
          </w:p>
        </w:tc>
      </w:tr>
      <w:tr w:rsidR="00E5549E" w:rsidRPr="006538C4" w14:paraId="03D3E00A" w14:textId="77777777" w:rsidTr="00E5549E">
        <w:trPr>
          <w:trHeight w:val="187"/>
        </w:trPr>
        <w:tc>
          <w:tcPr>
            <w:tcW w:w="1018" w:type="dxa"/>
            <w:tcBorders>
              <w:left w:val="single" w:sz="18" w:space="0" w:color="auto"/>
              <w:right w:val="single" w:sz="18" w:space="0" w:color="auto"/>
            </w:tcBorders>
          </w:tcPr>
          <w:p w14:paraId="4F70063F" w14:textId="77777777" w:rsidR="000923BB" w:rsidRPr="00AC0C56" w:rsidRDefault="000923BB" w:rsidP="003A385F">
            <w:pPr>
              <w:spacing w:after="0" w:line="240" w:lineRule="auto"/>
              <w:jc w:val="both"/>
              <w:rPr>
                <w:rFonts w:cs="Arial"/>
                <w:sz w:val="18"/>
                <w:szCs w:val="18"/>
              </w:rPr>
            </w:pPr>
            <w:r w:rsidRPr="00AC0C56">
              <w:rPr>
                <w:rFonts w:cs="Arial"/>
                <w:sz w:val="18"/>
                <w:szCs w:val="18"/>
              </w:rPr>
              <w:t>1 (5)</w:t>
            </w:r>
          </w:p>
        </w:tc>
        <w:tc>
          <w:tcPr>
            <w:tcW w:w="631" w:type="dxa"/>
            <w:tcBorders>
              <w:left w:val="single" w:sz="18" w:space="0" w:color="auto"/>
            </w:tcBorders>
          </w:tcPr>
          <w:p w14:paraId="17AC733D" w14:textId="77777777" w:rsidR="000923BB" w:rsidRPr="00AC0C56" w:rsidRDefault="000923BB" w:rsidP="003A385F">
            <w:pPr>
              <w:spacing w:after="0" w:line="240" w:lineRule="auto"/>
              <w:jc w:val="both"/>
              <w:rPr>
                <w:rFonts w:cs="Arial"/>
                <w:sz w:val="18"/>
                <w:szCs w:val="18"/>
              </w:rPr>
            </w:pPr>
            <w:r w:rsidRPr="00AC0C56">
              <w:rPr>
                <w:rFonts w:cs="Arial"/>
                <w:sz w:val="18"/>
                <w:szCs w:val="18"/>
              </w:rPr>
              <w:t>6</w:t>
            </w:r>
          </w:p>
        </w:tc>
        <w:tc>
          <w:tcPr>
            <w:tcW w:w="583" w:type="dxa"/>
            <w:tcBorders>
              <w:right w:val="single" w:sz="18" w:space="0" w:color="auto"/>
            </w:tcBorders>
          </w:tcPr>
          <w:p w14:paraId="4DCDBABC" w14:textId="77777777" w:rsidR="000923BB" w:rsidRPr="00AC0C56" w:rsidRDefault="000923BB" w:rsidP="003A385F">
            <w:pPr>
              <w:spacing w:after="0" w:line="240" w:lineRule="auto"/>
              <w:jc w:val="both"/>
              <w:rPr>
                <w:rFonts w:cs="Arial"/>
                <w:sz w:val="18"/>
                <w:szCs w:val="18"/>
              </w:rPr>
            </w:pPr>
            <w:r w:rsidRPr="00AC0C56">
              <w:rPr>
                <w:rFonts w:cs="Arial"/>
                <w:sz w:val="18"/>
                <w:szCs w:val="18"/>
              </w:rPr>
              <w:t>15</w:t>
            </w:r>
          </w:p>
        </w:tc>
        <w:tc>
          <w:tcPr>
            <w:tcW w:w="619" w:type="dxa"/>
            <w:tcBorders>
              <w:left w:val="single" w:sz="18" w:space="0" w:color="auto"/>
            </w:tcBorders>
          </w:tcPr>
          <w:p w14:paraId="68819463" w14:textId="77777777" w:rsidR="000923BB" w:rsidRPr="00AC0C56" w:rsidRDefault="000923BB" w:rsidP="003A385F">
            <w:pPr>
              <w:spacing w:after="0" w:line="240" w:lineRule="auto"/>
              <w:jc w:val="both"/>
              <w:rPr>
                <w:rFonts w:cs="Arial"/>
                <w:sz w:val="18"/>
                <w:szCs w:val="18"/>
              </w:rPr>
            </w:pPr>
            <w:r w:rsidRPr="00AC0C56">
              <w:rPr>
                <w:rFonts w:cs="Arial"/>
                <w:sz w:val="18"/>
                <w:szCs w:val="18"/>
              </w:rPr>
              <w:t>2</w:t>
            </w:r>
          </w:p>
        </w:tc>
        <w:tc>
          <w:tcPr>
            <w:tcW w:w="722" w:type="dxa"/>
            <w:tcBorders>
              <w:right w:val="single" w:sz="18" w:space="0" w:color="auto"/>
            </w:tcBorders>
          </w:tcPr>
          <w:p w14:paraId="4E268EDA" w14:textId="77777777" w:rsidR="000923BB" w:rsidRPr="00AC0C56" w:rsidRDefault="000923BB" w:rsidP="003A385F">
            <w:pPr>
              <w:spacing w:after="0" w:line="240" w:lineRule="auto"/>
              <w:jc w:val="both"/>
              <w:rPr>
                <w:rFonts w:cs="Arial"/>
                <w:sz w:val="18"/>
                <w:szCs w:val="18"/>
              </w:rPr>
            </w:pPr>
            <w:r w:rsidRPr="00AC0C56">
              <w:rPr>
                <w:rFonts w:cs="Arial"/>
                <w:sz w:val="18"/>
                <w:szCs w:val="18"/>
              </w:rPr>
              <w:t>18</w:t>
            </w:r>
          </w:p>
        </w:tc>
        <w:tc>
          <w:tcPr>
            <w:tcW w:w="640" w:type="dxa"/>
            <w:tcBorders>
              <w:left w:val="single" w:sz="18" w:space="0" w:color="auto"/>
            </w:tcBorders>
          </w:tcPr>
          <w:p w14:paraId="384328D2" w14:textId="77777777" w:rsidR="000923BB" w:rsidRPr="00AC0C56" w:rsidRDefault="000923BB" w:rsidP="003A385F">
            <w:pPr>
              <w:spacing w:after="0" w:line="240" w:lineRule="auto"/>
              <w:jc w:val="both"/>
              <w:rPr>
                <w:rFonts w:cs="Arial"/>
                <w:sz w:val="18"/>
                <w:szCs w:val="18"/>
              </w:rPr>
            </w:pPr>
            <w:r w:rsidRPr="00AC0C56">
              <w:rPr>
                <w:rFonts w:cs="Arial"/>
                <w:sz w:val="18"/>
                <w:szCs w:val="18"/>
              </w:rPr>
              <w:t>3</w:t>
            </w:r>
          </w:p>
        </w:tc>
        <w:tc>
          <w:tcPr>
            <w:tcW w:w="605" w:type="dxa"/>
            <w:tcBorders>
              <w:right w:val="single" w:sz="18" w:space="0" w:color="auto"/>
            </w:tcBorders>
          </w:tcPr>
          <w:p w14:paraId="0381E226" w14:textId="77777777" w:rsidR="000923BB" w:rsidRPr="00AC0C56" w:rsidRDefault="000923BB" w:rsidP="003A385F">
            <w:pPr>
              <w:spacing w:after="0" w:line="240" w:lineRule="auto"/>
              <w:jc w:val="both"/>
              <w:rPr>
                <w:rFonts w:cs="Arial"/>
                <w:sz w:val="18"/>
                <w:szCs w:val="18"/>
              </w:rPr>
            </w:pPr>
            <w:r w:rsidRPr="00AC0C56">
              <w:rPr>
                <w:rFonts w:cs="Arial"/>
                <w:sz w:val="18"/>
                <w:szCs w:val="18"/>
              </w:rPr>
              <w:t>5</w:t>
            </w:r>
          </w:p>
        </w:tc>
        <w:tc>
          <w:tcPr>
            <w:tcW w:w="697" w:type="dxa"/>
            <w:tcBorders>
              <w:left w:val="single" w:sz="18" w:space="0" w:color="auto"/>
            </w:tcBorders>
          </w:tcPr>
          <w:p w14:paraId="28CD87D3" w14:textId="77777777" w:rsidR="000923BB" w:rsidRPr="00AC0C56" w:rsidRDefault="000923BB" w:rsidP="003A385F">
            <w:pPr>
              <w:spacing w:after="0" w:line="240" w:lineRule="auto"/>
              <w:jc w:val="both"/>
              <w:rPr>
                <w:rFonts w:cs="Arial"/>
                <w:sz w:val="18"/>
                <w:szCs w:val="18"/>
              </w:rPr>
            </w:pPr>
            <w:r w:rsidRPr="00AC0C56">
              <w:rPr>
                <w:rFonts w:cs="Arial"/>
                <w:sz w:val="18"/>
                <w:szCs w:val="18"/>
              </w:rPr>
              <w:t>2</w:t>
            </w:r>
          </w:p>
        </w:tc>
        <w:tc>
          <w:tcPr>
            <w:tcW w:w="583" w:type="dxa"/>
            <w:tcBorders>
              <w:right w:val="single" w:sz="18" w:space="0" w:color="auto"/>
            </w:tcBorders>
          </w:tcPr>
          <w:p w14:paraId="6FE07015" w14:textId="77777777" w:rsidR="000923BB" w:rsidRPr="00AC0C56" w:rsidRDefault="000923BB" w:rsidP="003A385F">
            <w:pPr>
              <w:spacing w:after="0" w:line="240" w:lineRule="auto"/>
              <w:jc w:val="both"/>
              <w:rPr>
                <w:rFonts w:cs="Arial"/>
                <w:sz w:val="18"/>
                <w:szCs w:val="18"/>
              </w:rPr>
            </w:pPr>
            <w:r w:rsidRPr="00AC0C56">
              <w:rPr>
                <w:rFonts w:cs="Arial"/>
                <w:sz w:val="18"/>
                <w:szCs w:val="18"/>
              </w:rPr>
              <w:t>8</w:t>
            </w:r>
          </w:p>
        </w:tc>
        <w:tc>
          <w:tcPr>
            <w:tcW w:w="716" w:type="dxa"/>
            <w:tcBorders>
              <w:left w:val="single" w:sz="18" w:space="0" w:color="auto"/>
              <w:right w:val="single" w:sz="2" w:space="0" w:color="auto"/>
            </w:tcBorders>
          </w:tcPr>
          <w:p w14:paraId="1038CBF2" w14:textId="77777777" w:rsidR="000923BB" w:rsidRPr="00AC0C56" w:rsidRDefault="000923BB" w:rsidP="003A385F">
            <w:pPr>
              <w:spacing w:after="0" w:line="240" w:lineRule="auto"/>
              <w:jc w:val="both"/>
              <w:rPr>
                <w:rFonts w:cs="Arial"/>
                <w:sz w:val="18"/>
                <w:szCs w:val="18"/>
              </w:rPr>
            </w:pPr>
            <w:r w:rsidRPr="00AC0C56">
              <w:rPr>
                <w:rFonts w:cs="Arial"/>
                <w:sz w:val="18"/>
                <w:szCs w:val="18"/>
              </w:rPr>
              <w:t>13</w:t>
            </w:r>
          </w:p>
        </w:tc>
        <w:tc>
          <w:tcPr>
            <w:tcW w:w="583" w:type="dxa"/>
            <w:tcBorders>
              <w:left w:val="single" w:sz="2" w:space="0" w:color="auto"/>
              <w:right w:val="single" w:sz="18" w:space="0" w:color="auto"/>
            </w:tcBorders>
          </w:tcPr>
          <w:p w14:paraId="6DF4AF32" w14:textId="77777777" w:rsidR="000923BB" w:rsidRPr="00AC0C56" w:rsidRDefault="000923BB" w:rsidP="003A385F">
            <w:pPr>
              <w:spacing w:after="0" w:line="240" w:lineRule="auto"/>
              <w:jc w:val="both"/>
              <w:rPr>
                <w:rFonts w:cs="Arial"/>
                <w:sz w:val="18"/>
                <w:szCs w:val="18"/>
              </w:rPr>
            </w:pPr>
            <w:r w:rsidRPr="00AC0C56">
              <w:rPr>
                <w:rFonts w:cs="Arial"/>
                <w:sz w:val="18"/>
                <w:szCs w:val="18"/>
              </w:rPr>
              <w:t>48</w:t>
            </w:r>
          </w:p>
        </w:tc>
        <w:tc>
          <w:tcPr>
            <w:tcW w:w="935" w:type="dxa"/>
            <w:tcBorders>
              <w:left w:val="single" w:sz="18" w:space="0" w:color="auto"/>
              <w:right w:val="single" w:sz="18" w:space="0" w:color="auto"/>
            </w:tcBorders>
          </w:tcPr>
          <w:p w14:paraId="5EF1F86A" w14:textId="77777777" w:rsidR="000923BB" w:rsidRPr="00AC0C56" w:rsidRDefault="000923BB" w:rsidP="003A385F">
            <w:pPr>
              <w:spacing w:after="0" w:line="240" w:lineRule="auto"/>
              <w:jc w:val="both"/>
              <w:rPr>
                <w:rFonts w:cs="Arial"/>
                <w:sz w:val="18"/>
                <w:szCs w:val="18"/>
              </w:rPr>
            </w:pPr>
            <w:r w:rsidRPr="00AC0C56">
              <w:rPr>
                <w:rFonts w:cs="Arial"/>
                <w:sz w:val="18"/>
                <w:szCs w:val="18"/>
              </w:rPr>
              <w:t>0.28</w:t>
            </w:r>
          </w:p>
        </w:tc>
      </w:tr>
      <w:tr w:rsidR="00E5549E" w:rsidRPr="006538C4" w14:paraId="3F44D5C2" w14:textId="77777777" w:rsidTr="00E5549E">
        <w:trPr>
          <w:trHeight w:val="187"/>
        </w:trPr>
        <w:tc>
          <w:tcPr>
            <w:tcW w:w="1018" w:type="dxa"/>
            <w:tcBorders>
              <w:left w:val="single" w:sz="18" w:space="0" w:color="auto"/>
              <w:right w:val="single" w:sz="18" w:space="0" w:color="auto"/>
            </w:tcBorders>
          </w:tcPr>
          <w:p w14:paraId="724697D4" w14:textId="77777777" w:rsidR="000923BB" w:rsidRPr="00AC0C56" w:rsidRDefault="000923BB" w:rsidP="003A385F">
            <w:pPr>
              <w:spacing w:after="0" w:line="240" w:lineRule="auto"/>
              <w:jc w:val="both"/>
              <w:rPr>
                <w:rFonts w:cs="Arial"/>
                <w:sz w:val="18"/>
                <w:szCs w:val="18"/>
              </w:rPr>
            </w:pPr>
            <w:r w:rsidRPr="00AC0C56">
              <w:rPr>
                <w:rFonts w:cs="Arial"/>
                <w:sz w:val="18"/>
                <w:szCs w:val="18"/>
              </w:rPr>
              <w:t>2 (3)</w:t>
            </w:r>
          </w:p>
        </w:tc>
        <w:tc>
          <w:tcPr>
            <w:tcW w:w="631" w:type="dxa"/>
            <w:tcBorders>
              <w:left w:val="single" w:sz="18" w:space="0" w:color="auto"/>
            </w:tcBorders>
          </w:tcPr>
          <w:p w14:paraId="193B82B3" w14:textId="77777777" w:rsidR="000923BB" w:rsidRPr="00AC0C56" w:rsidRDefault="000923BB" w:rsidP="003A385F">
            <w:pPr>
              <w:spacing w:after="0" w:line="240" w:lineRule="auto"/>
              <w:jc w:val="both"/>
              <w:rPr>
                <w:rFonts w:cs="Arial"/>
                <w:sz w:val="18"/>
                <w:szCs w:val="18"/>
              </w:rPr>
            </w:pPr>
            <w:r w:rsidRPr="00AC0C56">
              <w:rPr>
                <w:rFonts w:cs="Arial"/>
                <w:sz w:val="18"/>
                <w:szCs w:val="18"/>
              </w:rPr>
              <w:t>4</w:t>
            </w:r>
          </w:p>
        </w:tc>
        <w:tc>
          <w:tcPr>
            <w:tcW w:w="583" w:type="dxa"/>
            <w:tcBorders>
              <w:right w:val="single" w:sz="18" w:space="0" w:color="auto"/>
            </w:tcBorders>
          </w:tcPr>
          <w:p w14:paraId="1B11C90C" w14:textId="77777777" w:rsidR="000923BB" w:rsidRPr="00AC0C56" w:rsidRDefault="000923BB" w:rsidP="003A385F">
            <w:pPr>
              <w:spacing w:after="0" w:line="240" w:lineRule="auto"/>
              <w:jc w:val="both"/>
              <w:rPr>
                <w:rFonts w:cs="Arial"/>
                <w:sz w:val="18"/>
                <w:szCs w:val="18"/>
              </w:rPr>
            </w:pPr>
            <w:r w:rsidRPr="00AC0C56">
              <w:rPr>
                <w:rFonts w:cs="Arial"/>
                <w:sz w:val="18"/>
                <w:szCs w:val="18"/>
              </w:rPr>
              <w:t>6</w:t>
            </w:r>
          </w:p>
        </w:tc>
        <w:tc>
          <w:tcPr>
            <w:tcW w:w="619" w:type="dxa"/>
            <w:tcBorders>
              <w:left w:val="single" w:sz="18" w:space="0" w:color="auto"/>
            </w:tcBorders>
          </w:tcPr>
          <w:p w14:paraId="145A97CC" w14:textId="77777777" w:rsidR="000923BB" w:rsidRPr="00AC0C56" w:rsidRDefault="000923BB" w:rsidP="003A385F">
            <w:pPr>
              <w:spacing w:after="0" w:line="240" w:lineRule="auto"/>
              <w:jc w:val="both"/>
              <w:rPr>
                <w:rFonts w:cs="Arial"/>
                <w:sz w:val="18"/>
                <w:szCs w:val="18"/>
              </w:rPr>
            </w:pPr>
            <w:r w:rsidRPr="00AC0C56">
              <w:rPr>
                <w:rFonts w:cs="Arial"/>
                <w:sz w:val="18"/>
                <w:szCs w:val="18"/>
              </w:rPr>
              <w:t>2</w:t>
            </w:r>
          </w:p>
        </w:tc>
        <w:tc>
          <w:tcPr>
            <w:tcW w:w="722" w:type="dxa"/>
            <w:tcBorders>
              <w:right w:val="single" w:sz="18" w:space="0" w:color="auto"/>
            </w:tcBorders>
          </w:tcPr>
          <w:p w14:paraId="727E16B1" w14:textId="77777777" w:rsidR="000923BB" w:rsidRPr="00AC0C56" w:rsidRDefault="000923BB" w:rsidP="003A385F">
            <w:pPr>
              <w:spacing w:after="0" w:line="240" w:lineRule="auto"/>
              <w:jc w:val="both"/>
              <w:rPr>
                <w:rFonts w:cs="Arial"/>
                <w:sz w:val="18"/>
                <w:szCs w:val="18"/>
              </w:rPr>
            </w:pPr>
            <w:r w:rsidRPr="00AC0C56">
              <w:rPr>
                <w:rFonts w:cs="Arial"/>
                <w:sz w:val="18"/>
                <w:szCs w:val="18"/>
              </w:rPr>
              <w:t>9</w:t>
            </w:r>
          </w:p>
        </w:tc>
        <w:tc>
          <w:tcPr>
            <w:tcW w:w="640" w:type="dxa"/>
            <w:tcBorders>
              <w:left w:val="single" w:sz="18" w:space="0" w:color="auto"/>
            </w:tcBorders>
          </w:tcPr>
          <w:p w14:paraId="6A397D3C" w14:textId="77777777" w:rsidR="000923BB" w:rsidRPr="00AC0C56" w:rsidRDefault="000923BB" w:rsidP="003A385F">
            <w:pPr>
              <w:spacing w:after="0" w:line="240" w:lineRule="auto"/>
              <w:jc w:val="both"/>
              <w:rPr>
                <w:rFonts w:cs="Arial"/>
                <w:sz w:val="18"/>
                <w:szCs w:val="18"/>
              </w:rPr>
            </w:pPr>
            <w:r w:rsidRPr="00AC0C56">
              <w:rPr>
                <w:rFonts w:cs="Arial"/>
                <w:sz w:val="18"/>
                <w:szCs w:val="18"/>
              </w:rPr>
              <w:t>0</w:t>
            </w:r>
          </w:p>
        </w:tc>
        <w:tc>
          <w:tcPr>
            <w:tcW w:w="605" w:type="dxa"/>
            <w:tcBorders>
              <w:right w:val="single" w:sz="18" w:space="0" w:color="auto"/>
            </w:tcBorders>
          </w:tcPr>
          <w:p w14:paraId="3A86473B" w14:textId="77777777" w:rsidR="000923BB" w:rsidRPr="00AC0C56" w:rsidRDefault="000923BB" w:rsidP="003A385F">
            <w:pPr>
              <w:spacing w:after="0" w:line="240" w:lineRule="auto"/>
              <w:jc w:val="both"/>
              <w:rPr>
                <w:rFonts w:cs="Arial"/>
                <w:sz w:val="18"/>
                <w:szCs w:val="18"/>
              </w:rPr>
            </w:pPr>
            <w:r w:rsidRPr="00AC0C56">
              <w:rPr>
                <w:rFonts w:cs="Arial"/>
                <w:sz w:val="18"/>
                <w:szCs w:val="18"/>
              </w:rPr>
              <w:t>5</w:t>
            </w:r>
          </w:p>
        </w:tc>
        <w:tc>
          <w:tcPr>
            <w:tcW w:w="697" w:type="dxa"/>
            <w:tcBorders>
              <w:left w:val="single" w:sz="18" w:space="0" w:color="auto"/>
            </w:tcBorders>
          </w:tcPr>
          <w:p w14:paraId="4C677381" w14:textId="77777777" w:rsidR="000923BB" w:rsidRPr="00AC0C56" w:rsidRDefault="000923BB" w:rsidP="003A385F">
            <w:pPr>
              <w:spacing w:after="0" w:line="240" w:lineRule="auto"/>
              <w:jc w:val="both"/>
              <w:rPr>
                <w:rFonts w:cs="Arial"/>
                <w:sz w:val="18"/>
                <w:szCs w:val="18"/>
              </w:rPr>
            </w:pPr>
            <w:r w:rsidRPr="00AC0C56">
              <w:rPr>
                <w:rFonts w:cs="Arial"/>
                <w:sz w:val="18"/>
                <w:szCs w:val="18"/>
              </w:rPr>
              <w:t>0</w:t>
            </w:r>
          </w:p>
        </w:tc>
        <w:tc>
          <w:tcPr>
            <w:tcW w:w="583" w:type="dxa"/>
            <w:tcBorders>
              <w:right w:val="single" w:sz="18" w:space="0" w:color="auto"/>
            </w:tcBorders>
          </w:tcPr>
          <w:p w14:paraId="37C70A3C" w14:textId="77777777" w:rsidR="000923BB" w:rsidRPr="00AC0C56" w:rsidRDefault="000923BB" w:rsidP="003A385F">
            <w:pPr>
              <w:spacing w:after="0" w:line="240" w:lineRule="auto"/>
              <w:jc w:val="both"/>
              <w:rPr>
                <w:rFonts w:cs="Arial"/>
                <w:sz w:val="18"/>
                <w:szCs w:val="18"/>
              </w:rPr>
            </w:pPr>
            <w:r w:rsidRPr="00AC0C56">
              <w:rPr>
                <w:rFonts w:cs="Arial"/>
                <w:sz w:val="18"/>
                <w:szCs w:val="18"/>
              </w:rPr>
              <w:t>6</w:t>
            </w:r>
          </w:p>
        </w:tc>
        <w:tc>
          <w:tcPr>
            <w:tcW w:w="716" w:type="dxa"/>
            <w:tcBorders>
              <w:left w:val="single" w:sz="18" w:space="0" w:color="auto"/>
              <w:right w:val="single" w:sz="2" w:space="0" w:color="auto"/>
            </w:tcBorders>
          </w:tcPr>
          <w:p w14:paraId="69E068A0" w14:textId="77777777" w:rsidR="000923BB" w:rsidRPr="00AC0C56" w:rsidRDefault="000923BB" w:rsidP="003A385F">
            <w:pPr>
              <w:spacing w:after="0" w:line="240" w:lineRule="auto"/>
              <w:jc w:val="both"/>
              <w:rPr>
                <w:rFonts w:cs="Arial"/>
                <w:sz w:val="18"/>
                <w:szCs w:val="18"/>
              </w:rPr>
            </w:pPr>
            <w:r w:rsidRPr="00AC0C56">
              <w:rPr>
                <w:rFonts w:cs="Arial"/>
                <w:sz w:val="18"/>
                <w:szCs w:val="18"/>
              </w:rPr>
              <w:t>6</w:t>
            </w:r>
          </w:p>
        </w:tc>
        <w:tc>
          <w:tcPr>
            <w:tcW w:w="583" w:type="dxa"/>
            <w:tcBorders>
              <w:left w:val="single" w:sz="2" w:space="0" w:color="auto"/>
              <w:right w:val="single" w:sz="18" w:space="0" w:color="auto"/>
            </w:tcBorders>
          </w:tcPr>
          <w:p w14:paraId="611AB13E" w14:textId="77777777" w:rsidR="000923BB" w:rsidRPr="00AC0C56" w:rsidRDefault="000923BB" w:rsidP="003A385F">
            <w:pPr>
              <w:spacing w:after="0" w:line="240" w:lineRule="auto"/>
              <w:jc w:val="both"/>
              <w:rPr>
                <w:rFonts w:cs="Arial"/>
                <w:sz w:val="18"/>
                <w:szCs w:val="18"/>
              </w:rPr>
            </w:pPr>
            <w:r w:rsidRPr="00AC0C56">
              <w:rPr>
                <w:rFonts w:cs="Arial"/>
                <w:sz w:val="18"/>
                <w:szCs w:val="18"/>
              </w:rPr>
              <w:t>26</w:t>
            </w:r>
          </w:p>
        </w:tc>
        <w:tc>
          <w:tcPr>
            <w:tcW w:w="935" w:type="dxa"/>
            <w:tcBorders>
              <w:left w:val="single" w:sz="18" w:space="0" w:color="auto"/>
              <w:right w:val="single" w:sz="18" w:space="0" w:color="auto"/>
            </w:tcBorders>
          </w:tcPr>
          <w:p w14:paraId="580E7FAC" w14:textId="77777777" w:rsidR="000923BB" w:rsidRPr="00AC0C56" w:rsidRDefault="000923BB" w:rsidP="003A385F">
            <w:pPr>
              <w:spacing w:after="0" w:line="240" w:lineRule="auto"/>
              <w:jc w:val="both"/>
              <w:rPr>
                <w:rFonts w:cs="Arial"/>
                <w:sz w:val="18"/>
                <w:szCs w:val="18"/>
              </w:rPr>
            </w:pPr>
            <w:r w:rsidRPr="00AC0C56">
              <w:rPr>
                <w:rFonts w:cs="Arial"/>
                <w:sz w:val="18"/>
                <w:szCs w:val="18"/>
              </w:rPr>
              <w:t>0.23</w:t>
            </w:r>
          </w:p>
        </w:tc>
      </w:tr>
      <w:tr w:rsidR="00E5549E" w:rsidRPr="006538C4" w14:paraId="4ECEBDAE" w14:textId="77777777" w:rsidTr="00E5549E">
        <w:trPr>
          <w:trHeight w:val="187"/>
        </w:trPr>
        <w:tc>
          <w:tcPr>
            <w:tcW w:w="1018" w:type="dxa"/>
            <w:tcBorders>
              <w:left w:val="single" w:sz="18" w:space="0" w:color="auto"/>
              <w:right w:val="single" w:sz="18" w:space="0" w:color="auto"/>
            </w:tcBorders>
          </w:tcPr>
          <w:p w14:paraId="4EC93902" w14:textId="77777777" w:rsidR="000923BB" w:rsidRPr="00AC0C56" w:rsidRDefault="000923BB" w:rsidP="003A385F">
            <w:pPr>
              <w:spacing w:after="0" w:line="240" w:lineRule="auto"/>
              <w:jc w:val="both"/>
              <w:rPr>
                <w:rFonts w:cs="Arial"/>
                <w:sz w:val="18"/>
                <w:szCs w:val="18"/>
              </w:rPr>
            </w:pPr>
            <w:r w:rsidRPr="00AC0C56">
              <w:rPr>
                <w:rFonts w:cs="Arial"/>
                <w:sz w:val="18"/>
                <w:szCs w:val="18"/>
              </w:rPr>
              <w:t>3 (13)</w:t>
            </w:r>
          </w:p>
        </w:tc>
        <w:tc>
          <w:tcPr>
            <w:tcW w:w="631" w:type="dxa"/>
            <w:tcBorders>
              <w:left w:val="single" w:sz="18" w:space="0" w:color="auto"/>
            </w:tcBorders>
          </w:tcPr>
          <w:p w14:paraId="189CF126" w14:textId="77777777" w:rsidR="000923BB" w:rsidRPr="00AC0C56" w:rsidRDefault="000923BB" w:rsidP="003A385F">
            <w:pPr>
              <w:spacing w:after="0" w:line="240" w:lineRule="auto"/>
              <w:jc w:val="both"/>
              <w:rPr>
                <w:rFonts w:cs="Arial"/>
                <w:sz w:val="18"/>
                <w:szCs w:val="18"/>
              </w:rPr>
            </w:pPr>
            <w:r w:rsidRPr="00AC0C56">
              <w:rPr>
                <w:rFonts w:cs="Arial"/>
                <w:sz w:val="18"/>
                <w:szCs w:val="18"/>
              </w:rPr>
              <w:t>11</w:t>
            </w:r>
          </w:p>
        </w:tc>
        <w:tc>
          <w:tcPr>
            <w:tcW w:w="583" w:type="dxa"/>
            <w:tcBorders>
              <w:right w:val="single" w:sz="18" w:space="0" w:color="auto"/>
            </w:tcBorders>
          </w:tcPr>
          <w:p w14:paraId="57DBF61A" w14:textId="77777777" w:rsidR="000923BB" w:rsidRPr="00AC0C56" w:rsidRDefault="000923BB" w:rsidP="003A385F">
            <w:pPr>
              <w:spacing w:after="0" w:line="240" w:lineRule="auto"/>
              <w:jc w:val="both"/>
              <w:rPr>
                <w:rFonts w:cs="Arial"/>
                <w:sz w:val="18"/>
                <w:szCs w:val="18"/>
              </w:rPr>
            </w:pPr>
            <w:r w:rsidRPr="00AC0C56">
              <w:rPr>
                <w:rFonts w:cs="Arial"/>
                <w:sz w:val="18"/>
                <w:szCs w:val="18"/>
              </w:rPr>
              <w:t xml:space="preserve">19 </w:t>
            </w:r>
          </w:p>
        </w:tc>
        <w:tc>
          <w:tcPr>
            <w:tcW w:w="619" w:type="dxa"/>
            <w:tcBorders>
              <w:left w:val="single" w:sz="18" w:space="0" w:color="auto"/>
            </w:tcBorders>
          </w:tcPr>
          <w:p w14:paraId="2C7D1F3C" w14:textId="77777777" w:rsidR="000923BB" w:rsidRPr="00AC0C56" w:rsidRDefault="000923BB" w:rsidP="003A385F">
            <w:pPr>
              <w:spacing w:after="0" w:line="240" w:lineRule="auto"/>
              <w:jc w:val="both"/>
              <w:rPr>
                <w:rFonts w:cs="Arial"/>
                <w:sz w:val="18"/>
                <w:szCs w:val="18"/>
              </w:rPr>
            </w:pPr>
            <w:r w:rsidRPr="00AC0C56">
              <w:rPr>
                <w:rFonts w:cs="Arial"/>
                <w:sz w:val="18"/>
                <w:szCs w:val="18"/>
              </w:rPr>
              <w:t>5</w:t>
            </w:r>
          </w:p>
        </w:tc>
        <w:tc>
          <w:tcPr>
            <w:tcW w:w="722" w:type="dxa"/>
            <w:tcBorders>
              <w:right w:val="single" w:sz="18" w:space="0" w:color="auto"/>
            </w:tcBorders>
          </w:tcPr>
          <w:p w14:paraId="572407D4" w14:textId="77777777" w:rsidR="000923BB" w:rsidRPr="00AC0C56" w:rsidRDefault="000923BB" w:rsidP="003A385F">
            <w:pPr>
              <w:spacing w:after="0" w:line="240" w:lineRule="auto"/>
              <w:jc w:val="both"/>
              <w:rPr>
                <w:rFonts w:cs="Arial"/>
                <w:sz w:val="18"/>
                <w:szCs w:val="18"/>
              </w:rPr>
            </w:pPr>
            <w:r w:rsidRPr="00AC0C56">
              <w:rPr>
                <w:rFonts w:cs="Arial"/>
                <w:sz w:val="18"/>
                <w:szCs w:val="18"/>
              </w:rPr>
              <w:t>16</w:t>
            </w:r>
          </w:p>
        </w:tc>
        <w:tc>
          <w:tcPr>
            <w:tcW w:w="640" w:type="dxa"/>
            <w:tcBorders>
              <w:left w:val="single" w:sz="18" w:space="0" w:color="auto"/>
            </w:tcBorders>
          </w:tcPr>
          <w:p w14:paraId="1C4D315A" w14:textId="77777777" w:rsidR="000923BB" w:rsidRPr="00AC0C56" w:rsidRDefault="000923BB" w:rsidP="003A385F">
            <w:pPr>
              <w:spacing w:after="0" w:line="240" w:lineRule="auto"/>
              <w:jc w:val="both"/>
              <w:rPr>
                <w:rFonts w:cs="Arial"/>
                <w:sz w:val="18"/>
                <w:szCs w:val="18"/>
              </w:rPr>
            </w:pPr>
            <w:r w:rsidRPr="00AC0C56">
              <w:rPr>
                <w:rFonts w:cs="Arial"/>
                <w:sz w:val="18"/>
                <w:szCs w:val="18"/>
              </w:rPr>
              <w:t>6</w:t>
            </w:r>
          </w:p>
        </w:tc>
        <w:tc>
          <w:tcPr>
            <w:tcW w:w="605" w:type="dxa"/>
            <w:tcBorders>
              <w:right w:val="single" w:sz="18" w:space="0" w:color="auto"/>
            </w:tcBorders>
          </w:tcPr>
          <w:p w14:paraId="586AFB4C" w14:textId="77777777" w:rsidR="000923BB" w:rsidRPr="00AC0C56" w:rsidRDefault="000923BB" w:rsidP="003A385F">
            <w:pPr>
              <w:spacing w:after="0" w:line="240" w:lineRule="auto"/>
              <w:jc w:val="both"/>
              <w:rPr>
                <w:rFonts w:cs="Arial"/>
                <w:sz w:val="18"/>
                <w:szCs w:val="18"/>
              </w:rPr>
            </w:pPr>
            <w:r w:rsidRPr="00AC0C56">
              <w:rPr>
                <w:rFonts w:cs="Arial"/>
                <w:sz w:val="18"/>
                <w:szCs w:val="18"/>
              </w:rPr>
              <w:t>11</w:t>
            </w:r>
          </w:p>
        </w:tc>
        <w:tc>
          <w:tcPr>
            <w:tcW w:w="697" w:type="dxa"/>
            <w:tcBorders>
              <w:left w:val="single" w:sz="18" w:space="0" w:color="auto"/>
            </w:tcBorders>
          </w:tcPr>
          <w:p w14:paraId="1B3775E4" w14:textId="77777777" w:rsidR="000923BB" w:rsidRPr="00AC0C56" w:rsidRDefault="000923BB" w:rsidP="003A385F">
            <w:pPr>
              <w:spacing w:after="0" w:line="240" w:lineRule="auto"/>
              <w:jc w:val="both"/>
              <w:rPr>
                <w:rFonts w:cs="Arial"/>
                <w:sz w:val="18"/>
                <w:szCs w:val="18"/>
              </w:rPr>
            </w:pPr>
            <w:r w:rsidRPr="00AC0C56">
              <w:rPr>
                <w:rFonts w:cs="Arial"/>
                <w:sz w:val="18"/>
                <w:szCs w:val="18"/>
              </w:rPr>
              <w:t>7</w:t>
            </w:r>
          </w:p>
        </w:tc>
        <w:tc>
          <w:tcPr>
            <w:tcW w:w="583" w:type="dxa"/>
            <w:tcBorders>
              <w:right w:val="single" w:sz="18" w:space="0" w:color="auto"/>
            </w:tcBorders>
          </w:tcPr>
          <w:p w14:paraId="39B27928" w14:textId="77777777" w:rsidR="000923BB" w:rsidRPr="00AC0C56" w:rsidRDefault="000923BB" w:rsidP="003A385F">
            <w:pPr>
              <w:spacing w:after="0" w:line="240" w:lineRule="auto"/>
              <w:jc w:val="both"/>
              <w:rPr>
                <w:rFonts w:cs="Arial"/>
                <w:sz w:val="18"/>
                <w:szCs w:val="18"/>
              </w:rPr>
            </w:pPr>
            <w:r w:rsidRPr="00AC0C56">
              <w:rPr>
                <w:rFonts w:cs="Arial"/>
                <w:sz w:val="18"/>
                <w:szCs w:val="18"/>
              </w:rPr>
              <w:t>14</w:t>
            </w:r>
          </w:p>
        </w:tc>
        <w:tc>
          <w:tcPr>
            <w:tcW w:w="716" w:type="dxa"/>
            <w:tcBorders>
              <w:left w:val="single" w:sz="18" w:space="0" w:color="auto"/>
              <w:right w:val="single" w:sz="2" w:space="0" w:color="auto"/>
            </w:tcBorders>
          </w:tcPr>
          <w:p w14:paraId="0EDEB865" w14:textId="77777777" w:rsidR="000923BB" w:rsidRPr="00AC0C56" w:rsidRDefault="000923BB" w:rsidP="003A385F">
            <w:pPr>
              <w:spacing w:after="0" w:line="240" w:lineRule="auto"/>
              <w:jc w:val="both"/>
              <w:rPr>
                <w:rFonts w:cs="Arial"/>
                <w:sz w:val="18"/>
                <w:szCs w:val="18"/>
              </w:rPr>
            </w:pPr>
            <w:r w:rsidRPr="00AC0C56">
              <w:rPr>
                <w:rFonts w:cs="Arial"/>
                <w:sz w:val="18"/>
                <w:szCs w:val="18"/>
              </w:rPr>
              <w:t>29</w:t>
            </w:r>
          </w:p>
        </w:tc>
        <w:tc>
          <w:tcPr>
            <w:tcW w:w="583" w:type="dxa"/>
            <w:tcBorders>
              <w:left w:val="single" w:sz="2" w:space="0" w:color="auto"/>
              <w:right w:val="single" w:sz="18" w:space="0" w:color="auto"/>
            </w:tcBorders>
          </w:tcPr>
          <w:p w14:paraId="1154AB66" w14:textId="77777777" w:rsidR="000923BB" w:rsidRPr="00AC0C56" w:rsidRDefault="000923BB" w:rsidP="003A385F">
            <w:pPr>
              <w:spacing w:after="0" w:line="240" w:lineRule="auto"/>
              <w:jc w:val="both"/>
              <w:rPr>
                <w:rFonts w:cs="Arial"/>
                <w:sz w:val="18"/>
                <w:szCs w:val="18"/>
              </w:rPr>
            </w:pPr>
            <w:r w:rsidRPr="00AC0C56">
              <w:rPr>
                <w:rFonts w:cs="Arial"/>
                <w:sz w:val="18"/>
                <w:szCs w:val="18"/>
              </w:rPr>
              <w:t>60</w:t>
            </w:r>
          </w:p>
        </w:tc>
        <w:tc>
          <w:tcPr>
            <w:tcW w:w="935" w:type="dxa"/>
            <w:tcBorders>
              <w:left w:val="single" w:sz="18" w:space="0" w:color="auto"/>
              <w:right w:val="single" w:sz="18" w:space="0" w:color="auto"/>
            </w:tcBorders>
          </w:tcPr>
          <w:p w14:paraId="78401E13" w14:textId="77777777" w:rsidR="000923BB" w:rsidRPr="00AC0C56" w:rsidRDefault="000923BB" w:rsidP="003A385F">
            <w:pPr>
              <w:spacing w:after="0" w:line="240" w:lineRule="auto"/>
              <w:jc w:val="both"/>
              <w:rPr>
                <w:rFonts w:cs="Arial"/>
                <w:sz w:val="18"/>
                <w:szCs w:val="18"/>
              </w:rPr>
            </w:pPr>
            <w:r w:rsidRPr="00AC0C56">
              <w:rPr>
                <w:rFonts w:cs="Arial"/>
                <w:sz w:val="18"/>
                <w:szCs w:val="18"/>
              </w:rPr>
              <w:t>0.48</w:t>
            </w:r>
          </w:p>
        </w:tc>
      </w:tr>
      <w:tr w:rsidR="00E5549E" w:rsidRPr="006538C4" w14:paraId="4BF2B1AC" w14:textId="77777777" w:rsidTr="00E5549E">
        <w:trPr>
          <w:trHeight w:val="187"/>
        </w:trPr>
        <w:tc>
          <w:tcPr>
            <w:tcW w:w="1018" w:type="dxa"/>
            <w:tcBorders>
              <w:left w:val="single" w:sz="18" w:space="0" w:color="auto"/>
              <w:right w:val="single" w:sz="18" w:space="0" w:color="auto"/>
            </w:tcBorders>
          </w:tcPr>
          <w:p w14:paraId="6C4FA2EF" w14:textId="77777777" w:rsidR="000923BB" w:rsidRPr="00AC0C56" w:rsidRDefault="000923BB" w:rsidP="003A385F">
            <w:pPr>
              <w:spacing w:after="0" w:line="240" w:lineRule="auto"/>
              <w:jc w:val="both"/>
              <w:rPr>
                <w:rFonts w:cs="Arial"/>
                <w:sz w:val="18"/>
                <w:szCs w:val="18"/>
              </w:rPr>
            </w:pPr>
            <w:r w:rsidRPr="00AC0C56">
              <w:rPr>
                <w:rFonts w:cs="Arial"/>
                <w:sz w:val="18"/>
                <w:szCs w:val="18"/>
              </w:rPr>
              <w:t>4 (32)</w:t>
            </w:r>
          </w:p>
        </w:tc>
        <w:tc>
          <w:tcPr>
            <w:tcW w:w="631" w:type="dxa"/>
            <w:tcBorders>
              <w:left w:val="single" w:sz="18" w:space="0" w:color="auto"/>
            </w:tcBorders>
          </w:tcPr>
          <w:p w14:paraId="462AAC27" w14:textId="77777777" w:rsidR="000923BB" w:rsidRPr="00AC0C56" w:rsidRDefault="000923BB" w:rsidP="003A385F">
            <w:pPr>
              <w:spacing w:after="0" w:line="240" w:lineRule="auto"/>
              <w:jc w:val="both"/>
              <w:rPr>
                <w:rFonts w:cs="Arial"/>
                <w:sz w:val="18"/>
                <w:szCs w:val="18"/>
              </w:rPr>
            </w:pPr>
            <w:r w:rsidRPr="00AC0C56">
              <w:rPr>
                <w:rFonts w:cs="Arial"/>
                <w:sz w:val="18"/>
                <w:szCs w:val="18"/>
              </w:rPr>
              <w:t>39</w:t>
            </w:r>
          </w:p>
        </w:tc>
        <w:tc>
          <w:tcPr>
            <w:tcW w:w="583" w:type="dxa"/>
            <w:tcBorders>
              <w:right w:val="single" w:sz="18" w:space="0" w:color="auto"/>
            </w:tcBorders>
          </w:tcPr>
          <w:p w14:paraId="6E1B1B6C" w14:textId="77777777" w:rsidR="000923BB" w:rsidRPr="00AC0C56" w:rsidRDefault="000923BB" w:rsidP="003A385F">
            <w:pPr>
              <w:spacing w:after="0" w:line="240" w:lineRule="auto"/>
              <w:jc w:val="both"/>
              <w:rPr>
                <w:rFonts w:cs="Arial"/>
                <w:sz w:val="18"/>
                <w:szCs w:val="18"/>
              </w:rPr>
            </w:pPr>
            <w:r w:rsidRPr="00AC0C56">
              <w:rPr>
                <w:rFonts w:cs="Arial"/>
                <w:sz w:val="18"/>
                <w:szCs w:val="18"/>
              </w:rPr>
              <w:t xml:space="preserve">27 </w:t>
            </w:r>
          </w:p>
        </w:tc>
        <w:tc>
          <w:tcPr>
            <w:tcW w:w="619" w:type="dxa"/>
            <w:tcBorders>
              <w:left w:val="single" w:sz="18" w:space="0" w:color="auto"/>
            </w:tcBorders>
          </w:tcPr>
          <w:p w14:paraId="20F7F479" w14:textId="77777777" w:rsidR="000923BB" w:rsidRPr="00AC0C56" w:rsidRDefault="000923BB" w:rsidP="003A385F">
            <w:pPr>
              <w:spacing w:after="0" w:line="240" w:lineRule="auto"/>
              <w:jc w:val="both"/>
              <w:rPr>
                <w:rFonts w:cs="Arial"/>
                <w:sz w:val="18"/>
                <w:szCs w:val="18"/>
              </w:rPr>
            </w:pPr>
            <w:r w:rsidRPr="00AC0C56">
              <w:rPr>
                <w:rFonts w:cs="Arial"/>
                <w:sz w:val="18"/>
                <w:szCs w:val="18"/>
              </w:rPr>
              <w:t>27</w:t>
            </w:r>
          </w:p>
        </w:tc>
        <w:tc>
          <w:tcPr>
            <w:tcW w:w="722" w:type="dxa"/>
            <w:tcBorders>
              <w:right w:val="single" w:sz="18" w:space="0" w:color="auto"/>
            </w:tcBorders>
          </w:tcPr>
          <w:p w14:paraId="636A91B5" w14:textId="77777777" w:rsidR="000923BB" w:rsidRPr="00AC0C56" w:rsidRDefault="000923BB" w:rsidP="003A385F">
            <w:pPr>
              <w:spacing w:after="0" w:line="240" w:lineRule="auto"/>
              <w:jc w:val="both"/>
              <w:rPr>
                <w:rFonts w:cs="Arial"/>
                <w:sz w:val="18"/>
                <w:szCs w:val="18"/>
              </w:rPr>
            </w:pPr>
            <w:r w:rsidRPr="00AC0C56">
              <w:rPr>
                <w:rFonts w:cs="Arial"/>
                <w:sz w:val="18"/>
                <w:szCs w:val="18"/>
              </w:rPr>
              <w:t>24</w:t>
            </w:r>
          </w:p>
        </w:tc>
        <w:tc>
          <w:tcPr>
            <w:tcW w:w="640" w:type="dxa"/>
            <w:tcBorders>
              <w:left w:val="single" w:sz="18" w:space="0" w:color="auto"/>
            </w:tcBorders>
          </w:tcPr>
          <w:p w14:paraId="0A64BF19" w14:textId="77777777" w:rsidR="000923BB" w:rsidRPr="00AC0C56" w:rsidRDefault="000923BB" w:rsidP="003A385F">
            <w:pPr>
              <w:spacing w:after="0" w:line="240" w:lineRule="auto"/>
              <w:jc w:val="both"/>
              <w:rPr>
                <w:rFonts w:cs="Arial"/>
                <w:sz w:val="18"/>
                <w:szCs w:val="18"/>
              </w:rPr>
            </w:pPr>
            <w:r w:rsidRPr="00AC0C56">
              <w:rPr>
                <w:rFonts w:cs="Arial"/>
                <w:sz w:val="18"/>
                <w:szCs w:val="18"/>
              </w:rPr>
              <w:t>22</w:t>
            </w:r>
          </w:p>
        </w:tc>
        <w:tc>
          <w:tcPr>
            <w:tcW w:w="605" w:type="dxa"/>
            <w:tcBorders>
              <w:right w:val="single" w:sz="18" w:space="0" w:color="auto"/>
            </w:tcBorders>
          </w:tcPr>
          <w:p w14:paraId="5603DC9A" w14:textId="77777777" w:rsidR="000923BB" w:rsidRPr="00AC0C56" w:rsidRDefault="000923BB" w:rsidP="003A385F">
            <w:pPr>
              <w:spacing w:after="0" w:line="240" w:lineRule="auto"/>
              <w:jc w:val="both"/>
              <w:rPr>
                <w:rFonts w:cs="Arial"/>
                <w:sz w:val="18"/>
                <w:szCs w:val="18"/>
              </w:rPr>
            </w:pPr>
            <w:r w:rsidRPr="00AC0C56">
              <w:rPr>
                <w:rFonts w:cs="Arial"/>
                <w:sz w:val="18"/>
                <w:szCs w:val="18"/>
              </w:rPr>
              <w:t>12</w:t>
            </w:r>
          </w:p>
        </w:tc>
        <w:tc>
          <w:tcPr>
            <w:tcW w:w="697" w:type="dxa"/>
            <w:tcBorders>
              <w:left w:val="single" w:sz="18" w:space="0" w:color="auto"/>
            </w:tcBorders>
          </w:tcPr>
          <w:p w14:paraId="6D32D476" w14:textId="77777777" w:rsidR="000923BB" w:rsidRPr="00AC0C56" w:rsidRDefault="000923BB" w:rsidP="003A385F">
            <w:pPr>
              <w:spacing w:after="0" w:line="240" w:lineRule="auto"/>
              <w:jc w:val="both"/>
              <w:rPr>
                <w:rFonts w:cs="Arial"/>
                <w:sz w:val="18"/>
                <w:szCs w:val="18"/>
              </w:rPr>
            </w:pPr>
            <w:r w:rsidRPr="00AC0C56">
              <w:rPr>
                <w:rFonts w:cs="Arial"/>
                <w:sz w:val="18"/>
                <w:szCs w:val="18"/>
              </w:rPr>
              <w:t>24</w:t>
            </w:r>
          </w:p>
        </w:tc>
        <w:tc>
          <w:tcPr>
            <w:tcW w:w="583" w:type="dxa"/>
            <w:tcBorders>
              <w:right w:val="single" w:sz="18" w:space="0" w:color="auto"/>
            </w:tcBorders>
          </w:tcPr>
          <w:p w14:paraId="520DAEDF" w14:textId="77777777" w:rsidR="000923BB" w:rsidRPr="00AC0C56" w:rsidRDefault="000923BB" w:rsidP="003A385F">
            <w:pPr>
              <w:spacing w:after="0" w:line="240" w:lineRule="auto"/>
              <w:jc w:val="both"/>
              <w:rPr>
                <w:rFonts w:cs="Arial"/>
                <w:sz w:val="18"/>
                <w:szCs w:val="18"/>
              </w:rPr>
            </w:pPr>
            <w:r w:rsidRPr="00AC0C56">
              <w:rPr>
                <w:rFonts w:cs="Arial"/>
                <w:sz w:val="18"/>
                <w:szCs w:val="18"/>
              </w:rPr>
              <w:t>21</w:t>
            </w:r>
          </w:p>
        </w:tc>
        <w:tc>
          <w:tcPr>
            <w:tcW w:w="716" w:type="dxa"/>
            <w:tcBorders>
              <w:left w:val="single" w:sz="18" w:space="0" w:color="auto"/>
              <w:right w:val="single" w:sz="2" w:space="0" w:color="auto"/>
            </w:tcBorders>
          </w:tcPr>
          <w:p w14:paraId="71FA9286" w14:textId="77777777" w:rsidR="000923BB" w:rsidRPr="00AC0C56" w:rsidRDefault="000923BB" w:rsidP="003A385F">
            <w:pPr>
              <w:spacing w:after="0" w:line="240" w:lineRule="auto"/>
              <w:jc w:val="both"/>
              <w:rPr>
                <w:rFonts w:cs="Arial"/>
                <w:sz w:val="18"/>
                <w:szCs w:val="18"/>
              </w:rPr>
            </w:pPr>
            <w:r w:rsidRPr="00AC0C56">
              <w:rPr>
                <w:rFonts w:cs="Arial"/>
                <w:sz w:val="18"/>
                <w:szCs w:val="18"/>
              </w:rPr>
              <w:t>112</w:t>
            </w:r>
          </w:p>
        </w:tc>
        <w:tc>
          <w:tcPr>
            <w:tcW w:w="583" w:type="dxa"/>
            <w:tcBorders>
              <w:left w:val="single" w:sz="2" w:space="0" w:color="auto"/>
              <w:right w:val="single" w:sz="18" w:space="0" w:color="auto"/>
            </w:tcBorders>
          </w:tcPr>
          <w:p w14:paraId="34D42600" w14:textId="77777777" w:rsidR="000923BB" w:rsidRPr="00AC0C56" w:rsidRDefault="000923BB" w:rsidP="003A385F">
            <w:pPr>
              <w:spacing w:after="0" w:line="240" w:lineRule="auto"/>
              <w:jc w:val="both"/>
              <w:rPr>
                <w:rFonts w:cs="Arial"/>
                <w:sz w:val="18"/>
                <w:szCs w:val="18"/>
              </w:rPr>
            </w:pPr>
            <w:r w:rsidRPr="00AC0C56">
              <w:rPr>
                <w:rFonts w:cs="Arial"/>
                <w:sz w:val="18"/>
                <w:szCs w:val="18"/>
              </w:rPr>
              <w:t>84</w:t>
            </w:r>
          </w:p>
        </w:tc>
        <w:tc>
          <w:tcPr>
            <w:tcW w:w="935" w:type="dxa"/>
            <w:tcBorders>
              <w:left w:val="single" w:sz="18" w:space="0" w:color="auto"/>
              <w:right w:val="single" w:sz="18" w:space="0" w:color="auto"/>
            </w:tcBorders>
          </w:tcPr>
          <w:p w14:paraId="49C2A9A3" w14:textId="77777777" w:rsidR="000923BB" w:rsidRPr="00AC0C56" w:rsidRDefault="000923BB" w:rsidP="003A385F">
            <w:pPr>
              <w:spacing w:after="0" w:line="240" w:lineRule="auto"/>
              <w:jc w:val="both"/>
              <w:rPr>
                <w:rFonts w:cs="Arial"/>
                <w:sz w:val="18"/>
                <w:szCs w:val="18"/>
              </w:rPr>
            </w:pPr>
            <w:r w:rsidRPr="00AC0C56">
              <w:rPr>
                <w:rFonts w:cs="Arial"/>
                <w:sz w:val="18"/>
                <w:szCs w:val="18"/>
              </w:rPr>
              <w:t>1.33</w:t>
            </w:r>
          </w:p>
        </w:tc>
      </w:tr>
      <w:tr w:rsidR="00E5549E" w:rsidRPr="006538C4" w14:paraId="15DE3EF3" w14:textId="77777777" w:rsidTr="00E5549E">
        <w:trPr>
          <w:trHeight w:val="187"/>
        </w:trPr>
        <w:tc>
          <w:tcPr>
            <w:tcW w:w="1018" w:type="dxa"/>
            <w:tcBorders>
              <w:left w:val="single" w:sz="18" w:space="0" w:color="auto"/>
              <w:right w:val="single" w:sz="18" w:space="0" w:color="auto"/>
            </w:tcBorders>
          </w:tcPr>
          <w:p w14:paraId="3896FD0F" w14:textId="77777777" w:rsidR="000923BB" w:rsidRPr="00AC0C56" w:rsidRDefault="000923BB" w:rsidP="003A385F">
            <w:pPr>
              <w:spacing w:after="0" w:line="240" w:lineRule="auto"/>
              <w:jc w:val="both"/>
              <w:rPr>
                <w:rFonts w:cs="Arial"/>
                <w:sz w:val="18"/>
                <w:szCs w:val="18"/>
              </w:rPr>
            </w:pPr>
            <w:r w:rsidRPr="00AC0C56">
              <w:rPr>
                <w:rFonts w:cs="Arial"/>
                <w:sz w:val="18"/>
                <w:szCs w:val="18"/>
              </w:rPr>
              <w:t>5 (40)</w:t>
            </w:r>
          </w:p>
        </w:tc>
        <w:tc>
          <w:tcPr>
            <w:tcW w:w="631" w:type="dxa"/>
            <w:tcBorders>
              <w:left w:val="single" w:sz="18" w:space="0" w:color="auto"/>
            </w:tcBorders>
          </w:tcPr>
          <w:p w14:paraId="1376FFAB" w14:textId="77777777" w:rsidR="000923BB" w:rsidRPr="00AC0C56" w:rsidRDefault="000923BB" w:rsidP="003A385F">
            <w:pPr>
              <w:spacing w:after="0" w:line="240" w:lineRule="auto"/>
              <w:jc w:val="both"/>
              <w:rPr>
                <w:rFonts w:cs="Arial"/>
                <w:sz w:val="18"/>
                <w:szCs w:val="18"/>
              </w:rPr>
            </w:pPr>
            <w:r w:rsidRPr="00AC0C56">
              <w:rPr>
                <w:rFonts w:cs="Arial"/>
                <w:sz w:val="18"/>
                <w:szCs w:val="18"/>
              </w:rPr>
              <w:t>49</w:t>
            </w:r>
          </w:p>
        </w:tc>
        <w:tc>
          <w:tcPr>
            <w:tcW w:w="583" w:type="dxa"/>
            <w:tcBorders>
              <w:right w:val="single" w:sz="18" w:space="0" w:color="auto"/>
            </w:tcBorders>
          </w:tcPr>
          <w:p w14:paraId="573B0714" w14:textId="77777777" w:rsidR="000923BB" w:rsidRPr="00AC0C56" w:rsidRDefault="000923BB" w:rsidP="003A385F">
            <w:pPr>
              <w:spacing w:after="0" w:line="240" w:lineRule="auto"/>
              <w:jc w:val="both"/>
              <w:rPr>
                <w:rFonts w:cs="Arial"/>
                <w:sz w:val="18"/>
                <w:szCs w:val="18"/>
              </w:rPr>
            </w:pPr>
            <w:r w:rsidRPr="00AC0C56">
              <w:rPr>
                <w:rFonts w:cs="Arial"/>
                <w:sz w:val="18"/>
                <w:szCs w:val="18"/>
              </w:rPr>
              <w:t xml:space="preserve">15 </w:t>
            </w:r>
          </w:p>
        </w:tc>
        <w:tc>
          <w:tcPr>
            <w:tcW w:w="619" w:type="dxa"/>
            <w:tcBorders>
              <w:left w:val="single" w:sz="18" w:space="0" w:color="auto"/>
            </w:tcBorders>
          </w:tcPr>
          <w:p w14:paraId="0E8B80CE" w14:textId="77777777" w:rsidR="000923BB" w:rsidRPr="00AC0C56" w:rsidRDefault="000923BB" w:rsidP="003A385F">
            <w:pPr>
              <w:spacing w:after="0" w:line="240" w:lineRule="auto"/>
              <w:jc w:val="both"/>
              <w:rPr>
                <w:rFonts w:cs="Arial"/>
                <w:sz w:val="18"/>
                <w:szCs w:val="18"/>
              </w:rPr>
            </w:pPr>
            <w:r w:rsidRPr="00AC0C56">
              <w:rPr>
                <w:rFonts w:cs="Arial"/>
                <w:sz w:val="18"/>
                <w:szCs w:val="18"/>
              </w:rPr>
              <w:t>49</w:t>
            </w:r>
          </w:p>
        </w:tc>
        <w:tc>
          <w:tcPr>
            <w:tcW w:w="722" w:type="dxa"/>
            <w:tcBorders>
              <w:right w:val="single" w:sz="18" w:space="0" w:color="auto"/>
            </w:tcBorders>
          </w:tcPr>
          <w:p w14:paraId="18D91FF4" w14:textId="77777777" w:rsidR="000923BB" w:rsidRPr="00AC0C56" w:rsidRDefault="000923BB" w:rsidP="003A385F">
            <w:pPr>
              <w:spacing w:after="0" w:line="240" w:lineRule="auto"/>
              <w:jc w:val="both"/>
              <w:rPr>
                <w:rFonts w:cs="Arial"/>
                <w:sz w:val="18"/>
                <w:szCs w:val="18"/>
              </w:rPr>
            </w:pPr>
            <w:r w:rsidRPr="00AC0C56">
              <w:rPr>
                <w:rFonts w:cs="Arial"/>
                <w:sz w:val="18"/>
                <w:szCs w:val="18"/>
              </w:rPr>
              <w:t>12</w:t>
            </w:r>
          </w:p>
        </w:tc>
        <w:tc>
          <w:tcPr>
            <w:tcW w:w="640" w:type="dxa"/>
            <w:tcBorders>
              <w:left w:val="single" w:sz="18" w:space="0" w:color="auto"/>
            </w:tcBorders>
          </w:tcPr>
          <w:p w14:paraId="5CAB8132" w14:textId="77777777" w:rsidR="000923BB" w:rsidRPr="00AC0C56" w:rsidRDefault="000923BB" w:rsidP="003A385F">
            <w:pPr>
              <w:spacing w:after="0" w:line="240" w:lineRule="auto"/>
              <w:jc w:val="both"/>
              <w:rPr>
                <w:rFonts w:cs="Arial"/>
                <w:sz w:val="18"/>
                <w:szCs w:val="18"/>
              </w:rPr>
            </w:pPr>
            <w:r w:rsidRPr="00AC0C56">
              <w:rPr>
                <w:rFonts w:cs="Arial"/>
                <w:sz w:val="18"/>
                <w:szCs w:val="18"/>
              </w:rPr>
              <w:t>29</w:t>
            </w:r>
          </w:p>
        </w:tc>
        <w:tc>
          <w:tcPr>
            <w:tcW w:w="605" w:type="dxa"/>
            <w:tcBorders>
              <w:right w:val="single" w:sz="18" w:space="0" w:color="auto"/>
            </w:tcBorders>
          </w:tcPr>
          <w:p w14:paraId="3A8845CA" w14:textId="77777777" w:rsidR="000923BB" w:rsidRPr="00AC0C56" w:rsidRDefault="000923BB" w:rsidP="003A385F">
            <w:pPr>
              <w:spacing w:after="0" w:line="240" w:lineRule="auto"/>
              <w:jc w:val="both"/>
              <w:rPr>
                <w:rFonts w:cs="Arial"/>
                <w:sz w:val="18"/>
                <w:szCs w:val="18"/>
              </w:rPr>
            </w:pPr>
            <w:r w:rsidRPr="00AC0C56">
              <w:rPr>
                <w:rFonts w:cs="Arial"/>
                <w:sz w:val="18"/>
                <w:szCs w:val="18"/>
              </w:rPr>
              <w:t>2</w:t>
            </w:r>
          </w:p>
        </w:tc>
        <w:tc>
          <w:tcPr>
            <w:tcW w:w="697" w:type="dxa"/>
            <w:tcBorders>
              <w:left w:val="single" w:sz="18" w:space="0" w:color="auto"/>
            </w:tcBorders>
          </w:tcPr>
          <w:p w14:paraId="18EA1C12" w14:textId="77777777" w:rsidR="000923BB" w:rsidRPr="00AC0C56" w:rsidRDefault="000923BB" w:rsidP="003A385F">
            <w:pPr>
              <w:spacing w:after="0" w:line="240" w:lineRule="auto"/>
              <w:jc w:val="both"/>
              <w:rPr>
                <w:rFonts w:cs="Arial"/>
                <w:sz w:val="18"/>
                <w:szCs w:val="18"/>
              </w:rPr>
            </w:pPr>
            <w:r w:rsidRPr="00AC0C56">
              <w:rPr>
                <w:rFonts w:cs="Arial"/>
                <w:sz w:val="18"/>
                <w:szCs w:val="18"/>
              </w:rPr>
              <w:t>47</w:t>
            </w:r>
          </w:p>
        </w:tc>
        <w:tc>
          <w:tcPr>
            <w:tcW w:w="583" w:type="dxa"/>
            <w:tcBorders>
              <w:right w:val="single" w:sz="18" w:space="0" w:color="auto"/>
            </w:tcBorders>
          </w:tcPr>
          <w:p w14:paraId="68438F2A" w14:textId="77777777" w:rsidR="000923BB" w:rsidRPr="00AC0C56" w:rsidRDefault="000923BB" w:rsidP="003A385F">
            <w:pPr>
              <w:spacing w:after="0" w:line="240" w:lineRule="auto"/>
              <w:jc w:val="both"/>
              <w:rPr>
                <w:rFonts w:cs="Arial"/>
                <w:sz w:val="18"/>
                <w:szCs w:val="18"/>
              </w:rPr>
            </w:pPr>
            <w:r w:rsidRPr="00AC0C56">
              <w:rPr>
                <w:rFonts w:cs="Arial"/>
                <w:sz w:val="18"/>
                <w:szCs w:val="18"/>
              </w:rPr>
              <w:t>9</w:t>
            </w:r>
          </w:p>
        </w:tc>
        <w:tc>
          <w:tcPr>
            <w:tcW w:w="716" w:type="dxa"/>
            <w:tcBorders>
              <w:left w:val="single" w:sz="18" w:space="0" w:color="auto"/>
              <w:right w:val="single" w:sz="2" w:space="0" w:color="auto"/>
            </w:tcBorders>
          </w:tcPr>
          <w:p w14:paraId="02D83A0B" w14:textId="77777777" w:rsidR="000923BB" w:rsidRPr="00AC0C56" w:rsidRDefault="000923BB" w:rsidP="003A385F">
            <w:pPr>
              <w:spacing w:after="0" w:line="240" w:lineRule="auto"/>
              <w:jc w:val="both"/>
              <w:rPr>
                <w:rFonts w:cs="Arial"/>
                <w:sz w:val="18"/>
                <w:szCs w:val="18"/>
              </w:rPr>
            </w:pPr>
            <w:r w:rsidRPr="00AC0C56">
              <w:rPr>
                <w:rFonts w:cs="Arial"/>
                <w:sz w:val="18"/>
                <w:szCs w:val="18"/>
              </w:rPr>
              <w:t>174</w:t>
            </w:r>
          </w:p>
        </w:tc>
        <w:tc>
          <w:tcPr>
            <w:tcW w:w="583" w:type="dxa"/>
            <w:tcBorders>
              <w:left w:val="single" w:sz="2" w:space="0" w:color="auto"/>
              <w:right w:val="single" w:sz="18" w:space="0" w:color="auto"/>
            </w:tcBorders>
          </w:tcPr>
          <w:p w14:paraId="3C376E2B" w14:textId="77777777" w:rsidR="000923BB" w:rsidRPr="00AC0C56" w:rsidRDefault="000923BB" w:rsidP="003A385F">
            <w:pPr>
              <w:spacing w:after="0" w:line="240" w:lineRule="auto"/>
              <w:jc w:val="both"/>
              <w:rPr>
                <w:rFonts w:cs="Arial"/>
                <w:sz w:val="18"/>
                <w:szCs w:val="18"/>
              </w:rPr>
            </w:pPr>
            <w:r w:rsidRPr="00AC0C56">
              <w:rPr>
                <w:rFonts w:cs="Arial"/>
                <w:sz w:val="18"/>
                <w:szCs w:val="18"/>
              </w:rPr>
              <w:t>38</w:t>
            </w:r>
          </w:p>
        </w:tc>
        <w:tc>
          <w:tcPr>
            <w:tcW w:w="935" w:type="dxa"/>
            <w:tcBorders>
              <w:left w:val="single" w:sz="18" w:space="0" w:color="auto"/>
              <w:right w:val="single" w:sz="18" w:space="0" w:color="auto"/>
            </w:tcBorders>
          </w:tcPr>
          <w:p w14:paraId="358A4DFA" w14:textId="77777777" w:rsidR="000923BB" w:rsidRPr="00AC0C56" w:rsidRDefault="000923BB" w:rsidP="003A385F">
            <w:pPr>
              <w:spacing w:after="0" w:line="240" w:lineRule="auto"/>
              <w:jc w:val="both"/>
              <w:rPr>
                <w:rFonts w:cs="Arial"/>
                <w:sz w:val="18"/>
                <w:szCs w:val="18"/>
              </w:rPr>
            </w:pPr>
            <w:r w:rsidRPr="00AC0C56">
              <w:rPr>
                <w:rFonts w:cs="Arial"/>
                <w:sz w:val="18"/>
                <w:szCs w:val="18"/>
              </w:rPr>
              <w:t>4.58</w:t>
            </w:r>
          </w:p>
        </w:tc>
      </w:tr>
      <w:tr w:rsidR="00E5549E" w:rsidRPr="006538C4" w14:paraId="1D37E949" w14:textId="77777777" w:rsidTr="00E5549E">
        <w:trPr>
          <w:trHeight w:val="187"/>
        </w:trPr>
        <w:tc>
          <w:tcPr>
            <w:tcW w:w="1018" w:type="dxa"/>
            <w:tcBorders>
              <w:left w:val="single" w:sz="18" w:space="0" w:color="auto"/>
              <w:right w:val="single" w:sz="18" w:space="0" w:color="auto"/>
            </w:tcBorders>
          </w:tcPr>
          <w:p w14:paraId="0A219C90" w14:textId="77777777" w:rsidR="000923BB" w:rsidRPr="00AC0C56" w:rsidRDefault="000923BB" w:rsidP="003A385F">
            <w:pPr>
              <w:spacing w:after="0" w:line="240" w:lineRule="auto"/>
              <w:jc w:val="both"/>
              <w:rPr>
                <w:rFonts w:cs="Arial"/>
                <w:sz w:val="18"/>
                <w:szCs w:val="18"/>
              </w:rPr>
            </w:pPr>
            <w:r w:rsidRPr="00AC0C56">
              <w:rPr>
                <w:rFonts w:cs="Arial"/>
                <w:sz w:val="18"/>
                <w:szCs w:val="18"/>
              </w:rPr>
              <w:t>6 (24)</w:t>
            </w:r>
          </w:p>
        </w:tc>
        <w:tc>
          <w:tcPr>
            <w:tcW w:w="631" w:type="dxa"/>
            <w:tcBorders>
              <w:left w:val="single" w:sz="18" w:space="0" w:color="auto"/>
            </w:tcBorders>
          </w:tcPr>
          <w:p w14:paraId="46800133" w14:textId="77777777" w:rsidR="000923BB" w:rsidRPr="00AC0C56" w:rsidRDefault="000923BB" w:rsidP="003A385F">
            <w:pPr>
              <w:spacing w:after="0" w:line="240" w:lineRule="auto"/>
              <w:jc w:val="both"/>
              <w:rPr>
                <w:rFonts w:cs="Arial"/>
                <w:sz w:val="18"/>
                <w:szCs w:val="18"/>
              </w:rPr>
            </w:pPr>
            <w:r w:rsidRPr="00AC0C56">
              <w:rPr>
                <w:rFonts w:cs="Arial"/>
                <w:sz w:val="18"/>
                <w:szCs w:val="18"/>
              </w:rPr>
              <w:t>36</w:t>
            </w:r>
          </w:p>
        </w:tc>
        <w:tc>
          <w:tcPr>
            <w:tcW w:w="583" w:type="dxa"/>
            <w:tcBorders>
              <w:right w:val="single" w:sz="18" w:space="0" w:color="auto"/>
            </w:tcBorders>
          </w:tcPr>
          <w:p w14:paraId="37BAE6E8" w14:textId="77777777" w:rsidR="000923BB" w:rsidRPr="00AC0C56" w:rsidRDefault="000923BB" w:rsidP="003A385F">
            <w:pPr>
              <w:spacing w:after="0" w:line="240" w:lineRule="auto"/>
              <w:jc w:val="both"/>
              <w:rPr>
                <w:rFonts w:cs="Arial"/>
                <w:sz w:val="18"/>
                <w:szCs w:val="18"/>
              </w:rPr>
            </w:pPr>
            <w:r w:rsidRPr="00AC0C56">
              <w:rPr>
                <w:rFonts w:cs="Arial"/>
                <w:sz w:val="18"/>
                <w:szCs w:val="18"/>
              </w:rPr>
              <w:t>4</w:t>
            </w:r>
          </w:p>
        </w:tc>
        <w:tc>
          <w:tcPr>
            <w:tcW w:w="619" w:type="dxa"/>
            <w:tcBorders>
              <w:left w:val="single" w:sz="18" w:space="0" w:color="auto"/>
            </w:tcBorders>
          </w:tcPr>
          <w:p w14:paraId="183922E8" w14:textId="77777777" w:rsidR="000923BB" w:rsidRPr="00AC0C56" w:rsidRDefault="000923BB" w:rsidP="003A385F">
            <w:pPr>
              <w:spacing w:after="0" w:line="240" w:lineRule="auto"/>
              <w:jc w:val="both"/>
              <w:rPr>
                <w:rFonts w:cs="Arial"/>
                <w:sz w:val="18"/>
                <w:szCs w:val="18"/>
              </w:rPr>
            </w:pPr>
            <w:r w:rsidRPr="00AC0C56">
              <w:rPr>
                <w:rFonts w:cs="Arial"/>
                <w:sz w:val="18"/>
                <w:szCs w:val="18"/>
              </w:rPr>
              <w:t>40</w:t>
            </w:r>
          </w:p>
        </w:tc>
        <w:tc>
          <w:tcPr>
            <w:tcW w:w="722" w:type="dxa"/>
            <w:tcBorders>
              <w:right w:val="single" w:sz="18" w:space="0" w:color="auto"/>
            </w:tcBorders>
          </w:tcPr>
          <w:p w14:paraId="62FCE2D7" w14:textId="77777777" w:rsidR="000923BB" w:rsidRPr="00AC0C56" w:rsidRDefault="000923BB" w:rsidP="003A385F">
            <w:pPr>
              <w:spacing w:after="0" w:line="240" w:lineRule="auto"/>
              <w:jc w:val="both"/>
              <w:rPr>
                <w:rFonts w:cs="Arial"/>
                <w:sz w:val="18"/>
                <w:szCs w:val="18"/>
              </w:rPr>
            </w:pPr>
            <w:r w:rsidRPr="00AC0C56">
              <w:rPr>
                <w:rFonts w:cs="Arial"/>
                <w:sz w:val="18"/>
                <w:szCs w:val="18"/>
              </w:rPr>
              <w:t>1</w:t>
            </w:r>
          </w:p>
        </w:tc>
        <w:tc>
          <w:tcPr>
            <w:tcW w:w="640" w:type="dxa"/>
            <w:tcBorders>
              <w:left w:val="single" w:sz="18" w:space="0" w:color="auto"/>
            </w:tcBorders>
          </w:tcPr>
          <w:p w14:paraId="1A9733AA" w14:textId="77777777" w:rsidR="000923BB" w:rsidRPr="00AC0C56" w:rsidRDefault="000923BB" w:rsidP="003A385F">
            <w:pPr>
              <w:spacing w:after="0" w:line="240" w:lineRule="auto"/>
              <w:jc w:val="both"/>
              <w:rPr>
                <w:rFonts w:cs="Arial"/>
                <w:sz w:val="18"/>
                <w:szCs w:val="18"/>
              </w:rPr>
            </w:pPr>
            <w:r w:rsidRPr="00AC0C56">
              <w:rPr>
                <w:rFonts w:cs="Arial"/>
                <w:sz w:val="18"/>
                <w:szCs w:val="18"/>
              </w:rPr>
              <w:t>25</w:t>
            </w:r>
          </w:p>
        </w:tc>
        <w:tc>
          <w:tcPr>
            <w:tcW w:w="605" w:type="dxa"/>
            <w:tcBorders>
              <w:right w:val="single" w:sz="18" w:space="0" w:color="auto"/>
            </w:tcBorders>
          </w:tcPr>
          <w:p w14:paraId="35A5C744" w14:textId="77777777" w:rsidR="000923BB" w:rsidRPr="00AC0C56" w:rsidRDefault="000923BB" w:rsidP="003A385F">
            <w:pPr>
              <w:spacing w:after="0" w:line="240" w:lineRule="auto"/>
              <w:jc w:val="both"/>
              <w:rPr>
                <w:rFonts w:cs="Arial"/>
                <w:sz w:val="18"/>
                <w:szCs w:val="18"/>
              </w:rPr>
            </w:pPr>
            <w:r w:rsidRPr="00AC0C56">
              <w:rPr>
                <w:rFonts w:cs="Arial"/>
                <w:sz w:val="18"/>
                <w:szCs w:val="18"/>
              </w:rPr>
              <w:t>1</w:t>
            </w:r>
          </w:p>
        </w:tc>
        <w:tc>
          <w:tcPr>
            <w:tcW w:w="697" w:type="dxa"/>
            <w:tcBorders>
              <w:left w:val="single" w:sz="18" w:space="0" w:color="auto"/>
            </w:tcBorders>
          </w:tcPr>
          <w:p w14:paraId="33DA529F" w14:textId="77777777" w:rsidR="000923BB" w:rsidRPr="00AC0C56" w:rsidRDefault="000923BB" w:rsidP="003A385F">
            <w:pPr>
              <w:spacing w:after="0" w:line="240" w:lineRule="auto"/>
              <w:jc w:val="both"/>
              <w:rPr>
                <w:rFonts w:cs="Arial"/>
                <w:sz w:val="18"/>
                <w:szCs w:val="18"/>
              </w:rPr>
            </w:pPr>
            <w:r w:rsidRPr="00AC0C56">
              <w:rPr>
                <w:rFonts w:cs="Arial"/>
                <w:sz w:val="18"/>
                <w:szCs w:val="18"/>
              </w:rPr>
              <w:t>29</w:t>
            </w:r>
          </w:p>
        </w:tc>
        <w:tc>
          <w:tcPr>
            <w:tcW w:w="583" w:type="dxa"/>
            <w:tcBorders>
              <w:right w:val="single" w:sz="18" w:space="0" w:color="auto"/>
            </w:tcBorders>
          </w:tcPr>
          <w:p w14:paraId="59A06C36" w14:textId="77777777" w:rsidR="000923BB" w:rsidRPr="00AC0C56" w:rsidRDefault="000923BB" w:rsidP="003A385F">
            <w:pPr>
              <w:spacing w:after="0" w:line="240" w:lineRule="auto"/>
              <w:jc w:val="both"/>
              <w:rPr>
                <w:rFonts w:cs="Arial"/>
                <w:sz w:val="18"/>
                <w:szCs w:val="18"/>
              </w:rPr>
            </w:pPr>
            <w:r w:rsidRPr="00AC0C56">
              <w:rPr>
                <w:rFonts w:cs="Arial"/>
                <w:sz w:val="18"/>
                <w:szCs w:val="18"/>
              </w:rPr>
              <w:t>0</w:t>
            </w:r>
          </w:p>
        </w:tc>
        <w:tc>
          <w:tcPr>
            <w:tcW w:w="716" w:type="dxa"/>
            <w:tcBorders>
              <w:left w:val="single" w:sz="18" w:space="0" w:color="auto"/>
              <w:right w:val="single" w:sz="2" w:space="0" w:color="auto"/>
            </w:tcBorders>
          </w:tcPr>
          <w:p w14:paraId="7A643445" w14:textId="77777777" w:rsidR="000923BB" w:rsidRPr="00AC0C56" w:rsidRDefault="000923BB" w:rsidP="003A385F">
            <w:pPr>
              <w:spacing w:after="0" w:line="240" w:lineRule="auto"/>
              <w:jc w:val="both"/>
              <w:rPr>
                <w:rFonts w:cs="Arial"/>
                <w:sz w:val="18"/>
                <w:szCs w:val="18"/>
              </w:rPr>
            </w:pPr>
            <w:r w:rsidRPr="00AC0C56">
              <w:rPr>
                <w:rFonts w:cs="Arial"/>
                <w:sz w:val="18"/>
                <w:szCs w:val="18"/>
              </w:rPr>
              <w:t>127</w:t>
            </w:r>
          </w:p>
        </w:tc>
        <w:tc>
          <w:tcPr>
            <w:tcW w:w="583" w:type="dxa"/>
            <w:tcBorders>
              <w:left w:val="single" w:sz="2" w:space="0" w:color="auto"/>
              <w:right w:val="single" w:sz="18" w:space="0" w:color="auto"/>
            </w:tcBorders>
          </w:tcPr>
          <w:p w14:paraId="71364768" w14:textId="77777777" w:rsidR="000923BB" w:rsidRPr="00AC0C56" w:rsidRDefault="000923BB" w:rsidP="003A385F">
            <w:pPr>
              <w:spacing w:after="0" w:line="240" w:lineRule="auto"/>
              <w:jc w:val="both"/>
              <w:rPr>
                <w:rFonts w:cs="Arial"/>
                <w:sz w:val="18"/>
                <w:szCs w:val="18"/>
              </w:rPr>
            </w:pPr>
            <w:r w:rsidRPr="00AC0C56">
              <w:rPr>
                <w:rFonts w:cs="Arial"/>
                <w:sz w:val="18"/>
                <w:szCs w:val="18"/>
              </w:rPr>
              <w:t>6</w:t>
            </w:r>
          </w:p>
        </w:tc>
        <w:tc>
          <w:tcPr>
            <w:tcW w:w="935" w:type="dxa"/>
            <w:tcBorders>
              <w:left w:val="single" w:sz="18" w:space="0" w:color="auto"/>
              <w:right w:val="single" w:sz="18" w:space="0" w:color="auto"/>
            </w:tcBorders>
          </w:tcPr>
          <w:p w14:paraId="4A5E42DD" w14:textId="77777777" w:rsidR="000923BB" w:rsidRPr="00AC0C56" w:rsidRDefault="000923BB" w:rsidP="003A385F">
            <w:pPr>
              <w:spacing w:after="0" w:line="240" w:lineRule="auto"/>
              <w:jc w:val="both"/>
              <w:rPr>
                <w:rFonts w:cs="Arial"/>
                <w:sz w:val="18"/>
                <w:szCs w:val="18"/>
              </w:rPr>
            </w:pPr>
            <w:r w:rsidRPr="00AC0C56">
              <w:rPr>
                <w:rFonts w:cs="Arial"/>
                <w:sz w:val="18"/>
                <w:szCs w:val="18"/>
              </w:rPr>
              <w:t>21.17</w:t>
            </w:r>
          </w:p>
        </w:tc>
      </w:tr>
      <w:tr w:rsidR="00E5549E" w:rsidRPr="000611C7" w14:paraId="441BE4FA" w14:textId="77777777" w:rsidTr="00E5549E">
        <w:trPr>
          <w:trHeight w:val="389"/>
        </w:trPr>
        <w:tc>
          <w:tcPr>
            <w:tcW w:w="1018" w:type="dxa"/>
            <w:tcBorders>
              <w:left w:val="single" w:sz="18" w:space="0" w:color="auto"/>
              <w:bottom w:val="single" w:sz="18" w:space="0" w:color="auto"/>
              <w:right w:val="single" w:sz="18" w:space="0" w:color="auto"/>
            </w:tcBorders>
          </w:tcPr>
          <w:p w14:paraId="04FD5690" w14:textId="77777777" w:rsidR="000923BB" w:rsidRPr="00AC0C56" w:rsidRDefault="000923BB" w:rsidP="003A385F">
            <w:pPr>
              <w:spacing w:after="0" w:line="240" w:lineRule="auto"/>
              <w:jc w:val="both"/>
              <w:rPr>
                <w:rFonts w:cs="Arial"/>
                <w:sz w:val="18"/>
                <w:szCs w:val="18"/>
              </w:rPr>
            </w:pPr>
            <w:r w:rsidRPr="00AC0C56">
              <w:rPr>
                <w:rFonts w:cs="Arial"/>
                <w:sz w:val="18"/>
                <w:szCs w:val="18"/>
              </w:rPr>
              <w:t xml:space="preserve">Overall </w:t>
            </w:r>
            <w:r>
              <w:rPr>
                <w:rFonts w:cs="Arial"/>
                <w:sz w:val="18"/>
                <w:szCs w:val="18"/>
              </w:rPr>
              <w:t xml:space="preserve"> (117)</w:t>
            </w:r>
          </w:p>
        </w:tc>
        <w:tc>
          <w:tcPr>
            <w:tcW w:w="631" w:type="dxa"/>
            <w:tcBorders>
              <w:left w:val="single" w:sz="18" w:space="0" w:color="auto"/>
              <w:bottom w:val="single" w:sz="18" w:space="0" w:color="auto"/>
            </w:tcBorders>
          </w:tcPr>
          <w:p w14:paraId="05EE78E8" w14:textId="77777777" w:rsidR="000923BB" w:rsidRPr="00AC0C56" w:rsidRDefault="000923BB" w:rsidP="003A385F">
            <w:pPr>
              <w:spacing w:after="0" w:line="240" w:lineRule="auto"/>
              <w:jc w:val="both"/>
              <w:rPr>
                <w:rFonts w:cs="Arial"/>
                <w:sz w:val="18"/>
                <w:szCs w:val="18"/>
              </w:rPr>
            </w:pPr>
            <w:r w:rsidRPr="00AC0C56">
              <w:rPr>
                <w:rFonts w:cs="Arial"/>
                <w:sz w:val="18"/>
                <w:szCs w:val="18"/>
              </w:rPr>
              <w:t>145</w:t>
            </w:r>
          </w:p>
        </w:tc>
        <w:tc>
          <w:tcPr>
            <w:tcW w:w="583" w:type="dxa"/>
            <w:tcBorders>
              <w:bottom w:val="single" w:sz="18" w:space="0" w:color="auto"/>
              <w:right w:val="single" w:sz="18" w:space="0" w:color="auto"/>
            </w:tcBorders>
          </w:tcPr>
          <w:p w14:paraId="28A0FE4D" w14:textId="77777777" w:rsidR="000923BB" w:rsidRPr="00AC0C56" w:rsidRDefault="000923BB" w:rsidP="003A385F">
            <w:pPr>
              <w:spacing w:after="0" w:line="240" w:lineRule="auto"/>
              <w:jc w:val="both"/>
              <w:rPr>
                <w:rFonts w:cs="Arial"/>
                <w:sz w:val="18"/>
                <w:szCs w:val="18"/>
              </w:rPr>
            </w:pPr>
            <w:r w:rsidRPr="00AC0C56">
              <w:rPr>
                <w:rFonts w:cs="Arial"/>
                <w:sz w:val="18"/>
                <w:szCs w:val="18"/>
              </w:rPr>
              <w:t>86</w:t>
            </w:r>
          </w:p>
        </w:tc>
        <w:tc>
          <w:tcPr>
            <w:tcW w:w="619" w:type="dxa"/>
            <w:tcBorders>
              <w:left w:val="single" w:sz="18" w:space="0" w:color="auto"/>
              <w:bottom w:val="single" w:sz="18" w:space="0" w:color="auto"/>
            </w:tcBorders>
          </w:tcPr>
          <w:p w14:paraId="43489548" w14:textId="77777777" w:rsidR="000923BB" w:rsidRPr="00AC0C56" w:rsidRDefault="000923BB" w:rsidP="003A385F">
            <w:pPr>
              <w:spacing w:after="0" w:line="240" w:lineRule="auto"/>
              <w:jc w:val="both"/>
              <w:rPr>
                <w:rFonts w:cs="Arial"/>
                <w:sz w:val="18"/>
                <w:szCs w:val="18"/>
              </w:rPr>
            </w:pPr>
            <w:r w:rsidRPr="00AC0C56">
              <w:rPr>
                <w:rFonts w:cs="Arial"/>
                <w:sz w:val="18"/>
                <w:szCs w:val="18"/>
              </w:rPr>
              <w:t>125</w:t>
            </w:r>
          </w:p>
        </w:tc>
        <w:tc>
          <w:tcPr>
            <w:tcW w:w="722" w:type="dxa"/>
            <w:tcBorders>
              <w:bottom w:val="single" w:sz="18" w:space="0" w:color="auto"/>
              <w:right w:val="single" w:sz="18" w:space="0" w:color="auto"/>
            </w:tcBorders>
          </w:tcPr>
          <w:p w14:paraId="5293C5AB" w14:textId="77777777" w:rsidR="000923BB" w:rsidRPr="00AC0C56" w:rsidRDefault="000923BB" w:rsidP="003A385F">
            <w:pPr>
              <w:spacing w:after="0" w:line="240" w:lineRule="auto"/>
              <w:jc w:val="both"/>
              <w:rPr>
                <w:rFonts w:cs="Arial"/>
                <w:sz w:val="18"/>
                <w:szCs w:val="18"/>
              </w:rPr>
            </w:pPr>
            <w:r w:rsidRPr="00AC0C56">
              <w:rPr>
                <w:rFonts w:cs="Arial"/>
                <w:sz w:val="18"/>
                <w:szCs w:val="18"/>
              </w:rPr>
              <w:t>80</w:t>
            </w:r>
          </w:p>
        </w:tc>
        <w:tc>
          <w:tcPr>
            <w:tcW w:w="640" w:type="dxa"/>
            <w:tcBorders>
              <w:left w:val="single" w:sz="18" w:space="0" w:color="auto"/>
              <w:bottom w:val="single" w:sz="18" w:space="0" w:color="auto"/>
            </w:tcBorders>
          </w:tcPr>
          <w:p w14:paraId="0A131B26" w14:textId="77777777" w:rsidR="000923BB" w:rsidRPr="00AC0C56" w:rsidRDefault="000923BB" w:rsidP="003A385F">
            <w:pPr>
              <w:spacing w:after="0" w:line="240" w:lineRule="auto"/>
              <w:jc w:val="both"/>
              <w:rPr>
                <w:rFonts w:cs="Arial"/>
                <w:sz w:val="18"/>
                <w:szCs w:val="18"/>
              </w:rPr>
            </w:pPr>
            <w:r w:rsidRPr="00AC0C56">
              <w:rPr>
                <w:rFonts w:cs="Arial"/>
                <w:sz w:val="18"/>
                <w:szCs w:val="18"/>
              </w:rPr>
              <w:t>85</w:t>
            </w:r>
          </w:p>
        </w:tc>
        <w:tc>
          <w:tcPr>
            <w:tcW w:w="605" w:type="dxa"/>
            <w:tcBorders>
              <w:bottom w:val="single" w:sz="18" w:space="0" w:color="auto"/>
              <w:right w:val="single" w:sz="18" w:space="0" w:color="auto"/>
            </w:tcBorders>
          </w:tcPr>
          <w:p w14:paraId="1A05351B" w14:textId="77777777" w:rsidR="000923BB" w:rsidRPr="00AC0C56" w:rsidRDefault="000923BB" w:rsidP="003A385F">
            <w:pPr>
              <w:spacing w:after="0" w:line="240" w:lineRule="auto"/>
              <w:jc w:val="both"/>
              <w:rPr>
                <w:rFonts w:cs="Arial"/>
                <w:sz w:val="18"/>
                <w:szCs w:val="18"/>
              </w:rPr>
            </w:pPr>
            <w:r w:rsidRPr="00AC0C56">
              <w:rPr>
                <w:rFonts w:cs="Arial"/>
                <w:sz w:val="18"/>
                <w:szCs w:val="18"/>
              </w:rPr>
              <w:t>36</w:t>
            </w:r>
          </w:p>
        </w:tc>
        <w:tc>
          <w:tcPr>
            <w:tcW w:w="697" w:type="dxa"/>
            <w:tcBorders>
              <w:left w:val="single" w:sz="18" w:space="0" w:color="auto"/>
              <w:bottom w:val="single" w:sz="18" w:space="0" w:color="auto"/>
            </w:tcBorders>
          </w:tcPr>
          <w:p w14:paraId="54D31E68" w14:textId="77777777" w:rsidR="000923BB" w:rsidRPr="00AC0C56" w:rsidRDefault="000923BB" w:rsidP="003A385F">
            <w:pPr>
              <w:spacing w:after="0" w:line="240" w:lineRule="auto"/>
              <w:jc w:val="both"/>
              <w:rPr>
                <w:rFonts w:cs="Arial"/>
                <w:sz w:val="18"/>
                <w:szCs w:val="18"/>
              </w:rPr>
            </w:pPr>
            <w:r w:rsidRPr="00AC0C56">
              <w:rPr>
                <w:rFonts w:cs="Arial"/>
                <w:sz w:val="18"/>
                <w:szCs w:val="18"/>
              </w:rPr>
              <w:t>109</w:t>
            </w:r>
          </w:p>
        </w:tc>
        <w:tc>
          <w:tcPr>
            <w:tcW w:w="583" w:type="dxa"/>
            <w:tcBorders>
              <w:bottom w:val="single" w:sz="18" w:space="0" w:color="auto"/>
              <w:right w:val="single" w:sz="18" w:space="0" w:color="auto"/>
            </w:tcBorders>
          </w:tcPr>
          <w:p w14:paraId="42424E34" w14:textId="77777777" w:rsidR="000923BB" w:rsidRPr="00AC0C56" w:rsidRDefault="000923BB" w:rsidP="003A385F">
            <w:pPr>
              <w:spacing w:after="0" w:line="240" w:lineRule="auto"/>
              <w:jc w:val="both"/>
              <w:rPr>
                <w:rFonts w:cs="Arial"/>
                <w:sz w:val="18"/>
                <w:szCs w:val="18"/>
              </w:rPr>
            </w:pPr>
            <w:r w:rsidRPr="00AC0C56">
              <w:rPr>
                <w:rFonts w:cs="Arial"/>
                <w:sz w:val="18"/>
                <w:szCs w:val="18"/>
              </w:rPr>
              <w:t>58</w:t>
            </w:r>
          </w:p>
        </w:tc>
        <w:tc>
          <w:tcPr>
            <w:tcW w:w="716" w:type="dxa"/>
            <w:tcBorders>
              <w:left w:val="single" w:sz="18" w:space="0" w:color="auto"/>
              <w:bottom w:val="single" w:sz="18" w:space="0" w:color="auto"/>
              <w:right w:val="single" w:sz="2" w:space="0" w:color="auto"/>
            </w:tcBorders>
          </w:tcPr>
          <w:p w14:paraId="04BEF33E" w14:textId="77777777" w:rsidR="000923BB" w:rsidRPr="00AC0C56" w:rsidRDefault="000923BB" w:rsidP="003A385F">
            <w:pPr>
              <w:spacing w:after="0" w:line="240" w:lineRule="auto"/>
              <w:jc w:val="both"/>
              <w:rPr>
                <w:rFonts w:cs="Arial"/>
                <w:sz w:val="18"/>
                <w:szCs w:val="18"/>
              </w:rPr>
            </w:pPr>
            <w:r w:rsidRPr="00AC0C56">
              <w:rPr>
                <w:rFonts w:cs="Arial"/>
                <w:sz w:val="18"/>
                <w:szCs w:val="18"/>
              </w:rPr>
              <w:t>464</w:t>
            </w:r>
          </w:p>
        </w:tc>
        <w:tc>
          <w:tcPr>
            <w:tcW w:w="583" w:type="dxa"/>
            <w:tcBorders>
              <w:left w:val="single" w:sz="2" w:space="0" w:color="auto"/>
              <w:bottom w:val="single" w:sz="18" w:space="0" w:color="auto"/>
              <w:right w:val="single" w:sz="18" w:space="0" w:color="auto"/>
            </w:tcBorders>
          </w:tcPr>
          <w:p w14:paraId="2C86368A" w14:textId="77777777" w:rsidR="000923BB" w:rsidRPr="00AC0C56" w:rsidRDefault="000923BB" w:rsidP="003A385F">
            <w:pPr>
              <w:spacing w:after="0" w:line="240" w:lineRule="auto"/>
              <w:jc w:val="both"/>
              <w:rPr>
                <w:rFonts w:cs="Arial"/>
                <w:sz w:val="18"/>
                <w:szCs w:val="18"/>
              </w:rPr>
            </w:pPr>
            <w:r w:rsidRPr="00AC0C56">
              <w:rPr>
                <w:rFonts w:cs="Arial"/>
                <w:sz w:val="18"/>
                <w:szCs w:val="18"/>
              </w:rPr>
              <w:t>262</w:t>
            </w:r>
          </w:p>
        </w:tc>
        <w:tc>
          <w:tcPr>
            <w:tcW w:w="935" w:type="dxa"/>
            <w:tcBorders>
              <w:left w:val="single" w:sz="18" w:space="0" w:color="auto"/>
              <w:bottom w:val="single" w:sz="18" w:space="0" w:color="auto"/>
              <w:right w:val="single" w:sz="18" w:space="0" w:color="auto"/>
            </w:tcBorders>
          </w:tcPr>
          <w:p w14:paraId="33E71BA2" w14:textId="77777777" w:rsidR="000923BB" w:rsidRPr="00AC0C56" w:rsidRDefault="000923BB" w:rsidP="003A385F">
            <w:pPr>
              <w:spacing w:after="0" w:line="240" w:lineRule="auto"/>
              <w:jc w:val="both"/>
              <w:rPr>
                <w:rFonts w:cs="Arial"/>
                <w:sz w:val="18"/>
                <w:szCs w:val="18"/>
              </w:rPr>
            </w:pPr>
            <w:r w:rsidRPr="00AC0C56">
              <w:rPr>
                <w:rFonts w:cs="Arial"/>
                <w:sz w:val="18"/>
                <w:szCs w:val="18"/>
              </w:rPr>
              <w:t>1.78</w:t>
            </w:r>
          </w:p>
        </w:tc>
      </w:tr>
    </w:tbl>
    <w:p w14:paraId="7D2C1D76" w14:textId="77777777" w:rsidR="000923BB" w:rsidRPr="00333C2A" w:rsidRDefault="000923BB" w:rsidP="000923BB">
      <w:pPr>
        <w:jc w:val="both"/>
        <w:rPr>
          <w:rFonts w:cs="Arial"/>
          <w:sz w:val="18"/>
          <w:szCs w:val="18"/>
        </w:rPr>
      </w:pPr>
      <w:r w:rsidRPr="00254A07">
        <w:rPr>
          <w:rFonts w:eastAsia="Arial" w:cs="Arial"/>
          <w:sz w:val="18"/>
          <w:szCs w:val="18"/>
        </w:rPr>
        <w:t>(</w:t>
      </w:r>
      <w:r w:rsidRPr="00254A07">
        <w:rPr>
          <w:rFonts w:eastAsia="Arial" w:cs="Arial"/>
          <w:sz w:val="18"/>
          <w:szCs w:val="18"/>
        </w:rPr>
        <w:sym w:font="Symbol" w:char="F063"/>
      </w:r>
      <w:r w:rsidRPr="00254A07">
        <w:rPr>
          <w:rFonts w:eastAsia="Arial" w:cs="Arial"/>
          <w:sz w:val="18"/>
          <w:szCs w:val="18"/>
          <w:vertAlign w:val="superscript"/>
        </w:rPr>
        <w:t>2</w:t>
      </w:r>
      <w:r w:rsidRPr="00254A07">
        <w:rPr>
          <w:rFonts w:eastAsia="Arial" w:cs="Arial"/>
          <w:sz w:val="18"/>
          <w:szCs w:val="18"/>
        </w:rPr>
        <w:t>=205.50; df=5; p&lt;0.0001)</w:t>
      </w:r>
    </w:p>
    <w:p w14:paraId="2073457C" w14:textId="77777777" w:rsidR="000923BB" w:rsidRPr="001C5D08" w:rsidRDefault="000923BB" w:rsidP="000923BB">
      <w:pPr>
        <w:jc w:val="both"/>
        <w:rPr>
          <w:rFonts w:cs="Arial"/>
          <w:sz w:val="22"/>
          <w:szCs w:val="22"/>
        </w:rPr>
      </w:pPr>
      <w:r w:rsidRPr="001C5D08">
        <w:rPr>
          <w:rFonts w:cs="Arial"/>
          <w:sz w:val="22"/>
          <w:szCs w:val="22"/>
        </w:rPr>
        <w:t xml:space="preserve">There are fewer comments in total in the later phases of care because some patients died early in the course of the admission. There is also some indication in the textual commentaries that a number of reviewers felt most of what needed to be said had already been said in the earlier phase of care comments for a particular case, and so did not need to be repeated. </w:t>
      </w:r>
    </w:p>
    <w:p w14:paraId="013D6537" w14:textId="77777777" w:rsidR="000923BB" w:rsidRPr="001C5D08" w:rsidRDefault="000923BB" w:rsidP="000923BB">
      <w:pPr>
        <w:jc w:val="both"/>
        <w:rPr>
          <w:rFonts w:cs="Arial"/>
          <w:sz w:val="22"/>
          <w:szCs w:val="22"/>
        </w:rPr>
      </w:pPr>
      <w:r w:rsidRPr="001C5D08">
        <w:rPr>
          <w:rFonts w:cs="Arial"/>
          <w:sz w:val="22"/>
          <w:szCs w:val="22"/>
        </w:rPr>
        <w:t xml:space="preserve">In general, the phase of care comments were more detailed than the overall care comments.  Occasionally, however, reviewers gave an unexpectedly high score related to a qualitative judgement that suggested a lower quality of care had occurred (see, for example, the case in Box 4). </w:t>
      </w:r>
    </w:p>
    <w:p w14:paraId="2B60A72E" w14:textId="77777777" w:rsidR="008D0A20" w:rsidRDefault="008D0A20" w:rsidP="000923BB">
      <w:pPr>
        <w:jc w:val="both"/>
        <w:rPr>
          <w:rFonts w:cs="Arial"/>
          <w:b/>
          <w:sz w:val="22"/>
          <w:szCs w:val="22"/>
        </w:rPr>
      </w:pPr>
    </w:p>
    <w:p w14:paraId="35FA4C08" w14:textId="77777777" w:rsidR="000923BB" w:rsidRPr="001C5D08" w:rsidRDefault="000923BB" w:rsidP="000923BB">
      <w:pPr>
        <w:jc w:val="both"/>
        <w:rPr>
          <w:rFonts w:cs="Arial"/>
          <w:b/>
          <w:sz w:val="22"/>
          <w:szCs w:val="22"/>
        </w:rPr>
      </w:pPr>
      <w:r w:rsidRPr="001C5D08">
        <w:rPr>
          <w:rFonts w:cs="Arial"/>
          <w:b/>
          <w:sz w:val="22"/>
          <w:szCs w:val="22"/>
        </w:rPr>
        <w:lastRenderedPageBreak/>
        <w:t>Categorisation of comments: implicit and explicit judgements about care quality</w:t>
      </w:r>
    </w:p>
    <w:p w14:paraId="5E439659" w14:textId="77777777" w:rsidR="000923BB" w:rsidRPr="001C5D08" w:rsidRDefault="000923BB" w:rsidP="000923BB">
      <w:pPr>
        <w:jc w:val="both"/>
        <w:rPr>
          <w:rFonts w:cs="Arial"/>
          <w:sz w:val="22"/>
          <w:szCs w:val="22"/>
        </w:rPr>
      </w:pPr>
      <w:r w:rsidRPr="001C5D08">
        <w:rPr>
          <w:rFonts w:cs="Arial"/>
          <w:sz w:val="22"/>
          <w:szCs w:val="22"/>
        </w:rPr>
        <w:t xml:space="preserve">Table 3 summarises the numbers of comments grouped by category (category B – implicit judgements of care, category C – explicit judgements of care) and comment type (positive or negative) for each overall care score. </w:t>
      </w:r>
    </w:p>
    <w:p w14:paraId="61EBC8C5" w14:textId="77777777" w:rsidR="000923BB" w:rsidRDefault="000923BB" w:rsidP="000923BB">
      <w:pPr>
        <w:jc w:val="both"/>
        <w:rPr>
          <w:rFonts w:cs="Arial"/>
        </w:rPr>
      </w:pPr>
      <w:r w:rsidRPr="00AA01D6">
        <w:rPr>
          <w:rFonts w:cs="Arial"/>
          <w:b/>
        </w:rPr>
        <w:t xml:space="preserve">Table </w:t>
      </w:r>
      <w:r>
        <w:rPr>
          <w:rFonts w:cs="Arial"/>
          <w:b/>
        </w:rPr>
        <w:t>3</w:t>
      </w:r>
      <w:r>
        <w:rPr>
          <w:rFonts w:cs="Arial"/>
        </w:rPr>
        <w:t xml:space="preserve"> </w:t>
      </w:r>
      <w:r w:rsidRPr="00F24B04">
        <w:rPr>
          <w:rFonts w:cs="Arial"/>
          <w:b/>
        </w:rPr>
        <w:t>Comments by type and category and overall score</w:t>
      </w:r>
      <w:r>
        <w:rPr>
          <w:rFonts w:cs="Arial"/>
        </w:rPr>
        <w:t xml:space="preserve"> </w:t>
      </w:r>
    </w:p>
    <w:tbl>
      <w:tblPr>
        <w:tblW w:w="8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98"/>
        <w:gridCol w:w="532"/>
        <w:gridCol w:w="532"/>
        <w:gridCol w:w="399"/>
        <w:gridCol w:w="532"/>
        <w:gridCol w:w="399"/>
        <w:gridCol w:w="532"/>
        <w:gridCol w:w="400"/>
        <w:gridCol w:w="399"/>
        <w:gridCol w:w="532"/>
        <w:gridCol w:w="532"/>
        <w:gridCol w:w="399"/>
        <w:gridCol w:w="532"/>
        <w:gridCol w:w="532"/>
        <w:gridCol w:w="532"/>
        <w:gridCol w:w="399"/>
        <w:gridCol w:w="399"/>
      </w:tblGrid>
      <w:tr w:rsidR="000923BB" w:rsidRPr="002975F8" w14:paraId="6243AB43" w14:textId="77777777" w:rsidTr="00E5549E">
        <w:trPr>
          <w:trHeight w:val="707"/>
        </w:trPr>
        <w:tc>
          <w:tcPr>
            <w:tcW w:w="798" w:type="dxa"/>
            <w:tcBorders>
              <w:top w:val="single" w:sz="18" w:space="0" w:color="auto"/>
              <w:left w:val="single" w:sz="18" w:space="0" w:color="auto"/>
              <w:bottom w:val="single" w:sz="18" w:space="0" w:color="auto"/>
              <w:right w:val="single" w:sz="18" w:space="0" w:color="auto"/>
            </w:tcBorders>
          </w:tcPr>
          <w:p w14:paraId="2D8211BF" w14:textId="77777777" w:rsidR="000923BB" w:rsidRPr="00AC0C56" w:rsidRDefault="000923BB" w:rsidP="003A385F">
            <w:pPr>
              <w:spacing w:after="0" w:line="240" w:lineRule="auto"/>
              <w:rPr>
                <w:rFonts w:cs="Arial"/>
                <w:sz w:val="18"/>
                <w:szCs w:val="18"/>
              </w:rPr>
            </w:pPr>
            <w:r w:rsidRPr="00AC0C56">
              <w:rPr>
                <w:rFonts w:cs="Arial"/>
                <w:sz w:val="18"/>
                <w:szCs w:val="18"/>
              </w:rPr>
              <w:t>Overall score (N cases)</w:t>
            </w:r>
          </w:p>
        </w:tc>
        <w:tc>
          <w:tcPr>
            <w:tcW w:w="1994" w:type="dxa"/>
            <w:gridSpan w:val="4"/>
            <w:tcBorders>
              <w:top w:val="single" w:sz="18" w:space="0" w:color="auto"/>
              <w:left w:val="single" w:sz="18" w:space="0" w:color="auto"/>
              <w:bottom w:val="single" w:sz="18" w:space="0" w:color="auto"/>
              <w:right w:val="single" w:sz="18" w:space="0" w:color="auto"/>
            </w:tcBorders>
          </w:tcPr>
          <w:p w14:paraId="71EFA09A" w14:textId="77777777" w:rsidR="000923BB" w:rsidRPr="00AC0C56" w:rsidRDefault="000923BB" w:rsidP="003A385F">
            <w:pPr>
              <w:spacing w:after="0" w:line="240" w:lineRule="auto"/>
              <w:rPr>
                <w:rFonts w:cs="Arial"/>
                <w:sz w:val="18"/>
                <w:szCs w:val="18"/>
              </w:rPr>
            </w:pPr>
            <w:r w:rsidRPr="00AC0C56">
              <w:rPr>
                <w:rFonts w:cs="Arial"/>
                <w:sz w:val="18"/>
                <w:szCs w:val="18"/>
              </w:rPr>
              <w:t xml:space="preserve">Admission phase comment type, category and number </w:t>
            </w:r>
          </w:p>
        </w:tc>
        <w:tc>
          <w:tcPr>
            <w:tcW w:w="1729" w:type="dxa"/>
            <w:gridSpan w:val="4"/>
            <w:tcBorders>
              <w:top w:val="single" w:sz="18" w:space="0" w:color="auto"/>
              <w:left w:val="single" w:sz="18" w:space="0" w:color="auto"/>
              <w:bottom w:val="single" w:sz="18" w:space="0" w:color="auto"/>
              <w:right w:val="single" w:sz="18" w:space="0" w:color="auto"/>
            </w:tcBorders>
          </w:tcPr>
          <w:p w14:paraId="10F13A72" w14:textId="77777777" w:rsidR="000923BB" w:rsidRPr="00AC0C56" w:rsidRDefault="000923BB" w:rsidP="003A385F">
            <w:pPr>
              <w:spacing w:after="0" w:line="240" w:lineRule="auto"/>
              <w:rPr>
                <w:rFonts w:cs="Arial"/>
                <w:sz w:val="18"/>
                <w:szCs w:val="18"/>
              </w:rPr>
            </w:pPr>
            <w:r w:rsidRPr="00AC0C56">
              <w:rPr>
                <w:rFonts w:cs="Arial"/>
                <w:sz w:val="18"/>
                <w:szCs w:val="18"/>
              </w:rPr>
              <w:t>Early management phase comment type, category and number</w:t>
            </w:r>
          </w:p>
        </w:tc>
        <w:tc>
          <w:tcPr>
            <w:tcW w:w="1994" w:type="dxa"/>
            <w:gridSpan w:val="4"/>
            <w:tcBorders>
              <w:top w:val="single" w:sz="18" w:space="0" w:color="auto"/>
              <w:left w:val="single" w:sz="18" w:space="0" w:color="auto"/>
              <w:bottom w:val="single" w:sz="18" w:space="0" w:color="auto"/>
              <w:right w:val="single" w:sz="18" w:space="0" w:color="auto"/>
            </w:tcBorders>
          </w:tcPr>
          <w:p w14:paraId="115BDCB1" w14:textId="77777777" w:rsidR="000923BB" w:rsidRPr="00AC0C56" w:rsidRDefault="000923BB" w:rsidP="003A385F">
            <w:pPr>
              <w:spacing w:after="0" w:line="240" w:lineRule="auto"/>
              <w:rPr>
                <w:rFonts w:cs="Arial"/>
                <w:sz w:val="18"/>
                <w:szCs w:val="18"/>
              </w:rPr>
            </w:pPr>
            <w:r w:rsidRPr="00AC0C56">
              <w:rPr>
                <w:rFonts w:cs="Arial"/>
                <w:sz w:val="18"/>
                <w:szCs w:val="18"/>
              </w:rPr>
              <w:t>Later management phase comment type, category and number</w:t>
            </w:r>
          </w:p>
        </w:tc>
        <w:tc>
          <w:tcPr>
            <w:tcW w:w="1861" w:type="dxa"/>
            <w:gridSpan w:val="4"/>
            <w:tcBorders>
              <w:top w:val="single" w:sz="18" w:space="0" w:color="auto"/>
              <w:left w:val="single" w:sz="18" w:space="0" w:color="auto"/>
              <w:bottom w:val="single" w:sz="18" w:space="0" w:color="auto"/>
              <w:right w:val="single" w:sz="18" w:space="0" w:color="auto"/>
            </w:tcBorders>
          </w:tcPr>
          <w:p w14:paraId="0C2E2B66" w14:textId="77777777" w:rsidR="000923BB" w:rsidRPr="00AC0C56" w:rsidRDefault="000923BB" w:rsidP="003A385F">
            <w:pPr>
              <w:spacing w:after="0" w:line="240" w:lineRule="auto"/>
              <w:rPr>
                <w:rFonts w:cs="Arial"/>
                <w:sz w:val="18"/>
                <w:szCs w:val="18"/>
              </w:rPr>
            </w:pPr>
            <w:r w:rsidRPr="00AC0C56">
              <w:rPr>
                <w:rFonts w:cs="Arial"/>
                <w:sz w:val="18"/>
                <w:szCs w:val="18"/>
              </w:rPr>
              <w:t>Overall care comment type, category and number</w:t>
            </w:r>
          </w:p>
        </w:tc>
      </w:tr>
      <w:tr w:rsidR="000923BB" w:rsidRPr="002975F8" w14:paraId="0FDF30E9" w14:textId="77777777" w:rsidTr="00E5549E">
        <w:trPr>
          <w:trHeight w:val="173"/>
        </w:trPr>
        <w:tc>
          <w:tcPr>
            <w:tcW w:w="798" w:type="dxa"/>
            <w:tcBorders>
              <w:top w:val="single" w:sz="18" w:space="0" w:color="auto"/>
              <w:left w:val="single" w:sz="18" w:space="0" w:color="auto"/>
              <w:right w:val="single" w:sz="18" w:space="0" w:color="auto"/>
            </w:tcBorders>
          </w:tcPr>
          <w:p w14:paraId="590E26EB" w14:textId="77777777" w:rsidR="000923BB" w:rsidRPr="00AC0C56" w:rsidRDefault="000923BB" w:rsidP="003A385F">
            <w:pPr>
              <w:spacing w:after="0" w:line="240" w:lineRule="auto"/>
              <w:jc w:val="both"/>
              <w:rPr>
                <w:rFonts w:cs="Arial"/>
                <w:sz w:val="18"/>
                <w:szCs w:val="18"/>
              </w:rPr>
            </w:pPr>
          </w:p>
        </w:tc>
        <w:tc>
          <w:tcPr>
            <w:tcW w:w="1064" w:type="dxa"/>
            <w:gridSpan w:val="2"/>
            <w:tcBorders>
              <w:top w:val="single" w:sz="18" w:space="0" w:color="auto"/>
              <w:left w:val="single" w:sz="18" w:space="0" w:color="auto"/>
              <w:bottom w:val="single" w:sz="8" w:space="0" w:color="auto"/>
              <w:right w:val="double" w:sz="4" w:space="0" w:color="auto"/>
            </w:tcBorders>
          </w:tcPr>
          <w:p w14:paraId="0EF7EFB3" w14:textId="77777777" w:rsidR="000923BB" w:rsidRPr="00AC0C56" w:rsidRDefault="000923BB" w:rsidP="003A385F">
            <w:pPr>
              <w:spacing w:after="0" w:line="240" w:lineRule="auto"/>
              <w:jc w:val="both"/>
              <w:rPr>
                <w:rFonts w:cs="Arial"/>
                <w:sz w:val="18"/>
                <w:szCs w:val="18"/>
              </w:rPr>
            </w:pPr>
            <w:r w:rsidRPr="00AC0C56">
              <w:rPr>
                <w:rFonts w:cs="Arial"/>
                <w:sz w:val="18"/>
                <w:szCs w:val="18"/>
              </w:rPr>
              <w:t>Pos</w:t>
            </w:r>
          </w:p>
        </w:tc>
        <w:tc>
          <w:tcPr>
            <w:tcW w:w="931" w:type="dxa"/>
            <w:gridSpan w:val="2"/>
            <w:tcBorders>
              <w:top w:val="single" w:sz="18" w:space="0" w:color="auto"/>
              <w:left w:val="double" w:sz="4" w:space="0" w:color="auto"/>
              <w:bottom w:val="single" w:sz="8" w:space="0" w:color="auto"/>
              <w:right w:val="single" w:sz="18" w:space="0" w:color="auto"/>
            </w:tcBorders>
          </w:tcPr>
          <w:p w14:paraId="58B34FD6" w14:textId="77777777" w:rsidR="000923BB" w:rsidRPr="00AC0C56" w:rsidRDefault="000923BB" w:rsidP="003A385F">
            <w:pPr>
              <w:spacing w:after="0" w:line="240" w:lineRule="auto"/>
              <w:jc w:val="both"/>
              <w:rPr>
                <w:rFonts w:cs="Arial"/>
                <w:sz w:val="18"/>
                <w:szCs w:val="18"/>
              </w:rPr>
            </w:pPr>
            <w:r w:rsidRPr="00AC0C56">
              <w:rPr>
                <w:rFonts w:cs="Arial"/>
                <w:sz w:val="18"/>
                <w:szCs w:val="18"/>
              </w:rPr>
              <w:t>Neg.</w:t>
            </w:r>
          </w:p>
        </w:tc>
        <w:tc>
          <w:tcPr>
            <w:tcW w:w="931" w:type="dxa"/>
            <w:gridSpan w:val="2"/>
            <w:tcBorders>
              <w:top w:val="single" w:sz="18" w:space="0" w:color="auto"/>
              <w:left w:val="single" w:sz="18" w:space="0" w:color="auto"/>
              <w:right w:val="double" w:sz="4" w:space="0" w:color="auto"/>
            </w:tcBorders>
          </w:tcPr>
          <w:p w14:paraId="720AAC37" w14:textId="77777777" w:rsidR="000923BB" w:rsidRPr="00AC0C56" w:rsidRDefault="000923BB" w:rsidP="003A385F">
            <w:pPr>
              <w:spacing w:after="0" w:line="240" w:lineRule="auto"/>
              <w:jc w:val="both"/>
              <w:rPr>
                <w:rFonts w:cs="Arial"/>
                <w:sz w:val="18"/>
                <w:szCs w:val="18"/>
              </w:rPr>
            </w:pPr>
            <w:r w:rsidRPr="00AC0C56">
              <w:rPr>
                <w:rFonts w:cs="Arial"/>
                <w:sz w:val="18"/>
                <w:szCs w:val="18"/>
              </w:rPr>
              <w:t>Pos</w:t>
            </w:r>
          </w:p>
        </w:tc>
        <w:tc>
          <w:tcPr>
            <w:tcW w:w="798" w:type="dxa"/>
            <w:gridSpan w:val="2"/>
            <w:tcBorders>
              <w:top w:val="single" w:sz="18" w:space="0" w:color="auto"/>
              <w:left w:val="double" w:sz="4" w:space="0" w:color="auto"/>
              <w:right w:val="single" w:sz="18" w:space="0" w:color="auto"/>
            </w:tcBorders>
          </w:tcPr>
          <w:p w14:paraId="1E7DB444" w14:textId="77777777" w:rsidR="000923BB" w:rsidRPr="00AC0C56" w:rsidRDefault="000923BB" w:rsidP="003A385F">
            <w:pPr>
              <w:spacing w:after="0" w:line="240" w:lineRule="auto"/>
              <w:jc w:val="both"/>
              <w:rPr>
                <w:rFonts w:cs="Arial"/>
                <w:sz w:val="18"/>
                <w:szCs w:val="18"/>
              </w:rPr>
            </w:pPr>
            <w:r w:rsidRPr="00AC0C56">
              <w:rPr>
                <w:rFonts w:cs="Arial"/>
                <w:sz w:val="18"/>
                <w:szCs w:val="18"/>
              </w:rPr>
              <w:t>Neg.</w:t>
            </w:r>
          </w:p>
        </w:tc>
        <w:tc>
          <w:tcPr>
            <w:tcW w:w="1064" w:type="dxa"/>
            <w:gridSpan w:val="2"/>
            <w:tcBorders>
              <w:top w:val="single" w:sz="18" w:space="0" w:color="auto"/>
              <w:left w:val="single" w:sz="18" w:space="0" w:color="auto"/>
              <w:right w:val="double" w:sz="4" w:space="0" w:color="auto"/>
            </w:tcBorders>
          </w:tcPr>
          <w:p w14:paraId="577958F6" w14:textId="77777777" w:rsidR="000923BB" w:rsidRPr="00AC0C56" w:rsidRDefault="000923BB" w:rsidP="003A385F">
            <w:pPr>
              <w:spacing w:after="0" w:line="240" w:lineRule="auto"/>
              <w:jc w:val="both"/>
              <w:rPr>
                <w:rFonts w:cs="Arial"/>
                <w:sz w:val="18"/>
                <w:szCs w:val="18"/>
              </w:rPr>
            </w:pPr>
            <w:r w:rsidRPr="00AC0C56">
              <w:rPr>
                <w:rFonts w:cs="Arial"/>
                <w:sz w:val="18"/>
                <w:szCs w:val="18"/>
              </w:rPr>
              <w:t>Pos</w:t>
            </w:r>
          </w:p>
        </w:tc>
        <w:tc>
          <w:tcPr>
            <w:tcW w:w="931" w:type="dxa"/>
            <w:gridSpan w:val="2"/>
            <w:tcBorders>
              <w:top w:val="single" w:sz="18" w:space="0" w:color="auto"/>
              <w:left w:val="double" w:sz="4" w:space="0" w:color="auto"/>
              <w:bottom w:val="single" w:sz="4" w:space="0" w:color="auto"/>
              <w:right w:val="single" w:sz="18" w:space="0" w:color="auto"/>
            </w:tcBorders>
          </w:tcPr>
          <w:p w14:paraId="6556C169" w14:textId="77777777" w:rsidR="000923BB" w:rsidRPr="00AC0C56" w:rsidRDefault="000923BB" w:rsidP="003A385F">
            <w:pPr>
              <w:spacing w:after="0" w:line="240" w:lineRule="auto"/>
              <w:jc w:val="both"/>
              <w:rPr>
                <w:rFonts w:cs="Arial"/>
                <w:sz w:val="18"/>
                <w:szCs w:val="18"/>
              </w:rPr>
            </w:pPr>
            <w:r w:rsidRPr="00AC0C56">
              <w:rPr>
                <w:rFonts w:cs="Arial"/>
                <w:sz w:val="18"/>
                <w:szCs w:val="18"/>
              </w:rPr>
              <w:t>Neg.</w:t>
            </w:r>
          </w:p>
        </w:tc>
        <w:tc>
          <w:tcPr>
            <w:tcW w:w="1064" w:type="dxa"/>
            <w:gridSpan w:val="2"/>
            <w:tcBorders>
              <w:top w:val="single" w:sz="18" w:space="0" w:color="auto"/>
              <w:left w:val="single" w:sz="18" w:space="0" w:color="auto"/>
              <w:bottom w:val="single" w:sz="4" w:space="0" w:color="auto"/>
              <w:right w:val="double" w:sz="4" w:space="0" w:color="auto"/>
            </w:tcBorders>
          </w:tcPr>
          <w:p w14:paraId="4C46D680" w14:textId="77777777" w:rsidR="000923BB" w:rsidRPr="00AC0C56" w:rsidRDefault="000923BB" w:rsidP="003A385F">
            <w:pPr>
              <w:spacing w:after="0" w:line="240" w:lineRule="auto"/>
              <w:jc w:val="both"/>
              <w:rPr>
                <w:rFonts w:cs="Arial"/>
                <w:sz w:val="18"/>
                <w:szCs w:val="18"/>
              </w:rPr>
            </w:pPr>
            <w:r w:rsidRPr="00AC0C56">
              <w:rPr>
                <w:rFonts w:cs="Arial"/>
                <w:sz w:val="18"/>
                <w:szCs w:val="18"/>
              </w:rPr>
              <w:t>Pos</w:t>
            </w:r>
          </w:p>
        </w:tc>
        <w:tc>
          <w:tcPr>
            <w:tcW w:w="797" w:type="dxa"/>
            <w:gridSpan w:val="2"/>
            <w:tcBorders>
              <w:top w:val="single" w:sz="18" w:space="0" w:color="auto"/>
              <w:left w:val="double" w:sz="4" w:space="0" w:color="auto"/>
              <w:right w:val="single" w:sz="18" w:space="0" w:color="auto"/>
            </w:tcBorders>
          </w:tcPr>
          <w:p w14:paraId="549FC1EB" w14:textId="77777777" w:rsidR="000923BB" w:rsidRPr="00AC0C56" w:rsidRDefault="000923BB" w:rsidP="003A385F">
            <w:pPr>
              <w:spacing w:after="0" w:line="240" w:lineRule="auto"/>
              <w:jc w:val="both"/>
              <w:rPr>
                <w:rFonts w:cs="Arial"/>
                <w:sz w:val="18"/>
                <w:szCs w:val="18"/>
              </w:rPr>
            </w:pPr>
            <w:r w:rsidRPr="00AC0C56">
              <w:rPr>
                <w:rFonts w:cs="Arial"/>
                <w:sz w:val="18"/>
                <w:szCs w:val="18"/>
              </w:rPr>
              <w:t>Neg.</w:t>
            </w:r>
          </w:p>
        </w:tc>
      </w:tr>
      <w:tr w:rsidR="00E5549E" w:rsidRPr="002975F8" w14:paraId="582D72A4" w14:textId="77777777" w:rsidTr="00E5549E">
        <w:trPr>
          <w:trHeight w:val="188"/>
        </w:trPr>
        <w:tc>
          <w:tcPr>
            <w:tcW w:w="798" w:type="dxa"/>
            <w:tcBorders>
              <w:left w:val="single" w:sz="18" w:space="0" w:color="auto"/>
              <w:right w:val="single" w:sz="18" w:space="0" w:color="auto"/>
            </w:tcBorders>
          </w:tcPr>
          <w:p w14:paraId="00641AA3" w14:textId="77777777" w:rsidR="000923BB" w:rsidRPr="00AC0C56" w:rsidRDefault="000923BB" w:rsidP="003A385F">
            <w:pPr>
              <w:spacing w:after="0" w:line="240" w:lineRule="auto"/>
              <w:jc w:val="both"/>
              <w:rPr>
                <w:rFonts w:cs="Arial"/>
                <w:sz w:val="18"/>
                <w:szCs w:val="18"/>
              </w:rPr>
            </w:pPr>
          </w:p>
        </w:tc>
        <w:tc>
          <w:tcPr>
            <w:tcW w:w="532" w:type="dxa"/>
            <w:tcBorders>
              <w:top w:val="single" w:sz="8" w:space="0" w:color="auto"/>
              <w:left w:val="single" w:sz="18" w:space="0" w:color="auto"/>
              <w:bottom w:val="single" w:sz="8" w:space="0" w:color="auto"/>
              <w:right w:val="single" w:sz="8" w:space="0" w:color="auto"/>
            </w:tcBorders>
          </w:tcPr>
          <w:p w14:paraId="1B5E9757" w14:textId="77777777" w:rsidR="000923BB" w:rsidRPr="00AC0C56" w:rsidRDefault="000923BB" w:rsidP="003A385F">
            <w:pPr>
              <w:spacing w:after="0" w:line="240" w:lineRule="auto"/>
              <w:jc w:val="both"/>
              <w:rPr>
                <w:rFonts w:cs="Arial"/>
                <w:sz w:val="18"/>
                <w:szCs w:val="18"/>
              </w:rPr>
            </w:pPr>
            <w:r w:rsidRPr="00AC0C56">
              <w:rPr>
                <w:rFonts w:cs="Arial"/>
                <w:sz w:val="18"/>
                <w:szCs w:val="18"/>
              </w:rPr>
              <w:t xml:space="preserve">B </w:t>
            </w:r>
          </w:p>
        </w:tc>
        <w:tc>
          <w:tcPr>
            <w:tcW w:w="532" w:type="dxa"/>
            <w:tcBorders>
              <w:top w:val="single" w:sz="8" w:space="0" w:color="auto"/>
              <w:left w:val="single" w:sz="8" w:space="0" w:color="auto"/>
              <w:bottom w:val="single" w:sz="8" w:space="0" w:color="auto"/>
              <w:right w:val="double" w:sz="4" w:space="0" w:color="auto"/>
            </w:tcBorders>
          </w:tcPr>
          <w:p w14:paraId="16E099F5" w14:textId="77777777" w:rsidR="000923BB" w:rsidRPr="00AC0C56" w:rsidRDefault="000923BB" w:rsidP="003A385F">
            <w:pPr>
              <w:spacing w:after="0" w:line="240" w:lineRule="auto"/>
              <w:jc w:val="both"/>
              <w:rPr>
                <w:rFonts w:cs="Arial"/>
                <w:sz w:val="18"/>
                <w:szCs w:val="18"/>
              </w:rPr>
            </w:pPr>
            <w:r w:rsidRPr="00AC0C56">
              <w:rPr>
                <w:rFonts w:cs="Arial"/>
                <w:sz w:val="18"/>
                <w:szCs w:val="18"/>
              </w:rPr>
              <w:t>C</w:t>
            </w:r>
          </w:p>
        </w:tc>
        <w:tc>
          <w:tcPr>
            <w:tcW w:w="399" w:type="dxa"/>
            <w:tcBorders>
              <w:top w:val="single" w:sz="8" w:space="0" w:color="auto"/>
              <w:left w:val="double" w:sz="4" w:space="0" w:color="auto"/>
              <w:bottom w:val="single" w:sz="8" w:space="0" w:color="auto"/>
              <w:right w:val="single" w:sz="8" w:space="0" w:color="auto"/>
            </w:tcBorders>
          </w:tcPr>
          <w:p w14:paraId="417F1A74" w14:textId="77777777" w:rsidR="000923BB" w:rsidRPr="00AC0C56" w:rsidRDefault="000923BB" w:rsidP="003A385F">
            <w:pPr>
              <w:spacing w:after="0" w:line="240" w:lineRule="auto"/>
              <w:jc w:val="both"/>
              <w:rPr>
                <w:rFonts w:cs="Arial"/>
                <w:sz w:val="18"/>
                <w:szCs w:val="18"/>
              </w:rPr>
            </w:pPr>
            <w:r w:rsidRPr="00AC0C56">
              <w:rPr>
                <w:rFonts w:cs="Arial"/>
                <w:sz w:val="18"/>
                <w:szCs w:val="18"/>
              </w:rPr>
              <w:t xml:space="preserve">B </w:t>
            </w:r>
          </w:p>
        </w:tc>
        <w:tc>
          <w:tcPr>
            <w:tcW w:w="532" w:type="dxa"/>
            <w:tcBorders>
              <w:top w:val="single" w:sz="8" w:space="0" w:color="auto"/>
              <w:left w:val="single" w:sz="8" w:space="0" w:color="auto"/>
              <w:bottom w:val="single" w:sz="8" w:space="0" w:color="auto"/>
              <w:right w:val="single" w:sz="18" w:space="0" w:color="auto"/>
            </w:tcBorders>
          </w:tcPr>
          <w:p w14:paraId="4426B4CC" w14:textId="77777777" w:rsidR="000923BB" w:rsidRPr="00AC0C56" w:rsidRDefault="000923BB" w:rsidP="003A385F">
            <w:pPr>
              <w:spacing w:after="0" w:line="240" w:lineRule="auto"/>
              <w:jc w:val="both"/>
              <w:rPr>
                <w:rFonts w:cs="Arial"/>
                <w:sz w:val="18"/>
                <w:szCs w:val="18"/>
              </w:rPr>
            </w:pPr>
            <w:r w:rsidRPr="00AC0C56">
              <w:rPr>
                <w:rFonts w:cs="Arial"/>
                <w:sz w:val="18"/>
                <w:szCs w:val="18"/>
              </w:rPr>
              <w:t>C</w:t>
            </w:r>
          </w:p>
        </w:tc>
        <w:tc>
          <w:tcPr>
            <w:tcW w:w="399" w:type="dxa"/>
            <w:tcBorders>
              <w:left w:val="single" w:sz="18" w:space="0" w:color="auto"/>
            </w:tcBorders>
          </w:tcPr>
          <w:p w14:paraId="1BF2DC17" w14:textId="77777777" w:rsidR="000923BB" w:rsidRPr="00AC0C56" w:rsidRDefault="000923BB" w:rsidP="003A385F">
            <w:pPr>
              <w:spacing w:after="0" w:line="240" w:lineRule="auto"/>
              <w:jc w:val="both"/>
              <w:rPr>
                <w:rFonts w:cs="Arial"/>
                <w:sz w:val="18"/>
                <w:szCs w:val="18"/>
              </w:rPr>
            </w:pPr>
            <w:r w:rsidRPr="00AC0C56">
              <w:rPr>
                <w:rFonts w:cs="Arial"/>
                <w:sz w:val="18"/>
                <w:szCs w:val="18"/>
              </w:rPr>
              <w:t xml:space="preserve">B </w:t>
            </w:r>
          </w:p>
        </w:tc>
        <w:tc>
          <w:tcPr>
            <w:tcW w:w="532" w:type="dxa"/>
            <w:tcBorders>
              <w:right w:val="double" w:sz="4" w:space="0" w:color="auto"/>
            </w:tcBorders>
          </w:tcPr>
          <w:p w14:paraId="4EF219FF" w14:textId="77777777" w:rsidR="000923BB" w:rsidRPr="00AC0C56" w:rsidRDefault="000923BB" w:rsidP="003A385F">
            <w:pPr>
              <w:spacing w:after="0" w:line="240" w:lineRule="auto"/>
              <w:jc w:val="both"/>
              <w:rPr>
                <w:rFonts w:cs="Arial"/>
                <w:sz w:val="18"/>
                <w:szCs w:val="18"/>
              </w:rPr>
            </w:pPr>
            <w:r w:rsidRPr="00AC0C56">
              <w:rPr>
                <w:rFonts w:cs="Arial"/>
                <w:sz w:val="18"/>
                <w:szCs w:val="18"/>
              </w:rPr>
              <w:t>C</w:t>
            </w:r>
          </w:p>
        </w:tc>
        <w:tc>
          <w:tcPr>
            <w:tcW w:w="400" w:type="dxa"/>
            <w:tcBorders>
              <w:left w:val="double" w:sz="4" w:space="0" w:color="auto"/>
            </w:tcBorders>
          </w:tcPr>
          <w:p w14:paraId="38DC3BF4" w14:textId="77777777" w:rsidR="000923BB" w:rsidRPr="00AC0C56" w:rsidRDefault="000923BB" w:rsidP="003A385F">
            <w:pPr>
              <w:spacing w:after="0" w:line="240" w:lineRule="auto"/>
              <w:jc w:val="both"/>
              <w:rPr>
                <w:rFonts w:cs="Arial"/>
                <w:sz w:val="18"/>
                <w:szCs w:val="18"/>
              </w:rPr>
            </w:pPr>
            <w:r w:rsidRPr="00AC0C56">
              <w:rPr>
                <w:rFonts w:cs="Arial"/>
                <w:sz w:val="18"/>
                <w:szCs w:val="18"/>
              </w:rPr>
              <w:t xml:space="preserve">B </w:t>
            </w:r>
          </w:p>
        </w:tc>
        <w:tc>
          <w:tcPr>
            <w:tcW w:w="399" w:type="dxa"/>
            <w:tcBorders>
              <w:right w:val="single" w:sz="18" w:space="0" w:color="auto"/>
            </w:tcBorders>
          </w:tcPr>
          <w:p w14:paraId="73F4E431" w14:textId="77777777" w:rsidR="000923BB" w:rsidRPr="00AC0C56" w:rsidRDefault="000923BB" w:rsidP="003A385F">
            <w:pPr>
              <w:spacing w:after="0" w:line="240" w:lineRule="auto"/>
              <w:jc w:val="both"/>
              <w:rPr>
                <w:rFonts w:cs="Arial"/>
                <w:sz w:val="18"/>
                <w:szCs w:val="18"/>
              </w:rPr>
            </w:pPr>
            <w:r w:rsidRPr="00AC0C56">
              <w:rPr>
                <w:rFonts w:cs="Arial"/>
                <w:sz w:val="18"/>
                <w:szCs w:val="18"/>
              </w:rPr>
              <w:t>C</w:t>
            </w:r>
          </w:p>
        </w:tc>
        <w:tc>
          <w:tcPr>
            <w:tcW w:w="532" w:type="dxa"/>
            <w:tcBorders>
              <w:left w:val="single" w:sz="18" w:space="0" w:color="auto"/>
            </w:tcBorders>
          </w:tcPr>
          <w:p w14:paraId="14E322DD" w14:textId="77777777" w:rsidR="000923BB" w:rsidRPr="00AC0C56" w:rsidRDefault="000923BB" w:rsidP="003A385F">
            <w:pPr>
              <w:spacing w:after="0" w:line="240" w:lineRule="auto"/>
              <w:jc w:val="both"/>
              <w:rPr>
                <w:rFonts w:cs="Arial"/>
                <w:sz w:val="18"/>
                <w:szCs w:val="18"/>
              </w:rPr>
            </w:pPr>
            <w:r w:rsidRPr="00AC0C56">
              <w:rPr>
                <w:rFonts w:cs="Arial"/>
                <w:sz w:val="18"/>
                <w:szCs w:val="18"/>
              </w:rPr>
              <w:t xml:space="preserve">B </w:t>
            </w:r>
          </w:p>
        </w:tc>
        <w:tc>
          <w:tcPr>
            <w:tcW w:w="532" w:type="dxa"/>
            <w:tcBorders>
              <w:right w:val="double" w:sz="4" w:space="0" w:color="auto"/>
            </w:tcBorders>
          </w:tcPr>
          <w:p w14:paraId="68BD43E3" w14:textId="77777777" w:rsidR="000923BB" w:rsidRPr="00AC0C56" w:rsidRDefault="000923BB" w:rsidP="003A385F">
            <w:pPr>
              <w:spacing w:after="0" w:line="240" w:lineRule="auto"/>
              <w:jc w:val="both"/>
              <w:rPr>
                <w:rFonts w:cs="Arial"/>
                <w:sz w:val="18"/>
                <w:szCs w:val="18"/>
              </w:rPr>
            </w:pPr>
            <w:r w:rsidRPr="00AC0C56">
              <w:rPr>
                <w:rFonts w:cs="Arial"/>
                <w:sz w:val="18"/>
                <w:szCs w:val="18"/>
              </w:rPr>
              <w:t>C</w:t>
            </w:r>
          </w:p>
        </w:tc>
        <w:tc>
          <w:tcPr>
            <w:tcW w:w="399" w:type="dxa"/>
            <w:tcBorders>
              <w:left w:val="double" w:sz="4" w:space="0" w:color="auto"/>
              <w:right w:val="single" w:sz="8" w:space="0" w:color="auto"/>
            </w:tcBorders>
          </w:tcPr>
          <w:p w14:paraId="3FE23FDE" w14:textId="77777777" w:rsidR="000923BB" w:rsidRPr="00AC0C56" w:rsidRDefault="000923BB" w:rsidP="003A385F">
            <w:pPr>
              <w:spacing w:after="0" w:line="240" w:lineRule="auto"/>
              <w:jc w:val="both"/>
              <w:rPr>
                <w:rFonts w:cs="Arial"/>
                <w:sz w:val="18"/>
                <w:szCs w:val="18"/>
              </w:rPr>
            </w:pPr>
            <w:r w:rsidRPr="00AC0C56">
              <w:rPr>
                <w:rFonts w:cs="Arial"/>
                <w:sz w:val="18"/>
                <w:szCs w:val="18"/>
              </w:rPr>
              <w:t xml:space="preserve">B </w:t>
            </w:r>
          </w:p>
        </w:tc>
        <w:tc>
          <w:tcPr>
            <w:tcW w:w="532" w:type="dxa"/>
            <w:tcBorders>
              <w:left w:val="single" w:sz="8" w:space="0" w:color="auto"/>
              <w:right w:val="single" w:sz="18" w:space="0" w:color="auto"/>
            </w:tcBorders>
          </w:tcPr>
          <w:p w14:paraId="65B910C5" w14:textId="77777777" w:rsidR="000923BB" w:rsidRPr="00AC0C56" w:rsidRDefault="000923BB" w:rsidP="003A385F">
            <w:pPr>
              <w:spacing w:after="0" w:line="240" w:lineRule="auto"/>
              <w:jc w:val="both"/>
              <w:rPr>
                <w:rFonts w:cs="Arial"/>
                <w:sz w:val="18"/>
                <w:szCs w:val="18"/>
              </w:rPr>
            </w:pPr>
            <w:r w:rsidRPr="00AC0C56">
              <w:rPr>
                <w:rFonts w:cs="Arial"/>
                <w:sz w:val="18"/>
                <w:szCs w:val="18"/>
              </w:rPr>
              <w:t>C</w:t>
            </w:r>
          </w:p>
        </w:tc>
        <w:tc>
          <w:tcPr>
            <w:tcW w:w="532" w:type="dxa"/>
            <w:tcBorders>
              <w:left w:val="single" w:sz="18" w:space="0" w:color="auto"/>
              <w:right w:val="single" w:sz="8" w:space="0" w:color="auto"/>
            </w:tcBorders>
          </w:tcPr>
          <w:p w14:paraId="07C54FB4" w14:textId="77777777" w:rsidR="000923BB" w:rsidRPr="00AC0C56" w:rsidRDefault="000923BB" w:rsidP="003A385F">
            <w:pPr>
              <w:spacing w:after="0" w:line="240" w:lineRule="auto"/>
              <w:jc w:val="both"/>
              <w:rPr>
                <w:rFonts w:cs="Arial"/>
                <w:sz w:val="18"/>
                <w:szCs w:val="18"/>
              </w:rPr>
            </w:pPr>
            <w:r w:rsidRPr="00AC0C56">
              <w:rPr>
                <w:rFonts w:cs="Arial"/>
                <w:sz w:val="18"/>
                <w:szCs w:val="18"/>
              </w:rPr>
              <w:t xml:space="preserve">B </w:t>
            </w:r>
          </w:p>
        </w:tc>
        <w:tc>
          <w:tcPr>
            <w:tcW w:w="532" w:type="dxa"/>
            <w:tcBorders>
              <w:left w:val="single" w:sz="8" w:space="0" w:color="auto"/>
              <w:right w:val="double" w:sz="4" w:space="0" w:color="auto"/>
            </w:tcBorders>
          </w:tcPr>
          <w:p w14:paraId="378F62B7" w14:textId="77777777" w:rsidR="000923BB" w:rsidRPr="00AC0C56" w:rsidRDefault="000923BB" w:rsidP="003A385F">
            <w:pPr>
              <w:spacing w:after="0" w:line="240" w:lineRule="auto"/>
              <w:jc w:val="both"/>
              <w:rPr>
                <w:rFonts w:cs="Arial"/>
                <w:sz w:val="18"/>
                <w:szCs w:val="18"/>
              </w:rPr>
            </w:pPr>
            <w:r w:rsidRPr="00AC0C56">
              <w:rPr>
                <w:rFonts w:cs="Arial"/>
                <w:sz w:val="18"/>
                <w:szCs w:val="18"/>
              </w:rPr>
              <w:t>C</w:t>
            </w:r>
          </w:p>
        </w:tc>
        <w:tc>
          <w:tcPr>
            <w:tcW w:w="399" w:type="dxa"/>
            <w:tcBorders>
              <w:left w:val="double" w:sz="4" w:space="0" w:color="auto"/>
            </w:tcBorders>
          </w:tcPr>
          <w:p w14:paraId="12CAD469" w14:textId="77777777" w:rsidR="000923BB" w:rsidRPr="00AC0C56" w:rsidRDefault="000923BB" w:rsidP="003A385F">
            <w:pPr>
              <w:spacing w:after="0" w:line="240" w:lineRule="auto"/>
              <w:jc w:val="both"/>
              <w:rPr>
                <w:rFonts w:cs="Arial"/>
                <w:sz w:val="18"/>
                <w:szCs w:val="18"/>
              </w:rPr>
            </w:pPr>
            <w:r w:rsidRPr="00AC0C56">
              <w:rPr>
                <w:rFonts w:cs="Arial"/>
                <w:sz w:val="18"/>
                <w:szCs w:val="18"/>
              </w:rPr>
              <w:t xml:space="preserve">B </w:t>
            </w:r>
          </w:p>
        </w:tc>
        <w:tc>
          <w:tcPr>
            <w:tcW w:w="399" w:type="dxa"/>
            <w:tcBorders>
              <w:right w:val="single" w:sz="18" w:space="0" w:color="auto"/>
            </w:tcBorders>
          </w:tcPr>
          <w:p w14:paraId="0A437007" w14:textId="77777777" w:rsidR="000923BB" w:rsidRPr="00AC0C56" w:rsidRDefault="000923BB" w:rsidP="003A385F">
            <w:pPr>
              <w:spacing w:after="0" w:line="240" w:lineRule="auto"/>
              <w:jc w:val="both"/>
              <w:rPr>
                <w:rFonts w:cs="Arial"/>
                <w:sz w:val="18"/>
                <w:szCs w:val="18"/>
              </w:rPr>
            </w:pPr>
            <w:r w:rsidRPr="00AC0C56">
              <w:rPr>
                <w:rFonts w:cs="Arial"/>
                <w:sz w:val="18"/>
                <w:szCs w:val="18"/>
              </w:rPr>
              <w:t>C</w:t>
            </w:r>
          </w:p>
        </w:tc>
      </w:tr>
      <w:tr w:rsidR="00E5549E" w:rsidRPr="002975F8" w14:paraId="6E2F49BB" w14:textId="77777777" w:rsidTr="00E5549E">
        <w:trPr>
          <w:trHeight w:val="361"/>
        </w:trPr>
        <w:tc>
          <w:tcPr>
            <w:tcW w:w="798" w:type="dxa"/>
            <w:tcBorders>
              <w:left w:val="single" w:sz="18" w:space="0" w:color="auto"/>
              <w:right w:val="single" w:sz="18" w:space="0" w:color="auto"/>
            </w:tcBorders>
          </w:tcPr>
          <w:p w14:paraId="6293DCF6" w14:textId="77777777" w:rsidR="000923BB" w:rsidRPr="00AC0C56" w:rsidRDefault="000923BB" w:rsidP="003A385F">
            <w:pPr>
              <w:spacing w:after="0" w:line="240" w:lineRule="auto"/>
              <w:jc w:val="both"/>
              <w:rPr>
                <w:rFonts w:cs="Arial"/>
                <w:sz w:val="18"/>
                <w:szCs w:val="18"/>
              </w:rPr>
            </w:pPr>
            <w:r w:rsidRPr="00AC0C56">
              <w:rPr>
                <w:rFonts w:cs="Arial"/>
                <w:sz w:val="18"/>
                <w:szCs w:val="18"/>
              </w:rPr>
              <w:t>1 (5)</w:t>
            </w:r>
          </w:p>
          <w:p w14:paraId="5D90ABF9" w14:textId="77777777" w:rsidR="000923BB" w:rsidRPr="00AC0C56" w:rsidRDefault="000923BB" w:rsidP="003A385F">
            <w:pPr>
              <w:spacing w:after="0" w:line="240" w:lineRule="auto"/>
              <w:jc w:val="both"/>
              <w:rPr>
                <w:rFonts w:cs="Arial"/>
                <w:sz w:val="18"/>
                <w:szCs w:val="18"/>
              </w:rPr>
            </w:pPr>
          </w:p>
        </w:tc>
        <w:tc>
          <w:tcPr>
            <w:tcW w:w="532" w:type="dxa"/>
            <w:tcBorders>
              <w:top w:val="single" w:sz="8" w:space="0" w:color="auto"/>
              <w:left w:val="single" w:sz="18" w:space="0" w:color="auto"/>
              <w:bottom w:val="single" w:sz="8" w:space="0" w:color="auto"/>
              <w:right w:val="single" w:sz="8" w:space="0" w:color="auto"/>
            </w:tcBorders>
          </w:tcPr>
          <w:p w14:paraId="12224ACC" w14:textId="77777777" w:rsidR="000923BB" w:rsidRPr="00AC0C56" w:rsidRDefault="000923BB" w:rsidP="003A385F">
            <w:pPr>
              <w:spacing w:after="0" w:line="240" w:lineRule="auto"/>
              <w:rPr>
                <w:rFonts w:cs="Arial"/>
                <w:sz w:val="18"/>
                <w:szCs w:val="18"/>
              </w:rPr>
            </w:pPr>
            <w:r w:rsidRPr="00AC0C56">
              <w:rPr>
                <w:rFonts w:cs="Arial"/>
                <w:sz w:val="18"/>
                <w:szCs w:val="18"/>
              </w:rPr>
              <w:t>2</w:t>
            </w:r>
          </w:p>
        </w:tc>
        <w:tc>
          <w:tcPr>
            <w:tcW w:w="532" w:type="dxa"/>
            <w:tcBorders>
              <w:top w:val="single" w:sz="8" w:space="0" w:color="auto"/>
              <w:left w:val="single" w:sz="8" w:space="0" w:color="auto"/>
              <w:bottom w:val="single" w:sz="8" w:space="0" w:color="auto"/>
              <w:right w:val="double" w:sz="4" w:space="0" w:color="auto"/>
            </w:tcBorders>
          </w:tcPr>
          <w:p w14:paraId="489C37B2" w14:textId="77777777" w:rsidR="000923BB" w:rsidRPr="00AC0C56" w:rsidRDefault="000923BB" w:rsidP="003A385F">
            <w:pPr>
              <w:spacing w:after="0" w:line="240" w:lineRule="auto"/>
              <w:rPr>
                <w:rFonts w:cs="Arial"/>
                <w:sz w:val="18"/>
                <w:szCs w:val="18"/>
              </w:rPr>
            </w:pPr>
            <w:r w:rsidRPr="00AC0C56">
              <w:rPr>
                <w:rFonts w:cs="Arial"/>
                <w:sz w:val="18"/>
                <w:szCs w:val="18"/>
              </w:rPr>
              <w:t>4</w:t>
            </w:r>
          </w:p>
        </w:tc>
        <w:tc>
          <w:tcPr>
            <w:tcW w:w="399" w:type="dxa"/>
            <w:tcBorders>
              <w:top w:val="single" w:sz="8" w:space="0" w:color="auto"/>
              <w:left w:val="double" w:sz="4" w:space="0" w:color="auto"/>
              <w:bottom w:val="single" w:sz="8" w:space="0" w:color="auto"/>
              <w:right w:val="single" w:sz="8" w:space="0" w:color="auto"/>
            </w:tcBorders>
          </w:tcPr>
          <w:p w14:paraId="2C117B5C" w14:textId="77777777" w:rsidR="000923BB" w:rsidRPr="00AC0C56" w:rsidRDefault="000923BB" w:rsidP="003A385F">
            <w:pPr>
              <w:spacing w:after="0" w:line="240" w:lineRule="auto"/>
              <w:rPr>
                <w:rFonts w:cs="Arial"/>
                <w:sz w:val="18"/>
                <w:szCs w:val="18"/>
              </w:rPr>
            </w:pPr>
            <w:r w:rsidRPr="00AC0C56">
              <w:rPr>
                <w:rFonts w:cs="Arial"/>
                <w:sz w:val="18"/>
                <w:szCs w:val="18"/>
              </w:rPr>
              <w:t>11</w:t>
            </w:r>
          </w:p>
        </w:tc>
        <w:tc>
          <w:tcPr>
            <w:tcW w:w="532" w:type="dxa"/>
            <w:tcBorders>
              <w:top w:val="single" w:sz="8" w:space="0" w:color="auto"/>
              <w:left w:val="single" w:sz="8" w:space="0" w:color="auto"/>
              <w:bottom w:val="single" w:sz="8" w:space="0" w:color="auto"/>
              <w:right w:val="single" w:sz="18" w:space="0" w:color="auto"/>
            </w:tcBorders>
          </w:tcPr>
          <w:p w14:paraId="35B64E24" w14:textId="77777777" w:rsidR="000923BB" w:rsidRPr="00AC0C56" w:rsidRDefault="000923BB" w:rsidP="003A385F">
            <w:pPr>
              <w:spacing w:after="0" w:line="240" w:lineRule="auto"/>
              <w:rPr>
                <w:rFonts w:cs="Arial"/>
                <w:sz w:val="18"/>
                <w:szCs w:val="18"/>
              </w:rPr>
            </w:pPr>
            <w:r w:rsidRPr="00AC0C56">
              <w:rPr>
                <w:rFonts w:cs="Arial"/>
                <w:sz w:val="18"/>
                <w:szCs w:val="18"/>
              </w:rPr>
              <w:t>4</w:t>
            </w:r>
          </w:p>
        </w:tc>
        <w:tc>
          <w:tcPr>
            <w:tcW w:w="399" w:type="dxa"/>
            <w:tcBorders>
              <w:left w:val="single" w:sz="18" w:space="0" w:color="auto"/>
            </w:tcBorders>
          </w:tcPr>
          <w:p w14:paraId="2DE08D20" w14:textId="77777777" w:rsidR="000923BB" w:rsidRPr="00AC0C56" w:rsidRDefault="000923BB" w:rsidP="003A385F">
            <w:pPr>
              <w:spacing w:after="0" w:line="240" w:lineRule="auto"/>
              <w:rPr>
                <w:rFonts w:cs="Arial"/>
                <w:sz w:val="18"/>
                <w:szCs w:val="18"/>
              </w:rPr>
            </w:pPr>
            <w:r w:rsidRPr="00AC0C56">
              <w:rPr>
                <w:rFonts w:cs="Arial"/>
                <w:sz w:val="18"/>
                <w:szCs w:val="18"/>
              </w:rPr>
              <w:t>0</w:t>
            </w:r>
          </w:p>
        </w:tc>
        <w:tc>
          <w:tcPr>
            <w:tcW w:w="532" w:type="dxa"/>
            <w:tcBorders>
              <w:right w:val="double" w:sz="4" w:space="0" w:color="auto"/>
            </w:tcBorders>
          </w:tcPr>
          <w:p w14:paraId="1A92DA7F" w14:textId="77777777" w:rsidR="000923BB" w:rsidRPr="00AC0C56" w:rsidRDefault="000923BB" w:rsidP="003A385F">
            <w:pPr>
              <w:spacing w:after="0" w:line="240" w:lineRule="auto"/>
              <w:rPr>
                <w:rFonts w:cs="Arial"/>
                <w:sz w:val="18"/>
                <w:szCs w:val="18"/>
              </w:rPr>
            </w:pPr>
            <w:r w:rsidRPr="00AC0C56">
              <w:rPr>
                <w:rFonts w:cs="Arial"/>
                <w:sz w:val="18"/>
                <w:szCs w:val="18"/>
              </w:rPr>
              <w:t>2</w:t>
            </w:r>
          </w:p>
        </w:tc>
        <w:tc>
          <w:tcPr>
            <w:tcW w:w="400" w:type="dxa"/>
            <w:tcBorders>
              <w:left w:val="double" w:sz="4" w:space="0" w:color="auto"/>
            </w:tcBorders>
          </w:tcPr>
          <w:p w14:paraId="0ED4F3C3" w14:textId="77777777" w:rsidR="000923BB" w:rsidRPr="00AC0C56" w:rsidRDefault="000923BB" w:rsidP="003A385F">
            <w:pPr>
              <w:spacing w:after="0" w:line="240" w:lineRule="auto"/>
              <w:rPr>
                <w:rFonts w:cs="Arial"/>
                <w:sz w:val="18"/>
                <w:szCs w:val="18"/>
              </w:rPr>
            </w:pPr>
            <w:r w:rsidRPr="00AC0C56">
              <w:rPr>
                <w:rFonts w:cs="Arial"/>
                <w:sz w:val="18"/>
                <w:szCs w:val="18"/>
              </w:rPr>
              <w:t>7</w:t>
            </w:r>
          </w:p>
        </w:tc>
        <w:tc>
          <w:tcPr>
            <w:tcW w:w="399" w:type="dxa"/>
            <w:tcBorders>
              <w:right w:val="single" w:sz="18" w:space="0" w:color="auto"/>
            </w:tcBorders>
          </w:tcPr>
          <w:p w14:paraId="1A98271B" w14:textId="77777777" w:rsidR="000923BB" w:rsidRPr="00AC0C56" w:rsidRDefault="000923BB" w:rsidP="003A385F">
            <w:pPr>
              <w:spacing w:after="0" w:line="240" w:lineRule="auto"/>
              <w:rPr>
                <w:rFonts w:cs="Arial"/>
                <w:sz w:val="18"/>
                <w:szCs w:val="18"/>
              </w:rPr>
            </w:pPr>
            <w:r w:rsidRPr="00AC0C56">
              <w:rPr>
                <w:rFonts w:cs="Arial"/>
                <w:sz w:val="18"/>
                <w:szCs w:val="18"/>
              </w:rPr>
              <w:t>11</w:t>
            </w:r>
          </w:p>
        </w:tc>
        <w:tc>
          <w:tcPr>
            <w:tcW w:w="532" w:type="dxa"/>
            <w:tcBorders>
              <w:left w:val="single" w:sz="18" w:space="0" w:color="auto"/>
            </w:tcBorders>
          </w:tcPr>
          <w:p w14:paraId="5A20F12D" w14:textId="77777777" w:rsidR="000923BB" w:rsidRPr="00AC0C56" w:rsidRDefault="000923BB" w:rsidP="003A385F">
            <w:pPr>
              <w:spacing w:after="0" w:line="240" w:lineRule="auto"/>
              <w:rPr>
                <w:rFonts w:cs="Arial"/>
                <w:sz w:val="18"/>
                <w:szCs w:val="18"/>
              </w:rPr>
            </w:pPr>
            <w:r w:rsidRPr="00AC0C56">
              <w:rPr>
                <w:rFonts w:cs="Arial"/>
                <w:sz w:val="18"/>
                <w:szCs w:val="18"/>
              </w:rPr>
              <w:t>2</w:t>
            </w:r>
          </w:p>
        </w:tc>
        <w:tc>
          <w:tcPr>
            <w:tcW w:w="532" w:type="dxa"/>
            <w:tcBorders>
              <w:right w:val="double" w:sz="4" w:space="0" w:color="auto"/>
            </w:tcBorders>
          </w:tcPr>
          <w:p w14:paraId="3CD1384B" w14:textId="77777777" w:rsidR="000923BB" w:rsidRPr="00AC0C56" w:rsidRDefault="000923BB" w:rsidP="003A385F">
            <w:pPr>
              <w:spacing w:after="0" w:line="240" w:lineRule="auto"/>
              <w:rPr>
                <w:rFonts w:cs="Arial"/>
                <w:sz w:val="18"/>
                <w:szCs w:val="18"/>
              </w:rPr>
            </w:pPr>
            <w:r w:rsidRPr="00AC0C56">
              <w:rPr>
                <w:rFonts w:cs="Arial"/>
                <w:sz w:val="18"/>
                <w:szCs w:val="18"/>
              </w:rPr>
              <w:t>1</w:t>
            </w:r>
          </w:p>
        </w:tc>
        <w:tc>
          <w:tcPr>
            <w:tcW w:w="399" w:type="dxa"/>
            <w:tcBorders>
              <w:left w:val="double" w:sz="4" w:space="0" w:color="auto"/>
              <w:right w:val="single" w:sz="8" w:space="0" w:color="auto"/>
            </w:tcBorders>
          </w:tcPr>
          <w:p w14:paraId="41697322" w14:textId="77777777" w:rsidR="000923BB" w:rsidRPr="00AC0C56" w:rsidRDefault="000923BB" w:rsidP="003A385F">
            <w:pPr>
              <w:spacing w:after="0" w:line="240" w:lineRule="auto"/>
              <w:rPr>
                <w:rFonts w:cs="Arial"/>
                <w:sz w:val="18"/>
                <w:szCs w:val="18"/>
              </w:rPr>
            </w:pPr>
            <w:r w:rsidRPr="00AC0C56">
              <w:rPr>
                <w:rFonts w:cs="Arial"/>
                <w:sz w:val="18"/>
                <w:szCs w:val="18"/>
              </w:rPr>
              <w:t>1</w:t>
            </w:r>
          </w:p>
        </w:tc>
        <w:tc>
          <w:tcPr>
            <w:tcW w:w="532" w:type="dxa"/>
            <w:tcBorders>
              <w:left w:val="single" w:sz="8" w:space="0" w:color="auto"/>
              <w:right w:val="single" w:sz="18" w:space="0" w:color="auto"/>
            </w:tcBorders>
          </w:tcPr>
          <w:p w14:paraId="0572A9AF" w14:textId="77777777" w:rsidR="000923BB" w:rsidRPr="00AC0C56" w:rsidRDefault="000923BB" w:rsidP="003A385F">
            <w:pPr>
              <w:spacing w:after="0" w:line="240" w:lineRule="auto"/>
              <w:rPr>
                <w:rFonts w:cs="Arial"/>
                <w:sz w:val="18"/>
                <w:szCs w:val="18"/>
              </w:rPr>
            </w:pPr>
            <w:r w:rsidRPr="00AC0C56">
              <w:rPr>
                <w:rFonts w:cs="Arial"/>
                <w:sz w:val="18"/>
                <w:szCs w:val="18"/>
              </w:rPr>
              <w:t>4</w:t>
            </w:r>
          </w:p>
        </w:tc>
        <w:tc>
          <w:tcPr>
            <w:tcW w:w="532" w:type="dxa"/>
            <w:tcBorders>
              <w:left w:val="single" w:sz="18" w:space="0" w:color="auto"/>
              <w:right w:val="single" w:sz="8" w:space="0" w:color="auto"/>
            </w:tcBorders>
          </w:tcPr>
          <w:p w14:paraId="1AE4593F" w14:textId="77777777" w:rsidR="000923BB" w:rsidRPr="00AC0C56" w:rsidRDefault="000923BB" w:rsidP="003A385F">
            <w:pPr>
              <w:spacing w:after="0" w:line="240" w:lineRule="auto"/>
              <w:rPr>
                <w:rFonts w:cs="Arial"/>
                <w:sz w:val="18"/>
                <w:szCs w:val="18"/>
              </w:rPr>
            </w:pPr>
            <w:r w:rsidRPr="00AC0C56">
              <w:rPr>
                <w:rFonts w:cs="Arial"/>
                <w:sz w:val="18"/>
                <w:szCs w:val="18"/>
              </w:rPr>
              <w:t>0</w:t>
            </w:r>
          </w:p>
        </w:tc>
        <w:tc>
          <w:tcPr>
            <w:tcW w:w="532" w:type="dxa"/>
            <w:tcBorders>
              <w:left w:val="single" w:sz="8" w:space="0" w:color="auto"/>
              <w:right w:val="double" w:sz="4" w:space="0" w:color="auto"/>
            </w:tcBorders>
          </w:tcPr>
          <w:p w14:paraId="454081FB" w14:textId="77777777" w:rsidR="000923BB" w:rsidRPr="00AC0C56" w:rsidRDefault="000923BB" w:rsidP="003A385F">
            <w:pPr>
              <w:spacing w:after="0" w:line="240" w:lineRule="auto"/>
              <w:rPr>
                <w:rFonts w:cs="Arial"/>
                <w:sz w:val="18"/>
                <w:szCs w:val="18"/>
              </w:rPr>
            </w:pPr>
            <w:r w:rsidRPr="00AC0C56">
              <w:rPr>
                <w:rFonts w:cs="Arial"/>
                <w:sz w:val="18"/>
                <w:szCs w:val="18"/>
              </w:rPr>
              <w:t>2</w:t>
            </w:r>
          </w:p>
        </w:tc>
        <w:tc>
          <w:tcPr>
            <w:tcW w:w="399" w:type="dxa"/>
            <w:tcBorders>
              <w:left w:val="double" w:sz="4" w:space="0" w:color="auto"/>
            </w:tcBorders>
          </w:tcPr>
          <w:p w14:paraId="56C74795" w14:textId="77777777" w:rsidR="000923BB" w:rsidRPr="00AC0C56" w:rsidRDefault="000923BB" w:rsidP="003A385F">
            <w:pPr>
              <w:spacing w:after="0" w:line="240" w:lineRule="auto"/>
              <w:rPr>
                <w:rFonts w:cs="Arial"/>
                <w:sz w:val="18"/>
                <w:szCs w:val="18"/>
              </w:rPr>
            </w:pPr>
            <w:r w:rsidRPr="00AC0C56">
              <w:rPr>
                <w:rFonts w:cs="Arial"/>
                <w:sz w:val="18"/>
                <w:szCs w:val="18"/>
              </w:rPr>
              <w:t>0</w:t>
            </w:r>
          </w:p>
        </w:tc>
        <w:tc>
          <w:tcPr>
            <w:tcW w:w="399" w:type="dxa"/>
            <w:tcBorders>
              <w:right w:val="single" w:sz="18" w:space="0" w:color="auto"/>
            </w:tcBorders>
          </w:tcPr>
          <w:p w14:paraId="36121152" w14:textId="77777777" w:rsidR="000923BB" w:rsidRPr="00AC0C56" w:rsidRDefault="000923BB" w:rsidP="003A385F">
            <w:pPr>
              <w:spacing w:after="0" w:line="240" w:lineRule="auto"/>
              <w:rPr>
                <w:rFonts w:cs="Arial"/>
                <w:sz w:val="18"/>
                <w:szCs w:val="18"/>
              </w:rPr>
            </w:pPr>
            <w:r w:rsidRPr="00AC0C56">
              <w:rPr>
                <w:rFonts w:cs="Arial"/>
                <w:sz w:val="18"/>
                <w:szCs w:val="18"/>
              </w:rPr>
              <w:t>8</w:t>
            </w:r>
          </w:p>
        </w:tc>
      </w:tr>
      <w:tr w:rsidR="00E5549E" w:rsidRPr="002975F8" w14:paraId="7AC5400F" w14:textId="77777777" w:rsidTr="00E5549E">
        <w:trPr>
          <w:trHeight w:val="173"/>
        </w:trPr>
        <w:tc>
          <w:tcPr>
            <w:tcW w:w="798" w:type="dxa"/>
            <w:tcBorders>
              <w:left w:val="single" w:sz="18" w:space="0" w:color="auto"/>
              <w:right w:val="single" w:sz="18" w:space="0" w:color="auto"/>
            </w:tcBorders>
          </w:tcPr>
          <w:p w14:paraId="272C8E0F" w14:textId="77777777" w:rsidR="000923BB" w:rsidRPr="00AC0C56" w:rsidRDefault="000923BB" w:rsidP="003A385F">
            <w:pPr>
              <w:spacing w:after="0" w:line="240" w:lineRule="auto"/>
              <w:jc w:val="both"/>
              <w:rPr>
                <w:rFonts w:cs="Arial"/>
                <w:sz w:val="18"/>
                <w:szCs w:val="18"/>
              </w:rPr>
            </w:pPr>
            <w:r w:rsidRPr="00AC0C56">
              <w:rPr>
                <w:rFonts w:cs="Arial"/>
                <w:sz w:val="18"/>
                <w:szCs w:val="18"/>
              </w:rPr>
              <w:t>2 (3)</w:t>
            </w:r>
          </w:p>
        </w:tc>
        <w:tc>
          <w:tcPr>
            <w:tcW w:w="532" w:type="dxa"/>
            <w:tcBorders>
              <w:top w:val="single" w:sz="8" w:space="0" w:color="auto"/>
              <w:left w:val="single" w:sz="18" w:space="0" w:color="auto"/>
              <w:bottom w:val="single" w:sz="8" w:space="0" w:color="auto"/>
              <w:right w:val="single" w:sz="8" w:space="0" w:color="auto"/>
            </w:tcBorders>
          </w:tcPr>
          <w:p w14:paraId="7352AA7D" w14:textId="77777777" w:rsidR="000923BB" w:rsidRPr="00AC0C56" w:rsidRDefault="000923BB" w:rsidP="003A385F">
            <w:pPr>
              <w:spacing w:after="0" w:line="240" w:lineRule="auto"/>
              <w:rPr>
                <w:rFonts w:cs="Arial"/>
                <w:sz w:val="18"/>
                <w:szCs w:val="18"/>
              </w:rPr>
            </w:pPr>
            <w:r w:rsidRPr="00AC0C56">
              <w:rPr>
                <w:rFonts w:cs="Arial"/>
                <w:sz w:val="18"/>
                <w:szCs w:val="18"/>
              </w:rPr>
              <w:t>3</w:t>
            </w:r>
          </w:p>
        </w:tc>
        <w:tc>
          <w:tcPr>
            <w:tcW w:w="532" w:type="dxa"/>
            <w:tcBorders>
              <w:top w:val="single" w:sz="8" w:space="0" w:color="auto"/>
              <w:left w:val="single" w:sz="8" w:space="0" w:color="auto"/>
              <w:bottom w:val="single" w:sz="8" w:space="0" w:color="auto"/>
              <w:right w:val="double" w:sz="4" w:space="0" w:color="auto"/>
            </w:tcBorders>
          </w:tcPr>
          <w:p w14:paraId="456383D5" w14:textId="77777777" w:rsidR="000923BB" w:rsidRPr="00AC0C56" w:rsidRDefault="000923BB" w:rsidP="003A385F">
            <w:pPr>
              <w:spacing w:after="0" w:line="240" w:lineRule="auto"/>
              <w:rPr>
                <w:rFonts w:cs="Arial"/>
                <w:sz w:val="18"/>
                <w:szCs w:val="18"/>
              </w:rPr>
            </w:pPr>
            <w:r w:rsidRPr="00AC0C56">
              <w:rPr>
                <w:rFonts w:cs="Arial"/>
                <w:sz w:val="18"/>
                <w:szCs w:val="18"/>
              </w:rPr>
              <w:t>1</w:t>
            </w:r>
          </w:p>
        </w:tc>
        <w:tc>
          <w:tcPr>
            <w:tcW w:w="399" w:type="dxa"/>
            <w:tcBorders>
              <w:top w:val="single" w:sz="8" w:space="0" w:color="auto"/>
              <w:left w:val="double" w:sz="4" w:space="0" w:color="auto"/>
              <w:bottom w:val="single" w:sz="8" w:space="0" w:color="auto"/>
              <w:right w:val="single" w:sz="8" w:space="0" w:color="auto"/>
            </w:tcBorders>
          </w:tcPr>
          <w:p w14:paraId="15C55720" w14:textId="77777777" w:rsidR="000923BB" w:rsidRPr="00AC0C56" w:rsidRDefault="000923BB" w:rsidP="003A385F">
            <w:pPr>
              <w:spacing w:after="0" w:line="240" w:lineRule="auto"/>
              <w:rPr>
                <w:rFonts w:cs="Arial"/>
                <w:sz w:val="18"/>
                <w:szCs w:val="18"/>
              </w:rPr>
            </w:pPr>
            <w:r w:rsidRPr="00AC0C56">
              <w:rPr>
                <w:rFonts w:cs="Arial"/>
                <w:sz w:val="18"/>
                <w:szCs w:val="18"/>
              </w:rPr>
              <w:t>4</w:t>
            </w:r>
          </w:p>
        </w:tc>
        <w:tc>
          <w:tcPr>
            <w:tcW w:w="532" w:type="dxa"/>
            <w:tcBorders>
              <w:top w:val="single" w:sz="8" w:space="0" w:color="auto"/>
              <w:left w:val="single" w:sz="8" w:space="0" w:color="auto"/>
              <w:bottom w:val="single" w:sz="8" w:space="0" w:color="auto"/>
              <w:right w:val="single" w:sz="18" w:space="0" w:color="auto"/>
            </w:tcBorders>
          </w:tcPr>
          <w:p w14:paraId="4EAC2ACF" w14:textId="77777777" w:rsidR="000923BB" w:rsidRPr="00AC0C56" w:rsidRDefault="000923BB" w:rsidP="003A385F">
            <w:pPr>
              <w:spacing w:after="0" w:line="240" w:lineRule="auto"/>
              <w:rPr>
                <w:rFonts w:cs="Arial"/>
                <w:sz w:val="18"/>
                <w:szCs w:val="18"/>
              </w:rPr>
            </w:pPr>
            <w:r w:rsidRPr="00AC0C56">
              <w:rPr>
                <w:rFonts w:cs="Arial"/>
                <w:sz w:val="18"/>
                <w:szCs w:val="18"/>
              </w:rPr>
              <w:t>2</w:t>
            </w:r>
          </w:p>
        </w:tc>
        <w:tc>
          <w:tcPr>
            <w:tcW w:w="399" w:type="dxa"/>
            <w:tcBorders>
              <w:left w:val="single" w:sz="18" w:space="0" w:color="auto"/>
            </w:tcBorders>
          </w:tcPr>
          <w:p w14:paraId="3DF32C47" w14:textId="77777777" w:rsidR="000923BB" w:rsidRPr="00AC0C56" w:rsidRDefault="000923BB" w:rsidP="003A385F">
            <w:pPr>
              <w:spacing w:after="0" w:line="240" w:lineRule="auto"/>
              <w:rPr>
                <w:rFonts w:cs="Arial"/>
                <w:sz w:val="18"/>
                <w:szCs w:val="18"/>
              </w:rPr>
            </w:pPr>
            <w:r w:rsidRPr="00AC0C56">
              <w:rPr>
                <w:rFonts w:cs="Arial"/>
                <w:sz w:val="18"/>
                <w:szCs w:val="18"/>
              </w:rPr>
              <w:t>0</w:t>
            </w:r>
          </w:p>
        </w:tc>
        <w:tc>
          <w:tcPr>
            <w:tcW w:w="532" w:type="dxa"/>
            <w:tcBorders>
              <w:right w:val="double" w:sz="4" w:space="0" w:color="auto"/>
            </w:tcBorders>
          </w:tcPr>
          <w:p w14:paraId="34F67AE8" w14:textId="77777777" w:rsidR="000923BB" w:rsidRPr="00AC0C56" w:rsidRDefault="000923BB" w:rsidP="003A385F">
            <w:pPr>
              <w:spacing w:after="0" w:line="240" w:lineRule="auto"/>
              <w:rPr>
                <w:rFonts w:cs="Arial"/>
                <w:sz w:val="18"/>
                <w:szCs w:val="18"/>
              </w:rPr>
            </w:pPr>
            <w:r w:rsidRPr="00AC0C56">
              <w:rPr>
                <w:rFonts w:cs="Arial"/>
                <w:sz w:val="18"/>
                <w:szCs w:val="18"/>
              </w:rPr>
              <w:t>2</w:t>
            </w:r>
          </w:p>
        </w:tc>
        <w:tc>
          <w:tcPr>
            <w:tcW w:w="400" w:type="dxa"/>
            <w:tcBorders>
              <w:left w:val="double" w:sz="4" w:space="0" w:color="auto"/>
            </w:tcBorders>
          </w:tcPr>
          <w:p w14:paraId="6ED5EB53" w14:textId="77777777" w:rsidR="000923BB" w:rsidRPr="00AC0C56" w:rsidRDefault="000923BB" w:rsidP="003A385F">
            <w:pPr>
              <w:spacing w:after="0" w:line="240" w:lineRule="auto"/>
              <w:rPr>
                <w:rFonts w:cs="Arial"/>
                <w:sz w:val="18"/>
                <w:szCs w:val="18"/>
              </w:rPr>
            </w:pPr>
            <w:r w:rsidRPr="00AC0C56">
              <w:rPr>
                <w:rFonts w:cs="Arial"/>
                <w:sz w:val="18"/>
                <w:szCs w:val="18"/>
              </w:rPr>
              <w:t>4</w:t>
            </w:r>
          </w:p>
        </w:tc>
        <w:tc>
          <w:tcPr>
            <w:tcW w:w="399" w:type="dxa"/>
            <w:tcBorders>
              <w:right w:val="single" w:sz="18" w:space="0" w:color="auto"/>
            </w:tcBorders>
          </w:tcPr>
          <w:p w14:paraId="1FB1AF36" w14:textId="77777777" w:rsidR="000923BB" w:rsidRPr="00AC0C56" w:rsidRDefault="000923BB" w:rsidP="003A385F">
            <w:pPr>
              <w:spacing w:after="0" w:line="240" w:lineRule="auto"/>
              <w:rPr>
                <w:rFonts w:cs="Arial"/>
                <w:sz w:val="18"/>
                <w:szCs w:val="18"/>
              </w:rPr>
            </w:pPr>
            <w:r w:rsidRPr="00AC0C56">
              <w:rPr>
                <w:rFonts w:cs="Arial"/>
                <w:sz w:val="18"/>
                <w:szCs w:val="18"/>
              </w:rPr>
              <w:t>5</w:t>
            </w:r>
          </w:p>
        </w:tc>
        <w:tc>
          <w:tcPr>
            <w:tcW w:w="532" w:type="dxa"/>
            <w:tcBorders>
              <w:left w:val="single" w:sz="18" w:space="0" w:color="auto"/>
            </w:tcBorders>
          </w:tcPr>
          <w:p w14:paraId="7E9B7F5C" w14:textId="77777777" w:rsidR="000923BB" w:rsidRPr="00AC0C56" w:rsidRDefault="000923BB" w:rsidP="003A385F">
            <w:pPr>
              <w:spacing w:after="0" w:line="240" w:lineRule="auto"/>
              <w:rPr>
                <w:rFonts w:cs="Arial"/>
                <w:sz w:val="18"/>
                <w:szCs w:val="18"/>
              </w:rPr>
            </w:pPr>
            <w:r w:rsidRPr="00AC0C56">
              <w:rPr>
                <w:rFonts w:cs="Arial"/>
                <w:sz w:val="18"/>
                <w:szCs w:val="18"/>
              </w:rPr>
              <w:t>0</w:t>
            </w:r>
          </w:p>
        </w:tc>
        <w:tc>
          <w:tcPr>
            <w:tcW w:w="532" w:type="dxa"/>
            <w:tcBorders>
              <w:right w:val="double" w:sz="4" w:space="0" w:color="auto"/>
            </w:tcBorders>
          </w:tcPr>
          <w:p w14:paraId="2E71D6F9" w14:textId="77777777" w:rsidR="000923BB" w:rsidRPr="00AC0C56" w:rsidRDefault="000923BB" w:rsidP="003A385F">
            <w:pPr>
              <w:spacing w:after="0" w:line="240" w:lineRule="auto"/>
              <w:rPr>
                <w:rFonts w:cs="Arial"/>
                <w:sz w:val="18"/>
                <w:szCs w:val="18"/>
              </w:rPr>
            </w:pPr>
            <w:r w:rsidRPr="00AC0C56">
              <w:rPr>
                <w:rFonts w:cs="Arial"/>
                <w:sz w:val="18"/>
                <w:szCs w:val="18"/>
              </w:rPr>
              <w:t>0</w:t>
            </w:r>
          </w:p>
        </w:tc>
        <w:tc>
          <w:tcPr>
            <w:tcW w:w="399" w:type="dxa"/>
            <w:tcBorders>
              <w:left w:val="double" w:sz="4" w:space="0" w:color="auto"/>
              <w:right w:val="single" w:sz="8" w:space="0" w:color="auto"/>
            </w:tcBorders>
          </w:tcPr>
          <w:p w14:paraId="6050CD52" w14:textId="77777777" w:rsidR="000923BB" w:rsidRPr="00AC0C56" w:rsidRDefault="000923BB" w:rsidP="003A385F">
            <w:pPr>
              <w:spacing w:after="0" w:line="240" w:lineRule="auto"/>
              <w:rPr>
                <w:rFonts w:cs="Arial"/>
                <w:sz w:val="18"/>
                <w:szCs w:val="18"/>
              </w:rPr>
            </w:pPr>
            <w:r w:rsidRPr="00AC0C56">
              <w:rPr>
                <w:rFonts w:cs="Arial"/>
                <w:sz w:val="18"/>
                <w:szCs w:val="18"/>
              </w:rPr>
              <w:t>0</w:t>
            </w:r>
          </w:p>
        </w:tc>
        <w:tc>
          <w:tcPr>
            <w:tcW w:w="532" w:type="dxa"/>
            <w:tcBorders>
              <w:left w:val="single" w:sz="8" w:space="0" w:color="auto"/>
              <w:right w:val="single" w:sz="18" w:space="0" w:color="auto"/>
            </w:tcBorders>
          </w:tcPr>
          <w:p w14:paraId="16E1ABD7" w14:textId="77777777" w:rsidR="000923BB" w:rsidRPr="00AC0C56" w:rsidRDefault="000923BB" w:rsidP="003A385F">
            <w:pPr>
              <w:spacing w:after="0" w:line="240" w:lineRule="auto"/>
              <w:rPr>
                <w:rFonts w:cs="Arial"/>
                <w:sz w:val="18"/>
                <w:szCs w:val="18"/>
              </w:rPr>
            </w:pPr>
            <w:r w:rsidRPr="00AC0C56">
              <w:rPr>
                <w:rFonts w:cs="Arial"/>
                <w:sz w:val="18"/>
                <w:szCs w:val="18"/>
              </w:rPr>
              <w:t>5</w:t>
            </w:r>
          </w:p>
        </w:tc>
        <w:tc>
          <w:tcPr>
            <w:tcW w:w="532" w:type="dxa"/>
            <w:tcBorders>
              <w:left w:val="single" w:sz="18" w:space="0" w:color="auto"/>
              <w:right w:val="single" w:sz="8" w:space="0" w:color="auto"/>
            </w:tcBorders>
          </w:tcPr>
          <w:p w14:paraId="6A8A23E8" w14:textId="77777777" w:rsidR="000923BB" w:rsidRPr="00AC0C56" w:rsidRDefault="000923BB" w:rsidP="003A385F">
            <w:pPr>
              <w:spacing w:after="0" w:line="240" w:lineRule="auto"/>
              <w:rPr>
                <w:rFonts w:cs="Arial"/>
                <w:sz w:val="18"/>
                <w:szCs w:val="18"/>
              </w:rPr>
            </w:pPr>
            <w:r w:rsidRPr="00AC0C56">
              <w:rPr>
                <w:rFonts w:cs="Arial"/>
                <w:sz w:val="18"/>
                <w:szCs w:val="18"/>
              </w:rPr>
              <w:t>0</w:t>
            </w:r>
          </w:p>
        </w:tc>
        <w:tc>
          <w:tcPr>
            <w:tcW w:w="532" w:type="dxa"/>
            <w:tcBorders>
              <w:left w:val="single" w:sz="8" w:space="0" w:color="auto"/>
              <w:right w:val="double" w:sz="4" w:space="0" w:color="auto"/>
            </w:tcBorders>
          </w:tcPr>
          <w:p w14:paraId="50905C17" w14:textId="77777777" w:rsidR="000923BB" w:rsidRPr="00AC0C56" w:rsidRDefault="000923BB" w:rsidP="003A385F">
            <w:pPr>
              <w:spacing w:after="0" w:line="240" w:lineRule="auto"/>
              <w:rPr>
                <w:rFonts w:cs="Arial"/>
                <w:sz w:val="18"/>
                <w:szCs w:val="18"/>
              </w:rPr>
            </w:pPr>
            <w:r w:rsidRPr="00AC0C56">
              <w:rPr>
                <w:rFonts w:cs="Arial"/>
                <w:sz w:val="18"/>
                <w:szCs w:val="18"/>
              </w:rPr>
              <w:t>0</w:t>
            </w:r>
          </w:p>
        </w:tc>
        <w:tc>
          <w:tcPr>
            <w:tcW w:w="399" w:type="dxa"/>
            <w:tcBorders>
              <w:left w:val="double" w:sz="4" w:space="0" w:color="auto"/>
            </w:tcBorders>
          </w:tcPr>
          <w:p w14:paraId="4D29ABE8" w14:textId="77777777" w:rsidR="000923BB" w:rsidRPr="00AC0C56" w:rsidRDefault="000923BB" w:rsidP="003A385F">
            <w:pPr>
              <w:spacing w:after="0" w:line="240" w:lineRule="auto"/>
              <w:rPr>
                <w:rFonts w:cs="Arial"/>
                <w:sz w:val="18"/>
                <w:szCs w:val="18"/>
              </w:rPr>
            </w:pPr>
            <w:r w:rsidRPr="00AC0C56">
              <w:rPr>
                <w:rFonts w:cs="Arial"/>
                <w:sz w:val="18"/>
                <w:szCs w:val="18"/>
              </w:rPr>
              <w:t>0</w:t>
            </w:r>
          </w:p>
        </w:tc>
        <w:tc>
          <w:tcPr>
            <w:tcW w:w="399" w:type="dxa"/>
            <w:tcBorders>
              <w:right w:val="single" w:sz="18" w:space="0" w:color="auto"/>
            </w:tcBorders>
          </w:tcPr>
          <w:p w14:paraId="52B4BD0B" w14:textId="77777777" w:rsidR="000923BB" w:rsidRPr="00AC0C56" w:rsidRDefault="000923BB" w:rsidP="003A385F">
            <w:pPr>
              <w:spacing w:after="0" w:line="240" w:lineRule="auto"/>
              <w:rPr>
                <w:rFonts w:cs="Arial"/>
                <w:sz w:val="18"/>
                <w:szCs w:val="18"/>
              </w:rPr>
            </w:pPr>
            <w:r w:rsidRPr="00AC0C56">
              <w:rPr>
                <w:rFonts w:cs="Arial"/>
                <w:sz w:val="18"/>
                <w:szCs w:val="18"/>
              </w:rPr>
              <w:t>6</w:t>
            </w:r>
          </w:p>
        </w:tc>
      </w:tr>
      <w:tr w:rsidR="00E5549E" w:rsidRPr="002975F8" w14:paraId="2C1681A5" w14:textId="77777777" w:rsidTr="00E5549E">
        <w:trPr>
          <w:trHeight w:val="188"/>
        </w:trPr>
        <w:tc>
          <w:tcPr>
            <w:tcW w:w="798" w:type="dxa"/>
            <w:tcBorders>
              <w:left w:val="single" w:sz="18" w:space="0" w:color="auto"/>
              <w:right w:val="single" w:sz="18" w:space="0" w:color="auto"/>
            </w:tcBorders>
          </w:tcPr>
          <w:p w14:paraId="7C378352" w14:textId="77777777" w:rsidR="000923BB" w:rsidRPr="00AC0C56" w:rsidRDefault="000923BB" w:rsidP="003A385F">
            <w:pPr>
              <w:spacing w:after="0" w:line="240" w:lineRule="auto"/>
              <w:jc w:val="both"/>
              <w:rPr>
                <w:rFonts w:cs="Arial"/>
                <w:sz w:val="18"/>
                <w:szCs w:val="18"/>
              </w:rPr>
            </w:pPr>
            <w:r w:rsidRPr="00AC0C56">
              <w:rPr>
                <w:rFonts w:cs="Arial"/>
                <w:sz w:val="18"/>
                <w:szCs w:val="18"/>
              </w:rPr>
              <w:t>3 (13)</w:t>
            </w:r>
          </w:p>
        </w:tc>
        <w:tc>
          <w:tcPr>
            <w:tcW w:w="532" w:type="dxa"/>
            <w:tcBorders>
              <w:top w:val="single" w:sz="8" w:space="0" w:color="auto"/>
              <w:left w:val="single" w:sz="18" w:space="0" w:color="auto"/>
              <w:bottom w:val="single" w:sz="8" w:space="0" w:color="auto"/>
              <w:right w:val="single" w:sz="8" w:space="0" w:color="auto"/>
            </w:tcBorders>
          </w:tcPr>
          <w:p w14:paraId="78B5D500" w14:textId="77777777" w:rsidR="000923BB" w:rsidRPr="00AC0C56" w:rsidRDefault="000923BB" w:rsidP="003A385F">
            <w:pPr>
              <w:spacing w:after="0" w:line="240" w:lineRule="auto"/>
              <w:rPr>
                <w:rFonts w:cs="Arial"/>
                <w:sz w:val="18"/>
                <w:szCs w:val="18"/>
              </w:rPr>
            </w:pPr>
            <w:r w:rsidRPr="00AC0C56">
              <w:rPr>
                <w:rFonts w:cs="Arial"/>
                <w:sz w:val="18"/>
                <w:szCs w:val="18"/>
              </w:rPr>
              <w:t>2</w:t>
            </w:r>
          </w:p>
        </w:tc>
        <w:tc>
          <w:tcPr>
            <w:tcW w:w="532" w:type="dxa"/>
            <w:tcBorders>
              <w:top w:val="single" w:sz="8" w:space="0" w:color="auto"/>
              <w:left w:val="single" w:sz="8" w:space="0" w:color="auto"/>
              <w:bottom w:val="single" w:sz="8" w:space="0" w:color="auto"/>
              <w:right w:val="double" w:sz="4" w:space="0" w:color="auto"/>
            </w:tcBorders>
          </w:tcPr>
          <w:p w14:paraId="72B956B6" w14:textId="77777777" w:rsidR="000923BB" w:rsidRPr="00AC0C56" w:rsidRDefault="000923BB" w:rsidP="003A385F">
            <w:pPr>
              <w:spacing w:after="0" w:line="240" w:lineRule="auto"/>
              <w:rPr>
                <w:rFonts w:cs="Arial"/>
                <w:sz w:val="18"/>
                <w:szCs w:val="18"/>
              </w:rPr>
            </w:pPr>
            <w:r w:rsidRPr="00AC0C56">
              <w:rPr>
                <w:rFonts w:cs="Arial"/>
                <w:sz w:val="18"/>
                <w:szCs w:val="18"/>
              </w:rPr>
              <w:t>9</w:t>
            </w:r>
          </w:p>
        </w:tc>
        <w:tc>
          <w:tcPr>
            <w:tcW w:w="399" w:type="dxa"/>
            <w:tcBorders>
              <w:top w:val="single" w:sz="8" w:space="0" w:color="auto"/>
              <w:left w:val="double" w:sz="4" w:space="0" w:color="auto"/>
              <w:bottom w:val="single" w:sz="8" w:space="0" w:color="auto"/>
              <w:right w:val="single" w:sz="8" w:space="0" w:color="auto"/>
            </w:tcBorders>
          </w:tcPr>
          <w:p w14:paraId="4B406BBE" w14:textId="77777777" w:rsidR="000923BB" w:rsidRPr="00AC0C56" w:rsidRDefault="000923BB" w:rsidP="003A385F">
            <w:pPr>
              <w:spacing w:after="0" w:line="240" w:lineRule="auto"/>
              <w:rPr>
                <w:rFonts w:cs="Arial"/>
                <w:sz w:val="18"/>
                <w:szCs w:val="18"/>
              </w:rPr>
            </w:pPr>
            <w:r w:rsidRPr="00AC0C56">
              <w:rPr>
                <w:rFonts w:cs="Arial"/>
                <w:sz w:val="18"/>
                <w:szCs w:val="18"/>
              </w:rPr>
              <w:t>8</w:t>
            </w:r>
          </w:p>
        </w:tc>
        <w:tc>
          <w:tcPr>
            <w:tcW w:w="532" w:type="dxa"/>
            <w:tcBorders>
              <w:top w:val="single" w:sz="8" w:space="0" w:color="auto"/>
              <w:left w:val="single" w:sz="8" w:space="0" w:color="auto"/>
              <w:bottom w:val="single" w:sz="8" w:space="0" w:color="auto"/>
              <w:right w:val="single" w:sz="18" w:space="0" w:color="auto"/>
            </w:tcBorders>
          </w:tcPr>
          <w:p w14:paraId="017239F5" w14:textId="77777777" w:rsidR="000923BB" w:rsidRPr="00AC0C56" w:rsidRDefault="000923BB" w:rsidP="003A385F">
            <w:pPr>
              <w:spacing w:after="0" w:line="240" w:lineRule="auto"/>
              <w:rPr>
                <w:rFonts w:cs="Arial"/>
                <w:sz w:val="18"/>
                <w:szCs w:val="18"/>
              </w:rPr>
            </w:pPr>
            <w:r w:rsidRPr="00AC0C56">
              <w:rPr>
                <w:rFonts w:cs="Arial"/>
                <w:sz w:val="18"/>
                <w:szCs w:val="18"/>
              </w:rPr>
              <w:t>11</w:t>
            </w:r>
          </w:p>
        </w:tc>
        <w:tc>
          <w:tcPr>
            <w:tcW w:w="399" w:type="dxa"/>
            <w:tcBorders>
              <w:left w:val="single" w:sz="18" w:space="0" w:color="auto"/>
            </w:tcBorders>
          </w:tcPr>
          <w:p w14:paraId="16262EFE" w14:textId="77777777" w:rsidR="000923BB" w:rsidRPr="00AC0C56" w:rsidRDefault="000923BB" w:rsidP="003A385F">
            <w:pPr>
              <w:spacing w:after="0" w:line="240" w:lineRule="auto"/>
              <w:rPr>
                <w:rFonts w:cs="Arial"/>
                <w:sz w:val="18"/>
                <w:szCs w:val="18"/>
              </w:rPr>
            </w:pPr>
            <w:r w:rsidRPr="00AC0C56">
              <w:rPr>
                <w:rFonts w:cs="Arial"/>
                <w:sz w:val="18"/>
                <w:szCs w:val="18"/>
              </w:rPr>
              <w:t>1</w:t>
            </w:r>
          </w:p>
        </w:tc>
        <w:tc>
          <w:tcPr>
            <w:tcW w:w="532" w:type="dxa"/>
            <w:tcBorders>
              <w:right w:val="double" w:sz="4" w:space="0" w:color="auto"/>
            </w:tcBorders>
          </w:tcPr>
          <w:p w14:paraId="51E58896" w14:textId="77777777" w:rsidR="000923BB" w:rsidRPr="00AC0C56" w:rsidRDefault="000923BB" w:rsidP="003A385F">
            <w:pPr>
              <w:spacing w:after="0" w:line="240" w:lineRule="auto"/>
              <w:rPr>
                <w:rFonts w:cs="Arial"/>
                <w:sz w:val="18"/>
                <w:szCs w:val="18"/>
              </w:rPr>
            </w:pPr>
            <w:r w:rsidRPr="00AC0C56">
              <w:rPr>
                <w:rFonts w:cs="Arial"/>
                <w:sz w:val="18"/>
                <w:szCs w:val="18"/>
              </w:rPr>
              <w:t>4</w:t>
            </w:r>
          </w:p>
        </w:tc>
        <w:tc>
          <w:tcPr>
            <w:tcW w:w="400" w:type="dxa"/>
            <w:tcBorders>
              <w:left w:val="double" w:sz="4" w:space="0" w:color="auto"/>
            </w:tcBorders>
          </w:tcPr>
          <w:p w14:paraId="6DB5BE50" w14:textId="77777777" w:rsidR="000923BB" w:rsidRPr="00AC0C56" w:rsidRDefault="000923BB" w:rsidP="003A385F">
            <w:pPr>
              <w:spacing w:after="0" w:line="240" w:lineRule="auto"/>
              <w:rPr>
                <w:rFonts w:cs="Arial"/>
                <w:sz w:val="18"/>
                <w:szCs w:val="18"/>
              </w:rPr>
            </w:pPr>
            <w:r w:rsidRPr="00AC0C56">
              <w:rPr>
                <w:rFonts w:cs="Arial"/>
                <w:sz w:val="18"/>
                <w:szCs w:val="18"/>
              </w:rPr>
              <w:t>7</w:t>
            </w:r>
          </w:p>
        </w:tc>
        <w:tc>
          <w:tcPr>
            <w:tcW w:w="399" w:type="dxa"/>
            <w:tcBorders>
              <w:right w:val="single" w:sz="18" w:space="0" w:color="auto"/>
            </w:tcBorders>
          </w:tcPr>
          <w:p w14:paraId="70530715" w14:textId="77777777" w:rsidR="000923BB" w:rsidRPr="00AC0C56" w:rsidRDefault="000923BB" w:rsidP="003A385F">
            <w:pPr>
              <w:spacing w:after="0" w:line="240" w:lineRule="auto"/>
              <w:rPr>
                <w:rFonts w:cs="Arial"/>
                <w:sz w:val="18"/>
                <w:szCs w:val="18"/>
              </w:rPr>
            </w:pPr>
            <w:r w:rsidRPr="00AC0C56">
              <w:rPr>
                <w:rFonts w:cs="Arial"/>
                <w:sz w:val="18"/>
                <w:szCs w:val="18"/>
              </w:rPr>
              <w:t>9</w:t>
            </w:r>
          </w:p>
        </w:tc>
        <w:tc>
          <w:tcPr>
            <w:tcW w:w="532" w:type="dxa"/>
            <w:tcBorders>
              <w:left w:val="single" w:sz="18" w:space="0" w:color="auto"/>
            </w:tcBorders>
          </w:tcPr>
          <w:p w14:paraId="3C43B2EE" w14:textId="77777777" w:rsidR="000923BB" w:rsidRPr="00AC0C56" w:rsidRDefault="000923BB" w:rsidP="003A385F">
            <w:pPr>
              <w:spacing w:after="0" w:line="240" w:lineRule="auto"/>
              <w:rPr>
                <w:rFonts w:cs="Arial"/>
                <w:sz w:val="18"/>
                <w:szCs w:val="18"/>
              </w:rPr>
            </w:pPr>
            <w:r w:rsidRPr="00AC0C56">
              <w:rPr>
                <w:rFonts w:cs="Arial"/>
                <w:sz w:val="18"/>
                <w:szCs w:val="18"/>
              </w:rPr>
              <w:t>2</w:t>
            </w:r>
          </w:p>
        </w:tc>
        <w:tc>
          <w:tcPr>
            <w:tcW w:w="532" w:type="dxa"/>
            <w:tcBorders>
              <w:right w:val="double" w:sz="4" w:space="0" w:color="auto"/>
            </w:tcBorders>
          </w:tcPr>
          <w:p w14:paraId="0C342982" w14:textId="77777777" w:rsidR="000923BB" w:rsidRPr="00AC0C56" w:rsidRDefault="000923BB" w:rsidP="003A385F">
            <w:pPr>
              <w:spacing w:after="0" w:line="240" w:lineRule="auto"/>
              <w:rPr>
                <w:rFonts w:cs="Arial"/>
                <w:sz w:val="18"/>
                <w:szCs w:val="18"/>
              </w:rPr>
            </w:pPr>
            <w:r w:rsidRPr="00AC0C56">
              <w:rPr>
                <w:rFonts w:cs="Arial"/>
                <w:sz w:val="18"/>
                <w:szCs w:val="18"/>
              </w:rPr>
              <w:t>4</w:t>
            </w:r>
          </w:p>
        </w:tc>
        <w:tc>
          <w:tcPr>
            <w:tcW w:w="399" w:type="dxa"/>
            <w:tcBorders>
              <w:left w:val="double" w:sz="4" w:space="0" w:color="auto"/>
              <w:right w:val="single" w:sz="8" w:space="0" w:color="auto"/>
            </w:tcBorders>
          </w:tcPr>
          <w:p w14:paraId="482919EC" w14:textId="77777777" w:rsidR="000923BB" w:rsidRPr="00AC0C56" w:rsidRDefault="000923BB" w:rsidP="003A385F">
            <w:pPr>
              <w:spacing w:after="0" w:line="240" w:lineRule="auto"/>
              <w:rPr>
                <w:rFonts w:cs="Arial"/>
                <w:sz w:val="18"/>
                <w:szCs w:val="18"/>
              </w:rPr>
            </w:pPr>
            <w:r w:rsidRPr="00AC0C56">
              <w:rPr>
                <w:rFonts w:cs="Arial"/>
                <w:sz w:val="18"/>
                <w:szCs w:val="18"/>
              </w:rPr>
              <w:t>1</w:t>
            </w:r>
          </w:p>
        </w:tc>
        <w:tc>
          <w:tcPr>
            <w:tcW w:w="532" w:type="dxa"/>
            <w:tcBorders>
              <w:left w:val="single" w:sz="8" w:space="0" w:color="auto"/>
              <w:right w:val="single" w:sz="18" w:space="0" w:color="auto"/>
            </w:tcBorders>
          </w:tcPr>
          <w:p w14:paraId="6BD44753" w14:textId="77777777" w:rsidR="000923BB" w:rsidRPr="00AC0C56" w:rsidRDefault="000923BB" w:rsidP="003A385F">
            <w:pPr>
              <w:spacing w:after="0" w:line="240" w:lineRule="auto"/>
              <w:rPr>
                <w:rFonts w:cs="Arial"/>
                <w:sz w:val="18"/>
                <w:szCs w:val="18"/>
              </w:rPr>
            </w:pPr>
            <w:r w:rsidRPr="00AC0C56">
              <w:rPr>
                <w:rFonts w:cs="Arial"/>
                <w:sz w:val="18"/>
                <w:szCs w:val="18"/>
              </w:rPr>
              <w:t>10</w:t>
            </w:r>
          </w:p>
        </w:tc>
        <w:tc>
          <w:tcPr>
            <w:tcW w:w="532" w:type="dxa"/>
            <w:tcBorders>
              <w:left w:val="single" w:sz="18" w:space="0" w:color="auto"/>
              <w:right w:val="single" w:sz="8" w:space="0" w:color="auto"/>
            </w:tcBorders>
          </w:tcPr>
          <w:p w14:paraId="49C13E20" w14:textId="77777777" w:rsidR="000923BB" w:rsidRPr="00AC0C56" w:rsidRDefault="000923BB" w:rsidP="003A385F">
            <w:pPr>
              <w:spacing w:after="0" w:line="240" w:lineRule="auto"/>
              <w:rPr>
                <w:rFonts w:cs="Arial"/>
                <w:sz w:val="18"/>
                <w:szCs w:val="18"/>
              </w:rPr>
            </w:pPr>
            <w:r w:rsidRPr="00AC0C56">
              <w:rPr>
                <w:rFonts w:cs="Arial"/>
                <w:sz w:val="18"/>
                <w:szCs w:val="18"/>
              </w:rPr>
              <w:t>1</w:t>
            </w:r>
          </w:p>
        </w:tc>
        <w:tc>
          <w:tcPr>
            <w:tcW w:w="532" w:type="dxa"/>
            <w:tcBorders>
              <w:left w:val="single" w:sz="8" w:space="0" w:color="auto"/>
              <w:right w:val="double" w:sz="4" w:space="0" w:color="auto"/>
            </w:tcBorders>
          </w:tcPr>
          <w:p w14:paraId="15793EF3" w14:textId="77777777" w:rsidR="000923BB" w:rsidRPr="00AC0C56" w:rsidRDefault="000923BB" w:rsidP="003A385F">
            <w:pPr>
              <w:spacing w:after="0" w:line="240" w:lineRule="auto"/>
              <w:rPr>
                <w:rFonts w:cs="Arial"/>
                <w:sz w:val="18"/>
                <w:szCs w:val="18"/>
              </w:rPr>
            </w:pPr>
            <w:r w:rsidRPr="00AC0C56">
              <w:rPr>
                <w:rFonts w:cs="Arial"/>
                <w:sz w:val="18"/>
                <w:szCs w:val="18"/>
              </w:rPr>
              <w:t>6</w:t>
            </w:r>
          </w:p>
        </w:tc>
        <w:tc>
          <w:tcPr>
            <w:tcW w:w="399" w:type="dxa"/>
            <w:tcBorders>
              <w:left w:val="double" w:sz="4" w:space="0" w:color="auto"/>
            </w:tcBorders>
          </w:tcPr>
          <w:p w14:paraId="6770A447" w14:textId="77777777" w:rsidR="000923BB" w:rsidRPr="00AC0C56" w:rsidRDefault="000923BB" w:rsidP="003A385F">
            <w:pPr>
              <w:spacing w:after="0" w:line="240" w:lineRule="auto"/>
              <w:rPr>
                <w:rFonts w:cs="Arial"/>
                <w:sz w:val="18"/>
                <w:szCs w:val="18"/>
              </w:rPr>
            </w:pPr>
            <w:r w:rsidRPr="00AC0C56">
              <w:rPr>
                <w:rFonts w:cs="Arial"/>
                <w:sz w:val="18"/>
                <w:szCs w:val="18"/>
              </w:rPr>
              <w:t>1</w:t>
            </w:r>
          </w:p>
        </w:tc>
        <w:tc>
          <w:tcPr>
            <w:tcW w:w="399" w:type="dxa"/>
            <w:tcBorders>
              <w:right w:val="single" w:sz="18" w:space="0" w:color="auto"/>
            </w:tcBorders>
          </w:tcPr>
          <w:p w14:paraId="675B13E1" w14:textId="77777777" w:rsidR="000923BB" w:rsidRPr="00AC0C56" w:rsidRDefault="000923BB" w:rsidP="003A385F">
            <w:pPr>
              <w:spacing w:after="0" w:line="240" w:lineRule="auto"/>
              <w:rPr>
                <w:rFonts w:cs="Arial"/>
                <w:sz w:val="18"/>
                <w:szCs w:val="18"/>
              </w:rPr>
            </w:pPr>
            <w:r w:rsidRPr="00AC0C56">
              <w:rPr>
                <w:rFonts w:cs="Arial"/>
                <w:sz w:val="18"/>
                <w:szCs w:val="18"/>
              </w:rPr>
              <w:t>13</w:t>
            </w:r>
          </w:p>
        </w:tc>
      </w:tr>
      <w:tr w:rsidR="00E5549E" w:rsidRPr="002975F8" w14:paraId="62840CD3" w14:textId="77777777" w:rsidTr="00E5549E">
        <w:trPr>
          <w:trHeight w:val="188"/>
        </w:trPr>
        <w:tc>
          <w:tcPr>
            <w:tcW w:w="798" w:type="dxa"/>
            <w:tcBorders>
              <w:left w:val="single" w:sz="18" w:space="0" w:color="auto"/>
              <w:right w:val="single" w:sz="18" w:space="0" w:color="auto"/>
            </w:tcBorders>
          </w:tcPr>
          <w:p w14:paraId="767867C9" w14:textId="77777777" w:rsidR="000923BB" w:rsidRPr="00AC0C56" w:rsidRDefault="000923BB" w:rsidP="003A385F">
            <w:pPr>
              <w:spacing w:after="0" w:line="240" w:lineRule="auto"/>
              <w:jc w:val="both"/>
              <w:rPr>
                <w:rFonts w:cs="Arial"/>
                <w:sz w:val="18"/>
                <w:szCs w:val="18"/>
              </w:rPr>
            </w:pPr>
            <w:r w:rsidRPr="00AC0C56">
              <w:rPr>
                <w:rFonts w:cs="Arial"/>
                <w:sz w:val="18"/>
                <w:szCs w:val="18"/>
              </w:rPr>
              <w:t>4 (32)</w:t>
            </w:r>
          </w:p>
        </w:tc>
        <w:tc>
          <w:tcPr>
            <w:tcW w:w="532" w:type="dxa"/>
            <w:tcBorders>
              <w:top w:val="single" w:sz="8" w:space="0" w:color="auto"/>
              <w:left w:val="single" w:sz="18" w:space="0" w:color="auto"/>
              <w:bottom w:val="single" w:sz="8" w:space="0" w:color="auto"/>
              <w:right w:val="single" w:sz="8" w:space="0" w:color="auto"/>
            </w:tcBorders>
          </w:tcPr>
          <w:p w14:paraId="043289DA" w14:textId="77777777" w:rsidR="000923BB" w:rsidRPr="00AC0C56" w:rsidRDefault="000923BB" w:rsidP="003A385F">
            <w:pPr>
              <w:spacing w:after="0" w:line="240" w:lineRule="auto"/>
              <w:rPr>
                <w:rFonts w:cs="Arial"/>
                <w:sz w:val="18"/>
                <w:szCs w:val="18"/>
              </w:rPr>
            </w:pPr>
            <w:r w:rsidRPr="00AC0C56">
              <w:rPr>
                <w:rFonts w:cs="Arial"/>
                <w:sz w:val="18"/>
                <w:szCs w:val="18"/>
              </w:rPr>
              <w:t>1</w:t>
            </w:r>
          </w:p>
        </w:tc>
        <w:tc>
          <w:tcPr>
            <w:tcW w:w="532" w:type="dxa"/>
            <w:tcBorders>
              <w:top w:val="single" w:sz="8" w:space="0" w:color="auto"/>
              <w:left w:val="single" w:sz="8" w:space="0" w:color="auto"/>
              <w:bottom w:val="single" w:sz="8" w:space="0" w:color="auto"/>
              <w:right w:val="double" w:sz="4" w:space="0" w:color="auto"/>
            </w:tcBorders>
          </w:tcPr>
          <w:p w14:paraId="21DF1F2D" w14:textId="77777777" w:rsidR="000923BB" w:rsidRPr="00AC0C56" w:rsidRDefault="000923BB" w:rsidP="003A385F">
            <w:pPr>
              <w:spacing w:after="0" w:line="240" w:lineRule="auto"/>
              <w:rPr>
                <w:rFonts w:cs="Arial"/>
                <w:sz w:val="18"/>
                <w:szCs w:val="18"/>
              </w:rPr>
            </w:pPr>
            <w:r w:rsidRPr="00AC0C56">
              <w:rPr>
                <w:rFonts w:cs="Arial"/>
                <w:sz w:val="18"/>
                <w:szCs w:val="18"/>
              </w:rPr>
              <w:t>38</w:t>
            </w:r>
          </w:p>
        </w:tc>
        <w:tc>
          <w:tcPr>
            <w:tcW w:w="399" w:type="dxa"/>
            <w:tcBorders>
              <w:top w:val="single" w:sz="8" w:space="0" w:color="auto"/>
              <w:left w:val="double" w:sz="4" w:space="0" w:color="auto"/>
              <w:bottom w:val="single" w:sz="8" w:space="0" w:color="auto"/>
              <w:right w:val="single" w:sz="8" w:space="0" w:color="auto"/>
            </w:tcBorders>
          </w:tcPr>
          <w:p w14:paraId="07BBD6EB" w14:textId="77777777" w:rsidR="000923BB" w:rsidRPr="00AC0C56" w:rsidRDefault="000923BB" w:rsidP="003A385F">
            <w:pPr>
              <w:spacing w:after="0" w:line="240" w:lineRule="auto"/>
              <w:rPr>
                <w:rFonts w:cs="Arial"/>
                <w:sz w:val="18"/>
                <w:szCs w:val="18"/>
              </w:rPr>
            </w:pPr>
            <w:r w:rsidRPr="00AC0C56">
              <w:rPr>
                <w:rFonts w:cs="Arial"/>
                <w:sz w:val="18"/>
                <w:szCs w:val="18"/>
              </w:rPr>
              <w:t>2</w:t>
            </w:r>
          </w:p>
        </w:tc>
        <w:tc>
          <w:tcPr>
            <w:tcW w:w="532" w:type="dxa"/>
            <w:tcBorders>
              <w:top w:val="single" w:sz="8" w:space="0" w:color="auto"/>
              <w:left w:val="single" w:sz="8" w:space="0" w:color="auto"/>
              <w:bottom w:val="single" w:sz="8" w:space="0" w:color="auto"/>
              <w:right w:val="single" w:sz="18" w:space="0" w:color="auto"/>
            </w:tcBorders>
          </w:tcPr>
          <w:p w14:paraId="4C30B97B" w14:textId="77777777" w:rsidR="000923BB" w:rsidRPr="00AC0C56" w:rsidRDefault="000923BB" w:rsidP="003A385F">
            <w:pPr>
              <w:spacing w:after="0" w:line="240" w:lineRule="auto"/>
              <w:rPr>
                <w:rFonts w:cs="Arial"/>
                <w:sz w:val="18"/>
                <w:szCs w:val="18"/>
              </w:rPr>
            </w:pPr>
            <w:r w:rsidRPr="00AC0C56">
              <w:rPr>
                <w:rFonts w:cs="Arial"/>
                <w:sz w:val="18"/>
                <w:szCs w:val="18"/>
              </w:rPr>
              <w:t>25</w:t>
            </w:r>
          </w:p>
        </w:tc>
        <w:tc>
          <w:tcPr>
            <w:tcW w:w="399" w:type="dxa"/>
            <w:tcBorders>
              <w:left w:val="single" w:sz="18" w:space="0" w:color="auto"/>
            </w:tcBorders>
          </w:tcPr>
          <w:p w14:paraId="044881CC" w14:textId="77777777" w:rsidR="000923BB" w:rsidRPr="00AC0C56" w:rsidRDefault="000923BB" w:rsidP="003A385F">
            <w:pPr>
              <w:spacing w:after="0" w:line="240" w:lineRule="auto"/>
              <w:rPr>
                <w:rFonts w:cs="Arial"/>
                <w:sz w:val="18"/>
                <w:szCs w:val="18"/>
              </w:rPr>
            </w:pPr>
            <w:r w:rsidRPr="00AC0C56">
              <w:rPr>
                <w:rFonts w:cs="Arial"/>
                <w:sz w:val="18"/>
                <w:szCs w:val="18"/>
              </w:rPr>
              <w:t>2</w:t>
            </w:r>
          </w:p>
        </w:tc>
        <w:tc>
          <w:tcPr>
            <w:tcW w:w="532" w:type="dxa"/>
            <w:tcBorders>
              <w:right w:val="double" w:sz="4" w:space="0" w:color="auto"/>
            </w:tcBorders>
          </w:tcPr>
          <w:p w14:paraId="6CA827FA" w14:textId="77777777" w:rsidR="000923BB" w:rsidRPr="00AC0C56" w:rsidRDefault="000923BB" w:rsidP="003A385F">
            <w:pPr>
              <w:spacing w:after="0" w:line="240" w:lineRule="auto"/>
              <w:rPr>
                <w:rFonts w:cs="Arial"/>
                <w:sz w:val="18"/>
                <w:szCs w:val="18"/>
              </w:rPr>
            </w:pPr>
            <w:r w:rsidRPr="00AC0C56">
              <w:rPr>
                <w:rFonts w:cs="Arial"/>
                <w:sz w:val="18"/>
                <w:szCs w:val="18"/>
              </w:rPr>
              <w:t>25</w:t>
            </w:r>
          </w:p>
        </w:tc>
        <w:tc>
          <w:tcPr>
            <w:tcW w:w="400" w:type="dxa"/>
            <w:tcBorders>
              <w:left w:val="double" w:sz="4" w:space="0" w:color="auto"/>
            </w:tcBorders>
          </w:tcPr>
          <w:p w14:paraId="0A129CDB" w14:textId="77777777" w:rsidR="000923BB" w:rsidRPr="00AC0C56" w:rsidRDefault="000923BB" w:rsidP="003A385F">
            <w:pPr>
              <w:spacing w:after="0" w:line="240" w:lineRule="auto"/>
              <w:rPr>
                <w:rFonts w:cs="Arial"/>
                <w:sz w:val="18"/>
                <w:szCs w:val="18"/>
              </w:rPr>
            </w:pPr>
            <w:r w:rsidRPr="00AC0C56">
              <w:rPr>
                <w:rFonts w:cs="Arial"/>
                <w:sz w:val="18"/>
                <w:szCs w:val="18"/>
              </w:rPr>
              <w:t>6</w:t>
            </w:r>
          </w:p>
        </w:tc>
        <w:tc>
          <w:tcPr>
            <w:tcW w:w="399" w:type="dxa"/>
            <w:tcBorders>
              <w:right w:val="single" w:sz="18" w:space="0" w:color="auto"/>
            </w:tcBorders>
          </w:tcPr>
          <w:p w14:paraId="07183AEE" w14:textId="77777777" w:rsidR="000923BB" w:rsidRPr="00AC0C56" w:rsidRDefault="000923BB" w:rsidP="003A385F">
            <w:pPr>
              <w:spacing w:after="0" w:line="240" w:lineRule="auto"/>
              <w:rPr>
                <w:rFonts w:cs="Arial"/>
                <w:sz w:val="18"/>
                <w:szCs w:val="18"/>
              </w:rPr>
            </w:pPr>
            <w:r w:rsidRPr="00AC0C56">
              <w:rPr>
                <w:rFonts w:cs="Arial"/>
                <w:sz w:val="18"/>
                <w:szCs w:val="18"/>
              </w:rPr>
              <w:t>18</w:t>
            </w:r>
          </w:p>
        </w:tc>
        <w:tc>
          <w:tcPr>
            <w:tcW w:w="532" w:type="dxa"/>
            <w:tcBorders>
              <w:left w:val="single" w:sz="18" w:space="0" w:color="auto"/>
            </w:tcBorders>
          </w:tcPr>
          <w:p w14:paraId="479966DF" w14:textId="77777777" w:rsidR="000923BB" w:rsidRPr="00AC0C56" w:rsidRDefault="000923BB" w:rsidP="003A385F">
            <w:pPr>
              <w:spacing w:after="0" w:line="240" w:lineRule="auto"/>
              <w:rPr>
                <w:rFonts w:cs="Arial"/>
                <w:sz w:val="18"/>
                <w:szCs w:val="18"/>
              </w:rPr>
            </w:pPr>
            <w:r w:rsidRPr="00AC0C56">
              <w:rPr>
                <w:rFonts w:cs="Arial"/>
                <w:sz w:val="18"/>
                <w:szCs w:val="18"/>
              </w:rPr>
              <w:t>0</w:t>
            </w:r>
          </w:p>
        </w:tc>
        <w:tc>
          <w:tcPr>
            <w:tcW w:w="532" w:type="dxa"/>
            <w:tcBorders>
              <w:right w:val="double" w:sz="4" w:space="0" w:color="auto"/>
            </w:tcBorders>
          </w:tcPr>
          <w:p w14:paraId="630C4B82" w14:textId="77777777" w:rsidR="000923BB" w:rsidRPr="00AC0C56" w:rsidRDefault="000923BB" w:rsidP="003A385F">
            <w:pPr>
              <w:spacing w:after="0" w:line="240" w:lineRule="auto"/>
              <w:rPr>
                <w:rFonts w:cs="Arial"/>
                <w:sz w:val="18"/>
                <w:szCs w:val="18"/>
              </w:rPr>
            </w:pPr>
            <w:r w:rsidRPr="00AC0C56">
              <w:rPr>
                <w:rFonts w:cs="Arial"/>
                <w:sz w:val="18"/>
                <w:szCs w:val="18"/>
              </w:rPr>
              <w:t>22</w:t>
            </w:r>
          </w:p>
        </w:tc>
        <w:tc>
          <w:tcPr>
            <w:tcW w:w="399" w:type="dxa"/>
            <w:tcBorders>
              <w:left w:val="double" w:sz="4" w:space="0" w:color="auto"/>
              <w:right w:val="single" w:sz="8" w:space="0" w:color="auto"/>
            </w:tcBorders>
          </w:tcPr>
          <w:p w14:paraId="69B9938A" w14:textId="77777777" w:rsidR="000923BB" w:rsidRPr="00AC0C56" w:rsidRDefault="000923BB" w:rsidP="003A385F">
            <w:pPr>
              <w:spacing w:after="0" w:line="240" w:lineRule="auto"/>
              <w:rPr>
                <w:rFonts w:cs="Arial"/>
                <w:sz w:val="18"/>
                <w:szCs w:val="18"/>
              </w:rPr>
            </w:pPr>
            <w:r w:rsidRPr="00AC0C56">
              <w:rPr>
                <w:rFonts w:cs="Arial"/>
                <w:sz w:val="18"/>
                <w:szCs w:val="18"/>
              </w:rPr>
              <w:t>1</w:t>
            </w:r>
          </w:p>
        </w:tc>
        <w:tc>
          <w:tcPr>
            <w:tcW w:w="532" w:type="dxa"/>
            <w:tcBorders>
              <w:left w:val="single" w:sz="8" w:space="0" w:color="auto"/>
              <w:right w:val="single" w:sz="18" w:space="0" w:color="auto"/>
            </w:tcBorders>
          </w:tcPr>
          <w:p w14:paraId="0F5E02C2" w14:textId="77777777" w:rsidR="000923BB" w:rsidRPr="00AC0C56" w:rsidRDefault="000923BB" w:rsidP="003A385F">
            <w:pPr>
              <w:spacing w:after="0" w:line="240" w:lineRule="auto"/>
              <w:rPr>
                <w:rFonts w:cs="Arial"/>
                <w:sz w:val="18"/>
                <w:szCs w:val="18"/>
              </w:rPr>
            </w:pPr>
            <w:r w:rsidRPr="00AC0C56">
              <w:rPr>
                <w:rFonts w:cs="Arial"/>
                <w:sz w:val="18"/>
                <w:szCs w:val="18"/>
              </w:rPr>
              <w:t>11</w:t>
            </w:r>
          </w:p>
        </w:tc>
        <w:tc>
          <w:tcPr>
            <w:tcW w:w="532" w:type="dxa"/>
            <w:tcBorders>
              <w:left w:val="single" w:sz="18" w:space="0" w:color="auto"/>
              <w:right w:val="single" w:sz="8" w:space="0" w:color="auto"/>
            </w:tcBorders>
          </w:tcPr>
          <w:p w14:paraId="249C75FD" w14:textId="77777777" w:rsidR="000923BB" w:rsidRPr="00AC0C56" w:rsidRDefault="000923BB" w:rsidP="003A385F">
            <w:pPr>
              <w:spacing w:after="0" w:line="240" w:lineRule="auto"/>
              <w:rPr>
                <w:rFonts w:cs="Arial"/>
                <w:sz w:val="18"/>
                <w:szCs w:val="18"/>
              </w:rPr>
            </w:pPr>
            <w:r w:rsidRPr="00AC0C56">
              <w:rPr>
                <w:rFonts w:cs="Arial"/>
                <w:sz w:val="18"/>
                <w:szCs w:val="18"/>
              </w:rPr>
              <w:t>0</w:t>
            </w:r>
          </w:p>
        </w:tc>
        <w:tc>
          <w:tcPr>
            <w:tcW w:w="532" w:type="dxa"/>
            <w:tcBorders>
              <w:left w:val="single" w:sz="8" w:space="0" w:color="auto"/>
              <w:right w:val="double" w:sz="4" w:space="0" w:color="auto"/>
            </w:tcBorders>
          </w:tcPr>
          <w:p w14:paraId="21673684" w14:textId="77777777" w:rsidR="000923BB" w:rsidRPr="00AC0C56" w:rsidRDefault="000923BB" w:rsidP="003A385F">
            <w:pPr>
              <w:spacing w:after="0" w:line="240" w:lineRule="auto"/>
              <w:rPr>
                <w:rFonts w:cs="Arial"/>
                <w:sz w:val="18"/>
                <w:szCs w:val="18"/>
              </w:rPr>
            </w:pPr>
            <w:r w:rsidRPr="00AC0C56">
              <w:rPr>
                <w:rFonts w:cs="Arial"/>
                <w:sz w:val="18"/>
                <w:szCs w:val="18"/>
              </w:rPr>
              <w:t>24</w:t>
            </w:r>
          </w:p>
        </w:tc>
        <w:tc>
          <w:tcPr>
            <w:tcW w:w="399" w:type="dxa"/>
            <w:tcBorders>
              <w:left w:val="double" w:sz="4" w:space="0" w:color="auto"/>
            </w:tcBorders>
          </w:tcPr>
          <w:p w14:paraId="0FA323FF" w14:textId="77777777" w:rsidR="000923BB" w:rsidRPr="00AC0C56" w:rsidRDefault="000923BB" w:rsidP="003A385F">
            <w:pPr>
              <w:spacing w:after="0" w:line="240" w:lineRule="auto"/>
              <w:rPr>
                <w:rFonts w:cs="Arial"/>
                <w:sz w:val="18"/>
                <w:szCs w:val="18"/>
              </w:rPr>
            </w:pPr>
            <w:r w:rsidRPr="00AC0C56">
              <w:rPr>
                <w:rFonts w:cs="Arial"/>
                <w:sz w:val="18"/>
                <w:szCs w:val="18"/>
              </w:rPr>
              <w:t>1</w:t>
            </w:r>
          </w:p>
        </w:tc>
        <w:tc>
          <w:tcPr>
            <w:tcW w:w="399" w:type="dxa"/>
            <w:tcBorders>
              <w:right w:val="single" w:sz="18" w:space="0" w:color="auto"/>
            </w:tcBorders>
          </w:tcPr>
          <w:p w14:paraId="00A8B067" w14:textId="77777777" w:rsidR="000923BB" w:rsidRPr="00AC0C56" w:rsidRDefault="000923BB" w:rsidP="003A385F">
            <w:pPr>
              <w:spacing w:after="0" w:line="240" w:lineRule="auto"/>
              <w:rPr>
                <w:rFonts w:cs="Arial"/>
                <w:sz w:val="18"/>
                <w:szCs w:val="18"/>
              </w:rPr>
            </w:pPr>
            <w:r w:rsidRPr="00AC0C56">
              <w:rPr>
                <w:rFonts w:cs="Arial"/>
                <w:sz w:val="18"/>
                <w:szCs w:val="18"/>
              </w:rPr>
              <w:t>20</w:t>
            </w:r>
          </w:p>
        </w:tc>
      </w:tr>
      <w:tr w:rsidR="00E5549E" w:rsidRPr="002975F8" w14:paraId="279EE0AF" w14:textId="77777777" w:rsidTr="00E5549E">
        <w:trPr>
          <w:trHeight w:val="66"/>
        </w:trPr>
        <w:tc>
          <w:tcPr>
            <w:tcW w:w="798" w:type="dxa"/>
            <w:tcBorders>
              <w:left w:val="single" w:sz="18" w:space="0" w:color="auto"/>
              <w:right w:val="single" w:sz="18" w:space="0" w:color="auto"/>
            </w:tcBorders>
          </w:tcPr>
          <w:p w14:paraId="7EECD756" w14:textId="77777777" w:rsidR="000923BB" w:rsidRPr="00AC0C56" w:rsidRDefault="000923BB" w:rsidP="003A385F">
            <w:pPr>
              <w:spacing w:after="0" w:line="240" w:lineRule="auto"/>
              <w:jc w:val="both"/>
              <w:rPr>
                <w:rFonts w:cs="Arial"/>
                <w:sz w:val="18"/>
                <w:szCs w:val="18"/>
              </w:rPr>
            </w:pPr>
            <w:r w:rsidRPr="00AC0C56">
              <w:rPr>
                <w:rFonts w:cs="Arial"/>
                <w:sz w:val="18"/>
                <w:szCs w:val="18"/>
              </w:rPr>
              <w:t>5 (40)</w:t>
            </w:r>
          </w:p>
        </w:tc>
        <w:tc>
          <w:tcPr>
            <w:tcW w:w="532" w:type="dxa"/>
            <w:tcBorders>
              <w:top w:val="single" w:sz="8" w:space="0" w:color="auto"/>
              <w:left w:val="single" w:sz="18" w:space="0" w:color="auto"/>
              <w:bottom w:val="single" w:sz="8" w:space="0" w:color="auto"/>
              <w:right w:val="single" w:sz="8" w:space="0" w:color="auto"/>
            </w:tcBorders>
          </w:tcPr>
          <w:p w14:paraId="5F0DFDFE" w14:textId="77777777" w:rsidR="000923BB" w:rsidRPr="00AC0C56" w:rsidRDefault="000923BB" w:rsidP="003A385F">
            <w:pPr>
              <w:spacing w:after="0" w:line="240" w:lineRule="auto"/>
              <w:rPr>
                <w:rFonts w:cs="Arial"/>
                <w:sz w:val="18"/>
                <w:szCs w:val="18"/>
              </w:rPr>
            </w:pPr>
            <w:r w:rsidRPr="00AC0C56">
              <w:rPr>
                <w:rFonts w:cs="Arial"/>
                <w:sz w:val="18"/>
                <w:szCs w:val="18"/>
              </w:rPr>
              <w:t>9</w:t>
            </w:r>
          </w:p>
        </w:tc>
        <w:tc>
          <w:tcPr>
            <w:tcW w:w="532" w:type="dxa"/>
            <w:tcBorders>
              <w:top w:val="single" w:sz="8" w:space="0" w:color="auto"/>
              <w:left w:val="single" w:sz="8" w:space="0" w:color="auto"/>
              <w:bottom w:val="single" w:sz="8" w:space="0" w:color="auto"/>
              <w:right w:val="double" w:sz="4" w:space="0" w:color="auto"/>
            </w:tcBorders>
          </w:tcPr>
          <w:p w14:paraId="36D5EDF0" w14:textId="77777777" w:rsidR="000923BB" w:rsidRPr="00AC0C56" w:rsidRDefault="000923BB" w:rsidP="003A385F">
            <w:pPr>
              <w:spacing w:after="0" w:line="240" w:lineRule="auto"/>
              <w:rPr>
                <w:rFonts w:cs="Arial"/>
                <w:sz w:val="18"/>
                <w:szCs w:val="18"/>
              </w:rPr>
            </w:pPr>
            <w:r w:rsidRPr="00AC0C56">
              <w:rPr>
                <w:rFonts w:cs="Arial"/>
                <w:sz w:val="18"/>
                <w:szCs w:val="18"/>
              </w:rPr>
              <w:t>40</w:t>
            </w:r>
          </w:p>
        </w:tc>
        <w:tc>
          <w:tcPr>
            <w:tcW w:w="399" w:type="dxa"/>
            <w:tcBorders>
              <w:top w:val="single" w:sz="8" w:space="0" w:color="auto"/>
              <w:left w:val="double" w:sz="4" w:space="0" w:color="auto"/>
              <w:bottom w:val="single" w:sz="8" w:space="0" w:color="auto"/>
              <w:right w:val="single" w:sz="8" w:space="0" w:color="auto"/>
            </w:tcBorders>
          </w:tcPr>
          <w:p w14:paraId="4815E2E8" w14:textId="77777777" w:rsidR="000923BB" w:rsidRPr="00AC0C56" w:rsidRDefault="000923BB" w:rsidP="003A385F">
            <w:pPr>
              <w:spacing w:after="0" w:line="240" w:lineRule="auto"/>
              <w:rPr>
                <w:rFonts w:cs="Arial"/>
                <w:sz w:val="18"/>
                <w:szCs w:val="18"/>
              </w:rPr>
            </w:pPr>
            <w:r w:rsidRPr="00AC0C56">
              <w:rPr>
                <w:rFonts w:cs="Arial"/>
                <w:sz w:val="18"/>
                <w:szCs w:val="18"/>
              </w:rPr>
              <w:t>6</w:t>
            </w:r>
          </w:p>
        </w:tc>
        <w:tc>
          <w:tcPr>
            <w:tcW w:w="532" w:type="dxa"/>
            <w:tcBorders>
              <w:top w:val="single" w:sz="8" w:space="0" w:color="auto"/>
              <w:left w:val="single" w:sz="8" w:space="0" w:color="auto"/>
              <w:bottom w:val="single" w:sz="8" w:space="0" w:color="auto"/>
              <w:right w:val="single" w:sz="18" w:space="0" w:color="auto"/>
            </w:tcBorders>
          </w:tcPr>
          <w:p w14:paraId="0AAECC81" w14:textId="77777777" w:rsidR="000923BB" w:rsidRPr="00AC0C56" w:rsidRDefault="000923BB" w:rsidP="003A385F">
            <w:pPr>
              <w:spacing w:after="0" w:line="240" w:lineRule="auto"/>
              <w:rPr>
                <w:rFonts w:cs="Arial"/>
                <w:sz w:val="18"/>
                <w:szCs w:val="18"/>
              </w:rPr>
            </w:pPr>
            <w:r w:rsidRPr="00AC0C56">
              <w:rPr>
                <w:rFonts w:cs="Arial"/>
                <w:sz w:val="18"/>
                <w:szCs w:val="18"/>
              </w:rPr>
              <w:t>9</w:t>
            </w:r>
          </w:p>
        </w:tc>
        <w:tc>
          <w:tcPr>
            <w:tcW w:w="399" w:type="dxa"/>
            <w:tcBorders>
              <w:left w:val="single" w:sz="18" w:space="0" w:color="auto"/>
            </w:tcBorders>
          </w:tcPr>
          <w:p w14:paraId="6EE82BC1" w14:textId="77777777" w:rsidR="000923BB" w:rsidRPr="00AC0C56" w:rsidRDefault="000923BB" w:rsidP="003A385F">
            <w:pPr>
              <w:spacing w:after="0" w:line="240" w:lineRule="auto"/>
              <w:rPr>
                <w:rFonts w:cs="Arial"/>
                <w:sz w:val="18"/>
                <w:szCs w:val="18"/>
              </w:rPr>
            </w:pPr>
            <w:r w:rsidRPr="00AC0C56">
              <w:rPr>
                <w:rFonts w:cs="Arial"/>
                <w:sz w:val="18"/>
                <w:szCs w:val="18"/>
              </w:rPr>
              <w:t>2</w:t>
            </w:r>
          </w:p>
        </w:tc>
        <w:tc>
          <w:tcPr>
            <w:tcW w:w="532" w:type="dxa"/>
            <w:tcBorders>
              <w:right w:val="double" w:sz="4" w:space="0" w:color="auto"/>
            </w:tcBorders>
          </w:tcPr>
          <w:p w14:paraId="5BE38279" w14:textId="77777777" w:rsidR="000923BB" w:rsidRPr="00AC0C56" w:rsidRDefault="000923BB" w:rsidP="003A385F">
            <w:pPr>
              <w:spacing w:after="0" w:line="240" w:lineRule="auto"/>
              <w:rPr>
                <w:rFonts w:cs="Arial"/>
                <w:sz w:val="18"/>
                <w:szCs w:val="18"/>
              </w:rPr>
            </w:pPr>
            <w:r w:rsidRPr="00AC0C56">
              <w:rPr>
                <w:rFonts w:cs="Arial"/>
                <w:sz w:val="18"/>
                <w:szCs w:val="18"/>
              </w:rPr>
              <w:t>47</w:t>
            </w:r>
          </w:p>
        </w:tc>
        <w:tc>
          <w:tcPr>
            <w:tcW w:w="400" w:type="dxa"/>
            <w:tcBorders>
              <w:left w:val="double" w:sz="4" w:space="0" w:color="auto"/>
            </w:tcBorders>
          </w:tcPr>
          <w:p w14:paraId="4211436F" w14:textId="77777777" w:rsidR="000923BB" w:rsidRPr="00AC0C56" w:rsidRDefault="000923BB" w:rsidP="003A385F">
            <w:pPr>
              <w:spacing w:after="0" w:line="240" w:lineRule="auto"/>
              <w:rPr>
                <w:rFonts w:cs="Arial"/>
                <w:sz w:val="18"/>
                <w:szCs w:val="18"/>
              </w:rPr>
            </w:pPr>
            <w:r w:rsidRPr="00AC0C56">
              <w:rPr>
                <w:rFonts w:cs="Arial"/>
                <w:sz w:val="18"/>
                <w:szCs w:val="18"/>
              </w:rPr>
              <w:t>2</w:t>
            </w:r>
          </w:p>
        </w:tc>
        <w:tc>
          <w:tcPr>
            <w:tcW w:w="399" w:type="dxa"/>
            <w:tcBorders>
              <w:right w:val="single" w:sz="18" w:space="0" w:color="auto"/>
            </w:tcBorders>
          </w:tcPr>
          <w:p w14:paraId="2B54CD3F" w14:textId="77777777" w:rsidR="000923BB" w:rsidRPr="00AC0C56" w:rsidRDefault="000923BB" w:rsidP="003A385F">
            <w:pPr>
              <w:spacing w:after="0" w:line="240" w:lineRule="auto"/>
              <w:rPr>
                <w:rFonts w:cs="Arial"/>
                <w:sz w:val="18"/>
                <w:szCs w:val="18"/>
              </w:rPr>
            </w:pPr>
            <w:r w:rsidRPr="00AC0C56">
              <w:rPr>
                <w:rFonts w:cs="Arial"/>
                <w:sz w:val="18"/>
                <w:szCs w:val="18"/>
              </w:rPr>
              <w:t>10</w:t>
            </w:r>
          </w:p>
        </w:tc>
        <w:tc>
          <w:tcPr>
            <w:tcW w:w="532" w:type="dxa"/>
            <w:tcBorders>
              <w:left w:val="single" w:sz="18" w:space="0" w:color="auto"/>
            </w:tcBorders>
          </w:tcPr>
          <w:p w14:paraId="6F52AE25" w14:textId="77777777" w:rsidR="000923BB" w:rsidRPr="00AC0C56" w:rsidRDefault="000923BB" w:rsidP="003A385F">
            <w:pPr>
              <w:spacing w:after="0" w:line="240" w:lineRule="auto"/>
              <w:rPr>
                <w:rFonts w:cs="Arial"/>
                <w:sz w:val="18"/>
                <w:szCs w:val="18"/>
              </w:rPr>
            </w:pPr>
            <w:r w:rsidRPr="00AC0C56">
              <w:rPr>
                <w:rFonts w:cs="Arial"/>
                <w:sz w:val="18"/>
                <w:szCs w:val="18"/>
              </w:rPr>
              <w:t>6</w:t>
            </w:r>
          </w:p>
        </w:tc>
        <w:tc>
          <w:tcPr>
            <w:tcW w:w="532" w:type="dxa"/>
            <w:tcBorders>
              <w:right w:val="double" w:sz="4" w:space="0" w:color="auto"/>
            </w:tcBorders>
          </w:tcPr>
          <w:p w14:paraId="51EFAD7D" w14:textId="77777777" w:rsidR="000923BB" w:rsidRPr="00AC0C56" w:rsidRDefault="000923BB" w:rsidP="003A385F">
            <w:pPr>
              <w:spacing w:after="0" w:line="240" w:lineRule="auto"/>
              <w:rPr>
                <w:rFonts w:cs="Arial"/>
                <w:sz w:val="18"/>
                <w:szCs w:val="18"/>
              </w:rPr>
            </w:pPr>
            <w:r w:rsidRPr="00AC0C56">
              <w:rPr>
                <w:rFonts w:cs="Arial"/>
                <w:sz w:val="18"/>
                <w:szCs w:val="18"/>
              </w:rPr>
              <w:t>23</w:t>
            </w:r>
          </w:p>
        </w:tc>
        <w:tc>
          <w:tcPr>
            <w:tcW w:w="399" w:type="dxa"/>
            <w:tcBorders>
              <w:left w:val="double" w:sz="4" w:space="0" w:color="auto"/>
              <w:right w:val="single" w:sz="8" w:space="0" w:color="auto"/>
            </w:tcBorders>
          </w:tcPr>
          <w:p w14:paraId="72DF6B8D" w14:textId="77777777" w:rsidR="000923BB" w:rsidRPr="00AC0C56" w:rsidRDefault="000923BB" w:rsidP="003A385F">
            <w:pPr>
              <w:spacing w:after="0" w:line="240" w:lineRule="auto"/>
              <w:rPr>
                <w:rFonts w:cs="Arial"/>
                <w:sz w:val="18"/>
                <w:szCs w:val="18"/>
              </w:rPr>
            </w:pPr>
            <w:r w:rsidRPr="00AC0C56">
              <w:rPr>
                <w:rFonts w:cs="Arial"/>
                <w:sz w:val="18"/>
                <w:szCs w:val="18"/>
              </w:rPr>
              <w:t>0</w:t>
            </w:r>
          </w:p>
        </w:tc>
        <w:tc>
          <w:tcPr>
            <w:tcW w:w="532" w:type="dxa"/>
            <w:tcBorders>
              <w:left w:val="single" w:sz="8" w:space="0" w:color="auto"/>
              <w:right w:val="single" w:sz="18" w:space="0" w:color="auto"/>
            </w:tcBorders>
          </w:tcPr>
          <w:p w14:paraId="002DE395" w14:textId="77777777" w:rsidR="000923BB" w:rsidRPr="00AC0C56" w:rsidRDefault="000923BB" w:rsidP="003A385F">
            <w:pPr>
              <w:spacing w:after="0" w:line="240" w:lineRule="auto"/>
              <w:rPr>
                <w:rFonts w:cs="Arial"/>
                <w:sz w:val="18"/>
                <w:szCs w:val="18"/>
              </w:rPr>
            </w:pPr>
            <w:r w:rsidRPr="00AC0C56">
              <w:rPr>
                <w:rFonts w:cs="Arial"/>
                <w:sz w:val="18"/>
                <w:szCs w:val="18"/>
              </w:rPr>
              <w:t>2</w:t>
            </w:r>
          </w:p>
        </w:tc>
        <w:tc>
          <w:tcPr>
            <w:tcW w:w="532" w:type="dxa"/>
            <w:tcBorders>
              <w:left w:val="single" w:sz="18" w:space="0" w:color="auto"/>
              <w:right w:val="single" w:sz="8" w:space="0" w:color="auto"/>
            </w:tcBorders>
          </w:tcPr>
          <w:p w14:paraId="7B807935" w14:textId="77777777" w:rsidR="000923BB" w:rsidRPr="00AC0C56" w:rsidRDefault="000923BB" w:rsidP="003A385F">
            <w:pPr>
              <w:spacing w:after="0" w:line="240" w:lineRule="auto"/>
              <w:rPr>
                <w:rFonts w:cs="Arial"/>
                <w:sz w:val="18"/>
                <w:szCs w:val="18"/>
              </w:rPr>
            </w:pPr>
            <w:r w:rsidRPr="00AC0C56">
              <w:rPr>
                <w:rFonts w:cs="Arial"/>
                <w:sz w:val="18"/>
                <w:szCs w:val="18"/>
              </w:rPr>
              <w:t>3</w:t>
            </w:r>
          </w:p>
        </w:tc>
        <w:tc>
          <w:tcPr>
            <w:tcW w:w="532" w:type="dxa"/>
            <w:tcBorders>
              <w:left w:val="single" w:sz="8" w:space="0" w:color="auto"/>
              <w:right w:val="double" w:sz="4" w:space="0" w:color="auto"/>
            </w:tcBorders>
          </w:tcPr>
          <w:p w14:paraId="0AB6DB4C" w14:textId="77777777" w:rsidR="000923BB" w:rsidRPr="00AC0C56" w:rsidRDefault="000923BB" w:rsidP="003A385F">
            <w:pPr>
              <w:spacing w:after="0" w:line="240" w:lineRule="auto"/>
              <w:rPr>
                <w:rFonts w:cs="Arial"/>
                <w:sz w:val="18"/>
                <w:szCs w:val="18"/>
              </w:rPr>
            </w:pPr>
            <w:r w:rsidRPr="00AC0C56">
              <w:rPr>
                <w:rFonts w:cs="Arial"/>
                <w:sz w:val="18"/>
                <w:szCs w:val="18"/>
              </w:rPr>
              <w:t>44</w:t>
            </w:r>
          </w:p>
        </w:tc>
        <w:tc>
          <w:tcPr>
            <w:tcW w:w="399" w:type="dxa"/>
            <w:tcBorders>
              <w:left w:val="double" w:sz="4" w:space="0" w:color="auto"/>
            </w:tcBorders>
          </w:tcPr>
          <w:p w14:paraId="2407A9D5" w14:textId="77777777" w:rsidR="000923BB" w:rsidRPr="00AC0C56" w:rsidRDefault="000923BB" w:rsidP="003A385F">
            <w:pPr>
              <w:spacing w:after="0" w:line="240" w:lineRule="auto"/>
              <w:rPr>
                <w:rFonts w:cs="Arial"/>
                <w:sz w:val="18"/>
                <w:szCs w:val="18"/>
              </w:rPr>
            </w:pPr>
            <w:r w:rsidRPr="00AC0C56">
              <w:rPr>
                <w:rFonts w:cs="Arial"/>
                <w:sz w:val="18"/>
                <w:szCs w:val="18"/>
              </w:rPr>
              <w:t>1</w:t>
            </w:r>
          </w:p>
        </w:tc>
        <w:tc>
          <w:tcPr>
            <w:tcW w:w="399" w:type="dxa"/>
            <w:tcBorders>
              <w:right w:val="single" w:sz="18" w:space="0" w:color="auto"/>
            </w:tcBorders>
          </w:tcPr>
          <w:p w14:paraId="550B2532" w14:textId="77777777" w:rsidR="000923BB" w:rsidRPr="00AC0C56" w:rsidRDefault="000923BB" w:rsidP="003A385F">
            <w:pPr>
              <w:spacing w:after="0" w:line="240" w:lineRule="auto"/>
              <w:rPr>
                <w:rFonts w:cs="Arial"/>
                <w:sz w:val="18"/>
                <w:szCs w:val="18"/>
              </w:rPr>
            </w:pPr>
            <w:r w:rsidRPr="00AC0C56">
              <w:rPr>
                <w:rFonts w:cs="Arial"/>
                <w:sz w:val="18"/>
                <w:szCs w:val="18"/>
              </w:rPr>
              <w:t>8</w:t>
            </w:r>
          </w:p>
        </w:tc>
      </w:tr>
      <w:tr w:rsidR="00E5549E" w:rsidRPr="002975F8" w14:paraId="698FACC0" w14:textId="77777777" w:rsidTr="00E5549E">
        <w:trPr>
          <w:trHeight w:val="173"/>
        </w:trPr>
        <w:tc>
          <w:tcPr>
            <w:tcW w:w="798" w:type="dxa"/>
            <w:tcBorders>
              <w:left w:val="single" w:sz="18" w:space="0" w:color="auto"/>
              <w:right w:val="single" w:sz="18" w:space="0" w:color="auto"/>
            </w:tcBorders>
          </w:tcPr>
          <w:p w14:paraId="151E542C" w14:textId="77777777" w:rsidR="000923BB" w:rsidRPr="00AC0C56" w:rsidRDefault="000923BB" w:rsidP="003A385F">
            <w:pPr>
              <w:spacing w:after="0" w:line="240" w:lineRule="auto"/>
              <w:jc w:val="both"/>
              <w:rPr>
                <w:rFonts w:cs="Arial"/>
                <w:sz w:val="18"/>
                <w:szCs w:val="18"/>
              </w:rPr>
            </w:pPr>
            <w:r w:rsidRPr="00AC0C56">
              <w:rPr>
                <w:rFonts w:cs="Arial"/>
                <w:sz w:val="18"/>
                <w:szCs w:val="18"/>
              </w:rPr>
              <w:t>6 (24)</w:t>
            </w:r>
          </w:p>
        </w:tc>
        <w:tc>
          <w:tcPr>
            <w:tcW w:w="532" w:type="dxa"/>
            <w:tcBorders>
              <w:top w:val="single" w:sz="8" w:space="0" w:color="auto"/>
              <w:left w:val="single" w:sz="18" w:space="0" w:color="auto"/>
              <w:bottom w:val="single" w:sz="8" w:space="0" w:color="auto"/>
              <w:right w:val="single" w:sz="8" w:space="0" w:color="auto"/>
            </w:tcBorders>
          </w:tcPr>
          <w:p w14:paraId="478FD11C" w14:textId="77777777" w:rsidR="000923BB" w:rsidRPr="00AC0C56" w:rsidRDefault="000923BB" w:rsidP="003A385F">
            <w:pPr>
              <w:spacing w:after="0" w:line="240" w:lineRule="auto"/>
              <w:rPr>
                <w:rFonts w:cs="Arial"/>
                <w:sz w:val="18"/>
                <w:szCs w:val="18"/>
              </w:rPr>
            </w:pPr>
            <w:r w:rsidRPr="00AC0C56">
              <w:rPr>
                <w:rFonts w:cs="Arial"/>
                <w:sz w:val="18"/>
                <w:szCs w:val="18"/>
              </w:rPr>
              <w:t>9</w:t>
            </w:r>
          </w:p>
        </w:tc>
        <w:tc>
          <w:tcPr>
            <w:tcW w:w="532" w:type="dxa"/>
            <w:tcBorders>
              <w:top w:val="single" w:sz="8" w:space="0" w:color="auto"/>
              <w:left w:val="single" w:sz="8" w:space="0" w:color="auto"/>
              <w:bottom w:val="single" w:sz="8" w:space="0" w:color="auto"/>
              <w:right w:val="double" w:sz="4" w:space="0" w:color="auto"/>
            </w:tcBorders>
          </w:tcPr>
          <w:p w14:paraId="7355F0B1" w14:textId="77777777" w:rsidR="000923BB" w:rsidRPr="00AC0C56" w:rsidRDefault="000923BB" w:rsidP="003A385F">
            <w:pPr>
              <w:spacing w:after="0" w:line="240" w:lineRule="auto"/>
              <w:rPr>
                <w:rFonts w:cs="Arial"/>
                <w:sz w:val="18"/>
                <w:szCs w:val="18"/>
              </w:rPr>
            </w:pPr>
            <w:r w:rsidRPr="00AC0C56">
              <w:rPr>
                <w:rFonts w:cs="Arial"/>
                <w:sz w:val="18"/>
                <w:szCs w:val="18"/>
              </w:rPr>
              <w:t>27</w:t>
            </w:r>
          </w:p>
        </w:tc>
        <w:tc>
          <w:tcPr>
            <w:tcW w:w="399" w:type="dxa"/>
            <w:tcBorders>
              <w:top w:val="single" w:sz="8" w:space="0" w:color="auto"/>
              <w:left w:val="double" w:sz="4" w:space="0" w:color="auto"/>
              <w:bottom w:val="single" w:sz="8" w:space="0" w:color="auto"/>
              <w:right w:val="single" w:sz="8" w:space="0" w:color="auto"/>
            </w:tcBorders>
          </w:tcPr>
          <w:p w14:paraId="42FFA81E" w14:textId="77777777" w:rsidR="000923BB" w:rsidRPr="00AC0C56" w:rsidRDefault="000923BB" w:rsidP="003A385F">
            <w:pPr>
              <w:spacing w:after="0" w:line="240" w:lineRule="auto"/>
              <w:rPr>
                <w:rFonts w:cs="Arial"/>
                <w:sz w:val="18"/>
                <w:szCs w:val="18"/>
              </w:rPr>
            </w:pPr>
            <w:r w:rsidRPr="00AC0C56">
              <w:rPr>
                <w:rFonts w:cs="Arial"/>
                <w:sz w:val="18"/>
                <w:szCs w:val="18"/>
              </w:rPr>
              <w:t>4</w:t>
            </w:r>
          </w:p>
        </w:tc>
        <w:tc>
          <w:tcPr>
            <w:tcW w:w="532" w:type="dxa"/>
            <w:tcBorders>
              <w:top w:val="single" w:sz="8" w:space="0" w:color="auto"/>
              <w:left w:val="single" w:sz="8" w:space="0" w:color="auto"/>
              <w:bottom w:val="single" w:sz="8" w:space="0" w:color="auto"/>
              <w:right w:val="single" w:sz="18" w:space="0" w:color="auto"/>
            </w:tcBorders>
          </w:tcPr>
          <w:p w14:paraId="64E15D70" w14:textId="77777777" w:rsidR="000923BB" w:rsidRPr="00AC0C56" w:rsidRDefault="000923BB" w:rsidP="003A385F">
            <w:pPr>
              <w:spacing w:after="0" w:line="240" w:lineRule="auto"/>
              <w:rPr>
                <w:rFonts w:cs="Arial"/>
                <w:sz w:val="18"/>
                <w:szCs w:val="18"/>
              </w:rPr>
            </w:pPr>
            <w:r w:rsidRPr="00AC0C56">
              <w:rPr>
                <w:rFonts w:cs="Arial"/>
                <w:sz w:val="18"/>
                <w:szCs w:val="18"/>
              </w:rPr>
              <w:t>0</w:t>
            </w:r>
          </w:p>
        </w:tc>
        <w:tc>
          <w:tcPr>
            <w:tcW w:w="399" w:type="dxa"/>
            <w:tcBorders>
              <w:left w:val="single" w:sz="18" w:space="0" w:color="auto"/>
            </w:tcBorders>
          </w:tcPr>
          <w:p w14:paraId="34CA8A06" w14:textId="77777777" w:rsidR="000923BB" w:rsidRPr="00AC0C56" w:rsidRDefault="000923BB" w:rsidP="003A385F">
            <w:pPr>
              <w:spacing w:after="0" w:line="240" w:lineRule="auto"/>
              <w:rPr>
                <w:rFonts w:cs="Arial"/>
                <w:sz w:val="18"/>
                <w:szCs w:val="18"/>
              </w:rPr>
            </w:pPr>
            <w:r w:rsidRPr="00AC0C56">
              <w:rPr>
                <w:rFonts w:cs="Arial"/>
                <w:sz w:val="18"/>
                <w:szCs w:val="18"/>
              </w:rPr>
              <w:t>7</w:t>
            </w:r>
          </w:p>
        </w:tc>
        <w:tc>
          <w:tcPr>
            <w:tcW w:w="532" w:type="dxa"/>
            <w:tcBorders>
              <w:right w:val="double" w:sz="4" w:space="0" w:color="auto"/>
            </w:tcBorders>
          </w:tcPr>
          <w:p w14:paraId="591DD714" w14:textId="77777777" w:rsidR="000923BB" w:rsidRPr="00AC0C56" w:rsidRDefault="000923BB" w:rsidP="003A385F">
            <w:pPr>
              <w:spacing w:after="0" w:line="240" w:lineRule="auto"/>
              <w:rPr>
                <w:rFonts w:cs="Arial"/>
                <w:sz w:val="18"/>
                <w:szCs w:val="18"/>
              </w:rPr>
            </w:pPr>
            <w:r w:rsidRPr="00AC0C56">
              <w:rPr>
                <w:rFonts w:cs="Arial"/>
                <w:sz w:val="18"/>
                <w:szCs w:val="18"/>
              </w:rPr>
              <w:t>33</w:t>
            </w:r>
          </w:p>
        </w:tc>
        <w:tc>
          <w:tcPr>
            <w:tcW w:w="400" w:type="dxa"/>
            <w:tcBorders>
              <w:left w:val="double" w:sz="4" w:space="0" w:color="auto"/>
            </w:tcBorders>
          </w:tcPr>
          <w:p w14:paraId="68D0FE5E" w14:textId="77777777" w:rsidR="000923BB" w:rsidRPr="00AC0C56" w:rsidRDefault="000923BB" w:rsidP="003A385F">
            <w:pPr>
              <w:spacing w:after="0" w:line="240" w:lineRule="auto"/>
              <w:rPr>
                <w:rFonts w:cs="Arial"/>
                <w:sz w:val="18"/>
                <w:szCs w:val="18"/>
              </w:rPr>
            </w:pPr>
            <w:r w:rsidRPr="00AC0C56">
              <w:rPr>
                <w:rFonts w:cs="Arial"/>
                <w:sz w:val="18"/>
                <w:szCs w:val="18"/>
              </w:rPr>
              <w:t>0</w:t>
            </w:r>
          </w:p>
        </w:tc>
        <w:tc>
          <w:tcPr>
            <w:tcW w:w="399" w:type="dxa"/>
            <w:tcBorders>
              <w:right w:val="single" w:sz="18" w:space="0" w:color="auto"/>
            </w:tcBorders>
          </w:tcPr>
          <w:p w14:paraId="34BB4FC4" w14:textId="77777777" w:rsidR="000923BB" w:rsidRPr="00AC0C56" w:rsidRDefault="000923BB" w:rsidP="003A385F">
            <w:pPr>
              <w:spacing w:after="0" w:line="240" w:lineRule="auto"/>
              <w:rPr>
                <w:rFonts w:cs="Arial"/>
                <w:sz w:val="18"/>
                <w:szCs w:val="18"/>
              </w:rPr>
            </w:pPr>
            <w:r w:rsidRPr="00AC0C56">
              <w:rPr>
                <w:rFonts w:cs="Arial"/>
                <w:sz w:val="18"/>
                <w:szCs w:val="18"/>
              </w:rPr>
              <w:t>1</w:t>
            </w:r>
          </w:p>
        </w:tc>
        <w:tc>
          <w:tcPr>
            <w:tcW w:w="532" w:type="dxa"/>
            <w:tcBorders>
              <w:left w:val="single" w:sz="18" w:space="0" w:color="auto"/>
            </w:tcBorders>
          </w:tcPr>
          <w:p w14:paraId="10EFD019" w14:textId="77777777" w:rsidR="000923BB" w:rsidRPr="00AC0C56" w:rsidRDefault="000923BB" w:rsidP="003A385F">
            <w:pPr>
              <w:spacing w:after="0" w:line="240" w:lineRule="auto"/>
              <w:rPr>
                <w:rFonts w:cs="Arial"/>
                <w:sz w:val="18"/>
                <w:szCs w:val="18"/>
              </w:rPr>
            </w:pPr>
            <w:r w:rsidRPr="00AC0C56">
              <w:rPr>
                <w:rFonts w:cs="Arial"/>
                <w:sz w:val="18"/>
                <w:szCs w:val="18"/>
              </w:rPr>
              <w:t>3</w:t>
            </w:r>
          </w:p>
        </w:tc>
        <w:tc>
          <w:tcPr>
            <w:tcW w:w="532" w:type="dxa"/>
            <w:tcBorders>
              <w:right w:val="double" w:sz="4" w:space="0" w:color="auto"/>
            </w:tcBorders>
          </w:tcPr>
          <w:p w14:paraId="5B0F03E8" w14:textId="77777777" w:rsidR="000923BB" w:rsidRPr="00AC0C56" w:rsidRDefault="000923BB" w:rsidP="003A385F">
            <w:pPr>
              <w:spacing w:after="0" w:line="240" w:lineRule="auto"/>
              <w:rPr>
                <w:rFonts w:cs="Arial"/>
                <w:sz w:val="18"/>
                <w:szCs w:val="18"/>
              </w:rPr>
            </w:pPr>
            <w:r w:rsidRPr="00AC0C56">
              <w:rPr>
                <w:rFonts w:cs="Arial"/>
                <w:sz w:val="18"/>
                <w:szCs w:val="18"/>
              </w:rPr>
              <w:t>22</w:t>
            </w:r>
          </w:p>
        </w:tc>
        <w:tc>
          <w:tcPr>
            <w:tcW w:w="399" w:type="dxa"/>
            <w:tcBorders>
              <w:left w:val="double" w:sz="4" w:space="0" w:color="auto"/>
              <w:right w:val="single" w:sz="8" w:space="0" w:color="auto"/>
            </w:tcBorders>
          </w:tcPr>
          <w:p w14:paraId="6A15B74A" w14:textId="77777777" w:rsidR="000923BB" w:rsidRPr="00AC0C56" w:rsidRDefault="000923BB" w:rsidP="003A385F">
            <w:pPr>
              <w:spacing w:after="0" w:line="240" w:lineRule="auto"/>
              <w:rPr>
                <w:rFonts w:cs="Arial"/>
                <w:sz w:val="18"/>
                <w:szCs w:val="18"/>
              </w:rPr>
            </w:pPr>
            <w:r w:rsidRPr="00AC0C56">
              <w:rPr>
                <w:rFonts w:cs="Arial"/>
                <w:sz w:val="18"/>
                <w:szCs w:val="18"/>
              </w:rPr>
              <w:t>0</w:t>
            </w:r>
          </w:p>
        </w:tc>
        <w:tc>
          <w:tcPr>
            <w:tcW w:w="532" w:type="dxa"/>
            <w:tcBorders>
              <w:left w:val="single" w:sz="8" w:space="0" w:color="auto"/>
              <w:right w:val="single" w:sz="18" w:space="0" w:color="auto"/>
            </w:tcBorders>
          </w:tcPr>
          <w:p w14:paraId="5E25942E" w14:textId="77777777" w:rsidR="000923BB" w:rsidRPr="00AC0C56" w:rsidRDefault="000923BB" w:rsidP="003A385F">
            <w:pPr>
              <w:spacing w:after="0" w:line="240" w:lineRule="auto"/>
              <w:rPr>
                <w:rFonts w:cs="Arial"/>
                <w:sz w:val="18"/>
                <w:szCs w:val="18"/>
              </w:rPr>
            </w:pPr>
            <w:r w:rsidRPr="00AC0C56">
              <w:rPr>
                <w:rFonts w:cs="Arial"/>
                <w:sz w:val="18"/>
                <w:szCs w:val="18"/>
              </w:rPr>
              <w:t>1</w:t>
            </w:r>
          </w:p>
        </w:tc>
        <w:tc>
          <w:tcPr>
            <w:tcW w:w="532" w:type="dxa"/>
            <w:tcBorders>
              <w:left w:val="single" w:sz="18" w:space="0" w:color="auto"/>
              <w:right w:val="single" w:sz="8" w:space="0" w:color="auto"/>
            </w:tcBorders>
          </w:tcPr>
          <w:p w14:paraId="62B2A40B" w14:textId="77777777" w:rsidR="000923BB" w:rsidRPr="00AC0C56" w:rsidRDefault="000923BB" w:rsidP="003A385F">
            <w:pPr>
              <w:spacing w:after="0" w:line="240" w:lineRule="auto"/>
              <w:rPr>
                <w:rFonts w:cs="Arial"/>
                <w:sz w:val="18"/>
                <w:szCs w:val="18"/>
              </w:rPr>
            </w:pPr>
            <w:r w:rsidRPr="00AC0C56">
              <w:rPr>
                <w:rFonts w:cs="Arial"/>
                <w:sz w:val="18"/>
                <w:szCs w:val="18"/>
              </w:rPr>
              <w:t>3</w:t>
            </w:r>
          </w:p>
        </w:tc>
        <w:tc>
          <w:tcPr>
            <w:tcW w:w="532" w:type="dxa"/>
            <w:tcBorders>
              <w:left w:val="single" w:sz="8" w:space="0" w:color="auto"/>
              <w:right w:val="double" w:sz="4" w:space="0" w:color="auto"/>
            </w:tcBorders>
          </w:tcPr>
          <w:p w14:paraId="7A4C1315" w14:textId="77777777" w:rsidR="000923BB" w:rsidRPr="00AC0C56" w:rsidRDefault="000923BB" w:rsidP="003A385F">
            <w:pPr>
              <w:spacing w:after="0" w:line="240" w:lineRule="auto"/>
              <w:rPr>
                <w:rFonts w:cs="Arial"/>
                <w:sz w:val="18"/>
                <w:szCs w:val="18"/>
              </w:rPr>
            </w:pPr>
            <w:r w:rsidRPr="00AC0C56">
              <w:rPr>
                <w:rFonts w:cs="Arial"/>
                <w:sz w:val="18"/>
                <w:szCs w:val="18"/>
              </w:rPr>
              <w:t>26</w:t>
            </w:r>
          </w:p>
        </w:tc>
        <w:tc>
          <w:tcPr>
            <w:tcW w:w="399" w:type="dxa"/>
            <w:tcBorders>
              <w:left w:val="double" w:sz="4" w:space="0" w:color="auto"/>
            </w:tcBorders>
          </w:tcPr>
          <w:p w14:paraId="53850BB5" w14:textId="77777777" w:rsidR="000923BB" w:rsidRPr="00AC0C56" w:rsidRDefault="000923BB" w:rsidP="003A385F">
            <w:pPr>
              <w:spacing w:after="0" w:line="240" w:lineRule="auto"/>
              <w:rPr>
                <w:rFonts w:cs="Arial"/>
                <w:sz w:val="18"/>
                <w:szCs w:val="18"/>
              </w:rPr>
            </w:pPr>
            <w:r w:rsidRPr="00AC0C56">
              <w:rPr>
                <w:rFonts w:cs="Arial"/>
                <w:sz w:val="18"/>
                <w:szCs w:val="18"/>
              </w:rPr>
              <w:t>0</w:t>
            </w:r>
          </w:p>
        </w:tc>
        <w:tc>
          <w:tcPr>
            <w:tcW w:w="399" w:type="dxa"/>
            <w:tcBorders>
              <w:right w:val="single" w:sz="18" w:space="0" w:color="auto"/>
            </w:tcBorders>
          </w:tcPr>
          <w:p w14:paraId="321EFAFE" w14:textId="77777777" w:rsidR="000923BB" w:rsidRPr="00AC0C56" w:rsidRDefault="000923BB" w:rsidP="003A385F">
            <w:pPr>
              <w:spacing w:after="0" w:line="240" w:lineRule="auto"/>
              <w:rPr>
                <w:rFonts w:cs="Arial"/>
                <w:sz w:val="18"/>
                <w:szCs w:val="18"/>
              </w:rPr>
            </w:pPr>
            <w:r w:rsidRPr="00AC0C56">
              <w:rPr>
                <w:rFonts w:cs="Arial"/>
                <w:sz w:val="18"/>
                <w:szCs w:val="18"/>
              </w:rPr>
              <w:t>0</w:t>
            </w:r>
          </w:p>
        </w:tc>
      </w:tr>
      <w:tr w:rsidR="00E5549E" w:rsidRPr="002975F8" w14:paraId="56864E4A" w14:textId="77777777" w:rsidTr="00E5549E">
        <w:trPr>
          <w:trHeight w:val="375"/>
        </w:trPr>
        <w:tc>
          <w:tcPr>
            <w:tcW w:w="798" w:type="dxa"/>
            <w:tcBorders>
              <w:left w:val="single" w:sz="18" w:space="0" w:color="auto"/>
              <w:bottom w:val="single" w:sz="18" w:space="0" w:color="auto"/>
              <w:right w:val="single" w:sz="18" w:space="0" w:color="auto"/>
            </w:tcBorders>
          </w:tcPr>
          <w:p w14:paraId="47E330B8" w14:textId="77777777" w:rsidR="000923BB" w:rsidRPr="00AC0C56" w:rsidRDefault="000923BB" w:rsidP="003A385F">
            <w:pPr>
              <w:spacing w:after="0" w:line="240" w:lineRule="auto"/>
              <w:jc w:val="both"/>
              <w:rPr>
                <w:rFonts w:cs="Arial"/>
                <w:sz w:val="18"/>
                <w:szCs w:val="18"/>
              </w:rPr>
            </w:pPr>
            <w:r w:rsidRPr="00AC0C56">
              <w:rPr>
                <w:rFonts w:cs="Arial"/>
                <w:sz w:val="18"/>
                <w:szCs w:val="18"/>
              </w:rPr>
              <w:t xml:space="preserve">   Total </w:t>
            </w:r>
          </w:p>
          <w:p w14:paraId="71D0DD0E" w14:textId="77777777" w:rsidR="000923BB" w:rsidRPr="00AC0C56" w:rsidRDefault="000923BB" w:rsidP="003A385F">
            <w:pPr>
              <w:spacing w:after="0" w:line="240" w:lineRule="auto"/>
              <w:jc w:val="both"/>
              <w:rPr>
                <w:rFonts w:cs="Arial"/>
                <w:sz w:val="18"/>
                <w:szCs w:val="18"/>
              </w:rPr>
            </w:pPr>
            <w:r w:rsidRPr="00AC0C56">
              <w:rPr>
                <w:rFonts w:cs="Arial"/>
                <w:sz w:val="18"/>
                <w:szCs w:val="18"/>
              </w:rPr>
              <w:t>(117)</w:t>
            </w:r>
          </w:p>
        </w:tc>
        <w:tc>
          <w:tcPr>
            <w:tcW w:w="532" w:type="dxa"/>
            <w:tcBorders>
              <w:top w:val="single" w:sz="8" w:space="0" w:color="auto"/>
              <w:left w:val="single" w:sz="18" w:space="0" w:color="auto"/>
              <w:bottom w:val="single" w:sz="18" w:space="0" w:color="auto"/>
              <w:right w:val="single" w:sz="8" w:space="0" w:color="auto"/>
            </w:tcBorders>
          </w:tcPr>
          <w:p w14:paraId="74BD5699" w14:textId="77777777" w:rsidR="000923BB" w:rsidRPr="00AC0C56" w:rsidRDefault="000923BB" w:rsidP="003A385F">
            <w:pPr>
              <w:spacing w:after="0" w:line="240" w:lineRule="auto"/>
              <w:jc w:val="both"/>
              <w:rPr>
                <w:rFonts w:cs="Arial"/>
                <w:sz w:val="18"/>
                <w:szCs w:val="18"/>
              </w:rPr>
            </w:pPr>
            <w:r w:rsidRPr="00AC0C56">
              <w:rPr>
                <w:rFonts w:cs="Arial"/>
                <w:sz w:val="18"/>
                <w:szCs w:val="18"/>
              </w:rPr>
              <w:t>26</w:t>
            </w:r>
          </w:p>
        </w:tc>
        <w:tc>
          <w:tcPr>
            <w:tcW w:w="532" w:type="dxa"/>
            <w:tcBorders>
              <w:top w:val="single" w:sz="8" w:space="0" w:color="auto"/>
              <w:left w:val="single" w:sz="8" w:space="0" w:color="auto"/>
              <w:bottom w:val="single" w:sz="18" w:space="0" w:color="auto"/>
              <w:right w:val="double" w:sz="4" w:space="0" w:color="auto"/>
            </w:tcBorders>
          </w:tcPr>
          <w:p w14:paraId="1EB016CF" w14:textId="77777777" w:rsidR="000923BB" w:rsidRPr="00AC0C56" w:rsidRDefault="000923BB" w:rsidP="003A385F">
            <w:pPr>
              <w:spacing w:after="0" w:line="240" w:lineRule="auto"/>
              <w:jc w:val="both"/>
              <w:rPr>
                <w:rFonts w:cs="Arial"/>
                <w:sz w:val="18"/>
                <w:szCs w:val="18"/>
              </w:rPr>
            </w:pPr>
            <w:r w:rsidRPr="00AC0C56">
              <w:rPr>
                <w:rFonts w:cs="Arial"/>
                <w:sz w:val="18"/>
                <w:szCs w:val="18"/>
              </w:rPr>
              <w:t>119</w:t>
            </w:r>
          </w:p>
        </w:tc>
        <w:tc>
          <w:tcPr>
            <w:tcW w:w="399" w:type="dxa"/>
            <w:tcBorders>
              <w:top w:val="single" w:sz="8" w:space="0" w:color="auto"/>
              <w:left w:val="double" w:sz="4" w:space="0" w:color="auto"/>
              <w:bottom w:val="single" w:sz="18" w:space="0" w:color="auto"/>
              <w:right w:val="single" w:sz="8" w:space="0" w:color="auto"/>
            </w:tcBorders>
          </w:tcPr>
          <w:p w14:paraId="6467B3FA" w14:textId="77777777" w:rsidR="000923BB" w:rsidRPr="00AC0C56" w:rsidRDefault="000923BB" w:rsidP="003A385F">
            <w:pPr>
              <w:spacing w:after="0" w:line="240" w:lineRule="auto"/>
              <w:jc w:val="both"/>
              <w:rPr>
                <w:rFonts w:cs="Arial"/>
                <w:sz w:val="18"/>
                <w:szCs w:val="18"/>
              </w:rPr>
            </w:pPr>
            <w:r w:rsidRPr="00AC0C56">
              <w:rPr>
                <w:rFonts w:cs="Arial"/>
                <w:sz w:val="18"/>
                <w:szCs w:val="18"/>
              </w:rPr>
              <w:t>35</w:t>
            </w:r>
          </w:p>
        </w:tc>
        <w:tc>
          <w:tcPr>
            <w:tcW w:w="532" w:type="dxa"/>
            <w:tcBorders>
              <w:top w:val="single" w:sz="8" w:space="0" w:color="auto"/>
              <w:left w:val="single" w:sz="8" w:space="0" w:color="auto"/>
              <w:bottom w:val="single" w:sz="18" w:space="0" w:color="auto"/>
              <w:right w:val="single" w:sz="18" w:space="0" w:color="auto"/>
            </w:tcBorders>
          </w:tcPr>
          <w:p w14:paraId="7970612C" w14:textId="77777777" w:rsidR="000923BB" w:rsidRPr="00AC0C56" w:rsidRDefault="000923BB" w:rsidP="003A385F">
            <w:pPr>
              <w:spacing w:after="0" w:line="240" w:lineRule="auto"/>
              <w:jc w:val="both"/>
              <w:rPr>
                <w:rFonts w:cs="Arial"/>
                <w:sz w:val="18"/>
                <w:szCs w:val="18"/>
              </w:rPr>
            </w:pPr>
            <w:r w:rsidRPr="00AC0C56">
              <w:rPr>
                <w:rFonts w:cs="Arial"/>
                <w:sz w:val="18"/>
                <w:szCs w:val="18"/>
              </w:rPr>
              <w:t>51</w:t>
            </w:r>
          </w:p>
        </w:tc>
        <w:tc>
          <w:tcPr>
            <w:tcW w:w="399" w:type="dxa"/>
            <w:tcBorders>
              <w:left w:val="single" w:sz="18" w:space="0" w:color="auto"/>
              <w:bottom w:val="single" w:sz="18" w:space="0" w:color="auto"/>
            </w:tcBorders>
          </w:tcPr>
          <w:p w14:paraId="674CCFA4" w14:textId="77777777" w:rsidR="000923BB" w:rsidRPr="00AC0C56" w:rsidRDefault="000923BB" w:rsidP="003A385F">
            <w:pPr>
              <w:spacing w:after="0" w:line="240" w:lineRule="auto"/>
              <w:jc w:val="both"/>
              <w:rPr>
                <w:rFonts w:cs="Arial"/>
                <w:sz w:val="18"/>
                <w:szCs w:val="18"/>
              </w:rPr>
            </w:pPr>
            <w:r w:rsidRPr="00AC0C56">
              <w:rPr>
                <w:rFonts w:cs="Arial"/>
                <w:sz w:val="18"/>
                <w:szCs w:val="18"/>
              </w:rPr>
              <w:t>12</w:t>
            </w:r>
          </w:p>
        </w:tc>
        <w:tc>
          <w:tcPr>
            <w:tcW w:w="532" w:type="dxa"/>
            <w:tcBorders>
              <w:bottom w:val="single" w:sz="18" w:space="0" w:color="auto"/>
            </w:tcBorders>
          </w:tcPr>
          <w:p w14:paraId="08C6ADC2" w14:textId="77777777" w:rsidR="000923BB" w:rsidRPr="00AC0C56" w:rsidRDefault="000923BB" w:rsidP="003A385F">
            <w:pPr>
              <w:spacing w:after="0" w:line="240" w:lineRule="auto"/>
              <w:jc w:val="both"/>
              <w:rPr>
                <w:rFonts w:cs="Arial"/>
                <w:sz w:val="18"/>
                <w:szCs w:val="18"/>
              </w:rPr>
            </w:pPr>
            <w:r w:rsidRPr="00AC0C56">
              <w:rPr>
                <w:rFonts w:cs="Arial"/>
                <w:sz w:val="18"/>
                <w:szCs w:val="18"/>
              </w:rPr>
              <w:t>113</w:t>
            </w:r>
          </w:p>
        </w:tc>
        <w:tc>
          <w:tcPr>
            <w:tcW w:w="400" w:type="dxa"/>
            <w:tcBorders>
              <w:bottom w:val="single" w:sz="18" w:space="0" w:color="auto"/>
            </w:tcBorders>
          </w:tcPr>
          <w:p w14:paraId="4904A386" w14:textId="77777777" w:rsidR="000923BB" w:rsidRPr="00AC0C56" w:rsidRDefault="000923BB" w:rsidP="003A385F">
            <w:pPr>
              <w:spacing w:after="0" w:line="240" w:lineRule="auto"/>
              <w:jc w:val="both"/>
              <w:rPr>
                <w:rFonts w:cs="Arial"/>
                <w:sz w:val="18"/>
                <w:szCs w:val="18"/>
              </w:rPr>
            </w:pPr>
            <w:r w:rsidRPr="00AC0C56">
              <w:rPr>
                <w:rFonts w:cs="Arial"/>
                <w:sz w:val="18"/>
                <w:szCs w:val="18"/>
              </w:rPr>
              <w:t>26</w:t>
            </w:r>
          </w:p>
        </w:tc>
        <w:tc>
          <w:tcPr>
            <w:tcW w:w="399" w:type="dxa"/>
            <w:tcBorders>
              <w:bottom w:val="single" w:sz="18" w:space="0" w:color="auto"/>
              <w:right w:val="single" w:sz="18" w:space="0" w:color="auto"/>
            </w:tcBorders>
          </w:tcPr>
          <w:p w14:paraId="5202206C" w14:textId="77777777" w:rsidR="000923BB" w:rsidRPr="00AC0C56" w:rsidRDefault="000923BB" w:rsidP="003A385F">
            <w:pPr>
              <w:spacing w:after="0" w:line="240" w:lineRule="auto"/>
              <w:jc w:val="both"/>
              <w:rPr>
                <w:rFonts w:cs="Arial"/>
                <w:sz w:val="18"/>
                <w:szCs w:val="18"/>
              </w:rPr>
            </w:pPr>
            <w:r w:rsidRPr="00AC0C56">
              <w:rPr>
                <w:rFonts w:cs="Arial"/>
                <w:sz w:val="18"/>
                <w:szCs w:val="18"/>
              </w:rPr>
              <w:t>54</w:t>
            </w:r>
          </w:p>
        </w:tc>
        <w:tc>
          <w:tcPr>
            <w:tcW w:w="532" w:type="dxa"/>
            <w:tcBorders>
              <w:left w:val="single" w:sz="18" w:space="0" w:color="auto"/>
              <w:bottom w:val="single" w:sz="18" w:space="0" w:color="auto"/>
            </w:tcBorders>
          </w:tcPr>
          <w:p w14:paraId="36A2B9C9" w14:textId="77777777" w:rsidR="000923BB" w:rsidRPr="00AC0C56" w:rsidRDefault="000923BB" w:rsidP="003A385F">
            <w:pPr>
              <w:spacing w:after="0" w:line="240" w:lineRule="auto"/>
              <w:jc w:val="both"/>
              <w:rPr>
                <w:rFonts w:cs="Arial"/>
                <w:sz w:val="18"/>
                <w:szCs w:val="18"/>
              </w:rPr>
            </w:pPr>
            <w:r w:rsidRPr="00AC0C56">
              <w:rPr>
                <w:rFonts w:cs="Arial"/>
                <w:sz w:val="18"/>
                <w:szCs w:val="18"/>
              </w:rPr>
              <w:t>13</w:t>
            </w:r>
          </w:p>
        </w:tc>
        <w:tc>
          <w:tcPr>
            <w:tcW w:w="532" w:type="dxa"/>
            <w:tcBorders>
              <w:bottom w:val="single" w:sz="18" w:space="0" w:color="auto"/>
            </w:tcBorders>
          </w:tcPr>
          <w:p w14:paraId="1BBE12BD" w14:textId="77777777" w:rsidR="000923BB" w:rsidRPr="00AC0C56" w:rsidRDefault="000923BB" w:rsidP="003A385F">
            <w:pPr>
              <w:spacing w:after="0" w:line="240" w:lineRule="auto"/>
              <w:jc w:val="both"/>
              <w:rPr>
                <w:rFonts w:cs="Arial"/>
                <w:sz w:val="18"/>
                <w:szCs w:val="18"/>
              </w:rPr>
            </w:pPr>
            <w:r w:rsidRPr="00AC0C56">
              <w:rPr>
                <w:rFonts w:cs="Arial"/>
                <w:sz w:val="18"/>
                <w:szCs w:val="18"/>
              </w:rPr>
              <w:t>72</w:t>
            </w:r>
          </w:p>
        </w:tc>
        <w:tc>
          <w:tcPr>
            <w:tcW w:w="399" w:type="dxa"/>
            <w:tcBorders>
              <w:bottom w:val="single" w:sz="18" w:space="0" w:color="auto"/>
              <w:right w:val="single" w:sz="8" w:space="0" w:color="auto"/>
            </w:tcBorders>
          </w:tcPr>
          <w:p w14:paraId="65E19168" w14:textId="77777777" w:rsidR="000923BB" w:rsidRPr="00AC0C56" w:rsidRDefault="000923BB" w:rsidP="003A385F">
            <w:pPr>
              <w:spacing w:after="0" w:line="240" w:lineRule="auto"/>
              <w:jc w:val="both"/>
              <w:rPr>
                <w:rFonts w:cs="Arial"/>
                <w:sz w:val="18"/>
                <w:szCs w:val="18"/>
              </w:rPr>
            </w:pPr>
            <w:r w:rsidRPr="00AC0C56">
              <w:rPr>
                <w:rFonts w:cs="Arial"/>
                <w:sz w:val="18"/>
                <w:szCs w:val="18"/>
              </w:rPr>
              <w:t>3</w:t>
            </w:r>
          </w:p>
        </w:tc>
        <w:tc>
          <w:tcPr>
            <w:tcW w:w="532" w:type="dxa"/>
            <w:tcBorders>
              <w:left w:val="single" w:sz="8" w:space="0" w:color="auto"/>
              <w:bottom w:val="single" w:sz="18" w:space="0" w:color="auto"/>
              <w:right w:val="single" w:sz="18" w:space="0" w:color="auto"/>
            </w:tcBorders>
          </w:tcPr>
          <w:p w14:paraId="19943E31" w14:textId="77777777" w:rsidR="000923BB" w:rsidRPr="00AC0C56" w:rsidRDefault="000923BB" w:rsidP="003A385F">
            <w:pPr>
              <w:spacing w:after="0" w:line="240" w:lineRule="auto"/>
              <w:jc w:val="both"/>
              <w:rPr>
                <w:rFonts w:cs="Arial"/>
                <w:sz w:val="18"/>
                <w:szCs w:val="18"/>
              </w:rPr>
            </w:pPr>
            <w:r w:rsidRPr="00AC0C56">
              <w:rPr>
                <w:rFonts w:cs="Arial"/>
                <w:sz w:val="18"/>
                <w:szCs w:val="18"/>
              </w:rPr>
              <w:t>33</w:t>
            </w:r>
          </w:p>
        </w:tc>
        <w:tc>
          <w:tcPr>
            <w:tcW w:w="532" w:type="dxa"/>
            <w:tcBorders>
              <w:left w:val="single" w:sz="18" w:space="0" w:color="auto"/>
              <w:bottom w:val="single" w:sz="18" w:space="0" w:color="auto"/>
              <w:right w:val="single" w:sz="8" w:space="0" w:color="auto"/>
            </w:tcBorders>
          </w:tcPr>
          <w:p w14:paraId="6722977E" w14:textId="77777777" w:rsidR="000923BB" w:rsidRPr="00AC0C56" w:rsidRDefault="000923BB" w:rsidP="003A385F">
            <w:pPr>
              <w:spacing w:after="0" w:line="240" w:lineRule="auto"/>
              <w:jc w:val="both"/>
              <w:rPr>
                <w:rFonts w:cs="Arial"/>
                <w:sz w:val="18"/>
                <w:szCs w:val="18"/>
              </w:rPr>
            </w:pPr>
            <w:r w:rsidRPr="00AC0C56">
              <w:rPr>
                <w:rFonts w:cs="Arial"/>
                <w:sz w:val="18"/>
                <w:szCs w:val="18"/>
              </w:rPr>
              <w:t>7</w:t>
            </w:r>
          </w:p>
        </w:tc>
        <w:tc>
          <w:tcPr>
            <w:tcW w:w="532" w:type="dxa"/>
            <w:tcBorders>
              <w:left w:val="single" w:sz="8" w:space="0" w:color="auto"/>
              <w:bottom w:val="single" w:sz="18" w:space="0" w:color="auto"/>
            </w:tcBorders>
          </w:tcPr>
          <w:p w14:paraId="351AB7BB" w14:textId="77777777" w:rsidR="000923BB" w:rsidRPr="00AC0C56" w:rsidRDefault="000923BB" w:rsidP="003A385F">
            <w:pPr>
              <w:spacing w:after="0" w:line="240" w:lineRule="auto"/>
              <w:jc w:val="both"/>
              <w:rPr>
                <w:rFonts w:cs="Arial"/>
                <w:sz w:val="18"/>
                <w:szCs w:val="18"/>
              </w:rPr>
            </w:pPr>
            <w:r w:rsidRPr="00AC0C56">
              <w:rPr>
                <w:rFonts w:cs="Arial"/>
                <w:sz w:val="18"/>
                <w:szCs w:val="18"/>
              </w:rPr>
              <w:t>102</w:t>
            </w:r>
          </w:p>
        </w:tc>
        <w:tc>
          <w:tcPr>
            <w:tcW w:w="399" w:type="dxa"/>
            <w:tcBorders>
              <w:bottom w:val="single" w:sz="18" w:space="0" w:color="auto"/>
            </w:tcBorders>
          </w:tcPr>
          <w:p w14:paraId="5D075D8B" w14:textId="77777777" w:rsidR="000923BB" w:rsidRPr="00AC0C56" w:rsidRDefault="000923BB" w:rsidP="003A385F">
            <w:pPr>
              <w:spacing w:after="0" w:line="240" w:lineRule="auto"/>
              <w:jc w:val="both"/>
              <w:rPr>
                <w:rFonts w:cs="Arial"/>
                <w:sz w:val="18"/>
                <w:szCs w:val="18"/>
              </w:rPr>
            </w:pPr>
            <w:r w:rsidRPr="00AC0C56">
              <w:rPr>
                <w:rFonts w:cs="Arial"/>
                <w:sz w:val="18"/>
                <w:szCs w:val="18"/>
              </w:rPr>
              <w:t>3</w:t>
            </w:r>
          </w:p>
        </w:tc>
        <w:tc>
          <w:tcPr>
            <w:tcW w:w="399" w:type="dxa"/>
            <w:tcBorders>
              <w:bottom w:val="single" w:sz="18" w:space="0" w:color="auto"/>
              <w:right w:val="single" w:sz="18" w:space="0" w:color="auto"/>
            </w:tcBorders>
          </w:tcPr>
          <w:p w14:paraId="7E9C8AD0" w14:textId="77777777" w:rsidR="000923BB" w:rsidRPr="00AC0C56" w:rsidRDefault="000923BB" w:rsidP="003A385F">
            <w:pPr>
              <w:spacing w:after="0" w:line="240" w:lineRule="auto"/>
              <w:jc w:val="both"/>
              <w:rPr>
                <w:rFonts w:cs="Arial"/>
                <w:sz w:val="18"/>
                <w:szCs w:val="18"/>
              </w:rPr>
            </w:pPr>
            <w:r w:rsidRPr="00AC0C56">
              <w:rPr>
                <w:rFonts w:cs="Arial"/>
                <w:sz w:val="18"/>
                <w:szCs w:val="18"/>
              </w:rPr>
              <w:t>55</w:t>
            </w:r>
          </w:p>
        </w:tc>
      </w:tr>
    </w:tbl>
    <w:p w14:paraId="7976491E" w14:textId="77777777" w:rsidR="000923BB" w:rsidRDefault="000923BB" w:rsidP="000923BB">
      <w:pPr>
        <w:jc w:val="both"/>
        <w:rPr>
          <w:rFonts w:eastAsia="Arial" w:cs="Arial"/>
        </w:rPr>
      </w:pPr>
    </w:p>
    <w:p w14:paraId="49DFF4BD" w14:textId="77777777" w:rsidR="000923BB" w:rsidRPr="001C5D08" w:rsidRDefault="000923BB" w:rsidP="000923BB">
      <w:pPr>
        <w:jc w:val="both"/>
        <w:rPr>
          <w:rFonts w:cs="Arial"/>
          <w:sz w:val="22"/>
          <w:szCs w:val="22"/>
        </w:rPr>
      </w:pPr>
      <w:r w:rsidRPr="001C5D08">
        <w:rPr>
          <w:rFonts w:eastAsia="Arial" w:cs="Arial"/>
          <w:sz w:val="22"/>
          <w:szCs w:val="22"/>
        </w:rPr>
        <w:t xml:space="preserve">Results in Table 4 show that, </w:t>
      </w:r>
      <w:r w:rsidRPr="001C5D08">
        <w:rPr>
          <w:rFonts w:cs="Arial"/>
          <w:sz w:val="22"/>
          <w:szCs w:val="22"/>
        </w:rPr>
        <w:t>overall, there were more than four times as many explicit comments (judgements) as there were implicit comments.</w:t>
      </w:r>
      <w:r w:rsidRPr="001C5D08">
        <w:rPr>
          <w:rFonts w:eastAsia="Arial" w:cs="Arial"/>
          <w:sz w:val="22"/>
          <w:szCs w:val="22"/>
        </w:rPr>
        <w:t xml:space="preserve"> For the lower overall care scores (one to three) there tended to be a rather higher ratio of implicit (B) judgements than there were for the higher care scores, although the implicit judgements were always in the minority. This tend is confirmed by a significant statistical association between the total number of implicit/explicit judgements of care and the overall care score (</w:t>
      </w:r>
      <w:r w:rsidRPr="001C5D08">
        <w:rPr>
          <w:rFonts w:eastAsia="Arial" w:cs="Arial"/>
          <w:sz w:val="22"/>
          <w:szCs w:val="22"/>
        </w:rPr>
        <w:sym w:font="Symbol" w:char="F063"/>
      </w:r>
      <w:r w:rsidRPr="001C5D08">
        <w:rPr>
          <w:rFonts w:eastAsia="Arial" w:cs="Arial"/>
          <w:sz w:val="22"/>
          <w:szCs w:val="22"/>
          <w:vertAlign w:val="superscript"/>
        </w:rPr>
        <w:t>2</w:t>
      </w:r>
      <w:r w:rsidRPr="001C5D08">
        <w:rPr>
          <w:rFonts w:eastAsia="Arial" w:cs="Arial"/>
          <w:sz w:val="22"/>
          <w:szCs w:val="22"/>
        </w:rPr>
        <w:t>=48.37; df=5; p&lt;0.0001).</w:t>
      </w:r>
      <w:r w:rsidRPr="001C5D08">
        <w:rPr>
          <w:rFonts w:cs="Arial"/>
          <w:sz w:val="22"/>
          <w:szCs w:val="22"/>
        </w:rPr>
        <w:t xml:space="preserve"> Thus the pattern of more explicit comments than implicit comments was seen for all quality of care scores, from one (poor care) to six (best care), indicating that reviewers were on the whole prepared to make explicit judgements where care was poor as well as where care was good. </w:t>
      </w:r>
    </w:p>
    <w:p w14:paraId="2FBCE5C8" w14:textId="77777777" w:rsidR="000923BB" w:rsidRPr="001C5D08" w:rsidRDefault="000923BB" w:rsidP="000923BB">
      <w:pPr>
        <w:jc w:val="both"/>
        <w:rPr>
          <w:rFonts w:cs="Arial"/>
          <w:sz w:val="22"/>
          <w:szCs w:val="22"/>
        </w:rPr>
      </w:pPr>
      <w:r w:rsidRPr="001C5D08">
        <w:rPr>
          <w:rFonts w:cs="Arial"/>
          <w:sz w:val="22"/>
          <w:szCs w:val="22"/>
        </w:rPr>
        <w:t xml:space="preserve">These results suggest that the reviewers were on the whole prepared to make the type of judgements and explicit comments asked of them during training and which would be valuable in a quality of care review. </w:t>
      </w:r>
    </w:p>
    <w:p w14:paraId="7CC7EB71" w14:textId="77777777" w:rsidR="00E5549E" w:rsidRDefault="00E5549E" w:rsidP="000923BB">
      <w:pPr>
        <w:jc w:val="both"/>
        <w:rPr>
          <w:rFonts w:cs="Arial"/>
          <w:b/>
          <w:sz w:val="22"/>
          <w:szCs w:val="22"/>
        </w:rPr>
      </w:pPr>
    </w:p>
    <w:p w14:paraId="1CA03A53" w14:textId="77777777" w:rsidR="00E5549E" w:rsidRDefault="00E5549E" w:rsidP="000923BB">
      <w:pPr>
        <w:jc w:val="both"/>
        <w:rPr>
          <w:rFonts w:cs="Arial"/>
          <w:b/>
          <w:sz w:val="22"/>
          <w:szCs w:val="22"/>
        </w:rPr>
      </w:pPr>
    </w:p>
    <w:p w14:paraId="49EA47C3" w14:textId="77777777" w:rsidR="00E5549E" w:rsidRDefault="00E5549E" w:rsidP="000923BB">
      <w:pPr>
        <w:jc w:val="both"/>
        <w:rPr>
          <w:rFonts w:cs="Arial"/>
          <w:b/>
          <w:sz w:val="22"/>
          <w:szCs w:val="22"/>
        </w:rPr>
      </w:pPr>
    </w:p>
    <w:p w14:paraId="3BCFD3DD" w14:textId="77777777" w:rsidR="00E5549E" w:rsidRDefault="00E5549E" w:rsidP="000923BB">
      <w:pPr>
        <w:jc w:val="both"/>
        <w:rPr>
          <w:rFonts w:cs="Arial"/>
          <w:b/>
          <w:sz w:val="22"/>
          <w:szCs w:val="22"/>
        </w:rPr>
      </w:pPr>
    </w:p>
    <w:p w14:paraId="2EFF9ED3" w14:textId="77777777" w:rsidR="00E5549E" w:rsidRDefault="00E5549E" w:rsidP="000923BB">
      <w:pPr>
        <w:jc w:val="both"/>
        <w:rPr>
          <w:rFonts w:cs="Arial"/>
          <w:b/>
          <w:sz w:val="22"/>
          <w:szCs w:val="22"/>
        </w:rPr>
      </w:pPr>
    </w:p>
    <w:p w14:paraId="1F7CE0D1" w14:textId="77777777" w:rsidR="00E5549E" w:rsidRDefault="00E5549E" w:rsidP="000923BB">
      <w:pPr>
        <w:jc w:val="both"/>
        <w:rPr>
          <w:rFonts w:cs="Arial"/>
          <w:b/>
          <w:sz w:val="22"/>
          <w:szCs w:val="22"/>
        </w:rPr>
      </w:pPr>
    </w:p>
    <w:p w14:paraId="14C97570" w14:textId="77777777" w:rsidR="00E5549E" w:rsidRDefault="00E5549E" w:rsidP="000923BB">
      <w:pPr>
        <w:jc w:val="both"/>
        <w:rPr>
          <w:rFonts w:cs="Arial"/>
          <w:b/>
          <w:sz w:val="22"/>
          <w:szCs w:val="22"/>
        </w:rPr>
      </w:pPr>
    </w:p>
    <w:p w14:paraId="0FAB166B" w14:textId="77777777" w:rsidR="00E5549E" w:rsidRDefault="00E5549E" w:rsidP="000923BB">
      <w:pPr>
        <w:jc w:val="both"/>
        <w:rPr>
          <w:rFonts w:cs="Arial"/>
          <w:b/>
          <w:sz w:val="22"/>
          <w:szCs w:val="22"/>
        </w:rPr>
      </w:pPr>
    </w:p>
    <w:p w14:paraId="3187BA59" w14:textId="77777777" w:rsidR="00E5549E" w:rsidRDefault="00E5549E" w:rsidP="000923BB">
      <w:pPr>
        <w:jc w:val="both"/>
        <w:rPr>
          <w:rFonts w:cs="Arial"/>
          <w:b/>
          <w:sz w:val="22"/>
          <w:szCs w:val="22"/>
        </w:rPr>
      </w:pPr>
    </w:p>
    <w:p w14:paraId="3F04BA01" w14:textId="77777777" w:rsidR="000923BB" w:rsidRPr="001C5D08" w:rsidRDefault="000923BB" w:rsidP="000923BB">
      <w:pPr>
        <w:jc w:val="both"/>
        <w:rPr>
          <w:rFonts w:cs="Arial"/>
          <w:sz w:val="22"/>
          <w:szCs w:val="22"/>
        </w:rPr>
      </w:pPr>
      <w:r w:rsidRPr="001C5D08">
        <w:rPr>
          <w:rFonts w:cs="Arial"/>
          <w:b/>
          <w:sz w:val="22"/>
          <w:szCs w:val="22"/>
        </w:rPr>
        <w:t>Table 4</w:t>
      </w:r>
      <w:r w:rsidRPr="001C5D08">
        <w:rPr>
          <w:rFonts w:cs="Arial"/>
          <w:sz w:val="22"/>
          <w:szCs w:val="22"/>
        </w:rPr>
        <w:t xml:space="preserve"> </w:t>
      </w:r>
      <w:r w:rsidRPr="001C5D08">
        <w:rPr>
          <w:rFonts w:cs="Arial"/>
          <w:b/>
          <w:sz w:val="22"/>
          <w:szCs w:val="22"/>
        </w:rPr>
        <w:t xml:space="preserve">Comparison between implicit/explicit and positive/negative comments </w:t>
      </w:r>
    </w:p>
    <w:tbl>
      <w:tblPr>
        <w:tblW w:w="8080" w:type="dxa"/>
        <w:tblInd w:w="392" w:type="dxa"/>
        <w:tblLayout w:type="fixed"/>
        <w:tblLook w:val="04A0" w:firstRow="1" w:lastRow="0" w:firstColumn="1" w:lastColumn="0" w:noHBand="0" w:noVBand="1"/>
      </w:tblPr>
      <w:tblGrid>
        <w:gridCol w:w="1134"/>
        <w:gridCol w:w="709"/>
        <w:gridCol w:w="850"/>
        <w:gridCol w:w="992"/>
        <w:gridCol w:w="709"/>
        <w:gridCol w:w="709"/>
        <w:gridCol w:w="850"/>
        <w:gridCol w:w="709"/>
        <w:gridCol w:w="567"/>
        <w:gridCol w:w="851"/>
      </w:tblGrid>
      <w:tr w:rsidR="000923BB" w:rsidRPr="00AC0C56" w14:paraId="7BBD405B" w14:textId="77777777" w:rsidTr="00E5549E">
        <w:trPr>
          <w:trHeight w:val="465"/>
        </w:trPr>
        <w:tc>
          <w:tcPr>
            <w:tcW w:w="1134" w:type="dxa"/>
            <w:tcBorders>
              <w:top w:val="single" w:sz="12" w:space="0" w:color="auto"/>
              <w:left w:val="single" w:sz="12" w:space="0" w:color="auto"/>
              <w:bottom w:val="single" w:sz="12" w:space="0" w:color="auto"/>
              <w:right w:val="single" w:sz="12" w:space="0" w:color="auto"/>
            </w:tcBorders>
            <w:shd w:val="clear" w:color="auto" w:fill="auto"/>
            <w:hideMark/>
          </w:tcPr>
          <w:p w14:paraId="336091C1" w14:textId="77777777" w:rsidR="000923BB" w:rsidRPr="00AC0C56" w:rsidRDefault="000923BB" w:rsidP="003A385F">
            <w:pPr>
              <w:spacing w:after="0" w:line="240" w:lineRule="auto"/>
              <w:rPr>
                <w:rFonts w:eastAsia="Times New Roman" w:cs="Arial"/>
                <w:color w:val="000000"/>
                <w:sz w:val="18"/>
                <w:szCs w:val="18"/>
                <w:lang w:eastAsia="en-GB"/>
              </w:rPr>
            </w:pPr>
            <w:r w:rsidRPr="00AC0C56">
              <w:rPr>
                <w:rFonts w:eastAsia="Times New Roman" w:cs="Arial"/>
                <w:color w:val="000000"/>
                <w:sz w:val="18"/>
                <w:szCs w:val="18"/>
                <w:lang w:eastAsia="en-GB"/>
              </w:rPr>
              <w:t>Overall score (N cases)</w:t>
            </w:r>
          </w:p>
        </w:tc>
        <w:tc>
          <w:tcPr>
            <w:tcW w:w="6946" w:type="dxa"/>
            <w:gridSpan w:val="9"/>
            <w:tcBorders>
              <w:top w:val="single" w:sz="12" w:space="0" w:color="auto"/>
              <w:left w:val="single" w:sz="12" w:space="0" w:color="auto"/>
              <w:bottom w:val="single" w:sz="12" w:space="0" w:color="auto"/>
              <w:right w:val="single" w:sz="12" w:space="0" w:color="auto"/>
            </w:tcBorders>
            <w:shd w:val="clear" w:color="auto" w:fill="auto"/>
            <w:hideMark/>
          </w:tcPr>
          <w:p w14:paraId="1AC46757" w14:textId="77777777" w:rsidR="000923BB" w:rsidRPr="00AC0C56" w:rsidRDefault="000923BB" w:rsidP="003A385F">
            <w:pPr>
              <w:spacing w:after="0" w:line="240" w:lineRule="auto"/>
              <w:jc w:val="center"/>
              <w:rPr>
                <w:rFonts w:eastAsia="Times New Roman" w:cs="Arial"/>
                <w:sz w:val="18"/>
                <w:szCs w:val="18"/>
                <w:lang w:eastAsia="en-GB"/>
              </w:rPr>
            </w:pPr>
            <w:r w:rsidRPr="00AC0C56">
              <w:rPr>
                <w:rFonts w:eastAsia="Times New Roman" w:cs="Arial"/>
                <w:sz w:val="18"/>
                <w:szCs w:val="18"/>
                <w:lang w:eastAsia="en-GB"/>
              </w:rPr>
              <w:t>Ratio of explicit (C) to implicit (B) comments</w:t>
            </w:r>
          </w:p>
        </w:tc>
      </w:tr>
      <w:tr w:rsidR="000923BB" w:rsidRPr="00AC0C56" w14:paraId="1034CA8B" w14:textId="77777777" w:rsidTr="00E5549E">
        <w:trPr>
          <w:trHeight w:val="315"/>
        </w:trPr>
        <w:tc>
          <w:tcPr>
            <w:tcW w:w="1134" w:type="dxa"/>
            <w:tcBorders>
              <w:top w:val="nil"/>
              <w:left w:val="single" w:sz="12" w:space="0" w:color="auto"/>
              <w:bottom w:val="single" w:sz="12" w:space="0" w:color="auto"/>
              <w:right w:val="single" w:sz="12" w:space="0" w:color="auto"/>
            </w:tcBorders>
            <w:shd w:val="clear" w:color="auto" w:fill="auto"/>
            <w:hideMark/>
          </w:tcPr>
          <w:p w14:paraId="265AD567" w14:textId="77777777" w:rsidR="000923BB" w:rsidRPr="00AC0C56" w:rsidRDefault="000923BB" w:rsidP="003A385F">
            <w:pPr>
              <w:spacing w:after="0" w:line="240" w:lineRule="auto"/>
              <w:jc w:val="both"/>
              <w:rPr>
                <w:rFonts w:eastAsia="Times New Roman" w:cs="Arial"/>
                <w:color w:val="000000"/>
                <w:sz w:val="18"/>
                <w:szCs w:val="18"/>
                <w:lang w:eastAsia="en-GB"/>
              </w:rPr>
            </w:pPr>
            <w:r w:rsidRPr="00AC0C56">
              <w:rPr>
                <w:rFonts w:eastAsia="Times New Roman" w:cs="Arial"/>
                <w:color w:val="000000"/>
                <w:sz w:val="18"/>
                <w:szCs w:val="18"/>
                <w:lang w:eastAsia="en-GB"/>
              </w:rPr>
              <w:t> </w:t>
            </w:r>
          </w:p>
        </w:tc>
        <w:tc>
          <w:tcPr>
            <w:tcW w:w="2551" w:type="dxa"/>
            <w:gridSpan w:val="3"/>
            <w:tcBorders>
              <w:top w:val="single" w:sz="12" w:space="0" w:color="auto"/>
              <w:left w:val="single" w:sz="12" w:space="0" w:color="auto"/>
              <w:bottom w:val="single" w:sz="12" w:space="0" w:color="auto"/>
              <w:right w:val="single" w:sz="12" w:space="0" w:color="auto"/>
            </w:tcBorders>
            <w:shd w:val="clear" w:color="auto" w:fill="auto"/>
            <w:hideMark/>
          </w:tcPr>
          <w:p w14:paraId="05B98B17" w14:textId="77777777" w:rsidR="000923BB" w:rsidRPr="00AC0C56" w:rsidRDefault="000923BB" w:rsidP="003A385F">
            <w:pPr>
              <w:spacing w:after="0" w:line="240" w:lineRule="auto"/>
              <w:rPr>
                <w:rFonts w:eastAsia="Times New Roman" w:cs="Arial"/>
                <w:sz w:val="18"/>
                <w:szCs w:val="18"/>
                <w:lang w:eastAsia="en-GB"/>
              </w:rPr>
            </w:pPr>
            <w:r w:rsidRPr="00AC0C56">
              <w:rPr>
                <w:rFonts w:eastAsia="Times New Roman" w:cs="Arial"/>
                <w:sz w:val="18"/>
                <w:szCs w:val="18"/>
                <w:lang w:eastAsia="en-GB"/>
              </w:rPr>
              <w:t>Total positive comments</w:t>
            </w:r>
          </w:p>
        </w:tc>
        <w:tc>
          <w:tcPr>
            <w:tcW w:w="2268" w:type="dxa"/>
            <w:gridSpan w:val="3"/>
            <w:tcBorders>
              <w:top w:val="single" w:sz="12" w:space="0" w:color="auto"/>
              <w:left w:val="single" w:sz="12" w:space="0" w:color="auto"/>
              <w:bottom w:val="single" w:sz="12" w:space="0" w:color="auto"/>
              <w:right w:val="single" w:sz="12" w:space="0" w:color="auto"/>
            </w:tcBorders>
            <w:shd w:val="clear" w:color="auto" w:fill="auto"/>
            <w:hideMark/>
          </w:tcPr>
          <w:p w14:paraId="3A19AD73" w14:textId="77777777" w:rsidR="000923BB" w:rsidRPr="00AC0C56" w:rsidRDefault="000923BB" w:rsidP="003A385F">
            <w:pPr>
              <w:spacing w:after="0" w:line="240" w:lineRule="auto"/>
              <w:rPr>
                <w:rFonts w:eastAsia="Times New Roman" w:cs="Arial"/>
                <w:sz w:val="18"/>
                <w:szCs w:val="18"/>
                <w:lang w:eastAsia="en-GB"/>
              </w:rPr>
            </w:pPr>
            <w:r w:rsidRPr="00AC0C56">
              <w:rPr>
                <w:rFonts w:eastAsia="Times New Roman" w:cs="Arial"/>
                <w:sz w:val="18"/>
                <w:szCs w:val="18"/>
                <w:lang w:eastAsia="en-GB"/>
              </w:rPr>
              <w:t>Total negative comments</w:t>
            </w:r>
          </w:p>
        </w:tc>
        <w:tc>
          <w:tcPr>
            <w:tcW w:w="2127" w:type="dxa"/>
            <w:gridSpan w:val="3"/>
            <w:tcBorders>
              <w:top w:val="single" w:sz="12" w:space="0" w:color="auto"/>
              <w:left w:val="single" w:sz="12" w:space="0" w:color="auto"/>
              <w:bottom w:val="single" w:sz="12" w:space="0" w:color="auto"/>
              <w:right w:val="single" w:sz="12" w:space="0" w:color="auto"/>
            </w:tcBorders>
            <w:shd w:val="clear" w:color="auto" w:fill="auto"/>
            <w:hideMark/>
          </w:tcPr>
          <w:p w14:paraId="061FE22F" w14:textId="77777777" w:rsidR="000923BB" w:rsidRPr="00AC0C56" w:rsidRDefault="000923BB" w:rsidP="003A385F">
            <w:pPr>
              <w:spacing w:after="0" w:line="240" w:lineRule="auto"/>
              <w:rPr>
                <w:rFonts w:eastAsia="Times New Roman" w:cs="Arial"/>
                <w:sz w:val="18"/>
                <w:szCs w:val="18"/>
                <w:lang w:eastAsia="en-GB"/>
              </w:rPr>
            </w:pPr>
            <w:r w:rsidRPr="00AC0C56">
              <w:rPr>
                <w:rFonts w:eastAsia="Times New Roman" w:cs="Arial"/>
                <w:sz w:val="18"/>
                <w:szCs w:val="18"/>
                <w:lang w:eastAsia="en-GB"/>
              </w:rPr>
              <w:t>All comments</w:t>
            </w:r>
          </w:p>
        </w:tc>
      </w:tr>
      <w:tr w:rsidR="000923BB" w:rsidRPr="00AC0C56" w14:paraId="5FD8A066" w14:textId="77777777" w:rsidTr="00E5549E">
        <w:trPr>
          <w:trHeight w:val="637"/>
        </w:trPr>
        <w:tc>
          <w:tcPr>
            <w:tcW w:w="1134" w:type="dxa"/>
            <w:tcBorders>
              <w:top w:val="single" w:sz="12" w:space="0" w:color="auto"/>
              <w:left w:val="single" w:sz="12" w:space="0" w:color="auto"/>
              <w:bottom w:val="single" w:sz="12" w:space="0" w:color="auto"/>
              <w:right w:val="single" w:sz="12" w:space="0" w:color="auto"/>
            </w:tcBorders>
            <w:shd w:val="clear" w:color="auto" w:fill="auto"/>
            <w:hideMark/>
          </w:tcPr>
          <w:p w14:paraId="544AE314" w14:textId="77777777" w:rsidR="000923BB" w:rsidRPr="00AC0C56" w:rsidRDefault="000923BB" w:rsidP="003A385F">
            <w:pPr>
              <w:spacing w:after="0" w:line="240" w:lineRule="auto"/>
              <w:jc w:val="both"/>
              <w:rPr>
                <w:rFonts w:eastAsia="Times New Roman" w:cs="Arial"/>
                <w:color w:val="000000"/>
                <w:sz w:val="18"/>
                <w:szCs w:val="18"/>
                <w:lang w:eastAsia="en-GB"/>
              </w:rPr>
            </w:pPr>
            <w:r w:rsidRPr="00AC0C56">
              <w:rPr>
                <w:rFonts w:eastAsia="Times New Roman" w:cs="Arial"/>
                <w:color w:val="000000"/>
                <w:sz w:val="18"/>
                <w:szCs w:val="18"/>
                <w:lang w:eastAsia="en-GB"/>
              </w:rPr>
              <w:t> </w:t>
            </w:r>
          </w:p>
        </w:tc>
        <w:tc>
          <w:tcPr>
            <w:tcW w:w="709" w:type="dxa"/>
            <w:tcBorders>
              <w:top w:val="single" w:sz="12" w:space="0" w:color="auto"/>
              <w:left w:val="single" w:sz="12" w:space="0" w:color="auto"/>
              <w:bottom w:val="single" w:sz="12" w:space="0" w:color="auto"/>
              <w:right w:val="single" w:sz="4" w:space="0" w:color="auto"/>
            </w:tcBorders>
            <w:shd w:val="clear" w:color="auto" w:fill="auto"/>
            <w:hideMark/>
          </w:tcPr>
          <w:p w14:paraId="57F65307" w14:textId="77777777" w:rsidR="000923BB" w:rsidRPr="00AC0C56" w:rsidRDefault="000923BB" w:rsidP="003A385F">
            <w:pPr>
              <w:spacing w:after="0" w:line="240" w:lineRule="auto"/>
              <w:rPr>
                <w:rFonts w:eastAsia="Times New Roman" w:cs="Arial"/>
                <w:sz w:val="18"/>
                <w:szCs w:val="18"/>
                <w:lang w:eastAsia="en-GB"/>
              </w:rPr>
            </w:pPr>
            <w:r w:rsidRPr="00AC0C56">
              <w:rPr>
                <w:rFonts w:eastAsia="Times New Roman" w:cs="Arial"/>
                <w:sz w:val="18"/>
                <w:szCs w:val="18"/>
                <w:lang w:eastAsia="en-GB"/>
              </w:rPr>
              <w:t>B</w:t>
            </w:r>
          </w:p>
        </w:tc>
        <w:tc>
          <w:tcPr>
            <w:tcW w:w="850" w:type="dxa"/>
            <w:tcBorders>
              <w:top w:val="single" w:sz="12" w:space="0" w:color="auto"/>
              <w:left w:val="nil"/>
              <w:bottom w:val="single" w:sz="12" w:space="0" w:color="auto"/>
              <w:right w:val="single" w:sz="4" w:space="0" w:color="auto"/>
            </w:tcBorders>
            <w:shd w:val="clear" w:color="auto" w:fill="auto"/>
            <w:hideMark/>
          </w:tcPr>
          <w:p w14:paraId="1FDC0870" w14:textId="77777777" w:rsidR="000923BB" w:rsidRPr="00AC0C56" w:rsidRDefault="000923BB" w:rsidP="003A385F">
            <w:pPr>
              <w:spacing w:after="0" w:line="240" w:lineRule="auto"/>
              <w:rPr>
                <w:rFonts w:eastAsia="Times New Roman" w:cs="Arial"/>
                <w:sz w:val="18"/>
                <w:szCs w:val="18"/>
                <w:lang w:eastAsia="en-GB"/>
              </w:rPr>
            </w:pPr>
            <w:r w:rsidRPr="00AC0C56">
              <w:rPr>
                <w:rFonts w:eastAsia="Times New Roman" w:cs="Arial"/>
                <w:sz w:val="18"/>
                <w:szCs w:val="18"/>
                <w:lang w:eastAsia="en-GB"/>
              </w:rPr>
              <w:t>C</w:t>
            </w:r>
          </w:p>
        </w:tc>
        <w:tc>
          <w:tcPr>
            <w:tcW w:w="992" w:type="dxa"/>
            <w:tcBorders>
              <w:top w:val="single" w:sz="12" w:space="0" w:color="auto"/>
              <w:left w:val="nil"/>
              <w:bottom w:val="single" w:sz="12" w:space="0" w:color="auto"/>
              <w:right w:val="single" w:sz="12" w:space="0" w:color="auto"/>
            </w:tcBorders>
            <w:shd w:val="clear" w:color="auto" w:fill="auto"/>
            <w:hideMark/>
          </w:tcPr>
          <w:p w14:paraId="573C82CF" w14:textId="77777777" w:rsidR="000923BB" w:rsidRPr="00AC0C56" w:rsidRDefault="000923BB" w:rsidP="003A385F">
            <w:pPr>
              <w:spacing w:after="0" w:line="240" w:lineRule="auto"/>
              <w:rPr>
                <w:rFonts w:eastAsia="Times New Roman" w:cs="Arial"/>
                <w:sz w:val="18"/>
                <w:szCs w:val="18"/>
                <w:lang w:eastAsia="en-GB"/>
              </w:rPr>
            </w:pPr>
            <w:r w:rsidRPr="00AC0C56">
              <w:rPr>
                <w:rFonts w:eastAsia="Times New Roman" w:cs="Arial"/>
                <w:sz w:val="18"/>
                <w:szCs w:val="18"/>
                <w:lang w:eastAsia="en-GB"/>
              </w:rPr>
              <w:t>Ratio C to B</w:t>
            </w:r>
          </w:p>
        </w:tc>
        <w:tc>
          <w:tcPr>
            <w:tcW w:w="709" w:type="dxa"/>
            <w:tcBorders>
              <w:top w:val="single" w:sz="12" w:space="0" w:color="auto"/>
              <w:left w:val="single" w:sz="12" w:space="0" w:color="auto"/>
              <w:bottom w:val="single" w:sz="12" w:space="0" w:color="auto"/>
              <w:right w:val="single" w:sz="4" w:space="0" w:color="auto"/>
            </w:tcBorders>
            <w:shd w:val="clear" w:color="auto" w:fill="auto"/>
            <w:hideMark/>
          </w:tcPr>
          <w:p w14:paraId="47731C09" w14:textId="77777777" w:rsidR="000923BB" w:rsidRPr="00AC0C56" w:rsidRDefault="000923BB" w:rsidP="003A385F">
            <w:pPr>
              <w:spacing w:after="0" w:line="240" w:lineRule="auto"/>
              <w:rPr>
                <w:rFonts w:eastAsia="Times New Roman" w:cs="Arial"/>
                <w:sz w:val="18"/>
                <w:szCs w:val="18"/>
                <w:lang w:eastAsia="en-GB"/>
              </w:rPr>
            </w:pPr>
            <w:r w:rsidRPr="00AC0C56">
              <w:rPr>
                <w:rFonts w:eastAsia="Times New Roman" w:cs="Arial"/>
                <w:sz w:val="18"/>
                <w:szCs w:val="18"/>
                <w:lang w:eastAsia="en-GB"/>
              </w:rPr>
              <w:t>B</w:t>
            </w:r>
          </w:p>
        </w:tc>
        <w:tc>
          <w:tcPr>
            <w:tcW w:w="709" w:type="dxa"/>
            <w:tcBorders>
              <w:top w:val="single" w:sz="12" w:space="0" w:color="auto"/>
              <w:left w:val="nil"/>
              <w:bottom w:val="single" w:sz="12" w:space="0" w:color="auto"/>
              <w:right w:val="single" w:sz="4" w:space="0" w:color="auto"/>
            </w:tcBorders>
            <w:shd w:val="clear" w:color="auto" w:fill="auto"/>
            <w:hideMark/>
          </w:tcPr>
          <w:p w14:paraId="26076122" w14:textId="77777777" w:rsidR="000923BB" w:rsidRPr="00AC0C56" w:rsidRDefault="000923BB" w:rsidP="003A385F">
            <w:pPr>
              <w:spacing w:after="0" w:line="240" w:lineRule="auto"/>
              <w:rPr>
                <w:rFonts w:eastAsia="Times New Roman" w:cs="Arial"/>
                <w:sz w:val="18"/>
                <w:szCs w:val="18"/>
                <w:lang w:eastAsia="en-GB"/>
              </w:rPr>
            </w:pPr>
            <w:r w:rsidRPr="00AC0C56">
              <w:rPr>
                <w:rFonts w:eastAsia="Times New Roman" w:cs="Arial"/>
                <w:sz w:val="18"/>
                <w:szCs w:val="18"/>
                <w:lang w:eastAsia="en-GB"/>
              </w:rPr>
              <w:t>C</w:t>
            </w:r>
          </w:p>
        </w:tc>
        <w:tc>
          <w:tcPr>
            <w:tcW w:w="850" w:type="dxa"/>
            <w:tcBorders>
              <w:top w:val="single" w:sz="12" w:space="0" w:color="auto"/>
              <w:left w:val="nil"/>
              <w:bottom w:val="single" w:sz="12" w:space="0" w:color="auto"/>
              <w:right w:val="single" w:sz="12" w:space="0" w:color="auto"/>
            </w:tcBorders>
            <w:shd w:val="clear" w:color="auto" w:fill="auto"/>
            <w:hideMark/>
          </w:tcPr>
          <w:p w14:paraId="0426235B" w14:textId="77777777" w:rsidR="000923BB" w:rsidRPr="00AC0C56" w:rsidRDefault="000923BB" w:rsidP="003A385F">
            <w:pPr>
              <w:spacing w:after="0" w:line="240" w:lineRule="auto"/>
              <w:rPr>
                <w:rFonts w:eastAsia="Times New Roman" w:cs="Arial"/>
                <w:sz w:val="18"/>
                <w:szCs w:val="18"/>
                <w:lang w:eastAsia="en-GB"/>
              </w:rPr>
            </w:pPr>
            <w:r w:rsidRPr="00AC0C56">
              <w:rPr>
                <w:rFonts w:eastAsia="Times New Roman" w:cs="Arial"/>
                <w:sz w:val="18"/>
                <w:szCs w:val="18"/>
                <w:lang w:eastAsia="en-GB"/>
              </w:rPr>
              <w:t>Ratio C to B</w:t>
            </w:r>
          </w:p>
        </w:tc>
        <w:tc>
          <w:tcPr>
            <w:tcW w:w="709" w:type="dxa"/>
            <w:tcBorders>
              <w:top w:val="single" w:sz="12" w:space="0" w:color="auto"/>
              <w:left w:val="single" w:sz="12" w:space="0" w:color="auto"/>
              <w:bottom w:val="single" w:sz="12" w:space="0" w:color="auto"/>
              <w:right w:val="single" w:sz="4" w:space="0" w:color="auto"/>
            </w:tcBorders>
            <w:shd w:val="clear" w:color="auto" w:fill="auto"/>
            <w:hideMark/>
          </w:tcPr>
          <w:p w14:paraId="462710E8" w14:textId="77777777" w:rsidR="000923BB" w:rsidRPr="00AC0C56" w:rsidRDefault="000923BB" w:rsidP="003A385F">
            <w:pPr>
              <w:spacing w:after="0" w:line="240" w:lineRule="auto"/>
              <w:rPr>
                <w:rFonts w:eastAsia="Times New Roman" w:cs="Arial"/>
                <w:sz w:val="18"/>
                <w:szCs w:val="18"/>
                <w:lang w:eastAsia="en-GB"/>
              </w:rPr>
            </w:pPr>
            <w:r w:rsidRPr="00AC0C56">
              <w:rPr>
                <w:rFonts w:eastAsia="Times New Roman" w:cs="Arial"/>
                <w:sz w:val="18"/>
                <w:szCs w:val="18"/>
                <w:lang w:eastAsia="en-GB"/>
              </w:rPr>
              <w:t>B</w:t>
            </w:r>
          </w:p>
        </w:tc>
        <w:tc>
          <w:tcPr>
            <w:tcW w:w="567" w:type="dxa"/>
            <w:tcBorders>
              <w:top w:val="single" w:sz="12" w:space="0" w:color="auto"/>
              <w:left w:val="single" w:sz="4" w:space="0" w:color="auto"/>
              <w:bottom w:val="single" w:sz="12" w:space="0" w:color="auto"/>
              <w:right w:val="single" w:sz="4" w:space="0" w:color="auto"/>
            </w:tcBorders>
            <w:shd w:val="clear" w:color="auto" w:fill="auto"/>
            <w:hideMark/>
          </w:tcPr>
          <w:p w14:paraId="63C06C9F" w14:textId="77777777" w:rsidR="000923BB" w:rsidRPr="00AC0C56" w:rsidRDefault="000923BB" w:rsidP="003A385F">
            <w:pPr>
              <w:spacing w:after="0" w:line="240" w:lineRule="auto"/>
              <w:rPr>
                <w:rFonts w:eastAsia="Times New Roman" w:cs="Arial"/>
                <w:sz w:val="18"/>
                <w:szCs w:val="18"/>
                <w:lang w:eastAsia="en-GB"/>
              </w:rPr>
            </w:pPr>
            <w:r w:rsidRPr="00AC0C56">
              <w:rPr>
                <w:rFonts w:eastAsia="Times New Roman" w:cs="Arial"/>
                <w:sz w:val="18"/>
                <w:szCs w:val="18"/>
                <w:lang w:eastAsia="en-GB"/>
              </w:rPr>
              <w:t>C</w:t>
            </w:r>
          </w:p>
        </w:tc>
        <w:tc>
          <w:tcPr>
            <w:tcW w:w="851" w:type="dxa"/>
            <w:tcBorders>
              <w:top w:val="single" w:sz="12" w:space="0" w:color="auto"/>
              <w:left w:val="single" w:sz="4" w:space="0" w:color="auto"/>
              <w:bottom w:val="single" w:sz="12" w:space="0" w:color="auto"/>
              <w:right w:val="single" w:sz="12" w:space="0" w:color="auto"/>
            </w:tcBorders>
            <w:shd w:val="clear" w:color="auto" w:fill="auto"/>
            <w:hideMark/>
          </w:tcPr>
          <w:p w14:paraId="6813EF85" w14:textId="77777777" w:rsidR="000923BB" w:rsidRPr="00AC0C56" w:rsidRDefault="000923BB" w:rsidP="003A385F">
            <w:pPr>
              <w:spacing w:after="0" w:line="240" w:lineRule="auto"/>
              <w:rPr>
                <w:rFonts w:eastAsia="Times New Roman" w:cs="Arial"/>
                <w:sz w:val="18"/>
                <w:szCs w:val="18"/>
                <w:lang w:eastAsia="en-GB"/>
              </w:rPr>
            </w:pPr>
            <w:r w:rsidRPr="00AC0C56">
              <w:rPr>
                <w:rFonts w:eastAsia="Times New Roman" w:cs="Arial"/>
                <w:sz w:val="18"/>
                <w:szCs w:val="18"/>
                <w:lang w:eastAsia="en-GB"/>
              </w:rPr>
              <w:t>Ratio C to B</w:t>
            </w:r>
          </w:p>
        </w:tc>
      </w:tr>
      <w:tr w:rsidR="000923BB" w:rsidRPr="00AC0C56" w14:paraId="1A007458" w14:textId="77777777" w:rsidTr="00E5549E">
        <w:trPr>
          <w:trHeight w:val="300"/>
        </w:trPr>
        <w:tc>
          <w:tcPr>
            <w:tcW w:w="1134" w:type="dxa"/>
            <w:tcBorders>
              <w:top w:val="single" w:sz="12" w:space="0" w:color="auto"/>
              <w:left w:val="single" w:sz="12" w:space="0" w:color="auto"/>
              <w:bottom w:val="single" w:sz="4" w:space="0" w:color="auto"/>
              <w:right w:val="single" w:sz="12" w:space="0" w:color="auto"/>
            </w:tcBorders>
            <w:shd w:val="clear" w:color="auto" w:fill="auto"/>
            <w:hideMark/>
          </w:tcPr>
          <w:p w14:paraId="148E5627" w14:textId="77777777" w:rsidR="000923BB" w:rsidRPr="00AC0C56" w:rsidRDefault="000923BB" w:rsidP="003A385F">
            <w:pPr>
              <w:spacing w:after="0" w:line="240" w:lineRule="auto"/>
              <w:jc w:val="both"/>
              <w:rPr>
                <w:rFonts w:eastAsia="Times New Roman" w:cs="Arial"/>
                <w:color w:val="000000"/>
                <w:sz w:val="18"/>
                <w:szCs w:val="18"/>
                <w:lang w:eastAsia="en-GB"/>
              </w:rPr>
            </w:pPr>
            <w:r w:rsidRPr="00AC0C56">
              <w:rPr>
                <w:rFonts w:eastAsia="Times New Roman" w:cs="Arial"/>
                <w:color w:val="000000"/>
                <w:sz w:val="18"/>
                <w:szCs w:val="18"/>
                <w:lang w:eastAsia="en-GB"/>
              </w:rPr>
              <w:t>1 (5)</w:t>
            </w:r>
          </w:p>
        </w:tc>
        <w:tc>
          <w:tcPr>
            <w:tcW w:w="709" w:type="dxa"/>
            <w:tcBorders>
              <w:top w:val="single" w:sz="12" w:space="0" w:color="auto"/>
              <w:left w:val="single" w:sz="12" w:space="0" w:color="auto"/>
              <w:bottom w:val="single" w:sz="4" w:space="0" w:color="auto"/>
              <w:right w:val="single" w:sz="4" w:space="0" w:color="auto"/>
            </w:tcBorders>
            <w:shd w:val="clear" w:color="auto" w:fill="auto"/>
            <w:hideMark/>
          </w:tcPr>
          <w:p w14:paraId="338BDBA1"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4</w:t>
            </w:r>
          </w:p>
        </w:tc>
        <w:tc>
          <w:tcPr>
            <w:tcW w:w="850" w:type="dxa"/>
            <w:tcBorders>
              <w:top w:val="single" w:sz="12" w:space="0" w:color="auto"/>
              <w:left w:val="single" w:sz="8" w:space="0" w:color="auto"/>
              <w:bottom w:val="single" w:sz="4" w:space="0" w:color="auto"/>
              <w:right w:val="single" w:sz="4" w:space="0" w:color="auto"/>
            </w:tcBorders>
            <w:shd w:val="clear" w:color="auto" w:fill="auto"/>
            <w:hideMark/>
          </w:tcPr>
          <w:p w14:paraId="17757194"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9</w:t>
            </w:r>
          </w:p>
        </w:tc>
        <w:tc>
          <w:tcPr>
            <w:tcW w:w="992" w:type="dxa"/>
            <w:tcBorders>
              <w:top w:val="single" w:sz="12" w:space="0" w:color="auto"/>
              <w:left w:val="single" w:sz="8" w:space="0" w:color="auto"/>
              <w:bottom w:val="single" w:sz="4" w:space="0" w:color="auto"/>
              <w:right w:val="single" w:sz="12" w:space="0" w:color="auto"/>
            </w:tcBorders>
            <w:shd w:val="clear" w:color="auto" w:fill="auto"/>
            <w:hideMark/>
          </w:tcPr>
          <w:p w14:paraId="0F92F630"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2.25</w:t>
            </w:r>
          </w:p>
        </w:tc>
        <w:tc>
          <w:tcPr>
            <w:tcW w:w="709" w:type="dxa"/>
            <w:tcBorders>
              <w:top w:val="single" w:sz="12" w:space="0" w:color="auto"/>
              <w:left w:val="single" w:sz="12" w:space="0" w:color="auto"/>
              <w:bottom w:val="single" w:sz="4" w:space="0" w:color="auto"/>
              <w:right w:val="single" w:sz="4" w:space="0" w:color="auto"/>
            </w:tcBorders>
            <w:shd w:val="clear" w:color="auto" w:fill="auto"/>
            <w:hideMark/>
          </w:tcPr>
          <w:p w14:paraId="13FB447D"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19</w:t>
            </w:r>
          </w:p>
        </w:tc>
        <w:tc>
          <w:tcPr>
            <w:tcW w:w="709" w:type="dxa"/>
            <w:tcBorders>
              <w:top w:val="single" w:sz="12" w:space="0" w:color="auto"/>
              <w:left w:val="single" w:sz="8" w:space="0" w:color="auto"/>
              <w:bottom w:val="single" w:sz="4" w:space="0" w:color="auto"/>
              <w:right w:val="nil"/>
            </w:tcBorders>
            <w:shd w:val="clear" w:color="auto" w:fill="auto"/>
            <w:hideMark/>
          </w:tcPr>
          <w:p w14:paraId="297F39F7"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27</w:t>
            </w:r>
          </w:p>
        </w:tc>
        <w:tc>
          <w:tcPr>
            <w:tcW w:w="850" w:type="dxa"/>
            <w:tcBorders>
              <w:top w:val="single" w:sz="12" w:space="0" w:color="auto"/>
              <w:left w:val="single" w:sz="8" w:space="0" w:color="auto"/>
              <w:bottom w:val="single" w:sz="4" w:space="0" w:color="auto"/>
              <w:right w:val="single" w:sz="12" w:space="0" w:color="auto"/>
            </w:tcBorders>
            <w:shd w:val="clear" w:color="auto" w:fill="auto"/>
            <w:hideMark/>
          </w:tcPr>
          <w:p w14:paraId="10DF884F"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1.42</w:t>
            </w:r>
          </w:p>
        </w:tc>
        <w:tc>
          <w:tcPr>
            <w:tcW w:w="709" w:type="dxa"/>
            <w:tcBorders>
              <w:top w:val="single" w:sz="12" w:space="0" w:color="auto"/>
              <w:left w:val="single" w:sz="12" w:space="0" w:color="auto"/>
              <w:bottom w:val="single" w:sz="4" w:space="0" w:color="auto"/>
              <w:right w:val="single" w:sz="4" w:space="0" w:color="auto"/>
            </w:tcBorders>
            <w:shd w:val="clear" w:color="auto" w:fill="auto"/>
            <w:hideMark/>
          </w:tcPr>
          <w:p w14:paraId="6A7CEE6D"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23</w:t>
            </w:r>
          </w:p>
        </w:tc>
        <w:tc>
          <w:tcPr>
            <w:tcW w:w="567" w:type="dxa"/>
            <w:tcBorders>
              <w:top w:val="single" w:sz="12" w:space="0" w:color="auto"/>
              <w:left w:val="single" w:sz="8" w:space="0" w:color="auto"/>
              <w:bottom w:val="single" w:sz="4" w:space="0" w:color="auto"/>
              <w:right w:val="single" w:sz="4" w:space="0" w:color="auto"/>
            </w:tcBorders>
            <w:shd w:val="clear" w:color="auto" w:fill="auto"/>
            <w:hideMark/>
          </w:tcPr>
          <w:p w14:paraId="55D3C07C"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36</w:t>
            </w:r>
          </w:p>
        </w:tc>
        <w:tc>
          <w:tcPr>
            <w:tcW w:w="851" w:type="dxa"/>
            <w:tcBorders>
              <w:top w:val="single" w:sz="12" w:space="0" w:color="auto"/>
              <w:left w:val="nil"/>
              <w:bottom w:val="single" w:sz="4" w:space="0" w:color="auto"/>
              <w:right w:val="single" w:sz="12" w:space="0" w:color="auto"/>
            </w:tcBorders>
            <w:shd w:val="clear" w:color="auto" w:fill="auto"/>
            <w:hideMark/>
          </w:tcPr>
          <w:p w14:paraId="378C3CAC"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1.57</w:t>
            </w:r>
          </w:p>
        </w:tc>
      </w:tr>
      <w:tr w:rsidR="000923BB" w:rsidRPr="00AC0C56" w14:paraId="53AE053A" w14:textId="77777777" w:rsidTr="00E5549E">
        <w:trPr>
          <w:trHeight w:val="300"/>
        </w:trPr>
        <w:tc>
          <w:tcPr>
            <w:tcW w:w="1134" w:type="dxa"/>
            <w:tcBorders>
              <w:top w:val="nil"/>
              <w:left w:val="single" w:sz="12" w:space="0" w:color="auto"/>
              <w:bottom w:val="single" w:sz="4" w:space="0" w:color="auto"/>
              <w:right w:val="single" w:sz="12" w:space="0" w:color="auto"/>
            </w:tcBorders>
            <w:shd w:val="clear" w:color="auto" w:fill="auto"/>
            <w:hideMark/>
          </w:tcPr>
          <w:p w14:paraId="1E7C0FFD" w14:textId="77777777" w:rsidR="000923BB" w:rsidRPr="00AC0C56" w:rsidRDefault="000923BB" w:rsidP="003A385F">
            <w:pPr>
              <w:spacing w:after="0" w:line="240" w:lineRule="auto"/>
              <w:jc w:val="both"/>
              <w:rPr>
                <w:rFonts w:eastAsia="Times New Roman" w:cs="Arial"/>
                <w:color w:val="000000"/>
                <w:sz w:val="18"/>
                <w:szCs w:val="18"/>
                <w:lang w:eastAsia="en-GB"/>
              </w:rPr>
            </w:pPr>
            <w:r w:rsidRPr="00AC0C56">
              <w:rPr>
                <w:rFonts w:eastAsia="Times New Roman" w:cs="Arial"/>
                <w:color w:val="000000"/>
                <w:sz w:val="18"/>
                <w:szCs w:val="18"/>
                <w:lang w:eastAsia="en-GB"/>
              </w:rPr>
              <w:t>2 (3)</w:t>
            </w:r>
          </w:p>
        </w:tc>
        <w:tc>
          <w:tcPr>
            <w:tcW w:w="709" w:type="dxa"/>
            <w:tcBorders>
              <w:top w:val="nil"/>
              <w:left w:val="single" w:sz="12" w:space="0" w:color="auto"/>
              <w:bottom w:val="single" w:sz="4" w:space="0" w:color="auto"/>
              <w:right w:val="single" w:sz="4" w:space="0" w:color="auto"/>
            </w:tcBorders>
            <w:shd w:val="clear" w:color="auto" w:fill="auto"/>
            <w:hideMark/>
          </w:tcPr>
          <w:p w14:paraId="187E2358"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3</w:t>
            </w:r>
          </w:p>
        </w:tc>
        <w:tc>
          <w:tcPr>
            <w:tcW w:w="850" w:type="dxa"/>
            <w:tcBorders>
              <w:top w:val="nil"/>
              <w:left w:val="single" w:sz="8" w:space="0" w:color="auto"/>
              <w:bottom w:val="single" w:sz="4" w:space="0" w:color="auto"/>
              <w:right w:val="single" w:sz="4" w:space="0" w:color="auto"/>
            </w:tcBorders>
            <w:shd w:val="clear" w:color="auto" w:fill="auto"/>
            <w:hideMark/>
          </w:tcPr>
          <w:p w14:paraId="3A1EB6EB"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3</w:t>
            </w:r>
          </w:p>
        </w:tc>
        <w:tc>
          <w:tcPr>
            <w:tcW w:w="992" w:type="dxa"/>
            <w:tcBorders>
              <w:top w:val="nil"/>
              <w:left w:val="single" w:sz="8" w:space="0" w:color="auto"/>
              <w:bottom w:val="single" w:sz="4" w:space="0" w:color="auto"/>
              <w:right w:val="single" w:sz="12" w:space="0" w:color="auto"/>
            </w:tcBorders>
            <w:shd w:val="clear" w:color="auto" w:fill="auto"/>
            <w:hideMark/>
          </w:tcPr>
          <w:p w14:paraId="475C27F1"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1.00</w:t>
            </w:r>
          </w:p>
        </w:tc>
        <w:tc>
          <w:tcPr>
            <w:tcW w:w="709" w:type="dxa"/>
            <w:tcBorders>
              <w:top w:val="nil"/>
              <w:left w:val="single" w:sz="12" w:space="0" w:color="auto"/>
              <w:bottom w:val="single" w:sz="4" w:space="0" w:color="auto"/>
              <w:right w:val="single" w:sz="4" w:space="0" w:color="auto"/>
            </w:tcBorders>
            <w:shd w:val="clear" w:color="auto" w:fill="auto"/>
            <w:hideMark/>
          </w:tcPr>
          <w:p w14:paraId="357528D6"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8</w:t>
            </w:r>
          </w:p>
        </w:tc>
        <w:tc>
          <w:tcPr>
            <w:tcW w:w="709" w:type="dxa"/>
            <w:tcBorders>
              <w:top w:val="nil"/>
              <w:left w:val="single" w:sz="8" w:space="0" w:color="auto"/>
              <w:bottom w:val="single" w:sz="4" w:space="0" w:color="auto"/>
              <w:right w:val="nil"/>
            </w:tcBorders>
            <w:shd w:val="clear" w:color="auto" w:fill="auto"/>
            <w:hideMark/>
          </w:tcPr>
          <w:p w14:paraId="6AAC5CE0"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18</w:t>
            </w:r>
          </w:p>
        </w:tc>
        <w:tc>
          <w:tcPr>
            <w:tcW w:w="850" w:type="dxa"/>
            <w:tcBorders>
              <w:top w:val="nil"/>
              <w:left w:val="single" w:sz="8" w:space="0" w:color="auto"/>
              <w:bottom w:val="single" w:sz="4" w:space="0" w:color="auto"/>
              <w:right w:val="single" w:sz="12" w:space="0" w:color="auto"/>
            </w:tcBorders>
            <w:shd w:val="clear" w:color="auto" w:fill="auto"/>
            <w:hideMark/>
          </w:tcPr>
          <w:p w14:paraId="7173F3FC"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2.25</w:t>
            </w:r>
          </w:p>
        </w:tc>
        <w:tc>
          <w:tcPr>
            <w:tcW w:w="709" w:type="dxa"/>
            <w:tcBorders>
              <w:top w:val="nil"/>
              <w:left w:val="single" w:sz="12" w:space="0" w:color="auto"/>
              <w:bottom w:val="single" w:sz="4" w:space="0" w:color="auto"/>
              <w:right w:val="single" w:sz="4" w:space="0" w:color="auto"/>
            </w:tcBorders>
            <w:shd w:val="clear" w:color="auto" w:fill="auto"/>
            <w:hideMark/>
          </w:tcPr>
          <w:p w14:paraId="0863F8FF"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11</w:t>
            </w:r>
          </w:p>
        </w:tc>
        <w:tc>
          <w:tcPr>
            <w:tcW w:w="567" w:type="dxa"/>
            <w:tcBorders>
              <w:top w:val="nil"/>
              <w:left w:val="single" w:sz="8" w:space="0" w:color="auto"/>
              <w:bottom w:val="single" w:sz="4" w:space="0" w:color="auto"/>
              <w:right w:val="single" w:sz="4" w:space="0" w:color="auto"/>
            </w:tcBorders>
            <w:shd w:val="clear" w:color="auto" w:fill="auto"/>
            <w:hideMark/>
          </w:tcPr>
          <w:p w14:paraId="7E53F838"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21</w:t>
            </w:r>
          </w:p>
        </w:tc>
        <w:tc>
          <w:tcPr>
            <w:tcW w:w="851" w:type="dxa"/>
            <w:tcBorders>
              <w:top w:val="nil"/>
              <w:left w:val="nil"/>
              <w:bottom w:val="single" w:sz="4" w:space="0" w:color="auto"/>
              <w:right w:val="single" w:sz="12" w:space="0" w:color="auto"/>
            </w:tcBorders>
            <w:shd w:val="clear" w:color="auto" w:fill="auto"/>
            <w:hideMark/>
          </w:tcPr>
          <w:p w14:paraId="76667546"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1.91</w:t>
            </w:r>
          </w:p>
        </w:tc>
      </w:tr>
      <w:tr w:rsidR="000923BB" w:rsidRPr="00AC0C56" w14:paraId="4D9DD3B1" w14:textId="77777777" w:rsidTr="00E5549E">
        <w:trPr>
          <w:trHeight w:val="300"/>
        </w:trPr>
        <w:tc>
          <w:tcPr>
            <w:tcW w:w="1134" w:type="dxa"/>
            <w:tcBorders>
              <w:top w:val="nil"/>
              <w:left w:val="single" w:sz="12" w:space="0" w:color="auto"/>
              <w:bottom w:val="single" w:sz="4" w:space="0" w:color="auto"/>
              <w:right w:val="single" w:sz="12" w:space="0" w:color="auto"/>
            </w:tcBorders>
            <w:shd w:val="clear" w:color="auto" w:fill="auto"/>
            <w:hideMark/>
          </w:tcPr>
          <w:p w14:paraId="560B5337" w14:textId="77777777" w:rsidR="000923BB" w:rsidRPr="00AC0C56" w:rsidRDefault="000923BB" w:rsidP="003A385F">
            <w:pPr>
              <w:spacing w:after="0" w:line="240" w:lineRule="auto"/>
              <w:jc w:val="both"/>
              <w:rPr>
                <w:rFonts w:eastAsia="Times New Roman" w:cs="Arial"/>
                <w:color w:val="000000"/>
                <w:sz w:val="18"/>
                <w:szCs w:val="18"/>
                <w:lang w:eastAsia="en-GB"/>
              </w:rPr>
            </w:pPr>
            <w:r w:rsidRPr="00AC0C56">
              <w:rPr>
                <w:rFonts w:eastAsia="Times New Roman" w:cs="Arial"/>
                <w:color w:val="000000"/>
                <w:sz w:val="18"/>
                <w:szCs w:val="18"/>
                <w:lang w:eastAsia="en-GB"/>
              </w:rPr>
              <w:t>3 (13)</w:t>
            </w:r>
          </w:p>
        </w:tc>
        <w:tc>
          <w:tcPr>
            <w:tcW w:w="709" w:type="dxa"/>
            <w:tcBorders>
              <w:top w:val="nil"/>
              <w:left w:val="single" w:sz="12" w:space="0" w:color="auto"/>
              <w:bottom w:val="single" w:sz="4" w:space="0" w:color="auto"/>
              <w:right w:val="single" w:sz="4" w:space="0" w:color="auto"/>
            </w:tcBorders>
            <w:shd w:val="clear" w:color="auto" w:fill="auto"/>
            <w:hideMark/>
          </w:tcPr>
          <w:p w14:paraId="0B845A52"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6</w:t>
            </w:r>
          </w:p>
        </w:tc>
        <w:tc>
          <w:tcPr>
            <w:tcW w:w="850" w:type="dxa"/>
            <w:tcBorders>
              <w:top w:val="nil"/>
              <w:left w:val="single" w:sz="8" w:space="0" w:color="auto"/>
              <w:bottom w:val="single" w:sz="4" w:space="0" w:color="auto"/>
              <w:right w:val="single" w:sz="4" w:space="0" w:color="auto"/>
            </w:tcBorders>
            <w:shd w:val="clear" w:color="auto" w:fill="auto"/>
            <w:hideMark/>
          </w:tcPr>
          <w:p w14:paraId="6F89C07F"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23</w:t>
            </w:r>
          </w:p>
        </w:tc>
        <w:tc>
          <w:tcPr>
            <w:tcW w:w="992" w:type="dxa"/>
            <w:tcBorders>
              <w:top w:val="nil"/>
              <w:left w:val="single" w:sz="8" w:space="0" w:color="auto"/>
              <w:bottom w:val="single" w:sz="4" w:space="0" w:color="auto"/>
              <w:right w:val="single" w:sz="12" w:space="0" w:color="auto"/>
            </w:tcBorders>
            <w:shd w:val="clear" w:color="auto" w:fill="auto"/>
            <w:hideMark/>
          </w:tcPr>
          <w:p w14:paraId="12AAB7A2"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3.83</w:t>
            </w:r>
          </w:p>
        </w:tc>
        <w:tc>
          <w:tcPr>
            <w:tcW w:w="709" w:type="dxa"/>
            <w:tcBorders>
              <w:top w:val="nil"/>
              <w:left w:val="single" w:sz="12" w:space="0" w:color="auto"/>
              <w:bottom w:val="single" w:sz="4" w:space="0" w:color="auto"/>
              <w:right w:val="single" w:sz="4" w:space="0" w:color="auto"/>
            </w:tcBorders>
            <w:shd w:val="clear" w:color="auto" w:fill="auto"/>
            <w:hideMark/>
          </w:tcPr>
          <w:p w14:paraId="3A53801E"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17</w:t>
            </w:r>
          </w:p>
        </w:tc>
        <w:tc>
          <w:tcPr>
            <w:tcW w:w="709" w:type="dxa"/>
            <w:tcBorders>
              <w:top w:val="nil"/>
              <w:left w:val="single" w:sz="8" w:space="0" w:color="auto"/>
              <w:bottom w:val="single" w:sz="4" w:space="0" w:color="auto"/>
              <w:right w:val="nil"/>
            </w:tcBorders>
            <w:shd w:val="clear" w:color="auto" w:fill="auto"/>
            <w:hideMark/>
          </w:tcPr>
          <w:p w14:paraId="3066D691"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43</w:t>
            </w:r>
          </w:p>
        </w:tc>
        <w:tc>
          <w:tcPr>
            <w:tcW w:w="850" w:type="dxa"/>
            <w:tcBorders>
              <w:top w:val="nil"/>
              <w:left w:val="single" w:sz="8" w:space="0" w:color="auto"/>
              <w:bottom w:val="single" w:sz="4" w:space="0" w:color="auto"/>
              <w:right w:val="single" w:sz="12" w:space="0" w:color="auto"/>
            </w:tcBorders>
            <w:shd w:val="clear" w:color="auto" w:fill="auto"/>
            <w:hideMark/>
          </w:tcPr>
          <w:p w14:paraId="74424014"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2.53</w:t>
            </w:r>
          </w:p>
        </w:tc>
        <w:tc>
          <w:tcPr>
            <w:tcW w:w="709" w:type="dxa"/>
            <w:tcBorders>
              <w:top w:val="nil"/>
              <w:left w:val="single" w:sz="12" w:space="0" w:color="auto"/>
              <w:bottom w:val="single" w:sz="4" w:space="0" w:color="auto"/>
              <w:right w:val="single" w:sz="4" w:space="0" w:color="auto"/>
            </w:tcBorders>
            <w:shd w:val="clear" w:color="auto" w:fill="auto"/>
            <w:hideMark/>
          </w:tcPr>
          <w:p w14:paraId="2CA14371"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23</w:t>
            </w:r>
          </w:p>
        </w:tc>
        <w:tc>
          <w:tcPr>
            <w:tcW w:w="567" w:type="dxa"/>
            <w:tcBorders>
              <w:top w:val="nil"/>
              <w:left w:val="single" w:sz="8" w:space="0" w:color="auto"/>
              <w:bottom w:val="single" w:sz="4" w:space="0" w:color="auto"/>
              <w:right w:val="single" w:sz="4" w:space="0" w:color="auto"/>
            </w:tcBorders>
            <w:shd w:val="clear" w:color="auto" w:fill="auto"/>
            <w:hideMark/>
          </w:tcPr>
          <w:p w14:paraId="41A50969"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66</w:t>
            </w:r>
          </w:p>
        </w:tc>
        <w:tc>
          <w:tcPr>
            <w:tcW w:w="851" w:type="dxa"/>
            <w:tcBorders>
              <w:top w:val="nil"/>
              <w:left w:val="nil"/>
              <w:bottom w:val="single" w:sz="4" w:space="0" w:color="auto"/>
              <w:right w:val="single" w:sz="12" w:space="0" w:color="auto"/>
            </w:tcBorders>
            <w:shd w:val="clear" w:color="auto" w:fill="auto"/>
            <w:hideMark/>
          </w:tcPr>
          <w:p w14:paraId="7366E64B"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2.87</w:t>
            </w:r>
          </w:p>
        </w:tc>
      </w:tr>
      <w:tr w:rsidR="000923BB" w:rsidRPr="00AC0C56" w14:paraId="6A55AE14" w14:textId="77777777" w:rsidTr="00E5549E">
        <w:trPr>
          <w:trHeight w:val="300"/>
        </w:trPr>
        <w:tc>
          <w:tcPr>
            <w:tcW w:w="1134" w:type="dxa"/>
            <w:tcBorders>
              <w:top w:val="nil"/>
              <w:left w:val="single" w:sz="12" w:space="0" w:color="auto"/>
              <w:bottom w:val="single" w:sz="4" w:space="0" w:color="auto"/>
              <w:right w:val="single" w:sz="12" w:space="0" w:color="auto"/>
            </w:tcBorders>
            <w:shd w:val="clear" w:color="auto" w:fill="auto"/>
            <w:hideMark/>
          </w:tcPr>
          <w:p w14:paraId="3ACEFE4D" w14:textId="77777777" w:rsidR="000923BB" w:rsidRPr="00AC0C56" w:rsidRDefault="000923BB" w:rsidP="003A385F">
            <w:pPr>
              <w:spacing w:after="0" w:line="240" w:lineRule="auto"/>
              <w:jc w:val="both"/>
              <w:rPr>
                <w:rFonts w:eastAsia="Times New Roman" w:cs="Arial"/>
                <w:color w:val="000000"/>
                <w:sz w:val="18"/>
                <w:szCs w:val="18"/>
                <w:lang w:eastAsia="en-GB"/>
              </w:rPr>
            </w:pPr>
            <w:r w:rsidRPr="00AC0C56">
              <w:rPr>
                <w:rFonts w:eastAsia="Times New Roman" w:cs="Arial"/>
                <w:color w:val="000000"/>
                <w:sz w:val="18"/>
                <w:szCs w:val="18"/>
                <w:lang w:eastAsia="en-GB"/>
              </w:rPr>
              <w:t>4 (32)</w:t>
            </w:r>
          </w:p>
        </w:tc>
        <w:tc>
          <w:tcPr>
            <w:tcW w:w="709" w:type="dxa"/>
            <w:tcBorders>
              <w:top w:val="nil"/>
              <w:left w:val="single" w:sz="12" w:space="0" w:color="auto"/>
              <w:bottom w:val="single" w:sz="4" w:space="0" w:color="auto"/>
              <w:right w:val="single" w:sz="4" w:space="0" w:color="auto"/>
            </w:tcBorders>
            <w:shd w:val="clear" w:color="auto" w:fill="auto"/>
            <w:hideMark/>
          </w:tcPr>
          <w:p w14:paraId="31FE9103"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3</w:t>
            </w:r>
          </w:p>
        </w:tc>
        <w:tc>
          <w:tcPr>
            <w:tcW w:w="850" w:type="dxa"/>
            <w:tcBorders>
              <w:top w:val="nil"/>
              <w:left w:val="single" w:sz="8" w:space="0" w:color="auto"/>
              <w:bottom w:val="single" w:sz="4" w:space="0" w:color="auto"/>
              <w:right w:val="single" w:sz="4" w:space="0" w:color="auto"/>
            </w:tcBorders>
            <w:shd w:val="clear" w:color="auto" w:fill="auto"/>
            <w:hideMark/>
          </w:tcPr>
          <w:p w14:paraId="0E0DED0B"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109</w:t>
            </w:r>
          </w:p>
        </w:tc>
        <w:tc>
          <w:tcPr>
            <w:tcW w:w="992" w:type="dxa"/>
            <w:tcBorders>
              <w:top w:val="nil"/>
              <w:left w:val="single" w:sz="8" w:space="0" w:color="auto"/>
              <w:bottom w:val="single" w:sz="4" w:space="0" w:color="auto"/>
              <w:right w:val="single" w:sz="12" w:space="0" w:color="auto"/>
            </w:tcBorders>
            <w:shd w:val="clear" w:color="auto" w:fill="auto"/>
            <w:hideMark/>
          </w:tcPr>
          <w:p w14:paraId="474B8760"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36.33</w:t>
            </w:r>
          </w:p>
        </w:tc>
        <w:tc>
          <w:tcPr>
            <w:tcW w:w="709" w:type="dxa"/>
            <w:tcBorders>
              <w:top w:val="nil"/>
              <w:left w:val="single" w:sz="12" w:space="0" w:color="auto"/>
              <w:bottom w:val="single" w:sz="4" w:space="0" w:color="auto"/>
              <w:right w:val="single" w:sz="4" w:space="0" w:color="auto"/>
            </w:tcBorders>
            <w:shd w:val="clear" w:color="auto" w:fill="auto"/>
            <w:hideMark/>
          </w:tcPr>
          <w:p w14:paraId="3795598C"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10</w:t>
            </w:r>
          </w:p>
        </w:tc>
        <w:tc>
          <w:tcPr>
            <w:tcW w:w="709" w:type="dxa"/>
            <w:tcBorders>
              <w:top w:val="nil"/>
              <w:left w:val="single" w:sz="8" w:space="0" w:color="auto"/>
              <w:bottom w:val="single" w:sz="4" w:space="0" w:color="auto"/>
              <w:right w:val="nil"/>
            </w:tcBorders>
            <w:shd w:val="clear" w:color="auto" w:fill="auto"/>
            <w:hideMark/>
          </w:tcPr>
          <w:p w14:paraId="77992A5F"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74</w:t>
            </w:r>
          </w:p>
        </w:tc>
        <w:tc>
          <w:tcPr>
            <w:tcW w:w="850" w:type="dxa"/>
            <w:tcBorders>
              <w:top w:val="nil"/>
              <w:left w:val="single" w:sz="8" w:space="0" w:color="auto"/>
              <w:bottom w:val="single" w:sz="4" w:space="0" w:color="auto"/>
              <w:right w:val="single" w:sz="12" w:space="0" w:color="auto"/>
            </w:tcBorders>
            <w:shd w:val="clear" w:color="auto" w:fill="auto"/>
            <w:hideMark/>
          </w:tcPr>
          <w:p w14:paraId="49FB6889"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7.40</w:t>
            </w:r>
          </w:p>
        </w:tc>
        <w:tc>
          <w:tcPr>
            <w:tcW w:w="709" w:type="dxa"/>
            <w:tcBorders>
              <w:top w:val="nil"/>
              <w:left w:val="single" w:sz="12" w:space="0" w:color="auto"/>
              <w:bottom w:val="single" w:sz="4" w:space="0" w:color="auto"/>
              <w:right w:val="single" w:sz="4" w:space="0" w:color="auto"/>
            </w:tcBorders>
            <w:shd w:val="clear" w:color="auto" w:fill="auto"/>
            <w:hideMark/>
          </w:tcPr>
          <w:p w14:paraId="4CE62A82"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13</w:t>
            </w:r>
          </w:p>
        </w:tc>
        <w:tc>
          <w:tcPr>
            <w:tcW w:w="567" w:type="dxa"/>
            <w:tcBorders>
              <w:top w:val="nil"/>
              <w:left w:val="single" w:sz="8" w:space="0" w:color="auto"/>
              <w:bottom w:val="single" w:sz="4" w:space="0" w:color="auto"/>
              <w:right w:val="single" w:sz="4" w:space="0" w:color="auto"/>
            </w:tcBorders>
            <w:shd w:val="clear" w:color="auto" w:fill="auto"/>
            <w:hideMark/>
          </w:tcPr>
          <w:p w14:paraId="34F995CB"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183</w:t>
            </w:r>
          </w:p>
        </w:tc>
        <w:tc>
          <w:tcPr>
            <w:tcW w:w="851" w:type="dxa"/>
            <w:tcBorders>
              <w:top w:val="nil"/>
              <w:left w:val="nil"/>
              <w:bottom w:val="single" w:sz="4" w:space="0" w:color="auto"/>
              <w:right w:val="single" w:sz="12" w:space="0" w:color="auto"/>
            </w:tcBorders>
            <w:shd w:val="clear" w:color="auto" w:fill="auto"/>
            <w:hideMark/>
          </w:tcPr>
          <w:p w14:paraId="65F45B0B"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14.08</w:t>
            </w:r>
          </w:p>
        </w:tc>
      </w:tr>
      <w:tr w:rsidR="000923BB" w:rsidRPr="00AC0C56" w14:paraId="1FA127FA" w14:textId="77777777" w:rsidTr="00E5549E">
        <w:trPr>
          <w:trHeight w:val="300"/>
        </w:trPr>
        <w:tc>
          <w:tcPr>
            <w:tcW w:w="1134" w:type="dxa"/>
            <w:tcBorders>
              <w:top w:val="nil"/>
              <w:left w:val="single" w:sz="12" w:space="0" w:color="auto"/>
              <w:bottom w:val="single" w:sz="4" w:space="0" w:color="auto"/>
              <w:right w:val="single" w:sz="12" w:space="0" w:color="auto"/>
            </w:tcBorders>
            <w:shd w:val="clear" w:color="auto" w:fill="auto"/>
            <w:hideMark/>
          </w:tcPr>
          <w:p w14:paraId="7404237B" w14:textId="77777777" w:rsidR="000923BB" w:rsidRPr="00AC0C56" w:rsidRDefault="000923BB" w:rsidP="003A385F">
            <w:pPr>
              <w:spacing w:after="0" w:line="240" w:lineRule="auto"/>
              <w:jc w:val="both"/>
              <w:rPr>
                <w:rFonts w:eastAsia="Times New Roman" w:cs="Arial"/>
                <w:color w:val="000000"/>
                <w:sz w:val="18"/>
                <w:szCs w:val="18"/>
                <w:lang w:eastAsia="en-GB"/>
              </w:rPr>
            </w:pPr>
            <w:r w:rsidRPr="00AC0C56">
              <w:rPr>
                <w:rFonts w:eastAsia="Times New Roman" w:cs="Arial"/>
                <w:color w:val="000000"/>
                <w:sz w:val="18"/>
                <w:szCs w:val="18"/>
                <w:lang w:eastAsia="en-GB"/>
              </w:rPr>
              <w:t>5 (40)</w:t>
            </w:r>
          </w:p>
        </w:tc>
        <w:tc>
          <w:tcPr>
            <w:tcW w:w="709" w:type="dxa"/>
            <w:tcBorders>
              <w:top w:val="nil"/>
              <w:left w:val="single" w:sz="12" w:space="0" w:color="auto"/>
              <w:bottom w:val="single" w:sz="4" w:space="0" w:color="auto"/>
              <w:right w:val="single" w:sz="4" w:space="0" w:color="auto"/>
            </w:tcBorders>
            <w:shd w:val="clear" w:color="auto" w:fill="auto"/>
            <w:hideMark/>
          </w:tcPr>
          <w:p w14:paraId="5DD22D4D"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20</w:t>
            </w:r>
          </w:p>
        </w:tc>
        <w:tc>
          <w:tcPr>
            <w:tcW w:w="850" w:type="dxa"/>
            <w:tcBorders>
              <w:top w:val="nil"/>
              <w:left w:val="single" w:sz="8" w:space="0" w:color="auto"/>
              <w:bottom w:val="single" w:sz="4" w:space="0" w:color="auto"/>
              <w:right w:val="single" w:sz="4" w:space="0" w:color="auto"/>
            </w:tcBorders>
            <w:shd w:val="clear" w:color="auto" w:fill="auto"/>
            <w:hideMark/>
          </w:tcPr>
          <w:p w14:paraId="6320DA7B"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154</w:t>
            </w:r>
          </w:p>
        </w:tc>
        <w:tc>
          <w:tcPr>
            <w:tcW w:w="992" w:type="dxa"/>
            <w:tcBorders>
              <w:top w:val="nil"/>
              <w:left w:val="single" w:sz="8" w:space="0" w:color="auto"/>
              <w:bottom w:val="single" w:sz="4" w:space="0" w:color="auto"/>
              <w:right w:val="single" w:sz="12" w:space="0" w:color="auto"/>
            </w:tcBorders>
            <w:shd w:val="clear" w:color="auto" w:fill="auto"/>
            <w:hideMark/>
          </w:tcPr>
          <w:p w14:paraId="7E6A9605"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7.70</w:t>
            </w:r>
          </w:p>
        </w:tc>
        <w:tc>
          <w:tcPr>
            <w:tcW w:w="709" w:type="dxa"/>
            <w:tcBorders>
              <w:top w:val="nil"/>
              <w:left w:val="single" w:sz="12" w:space="0" w:color="auto"/>
              <w:bottom w:val="single" w:sz="4" w:space="0" w:color="auto"/>
              <w:right w:val="single" w:sz="4" w:space="0" w:color="auto"/>
            </w:tcBorders>
            <w:shd w:val="clear" w:color="auto" w:fill="auto"/>
            <w:hideMark/>
          </w:tcPr>
          <w:p w14:paraId="5A0A28E3"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9</w:t>
            </w:r>
          </w:p>
        </w:tc>
        <w:tc>
          <w:tcPr>
            <w:tcW w:w="709" w:type="dxa"/>
            <w:tcBorders>
              <w:top w:val="nil"/>
              <w:left w:val="single" w:sz="8" w:space="0" w:color="auto"/>
              <w:bottom w:val="single" w:sz="4" w:space="0" w:color="auto"/>
              <w:right w:val="nil"/>
            </w:tcBorders>
            <w:shd w:val="clear" w:color="auto" w:fill="auto"/>
            <w:hideMark/>
          </w:tcPr>
          <w:p w14:paraId="52CF7C08"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29</w:t>
            </w:r>
          </w:p>
        </w:tc>
        <w:tc>
          <w:tcPr>
            <w:tcW w:w="850" w:type="dxa"/>
            <w:tcBorders>
              <w:top w:val="nil"/>
              <w:left w:val="single" w:sz="8" w:space="0" w:color="auto"/>
              <w:bottom w:val="single" w:sz="4" w:space="0" w:color="auto"/>
              <w:right w:val="single" w:sz="12" w:space="0" w:color="auto"/>
            </w:tcBorders>
            <w:shd w:val="clear" w:color="auto" w:fill="auto"/>
            <w:hideMark/>
          </w:tcPr>
          <w:p w14:paraId="7CD62A80"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3.22</w:t>
            </w:r>
          </w:p>
        </w:tc>
        <w:tc>
          <w:tcPr>
            <w:tcW w:w="709" w:type="dxa"/>
            <w:tcBorders>
              <w:top w:val="nil"/>
              <w:left w:val="single" w:sz="12" w:space="0" w:color="auto"/>
              <w:bottom w:val="single" w:sz="4" w:space="0" w:color="auto"/>
              <w:right w:val="single" w:sz="4" w:space="0" w:color="auto"/>
            </w:tcBorders>
            <w:shd w:val="clear" w:color="auto" w:fill="auto"/>
            <w:hideMark/>
          </w:tcPr>
          <w:p w14:paraId="3F296A69"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29</w:t>
            </w:r>
          </w:p>
        </w:tc>
        <w:tc>
          <w:tcPr>
            <w:tcW w:w="567" w:type="dxa"/>
            <w:tcBorders>
              <w:top w:val="nil"/>
              <w:left w:val="single" w:sz="8" w:space="0" w:color="auto"/>
              <w:bottom w:val="single" w:sz="4" w:space="0" w:color="auto"/>
              <w:right w:val="single" w:sz="4" w:space="0" w:color="auto"/>
            </w:tcBorders>
            <w:shd w:val="clear" w:color="auto" w:fill="auto"/>
            <w:hideMark/>
          </w:tcPr>
          <w:p w14:paraId="32E40600"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183</w:t>
            </w:r>
          </w:p>
        </w:tc>
        <w:tc>
          <w:tcPr>
            <w:tcW w:w="851" w:type="dxa"/>
            <w:tcBorders>
              <w:top w:val="nil"/>
              <w:left w:val="nil"/>
              <w:bottom w:val="single" w:sz="4" w:space="0" w:color="auto"/>
              <w:right w:val="single" w:sz="12" w:space="0" w:color="auto"/>
            </w:tcBorders>
            <w:shd w:val="clear" w:color="auto" w:fill="auto"/>
            <w:hideMark/>
          </w:tcPr>
          <w:p w14:paraId="70C70F41"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6.31</w:t>
            </w:r>
          </w:p>
        </w:tc>
      </w:tr>
      <w:tr w:rsidR="000923BB" w:rsidRPr="00AC0C56" w14:paraId="624A85E8" w14:textId="77777777" w:rsidTr="00E5549E">
        <w:trPr>
          <w:trHeight w:val="300"/>
        </w:trPr>
        <w:tc>
          <w:tcPr>
            <w:tcW w:w="1134" w:type="dxa"/>
            <w:tcBorders>
              <w:top w:val="nil"/>
              <w:left w:val="single" w:sz="12" w:space="0" w:color="auto"/>
              <w:bottom w:val="single" w:sz="4" w:space="0" w:color="auto"/>
              <w:right w:val="single" w:sz="12" w:space="0" w:color="auto"/>
            </w:tcBorders>
            <w:shd w:val="clear" w:color="auto" w:fill="auto"/>
            <w:hideMark/>
          </w:tcPr>
          <w:p w14:paraId="048762F0" w14:textId="77777777" w:rsidR="000923BB" w:rsidRPr="00AC0C56" w:rsidRDefault="000923BB" w:rsidP="003A385F">
            <w:pPr>
              <w:spacing w:after="0" w:line="240" w:lineRule="auto"/>
              <w:jc w:val="both"/>
              <w:rPr>
                <w:rFonts w:eastAsia="Times New Roman" w:cs="Arial"/>
                <w:color w:val="000000"/>
                <w:sz w:val="18"/>
                <w:szCs w:val="18"/>
                <w:lang w:eastAsia="en-GB"/>
              </w:rPr>
            </w:pPr>
            <w:r w:rsidRPr="00AC0C56">
              <w:rPr>
                <w:rFonts w:eastAsia="Times New Roman" w:cs="Arial"/>
                <w:color w:val="000000"/>
                <w:sz w:val="18"/>
                <w:szCs w:val="18"/>
                <w:lang w:eastAsia="en-GB"/>
              </w:rPr>
              <w:t>6 (24)</w:t>
            </w:r>
          </w:p>
        </w:tc>
        <w:tc>
          <w:tcPr>
            <w:tcW w:w="709" w:type="dxa"/>
            <w:tcBorders>
              <w:top w:val="nil"/>
              <w:left w:val="single" w:sz="12" w:space="0" w:color="auto"/>
              <w:bottom w:val="single" w:sz="4" w:space="0" w:color="auto"/>
              <w:right w:val="single" w:sz="4" w:space="0" w:color="auto"/>
            </w:tcBorders>
            <w:shd w:val="clear" w:color="auto" w:fill="auto"/>
            <w:hideMark/>
          </w:tcPr>
          <w:p w14:paraId="58EB3EBE"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22</w:t>
            </w:r>
          </w:p>
        </w:tc>
        <w:tc>
          <w:tcPr>
            <w:tcW w:w="850" w:type="dxa"/>
            <w:tcBorders>
              <w:top w:val="nil"/>
              <w:left w:val="single" w:sz="8" w:space="0" w:color="auto"/>
              <w:bottom w:val="single" w:sz="4" w:space="0" w:color="auto"/>
              <w:right w:val="single" w:sz="4" w:space="0" w:color="auto"/>
            </w:tcBorders>
            <w:shd w:val="clear" w:color="auto" w:fill="auto"/>
            <w:hideMark/>
          </w:tcPr>
          <w:p w14:paraId="53D2E9A5"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108</w:t>
            </w:r>
          </w:p>
        </w:tc>
        <w:tc>
          <w:tcPr>
            <w:tcW w:w="992" w:type="dxa"/>
            <w:tcBorders>
              <w:top w:val="nil"/>
              <w:left w:val="single" w:sz="8" w:space="0" w:color="auto"/>
              <w:bottom w:val="single" w:sz="4" w:space="0" w:color="auto"/>
              <w:right w:val="single" w:sz="12" w:space="0" w:color="auto"/>
            </w:tcBorders>
            <w:shd w:val="clear" w:color="auto" w:fill="auto"/>
            <w:hideMark/>
          </w:tcPr>
          <w:p w14:paraId="5D5A4AFD"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4.91</w:t>
            </w:r>
          </w:p>
        </w:tc>
        <w:tc>
          <w:tcPr>
            <w:tcW w:w="709" w:type="dxa"/>
            <w:tcBorders>
              <w:top w:val="nil"/>
              <w:left w:val="single" w:sz="12" w:space="0" w:color="auto"/>
              <w:bottom w:val="single" w:sz="4" w:space="0" w:color="auto"/>
              <w:right w:val="single" w:sz="4" w:space="0" w:color="auto"/>
            </w:tcBorders>
            <w:shd w:val="clear" w:color="auto" w:fill="auto"/>
            <w:hideMark/>
          </w:tcPr>
          <w:p w14:paraId="6BFBA2E6"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4</w:t>
            </w:r>
          </w:p>
        </w:tc>
        <w:tc>
          <w:tcPr>
            <w:tcW w:w="709" w:type="dxa"/>
            <w:tcBorders>
              <w:top w:val="nil"/>
              <w:left w:val="single" w:sz="8" w:space="0" w:color="auto"/>
              <w:bottom w:val="single" w:sz="4" w:space="0" w:color="auto"/>
              <w:right w:val="nil"/>
            </w:tcBorders>
            <w:shd w:val="clear" w:color="auto" w:fill="auto"/>
            <w:hideMark/>
          </w:tcPr>
          <w:p w14:paraId="2FA54D56"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2</w:t>
            </w:r>
          </w:p>
        </w:tc>
        <w:tc>
          <w:tcPr>
            <w:tcW w:w="850" w:type="dxa"/>
            <w:tcBorders>
              <w:top w:val="nil"/>
              <w:left w:val="single" w:sz="8" w:space="0" w:color="auto"/>
              <w:bottom w:val="single" w:sz="4" w:space="0" w:color="auto"/>
              <w:right w:val="single" w:sz="12" w:space="0" w:color="auto"/>
            </w:tcBorders>
            <w:shd w:val="clear" w:color="auto" w:fill="auto"/>
            <w:hideMark/>
          </w:tcPr>
          <w:p w14:paraId="7394B8C7"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0.50</w:t>
            </w:r>
          </w:p>
        </w:tc>
        <w:tc>
          <w:tcPr>
            <w:tcW w:w="709" w:type="dxa"/>
            <w:tcBorders>
              <w:top w:val="nil"/>
              <w:left w:val="single" w:sz="12" w:space="0" w:color="auto"/>
              <w:bottom w:val="single" w:sz="4" w:space="0" w:color="auto"/>
              <w:right w:val="single" w:sz="4" w:space="0" w:color="auto"/>
            </w:tcBorders>
            <w:shd w:val="clear" w:color="auto" w:fill="auto"/>
            <w:hideMark/>
          </w:tcPr>
          <w:p w14:paraId="2B8190A6"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26</w:t>
            </w:r>
          </w:p>
        </w:tc>
        <w:tc>
          <w:tcPr>
            <w:tcW w:w="567" w:type="dxa"/>
            <w:tcBorders>
              <w:top w:val="nil"/>
              <w:left w:val="single" w:sz="8" w:space="0" w:color="auto"/>
              <w:bottom w:val="single" w:sz="4" w:space="0" w:color="auto"/>
              <w:right w:val="single" w:sz="4" w:space="0" w:color="auto"/>
            </w:tcBorders>
            <w:shd w:val="clear" w:color="auto" w:fill="auto"/>
            <w:hideMark/>
          </w:tcPr>
          <w:p w14:paraId="2496E894"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110</w:t>
            </w:r>
          </w:p>
        </w:tc>
        <w:tc>
          <w:tcPr>
            <w:tcW w:w="851" w:type="dxa"/>
            <w:tcBorders>
              <w:top w:val="nil"/>
              <w:left w:val="nil"/>
              <w:bottom w:val="single" w:sz="4" w:space="0" w:color="auto"/>
              <w:right w:val="single" w:sz="12" w:space="0" w:color="auto"/>
            </w:tcBorders>
            <w:shd w:val="clear" w:color="auto" w:fill="auto"/>
            <w:hideMark/>
          </w:tcPr>
          <w:p w14:paraId="4C65390D"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4.23</w:t>
            </w:r>
          </w:p>
        </w:tc>
      </w:tr>
      <w:tr w:rsidR="000923BB" w:rsidRPr="00AC0C56" w14:paraId="2A36836A" w14:textId="77777777" w:rsidTr="00E5549E">
        <w:trPr>
          <w:trHeight w:val="315"/>
        </w:trPr>
        <w:tc>
          <w:tcPr>
            <w:tcW w:w="1134" w:type="dxa"/>
            <w:tcBorders>
              <w:top w:val="nil"/>
              <w:left w:val="single" w:sz="12" w:space="0" w:color="auto"/>
              <w:bottom w:val="single" w:sz="12" w:space="0" w:color="auto"/>
              <w:right w:val="single" w:sz="12" w:space="0" w:color="auto"/>
            </w:tcBorders>
            <w:shd w:val="clear" w:color="auto" w:fill="auto"/>
            <w:hideMark/>
          </w:tcPr>
          <w:p w14:paraId="5FFFFB7B" w14:textId="77777777" w:rsidR="000923BB" w:rsidRPr="00AC0C56" w:rsidRDefault="000923BB" w:rsidP="003A385F">
            <w:pPr>
              <w:spacing w:after="0" w:line="240" w:lineRule="auto"/>
              <w:jc w:val="both"/>
              <w:rPr>
                <w:rFonts w:eastAsia="Times New Roman" w:cs="Arial"/>
                <w:color w:val="000000"/>
                <w:sz w:val="18"/>
                <w:szCs w:val="18"/>
                <w:lang w:eastAsia="en-GB"/>
              </w:rPr>
            </w:pPr>
            <w:r w:rsidRPr="00AC0C56">
              <w:rPr>
                <w:rFonts w:eastAsia="Times New Roman" w:cs="Arial"/>
                <w:color w:val="000000"/>
                <w:sz w:val="18"/>
                <w:szCs w:val="18"/>
                <w:lang w:eastAsia="en-GB"/>
              </w:rPr>
              <w:t>Total (117)</w:t>
            </w:r>
          </w:p>
        </w:tc>
        <w:tc>
          <w:tcPr>
            <w:tcW w:w="709" w:type="dxa"/>
            <w:tcBorders>
              <w:top w:val="nil"/>
              <w:left w:val="single" w:sz="12" w:space="0" w:color="auto"/>
              <w:bottom w:val="single" w:sz="12" w:space="0" w:color="auto"/>
              <w:right w:val="single" w:sz="4" w:space="0" w:color="auto"/>
            </w:tcBorders>
            <w:shd w:val="clear" w:color="auto" w:fill="auto"/>
            <w:hideMark/>
          </w:tcPr>
          <w:p w14:paraId="7A5F9497"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58</w:t>
            </w:r>
          </w:p>
        </w:tc>
        <w:tc>
          <w:tcPr>
            <w:tcW w:w="850" w:type="dxa"/>
            <w:tcBorders>
              <w:top w:val="nil"/>
              <w:left w:val="single" w:sz="8" w:space="0" w:color="auto"/>
              <w:bottom w:val="single" w:sz="12" w:space="0" w:color="auto"/>
              <w:right w:val="single" w:sz="4" w:space="0" w:color="auto"/>
            </w:tcBorders>
            <w:shd w:val="clear" w:color="auto" w:fill="auto"/>
            <w:hideMark/>
          </w:tcPr>
          <w:p w14:paraId="3FD46F2C"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406</w:t>
            </w:r>
          </w:p>
        </w:tc>
        <w:tc>
          <w:tcPr>
            <w:tcW w:w="992" w:type="dxa"/>
            <w:tcBorders>
              <w:top w:val="nil"/>
              <w:left w:val="single" w:sz="8" w:space="0" w:color="auto"/>
              <w:bottom w:val="single" w:sz="12" w:space="0" w:color="auto"/>
              <w:right w:val="single" w:sz="12" w:space="0" w:color="auto"/>
            </w:tcBorders>
            <w:shd w:val="clear" w:color="auto" w:fill="auto"/>
            <w:hideMark/>
          </w:tcPr>
          <w:p w14:paraId="53B9D0D0"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7.00</w:t>
            </w:r>
          </w:p>
        </w:tc>
        <w:tc>
          <w:tcPr>
            <w:tcW w:w="709" w:type="dxa"/>
            <w:tcBorders>
              <w:top w:val="nil"/>
              <w:left w:val="single" w:sz="12" w:space="0" w:color="auto"/>
              <w:bottom w:val="single" w:sz="12" w:space="0" w:color="auto"/>
              <w:right w:val="single" w:sz="4" w:space="0" w:color="auto"/>
            </w:tcBorders>
            <w:shd w:val="clear" w:color="auto" w:fill="auto"/>
            <w:hideMark/>
          </w:tcPr>
          <w:p w14:paraId="1A8C8FA2"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67</w:t>
            </w:r>
          </w:p>
        </w:tc>
        <w:tc>
          <w:tcPr>
            <w:tcW w:w="709" w:type="dxa"/>
            <w:tcBorders>
              <w:top w:val="nil"/>
              <w:left w:val="single" w:sz="8" w:space="0" w:color="auto"/>
              <w:bottom w:val="single" w:sz="12" w:space="0" w:color="auto"/>
              <w:right w:val="nil"/>
            </w:tcBorders>
            <w:shd w:val="clear" w:color="auto" w:fill="auto"/>
            <w:hideMark/>
          </w:tcPr>
          <w:p w14:paraId="1D6F0C0D"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193</w:t>
            </w:r>
          </w:p>
        </w:tc>
        <w:tc>
          <w:tcPr>
            <w:tcW w:w="850" w:type="dxa"/>
            <w:tcBorders>
              <w:top w:val="nil"/>
              <w:left w:val="single" w:sz="8" w:space="0" w:color="auto"/>
              <w:bottom w:val="single" w:sz="12" w:space="0" w:color="auto"/>
              <w:right w:val="single" w:sz="12" w:space="0" w:color="auto"/>
            </w:tcBorders>
            <w:shd w:val="clear" w:color="auto" w:fill="auto"/>
            <w:hideMark/>
          </w:tcPr>
          <w:p w14:paraId="482E0C2A"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2.88</w:t>
            </w:r>
          </w:p>
        </w:tc>
        <w:tc>
          <w:tcPr>
            <w:tcW w:w="709" w:type="dxa"/>
            <w:tcBorders>
              <w:top w:val="nil"/>
              <w:left w:val="single" w:sz="12" w:space="0" w:color="auto"/>
              <w:bottom w:val="single" w:sz="12" w:space="0" w:color="auto"/>
              <w:right w:val="single" w:sz="4" w:space="0" w:color="auto"/>
            </w:tcBorders>
            <w:shd w:val="clear" w:color="auto" w:fill="auto"/>
            <w:hideMark/>
          </w:tcPr>
          <w:p w14:paraId="29957F00"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125</w:t>
            </w:r>
          </w:p>
        </w:tc>
        <w:tc>
          <w:tcPr>
            <w:tcW w:w="567" w:type="dxa"/>
            <w:tcBorders>
              <w:top w:val="nil"/>
              <w:left w:val="single" w:sz="8" w:space="0" w:color="auto"/>
              <w:bottom w:val="single" w:sz="12" w:space="0" w:color="auto"/>
              <w:right w:val="single" w:sz="4" w:space="0" w:color="auto"/>
            </w:tcBorders>
            <w:shd w:val="clear" w:color="auto" w:fill="auto"/>
            <w:hideMark/>
          </w:tcPr>
          <w:p w14:paraId="6735F15F"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599</w:t>
            </w:r>
          </w:p>
        </w:tc>
        <w:tc>
          <w:tcPr>
            <w:tcW w:w="851" w:type="dxa"/>
            <w:tcBorders>
              <w:top w:val="nil"/>
              <w:left w:val="nil"/>
              <w:bottom w:val="single" w:sz="12" w:space="0" w:color="auto"/>
              <w:right w:val="single" w:sz="12" w:space="0" w:color="auto"/>
            </w:tcBorders>
            <w:shd w:val="clear" w:color="auto" w:fill="auto"/>
            <w:hideMark/>
          </w:tcPr>
          <w:p w14:paraId="1B79C991" w14:textId="77777777" w:rsidR="000923BB" w:rsidRPr="00AC0C56" w:rsidRDefault="000923BB" w:rsidP="003A385F">
            <w:pPr>
              <w:spacing w:after="0" w:line="240" w:lineRule="auto"/>
              <w:jc w:val="right"/>
              <w:rPr>
                <w:rFonts w:eastAsia="Times New Roman" w:cs="Arial"/>
                <w:sz w:val="18"/>
                <w:szCs w:val="18"/>
                <w:lang w:eastAsia="en-GB"/>
              </w:rPr>
            </w:pPr>
            <w:r w:rsidRPr="00AC0C56">
              <w:rPr>
                <w:rFonts w:eastAsia="Times New Roman" w:cs="Arial"/>
                <w:sz w:val="18"/>
                <w:szCs w:val="18"/>
                <w:lang w:eastAsia="en-GB"/>
              </w:rPr>
              <w:t>4.79</w:t>
            </w:r>
          </w:p>
        </w:tc>
      </w:tr>
    </w:tbl>
    <w:p w14:paraId="085C34C8" w14:textId="77777777" w:rsidR="000923BB" w:rsidRDefault="00E5549E" w:rsidP="000923BB">
      <w:pPr>
        <w:jc w:val="both"/>
        <w:rPr>
          <w:rFonts w:eastAsia="Arial" w:cs="Arial"/>
          <w:sz w:val="18"/>
          <w:szCs w:val="18"/>
        </w:rPr>
      </w:pPr>
      <w:r>
        <w:rPr>
          <w:rFonts w:eastAsia="Arial" w:cs="Arial"/>
          <w:sz w:val="18"/>
          <w:szCs w:val="18"/>
        </w:rPr>
        <w:t xml:space="preserve">      </w:t>
      </w:r>
      <w:r w:rsidR="000923BB" w:rsidRPr="00254A07">
        <w:rPr>
          <w:rFonts w:eastAsia="Arial" w:cs="Arial"/>
          <w:sz w:val="18"/>
          <w:szCs w:val="18"/>
        </w:rPr>
        <w:sym w:font="Symbol" w:char="F063"/>
      </w:r>
      <w:r w:rsidR="000923BB" w:rsidRPr="00254A07">
        <w:rPr>
          <w:rFonts w:eastAsia="Arial" w:cs="Arial"/>
          <w:sz w:val="18"/>
          <w:szCs w:val="18"/>
          <w:vertAlign w:val="superscript"/>
        </w:rPr>
        <w:t>2</w:t>
      </w:r>
      <w:r w:rsidR="000923BB" w:rsidRPr="00254A07">
        <w:rPr>
          <w:rFonts w:eastAsia="Arial" w:cs="Arial"/>
          <w:sz w:val="18"/>
          <w:szCs w:val="18"/>
        </w:rPr>
        <w:t>=48.37; df=5; p&lt;0.0001</w:t>
      </w:r>
    </w:p>
    <w:p w14:paraId="546183C5" w14:textId="77777777" w:rsidR="000923BB" w:rsidRPr="001C5D08" w:rsidRDefault="000923BB" w:rsidP="000923BB">
      <w:pPr>
        <w:jc w:val="both"/>
        <w:rPr>
          <w:rFonts w:cs="Arial"/>
          <w:b/>
          <w:sz w:val="22"/>
          <w:szCs w:val="22"/>
        </w:rPr>
      </w:pPr>
      <w:r w:rsidRPr="001C5D08">
        <w:rPr>
          <w:rFonts w:cs="Arial"/>
          <w:b/>
          <w:sz w:val="22"/>
          <w:szCs w:val="22"/>
        </w:rPr>
        <w:t>Content and nature of comments</w:t>
      </w:r>
    </w:p>
    <w:p w14:paraId="3C08EF5D" w14:textId="77777777" w:rsidR="000923BB" w:rsidRPr="001C5D08" w:rsidRDefault="000923BB" w:rsidP="000923BB">
      <w:pPr>
        <w:jc w:val="both"/>
        <w:rPr>
          <w:rFonts w:cs="Arial"/>
          <w:sz w:val="22"/>
          <w:szCs w:val="22"/>
        </w:rPr>
      </w:pPr>
      <w:r w:rsidRPr="001C5D08">
        <w:rPr>
          <w:rFonts w:cs="Arial"/>
          <w:sz w:val="22"/>
          <w:szCs w:val="22"/>
        </w:rPr>
        <w:t xml:space="preserve">Study of the individual comments showed that a number of B category comments contained concise technical summaries in addition to implicit judgements on the quality of care. Many of the C category comments were incisive clinical observations with a strong view of the quality of care, especially when the reviewer considered that the care was poor. Comments across the range of overall scores often included consideration of the broader, non-technical, processes of care (for example, communication with relatives), as well as technical aspects of care. </w:t>
      </w:r>
    </w:p>
    <w:p w14:paraId="3DD3919C" w14:textId="77777777" w:rsidR="000923BB" w:rsidRPr="001C5D08" w:rsidRDefault="000923BB" w:rsidP="000923BB">
      <w:pPr>
        <w:jc w:val="both"/>
        <w:rPr>
          <w:rFonts w:cs="Arial"/>
          <w:sz w:val="22"/>
          <w:szCs w:val="22"/>
        </w:rPr>
      </w:pPr>
      <w:r w:rsidRPr="001C5D08">
        <w:rPr>
          <w:rFonts w:cs="Arial"/>
          <w:sz w:val="22"/>
          <w:szCs w:val="22"/>
        </w:rPr>
        <w:t xml:space="preserve">Of the 21 case reviews with low overall scores (scores of one, two or three), 15 were accompanied by an explicit clinically-relevant judgement that justified the low score. Some related to cases where care was generally poor throughout the inpatient episode, while others related to cases where a specific aspect of care was of concern.  In two of the cases, incorrect diagnosis was the main problem, while in 12 cases there was concern about suboptimal management.  There were usually multiple smaller events that were additive, rather than one main adverse event, which only occurred in one of the 12 cases. Two of the 15 cases were considered to have such poor record keeping as to be a threat to the care of the patient.  </w:t>
      </w:r>
    </w:p>
    <w:p w14:paraId="7885EACE" w14:textId="77777777" w:rsidR="000923BB" w:rsidRPr="001C5D08" w:rsidRDefault="000923BB" w:rsidP="000923BB">
      <w:pPr>
        <w:jc w:val="both"/>
        <w:rPr>
          <w:rFonts w:cs="Arial"/>
          <w:sz w:val="22"/>
          <w:szCs w:val="22"/>
        </w:rPr>
      </w:pPr>
      <w:r w:rsidRPr="001C5D08">
        <w:rPr>
          <w:rFonts w:cs="Arial"/>
          <w:sz w:val="22"/>
          <w:szCs w:val="22"/>
        </w:rPr>
        <w:t xml:space="preserve">Boxes 3-4 demonstrate some of the range, type and category of comments made by reviewers in two cases. All of the comments are as written by the reviewers and the scores given for each phase of care are included.  Reviewers were able both to comment on the technical aspects of care and to take a holistic view of the overall care plan. </w:t>
      </w:r>
    </w:p>
    <w:p w14:paraId="448DD892" w14:textId="77777777" w:rsidR="000923BB" w:rsidRPr="001C5D08" w:rsidRDefault="000923BB" w:rsidP="000923BB">
      <w:pPr>
        <w:jc w:val="both"/>
        <w:rPr>
          <w:rFonts w:cs="Arial"/>
          <w:sz w:val="22"/>
          <w:szCs w:val="22"/>
        </w:rPr>
      </w:pPr>
      <w:r w:rsidRPr="001C5D08">
        <w:rPr>
          <w:rFonts w:cs="Arial"/>
          <w:sz w:val="22"/>
          <w:szCs w:val="22"/>
        </w:rPr>
        <w:lastRenderedPageBreak/>
        <w:t xml:space="preserve">Box 3 is also used to demonstrate how the categorisation of the comments was applied in the analysis. For example: </w:t>
      </w:r>
    </w:p>
    <w:p w14:paraId="10BA3D12" w14:textId="77777777" w:rsidR="000923BB" w:rsidRPr="001C5D08" w:rsidRDefault="000923BB" w:rsidP="008A6C6D">
      <w:pPr>
        <w:numPr>
          <w:ilvl w:val="0"/>
          <w:numId w:val="24"/>
        </w:numPr>
        <w:jc w:val="both"/>
        <w:rPr>
          <w:rFonts w:cs="Arial"/>
          <w:sz w:val="22"/>
          <w:szCs w:val="22"/>
        </w:rPr>
      </w:pPr>
      <w:r w:rsidRPr="001C5D08">
        <w:rPr>
          <w:rFonts w:cs="Arial"/>
          <w:sz w:val="22"/>
          <w:szCs w:val="22"/>
        </w:rPr>
        <w:t>Although the reviewer explicitly grades the documentation as poor in the admission, this is only a description of the documentation without any explanation and therefore is categorised as a B level comment. In the initial management phase, however, there is a judgement (very poor documentation) together with an explanation, which rates a C category.</w:t>
      </w:r>
    </w:p>
    <w:p w14:paraId="53C5A1D2" w14:textId="77777777" w:rsidR="000923BB" w:rsidRPr="001C5D08" w:rsidRDefault="000923BB" w:rsidP="008A6C6D">
      <w:pPr>
        <w:numPr>
          <w:ilvl w:val="0"/>
          <w:numId w:val="24"/>
        </w:numPr>
        <w:jc w:val="both"/>
        <w:rPr>
          <w:rFonts w:cs="Arial"/>
          <w:sz w:val="22"/>
          <w:szCs w:val="22"/>
        </w:rPr>
      </w:pPr>
      <w:r w:rsidRPr="001C5D08">
        <w:rPr>
          <w:rFonts w:cs="Arial"/>
          <w:sz w:val="22"/>
          <w:szCs w:val="22"/>
        </w:rPr>
        <w:t>When the reviewer implies in the initial management phase that it was poor practice not to take an arterial blood gas sample (‘No ABGs (Arterial Blood Gas) and patient was tachypnoeic and hypoxic’) there is no explicit statement that this was unsatisfactory (and it is thus a B category comment).</w:t>
      </w:r>
    </w:p>
    <w:p w14:paraId="5FDDDDAA" w14:textId="77777777" w:rsidR="000923BB" w:rsidRPr="001C5D08" w:rsidRDefault="000923BB" w:rsidP="008A6C6D">
      <w:pPr>
        <w:numPr>
          <w:ilvl w:val="0"/>
          <w:numId w:val="24"/>
        </w:numPr>
        <w:jc w:val="both"/>
        <w:rPr>
          <w:rFonts w:cs="Arial"/>
          <w:sz w:val="22"/>
          <w:szCs w:val="22"/>
        </w:rPr>
      </w:pPr>
      <w:r w:rsidRPr="001C5D08">
        <w:rPr>
          <w:rFonts w:cs="Arial"/>
          <w:sz w:val="22"/>
          <w:szCs w:val="22"/>
        </w:rPr>
        <w:t xml:space="preserve">A judgement on the therapy (‘pitiful dose of frusemide (furosemide) (20mg Intravenous)) is a C category comment. </w:t>
      </w:r>
    </w:p>
    <w:p w14:paraId="5D8D9D92" w14:textId="77777777" w:rsidR="000923BB" w:rsidRPr="001C5D08" w:rsidRDefault="000923BB" w:rsidP="008A6C6D">
      <w:pPr>
        <w:numPr>
          <w:ilvl w:val="0"/>
          <w:numId w:val="24"/>
        </w:numPr>
        <w:jc w:val="both"/>
        <w:rPr>
          <w:rFonts w:cs="Arial"/>
          <w:sz w:val="22"/>
          <w:szCs w:val="22"/>
        </w:rPr>
      </w:pPr>
      <w:r w:rsidRPr="001C5D08">
        <w:rPr>
          <w:rFonts w:cs="Arial"/>
          <w:sz w:val="22"/>
          <w:szCs w:val="22"/>
        </w:rPr>
        <w:t xml:space="preserve">When commenting on the technical aspects of care, the reviewer could also be explicit about how the care should have been managed overall, in the context of the patient’s illness. This is an explicit, category C, judgement. </w:t>
      </w:r>
    </w:p>
    <w:p w14:paraId="1CE2C993" w14:textId="77777777" w:rsidR="001C5D08" w:rsidRDefault="000923BB" w:rsidP="000923BB">
      <w:pPr>
        <w:jc w:val="both"/>
        <w:rPr>
          <w:rFonts w:cs="Arial"/>
        </w:rPr>
      </w:pPr>
      <w:r w:rsidRPr="001C5D08">
        <w:rPr>
          <w:rFonts w:cs="Arial"/>
          <w:sz w:val="22"/>
          <w:szCs w:val="22"/>
        </w:rPr>
        <w:t xml:space="preserve">The case in Box 3 also illustrates a pattern that is of a group or ‘constellation’ of events which of themselves may not cause severe harm but which, taken together, can lead to harm to the patient. This pattern was also found in the main study among some of the patients who survived.[17]  </w:t>
      </w:r>
    </w:p>
    <w:p w14:paraId="435BD695" w14:textId="77777777" w:rsidR="000923BB" w:rsidRDefault="000923BB" w:rsidP="000923BB">
      <w:pPr>
        <w:jc w:val="both"/>
        <w:rPr>
          <w:rFonts w:cs="Arial"/>
        </w:rPr>
      </w:pPr>
      <w:r w:rsidRPr="00B0663A">
        <w:rPr>
          <w:rFonts w:cs="Arial"/>
          <w:b/>
        </w:rPr>
        <w:t xml:space="preserve">Box </w:t>
      </w:r>
      <w:r>
        <w:rPr>
          <w:rFonts w:cs="Arial"/>
          <w:b/>
        </w:rPr>
        <w:t xml:space="preserve">3 </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5137"/>
        <w:gridCol w:w="1701"/>
      </w:tblGrid>
      <w:tr w:rsidR="000923BB" w:rsidRPr="000611C7" w14:paraId="656E6531" w14:textId="77777777" w:rsidTr="00656B70">
        <w:trPr>
          <w:trHeight w:val="726"/>
        </w:trPr>
        <w:tc>
          <w:tcPr>
            <w:tcW w:w="1384" w:type="dxa"/>
          </w:tcPr>
          <w:p w14:paraId="3543E53A" w14:textId="77777777" w:rsidR="000923BB" w:rsidRPr="000611C7" w:rsidRDefault="000923BB" w:rsidP="003A385F">
            <w:pPr>
              <w:spacing w:after="0" w:line="240" w:lineRule="auto"/>
              <w:jc w:val="both"/>
              <w:rPr>
                <w:rFonts w:cs="Arial"/>
                <w:sz w:val="20"/>
                <w:szCs w:val="20"/>
              </w:rPr>
            </w:pPr>
            <w:r>
              <w:rPr>
                <w:rFonts w:cs="Arial"/>
                <w:sz w:val="20"/>
                <w:szCs w:val="20"/>
              </w:rPr>
              <w:t>O</w:t>
            </w:r>
            <w:r w:rsidRPr="00663EB4">
              <w:rPr>
                <w:rFonts w:cs="Arial"/>
                <w:sz w:val="20"/>
                <w:szCs w:val="20"/>
              </w:rPr>
              <w:t>verall care score 1</w:t>
            </w:r>
          </w:p>
        </w:tc>
        <w:tc>
          <w:tcPr>
            <w:tcW w:w="5137" w:type="dxa"/>
          </w:tcPr>
          <w:p w14:paraId="08BDA669" w14:textId="77777777" w:rsidR="000923BB" w:rsidRPr="000611C7" w:rsidRDefault="000923BB" w:rsidP="003A385F">
            <w:pPr>
              <w:spacing w:after="0" w:line="240" w:lineRule="auto"/>
              <w:jc w:val="both"/>
              <w:rPr>
                <w:rFonts w:cs="Arial"/>
                <w:sz w:val="20"/>
                <w:szCs w:val="20"/>
              </w:rPr>
            </w:pPr>
            <w:r w:rsidRPr="000611C7">
              <w:rPr>
                <w:rFonts w:cs="Arial"/>
                <w:sz w:val="20"/>
                <w:szCs w:val="20"/>
              </w:rPr>
              <w:t xml:space="preserve"> </w:t>
            </w:r>
          </w:p>
        </w:tc>
        <w:tc>
          <w:tcPr>
            <w:tcW w:w="1701" w:type="dxa"/>
          </w:tcPr>
          <w:p w14:paraId="6EA5B06E" w14:textId="77777777" w:rsidR="000923BB" w:rsidRPr="000611C7" w:rsidRDefault="000923BB" w:rsidP="00656B70">
            <w:pPr>
              <w:spacing w:after="0" w:line="240" w:lineRule="auto"/>
              <w:rPr>
                <w:rFonts w:cs="Arial"/>
                <w:sz w:val="20"/>
                <w:szCs w:val="20"/>
              </w:rPr>
            </w:pPr>
            <w:r w:rsidRPr="000611C7">
              <w:rPr>
                <w:rFonts w:cs="Arial"/>
                <w:sz w:val="20"/>
                <w:szCs w:val="20"/>
              </w:rPr>
              <w:t>Comment type</w:t>
            </w:r>
            <w:r>
              <w:rPr>
                <w:rFonts w:cs="Arial"/>
                <w:sz w:val="20"/>
                <w:szCs w:val="20"/>
              </w:rPr>
              <w:t xml:space="preserve"> (Pos or Neg) and</w:t>
            </w:r>
            <w:r w:rsidRPr="000611C7">
              <w:rPr>
                <w:rFonts w:cs="Arial"/>
                <w:sz w:val="20"/>
                <w:szCs w:val="20"/>
              </w:rPr>
              <w:t xml:space="preserve"> category</w:t>
            </w:r>
          </w:p>
        </w:tc>
      </w:tr>
      <w:tr w:rsidR="000923BB" w:rsidRPr="000611C7" w14:paraId="5A68AA6B" w14:textId="77777777" w:rsidTr="00656B70">
        <w:tc>
          <w:tcPr>
            <w:tcW w:w="1384" w:type="dxa"/>
          </w:tcPr>
          <w:p w14:paraId="572D051B" w14:textId="77777777" w:rsidR="000923BB" w:rsidRDefault="000923BB" w:rsidP="003A385F">
            <w:pPr>
              <w:spacing w:after="0" w:line="240" w:lineRule="auto"/>
              <w:jc w:val="both"/>
              <w:rPr>
                <w:rFonts w:cs="Arial"/>
                <w:sz w:val="20"/>
                <w:szCs w:val="20"/>
              </w:rPr>
            </w:pPr>
            <w:r w:rsidRPr="000611C7">
              <w:rPr>
                <w:rFonts w:cs="Arial"/>
                <w:sz w:val="20"/>
                <w:szCs w:val="20"/>
              </w:rPr>
              <w:t xml:space="preserve">Admission </w:t>
            </w:r>
          </w:p>
          <w:p w14:paraId="7529C3C2" w14:textId="77777777" w:rsidR="000923BB" w:rsidRPr="000611C7" w:rsidRDefault="000923BB" w:rsidP="003A385F">
            <w:pPr>
              <w:spacing w:after="0" w:line="240" w:lineRule="auto"/>
              <w:jc w:val="both"/>
              <w:rPr>
                <w:rFonts w:cs="Arial"/>
                <w:sz w:val="20"/>
                <w:szCs w:val="20"/>
              </w:rPr>
            </w:pPr>
            <w:r>
              <w:rPr>
                <w:rFonts w:cs="Arial"/>
                <w:sz w:val="20"/>
                <w:szCs w:val="20"/>
              </w:rPr>
              <w:t>Phase score 1</w:t>
            </w:r>
          </w:p>
        </w:tc>
        <w:tc>
          <w:tcPr>
            <w:tcW w:w="5137" w:type="dxa"/>
          </w:tcPr>
          <w:p w14:paraId="5E47D958" w14:textId="77777777" w:rsidR="000923BB" w:rsidRPr="003121EE" w:rsidRDefault="000923BB" w:rsidP="003A385F">
            <w:pPr>
              <w:spacing w:after="0" w:line="240" w:lineRule="auto"/>
              <w:jc w:val="both"/>
              <w:rPr>
                <w:rFonts w:cs="Arial"/>
                <w:sz w:val="20"/>
                <w:szCs w:val="20"/>
              </w:rPr>
            </w:pPr>
            <w:r w:rsidRPr="00663EB4">
              <w:rPr>
                <w:rFonts w:cs="Arial"/>
                <w:sz w:val="20"/>
                <w:szCs w:val="20"/>
              </w:rPr>
              <w:t>Poor history documentation</w:t>
            </w:r>
          </w:p>
          <w:p w14:paraId="0569E628" w14:textId="77777777" w:rsidR="000923BB" w:rsidRPr="003121EE" w:rsidRDefault="000923BB" w:rsidP="003A385F">
            <w:pPr>
              <w:spacing w:after="0" w:line="240" w:lineRule="auto"/>
              <w:jc w:val="both"/>
              <w:rPr>
                <w:rFonts w:cs="Arial"/>
                <w:sz w:val="20"/>
                <w:szCs w:val="20"/>
              </w:rPr>
            </w:pPr>
            <w:r w:rsidRPr="00663EB4">
              <w:rPr>
                <w:rFonts w:cs="Arial"/>
                <w:sz w:val="20"/>
                <w:szCs w:val="20"/>
              </w:rPr>
              <w:t>Poor examination documentation</w:t>
            </w:r>
          </w:p>
          <w:p w14:paraId="4AAF3032" w14:textId="77777777" w:rsidR="000923BB" w:rsidRPr="003121EE" w:rsidRDefault="000923BB" w:rsidP="003A385F">
            <w:pPr>
              <w:spacing w:after="0" w:line="240" w:lineRule="auto"/>
              <w:jc w:val="both"/>
              <w:rPr>
                <w:rFonts w:cs="Arial"/>
                <w:sz w:val="20"/>
                <w:szCs w:val="20"/>
              </w:rPr>
            </w:pPr>
            <w:r w:rsidRPr="00663EB4">
              <w:rPr>
                <w:rFonts w:cs="Arial"/>
                <w:sz w:val="20"/>
                <w:szCs w:val="20"/>
              </w:rPr>
              <w:t>Initial investigations requested CXR</w:t>
            </w:r>
            <w:r>
              <w:rPr>
                <w:rFonts w:cs="Arial"/>
                <w:sz w:val="20"/>
                <w:szCs w:val="20"/>
              </w:rPr>
              <w:t xml:space="preserve"> (Chest radiograph)</w:t>
            </w:r>
            <w:r w:rsidRPr="00663EB4">
              <w:rPr>
                <w:rFonts w:cs="Arial"/>
                <w:sz w:val="20"/>
                <w:szCs w:val="20"/>
              </w:rPr>
              <w:t>, ECG</w:t>
            </w:r>
            <w:r>
              <w:rPr>
                <w:rFonts w:cs="Arial"/>
                <w:sz w:val="20"/>
                <w:szCs w:val="20"/>
              </w:rPr>
              <w:t xml:space="preserve"> (Electrocardiograph)</w:t>
            </w:r>
            <w:r w:rsidRPr="00663EB4">
              <w:rPr>
                <w:rFonts w:cs="Arial"/>
                <w:sz w:val="20"/>
                <w:szCs w:val="20"/>
              </w:rPr>
              <w:t>, bloods but no comment made re these</w:t>
            </w:r>
          </w:p>
          <w:p w14:paraId="3DD8D9B0" w14:textId="77777777" w:rsidR="000923BB" w:rsidRPr="003121EE" w:rsidRDefault="000923BB" w:rsidP="003A385F">
            <w:pPr>
              <w:spacing w:after="0" w:line="240" w:lineRule="auto"/>
              <w:jc w:val="both"/>
              <w:rPr>
                <w:rFonts w:cs="Arial"/>
                <w:sz w:val="20"/>
                <w:szCs w:val="20"/>
              </w:rPr>
            </w:pPr>
            <w:r w:rsidRPr="00663EB4">
              <w:rPr>
                <w:rFonts w:cs="Arial"/>
                <w:sz w:val="20"/>
                <w:szCs w:val="20"/>
              </w:rPr>
              <w:t xml:space="preserve">No ABGs </w:t>
            </w:r>
            <w:r>
              <w:rPr>
                <w:rFonts w:cs="Arial"/>
                <w:sz w:val="20"/>
                <w:szCs w:val="20"/>
              </w:rPr>
              <w:t xml:space="preserve">(Arterial Blood Gasses) </w:t>
            </w:r>
            <w:r w:rsidRPr="00663EB4">
              <w:rPr>
                <w:rFonts w:cs="Arial"/>
                <w:sz w:val="20"/>
                <w:szCs w:val="20"/>
              </w:rPr>
              <w:t>and patient was tachypnoeic and hypoxic.</w:t>
            </w:r>
          </w:p>
          <w:p w14:paraId="43240184" w14:textId="77777777" w:rsidR="000923BB" w:rsidRPr="003121EE" w:rsidRDefault="000923BB" w:rsidP="003A385F">
            <w:pPr>
              <w:spacing w:after="0" w:line="240" w:lineRule="auto"/>
              <w:jc w:val="both"/>
              <w:rPr>
                <w:rFonts w:cs="Arial"/>
                <w:sz w:val="20"/>
                <w:szCs w:val="20"/>
              </w:rPr>
            </w:pPr>
            <w:r w:rsidRPr="00663EB4">
              <w:rPr>
                <w:rFonts w:cs="Arial"/>
                <w:sz w:val="20"/>
                <w:szCs w:val="20"/>
              </w:rPr>
              <w:t xml:space="preserve">No </w:t>
            </w:r>
            <w:r>
              <w:rPr>
                <w:rFonts w:cs="Arial"/>
                <w:sz w:val="20"/>
                <w:szCs w:val="20"/>
              </w:rPr>
              <w:t>O</w:t>
            </w:r>
            <w:r w:rsidRPr="00663EB4">
              <w:rPr>
                <w:rFonts w:cs="Arial"/>
                <w:sz w:val="20"/>
                <w:szCs w:val="20"/>
              </w:rPr>
              <w:t xml:space="preserve">2 </w:t>
            </w:r>
            <w:r>
              <w:rPr>
                <w:rFonts w:cs="Arial"/>
                <w:sz w:val="20"/>
                <w:szCs w:val="20"/>
              </w:rPr>
              <w:t xml:space="preserve">(Oxygen) </w:t>
            </w:r>
            <w:r w:rsidRPr="00663EB4">
              <w:rPr>
                <w:rFonts w:cs="Arial"/>
                <w:sz w:val="20"/>
                <w:szCs w:val="20"/>
              </w:rPr>
              <w:t>[not documented]</w:t>
            </w:r>
          </w:p>
          <w:p w14:paraId="575AF0DB" w14:textId="77777777" w:rsidR="000923BB" w:rsidRPr="003121EE" w:rsidRDefault="000923BB" w:rsidP="003A385F">
            <w:pPr>
              <w:spacing w:after="0" w:line="240" w:lineRule="auto"/>
              <w:jc w:val="both"/>
              <w:rPr>
                <w:rFonts w:cs="Arial"/>
                <w:sz w:val="20"/>
                <w:szCs w:val="20"/>
              </w:rPr>
            </w:pPr>
            <w:r w:rsidRPr="00663EB4">
              <w:rPr>
                <w:rFonts w:cs="Arial"/>
                <w:sz w:val="20"/>
                <w:szCs w:val="20"/>
              </w:rPr>
              <w:t>No GTN</w:t>
            </w:r>
            <w:r>
              <w:rPr>
                <w:rFonts w:cs="Arial"/>
                <w:sz w:val="20"/>
                <w:szCs w:val="20"/>
              </w:rPr>
              <w:t xml:space="preserve"> (Glyceryl trinitrate</w:t>
            </w:r>
            <w:r w:rsidRPr="00663EB4">
              <w:rPr>
                <w:rFonts w:cs="Arial"/>
                <w:sz w:val="20"/>
                <w:szCs w:val="20"/>
              </w:rPr>
              <w:t xml:space="preserve">, </w:t>
            </w:r>
          </w:p>
          <w:p w14:paraId="56D6DB79" w14:textId="77777777" w:rsidR="000923BB" w:rsidRPr="003121EE" w:rsidRDefault="000923BB" w:rsidP="003A385F">
            <w:pPr>
              <w:spacing w:after="0" w:line="240" w:lineRule="auto"/>
              <w:jc w:val="both"/>
              <w:rPr>
                <w:rFonts w:cs="Arial"/>
                <w:sz w:val="20"/>
                <w:szCs w:val="20"/>
              </w:rPr>
            </w:pPr>
            <w:r w:rsidRPr="00663EB4">
              <w:rPr>
                <w:rFonts w:cs="Arial"/>
                <w:sz w:val="20"/>
                <w:szCs w:val="20"/>
              </w:rPr>
              <w:t>pitiful dose of frusemide</w:t>
            </w:r>
            <w:r>
              <w:rPr>
                <w:rFonts w:cs="Arial"/>
                <w:sz w:val="20"/>
                <w:szCs w:val="20"/>
              </w:rPr>
              <w:t xml:space="preserve"> (furosemide)</w:t>
            </w:r>
            <w:r w:rsidRPr="00663EB4">
              <w:rPr>
                <w:rFonts w:cs="Arial"/>
                <w:sz w:val="20"/>
                <w:szCs w:val="20"/>
              </w:rPr>
              <w:t xml:space="preserve"> (20mg IV</w:t>
            </w:r>
            <w:r>
              <w:rPr>
                <w:rFonts w:cs="Arial"/>
                <w:sz w:val="20"/>
                <w:szCs w:val="20"/>
              </w:rPr>
              <w:t xml:space="preserve"> (Intravenous)</w:t>
            </w:r>
            <w:r w:rsidRPr="00663EB4">
              <w:rPr>
                <w:rFonts w:cs="Arial"/>
                <w:sz w:val="20"/>
                <w:szCs w:val="20"/>
              </w:rPr>
              <w:t>)</w:t>
            </w:r>
          </w:p>
          <w:p w14:paraId="0BAE899A" w14:textId="77777777" w:rsidR="000923BB" w:rsidRPr="000611C7" w:rsidRDefault="000923BB" w:rsidP="003A385F">
            <w:pPr>
              <w:spacing w:after="0" w:line="240" w:lineRule="auto"/>
              <w:jc w:val="both"/>
              <w:rPr>
                <w:rFonts w:cs="Arial"/>
                <w:sz w:val="20"/>
                <w:szCs w:val="20"/>
              </w:rPr>
            </w:pPr>
            <w:r w:rsidRPr="00663EB4">
              <w:rPr>
                <w:rFonts w:cs="Arial"/>
                <w:sz w:val="20"/>
                <w:szCs w:val="20"/>
              </w:rPr>
              <w:t>Extremely poor management</w:t>
            </w:r>
          </w:p>
        </w:tc>
        <w:tc>
          <w:tcPr>
            <w:tcW w:w="1701" w:type="dxa"/>
          </w:tcPr>
          <w:p w14:paraId="41E187DA" w14:textId="77777777" w:rsidR="000923BB" w:rsidRPr="000611C7" w:rsidRDefault="000923BB" w:rsidP="003A385F">
            <w:pPr>
              <w:spacing w:after="0" w:line="240" w:lineRule="auto"/>
              <w:jc w:val="both"/>
              <w:rPr>
                <w:rFonts w:cs="Arial"/>
                <w:sz w:val="20"/>
                <w:szCs w:val="20"/>
              </w:rPr>
            </w:pPr>
            <w:r w:rsidRPr="000611C7">
              <w:rPr>
                <w:rFonts w:cs="Arial"/>
                <w:sz w:val="20"/>
                <w:szCs w:val="20"/>
              </w:rPr>
              <w:t>Neg</w:t>
            </w:r>
            <w:r w:rsidRPr="003121EE">
              <w:rPr>
                <w:rFonts w:cs="Arial"/>
                <w:sz w:val="20"/>
                <w:szCs w:val="20"/>
              </w:rPr>
              <w:t>/</w:t>
            </w:r>
            <w:r w:rsidRPr="00663EB4">
              <w:rPr>
                <w:rFonts w:cs="Arial"/>
                <w:sz w:val="20"/>
                <w:szCs w:val="20"/>
              </w:rPr>
              <w:t>B</w:t>
            </w:r>
            <w:r w:rsidRPr="000611C7">
              <w:rPr>
                <w:rFonts w:cs="Arial"/>
                <w:sz w:val="20"/>
                <w:szCs w:val="20"/>
              </w:rPr>
              <w:t xml:space="preserve"> </w:t>
            </w:r>
          </w:p>
          <w:p w14:paraId="042584CD" w14:textId="77777777" w:rsidR="000923BB" w:rsidRPr="000611C7" w:rsidRDefault="000923BB" w:rsidP="003A385F">
            <w:pPr>
              <w:spacing w:after="0" w:line="240" w:lineRule="auto"/>
              <w:jc w:val="both"/>
              <w:rPr>
                <w:rFonts w:cs="Arial"/>
                <w:sz w:val="20"/>
                <w:szCs w:val="20"/>
              </w:rPr>
            </w:pPr>
            <w:r>
              <w:rPr>
                <w:rFonts w:cs="Arial"/>
                <w:sz w:val="20"/>
                <w:szCs w:val="20"/>
              </w:rPr>
              <w:t>Neg/B</w:t>
            </w:r>
          </w:p>
          <w:p w14:paraId="2E644E57" w14:textId="77777777" w:rsidR="000923BB" w:rsidRPr="000611C7" w:rsidRDefault="000923BB" w:rsidP="003A385F">
            <w:pPr>
              <w:spacing w:after="0" w:line="240" w:lineRule="auto"/>
              <w:jc w:val="both"/>
              <w:rPr>
                <w:rFonts w:cs="Arial"/>
                <w:sz w:val="20"/>
                <w:szCs w:val="20"/>
              </w:rPr>
            </w:pPr>
            <w:r>
              <w:rPr>
                <w:rFonts w:cs="Arial"/>
                <w:sz w:val="20"/>
                <w:szCs w:val="20"/>
              </w:rPr>
              <w:t>Neg/B</w:t>
            </w:r>
          </w:p>
          <w:p w14:paraId="591E3D57" w14:textId="77777777" w:rsidR="000923BB" w:rsidRDefault="000923BB" w:rsidP="003A385F">
            <w:pPr>
              <w:spacing w:after="0" w:line="240" w:lineRule="auto"/>
              <w:jc w:val="both"/>
              <w:rPr>
                <w:rFonts w:cs="Arial"/>
                <w:sz w:val="20"/>
                <w:szCs w:val="20"/>
              </w:rPr>
            </w:pPr>
          </w:p>
          <w:p w14:paraId="7824155C" w14:textId="77777777" w:rsidR="000923BB" w:rsidRDefault="000923BB" w:rsidP="003A385F">
            <w:pPr>
              <w:spacing w:after="0" w:line="240" w:lineRule="auto"/>
              <w:jc w:val="both"/>
              <w:rPr>
                <w:rFonts w:cs="Arial"/>
                <w:sz w:val="20"/>
                <w:szCs w:val="20"/>
              </w:rPr>
            </w:pPr>
          </w:p>
          <w:p w14:paraId="1B5453B3" w14:textId="77777777" w:rsidR="000923BB" w:rsidRDefault="000923BB" w:rsidP="003A385F">
            <w:pPr>
              <w:spacing w:after="0" w:line="240" w:lineRule="auto"/>
              <w:jc w:val="both"/>
              <w:rPr>
                <w:rFonts w:cs="Arial"/>
                <w:sz w:val="20"/>
                <w:szCs w:val="20"/>
              </w:rPr>
            </w:pPr>
            <w:r w:rsidRPr="000611C7">
              <w:rPr>
                <w:rFonts w:cs="Arial"/>
                <w:sz w:val="20"/>
                <w:szCs w:val="20"/>
              </w:rPr>
              <w:t>Neg</w:t>
            </w:r>
            <w:r w:rsidRPr="003121EE">
              <w:rPr>
                <w:rFonts w:cs="Arial"/>
                <w:sz w:val="20"/>
                <w:szCs w:val="20"/>
              </w:rPr>
              <w:t>/</w:t>
            </w:r>
            <w:r>
              <w:rPr>
                <w:rFonts w:cs="Arial"/>
                <w:sz w:val="20"/>
                <w:szCs w:val="20"/>
              </w:rPr>
              <w:t>B</w:t>
            </w:r>
          </w:p>
          <w:p w14:paraId="0D1BB573" w14:textId="77777777" w:rsidR="000923BB" w:rsidRDefault="000923BB" w:rsidP="003A385F">
            <w:pPr>
              <w:spacing w:after="0" w:line="240" w:lineRule="auto"/>
              <w:jc w:val="both"/>
              <w:rPr>
                <w:rFonts w:cs="Arial"/>
                <w:sz w:val="20"/>
                <w:szCs w:val="20"/>
              </w:rPr>
            </w:pPr>
          </w:p>
          <w:p w14:paraId="7B0CB1D3" w14:textId="77777777" w:rsidR="000923BB" w:rsidRDefault="000923BB" w:rsidP="003A385F">
            <w:pPr>
              <w:spacing w:after="0" w:line="240" w:lineRule="auto"/>
              <w:jc w:val="both"/>
              <w:rPr>
                <w:rFonts w:cs="Arial"/>
                <w:sz w:val="20"/>
                <w:szCs w:val="20"/>
              </w:rPr>
            </w:pPr>
            <w:r>
              <w:rPr>
                <w:rFonts w:cs="Arial"/>
                <w:sz w:val="20"/>
                <w:szCs w:val="20"/>
              </w:rPr>
              <w:t>Neg/B</w:t>
            </w:r>
          </w:p>
          <w:p w14:paraId="310EDC92" w14:textId="77777777" w:rsidR="000923BB" w:rsidRDefault="000923BB" w:rsidP="003A385F">
            <w:pPr>
              <w:spacing w:after="0" w:line="240" w:lineRule="auto"/>
              <w:jc w:val="both"/>
              <w:rPr>
                <w:rFonts w:cs="Arial"/>
                <w:sz w:val="20"/>
                <w:szCs w:val="20"/>
              </w:rPr>
            </w:pPr>
            <w:r>
              <w:rPr>
                <w:rFonts w:cs="Arial"/>
                <w:sz w:val="20"/>
                <w:szCs w:val="20"/>
              </w:rPr>
              <w:t>Neg/B</w:t>
            </w:r>
          </w:p>
          <w:p w14:paraId="22309CB1" w14:textId="77777777" w:rsidR="000923BB" w:rsidRDefault="000923BB" w:rsidP="003A385F">
            <w:pPr>
              <w:spacing w:after="0" w:line="240" w:lineRule="auto"/>
              <w:jc w:val="both"/>
              <w:rPr>
                <w:rFonts w:cs="Arial"/>
                <w:sz w:val="20"/>
                <w:szCs w:val="20"/>
              </w:rPr>
            </w:pPr>
            <w:r>
              <w:rPr>
                <w:rFonts w:cs="Arial"/>
                <w:sz w:val="20"/>
                <w:szCs w:val="20"/>
              </w:rPr>
              <w:t>Neg/C</w:t>
            </w:r>
          </w:p>
          <w:p w14:paraId="3DF7E900" w14:textId="77777777" w:rsidR="000923BB" w:rsidRDefault="000923BB" w:rsidP="003A385F">
            <w:pPr>
              <w:spacing w:after="0" w:line="240" w:lineRule="auto"/>
              <w:jc w:val="both"/>
              <w:rPr>
                <w:rFonts w:cs="Arial"/>
                <w:sz w:val="20"/>
                <w:szCs w:val="20"/>
              </w:rPr>
            </w:pPr>
          </w:p>
          <w:p w14:paraId="6AB26F67" w14:textId="77777777" w:rsidR="000923BB" w:rsidRPr="000611C7" w:rsidRDefault="000923BB" w:rsidP="003A385F">
            <w:pPr>
              <w:spacing w:after="0" w:line="240" w:lineRule="auto"/>
              <w:jc w:val="both"/>
              <w:rPr>
                <w:rFonts w:cs="Arial"/>
                <w:sz w:val="20"/>
                <w:szCs w:val="20"/>
              </w:rPr>
            </w:pPr>
            <w:r>
              <w:rPr>
                <w:rFonts w:cs="Arial"/>
                <w:sz w:val="20"/>
                <w:szCs w:val="20"/>
              </w:rPr>
              <w:t>Neg/C</w:t>
            </w:r>
          </w:p>
        </w:tc>
      </w:tr>
      <w:tr w:rsidR="000923BB" w:rsidRPr="000611C7" w14:paraId="522AB5F7" w14:textId="77777777" w:rsidTr="00656B70">
        <w:tc>
          <w:tcPr>
            <w:tcW w:w="1384" w:type="dxa"/>
          </w:tcPr>
          <w:p w14:paraId="7C5EA934" w14:textId="77777777" w:rsidR="000923BB" w:rsidRDefault="000923BB" w:rsidP="003A385F">
            <w:pPr>
              <w:spacing w:after="0" w:line="240" w:lineRule="auto"/>
              <w:jc w:val="both"/>
              <w:rPr>
                <w:rFonts w:cs="Arial"/>
                <w:sz w:val="20"/>
                <w:szCs w:val="20"/>
              </w:rPr>
            </w:pPr>
            <w:r>
              <w:rPr>
                <w:rFonts w:cs="Arial"/>
                <w:sz w:val="20"/>
                <w:szCs w:val="20"/>
              </w:rPr>
              <w:t>Early</w:t>
            </w:r>
            <w:r w:rsidRPr="000611C7">
              <w:rPr>
                <w:rFonts w:cs="Arial"/>
                <w:sz w:val="20"/>
                <w:szCs w:val="20"/>
              </w:rPr>
              <w:t xml:space="preserve"> management</w:t>
            </w:r>
          </w:p>
          <w:p w14:paraId="568E2407" w14:textId="77777777" w:rsidR="000923BB" w:rsidRPr="000611C7" w:rsidRDefault="000923BB" w:rsidP="003A385F">
            <w:pPr>
              <w:spacing w:after="0" w:line="240" w:lineRule="auto"/>
              <w:jc w:val="both"/>
              <w:rPr>
                <w:rFonts w:cs="Arial"/>
                <w:sz w:val="20"/>
                <w:szCs w:val="20"/>
              </w:rPr>
            </w:pPr>
            <w:r>
              <w:rPr>
                <w:rFonts w:cs="Arial"/>
                <w:sz w:val="20"/>
                <w:szCs w:val="20"/>
              </w:rPr>
              <w:t>Phase score 1</w:t>
            </w:r>
          </w:p>
        </w:tc>
        <w:tc>
          <w:tcPr>
            <w:tcW w:w="5137" w:type="dxa"/>
          </w:tcPr>
          <w:p w14:paraId="26090F5D" w14:textId="77777777" w:rsidR="000923BB" w:rsidRPr="000611C7" w:rsidRDefault="000923BB" w:rsidP="003A385F">
            <w:pPr>
              <w:spacing w:after="0" w:line="240" w:lineRule="auto"/>
              <w:jc w:val="both"/>
              <w:rPr>
                <w:rFonts w:cs="Arial"/>
                <w:sz w:val="20"/>
                <w:szCs w:val="20"/>
              </w:rPr>
            </w:pPr>
            <w:r w:rsidRPr="00663EB4">
              <w:rPr>
                <w:rFonts w:cs="Arial"/>
                <w:sz w:val="20"/>
                <w:szCs w:val="20"/>
              </w:rPr>
              <w:t>Medical team made no attempt to adequately treat the heart failure</w:t>
            </w:r>
          </w:p>
          <w:p w14:paraId="449F2F10" w14:textId="77777777" w:rsidR="000923BB" w:rsidRPr="0023790D" w:rsidRDefault="000923BB" w:rsidP="003A385F">
            <w:pPr>
              <w:spacing w:after="0" w:line="240" w:lineRule="auto"/>
              <w:jc w:val="both"/>
              <w:rPr>
                <w:rFonts w:cs="Arial"/>
                <w:sz w:val="20"/>
                <w:szCs w:val="20"/>
              </w:rPr>
            </w:pPr>
            <w:r w:rsidRPr="00663EB4">
              <w:rPr>
                <w:rFonts w:cs="Arial"/>
                <w:sz w:val="20"/>
                <w:szCs w:val="20"/>
              </w:rPr>
              <w:t>No comment on the CXR</w:t>
            </w:r>
          </w:p>
          <w:p w14:paraId="29DD4F35" w14:textId="77777777" w:rsidR="000923BB" w:rsidRPr="0023790D" w:rsidRDefault="000923BB" w:rsidP="003A385F">
            <w:pPr>
              <w:spacing w:after="0" w:line="240" w:lineRule="auto"/>
              <w:jc w:val="both"/>
              <w:rPr>
                <w:rFonts w:cs="Arial"/>
                <w:sz w:val="20"/>
                <w:szCs w:val="20"/>
              </w:rPr>
            </w:pPr>
            <w:r w:rsidRPr="00663EB4">
              <w:rPr>
                <w:rFonts w:cs="Arial"/>
                <w:sz w:val="20"/>
                <w:szCs w:val="20"/>
              </w:rPr>
              <w:t>No ABGs</w:t>
            </w:r>
          </w:p>
          <w:p w14:paraId="2A34684A" w14:textId="77777777" w:rsidR="000923BB" w:rsidRPr="0023790D" w:rsidRDefault="000923BB" w:rsidP="003A385F">
            <w:pPr>
              <w:spacing w:after="0" w:line="240" w:lineRule="auto"/>
              <w:jc w:val="both"/>
              <w:rPr>
                <w:rFonts w:cs="Arial"/>
                <w:sz w:val="20"/>
                <w:szCs w:val="20"/>
              </w:rPr>
            </w:pPr>
            <w:r w:rsidRPr="00663EB4">
              <w:rPr>
                <w:rFonts w:cs="Arial"/>
                <w:sz w:val="20"/>
                <w:szCs w:val="20"/>
              </w:rPr>
              <w:t xml:space="preserve">CPAP </w:t>
            </w:r>
            <w:r>
              <w:rPr>
                <w:rFonts w:cs="Arial"/>
                <w:sz w:val="20"/>
                <w:szCs w:val="20"/>
              </w:rPr>
              <w:t xml:space="preserve">(Continuous positive airway pressure) </w:t>
            </w:r>
            <w:r w:rsidRPr="00663EB4">
              <w:rPr>
                <w:rFonts w:cs="Arial"/>
                <w:sz w:val="20"/>
                <w:szCs w:val="20"/>
              </w:rPr>
              <w:t>started without ABGs</w:t>
            </w:r>
          </w:p>
          <w:p w14:paraId="3791B606" w14:textId="77777777" w:rsidR="000923BB" w:rsidRPr="000611C7" w:rsidRDefault="000923BB" w:rsidP="003A385F">
            <w:pPr>
              <w:spacing w:after="0" w:line="240" w:lineRule="auto"/>
              <w:jc w:val="both"/>
              <w:rPr>
                <w:rFonts w:cs="Arial"/>
                <w:sz w:val="20"/>
                <w:szCs w:val="20"/>
              </w:rPr>
            </w:pPr>
            <w:r w:rsidRPr="00663EB4">
              <w:rPr>
                <w:rFonts w:cs="Arial"/>
                <w:sz w:val="20"/>
                <w:szCs w:val="20"/>
              </w:rPr>
              <w:t>Did record a resuscitation status</w:t>
            </w:r>
          </w:p>
          <w:p w14:paraId="6C00E788" w14:textId="77777777" w:rsidR="000923BB" w:rsidRPr="0023790D" w:rsidRDefault="000923BB" w:rsidP="003A385F">
            <w:pPr>
              <w:spacing w:after="0" w:line="240" w:lineRule="auto"/>
              <w:jc w:val="both"/>
              <w:rPr>
                <w:rFonts w:cs="Arial"/>
                <w:sz w:val="20"/>
                <w:szCs w:val="20"/>
              </w:rPr>
            </w:pPr>
            <w:r w:rsidRPr="00663EB4">
              <w:rPr>
                <w:rFonts w:cs="Arial"/>
                <w:sz w:val="20"/>
                <w:szCs w:val="20"/>
              </w:rPr>
              <w:t>Documentation very poor e.g. no reference to the fact that she was so unwell or whether they thought it likely that she would die.</w:t>
            </w:r>
          </w:p>
          <w:p w14:paraId="79BF4710" w14:textId="77777777" w:rsidR="000923BB" w:rsidRPr="000611C7" w:rsidRDefault="000923BB" w:rsidP="003A385F">
            <w:pPr>
              <w:spacing w:after="0" w:line="240" w:lineRule="auto"/>
              <w:jc w:val="both"/>
              <w:rPr>
                <w:rFonts w:cs="Arial"/>
                <w:sz w:val="20"/>
                <w:szCs w:val="20"/>
              </w:rPr>
            </w:pPr>
            <w:r w:rsidRPr="00663EB4">
              <w:rPr>
                <w:rFonts w:cs="Arial"/>
                <w:sz w:val="20"/>
                <w:szCs w:val="20"/>
              </w:rPr>
              <w:t>No discussion with the family or relatives</w:t>
            </w:r>
          </w:p>
        </w:tc>
        <w:tc>
          <w:tcPr>
            <w:tcW w:w="1701" w:type="dxa"/>
          </w:tcPr>
          <w:p w14:paraId="3A1617FD" w14:textId="77777777" w:rsidR="000923BB" w:rsidRPr="000611C7" w:rsidRDefault="000923BB" w:rsidP="003A385F">
            <w:pPr>
              <w:spacing w:after="0" w:line="240" w:lineRule="auto"/>
              <w:jc w:val="both"/>
              <w:rPr>
                <w:rFonts w:cs="Arial"/>
                <w:sz w:val="20"/>
                <w:szCs w:val="20"/>
              </w:rPr>
            </w:pPr>
            <w:r>
              <w:rPr>
                <w:rFonts w:cs="Arial"/>
                <w:sz w:val="20"/>
                <w:szCs w:val="20"/>
              </w:rPr>
              <w:t>Neg</w:t>
            </w:r>
            <w:r w:rsidRPr="0023790D">
              <w:rPr>
                <w:rFonts w:cs="Arial"/>
                <w:sz w:val="20"/>
                <w:szCs w:val="20"/>
              </w:rPr>
              <w:t>/</w:t>
            </w:r>
            <w:r>
              <w:rPr>
                <w:rFonts w:cs="Arial"/>
                <w:sz w:val="20"/>
                <w:szCs w:val="20"/>
              </w:rPr>
              <w:t>C</w:t>
            </w:r>
          </w:p>
          <w:p w14:paraId="7CA32364" w14:textId="77777777" w:rsidR="000923BB" w:rsidRDefault="000923BB" w:rsidP="003A385F">
            <w:pPr>
              <w:spacing w:after="0" w:line="240" w:lineRule="auto"/>
              <w:jc w:val="both"/>
              <w:rPr>
                <w:rFonts w:cs="Arial"/>
                <w:sz w:val="20"/>
                <w:szCs w:val="20"/>
              </w:rPr>
            </w:pPr>
          </w:p>
          <w:p w14:paraId="1991B568" w14:textId="77777777" w:rsidR="000923BB" w:rsidRPr="000611C7" w:rsidRDefault="000923BB" w:rsidP="003A385F">
            <w:pPr>
              <w:spacing w:after="0" w:line="240" w:lineRule="auto"/>
              <w:jc w:val="both"/>
              <w:rPr>
                <w:rFonts w:cs="Arial"/>
                <w:sz w:val="20"/>
                <w:szCs w:val="20"/>
              </w:rPr>
            </w:pPr>
            <w:r>
              <w:rPr>
                <w:rFonts w:cs="Arial"/>
                <w:sz w:val="20"/>
                <w:szCs w:val="20"/>
              </w:rPr>
              <w:t>Neg/B</w:t>
            </w:r>
          </w:p>
          <w:p w14:paraId="05E916D9" w14:textId="77777777" w:rsidR="000923BB" w:rsidRDefault="000923BB" w:rsidP="003A385F">
            <w:pPr>
              <w:spacing w:after="0" w:line="240" w:lineRule="auto"/>
              <w:jc w:val="both"/>
              <w:rPr>
                <w:rFonts w:cs="Arial"/>
                <w:sz w:val="20"/>
                <w:szCs w:val="20"/>
              </w:rPr>
            </w:pPr>
            <w:r w:rsidRPr="000611C7">
              <w:rPr>
                <w:rFonts w:cs="Arial"/>
                <w:sz w:val="20"/>
                <w:szCs w:val="20"/>
              </w:rPr>
              <w:t>Neg</w:t>
            </w:r>
            <w:r w:rsidRPr="0023790D">
              <w:rPr>
                <w:rFonts w:cs="Arial"/>
                <w:sz w:val="20"/>
                <w:szCs w:val="20"/>
              </w:rPr>
              <w:t>/</w:t>
            </w:r>
            <w:r w:rsidRPr="00663EB4">
              <w:rPr>
                <w:rFonts w:cs="Arial"/>
                <w:sz w:val="20"/>
                <w:szCs w:val="20"/>
              </w:rPr>
              <w:t>B</w:t>
            </w:r>
          </w:p>
          <w:p w14:paraId="5A1E41EC" w14:textId="77777777" w:rsidR="000923BB" w:rsidRPr="000611C7" w:rsidRDefault="000923BB" w:rsidP="003A385F">
            <w:pPr>
              <w:spacing w:after="0" w:line="240" w:lineRule="auto"/>
              <w:jc w:val="both"/>
              <w:rPr>
                <w:rFonts w:cs="Arial"/>
                <w:sz w:val="20"/>
                <w:szCs w:val="20"/>
              </w:rPr>
            </w:pPr>
            <w:r>
              <w:rPr>
                <w:rFonts w:cs="Arial"/>
                <w:sz w:val="20"/>
                <w:szCs w:val="20"/>
              </w:rPr>
              <w:t>Neg/B</w:t>
            </w:r>
          </w:p>
          <w:p w14:paraId="55D3D253" w14:textId="77777777" w:rsidR="000923BB" w:rsidRDefault="000923BB" w:rsidP="003A385F">
            <w:pPr>
              <w:spacing w:after="0" w:line="240" w:lineRule="auto"/>
              <w:jc w:val="both"/>
              <w:rPr>
                <w:rFonts w:cs="Arial"/>
                <w:sz w:val="20"/>
                <w:szCs w:val="20"/>
              </w:rPr>
            </w:pPr>
          </w:p>
          <w:p w14:paraId="3A38A0F4" w14:textId="77777777" w:rsidR="000923BB" w:rsidRPr="000611C7" w:rsidRDefault="000923BB" w:rsidP="003A385F">
            <w:pPr>
              <w:spacing w:after="0" w:line="240" w:lineRule="auto"/>
              <w:jc w:val="both"/>
              <w:rPr>
                <w:rFonts w:cs="Arial"/>
                <w:sz w:val="20"/>
                <w:szCs w:val="20"/>
              </w:rPr>
            </w:pPr>
            <w:r>
              <w:rPr>
                <w:rFonts w:cs="Arial"/>
                <w:sz w:val="20"/>
                <w:szCs w:val="20"/>
              </w:rPr>
              <w:t>Pos/B</w:t>
            </w:r>
          </w:p>
          <w:p w14:paraId="29839293" w14:textId="77777777" w:rsidR="000923BB" w:rsidRDefault="000923BB" w:rsidP="003A385F">
            <w:pPr>
              <w:spacing w:after="0" w:line="240" w:lineRule="auto"/>
              <w:jc w:val="both"/>
              <w:rPr>
                <w:rFonts w:cs="Arial"/>
                <w:sz w:val="20"/>
                <w:szCs w:val="20"/>
              </w:rPr>
            </w:pPr>
            <w:r w:rsidRPr="000611C7">
              <w:rPr>
                <w:rFonts w:cs="Arial"/>
                <w:sz w:val="20"/>
                <w:szCs w:val="20"/>
              </w:rPr>
              <w:t>Neg</w:t>
            </w:r>
            <w:r w:rsidRPr="0023790D">
              <w:rPr>
                <w:rFonts w:cs="Arial"/>
                <w:sz w:val="20"/>
                <w:szCs w:val="20"/>
              </w:rPr>
              <w:t>/</w:t>
            </w:r>
            <w:r w:rsidRPr="00663EB4">
              <w:rPr>
                <w:rFonts w:cs="Arial"/>
                <w:sz w:val="20"/>
                <w:szCs w:val="20"/>
              </w:rPr>
              <w:t>C</w:t>
            </w:r>
          </w:p>
          <w:p w14:paraId="379AD464" w14:textId="77777777" w:rsidR="000923BB" w:rsidRDefault="000923BB" w:rsidP="003A385F">
            <w:pPr>
              <w:spacing w:after="0" w:line="240" w:lineRule="auto"/>
              <w:jc w:val="both"/>
              <w:rPr>
                <w:rFonts w:cs="Arial"/>
                <w:sz w:val="20"/>
                <w:szCs w:val="20"/>
              </w:rPr>
            </w:pPr>
          </w:p>
          <w:p w14:paraId="49D2C2A4" w14:textId="77777777" w:rsidR="000923BB" w:rsidRDefault="000923BB" w:rsidP="003A385F">
            <w:pPr>
              <w:spacing w:after="0" w:line="240" w:lineRule="auto"/>
              <w:jc w:val="both"/>
              <w:rPr>
                <w:rFonts w:cs="Arial"/>
                <w:sz w:val="20"/>
                <w:szCs w:val="20"/>
              </w:rPr>
            </w:pPr>
          </w:p>
          <w:p w14:paraId="3581DDE7" w14:textId="77777777" w:rsidR="000923BB" w:rsidRPr="000611C7" w:rsidRDefault="000923BB" w:rsidP="003A385F">
            <w:pPr>
              <w:spacing w:after="0" w:line="240" w:lineRule="auto"/>
              <w:jc w:val="both"/>
              <w:rPr>
                <w:rFonts w:cs="Arial"/>
                <w:sz w:val="20"/>
                <w:szCs w:val="20"/>
              </w:rPr>
            </w:pPr>
            <w:r>
              <w:rPr>
                <w:rFonts w:cs="Arial"/>
                <w:sz w:val="20"/>
                <w:szCs w:val="20"/>
              </w:rPr>
              <w:t>Neg/C</w:t>
            </w:r>
          </w:p>
        </w:tc>
      </w:tr>
      <w:tr w:rsidR="000923BB" w:rsidRPr="000611C7" w14:paraId="6FBE44D1" w14:textId="77777777" w:rsidTr="00656B70">
        <w:tc>
          <w:tcPr>
            <w:tcW w:w="1384" w:type="dxa"/>
          </w:tcPr>
          <w:p w14:paraId="4B93B6C5" w14:textId="77777777" w:rsidR="008D0A20" w:rsidRDefault="008D0A20" w:rsidP="003A385F">
            <w:pPr>
              <w:spacing w:after="0" w:line="240" w:lineRule="auto"/>
              <w:jc w:val="both"/>
              <w:rPr>
                <w:rFonts w:cs="Arial"/>
                <w:sz w:val="20"/>
                <w:szCs w:val="20"/>
              </w:rPr>
            </w:pPr>
          </w:p>
          <w:p w14:paraId="7CD78EEF" w14:textId="77777777" w:rsidR="000923BB" w:rsidRPr="000611C7" w:rsidRDefault="000923BB" w:rsidP="003A385F">
            <w:pPr>
              <w:spacing w:after="0" w:line="240" w:lineRule="auto"/>
              <w:jc w:val="both"/>
              <w:rPr>
                <w:rFonts w:cs="Arial"/>
                <w:sz w:val="20"/>
                <w:szCs w:val="20"/>
              </w:rPr>
            </w:pPr>
            <w:r w:rsidRPr="000611C7">
              <w:rPr>
                <w:rFonts w:cs="Arial"/>
                <w:sz w:val="20"/>
                <w:szCs w:val="20"/>
              </w:rPr>
              <w:lastRenderedPageBreak/>
              <w:t xml:space="preserve">Later </w:t>
            </w:r>
            <w:r>
              <w:rPr>
                <w:rFonts w:cs="Arial"/>
                <w:sz w:val="20"/>
                <w:szCs w:val="20"/>
              </w:rPr>
              <w:t>management</w:t>
            </w:r>
          </w:p>
        </w:tc>
        <w:tc>
          <w:tcPr>
            <w:tcW w:w="5137" w:type="dxa"/>
          </w:tcPr>
          <w:p w14:paraId="74937230" w14:textId="77777777" w:rsidR="008D0A20" w:rsidRDefault="008D0A20" w:rsidP="003A385F">
            <w:pPr>
              <w:spacing w:after="0" w:line="240" w:lineRule="auto"/>
              <w:jc w:val="both"/>
              <w:rPr>
                <w:rFonts w:cs="Arial"/>
                <w:sz w:val="20"/>
                <w:szCs w:val="20"/>
              </w:rPr>
            </w:pPr>
          </w:p>
          <w:p w14:paraId="579095F2" w14:textId="77777777" w:rsidR="000923BB" w:rsidRPr="000611C7" w:rsidRDefault="000923BB" w:rsidP="003A385F">
            <w:pPr>
              <w:spacing w:after="0" w:line="240" w:lineRule="auto"/>
              <w:jc w:val="both"/>
              <w:rPr>
                <w:rFonts w:cs="Arial"/>
                <w:sz w:val="20"/>
                <w:szCs w:val="20"/>
              </w:rPr>
            </w:pPr>
            <w:r w:rsidRPr="000611C7">
              <w:rPr>
                <w:rFonts w:cs="Arial"/>
                <w:sz w:val="20"/>
                <w:szCs w:val="20"/>
              </w:rPr>
              <w:lastRenderedPageBreak/>
              <w:t>See previous</w:t>
            </w:r>
          </w:p>
        </w:tc>
        <w:tc>
          <w:tcPr>
            <w:tcW w:w="1701" w:type="dxa"/>
          </w:tcPr>
          <w:p w14:paraId="60D53E27" w14:textId="77777777" w:rsidR="000923BB" w:rsidRPr="000611C7" w:rsidRDefault="000923BB" w:rsidP="003A385F">
            <w:pPr>
              <w:spacing w:after="0" w:line="240" w:lineRule="auto"/>
              <w:jc w:val="both"/>
              <w:rPr>
                <w:rFonts w:cs="Arial"/>
                <w:sz w:val="20"/>
                <w:szCs w:val="20"/>
              </w:rPr>
            </w:pPr>
          </w:p>
        </w:tc>
      </w:tr>
      <w:tr w:rsidR="000923BB" w:rsidRPr="000611C7" w14:paraId="009F4FE7" w14:textId="77777777" w:rsidTr="00656B70">
        <w:tc>
          <w:tcPr>
            <w:tcW w:w="1384" w:type="dxa"/>
          </w:tcPr>
          <w:p w14:paraId="71630048" w14:textId="77777777" w:rsidR="000923BB" w:rsidRPr="000611C7" w:rsidRDefault="000923BB" w:rsidP="003A385F">
            <w:pPr>
              <w:spacing w:after="0" w:line="240" w:lineRule="auto"/>
              <w:jc w:val="both"/>
              <w:rPr>
                <w:rFonts w:cs="Arial"/>
                <w:sz w:val="20"/>
                <w:szCs w:val="20"/>
              </w:rPr>
            </w:pPr>
            <w:r w:rsidRPr="000611C7">
              <w:rPr>
                <w:rFonts w:cs="Arial"/>
                <w:sz w:val="20"/>
                <w:szCs w:val="20"/>
              </w:rPr>
              <w:t>Overall</w:t>
            </w:r>
            <w:r>
              <w:rPr>
                <w:rFonts w:cs="Arial"/>
                <w:sz w:val="20"/>
                <w:szCs w:val="20"/>
              </w:rPr>
              <w:t xml:space="preserve"> care Score 1</w:t>
            </w:r>
          </w:p>
        </w:tc>
        <w:tc>
          <w:tcPr>
            <w:tcW w:w="5137" w:type="dxa"/>
          </w:tcPr>
          <w:p w14:paraId="7E0EBBD2" w14:textId="77777777" w:rsidR="000923BB" w:rsidRPr="0023790D" w:rsidRDefault="000923BB" w:rsidP="003A385F">
            <w:pPr>
              <w:spacing w:after="0" w:line="240" w:lineRule="auto"/>
              <w:rPr>
                <w:rFonts w:cs="Arial"/>
                <w:sz w:val="20"/>
                <w:szCs w:val="20"/>
              </w:rPr>
            </w:pPr>
            <w:r w:rsidRPr="00663EB4">
              <w:rPr>
                <w:rFonts w:cs="Arial"/>
                <w:sz w:val="20"/>
                <w:szCs w:val="20"/>
              </w:rPr>
              <w:t>All aspects of this case were very poor. History, examination, medical management, documentation</w:t>
            </w:r>
            <w:r w:rsidRPr="0023790D">
              <w:rPr>
                <w:rFonts w:cs="Arial"/>
                <w:sz w:val="20"/>
                <w:szCs w:val="20"/>
              </w:rPr>
              <w:t xml:space="preserve">. </w:t>
            </w:r>
          </w:p>
          <w:p w14:paraId="16485643" w14:textId="77777777" w:rsidR="000923BB" w:rsidRPr="000611C7" w:rsidRDefault="000923BB" w:rsidP="003A385F">
            <w:pPr>
              <w:spacing w:after="0" w:line="240" w:lineRule="auto"/>
              <w:jc w:val="both"/>
              <w:rPr>
                <w:rFonts w:cs="Arial"/>
                <w:sz w:val="20"/>
                <w:szCs w:val="20"/>
              </w:rPr>
            </w:pPr>
            <w:r w:rsidRPr="00663EB4">
              <w:rPr>
                <w:rFonts w:cs="Arial"/>
                <w:sz w:val="20"/>
                <w:szCs w:val="20"/>
              </w:rPr>
              <w:t>If this lady was clearly dying and had multiple co-morbidities, they should have documented this, made the lady comfortable and called the family in.</w:t>
            </w:r>
          </w:p>
        </w:tc>
        <w:tc>
          <w:tcPr>
            <w:tcW w:w="1701" w:type="dxa"/>
          </w:tcPr>
          <w:p w14:paraId="7021FC43" w14:textId="77777777" w:rsidR="000923BB" w:rsidRDefault="000923BB" w:rsidP="003A385F">
            <w:pPr>
              <w:spacing w:after="0" w:line="240" w:lineRule="auto"/>
              <w:jc w:val="both"/>
              <w:rPr>
                <w:rFonts w:cs="Arial"/>
                <w:sz w:val="20"/>
                <w:szCs w:val="20"/>
              </w:rPr>
            </w:pPr>
            <w:r w:rsidRPr="000611C7">
              <w:rPr>
                <w:rFonts w:cs="Arial"/>
                <w:sz w:val="20"/>
                <w:szCs w:val="20"/>
              </w:rPr>
              <w:t>Neg</w:t>
            </w:r>
            <w:r w:rsidRPr="0023790D">
              <w:rPr>
                <w:rFonts w:cs="Arial"/>
                <w:sz w:val="20"/>
                <w:szCs w:val="20"/>
              </w:rPr>
              <w:t>/</w:t>
            </w:r>
            <w:r w:rsidRPr="00663EB4">
              <w:rPr>
                <w:rFonts w:cs="Arial"/>
                <w:sz w:val="20"/>
                <w:szCs w:val="20"/>
              </w:rPr>
              <w:t>C</w:t>
            </w:r>
          </w:p>
          <w:p w14:paraId="62D791D2" w14:textId="77777777" w:rsidR="000923BB" w:rsidRDefault="000923BB" w:rsidP="003A385F">
            <w:pPr>
              <w:spacing w:after="0" w:line="240" w:lineRule="auto"/>
              <w:jc w:val="both"/>
              <w:rPr>
                <w:rFonts w:cs="Arial"/>
                <w:sz w:val="20"/>
                <w:szCs w:val="20"/>
              </w:rPr>
            </w:pPr>
          </w:p>
          <w:p w14:paraId="03020C52" w14:textId="77777777" w:rsidR="000923BB" w:rsidRPr="000611C7" w:rsidRDefault="000923BB" w:rsidP="003A385F">
            <w:pPr>
              <w:spacing w:after="0" w:line="240" w:lineRule="auto"/>
              <w:jc w:val="both"/>
              <w:rPr>
                <w:rFonts w:cs="Arial"/>
                <w:sz w:val="20"/>
                <w:szCs w:val="20"/>
              </w:rPr>
            </w:pPr>
            <w:r>
              <w:rPr>
                <w:rFonts w:cs="Arial"/>
                <w:sz w:val="20"/>
                <w:szCs w:val="20"/>
              </w:rPr>
              <w:t>Neg/C</w:t>
            </w:r>
          </w:p>
        </w:tc>
      </w:tr>
    </w:tbl>
    <w:p w14:paraId="7AC9078A" w14:textId="77777777" w:rsidR="000923BB" w:rsidRDefault="000923BB" w:rsidP="000923BB">
      <w:pPr>
        <w:jc w:val="both"/>
        <w:rPr>
          <w:rFonts w:cs="Arial"/>
        </w:rPr>
      </w:pPr>
    </w:p>
    <w:p w14:paraId="0D3339EF" w14:textId="77777777" w:rsidR="0061108F" w:rsidRDefault="000923BB" w:rsidP="00656B70">
      <w:pPr>
        <w:jc w:val="both"/>
        <w:rPr>
          <w:rFonts w:cs="Arial"/>
          <w:b/>
        </w:rPr>
      </w:pPr>
      <w:r w:rsidRPr="0061108F">
        <w:rPr>
          <w:rFonts w:cs="Arial"/>
          <w:sz w:val="22"/>
          <w:szCs w:val="22"/>
        </w:rPr>
        <w:t xml:space="preserve">Although there are usually more negative comments than there are positive comments when overall care scores are low, as shown in table 2, the case in Box 4 shows examples of how positive and negative comments can be juxtaposed in each phase.  In retrospect, this case also brings the question of whether the overall score of three was the most appropriate – it might be argued from the level of the comment that the case could have been given a lower overall care score of two (see, for example, the comments on later management). </w:t>
      </w:r>
    </w:p>
    <w:p w14:paraId="01422F6A" w14:textId="77777777" w:rsidR="000923BB" w:rsidRDefault="000923BB" w:rsidP="000923BB">
      <w:pPr>
        <w:jc w:val="both"/>
        <w:rPr>
          <w:rFonts w:cs="Arial"/>
        </w:rPr>
      </w:pPr>
      <w:r w:rsidRPr="007456D9">
        <w:rPr>
          <w:rFonts w:cs="Arial"/>
          <w:b/>
        </w:rPr>
        <w:t xml:space="preserve">Box </w:t>
      </w:r>
      <w:r>
        <w:rPr>
          <w:rFonts w:cs="Arial"/>
          <w:b/>
        </w:rPr>
        <w:t>4</w:t>
      </w:r>
      <w:r>
        <w:rPr>
          <w:rFonts w:cs="Arial"/>
        </w:rPr>
        <w:t xml:space="preserve"> </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5137"/>
        <w:gridCol w:w="1701"/>
      </w:tblGrid>
      <w:tr w:rsidR="000923BB" w:rsidRPr="000611C7" w14:paraId="6B5BD111" w14:textId="77777777" w:rsidTr="00656B70">
        <w:tc>
          <w:tcPr>
            <w:tcW w:w="1384" w:type="dxa"/>
          </w:tcPr>
          <w:p w14:paraId="6321A1B7" w14:textId="77777777" w:rsidR="000923BB" w:rsidRPr="0099574A" w:rsidRDefault="000923BB" w:rsidP="003A385F">
            <w:pPr>
              <w:spacing w:after="0" w:line="240" w:lineRule="auto"/>
              <w:jc w:val="both"/>
              <w:rPr>
                <w:rFonts w:cs="Arial"/>
                <w:sz w:val="20"/>
                <w:szCs w:val="20"/>
              </w:rPr>
            </w:pPr>
            <w:r w:rsidRPr="00663EB4">
              <w:rPr>
                <w:rFonts w:cs="Arial"/>
                <w:sz w:val="20"/>
                <w:szCs w:val="20"/>
              </w:rPr>
              <w:t>Overall care score 3</w:t>
            </w:r>
          </w:p>
        </w:tc>
        <w:tc>
          <w:tcPr>
            <w:tcW w:w="5137" w:type="dxa"/>
          </w:tcPr>
          <w:p w14:paraId="1C45C9C4" w14:textId="77777777" w:rsidR="000923BB" w:rsidRPr="000611C7" w:rsidRDefault="000923BB" w:rsidP="003A385F">
            <w:pPr>
              <w:spacing w:after="0" w:line="240" w:lineRule="auto"/>
              <w:rPr>
                <w:rFonts w:cs="Arial"/>
                <w:sz w:val="20"/>
                <w:szCs w:val="20"/>
              </w:rPr>
            </w:pPr>
            <w:r w:rsidRPr="000611C7">
              <w:rPr>
                <w:rFonts w:cs="Arial"/>
                <w:sz w:val="20"/>
                <w:szCs w:val="20"/>
                <w:lang w:eastAsia="en-GB"/>
              </w:rPr>
              <w:br/>
            </w:r>
            <w:r w:rsidRPr="000611C7">
              <w:rPr>
                <w:rFonts w:cs="Arial"/>
                <w:sz w:val="20"/>
                <w:szCs w:val="20"/>
                <w:lang w:eastAsia="en-GB"/>
              </w:rPr>
              <w:br/>
            </w:r>
          </w:p>
        </w:tc>
        <w:tc>
          <w:tcPr>
            <w:tcW w:w="1701" w:type="dxa"/>
          </w:tcPr>
          <w:p w14:paraId="3C5A32CE" w14:textId="77777777" w:rsidR="000923BB" w:rsidRPr="000611C7" w:rsidRDefault="000923BB" w:rsidP="003A385F">
            <w:pPr>
              <w:spacing w:after="0" w:line="240" w:lineRule="auto"/>
              <w:rPr>
                <w:rFonts w:cs="Arial"/>
                <w:sz w:val="20"/>
                <w:szCs w:val="20"/>
              </w:rPr>
            </w:pPr>
            <w:r w:rsidRPr="000611C7">
              <w:rPr>
                <w:rFonts w:cs="Arial"/>
                <w:sz w:val="20"/>
                <w:szCs w:val="20"/>
              </w:rPr>
              <w:t xml:space="preserve">Comment type </w:t>
            </w:r>
            <w:r>
              <w:rPr>
                <w:rFonts w:cs="Arial"/>
                <w:sz w:val="20"/>
                <w:szCs w:val="20"/>
              </w:rPr>
              <w:t xml:space="preserve">(Pos or Neg) </w:t>
            </w:r>
            <w:r w:rsidRPr="000611C7">
              <w:rPr>
                <w:rFonts w:cs="Arial"/>
                <w:sz w:val="20"/>
                <w:szCs w:val="20"/>
              </w:rPr>
              <w:t>and category</w:t>
            </w:r>
          </w:p>
        </w:tc>
      </w:tr>
      <w:tr w:rsidR="000923BB" w:rsidRPr="000611C7" w14:paraId="30F85461" w14:textId="77777777" w:rsidTr="00656B70">
        <w:tc>
          <w:tcPr>
            <w:tcW w:w="1384" w:type="dxa"/>
          </w:tcPr>
          <w:p w14:paraId="3C7056E9" w14:textId="77777777" w:rsidR="000923BB" w:rsidRDefault="000923BB" w:rsidP="003A385F">
            <w:pPr>
              <w:spacing w:after="0" w:line="240" w:lineRule="auto"/>
              <w:jc w:val="both"/>
              <w:rPr>
                <w:rFonts w:cs="Arial"/>
                <w:sz w:val="20"/>
                <w:szCs w:val="20"/>
              </w:rPr>
            </w:pPr>
            <w:r w:rsidRPr="000611C7">
              <w:rPr>
                <w:rFonts w:cs="Arial"/>
                <w:sz w:val="20"/>
                <w:szCs w:val="20"/>
              </w:rPr>
              <w:t xml:space="preserve">Admission </w:t>
            </w:r>
          </w:p>
          <w:p w14:paraId="3CC30B7A" w14:textId="77777777" w:rsidR="000923BB" w:rsidRPr="000611C7" w:rsidRDefault="000923BB" w:rsidP="003A385F">
            <w:pPr>
              <w:spacing w:after="0" w:line="240" w:lineRule="auto"/>
              <w:jc w:val="both"/>
              <w:rPr>
                <w:rFonts w:cs="Arial"/>
                <w:sz w:val="20"/>
                <w:szCs w:val="20"/>
              </w:rPr>
            </w:pPr>
            <w:r>
              <w:rPr>
                <w:rFonts w:cs="Arial"/>
                <w:sz w:val="20"/>
                <w:szCs w:val="20"/>
              </w:rPr>
              <w:t>Phase score 4</w:t>
            </w:r>
          </w:p>
        </w:tc>
        <w:tc>
          <w:tcPr>
            <w:tcW w:w="5137" w:type="dxa"/>
          </w:tcPr>
          <w:p w14:paraId="219C1134" w14:textId="77777777" w:rsidR="000923BB" w:rsidRPr="000611C7" w:rsidRDefault="000923BB" w:rsidP="003A385F">
            <w:pPr>
              <w:spacing w:after="0" w:line="240" w:lineRule="auto"/>
              <w:rPr>
                <w:rFonts w:cs="Arial"/>
                <w:sz w:val="20"/>
                <w:szCs w:val="20"/>
                <w:lang w:eastAsia="en-GB"/>
              </w:rPr>
            </w:pPr>
            <w:r w:rsidRPr="000611C7">
              <w:rPr>
                <w:rFonts w:cs="Arial"/>
                <w:sz w:val="20"/>
                <w:szCs w:val="20"/>
                <w:lang w:eastAsia="en-GB"/>
              </w:rPr>
              <w:t>ph 7.436</w:t>
            </w:r>
          </w:p>
          <w:p w14:paraId="7B4CAF1C" w14:textId="77777777" w:rsidR="000923BB" w:rsidRDefault="000923BB" w:rsidP="003A385F">
            <w:pPr>
              <w:spacing w:after="0" w:line="240" w:lineRule="auto"/>
              <w:rPr>
                <w:rFonts w:cs="Arial"/>
                <w:sz w:val="20"/>
                <w:szCs w:val="20"/>
                <w:highlight w:val="green"/>
                <w:lang w:eastAsia="en-GB"/>
              </w:rPr>
            </w:pPr>
            <w:r w:rsidRPr="00FE4756">
              <w:rPr>
                <w:rFonts w:cs="Arial"/>
                <w:sz w:val="20"/>
                <w:szCs w:val="20"/>
                <w:lang w:eastAsia="en-GB"/>
              </w:rPr>
              <w:t xml:space="preserve">Good history taken of COPD </w:t>
            </w:r>
            <w:r>
              <w:rPr>
                <w:rFonts w:cs="Arial"/>
                <w:sz w:val="20"/>
                <w:szCs w:val="20"/>
                <w:lang w:eastAsia="en-GB"/>
              </w:rPr>
              <w:t xml:space="preserve">(Chronic Obstructive Airway Disease) </w:t>
            </w:r>
            <w:r w:rsidRPr="00FE4756">
              <w:rPr>
                <w:rFonts w:cs="Arial"/>
                <w:sz w:val="20"/>
                <w:szCs w:val="20"/>
                <w:lang w:eastAsia="en-GB"/>
              </w:rPr>
              <w:t xml:space="preserve">symptoms and normal functional status, </w:t>
            </w:r>
          </w:p>
          <w:p w14:paraId="47E6C05B" w14:textId="77777777" w:rsidR="000923BB" w:rsidRDefault="000923BB" w:rsidP="003A385F">
            <w:pPr>
              <w:spacing w:after="0" w:line="240" w:lineRule="auto"/>
              <w:rPr>
                <w:rFonts w:cs="Arial"/>
                <w:sz w:val="20"/>
                <w:szCs w:val="20"/>
                <w:lang w:eastAsia="en-GB"/>
              </w:rPr>
            </w:pPr>
            <w:r w:rsidRPr="00FE4756">
              <w:rPr>
                <w:rFonts w:cs="Arial"/>
                <w:sz w:val="20"/>
                <w:szCs w:val="20"/>
                <w:lang w:eastAsia="en-GB"/>
              </w:rPr>
              <w:t xml:space="preserve">alternative diagnosis of PE </w:t>
            </w:r>
            <w:r>
              <w:rPr>
                <w:rFonts w:cs="Arial"/>
                <w:sz w:val="20"/>
                <w:szCs w:val="20"/>
                <w:lang w:eastAsia="en-GB"/>
              </w:rPr>
              <w:t xml:space="preserve">(Pulmonary Embolus) </w:t>
            </w:r>
            <w:r w:rsidRPr="00FE4756">
              <w:rPr>
                <w:rFonts w:cs="Arial"/>
                <w:sz w:val="20"/>
                <w:szCs w:val="20"/>
                <w:lang w:eastAsia="en-GB"/>
              </w:rPr>
              <w:t xml:space="preserve">&amp; CCF </w:t>
            </w:r>
            <w:r>
              <w:rPr>
                <w:rFonts w:cs="Arial"/>
                <w:sz w:val="20"/>
                <w:szCs w:val="20"/>
                <w:lang w:eastAsia="en-GB"/>
              </w:rPr>
              <w:t xml:space="preserve">(Congestive Cardiac Failure) </w:t>
            </w:r>
            <w:r w:rsidRPr="00FE4756">
              <w:rPr>
                <w:rFonts w:cs="Arial"/>
                <w:sz w:val="20"/>
                <w:szCs w:val="20"/>
                <w:lang w:eastAsia="en-GB"/>
              </w:rPr>
              <w:t>not excluded in a patient with risk factors for both.</w:t>
            </w:r>
            <w:r w:rsidRPr="000611C7">
              <w:rPr>
                <w:rFonts w:cs="Arial"/>
                <w:sz w:val="20"/>
                <w:szCs w:val="20"/>
                <w:lang w:eastAsia="en-GB"/>
              </w:rPr>
              <w:t xml:space="preserve"> </w:t>
            </w:r>
          </w:p>
          <w:p w14:paraId="7A6E2E35" w14:textId="77777777" w:rsidR="000923BB" w:rsidRPr="000611C7" w:rsidRDefault="000923BB" w:rsidP="003A385F">
            <w:pPr>
              <w:spacing w:after="0" w:line="240" w:lineRule="auto"/>
              <w:rPr>
                <w:rFonts w:cs="Arial"/>
                <w:sz w:val="20"/>
                <w:szCs w:val="20"/>
                <w:lang w:eastAsia="en-GB"/>
              </w:rPr>
            </w:pPr>
            <w:r w:rsidRPr="00FE4756">
              <w:rPr>
                <w:rFonts w:cs="Arial"/>
                <w:sz w:val="20"/>
                <w:szCs w:val="20"/>
                <w:lang w:eastAsia="en-GB"/>
              </w:rPr>
              <w:t>Clinical cardiovascular exam examination not thorough (no mention of JVP</w:t>
            </w:r>
            <w:r>
              <w:rPr>
                <w:rFonts w:cs="Arial"/>
                <w:sz w:val="20"/>
                <w:szCs w:val="20"/>
                <w:lang w:eastAsia="en-GB"/>
              </w:rPr>
              <w:t xml:space="preserve"> (Jugular Venous Pressure)</w:t>
            </w:r>
            <w:r w:rsidRPr="00FE4756">
              <w:rPr>
                <w:rFonts w:cs="Arial"/>
                <w:sz w:val="20"/>
                <w:szCs w:val="20"/>
                <w:lang w:eastAsia="en-GB"/>
              </w:rPr>
              <w:t>, pedal oedema, chest expansion, sputum characteristics)</w:t>
            </w:r>
          </w:p>
          <w:p w14:paraId="6FEFAE92" w14:textId="77777777" w:rsidR="000923BB" w:rsidRPr="000611C7" w:rsidRDefault="000923BB" w:rsidP="003A385F">
            <w:pPr>
              <w:spacing w:after="0" w:line="240" w:lineRule="auto"/>
              <w:jc w:val="both"/>
              <w:rPr>
                <w:rFonts w:cs="Arial"/>
                <w:sz w:val="20"/>
                <w:szCs w:val="20"/>
              </w:rPr>
            </w:pPr>
          </w:p>
        </w:tc>
        <w:tc>
          <w:tcPr>
            <w:tcW w:w="1701" w:type="dxa"/>
          </w:tcPr>
          <w:p w14:paraId="5909190A" w14:textId="77777777" w:rsidR="000923BB" w:rsidRDefault="000923BB" w:rsidP="003A385F">
            <w:pPr>
              <w:spacing w:after="0" w:line="240" w:lineRule="auto"/>
              <w:jc w:val="both"/>
              <w:rPr>
                <w:rFonts w:cs="Arial"/>
                <w:sz w:val="20"/>
                <w:szCs w:val="20"/>
              </w:rPr>
            </w:pPr>
          </w:p>
          <w:p w14:paraId="4D12742A" w14:textId="77777777" w:rsidR="000923BB" w:rsidRDefault="000923BB" w:rsidP="003A385F">
            <w:pPr>
              <w:spacing w:after="0" w:line="240" w:lineRule="auto"/>
              <w:jc w:val="both"/>
              <w:rPr>
                <w:rFonts w:cs="Arial"/>
                <w:sz w:val="20"/>
                <w:szCs w:val="20"/>
              </w:rPr>
            </w:pPr>
            <w:r w:rsidRPr="000611C7">
              <w:rPr>
                <w:rFonts w:cs="Arial"/>
                <w:sz w:val="20"/>
                <w:szCs w:val="20"/>
              </w:rPr>
              <w:t>Pos/</w:t>
            </w:r>
            <w:r w:rsidRPr="00FE4756">
              <w:rPr>
                <w:rFonts w:cs="Arial"/>
                <w:sz w:val="20"/>
                <w:szCs w:val="20"/>
              </w:rPr>
              <w:t>C</w:t>
            </w:r>
          </w:p>
          <w:p w14:paraId="57FF5FCD" w14:textId="77777777" w:rsidR="000923BB" w:rsidRPr="000611C7" w:rsidRDefault="000923BB" w:rsidP="003A385F">
            <w:pPr>
              <w:spacing w:after="0" w:line="240" w:lineRule="auto"/>
              <w:jc w:val="both"/>
              <w:rPr>
                <w:rFonts w:cs="Arial"/>
                <w:sz w:val="20"/>
                <w:szCs w:val="20"/>
              </w:rPr>
            </w:pPr>
          </w:p>
          <w:p w14:paraId="7B0B0E91" w14:textId="77777777" w:rsidR="000923BB" w:rsidRDefault="000923BB" w:rsidP="003A385F">
            <w:pPr>
              <w:spacing w:after="0" w:line="240" w:lineRule="auto"/>
              <w:jc w:val="both"/>
              <w:rPr>
                <w:rFonts w:cs="Arial"/>
                <w:sz w:val="20"/>
                <w:szCs w:val="20"/>
              </w:rPr>
            </w:pPr>
          </w:p>
          <w:p w14:paraId="723ABB5F" w14:textId="77777777" w:rsidR="000923BB" w:rsidRDefault="000923BB" w:rsidP="003A385F">
            <w:pPr>
              <w:spacing w:after="0" w:line="240" w:lineRule="auto"/>
              <w:jc w:val="both"/>
              <w:rPr>
                <w:rFonts w:cs="Arial"/>
                <w:sz w:val="20"/>
                <w:szCs w:val="20"/>
              </w:rPr>
            </w:pPr>
            <w:r>
              <w:rPr>
                <w:rFonts w:cs="Arial"/>
                <w:sz w:val="20"/>
                <w:szCs w:val="20"/>
              </w:rPr>
              <w:t>Neg/</w:t>
            </w:r>
            <w:r w:rsidRPr="00FE4756">
              <w:rPr>
                <w:rFonts w:cs="Arial"/>
                <w:sz w:val="20"/>
                <w:szCs w:val="20"/>
              </w:rPr>
              <w:t>B</w:t>
            </w:r>
          </w:p>
          <w:p w14:paraId="52331E87" w14:textId="77777777" w:rsidR="000923BB" w:rsidRDefault="000923BB" w:rsidP="003A385F">
            <w:pPr>
              <w:spacing w:after="0" w:line="240" w:lineRule="auto"/>
              <w:jc w:val="both"/>
              <w:rPr>
                <w:rFonts w:cs="Arial"/>
                <w:sz w:val="20"/>
                <w:szCs w:val="20"/>
              </w:rPr>
            </w:pPr>
          </w:p>
          <w:p w14:paraId="0E26F3FE" w14:textId="77777777" w:rsidR="000923BB" w:rsidRDefault="000923BB" w:rsidP="003A385F">
            <w:pPr>
              <w:spacing w:after="0" w:line="240" w:lineRule="auto"/>
              <w:jc w:val="both"/>
              <w:rPr>
                <w:rFonts w:cs="Arial"/>
                <w:sz w:val="20"/>
                <w:szCs w:val="20"/>
              </w:rPr>
            </w:pPr>
          </w:p>
          <w:p w14:paraId="076B0DAD" w14:textId="77777777" w:rsidR="000923BB" w:rsidRPr="000611C7" w:rsidRDefault="000923BB" w:rsidP="003A385F">
            <w:pPr>
              <w:spacing w:after="0" w:line="240" w:lineRule="auto"/>
              <w:jc w:val="both"/>
              <w:rPr>
                <w:rFonts w:cs="Arial"/>
                <w:sz w:val="20"/>
                <w:szCs w:val="20"/>
              </w:rPr>
            </w:pPr>
            <w:r w:rsidRPr="000611C7">
              <w:rPr>
                <w:rFonts w:cs="Arial"/>
                <w:sz w:val="20"/>
                <w:szCs w:val="20"/>
              </w:rPr>
              <w:t>Neg/</w:t>
            </w:r>
            <w:r w:rsidRPr="00FE4756">
              <w:rPr>
                <w:rFonts w:cs="Arial"/>
                <w:sz w:val="20"/>
                <w:szCs w:val="20"/>
              </w:rPr>
              <w:t>C</w:t>
            </w:r>
          </w:p>
        </w:tc>
      </w:tr>
      <w:tr w:rsidR="000923BB" w:rsidRPr="000611C7" w14:paraId="384B3036" w14:textId="77777777" w:rsidTr="00656B70">
        <w:tc>
          <w:tcPr>
            <w:tcW w:w="1384" w:type="dxa"/>
          </w:tcPr>
          <w:p w14:paraId="41C9DF5C" w14:textId="77777777" w:rsidR="000923BB" w:rsidRDefault="000923BB" w:rsidP="003A385F">
            <w:pPr>
              <w:spacing w:after="0" w:line="240" w:lineRule="auto"/>
              <w:jc w:val="both"/>
              <w:rPr>
                <w:rFonts w:cs="Arial"/>
                <w:sz w:val="20"/>
                <w:szCs w:val="20"/>
              </w:rPr>
            </w:pPr>
            <w:r>
              <w:rPr>
                <w:rFonts w:cs="Arial"/>
                <w:sz w:val="20"/>
                <w:szCs w:val="20"/>
              </w:rPr>
              <w:t xml:space="preserve">Early </w:t>
            </w:r>
            <w:r w:rsidRPr="000611C7">
              <w:rPr>
                <w:rFonts w:cs="Arial"/>
                <w:sz w:val="20"/>
                <w:szCs w:val="20"/>
              </w:rPr>
              <w:t xml:space="preserve"> management</w:t>
            </w:r>
          </w:p>
          <w:p w14:paraId="788AA941" w14:textId="77777777" w:rsidR="000923BB" w:rsidRPr="000611C7" w:rsidRDefault="000923BB" w:rsidP="003A385F">
            <w:pPr>
              <w:spacing w:after="0" w:line="240" w:lineRule="auto"/>
              <w:jc w:val="both"/>
              <w:rPr>
                <w:rFonts w:cs="Arial"/>
                <w:sz w:val="20"/>
                <w:szCs w:val="20"/>
              </w:rPr>
            </w:pPr>
            <w:r>
              <w:rPr>
                <w:rFonts w:cs="Arial"/>
                <w:sz w:val="20"/>
                <w:szCs w:val="20"/>
              </w:rPr>
              <w:t>Phase score 4</w:t>
            </w:r>
          </w:p>
        </w:tc>
        <w:tc>
          <w:tcPr>
            <w:tcW w:w="5137" w:type="dxa"/>
          </w:tcPr>
          <w:p w14:paraId="7A8C24D6" w14:textId="77777777" w:rsidR="000923BB" w:rsidRDefault="000923BB" w:rsidP="003A385F">
            <w:pPr>
              <w:spacing w:after="0" w:line="240" w:lineRule="auto"/>
              <w:rPr>
                <w:rFonts w:cs="Arial"/>
                <w:sz w:val="20"/>
                <w:szCs w:val="20"/>
                <w:lang w:eastAsia="en-GB"/>
              </w:rPr>
            </w:pPr>
            <w:r w:rsidRPr="00FE4756">
              <w:rPr>
                <w:rFonts w:cs="Arial"/>
                <w:sz w:val="20"/>
                <w:szCs w:val="20"/>
                <w:lang w:eastAsia="en-GB"/>
              </w:rPr>
              <w:t>Patient received a</w:t>
            </w:r>
            <w:r>
              <w:rPr>
                <w:rFonts w:cs="Arial"/>
                <w:sz w:val="20"/>
                <w:szCs w:val="20"/>
                <w:lang w:eastAsia="en-GB"/>
              </w:rPr>
              <w:t>ppropriate treatment for COPD (i</w:t>
            </w:r>
            <w:r w:rsidRPr="00FE4756">
              <w:rPr>
                <w:rFonts w:cs="Arial"/>
                <w:sz w:val="20"/>
                <w:szCs w:val="20"/>
                <w:lang w:eastAsia="en-GB"/>
              </w:rPr>
              <w:t>.e. steroids, antibiotics and nebulizers)</w:t>
            </w:r>
            <w:r w:rsidRPr="002A422C">
              <w:rPr>
                <w:rFonts w:cs="Arial"/>
                <w:sz w:val="20"/>
                <w:szCs w:val="20"/>
                <w:lang w:eastAsia="en-GB"/>
              </w:rPr>
              <w:t>,</w:t>
            </w:r>
            <w:r w:rsidRPr="000611C7">
              <w:rPr>
                <w:rFonts w:cs="Arial"/>
                <w:sz w:val="20"/>
                <w:szCs w:val="20"/>
                <w:lang w:eastAsia="en-GB"/>
              </w:rPr>
              <w:t xml:space="preserve"> </w:t>
            </w:r>
          </w:p>
          <w:p w14:paraId="6D6E1A41" w14:textId="77777777" w:rsidR="000923BB" w:rsidRPr="000611C7" w:rsidRDefault="000923BB" w:rsidP="003A385F">
            <w:pPr>
              <w:spacing w:after="0" w:line="240" w:lineRule="auto"/>
              <w:rPr>
                <w:rFonts w:cs="Arial"/>
                <w:sz w:val="20"/>
                <w:szCs w:val="20"/>
                <w:lang w:eastAsia="en-GB"/>
              </w:rPr>
            </w:pPr>
            <w:r w:rsidRPr="00FE4756">
              <w:rPr>
                <w:rFonts w:cs="Arial"/>
                <w:sz w:val="20"/>
                <w:szCs w:val="20"/>
                <w:lang w:eastAsia="en-GB"/>
              </w:rPr>
              <w:t>however the CXR result was never recorded ?looked at.</w:t>
            </w:r>
          </w:p>
          <w:p w14:paraId="33F21AD6" w14:textId="77777777" w:rsidR="000923BB" w:rsidRPr="000611C7" w:rsidRDefault="000923BB" w:rsidP="003A385F">
            <w:pPr>
              <w:spacing w:after="0" w:line="240" w:lineRule="auto"/>
              <w:rPr>
                <w:rFonts w:cs="Arial"/>
                <w:sz w:val="20"/>
                <w:szCs w:val="20"/>
              </w:rPr>
            </w:pPr>
          </w:p>
        </w:tc>
        <w:tc>
          <w:tcPr>
            <w:tcW w:w="1701" w:type="dxa"/>
          </w:tcPr>
          <w:p w14:paraId="69FC5AE2" w14:textId="77777777" w:rsidR="000923BB" w:rsidRPr="000611C7" w:rsidRDefault="000923BB" w:rsidP="003A385F">
            <w:pPr>
              <w:spacing w:after="0" w:line="240" w:lineRule="auto"/>
              <w:jc w:val="both"/>
              <w:rPr>
                <w:rFonts w:cs="Arial"/>
                <w:sz w:val="20"/>
                <w:szCs w:val="20"/>
              </w:rPr>
            </w:pPr>
            <w:r w:rsidRPr="000611C7">
              <w:rPr>
                <w:rFonts w:cs="Arial"/>
                <w:sz w:val="20"/>
                <w:szCs w:val="20"/>
              </w:rPr>
              <w:t>Pos/</w:t>
            </w:r>
            <w:r w:rsidRPr="00FE4756">
              <w:rPr>
                <w:rFonts w:cs="Arial"/>
                <w:sz w:val="20"/>
                <w:szCs w:val="20"/>
              </w:rPr>
              <w:t>C</w:t>
            </w:r>
          </w:p>
          <w:p w14:paraId="11377376" w14:textId="77777777" w:rsidR="000923BB" w:rsidRPr="000611C7" w:rsidRDefault="000923BB" w:rsidP="003A385F">
            <w:pPr>
              <w:spacing w:after="0" w:line="240" w:lineRule="auto"/>
              <w:jc w:val="both"/>
              <w:rPr>
                <w:rFonts w:cs="Arial"/>
                <w:sz w:val="20"/>
                <w:szCs w:val="20"/>
              </w:rPr>
            </w:pPr>
          </w:p>
          <w:p w14:paraId="175523CD" w14:textId="77777777" w:rsidR="000923BB" w:rsidRPr="000611C7" w:rsidRDefault="000923BB" w:rsidP="003A385F">
            <w:pPr>
              <w:spacing w:after="0" w:line="240" w:lineRule="auto"/>
              <w:jc w:val="both"/>
              <w:rPr>
                <w:rFonts w:cs="Arial"/>
                <w:sz w:val="20"/>
                <w:szCs w:val="20"/>
              </w:rPr>
            </w:pPr>
            <w:r w:rsidRPr="000611C7">
              <w:rPr>
                <w:rFonts w:cs="Arial"/>
                <w:sz w:val="20"/>
                <w:szCs w:val="20"/>
              </w:rPr>
              <w:t>Neg/</w:t>
            </w:r>
            <w:r w:rsidRPr="00FE4756">
              <w:rPr>
                <w:rFonts w:cs="Arial"/>
                <w:sz w:val="20"/>
                <w:szCs w:val="20"/>
              </w:rPr>
              <w:t>B</w:t>
            </w:r>
          </w:p>
        </w:tc>
      </w:tr>
      <w:tr w:rsidR="000923BB" w:rsidRPr="000611C7" w14:paraId="734A0379" w14:textId="77777777" w:rsidTr="00656B70">
        <w:tc>
          <w:tcPr>
            <w:tcW w:w="1384" w:type="dxa"/>
          </w:tcPr>
          <w:p w14:paraId="37855F0F" w14:textId="77777777" w:rsidR="000923BB" w:rsidRPr="000611C7" w:rsidRDefault="000923BB" w:rsidP="003A385F">
            <w:pPr>
              <w:spacing w:after="0" w:line="240" w:lineRule="auto"/>
              <w:jc w:val="both"/>
              <w:rPr>
                <w:rFonts w:cs="Arial"/>
                <w:sz w:val="20"/>
                <w:szCs w:val="20"/>
              </w:rPr>
            </w:pPr>
            <w:r w:rsidRPr="000611C7">
              <w:rPr>
                <w:rFonts w:cs="Arial"/>
                <w:sz w:val="20"/>
                <w:szCs w:val="20"/>
              </w:rPr>
              <w:t xml:space="preserve">Later </w:t>
            </w:r>
            <w:r>
              <w:rPr>
                <w:rFonts w:cs="Arial"/>
                <w:sz w:val="20"/>
                <w:szCs w:val="20"/>
              </w:rPr>
              <w:t>management Phase score 2</w:t>
            </w:r>
          </w:p>
        </w:tc>
        <w:tc>
          <w:tcPr>
            <w:tcW w:w="5137" w:type="dxa"/>
          </w:tcPr>
          <w:p w14:paraId="129C9B51" w14:textId="77777777" w:rsidR="000923BB" w:rsidRDefault="000923BB" w:rsidP="003A385F">
            <w:pPr>
              <w:spacing w:after="0" w:line="240" w:lineRule="auto"/>
              <w:rPr>
                <w:rFonts w:cs="Arial"/>
                <w:sz w:val="20"/>
                <w:szCs w:val="20"/>
                <w:lang w:eastAsia="en-GB"/>
              </w:rPr>
            </w:pPr>
            <w:r w:rsidRPr="00FE4756">
              <w:rPr>
                <w:rFonts w:cs="Arial"/>
                <w:sz w:val="20"/>
                <w:szCs w:val="20"/>
                <w:lang w:eastAsia="en-GB"/>
              </w:rPr>
              <w:t xml:space="preserve">Although the patient was recorded to be clinically improving 2/7 post admission and team were considering early discharge, his ABG was not improving and patient's SOB </w:t>
            </w:r>
            <w:r>
              <w:rPr>
                <w:rFonts w:cs="Arial"/>
                <w:sz w:val="20"/>
                <w:szCs w:val="20"/>
                <w:lang w:eastAsia="en-GB"/>
              </w:rPr>
              <w:t xml:space="preserve">(Shortness of breath) </w:t>
            </w:r>
            <w:r w:rsidRPr="00FE4756">
              <w:rPr>
                <w:rFonts w:cs="Arial"/>
                <w:sz w:val="20"/>
                <w:szCs w:val="20"/>
                <w:lang w:eastAsia="en-GB"/>
              </w:rPr>
              <w:t xml:space="preserve">+ tachypnoea attributed to anxiety, pt </w:t>
            </w:r>
            <w:r>
              <w:rPr>
                <w:rFonts w:cs="Arial"/>
                <w:sz w:val="20"/>
                <w:szCs w:val="20"/>
                <w:lang w:eastAsia="en-GB"/>
              </w:rPr>
              <w:t xml:space="preserve">(patient) </w:t>
            </w:r>
            <w:r w:rsidRPr="00FE4756">
              <w:rPr>
                <w:rFonts w:cs="Arial"/>
                <w:sz w:val="20"/>
                <w:szCs w:val="20"/>
                <w:lang w:eastAsia="en-GB"/>
              </w:rPr>
              <w:t>gradually deteriorated.</w:t>
            </w:r>
            <w:r w:rsidRPr="000611C7">
              <w:rPr>
                <w:rFonts w:cs="Arial"/>
                <w:sz w:val="20"/>
                <w:szCs w:val="20"/>
                <w:lang w:eastAsia="en-GB"/>
              </w:rPr>
              <w:t xml:space="preserve"> </w:t>
            </w:r>
          </w:p>
          <w:p w14:paraId="1CFF363D" w14:textId="77777777" w:rsidR="000923BB" w:rsidRDefault="000923BB" w:rsidP="003A385F">
            <w:pPr>
              <w:spacing w:after="0" w:line="240" w:lineRule="auto"/>
              <w:rPr>
                <w:rFonts w:cs="Arial"/>
                <w:sz w:val="20"/>
                <w:szCs w:val="20"/>
                <w:lang w:eastAsia="en-GB"/>
              </w:rPr>
            </w:pPr>
            <w:r w:rsidRPr="00FE4756">
              <w:rPr>
                <w:rFonts w:cs="Arial"/>
                <w:sz w:val="20"/>
                <w:szCs w:val="20"/>
                <w:lang w:eastAsia="en-GB"/>
              </w:rPr>
              <w:t>Patient changed to inhalers too soon</w:t>
            </w:r>
            <w:r w:rsidRPr="000611C7">
              <w:rPr>
                <w:rFonts w:cs="Arial"/>
                <w:sz w:val="20"/>
                <w:szCs w:val="20"/>
                <w:lang w:eastAsia="en-GB"/>
              </w:rPr>
              <w:t xml:space="preserve">. </w:t>
            </w:r>
          </w:p>
          <w:p w14:paraId="05D08467" w14:textId="77777777" w:rsidR="000923BB" w:rsidRDefault="000923BB" w:rsidP="003A385F">
            <w:pPr>
              <w:spacing w:after="0" w:line="240" w:lineRule="auto"/>
              <w:rPr>
                <w:rFonts w:cs="Arial"/>
                <w:sz w:val="20"/>
                <w:szCs w:val="20"/>
                <w:lang w:eastAsia="en-GB"/>
              </w:rPr>
            </w:pPr>
            <w:r w:rsidRPr="00FE4756">
              <w:rPr>
                <w:rFonts w:cs="Arial"/>
                <w:sz w:val="20"/>
                <w:szCs w:val="20"/>
                <w:lang w:eastAsia="en-GB"/>
              </w:rPr>
              <w:t>Seen appropriately by respiratory team,</w:t>
            </w:r>
            <w:r w:rsidRPr="002A422C">
              <w:rPr>
                <w:rFonts w:cs="Arial"/>
                <w:sz w:val="20"/>
                <w:szCs w:val="20"/>
                <w:lang w:eastAsia="en-GB"/>
              </w:rPr>
              <w:t xml:space="preserve"> </w:t>
            </w:r>
            <w:r w:rsidRPr="00FE4756">
              <w:rPr>
                <w:rFonts w:cs="Arial"/>
                <w:sz w:val="20"/>
                <w:szCs w:val="20"/>
                <w:lang w:eastAsia="en-GB"/>
              </w:rPr>
              <w:t xml:space="preserve">frusemide </w:t>
            </w:r>
            <w:r w:rsidRPr="005259A3">
              <w:rPr>
                <w:rFonts w:cs="Arial"/>
                <w:sz w:val="20"/>
                <w:szCs w:val="20"/>
              </w:rPr>
              <w:t>(furosemide)</w:t>
            </w:r>
            <w:r>
              <w:rPr>
                <w:rFonts w:cs="Arial"/>
              </w:rPr>
              <w:t xml:space="preserve"> </w:t>
            </w:r>
            <w:r w:rsidRPr="00FE4756">
              <w:rPr>
                <w:rFonts w:cs="Arial"/>
                <w:sz w:val="20"/>
                <w:szCs w:val="20"/>
                <w:lang w:eastAsia="en-GB"/>
              </w:rPr>
              <w:t>and aminophylline infusion appropriately suggested</w:t>
            </w:r>
            <w:r w:rsidRPr="002A422C">
              <w:rPr>
                <w:rFonts w:cs="Arial"/>
                <w:sz w:val="20"/>
                <w:szCs w:val="20"/>
                <w:lang w:eastAsia="en-GB"/>
              </w:rPr>
              <w:t>.</w:t>
            </w:r>
            <w:r w:rsidRPr="000611C7">
              <w:rPr>
                <w:rFonts w:cs="Arial"/>
                <w:sz w:val="20"/>
                <w:szCs w:val="20"/>
                <w:lang w:eastAsia="en-GB"/>
              </w:rPr>
              <w:t xml:space="preserve"> </w:t>
            </w:r>
          </w:p>
          <w:p w14:paraId="2B740669" w14:textId="77777777" w:rsidR="000923BB" w:rsidRDefault="000923BB" w:rsidP="003A385F">
            <w:pPr>
              <w:spacing w:after="0" w:line="240" w:lineRule="auto"/>
              <w:rPr>
                <w:rFonts w:cs="Arial"/>
                <w:sz w:val="20"/>
                <w:szCs w:val="20"/>
                <w:lang w:eastAsia="en-GB"/>
              </w:rPr>
            </w:pPr>
            <w:r w:rsidRPr="00FE4756">
              <w:rPr>
                <w:rFonts w:cs="Arial"/>
                <w:sz w:val="20"/>
                <w:szCs w:val="20"/>
                <w:lang w:eastAsia="en-GB"/>
              </w:rPr>
              <w:t>Nursing staff inappropriately withheld oral medications as they thought he was nil by mouth</w:t>
            </w:r>
            <w:r w:rsidRPr="002A422C">
              <w:rPr>
                <w:rFonts w:cs="Arial"/>
                <w:sz w:val="20"/>
                <w:szCs w:val="20"/>
                <w:lang w:eastAsia="en-GB"/>
              </w:rPr>
              <w:t>.</w:t>
            </w:r>
            <w:r w:rsidRPr="000611C7">
              <w:rPr>
                <w:rFonts w:cs="Arial"/>
                <w:sz w:val="20"/>
                <w:szCs w:val="20"/>
                <w:lang w:eastAsia="en-GB"/>
              </w:rPr>
              <w:t xml:space="preserve"> </w:t>
            </w:r>
          </w:p>
          <w:p w14:paraId="1D26BD51" w14:textId="77777777" w:rsidR="000923BB" w:rsidRDefault="000923BB" w:rsidP="003A385F">
            <w:pPr>
              <w:spacing w:after="0" w:line="240" w:lineRule="auto"/>
              <w:rPr>
                <w:rFonts w:cs="Arial"/>
                <w:sz w:val="20"/>
                <w:szCs w:val="20"/>
                <w:lang w:eastAsia="en-GB"/>
              </w:rPr>
            </w:pPr>
            <w:r w:rsidRPr="00FE4756">
              <w:rPr>
                <w:rFonts w:cs="Arial"/>
                <w:sz w:val="20"/>
                <w:szCs w:val="20"/>
                <w:lang w:eastAsia="en-GB"/>
              </w:rPr>
              <w:t>Developed severe type 2 respiratory failure but no decision on resus</w:t>
            </w:r>
            <w:r>
              <w:rPr>
                <w:rFonts w:cs="Arial"/>
                <w:sz w:val="20"/>
                <w:szCs w:val="20"/>
                <w:lang w:eastAsia="en-GB"/>
              </w:rPr>
              <w:t xml:space="preserve"> (Resuscitation) </w:t>
            </w:r>
            <w:r w:rsidRPr="00FE4756">
              <w:rPr>
                <w:rFonts w:cs="Arial"/>
                <w:sz w:val="20"/>
                <w:szCs w:val="20"/>
                <w:lang w:eastAsia="en-GB"/>
              </w:rPr>
              <w:t>status made until patient very unwell</w:t>
            </w:r>
            <w:r w:rsidRPr="002A422C">
              <w:rPr>
                <w:rFonts w:cs="Arial"/>
                <w:sz w:val="20"/>
                <w:szCs w:val="20"/>
                <w:lang w:eastAsia="en-GB"/>
              </w:rPr>
              <w:t xml:space="preserve">. </w:t>
            </w:r>
            <w:r w:rsidRPr="00FE4756">
              <w:rPr>
                <w:rFonts w:cs="Arial"/>
                <w:sz w:val="20"/>
                <w:szCs w:val="20"/>
                <w:lang w:eastAsia="en-GB"/>
              </w:rPr>
              <w:t>This needed to be made by on call team.</w:t>
            </w:r>
            <w:r w:rsidRPr="000611C7">
              <w:rPr>
                <w:rFonts w:cs="Arial"/>
                <w:sz w:val="20"/>
                <w:szCs w:val="20"/>
                <w:lang w:eastAsia="en-GB"/>
              </w:rPr>
              <w:t xml:space="preserve"> </w:t>
            </w:r>
          </w:p>
          <w:p w14:paraId="723997BA" w14:textId="77777777" w:rsidR="000923BB" w:rsidRDefault="000923BB" w:rsidP="003A385F">
            <w:pPr>
              <w:spacing w:after="0" w:line="240" w:lineRule="auto"/>
              <w:rPr>
                <w:rFonts w:cs="Arial"/>
                <w:sz w:val="20"/>
                <w:szCs w:val="20"/>
                <w:lang w:eastAsia="en-GB"/>
              </w:rPr>
            </w:pPr>
            <w:r w:rsidRPr="00FE4756">
              <w:rPr>
                <w:rFonts w:cs="Arial"/>
                <w:sz w:val="20"/>
                <w:szCs w:val="20"/>
                <w:lang w:eastAsia="en-GB"/>
              </w:rPr>
              <w:t xml:space="preserve">Earlier referral to ITU </w:t>
            </w:r>
            <w:r>
              <w:rPr>
                <w:rFonts w:cs="Arial"/>
                <w:sz w:val="20"/>
                <w:szCs w:val="20"/>
                <w:lang w:eastAsia="en-GB"/>
              </w:rPr>
              <w:t xml:space="preserve">(Intensive Therapy Unit) </w:t>
            </w:r>
            <w:r w:rsidRPr="00FE4756">
              <w:rPr>
                <w:rFonts w:cs="Arial"/>
                <w:sz w:val="20"/>
                <w:szCs w:val="20"/>
                <w:lang w:eastAsia="en-GB"/>
              </w:rPr>
              <w:t>and I.v aminophylline may have changed outcome.</w:t>
            </w:r>
            <w:r w:rsidRPr="000611C7">
              <w:rPr>
                <w:rFonts w:cs="Arial"/>
                <w:sz w:val="20"/>
                <w:szCs w:val="20"/>
                <w:lang w:eastAsia="en-GB"/>
              </w:rPr>
              <w:t xml:space="preserve"> </w:t>
            </w:r>
          </w:p>
          <w:p w14:paraId="267EA977" w14:textId="77777777" w:rsidR="000923BB" w:rsidRPr="000611C7" w:rsidRDefault="000923BB" w:rsidP="003A385F">
            <w:pPr>
              <w:spacing w:after="0" w:line="240" w:lineRule="auto"/>
              <w:rPr>
                <w:rFonts w:cs="Arial"/>
                <w:sz w:val="20"/>
                <w:szCs w:val="20"/>
                <w:lang w:eastAsia="en-GB"/>
              </w:rPr>
            </w:pPr>
            <w:r w:rsidRPr="00FE4756">
              <w:rPr>
                <w:rFonts w:cs="Arial"/>
                <w:sz w:val="20"/>
                <w:szCs w:val="20"/>
                <w:lang w:eastAsia="en-GB"/>
              </w:rPr>
              <w:t>Good chest physio</w:t>
            </w:r>
            <w:r>
              <w:rPr>
                <w:rFonts w:cs="Arial"/>
                <w:sz w:val="20"/>
                <w:szCs w:val="20"/>
                <w:lang w:eastAsia="en-GB"/>
              </w:rPr>
              <w:t>(therapy)</w:t>
            </w:r>
            <w:r w:rsidRPr="00FE4756">
              <w:rPr>
                <w:rFonts w:cs="Arial"/>
                <w:sz w:val="20"/>
                <w:szCs w:val="20"/>
                <w:lang w:eastAsia="en-GB"/>
              </w:rPr>
              <w:t xml:space="preserve"> input.</w:t>
            </w:r>
          </w:p>
          <w:p w14:paraId="64380D79" w14:textId="77777777" w:rsidR="000923BB" w:rsidRPr="000611C7" w:rsidRDefault="000923BB" w:rsidP="003A385F">
            <w:pPr>
              <w:spacing w:after="0" w:line="240" w:lineRule="auto"/>
              <w:jc w:val="both"/>
              <w:rPr>
                <w:rFonts w:cs="Arial"/>
                <w:sz w:val="20"/>
                <w:szCs w:val="20"/>
              </w:rPr>
            </w:pPr>
          </w:p>
        </w:tc>
        <w:tc>
          <w:tcPr>
            <w:tcW w:w="1701" w:type="dxa"/>
          </w:tcPr>
          <w:p w14:paraId="5569D397" w14:textId="77777777" w:rsidR="000923BB" w:rsidRDefault="000923BB" w:rsidP="003A385F">
            <w:pPr>
              <w:spacing w:after="0" w:line="240" w:lineRule="auto"/>
              <w:jc w:val="both"/>
              <w:rPr>
                <w:rFonts w:cs="Arial"/>
                <w:sz w:val="20"/>
                <w:szCs w:val="20"/>
              </w:rPr>
            </w:pPr>
            <w:r>
              <w:rPr>
                <w:rFonts w:cs="Arial"/>
                <w:sz w:val="20"/>
                <w:szCs w:val="20"/>
              </w:rPr>
              <w:t>Neg/B</w:t>
            </w:r>
          </w:p>
          <w:p w14:paraId="57E732A1" w14:textId="77777777" w:rsidR="000923BB" w:rsidRPr="000611C7" w:rsidRDefault="000923BB" w:rsidP="003A385F">
            <w:pPr>
              <w:spacing w:after="0" w:line="240" w:lineRule="auto"/>
              <w:jc w:val="both"/>
              <w:rPr>
                <w:rFonts w:cs="Arial"/>
                <w:sz w:val="20"/>
                <w:szCs w:val="20"/>
              </w:rPr>
            </w:pPr>
          </w:p>
          <w:p w14:paraId="5B8E1E1B" w14:textId="77777777" w:rsidR="000923BB" w:rsidRDefault="000923BB" w:rsidP="003A385F">
            <w:pPr>
              <w:spacing w:after="0" w:line="240" w:lineRule="auto"/>
              <w:jc w:val="both"/>
              <w:rPr>
                <w:rFonts w:cs="Arial"/>
                <w:sz w:val="20"/>
                <w:szCs w:val="20"/>
              </w:rPr>
            </w:pPr>
          </w:p>
          <w:p w14:paraId="7625E6EB" w14:textId="77777777" w:rsidR="000923BB" w:rsidRDefault="000923BB" w:rsidP="003A385F">
            <w:pPr>
              <w:spacing w:after="0" w:line="240" w:lineRule="auto"/>
              <w:jc w:val="both"/>
              <w:rPr>
                <w:rFonts w:cs="Arial"/>
                <w:sz w:val="20"/>
                <w:szCs w:val="20"/>
              </w:rPr>
            </w:pPr>
          </w:p>
          <w:p w14:paraId="2718C1E7" w14:textId="77777777" w:rsidR="000923BB" w:rsidRDefault="000923BB" w:rsidP="003A385F">
            <w:pPr>
              <w:spacing w:after="0" w:line="240" w:lineRule="auto"/>
              <w:jc w:val="both"/>
              <w:rPr>
                <w:rFonts w:cs="Arial"/>
                <w:sz w:val="20"/>
                <w:szCs w:val="20"/>
              </w:rPr>
            </w:pPr>
          </w:p>
          <w:p w14:paraId="7BD3908F" w14:textId="77777777" w:rsidR="000923BB" w:rsidRDefault="000923BB" w:rsidP="003A385F">
            <w:pPr>
              <w:spacing w:after="0" w:line="240" w:lineRule="auto"/>
              <w:jc w:val="both"/>
              <w:rPr>
                <w:rFonts w:cs="Arial"/>
                <w:sz w:val="20"/>
                <w:szCs w:val="20"/>
              </w:rPr>
            </w:pPr>
          </w:p>
          <w:p w14:paraId="7E5DAF63" w14:textId="77777777" w:rsidR="000923BB" w:rsidRDefault="000923BB" w:rsidP="003A385F">
            <w:pPr>
              <w:spacing w:after="0" w:line="240" w:lineRule="auto"/>
              <w:jc w:val="both"/>
              <w:rPr>
                <w:rFonts w:cs="Arial"/>
                <w:sz w:val="20"/>
                <w:szCs w:val="20"/>
              </w:rPr>
            </w:pPr>
            <w:r w:rsidRPr="000611C7">
              <w:rPr>
                <w:rFonts w:cs="Arial"/>
                <w:sz w:val="20"/>
                <w:szCs w:val="20"/>
              </w:rPr>
              <w:t>Neg/</w:t>
            </w:r>
            <w:r w:rsidRPr="00FE4756">
              <w:rPr>
                <w:rFonts w:cs="Arial"/>
                <w:sz w:val="20"/>
                <w:szCs w:val="20"/>
              </w:rPr>
              <w:t>C</w:t>
            </w:r>
          </w:p>
          <w:p w14:paraId="6B1E6977" w14:textId="77777777" w:rsidR="000923BB" w:rsidRDefault="000923BB" w:rsidP="003A385F">
            <w:pPr>
              <w:spacing w:after="0" w:line="240" w:lineRule="auto"/>
              <w:jc w:val="both"/>
              <w:rPr>
                <w:rFonts w:cs="Arial"/>
                <w:sz w:val="20"/>
                <w:szCs w:val="20"/>
              </w:rPr>
            </w:pPr>
            <w:r>
              <w:rPr>
                <w:rFonts w:cs="Arial"/>
                <w:sz w:val="20"/>
                <w:szCs w:val="20"/>
              </w:rPr>
              <w:t>Pos/C</w:t>
            </w:r>
          </w:p>
          <w:p w14:paraId="08C0E7DB" w14:textId="77777777" w:rsidR="000923BB" w:rsidRDefault="000923BB" w:rsidP="003A385F">
            <w:pPr>
              <w:spacing w:after="0" w:line="240" w:lineRule="auto"/>
              <w:jc w:val="both"/>
              <w:rPr>
                <w:rFonts w:cs="Arial"/>
                <w:sz w:val="20"/>
                <w:szCs w:val="20"/>
              </w:rPr>
            </w:pPr>
          </w:p>
          <w:p w14:paraId="6B8B6624" w14:textId="77777777" w:rsidR="000923BB" w:rsidRDefault="000923BB" w:rsidP="003A385F">
            <w:pPr>
              <w:spacing w:after="0" w:line="240" w:lineRule="auto"/>
              <w:jc w:val="both"/>
              <w:rPr>
                <w:rFonts w:cs="Arial"/>
                <w:sz w:val="20"/>
                <w:szCs w:val="20"/>
              </w:rPr>
            </w:pPr>
          </w:p>
          <w:p w14:paraId="5DDA6C03" w14:textId="77777777" w:rsidR="000923BB" w:rsidRDefault="000923BB" w:rsidP="003A385F">
            <w:pPr>
              <w:spacing w:after="0" w:line="240" w:lineRule="auto"/>
              <w:jc w:val="both"/>
              <w:rPr>
                <w:rFonts w:cs="Arial"/>
                <w:sz w:val="20"/>
                <w:szCs w:val="20"/>
              </w:rPr>
            </w:pPr>
            <w:r>
              <w:rPr>
                <w:rFonts w:cs="Arial"/>
                <w:sz w:val="20"/>
                <w:szCs w:val="20"/>
              </w:rPr>
              <w:t>Neg/C</w:t>
            </w:r>
          </w:p>
          <w:p w14:paraId="1F6E8F86" w14:textId="77777777" w:rsidR="000923BB" w:rsidRDefault="000923BB" w:rsidP="003A385F">
            <w:pPr>
              <w:spacing w:after="0" w:line="240" w:lineRule="auto"/>
              <w:jc w:val="both"/>
              <w:rPr>
                <w:rFonts w:cs="Arial"/>
                <w:sz w:val="20"/>
                <w:szCs w:val="20"/>
              </w:rPr>
            </w:pPr>
          </w:p>
          <w:p w14:paraId="6F84D8C0" w14:textId="77777777" w:rsidR="000923BB" w:rsidRDefault="000923BB" w:rsidP="003A385F">
            <w:pPr>
              <w:spacing w:after="0" w:line="240" w:lineRule="auto"/>
              <w:jc w:val="both"/>
              <w:rPr>
                <w:rFonts w:cs="Arial"/>
                <w:sz w:val="20"/>
                <w:szCs w:val="20"/>
              </w:rPr>
            </w:pPr>
            <w:r>
              <w:rPr>
                <w:rFonts w:cs="Arial"/>
                <w:sz w:val="20"/>
                <w:szCs w:val="20"/>
              </w:rPr>
              <w:t>Neg/B</w:t>
            </w:r>
          </w:p>
          <w:p w14:paraId="567C2C1E" w14:textId="77777777" w:rsidR="000923BB" w:rsidRDefault="000923BB" w:rsidP="003A385F">
            <w:pPr>
              <w:spacing w:after="0" w:line="240" w:lineRule="auto"/>
              <w:jc w:val="both"/>
              <w:rPr>
                <w:rFonts w:cs="Arial"/>
                <w:sz w:val="20"/>
                <w:szCs w:val="20"/>
              </w:rPr>
            </w:pPr>
          </w:p>
          <w:p w14:paraId="74B56A2A" w14:textId="77777777" w:rsidR="000923BB" w:rsidRDefault="000923BB" w:rsidP="003A385F">
            <w:pPr>
              <w:spacing w:after="0" w:line="240" w:lineRule="auto"/>
              <w:jc w:val="both"/>
              <w:rPr>
                <w:rFonts w:cs="Arial"/>
                <w:sz w:val="20"/>
                <w:szCs w:val="20"/>
              </w:rPr>
            </w:pPr>
          </w:p>
          <w:p w14:paraId="6EB6C358" w14:textId="77777777" w:rsidR="000923BB" w:rsidRDefault="000923BB" w:rsidP="003A385F">
            <w:pPr>
              <w:spacing w:after="0" w:line="240" w:lineRule="auto"/>
              <w:jc w:val="both"/>
              <w:rPr>
                <w:rFonts w:cs="Arial"/>
                <w:sz w:val="20"/>
                <w:szCs w:val="20"/>
              </w:rPr>
            </w:pPr>
            <w:r>
              <w:rPr>
                <w:rFonts w:cs="Arial"/>
                <w:sz w:val="20"/>
                <w:szCs w:val="20"/>
              </w:rPr>
              <w:t>Neg/C</w:t>
            </w:r>
          </w:p>
          <w:p w14:paraId="7470EAFF" w14:textId="77777777" w:rsidR="000923BB" w:rsidRDefault="000923BB" w:rsidP="003A385F">
            <w:pPr>
              <w:spacing w:after="0" w:line="240" w:lineRule="auto"/>
              <w:jc w:val="both"/>
              <w:rPr>
                <w:rFonts w:cs="Arial"/>
                <w:sz w:val="20"/>
                <w:szCs w:val="20"/>
              </w:rPr>
            </w:pPr>
          </w:p>
          <w:p w14:paraId="2AF4255C" w14:textId="77777777" w:rsidR="000923BB" w:rsidRPr="000611C7" w:rsidRDefault="000923BB" w:rsidP="003A385F">
            <w:pPr>
              <w:spacing w:after="0" w:line="240" w:lineRule="auto"/>
              <w:jc w:val="both"/>
              <w:rPr>
                <w:rFonts w:cs="Arial"/>
                <w:sz w:val="20"/>
                <w:szCs w:val="20"/>
              </w:rPr>
            </w:pPr>
            <w:r>
              <w:rPr>
                <w:rFonts w:cs="Arial"/>
                <w:sz w:val="20"/>
                <w:szCs w:val="20"/>
              </w:rPr>
              <w:t>Pos/C</w:t>
            </w:r>
          </w:p>
        </w:tc>
      </w:tr>
      <w:tr w:rsidR="000923BB" w:rsidRPr="000611C7" w14:paraId="3A776440" w14:textId="77777777" w:rsidTr="00656B70">
        <w:tc>
          <w:tcPr>
            <w:tcW w:w="1384" w:type="dxa"/>
          </w:tcPr>
          <w:p w14:paraId="79743CFA" w14:textId="77777777" w:rsidR="000923BB" w:rsidRDefault="000923BB" w:rsidP="003A385F">
            <w:pPr>
              <w:spacing w:after="0" w:line="240" w:lineRule="auto"/>
              <w:jc w:val="both"/>
              <w:rPr>
                <w:rFonts w:cs="Arial"/>
                <w:sz w:val="20"/>
                <w:szCs w:val="20"/>
              </w:rPr>
            </w:pPr>
            <w:r w:rsidRPr="000611C7">
              <w:rPr>
                <w:rFonts w:cs="Arial"/>
                <w:sz w:val="20"/>
                <w:szCs w:val="20"/>
              </w:rPr>
              <w:lastRenderedPageBreak/>
              <w:t>Overall</w:t>
            </w:r>
            <w:r>
              <w:rPr>
                <w:rFonts w:cs="Arial"/>
                <w:sz w:val="20"/>
                <w:szCs w:val="20"/>
              </w:rPr>
              <w:t xml:space="preserve"> care </w:t>
            </w:r>
          </w:p>
          <w:p w14:paraId="7B54451E" w14:textId="77777777" w:rsidR="000923BB" w:rsidRPr="000611C7" w:rsidRDefault="000923BB" w:rsidP="003A385F">
            <w:pPr>
              <w:spacing w:after="0" w:line="240" w:lineRule="auto"/>
              <w:jc w:val="both"/>
              <w:rPr>
                <w:rFonts w:cs="Arial"/>
                <w:sz w:val="20"/>
                <w:szCs w:val="20"/>
              </w:rPr>
            </w:pPr>
            <w:r>
              <w:rPr>
                <w:rFonts w:cs="Arial"/>
                <w:sz w:val="20"/>
                <w:szCs w:val="20"/>
              </w:rPr>
              <w:t>Score 3</w:t>
            </w:r>
          </w:p>
        </w:tc>
        <w:tc>
          <w:tcPr>
            <w:tcW w:w="5137" w:type="dxa"/>
          </w:tcPr>
          <w:p w14:paraId="6AEC8B4E" w14:textId="77777777" w:rsidR="000923BB" w:rsidRDefault="000923BB" w:rsidP="003A385F">
            <w:pPr>
              <w:spacing w:after="0" w:line="240" w:lineRule="auto"/>
              <w:rPr>
                <w:rFonts w:cs="Arial"/>
                <w:sz w:val="20"/>
                <w:szCs w:val="20"/>
                <w:lang w:eastAsia="en-GB"/>
              </w:rPr>
            </w:pPr>
            <w:r w:rsidRPr="00FE4756">
              <w:rPr>
                <w:rFonts w:cs="Arial"/>
                <w:sz w:val="20"/>
                <w:szCs w:val="20"/>
                <w:lang w:eastAsia="en-GB"/>
              </w:rPr>
              <w:t>Patient appropriately treated initially with nebs</w:t>
            </w:r>
            <w:r>
              <w:rPr>
                <w:rFonts w:cs="Arial"/>
                <w:sz w:val="20"/>
                <w:szCs w:val="20"/>
                <w:lang w:eastAsia="en-GB"/>
              </w:rPr>
              <w:t xml:space="preserve"> (nebuliser)</w:t>
            </w:r>
            <w:r w:rsidRPr="00FE4756">
              <w:rPr>
                <w:rFonts w:cs="Arial"/>
                <w:sz w:val="20"/>
                <w:szCs w:val="20"/>
                <w:lang w:eastAsia="en-GB"/>
              </w:rPr>
              <w:t>, antibiotics and steroids</w:t>
            </w:r>
            <w:r w:rsidRPr="000611C7">
              <w:rPr>
                <w:rFonts w:cs="Arial"/>
                <w:sz w:val="20"/>
                <w:szCs w:val="20"/>
                <w:lang w:eastAsia="en-GB"/>
              </w:rPr>
              <w:t xml:space="preserve"> </w:t>
            </w:r>
          </w:p>
          <w:p w14:paraId="0FA90F79" w14:textId="77777777" w:rsidR="000923BB" w:rsidRDefault="000923BB" w:rsidP="003A385F">
            <w:pPr>
              <w:spacing w:after="0" w:line="240" w:lineRule="auto"/>
              <w:rPr>
                <w:rFonts w:cs="Arial"/>
                <w:sz w:val="20"/>
                <w:szCs w:val="20"/>
                <w:lang w:eastAsia="en-GB"/>
              </w:rPr>
            </w:pPr>
            <w:r w:rsidRPr="00FE4756">
              <w:rPr>
                <w:rFonts w:cs="Arial"/>
                <w:sz w:val="20"/>
                <w:szCs w:val="20"/>
                <w:lang w:eastAsia="en-GB"/>
              </w:rPr>
              <w:t>however patient's treatment plan not escalated until he was in severe type 2 respiratory failure</w:t>
            </w:r>
            <w:r w:rsidRPr="000611C7">
              <w:rPr>
                <w:rFonts w:cs="Arial"/>
                <w:sz w:val="20"/>
                <w:szCs w:val="20"/>
                <w:lang w:eastAsia="en-GB"/>
              </w:rPr>
              <w:t xml:space="preserve">. </w:t>
            </w:r>
          </w:p>
          <w:p w14:paraId="63C34A3B" w14:textId="77777777" w:rsidR="000923BB" w:rsidRDefault="000923BB" w:rsidP="003A385F">
            <w:pPr>
              <w:spacing w:after="0" w:line="240" w:lineRule="auto"/>
              <w:rPr>
                <w:rFonts w:cs="Arial"/>
                <w:sz w:val="20"/>
                <w:szCs w:val="20"/>
                <w:lang w:eastAsia="en-GB"/>
              </w:rPr>
            </w:pPr>
            <w:r w:rsidRPr="00FE4756">
              <w:rPr>
                <w:rFonts w:cs="Arial"/>
                <w:sz w:val="20"/>
                <w:szCs w:val="20"/>
                <w:lang w:eastAsia="en-GB"/>
              </w:rPr>
              <w:t>NIV</w:t>
            </w:r>
            <w:r>
              <w:rPr>
                <w:rFonts w:cs="Arial"/>
                <w:sz w:val="20"/>
                <w:szCs w:val="20"/>
                <w:lang w:eastAsia="en-GB"/>
              </w:rPr>
              <w:t xml:space="preserve"> (Non invasive intubation)</w:t>
            </w:r>
            <w:r w:rsidRPr="00FE4756">
              <w:rPr>
                <w:rFonts w:cs="Arial"/>
                <w:sz w:val="20"/>
                <w:szCs w:val="20"/>
                <w:lang w:eastAsia="en-GB"/>
              </w:rPr>
              <w:t>/ITU not considered in this patient ?why-he had no other co-morbidities and no previous hospital admissions.</w:t>
            </w:r>
            <w:r w:rsidRPr="000611C7">
              <w:rPr>
                <w:rFonts w:cs="Arial"/>
                <w:sz w:val="20"/>
                <w:szCs w:val="20"/>
                <w:lang w:eastAsia="en-GB"/>
              </w:rPr>
              <w:t xml:space="preserve"> </w:t>
            </w:r>
          </w:p>
          <w:p w14:paraId="560398E4" w14:textId="77777777" w:rsidR="000923BB" w:rsidRPr="000611C7" w:rsidRDefault="000923BB" w:rsidP="00656B70">
            <w:pPr>
              <w:spacing w:after="0" w:line="240" w:lineRule="auto"/>
              <w:rPr>
                <w:rFonts w:cs="Arial"/>
                <w:sz w:val="20"/>
                <w:szCs w:val="20"/>
              </w:rPr>
            </w:pPr>
            <w:r w:rsidRPr="00FE4756">
              <w:rPr>
                <w:rFonts w:cs="Arial"/>
                <w:sz w:val="20"/>
                <w:szCs w:val="20"/>
                <w:lang w:eastAsia="en-GB"/>
              </w:rPr>
              <w:t>Resus decision made inappropriately by on call team when patient very unwell.</w:t>
            </w:r>
          </w:p>
        </w:tc>
        <w:tc>
          <w:tcPr>
            <w:tcW w:w="1701" w:type="dxa"/>
          </w:tcPr>
          <w:p w14:paraId="630D4C66" w14:textId="77777777" w:rsidR="000923BB" w:rsidRPr="000611C7" w:rsidRDefault="000923BB" w:rsidP="003A385F">
            <w:pPr>
              <w:spacing w:after="0" w:line="240" w:lineRule="auto"/>
              <w:jc w:val="both"/>
              <w:rPr>
                <w:rFonts w:cs="Arial"/>
                <w:sz w:val="20"/>
                <w:szCs w:val="20"/>
              </w:rPr>
            </w:pPr>
            <w:r w:rsidRPr="000611C7">
              <w:rPr>
                <w:rFonts w:cs="Arial"/>
                <w:sz w:val="20"/>
                <w:szCs w:val="20"/>
              </w:rPr>
              <w:t>Pos/</w:t>
            </w:r>
            <w:r w:rsidRPr="00FE4756">
              <w:rPr>
                <w:rFonts w:cs="Arial"/>
                <w:sz w:val="20"/>
                <w:szCs w:val="20"/>
              </w:rPr>
              <w:t>C</w:t>
            </w:r>
          </w:p>
          <w:p w14:paraId="1038E2A3" w14:textId="77777777" w:rsidR="000923BB" w:rsidRPr="000611C7" w:rsidRDefault="000923BB" w:rsidP="003A385F">
            <w:pPr>
              <w:spacing w:after="0" w:line="240" w:lineRule="auto"/>
              <w:jc w:val="both"/>
              <w:rPr>
                <w:rFonts w:cs="Arial"/>
                <w:sz w:val="20"/>
                <w:szCs w:val="20"/>
              </w:rPr>
            </w:pPr>
          </w:p>
          <w:p w14:paraId="715B4B2C" w14:textId="77777777" w:rsidR="000923BB" w:rsidRPr="000611C7" w:rsidRDefault="000923BB" w:rsidP="003A385F">
            <w:pPr>
              <w:spacing w:after="0" w:line="240" w:lineRule="auto"/>
              <w:jc w:val="both"/>
              <w:rPr>
                <w:rFonts w:cs="Arial"/>
                <w:sz w:val="20"/>
                <w:szCs w:val="20"/>
              </w:rPr>
            </w:pPr>
            <w:r w:rsidRPr="000611C7">
              <w:rPr>
                <w:rFonts w:cs="Arial"/>
                <w:sz w:val="20"/>
                <w:szCs w:val="20"/>
              </w:rPr>
              <w:t>Neg/</w:t>
            </w:r>
            <w:r w:rsidRPr="00FE4756">
              <w:rPr>
                <w:rFonts w:cs="Arial"/>
                <w:sz w:val="20"/>
                <w:szCs w:val="20"/>
              </w:rPr>
              <w:t>B</w:t>
            </w:r>
          </w:p>
          <w:p w14:paraId="565FCD85" w14:textId="77777777" w:rsidR="000923BB" w:rsidRPr="000611C7" w:rsidRDefault="000923BB" w:rsidP="003A385F">
            <w:pPr>
              <w:spacing w:after="0" w:line="240" w:lineRule="auto"/>
              <w:jc w:val="both"/>
              <w:rPr>
                <w:rFonts w:cs="Arial"/>
                <w:sz w:val="20"/>
                <w:szCs w:val="20"/>
              </w:rPr>
            </w:pPr>
          </w:p>
          <w:p w14:paraId="345C4EF1" w14:textId="77777777" w:rsidR="000923BB" w:rsidRDefault="000923BB" w:rsidP="003A385F">
            <w:pPr>
              <w:spacing w:after="0" w:line="240" w:lineRule="auto"/>
              <w:jc w:val="both"/>
              <w:rPr>
                <w:rFonts w:cs="Arial"/>
                <w:sz w:val="20"/>
                <w:szCs w:val="20"/>
              </w:rPr>
            </w:pPr>
            <w:r w:rsidRPr="000611C7">
              <w:rPr>
                <w:rFonts w:cs="Arial"/>
                <w:sz w:val="20"/>
                <w:szCs w:val="20"/>
              </w:rPr>
              <w:t>Neg/</w:t>
            </w:r>
            <w:r w:rsidRPr="00FE4756">
              <w:rPr>
                <w:rFonts w:cs="Arial"/>
                <w:sz w:val="20"/>
                <w:szCs w:val="20"/>
              </w:rPr>
              <w:t>C</w:t>
            </w:r>
          </w:p>
          <w:p w14:paraId="544D5568" w14:textId="77777777" w:rsidR="000923BB" w:rsidRDefault="000923BB" w:rsidP="003A385F">
            <w:pPr>
              <w:spacing w:after="0" w:line="240" w:lineRule="auto"/>
              <w:jc w:val="both"/>
              <w:rPr>
                <w:rFonts w:cs="Arial"/>
                <w:sz w:val="20"/>
                <w:szCs w:val="20"/>
              </w:rPr>
            </w:pPr>
          </w:p>
          <w:p w14:paraId="35D2592A" w14:textId="77777777" w:rsidR="000923BB" w:rsidRDefault="000923BB" w:rsidP="003A385F">
            <w:pPr>
              <w:spacing w:after="0" w:line="240" w:lineRule="auto"/>
              <w:jc w:val="both"/>
              <w:rPr>
                <w:rFonts w:cs="Arial"/>
                <w:sz w:val="20"/>
                <w:szCs w:val="20"/>
              </w:rPr>
            </w:pPr>
          </w:p>
          <w:p w14:paraId="61B366B0" w14:textId="77777777" w:rsidR="000923BB" w:rsidRPr="000611C7" w:rsidRDefault="000923BB" w:rsidP="003A385F">
            <w:pPr>
              <w:spacing w:after="0" w:line="240" w:lineRule="auto"/>
              <w:jc w:val="both"/>
              <w:rPr>
                <w:rFonts w:cs="Arial"/>
                <w:sz w:val="20"/>
                <w:szCs w:val="20"/>
              </w:rPr>
            </w:pPr>
            <w:r>
              <w:rPr>
                <w:rFonts w:cs="Arial"/>
                <w:sz w:val="20"/>
                <w:szCs w:val="20"/>
              </w:rPr>
              <w:t>Neg/C</w:t>
            </w:r>
          </w:p>
        </w:tc>
      </w:tr>
    </w:tbl>
    <w:p w14:paraId="114DBDD3" w14:textId="77777777" w:rsidR="000923BB" w:rsidRDefault="000923BB" w:rsidP="000923BB">
      <w:pPr>
        <w:jc w:val="both"/>
        <w:rPr>
          <w:rFonts w:cs="Arial"/>
        </w:rPr>
      </w:pPr>
    </w:p>
    <w:p w14:paraId="6E780192" w14:textId="77777777" w:rsidR="000923BB" w:rsidRPr="0061108F" w:rsidRDefault="000923BB" w:rsidP="000923BB">
      <w:pPr>
        <w:jc w:val="both"/>
        <w:rPr>
          <w:rFonts w:cs="Arial"/>
          <w:sz w:val="22"/>
          <w:szCs w:val="22"/>
        </w:rPr>
      </w:pPr>
      <w:r w:rsidRPr="0061108F">
        <w:rPr>
          <w:rFonts w:cs="Arial"/>
          <w:sz w:val="22"/>
          <w:szCs w:val="22"/>
        </w:rPr>
        <w:t>Comments on good care tended to be more global than those for unsatisfactory care but may also be quite explicit. Cases which demonstrate this and also how a single adverse event may change the reviewer’s overall consideration of the case are included as additional material. (</w:t>
      </w:r>
      <w:r w:rsidRPr="0061108F">
        <w:rPr>
          <w:rFonts w:cs="Arial"/>
          <w:i/>
          <w:sz w:val="22"/>
          <w:szCs w:val="22"/>
        </w:rPr>
        <w:t>see Box 5 and Box 6</w:t>
      </w:r>
      <w:r w:rsidRPr="0061108F">
        <w:rPr>
          <w:rFonts w:cs="Arial"/>
          <w:sz w:val="22"/>
          <w:szCs w:val="22"/>
        </w:rPr>
        <w:t xml:space="preserve"> </w:t>
      </w:r>
      <w:r w:rsidRPr="0061108F">
        <w:rPr>
          <w:rFonts w:cs="Arial"/>
          <w:i/>
          <w:sz w:val="22"/>
          <w:szCs w:val="22"/>
        </w:rPr>
        <w:t>attached at the end of the paper for BMJ.com</w:t>
      </w:r>
      <w:r w:rsidRPr="0061108F">
        <w:rPr>
          <w:rFonts w:cs="Arial"/>
          <w:sz w:val="22"/>
          <w:szCs w:val="22"/>
        </w:rPr>
        <w:t xml:space="preserve">) </w:t>
      </w:r>
    </w:p>
    <w:p w14:paraId="0CE1278B" w14:textId="77777777" w:rsidR="000923BB" w:rsidRPr="0061108F" w:rsidRDefault="000923BB" w:rsidP="000923BB">
      <w:pPr>
        <w:jc w:val="both"/>
        <w:rPr>
          <w:rFonts w:cs="Arial"/>
          <w:sz w:val="22"/>
          <w:szCs w:val="22"/>
        </w:rPr>
      </w:pPr>
      <w:r w:rsidRPr="0061108F">
        <w:rPr>
          <w:rFonts w:cs="Arial"/>
          <w:sz w:val="22"/>
          <w:szCs w:val="22"/>
        </w:rPr>
        <w:t xml:space="preserve">Some of the reviewers in this study were more ‘explanatory’ than others so that, in some cases, the number of comments may reflect individual style rather than the strength of the comment. For example, comments such as ‘good care’ or ‘unclear treatment’ are short explicit judgements without further detail, while other reviewers are more extensively explicit.  </w:t>
      </w:r>
    </w:p>
    <w:p w14:paraId="34B6A962" w14:textId="77777777" w:rsidR="000923BB" w:rsidRPr="0061108F" w:rsidRDefault="000923BB" w:rsidP="000923BB">
      <w:pPr>
        <w:jc w:val="both"/>
        <w:rPr>
          <w:rFonts w:cs="Arial"/>
          <w:sz w:val="22"/>
          <w:szCs w:val="22"/>
        </w:rPr>
      </w:pPr>
      <w:r w:rsidRPr="0061108F">
        <w:rPr>
          <w:rFonts w:cs="Arial"/>
          <w:sz w:val="22"/>
          <w:szCs w:val="22"/>
        </w:rPr>
        <w:t xml:space="preserve">Of the 63 case reviews (54% of the total number of mortality reviews) that scored most highly (5 or 6), there were 52 accompanied by a short explicit comment in the overall care section indicating that all key aspects of care had been good or excellent (e.g. ‘well looked after’) and in 16 of the 63 reviews there were comments about the inevitable outcome of the case despite the good care received. </w:t>
      </w:r>
    </w:p>
    <w:p w14:paraId="5E8CDCAE" w14:textId="77777777" w:rsidR="000923BB" w:rsidRPr="0061108F" w:rsidRDefault="000923BB" w:rsidP="000923BB">
      <w:pPr>
        <w:jc w:val="both"/>
        <w:rPr>
          <w:rFonts w:cs="Arial"/>
          <w:sz w:val="22"/>
          <w:szCs w:val="22"/>
        </w:rPr>
      </w:pPr>
    </w:p>
    <w:p w14:paraId="5CFAF55F" w14:textId="77777777" w:rsidR="000923BB" w:rsidRDefault="000923BB" w:rsidP="000923BB">
      <w:pPr>
        <w:jc w:val="both"/>
        <w:rPr>
          <w:rFonts w:cs="Arial"/>
          <w:b/>
        </w:rPr>
      </w:pPr>
      <w:r>
        <w:rPr>
          <w:rFonts w:cs="Arial"/>
          <w:b/>
        </w:rPr>
        <w:t>DISCUSSION</w:t>
      </w:r>
    </w:p>
    <w:p w14:paraId="22A42883" w14:textId="77777777" w:rsidR="000923BB" w:rsidRPr="0061108F" w:rsidRDefault="000923BB" w:rsidP="000923BB">
      <w:pPr>
        <w:jc w:val="both"/>
        <w:rPr>
          <w:rFonts w:cs="Arial"/>
          <w:sz w:val="22"/>
          <w:szCs w:val="22"/>
        </w:rPr>
      </w:pPr>
      <w:r w:rsidRPr="0061108F">
        <w:rPr>
          <w:rFonts w:cs="Arial"/>
          <w:sz w:val="22"/>
          <w:szCs w:val="22"/>
        </w:rPr>
        <w:t xml:space="preserve">In this study we have shown that physician reviewers are able to use structured review to, make implicit quality and safety judgements, write explicit short care commentaries and give coherent matching quality of care scores.  Quantitative scores and qualitative comments matched well, indicating that physician reviewers can appropriately score the quality of care on a rating scale. </w:t>
      </w:r>
    </w:p>
    <w:p w14:paraId="0EB2EBC1" w14:textId="77777777" w:rsidR="000923BB" w:rsidRPr="0061108F" w:rsidRDefault="000923BB" w:rsidP="000923BB">
      <w:pPr>
        <w:jc w:val="both"/>
        <w:rPr>
          <w:rFonts w:cs="Arial"/>
          <w:sz w:val="22"/>
          <w:szCs w:val="22"/>
        </w:rPr>
      </w:pPr>
      <w:r w:rsidRPr="0061108F">
        <w:rPr>
          <w:rFonts w:cs="Arial"/>
          <w:sz w:val="22"/>
          <w:szCs w:val="22"/>
        </w:rPr>
        <w:t xml:space="preserve">These physician reviewers could identify and explain both technical and non-technical aspects of care, and could rank these aspects of care using a set of ‘benchmark’ scores, ranging from very good care to very unsatisfactory care.  For people with complex illnesses, the outcome is not always survival.  However, structured explicit judgments can show how high quality care was provided – even if the patient has not survived. For example, there were a number of instances where explicit comments were made about the quality of non-technical care such as </w:t>
      </w:r>
      <w:r w:rsidR="005259A3">
        <w:rPr>
          <w:rFonts w:cs="Arial"/>
          <w:sz w:val="22"/>
          <w:szCs w:val="22"/>
        </w:rPr>
        <w:t xml:space="preserve">the </w:t>
      </w:r>
      <w:r w:rsidRPr="0061108F">
        <w:rPr>
          <w:rFonts w:cs="Arial"/>
          <w:sz w:val="22"/>
          <w:szCs w:val="22"/>
        </w:rPr>
        <w:t>way information was provided to patients and their relatives. Conversely, when poor care occurs, the method can identify the points at which care fails to meet expected standards, and when the situation can be, or is, rescued.  It is interesting to note that in Table 1 the proportions of those who died and had less than satisfactory care (about 20% of the cases), were similar to those who survived and had poor care.</w:t>
      </w:r>
    </w:p>
    <w:p w14:paraId="010B0D81" w14:textId="77777777" w:rsidR="000923BB" w:rsidRPr="0061108F" w:rsidRDefault="000923BB" w:rsidP="000923BB">
      <w:pPr>
        <w:jc w:val="both"/>
        <w:rPr>
          <w:rFonts w:cs="Arial"/>
          <w:sz w:val="22"/>
          <w:szCs w:val="22"/>
        </w:rPr>
      </w:pPr>
      <w:r w:rsidRPr="0061108F">
        <w:rPr>
          <w:rFonts w:cs="Arial"/>
          <w:sz w:val="22"/>
          <w:szCs w:val="22"/>
        </w:rPr>
        <w:lastRenderedPageBreak/>
        <w:t xml:space="preserve">During the training session, reviewers were encouraged to be as direct as possible in their commentaries, and in the results overall (Tables 3 and 4) there were many more explicit comments than there were implicit comments. Nevertheless when poor care was being described, while explicit comments predominated, there was a noteworthy proportion of implicit, B level, comments. Sometimes these B level comments were about documentation (which was not in the C category) or concerned missed tests which the reviewer listed and didn’t specifically make a judgement upon – for example, No ABGs (Arterial Blood Gases), see Box 3.  It may be that in this case the reviewer felt that the result said it all and that an explicit comment was superfluous. On the other hand, it could also be that some reviewers might have felt uncomfortable about making direct comments about very poor care. </w:t>
      </w:r>
    </w:p>
    <w:p w14:paraId="2011BECB" w14:textId="77777777" w:rsidR="000923BB" w:rsidRPr="0061108F" w:rsidRDefault="000923BB" w:rsidP="000923BB">
      <w:pPr>
        <w:jc w:val="both"/>
        <w:rPr>
          <w:rFonts w:cs="Arial"/>
          <w:sz w:val="22"/>
          <w:szCs w:val="22"/>
        </w:rPr>
      </w:pPr>
      <w:r w:rsidRPr="0061108F">
        <w:rPr>
          <w:rFonts w:cs="Arial"/>
          <w:sz w:val="22"/>
          <w:szCs w:val="22"/>
        </w:rPr>
        <w:t xml:space="preserve">With the hindsight of these results, and when undertaking reviews such as this in health service settings, training should include discussion of an initial sample of commentaries and scores with each reviewer to assist in maximising the number of explicit comments.  Of course, training might identify some reviewers who do not feel able to make explicit comments and so would not be suitable for this type of review.   </w:t>
      </w:r>
    </w:p>
    <w:p w14:paraId="63D13CAC" w14:textId="77777777" w:rsidR="000923BB" w:rsidRPr="0061108F" w:rsidRDefault="000923BB" w:rsidP="000923BB">
      <w:pPr>
        <w:jc w:val="both"/>
        <w:rPr>
          <w:rFonts w:cs="Arial"/>
          <w:sz w:val="22"/>
          <w:szCs w:val="22"/>
        </w:rPr>
      </w:pPr>
      <w:r w:rsidRPr="0061108F">
        <w:rPr>
          <w:rFonts w:cs="Arial"/>
          <w:sz w:val="22"/>
          <w:szCs w:val="22"/>
        </w:rPr>
        <w:t xml:space="preserve">The phase of care structure also contributes to an understanding of how care may vary, and at what point. Interestingly, a phase of care approach has also been used by Shannon and colleagues in a review of cardiac surgical care,[18] albeit in a rather more structured system with distinct changes in physical settings. In the context of assessing whether death was a preventable outcome, Hogan et al used a four-phase model to identify adverse incidents – initial assessment, treatment plan, ongoing monitoring and preparation for discharge.[8] Under the conditions of a service review a three-phase model might be easier to manage but either a three or four phase approach would be appropriate.  </w:t>
      </w:r>
    </w:p>
    <w:p w14:paraId="6D119066" w14:textId="77777777" w:rsidR="000923BB" w:rsidRPr="0061108F" w:rsidRDefault="000923BB" w:rsidP="000923BB">
      <w:pPr>
        <w:jc w:val="both"/>
        <w:rPr>
          <w:rFonts w:cs="Arial"/>
          <w:sz w:val="22"/>
          <w:szCs w:val="22"/>
        </w:rPr>
      </w:pPr>
      <w:r w:rsidRPr="0061108F">
        <w:rPr>
          <w:rFonts w:cs="Arial"/>
          <w:sz w:val="22"/>
          <w:szCs w:val="22"/>
        </w:rPr>
        <w:t>Qualitative comments from the reviewers were useful in that they could succinctly identify what was done badly in poor cases. Such short explicit judgements could support a wider, more detailed, service review to assess what could be improved in a particular setting or condition. Furthermore, since this structured review method assesses both process and outcome of care, this mixed type of review, using qualitative comments with scores, might be a useful addition to review measures which only assess outcomes or are criterion based. This mixed qualitative and criterion based method is published in detail elsewhere.[9]</w:t>
      </w:r>
    </w:p>
    <w:p w14:paraId="55DD8F97" w14:textId="77777777" w:rsidR="000923BB" w:rsidRPr="0061108F" w:rsidRDefault="000923BB" w:rsidP="000923BB">
      <w:pPr>
        <w:jc w:val="both"/>
        <w:rPr>
          <w:rFonts w:cs="Arial"/>
          <w:sz w:val="22"/>
          <w:szCs w:val="22"/>
        </w:rPr>
      </w:pPr>
      <w:r w:rsidRPr="0061108F">
        <w:rPr>
          <w:rFonts w:cs="Arial"/>
          <w:sz w:val="22"/>
          <w:szCs w:val="22"/>
        </w:rPr>
        <w:t xml:space="preserve">In this study, assessments of the quality and safety of the care provided showed that, for over 80% of the patients who died, care was rated at least satisfactory and, for approximately half of the cases, care was judged to be of high quality.  The processes of care described enable a qualitative judgement to be associated with an objective score that is explicable to, and understandable by, a wide range of people and would be understood by the public too.  However, having graded a case as poor or not, there is the added advantage that the structured comments also provide the reasoning behind the judgement in a format to which clinical teams and individuals should be able to respond in a review process. </w:t>
      </w:r>
    </w:p>
    <w:p w14:paraId="2FDA7B7C" w14:textId="77777777" w:rsidR="008D0A20" w:rsidRDefault="008D0A20" w:rsidP="000923BB">
      <w:pPr>
        <w:jc w:val="both"/>
        <w:rPr>
          <w:rFonts w:cs="Arial"/>
          <w:b/>
          <w:sz w:val="22"/>
          <w:szCs w:val="22"/>
        </w:rPr>
      </w:pPr>
    </w:p>
    <w:p w14:paraId="6BBFFF8A" w14:textId="77777777" w:rsidR="000923BB" w:rsidRPr="0061108F" w:rsidRDefault="000923BB" w:rsidP="000923BB">
      <w:pPr>
        <w:jc w:val="both"/>
        <w:rPr>
          <w:rFonts w:cs="Arial"/>
          <w:b/>
          <w:sz w:val="22"/>
          <w:szCs w:val="22"/>
        </w:rPr>
      </w:pPr>
      <w:r w:rsidRPr="0061108F">
        <w:rPr>
          <w:rFonts w:cs="Arial"/>
          <w:b/>
          <w:sz w:val="22"/>
          <w:szCs w:val="22"/>
        </w:rPr>
        <w:lastRenderedPageBreak/>
        <w:t>Limitations</w:t>
      </w:r>
    </w:p>
    <w:p w14:paraId="3FBB3384" w14:textId="77777777" w:rsidR="000923BB" w:rsidRPr="0061108F" w:rsidRDefault="000923BB" w:rsidP="000923BB">
      <w:pPr>
        <w:jc w:val="both"/>
        <w:rPr>
          <w:rFonts w:cs="Arial"/>
          <w:sz w:val="22"/>
          <w:szCs w:val="22"/>
        </w:rPr>
      </w:pPr>
      <w:r w:rsidRPr="0061108F">
        <w:rPr>
          <w:rFonts w:cs="Arial"/>
          <w:sz w:val="22"/>
          <w:szCs w:val="22"/>
        </w:rPr>
        <w:t xml:space="preserve">In this study the 40 reviewers were all volunteers who undertook the work in their own hospitals. Although there might be concerns about the impartiality of using internal review teams, results have shown that reviewers can make incisive short notes (commentaries) about quality of care, and can critically review care provided in their own hospitals. </w:t>
      </w:r>
    </w:p>
    <w:p w14:paraId="0BB41577" w14:textId="77777777" w:rsidR="000923BB" w:rsidRPr="0061108F" w:rsidRDefault="000923BB" w:rsidP="000923BB">
      <w:pPr>
        <w:jc w:val="both"/>
        <w:rPr>
          <w:rFonts w:cs="Arial"/>
          <w:sz w:val="22"/>
          <w:szCs w:val="22"/>
        </w:rPr>
      </w:pPr>
      <w:r w:rsidRPr="0061108F">
        <w:rPr>
          <w:rFonts w:cs="Arial"/>
          <w:sz w:val="22"/>
          <w:szCs w:val="22"/>
        </w:rPr>
        <w:t>Internal review teams have also been used in other settings. Sharek et al</w:t>
      </w:r>
      <w:r w:rsidRPr="0061108F">
        <w:rPr>
          <w:rFonts w:cs="Arial"/>
          <w:b/>
          <w:sz w:val="22"/>
          <w:szCs w:val="22"/>
        </w:rPr>
        <w:t xml:space="preserve"> </w:t>
      </w:r>
      <w:r w:rsidRPr="0061108F">
        <w:rPr>
          <w:rFonts w:cs="Arial"/>
          <w:sz w:val="22"/>
          <w:szCs w:val="22"/>
        </w:rPr>
        <w:t>commented on the strong performance of hospital-based internal review teams, albeit when using more structured, criterion-based, trigger tools to identify adverse events.[19]</w:t>
      </w:r>
    </w:p>
    <w:p w14:paraId="16A826C9" w14:textId="77777777" w:rsidR="000923BB" w:rsidRPr="0061108F" w:rsidRDefault="000923BB" w:rsidP="000923BB">
      <w:pPr>
        <w:jc w:val="both"/>
        <w:rPr>
          <w:rFonts w:cs="Arial"/>
          <w:sz w:val="22"/>
          <w:szCs w:val="22"/>
        </w:rPr>
      </w:pPr>
      <w:r w:rsidRPr="0061108F">
        <w:rPr>
          <w:rFonts w:cs="Arial"/>
          <w:sz w:val="22"/>
          <w:szCs w:val="22"/>
        </w:rPr>
        <w:t>Although it could be argued that two reviewers per case might enhance the quality and depth of a case note review, there is some evidence to suggest that this use of a more intensive resource does not necessarily improve the review process.  While we were able to show in our development study that there was reasonable coherence of quantitative care scores and criterion-based scores between physician reviewers,[9,13] other work by Hofer and colleagues</w:t>
      </w:r>
      <w:r w:rsidRPr="0061108F">
        <w:rPr>
          <w:rFonts w:cs="Arial"/>
          <w:b/>
          <w:sz w:val="22"/>
          <w:szCs w:val="22"/>
        </w:rPr>
        <w:t xml:space="preserve"> </w:t>
      </w:r>
      <w:r w:rsidRPr="0061108F">
        <w:rPr>
          <w:rFonts w:cs="Arial"/>
          <w:sz w:val="22"/>
          <w:szCs w:val="22"/>
        </w:rPr>
        <w:t xml:space="preserve">found that multiple reviewing of the same set of case notes did not enhance the results.[20]  </w:t>
      </w:r>
    </w:p>
    <w:p w14:paraId="4BE4BB78" w14:textId="77777777" w:rsidR="000923BB" w:rsidRPr="0061108F" w:rsidRDefault="000923BB" w:rsidP="000923BB">
      <w:pPr>
        <w:jc w:val="both"/>
        <w:rPr>
          <w:rFonts w:cs="Arial"/>
          <w:sz w:val="22"/>
          <w:szCs w:val="22"/>
        </w:rPr>
      </w:pPr>
      <w:r w:rsidRPr="0061108F">
        <w:rPr>
          <w:rFonts w:cs="Arial"/>
          <w:sz w:val="22"/>
          <w:szCs w:val="22"/>
        </w:rPr>
        <w:t>Finally, it is important to recognise that there are limits to the extent to which the quantitative analysis of the reviews can be used. For example, averaging phase scores across each case, to determine whether phase score averages are similar to the overall care score, is not appropriate. An example of this can be found in the online resource in Box 6</w:t>
      </w:r>
      <w:r w:rsidRPr="0061108F">
        <w:rPr>
          <w:rFonts w:eastAsia="Arial" w:cs="Arial"/>
          <w:sz w:val="22"/>
          <w:szCs w:val="22"/>
        </w:rPr>
        <w:t xml:space="preserve"> where care was judged excellent until moments before the patient died</w:t>
      </w:r>
      <w:r w:rsidRPr="0061108F">
        <w:rPr>
          <w:rFonts w:cs="Arial"/>
          <w:sz w:val="22"/>
          <w:szCs w:val="22"/>
        </w:rPr>
        <w:t>. The value of this current study is that the context and the basis for any quantitative score can be found in the phase of care comments associated with each score.</w:t>
      </w:r>
    </w:p>
    <w:p w14:paraId="20F8CB41" w14:textId="77777777" w:rsidR="000923BB" w:rsidRPr="0061108F" w:rsidRDefault="000923BB" w:rsidP="000923BB">
      <w:pPr>
        <w:jc w:val="both"/>
        <w:rPr>
          <w:rFonts w:cs="Arial"/>
          <w:b/>
          <w:sz w:val="22"/>
          <w:szCs w:val="22"/>
        </w:rPr>
      </w:pPr>
      <w:r w:rsidRPr="0061108F">
        <w:rPr>
          <w:rFonts w:cs="Arial"/>
          <w:b/>
          <w:sz w:val="22"/>
          <w:szCs w:val="22"/>
        </w:rPr>
        <w:t xml:space="preserve">Conclusions </w:t>
      </w:r>
    </w:p>
    <w:p w14:paraId="039A3C3B" w14:textId="77777777" w:rsidR="000923BB" w:rsidRPr="0061108F" w:rsidRDefault="000923BB" w:rsidP="000923BB">
      <w:pPr>
        <w:jc w:val="both"/>
        <w:rPr>
          <w:rFonts w:cs="Arial"/>
          <w:sz w:val="22"/>
          <w:szCs w:val="22"/>
        </w:rPr>
      </w:pPr>
      <w:r w:rsidRPr="0061108F">
        <w:rPr>
          <w:rFonts w:cs="Arial"/>
          <w:sz w:val="22"/>
          <w:szCs w:val="22"/>
        </w:rPr>
        <w:t xml:space="preserve">This method is a refinement on both global implicit judgement and structured implicit judgement used upon a set of case notes, because it is able to provide information on aspects of each phase of care, enabling more detailed, yet still brief, comments to show explicitly how care may vary or be consistent with expected standards. For example, this method could be used to identify whether care has led to a preventable death, or to identify good quality of care even though the overall outcome is failure to survive. Thus, although the study did not explicitly seek to judge a death as preventable, as did Hogan and colleagues,[8] review training could straightforwardly include an explicit judgement commentary about whether a death was preventable or was not preventable (as some of the study reviewers actually did). </w:t>
      </w:r>
    </w:p>
    <w:p w14:paraId="4F055F13" w14:textId="77777777" w:rsidR="000923BB" w:rsidRPr="0061108F" w:rsidRDefault="000923BB" w:rsidP="000923BB">
      <w:pPr>
        <w:jc w:val="both"/>
        <w:rPr>
          <w:rFonts w:cs="Arial"/>
          <w:sz w:val="22"/>
          <w:szCs w:val="22"/>
        </w:rPr>
      </w:pPr>
      <w:r w:rsidRPr="0061108F">
        <w:rPr>
          <w:rFonts w:cs="Arial"/>
          <w:sz w:val="22"/>
          <w:szCs w:val="22"/>
        </w:rPr>
        <w:t xml:space="preserve">Results also show how explicit written judgements and quality of care scoring can be used together and thus may offer a range of case note review methods for use under differing circumstances, together with opportunities for providing training and assessment of ‘reviewer quality’. </w:t>
      </w:r>
    </w:p>
    <w:p w14:paraId="1C1D4C39" w14:textId="77777777" w:rsidR="000923BB" w:rsidRPr="0061108F" w:rsidRDefault="000923BB" w:rsidP="000923BB">
      <w:pPr>
        <w:jc w:val="both"/>
        <w:rPr>
          <w:rFonts w:cs="Arial"/>
          <w:sz w:val="22"/>
          <w:szCs w:val="22"/>
        </w:rPr>
      </w:pPr>
      <w:r w:rsidRPr="0061108F">
        <w:rPr>
          <w:rFonts w:cs="Arial"/>
          <w:sz w:val="22"/>
          <w:szCs w:val="22"/>
        </w:rPr>
        <w:t xml:space="preserve">Structured judgement review provides the framework for a quality of care review that can be used by clinical leaders and quality managers to identify potential priority areas for evaluation. For example, scoring allows for a screening of the overall care quality </w:t>
      </w:r>
      <w:r w:rsidRPr="0061108F">
        <w:rPr>
          <w:rFonts w:cs="Arial"/>
          <w:sz w:val="22"/>
          <w:szCs w:val="22"/>
        </w:rPr>
        <w:lastRenderedPageBreak/>
        <w:t>for a case overall, or can identify issues in a particular phase of care, say at admission or initial management. Explicit comments allow exploration of particular aspects of care, for instance where good treatment plans might be inadequately implemented.  For these purposes it is not necessary to analyse whether comments are implicit or explicit. The data collection framework is straightforward, has been previously published and is easily available.[9]</w:t>
      </w:r>
    </w:p>
    <w:p w14:paraId="2B01E4E6" w14:textId="77777777" w:rsidR="000923BB" w:rsidRPr="0061108F" w:rsidRDefault="000923BB" w:rsidP="000923BB">
      <w:pPr>
        <w:jc w:val="both"/>
        <w:rPr>
          <w:rFonts w:cs="Arial"/>
          <w:sz w:val="22"/>
          <w:szCs w:val="22"/>
        </w:rPr>
      </w:pPr>
      <w:r w:rsidRPr="0061108F">
        <w:rPr>
          <w:rFonts w:cs="Arial"/>
          <w:sz w:val="22"/>
          <w:szCs w:val="22"/>
        </w:rPr>
        <w:t xml:space="preserve">Who should act as the reviewers?  Because of the complexity of illness often presented in hospital settings, studies of adverse events have used experienced generalists with some specialist support.[8] This structured implicit review method could be used in a similar way either with in-hospital teams or by visiting teams from other hospitals. We do not know whether the review results would be better when undertaken by experienced specialists than the reviewers in our study.  However, our results have shown that this form of review can be undertaken by specialists at a senior level in a training programme – so increasing the pool of trained senior reviewers in a hospital - and thus the method offers the opportunity for early review of the care of people who die in hospital so that, where necessary, timely quality improvement lessons can be learnt. </w:t>
      </w:r>
    </w:p>
    <w:p w14:paraId="02B71C42" w14:textId="77777777" w:rsidR="000923BB" w:rsidRDefault="000923BB" w:rsidP="000923BB">
      <w:pPr>
        <w:jc w:val="both"/>
        <w:rPr>
          <w:rFonts w:cs="Arial"/>
        </w:rPr>
      </w:pPr>
      <w:r>
        <w:rPr>
          <w:rFonts w:cs="Arial"/>
        </w:rPr>
        <w:t xml:space="preserve"> </w:t>
      </w:r>
    </w:p>
    <w:p w14:paraId="45C3B524" w14:textId="77777777" w:rsidR="000923BB" w:rsidRDefault="000923BB" w:rsidP="000923BB">
      <w:pPr>
        <w:jc w:val="both"/>
        <w:rPr>
          <w:rFonts w:cs="Arial"/>
          <w:b/>
        </w:rPr>
      </w:pPr>
      <w:r>
        <w:rPr>
          <w:rFonts w:cs="Arial"/>
          <w:b/>
        </w:rPr>
        <w:t>ABBREVIATIONS</w:t>
      </w:r>
    </w:p>
    <w:p w14:paraId="00090385" w14:textId="77777777" w:rsidR="000923BB" w:rsidRPr="0061108F" w:rsidRDefault="000923BB" w:rsidP="000923BB">
      <w:pPr>
        <w:jc w:val="both"/>
        <w:rPr>
          <w:rFonts w:cs="Arial"/>
          <w:sz w:val="22"/>
          <w:szCs w:val="22"/>
        </w:rPr>
      </w:pPr>
      <w:r w:rsidRPr="0061108F">
        <w:rPr>
          <w:rFonts w:cs="Arial"/>
          <w:sz w:val="22"/>
          <w:szCs w:val="22"/>
        </w:rPr>
        <w:t>COPD: Chronic Obstructive Pulmonary Disease</w:t>
      </w:r>
    </w:p>
    <w:p w14:paraId="74D8BCD6" w14:textId="77777777" w:rsidR="00656B70" w:rsidRDefault="00656B70" w:rsidP="000923BB">
      <w:pPr>
        <w:jc w:val="both"/>
        <w:rPr>
          <w:rFonts w:cs="Arial"/>
          <w:b/>
          <w:bCs/>
          <w:iCs/>
        </w:rPr>
      </w:pPr>
    </w:p>
    <w:p w14:paraId="39D14E70" w14:textId="77777777" w:rsidR="000923BB" w:rsidRPr="003870AF" w:rsidRDefault="000923BB" w:rsidP="000923BB">
      <w:pPr>
        <w:jc w:val="both"/>
        <w:rPr>
          <w:rFonts w:cs="Arial"/>
          <w:b/>
          <w:bCs/>
          <w:iCs/>
        </w:rPr>
      </w:pPr>
      <w:r w:rsidRPr="003870AF">
        <w:rPr>
          <w:rFonts w:cs="Arial"/>
          <w:b/>
          <w:bCs/>
          <w:iCs/>
        </w:rPr>
        <w:t>R</w:t>
      </w:r>
      <w:r>
        <w:rPr>
          <w:rFonts w:cs="Arial"/>
          <w:b/>
          <w:bCs/>
          <w:iCs/>
        </w:rPr>
        <w:t>ESEARCH ETHICS REVIEW</w:t>
      </w:r>
    </w:p>
    <w:p w14:paraId="2DBAE725" w14:textId="77777777" w:rsidR="000923BB" w:rsidRPr="0061108F" w:rsidRDefault="000923BB" w:rsidP="000923BB">
      <w:pPr>
        <w:jc w:val="both"/>
        <w:rPr>
          <w:rFonts w:cs="Arial"/>
          <w:sz w:val="22"/>
          <w:szCs w:val="22"/>
        </w:rPr>
      </w:pPr>
      <w:r w:rsidRPr="0061108F">
        <w:rPr>
          <w:rFonts w:cs="Arial"/>
          <w:sz w:val="22"/>
          <w:szCs w:val="22"/>
        </w:rPr>
        <w:t xml:space="preserve">A research ethics review of the study was sought from the Trent Multi-centre Research Ethics Committee on 21 July 2004, prior to the start of data collection.  Because, in both phases, data were to be collected by staff working in each hospital, and the data were anonymised before transmission to the research team, the Committee considered this to be equivalent to a national audit programme.  The Trent Multi-centre Research Ethics Committee response was therefore that the study did not require an ethics opinion from the Committee. </w:t>
      </w:r>
    </w:p>
    <w:p w14:paraId="764242B7" w14:textId="77777777" w:rsidR="000923BB" w:rsidRDefault="000923BB" w:rsidP="000923BB">
      <w:pPr>
        <w:jc w:val="both"/>
        <w:rPr>
          <w:rFonts w:cs="Arial"/>
          <w:b/>
        </w:rPr>
      </w:pPr>
    </w:p>
    <w:p w14:paraId="6706633C" w14:textId="77777777" w:rsidR="000923BB" w:rsidRPr="0007197F" w:rsidRDefault="000923BB" w:rsidP="000923BB">
      <w:pPr>
        <w:jc w:val="both"/>
        <w:rPr>
          <w:rFonts w:cs="Arial"/>
          <w:b/>
        </w:rPr>
      </w:pPr>
      <w:r w:rsidRPr="0007197F">
        <w:rPr>
          <w:rFonts w:cs="Arial"/>
          <w:b/>
        </w:rPr>
        <w:t>C</w:t>
      </w:r>
      <w:r>
        <w:rPr>
          <w:rFonts w:cs="Arial"/>
          <w:b/>
        </w:rPr>
        <w:t>OMPETING INTERESTS</w:t>
      </w:r>
    </w:p>
    <w:p w14:paraId="7B19DF44" w14:textId="77777777" w:rsidR="000923BB" w:rsidRDefault="000923BB" w:rsidP="000923BB">
      <w:pPr>
        <w:jc w:val="both"/>
        <w:rPr>
          <w:rFonts w:cs="Arial"/>
        </w:rPr>
      </w:pPr>
      <w:r w:rsidRPr="0061108F">
        <w:rPr>
          <w:rFonts w:cs="Arial"/>
          <w:sz w:val="22"/>
          <w:szCs w:val="22"/>
        </w:rPr>
        <w:t>The authors declare that they have no competing interests</w:t>
      </w:r>
      <w:r>
        <w:rPr>
          <w:rFonts w:cs="Arial"/>
        </w:rPr>
        <w:t>.</w:t>
      </w:r>
    </w:p>
    <w:p w14:paraId="2A97382E" w14:textId="77777777" w:rsidR="000923BB" w:rsidRDefault="000923BB" w:rsidP="000923BB">
      <w:pPr>
        <w:jc w:val="both"/>
        <w:rPr>
          <w:rFonts w:cs="Arial"/>
          <w:b/>
        </w:rPr>
      </w:pPr>
    </w:p>
    <w:p w14:paraId="0652F596" w14:textId="77777777" w:rsidR="000923BB" w:rsidRPr="0007197F" w:rsidRDefault="000923BB" w:rsidP="000923BB">
      <w:pPr>
        <w:jc w:val="both"/>
        <w:rPr>
          <w:rFonts w:cs="Arial"/>
          <w:b/>
        </w:rPr>
      </w:pPr>
      <w:r>
        <w:rPr>
          <w:rFonts w:cs="Arial"/>
          <w:b/>
        </w:rPr>
        <w:t>AUTHOR CONTRIBUTIONS</w:t>
      </w:r>
    </w:p>
    <w:p w14:paraId="37A429CC" w14:textId="77777777" w:rsidR="000923BB" w:rsidRPr="0061108F" w:rsidRDefault="000923BB" w:rsidP="000923BB">
      <w:pPr>
        <w:jc w:val="both"/>
        <w:rPr>
          <w:rFonts w:cs="Arial"/>
          <w:sz w:val="22"/>
          <w:szCs w:val="22"/>
        </w:rPr>
      </w:pPr>
      <w:r w:rsidRPr="0061108F">
        <w:rPr>
          <w:rFonts w:cs="Arial"/>
          <w:sz w:val="22"/>
          <w:szCs w:val="22"/>
        </w:rPr>
        <w:t xml:space="preserve">Allen Hutchinson took the lead in the conception and design of the study, took the lead on the analysis of the qualitative mortality review data, was principal author of all of the drafts of this paper and has given approval for this version of the paper to be published. </w:t>
      </w:r>
    </w:p>
    <w:p w14:paraId="2FE45AB1" w14:textId="77777777" w:rsidR="000923BB" w:rsidRPr="0061108F" w:rsidRDefault="000923BB" w:rsidP="000923BB">
      <w:pPr>
        <w:jc w:val="both"/>
        <w:rPr>
          <w:rFonts w:cs="Arial"/>
          <w:sz w:val="22"/>
          <w:szCs w:val="22"/>
        </w:rPr>
      </w:pPr>
      <w:r w:rsidRPr="0061108F">
        <w:rPr>
          <w:rFonts w:cs="Arial"/>
          <w:sz w:val="22"/>
          <w:szCs w:val="22"/>
        </w:rPr>
        <w:lastRenderedPageBreak/>
        <w:t>Joanne Coster contributed to the conception and design of the study, undertook data collection and analysis of the mortality review data, contributed to all of the drafts of this paper and has given approval for this version of the paper to be published.</w:t>
      </w:r>
    </w:p>
    <w:p w14:paraId="6677FB23" w14:textId="77777777" w:rsidR="000923BB" w:rsidRPr="0061108F" w:rsidRDefault="000923BB" w:rsidP="000923BB">
      <w:pPr>
        <w:jc w:val="both"/>
        <w:rPr>
          <w:rFonts w:cs="Arial"/>
          <w:sz w:val="22"/>
          <w:szCs w:val="22"/>
        </w:rPr>
      </w:pPr>
      <w:r w:rsidRPr="0061108F">
        <w:rPr>
          <w:rFonts w:cs="Arial"/>
          <w:sz w:val="22"/>
          <w:szCs w:val="22"/>
        </w:rPr>
        <w:t>Katy Cooper made contributions to the design of the study, undertook data collection and contributed to analysis of the mortality review data, contributed to all of the drafts of this paper and has given approval for this version of the paper to be published.</w:t>
      </w:r>
    </w:p>
    <w:p w14:paraId="23EA4874" w14:textId="77777777" w:rsidR="000923BB" w:rsidRPr="0061108F" w:rsidRDefault="000923BB" w:rsidP="000923BB">
      <w:pPr>
        <w:jc w:val="both"/>
        <w:rPr>
          <w:rFonts w:cs="Arial"/>
          <w:sz w:val="22"/>
          <w:szCs w:val="22"/>
        </w:rPr>
      </w:pPr>
      <w:r w:rsidRPr="0061108F">
        <w:rPr>
          <w:rFonts w:cs="Arial"/>
          <w:sz w:val="22"/>
          <w:szCs w:val="22"/>
        </w:rPr>
        <w:t>Michael Pearson contributed to the conception and design of the study overall, contributed to the interpretation of the mortality review data, contributed to all of the drafts of this paper and has given approval for this version of the paper to be published.</w:t>
      </w:r>
    </w:p>
    <w:p w14:paraId="6DEA62B4" w14:textId="77777777" w:rsidR="000923BB" w:rsidRPr="0061108F" w:rsidRDefault="000923BB" w:rsidP="000923BB">
      <w:pPr>
        <w:jc w:val="both"/>
        <w:rPr>
          <w:rFonts w:cs="Arial"/>
          <w:sz w:val="22"/>
          <w:szCs w:val="22"/>
        </w:rPr>
      </w:pPr>
      <w:r w:rsidRPr="0061108F">
        <w:rPr>
          <w:rFonts w:cs="Arial"/>
          <w:sz w:val="22"/>
          <w:szCs w:val="22"/>
        </w:rPr>
        <w:t>Aileen McIntosh contributed to the conception and design of the study overall, took a lead on the qualitative analysis framework, contributed to all of the drafts of this paper and has given approval for this version of the paper to be published.</w:t>
      </w:r>
    </w:p>
    <w:p w14:paraId="53D9880E" w14:textId="77777777" w:rsidR="000923BB" w:rsidRPr="0061108F" w:rsidRDefault="000923BB" w:rsidP="000923BB">
      <w:pPr>
        <w:jc w:val="both"/>
        <w:rPr>
          <w:rFonts w:cs="Arial"/>
          <w:sz w:val="22"/>
          <w:szCs w:val="22"/>
        </w:rPr>
      </w:pPr>
      <w:r w:rsidRPr="0061108F">
        <w:rPr>
          <w:rFonts w:cs="Arial"/>
          <w:sz w:val="22"/>
          <w:szCs w:val="22"/>
        </w:rPr>
        <w:t>Peter Bath contributed to the conception and design of study and of the qualitative analysis framework, undertook the statistical analysis for the quantitative analysis, contributed to all of the drafts of this paper and has given approval for this version of the paper to be published.</w:t>
      </w:r>
    </w:p>
    <w:p w14:paraId="5B4553E1" w14:textId="77777777" w:rsidR="000923BB" w:rsidRPr="0061108F" w:rsidRDefault="000923BB" w:rsidP="000923BB">
      <w:pPr>
        <w:jc w:val="both"/>
        <w:rPr>
          <w:rFonts w:cs="Arial"/>
          <w:sz w:val="22"/>
          <w:szCs w:val="22"/>
        </w:rPr>
      </w:pPr>
      <w:r w:rsidRPr="0061108F">
        <w:rPr>
          <w:rFonts w:cs="Arial"/>
          <w:sz w:val="22"/>
          <w:szCs w:val="22"/>
        </w:rPr>
        <w:t>No other authors contributed to this analysis and authorship.</w:t>
      </w:r>
    </w:p>
    <w:p w14:paraId="0DAFD3EE" w14:textId="77777777" w:rsidR="000923BB" w:rsidRPr="0061108F" w:rsidRDefault="000923BB" w:rsidP="000923BB">
      <w:pPr>
        <w:jc w:val="both"/>
        <w:rPr>
          <w:rFonts w:cs="Arial"/>
          <w:sz w:val="22"/>
          <w:szCs w:val="22"/>
        </w:rPr>
      </w:pPr>
      <w:r w:rsidRPr="0061108F">
        <w:rPr>
          <w:rFonts w:cs="Arial"/>
          <w:sz w:val="22"/>
          <w:szCs w:val="22"/>
        </w:rPr>
        <w:t>Allen Hutchinson acts as Guarantor for this article.</w:t>
      </w:r>
    </w:p>
    <w:p w14:paraId="2D62083C" w14:textId="77777777" w:rsidR="0061108F" w:rsidRDefault="0061108F" w:rsidP="000923BB">
      <w:pPr>
        <w:jc w:val="both"/>
        <w:rPr>
          <w:rFonts w:cs="Arial"/>
          <w:b/>
        </w:rPr>
      </w:pPr>
    </w:p>
    <w:p w14:paraId="24E2B72C" w14:textId="77777777" w:rsidR="000923BB" w:rsidRPr="0007197F" w:rsidRDefault="000923BB" w:rsidP="000923BB">
      <w:pPr>
        <w:jc w:val="both"/>
        <w:rPr>
          <w:rFonts w:cs="Arial"/>
          <w:b/>
        </w:rPr>
      </w:pPr>
      <w:r w:rsidRPr="0007197F">
        <w:rPr>
          <w:rFonts w:cs="Arial"/>
          <w:b/>
        </w:rPr>
        <w:t>A</w:t>
      </w:r>
      <w:r>
        <w:rPr>
          <w:rFonts w:cs="Arial"/>
          <w:b/>
        </w:rPr>
        <w:t>CKNOWLEGEMENTS</w:t>
      </w:r>
    </w:p>
    <w:p w14:paraId="2899D081" w14:textId="77777777" w:rsidR="000923BB" w:rsidRPr="0061108F" w:rsidRDefault="000923BB" w:rsidP="000923BB">
      <w:pPr>
        <w:jc w:val="both"/>
        <w:rPr>
          <w:rFonts w:cs="Arial"/>
          <w:sz w:val="22"/>
          <w:szCs w:val="22"/>
        </w:rPr>
      </w:pPr>
      <w:r w:rsidRPr="0061108F">
        <w:rPr>
          <w:rFonts w:cs="Arial"/>
          <w:sz w:val="22"/>
          <w:szCs w:val="22"/>
        </w:rPr>
        <w:t>This project was funded by the National Institute for Health Research Health Technology Assessment (NIHR HTA) Programme (project number RM03/JH08/AH) and was published in full in Health Technology Assessment 2010,</w:t>
      </w:r>
      <w:r w:rsidRPr="0061108F">
        <w:rPr>
          <w:rFonts w:cs="Arial"/>
          <w:b/>
          <w:sz w:val="22"/>
          <w:szCs w:val="22"/>
        </w:rPr>
        <w:t>14(10):</w:t>
      </w:r>
      <w:r w:rsidRPr="0061108F">
        <w:rPr>
          <w:rFonts w:cs="Arial"/>
          <w:sz w:val="22"/>
          <w:szCs w:val="22"/>
        </w:rPr>
        <w:t>1-170.</w:t>
      </w:r>
    </w:p>
    <w:p w14:paraId="2FE09D36" w14:textId="77777777" w:rsidR="000923BB" w:rsidRPr="0061108F" w:rsidRDefault="000923BB" w:rsidP="000923BB">
      <w:pPr>
        <w:jc w:val="both"/>
        <w:rPr>
          <w:rFonts w:cs="Arial"/>
          <w:sz w:val="22"/>
          <w:szCs w:val="22"/>
        </w:rPr>
      </w:pPr>
      <w:r w:rsidRPr="0061108F">
        <w:rPr>
          <w:rFonts w:cs="Arial"/>
          <w:sz w:val="22"/>
          <w:szCs w:val="22"/>
        </w:rPr>
        <w:t>The views and opinions expressed therein are those of the authors and do not necessarily reflect those of the HTA programme, NIHR, NHS or the Department of Health.</w:t>
      </w:r>
    </w:p>
    <w:p w14:paraId="56FBEADF" w14:textId="77777777" w:rsidR="000923BB" w:rsidRDefault="000923BB" w:rsidP="000923BB">
      <w:pPr>
        <w:jc w:val="both"/>
        <w:rPr>
          <w:rFonts w:cs="Arial"/>
        </w:rPr>
      </w:pPr>
    </w:p>
    <w:p w14:paraId="196E4714" w14:textId="77777777" w:rsidR="000923BB" w:rsidRPr="00A60CAE" w:rsidRDefault="000923BB" w:rsidP="000923BB">
      <w:pPr>
        <w:jc w:val="both"/>
        <w:rPr>
          <w:rFonts w:cs="Arial"/>
          <w:b/>
        </w:rPr>
      </w:pPr>
      <w:r>
        <w:rPr>
          <w:rFonts w:cs="Arial"/>
          <w:b/>
        </w:rPr>
        <w:t>REFERENCES</w:t>
      </w:r>
    </w:p>
    <w:p w14:paraId="36A98A7B" w14:textId="77777777" w:rsidR="000923BB" w:rsidRPr="0061108F" w:rsidRDefault="000923BB" w:rsidP="001B160A">
      <w:pPr>
        <w:pStyle w:val="ListParagraph"/>
        <w:numPr>
          <w:ilvl w:val="0"/>
          <w:numId w:val="25"/>
        </w:numPr>
        <w:spacing w:line="360" w:lineRule="auto"/>
        <w:ind w:left="1003" w:hanging="357"/>
        <w:rPr>
          <w:rFonts w:cs="Arial"/>
          <w:sz w:val="22"/>
          <w:szCs w:val="22"/>
        </w:rPr>
      </w:pPr>
      <w:r w:rsidRPr="0061108F">
        <w:rPr>
          <w:rFonts w:cs="Arial"/>
          <w:sz w:val="22"/>
          <w:szCs w:val="22"/>
        </w:rPr>
        <w:t>The Dr Foster Hospital Guide 2009: How Safe Is Your Hospital? London: Dr Foster Ltd 2009.</w:t>
      </w:r>
    </w:p>
    <w:p w14:paraId="21325DB6" w14:textId="77777777" w:rsidR="000923BB" w:rsidRPr="0061108F" w:rsidRDefault="000923BB" w:rsidP="001B160A">
      <w:pPr>
        <w:pStyle w:val="ListParagraph"/>
        <w:numPr>
          <w:ilvl w:val="0"/>
          <w:numId w:val="25"/>
        </w:numPr>
        <w:spacing w:line="360" w:lineRule="auto"/>
        <w:ind w:left="1003" w:hanging="357"/>
        <w:rPr>
          <w:rFonts w:cs="Arial"/>
          <w:sz w:val="22"/>
          <w:szCs w:val="22"/>
        </w:rPr>
      </w:pPr>
      <w:r w:rsidRPr="0061108F">
        <w:rPr>
          <w:rFonts w:cs="Arial"/>
          <w:sz w:val="22"/>
          <w:szCs w:val="22"/>
        </w:rPr>
        <w:t>The Stationary Office: Report of the Mid Staffordshire NHS Foundation Trust Public Inquiry. London: The Stationary Office 2013. ISBN 9780102981476.</w:t>
      </w:r>
    </w:p>
    <w:p w14:paraId="2441DE78" w14:textId="77777777" w:rsidR="000923BB" w:rsidRPr="0061108F" w:rsidRDefault="000923BB" w:rsidP="001B160A">
      <w:pPr>
        <w:pStyle w:val="ListParagraph"/>
        <w:numPr>
          <w:ilvl w:val="0"/>
          <w:numId w:val="25"/>
        </w:numPr>
        <w:spacing w:line="360" w:lineRule="auto"/>
        <w:ind w:left="1003" w:hanging="357"/>
        <w:rPr>
          <w:rFonts w:cs="Arial"/>
          <w:sz w:val="22"/>
          <w:szCs w:val="22"/>
        </w:rPr>
      </w:pPr>
      <w:r w:rsidRPr="0061108F">
        <w:rPr>
          <w:rFonts w:cs="Arial"/>
          <w:sz w:val="22"/>
          <w:szCs w:val="22"/>
        </w:rPr>
        <w:lastRenderedPageBreak/>
        <w:t>Thomas EJ, Brennan TA. Incidence and types of preventable adverse events in elderly patients: population based review of medical records. BMJ 2000;</w:t>
      </w:r>
      <w:r w:rsidRPr="0061108F">
        <w:rPr>
          <w:rFonts w:cs="Arial"/>
          <w:b/>
          <w:sz w:val="22"/>
          <w:szCs w:val="22"/>
        </w:rPr>
        <w:t>320</w:t>
      </w:r>
      <w:r w:rsidRPr="0061108F">
        <w:rPr>
          <w:rFonts w:cs="Arial"/>
          <w:sz w:val="22"/>
          <w:szCs w:val="22"/>
        </w:rPr>
        <w:t>:741-4.</w:t>
      </w:r>
    </w:p>
    <w:p w14:paraId="0E0062C9" w14:textId="77777777" w:rsidR="000923BB" w:rsidRPr="0061108F" w:rsidRDefault="000923BB" w:rsidP="001B160A">
      <w:pPr>
        <w:pStyle w:val="ListParagraph"/>
        <w:numPr>
          <w:ilvl w:val="0"/>
          <w:numId w:val="25"/>
        </w:numPr>
        <w:spacing w:line="360" w:lineRule="auto"/>
        <w:ind w:left="1003" w:hanging="357"/>
        <w:rPr>
          <w:rFonts w:cs="Arial"/>
          <w:sz w:val="22"/>
          <w:szCs w:val="22"/>
        </w:rPr>
      </w:pPr>
      <w:r w:rsidRPr="0061108F">
        <w:rPr>
          <w:rFonts w:cs="Arial"/>
          <w:sz w:val="22"/>
          <w:szCs w:val="22"/>
        </w:rPr>
        <w:t>Wilson RM, Runciman WB, Gibberd RW et al. The Quality in Australian Health Care Study. Med J Aust 1995;</w:t>
      </w:r>
      <w:r w:rsidRPr="0061108F">
        <w:rPr>
          <w:rFonts w:cs="Arial"/>
          <w:b/>
          <w:sz w:val="22"/>
          <w:szCs w:val="22"/>
        </w:rPr>
        <w:t>163</w:t>
      </w:r>
      <w:r w:rsidRPr="0061108F">
        <w:rPr>
          <w:rFonts w:cs="Arial"/>
          <w:sz w:val="22"/>
          <w:szCs w:val="22"/>
        </w:rPr>
        <w:t>:458-71.</w:t>
      </w:r>
    </w:p>
    <w:p w14:paraId="3FDA6D8B" w14:textId="77777777" w:rsidR="000923BB" w:rsidRPr="0061108F" w:rsidRDefault="000923BB" w:rsidP="001B160A">
      <w:pPr>
        <w:pStyle w:val="ListParagraph"/>
        <w:numPr>
          <w:ilvl w:val="0"/>
          <w:numId w:val="25"/>
        </w:numPr>
        <w:spacing w:line="360" w:lineRule="auto"/>
        <w:ind w:left="1003" w:hanging="357"/>
        <w:rPr>
          <w:rFonts w:cs="Arial"/>
          <w:sz w:val="22"/>
          <w:szCs w:val="22"/>
        </w:rPr>
      </w:pPr>
      <w:r w:rsidRPr="0061108F">
        <w:rPr>
          <w:rFonts w:cs="Arial"/>
          <w:sz w:val="22"/>
          <w:szCs w:val="22"/>
        </w:rPr>
        <w:t>Baker GR, Norton PG, Flintoft V et al. The Canadian Adverse Events Study: the incidence of adverse events among hospital patients in Canada. CMAJ 2004;</w:t>
      </w:r>
      <w:r w:rsidRPr="0061108F">
        <w:rPr>
          <w:rFonts w:cs="Arial"/>
          <w:b/>
          <w:sz w:val="22"/>
          <w:szCs w:val="22"/>
        </w:rPr>
        <w:t>170</w:t>
      </w:r>
      <w:r w:rsidRPr="0061108F">
        <w:rPr>
          <w:rFonts w:cs="Arial"/>
          <w:sz w:val="22"/>
          <w:szCs w:val="22"/>
        </w:rPr>
        <w:t>:1678-86.</w:t>
      </w:r>
    </w:p>
    <w:p w14:paraId="39A95400" w14:textId="77777777" w:rsidR="000923BB" w:rsidRPr="0061108F" w:rsidRDefault="000923BB" w:rsidP="001B160A">
      <w:pPr>
        <w:pStyle w:val="ListParagraph"/>
        <w:numPr>
          <w:ilvl w:val="0"/>
          <w:numId w:val="25"/>
        </w:numPr>
        <w:spacing w:line="360" w:lineRule="auto"/>
        <w:ind w:left="1003" w:hanging="357"/>
        <w:rPr>
          <w:rFonts w:cs="Arial"/>
          <w:sz w:val="22"/>
          <w:szCs w:val="22"/>
        </w:rPr>
      </w:pPr>
      <w:r w:rsidRPr="0061108F">
        <w:rPr>
          <w:rFonts w:cs="Arial"/>
          <w:sz w:val="22"/>
          <w:szCs w:val="22"/>
        </w:rPr>
        <w:t>Soop M, Fryksmark U, Koster M et al. The incidence of adverse events in Swedish hospitals: a retrospective medical record review study. Int J Qual Health Care 2009;</w:t>
      </w:r>
      <w:r w:rsidRPr="0061108F">
        <w:rPr>
          <w:rFonts w:cs="Arial"/>
          <w:b/>
          <w:sz w:val="22"/>
          <w:szCs w:val="22"/>
        </w:rPr>
        <w:t>21</w:t>
      </w:r>
      <w:r w:rsidRPr="0061108F">
        <w:rPr>
          <w:rFonts w:cs="Arial"/>
          <w:sz w:val="22"/>
          <w:szCs w:val="22"/>
        </w:rPr>
        <w:t>:285-91.</w:t>
      </w:r>
    </w:p>
    <w:p w14:paraId="30084A0F" w14:textId="77777777" w:rsidR="000923BB" w:rsidRPr="0061108F" w:rsidRDefault="000923BB" w:rsidP="001B160A">
      <w:pPr>
        <w:pStyle w:val="ListParagraph"/>
        <w:numPr>
          <w:ilvl w:val="0"/>
          <w:numId w:val="25"/>
        </w:numPr>
        <w:spacing w:line="360" w:lineRule="auto"/>
        <w:ind w:left="1003" w:hanging="357"/>
        <w:rPr>
          <w:rFonts w:cs="Arial"/>
          <w:sz w:val="22"/>
          <w:szCs w:val="22"/>
        </w:rPr>
      </w:pPr>
      <w:r w:rsidRPr="0061108F">
        <w:rPr>
          <w:rFonts w:cs="Arial"/>
          <w:sz w:val="22"/>
          <w:szCs w:val="22"/>
        </w:rPr>
        <w:t>Zegers M, de Bruijne MC, Wagner C et al. Adverse events and potentially preventable deaths in Dutch hospitals: results of a retrospective patient record review study. Qual Saf Health Care 2009;</w:t>
      </w:r>
      <w:r w:rsidRPr="0061108F">
        <w:rPr>
          <w:rFonts w:cs="Arial"/>
          <w:b/>
          <w:sz w:val="22"/>
          <w:szCs w:val="22"/>
        </w:rPr>
        <w:t>18</w:t>
      </w:r>
      <w:r w:rsidRPr="0061108F">
        <w:rPr>
          <w:rFonts w:cs="Arial"/>
          <w:sz w:val="22"/>
          <w:szCs w:val="22"/>
        </w:rPr>
        <w:t>:297-302.</w:t>
      </w:r>
    </w:p>
    <w:p w14:paraId="490DF4EB" w14:textId="77777777" w:rsidR="000923BB" w:rsidRPr="0061108F" w:rsidRDefault="000923BB" w:rsidP="001B160A">
      <w:pPr>
        <w:pStyle w:val="ListParagraph"/>
        <w:numPr>
          <w:ilvl w:val="0"/>
          <w:numId w:val="25"/>
        </w:numPr>
        <w:spacing w:line="360" w:lineRule="auto"/>
        <w:ind w:left="1003" w:hanging="357"/>
        <w:rPr>
          <w:rFonts w:cs="Arial"/>
          <w:sz w:val="22"/>
          <w:szCs w:val="22"/>
        </w:rPr>
      </w:pPr>
      <w:r w:rsidRPr="0061108F">
        <w:rPr>
          <w:rFonts w:cs="Arial"/>
          <w:sz w:val="22"/>
          <w:szCs w:val="22"/>
        </w:rPr>
        <w:t>Hogan H, Healey F, Neale G et al. Preventable deaths in care in English acute hospitals: a retrospective case record study. BMJ Qual Saf 2012. doi:10.1136/bmjqs-2012-001159.</w:t>
      </w:r>
    </w:p>
    <w:p w14:paraId="3779C28C" w14:textId="77777777" w:rsidR="000923BB" w:rsidRPr="0061108F" w:rsidRDefault="000923BB" w:rsidP="001B160A">
      <w:pPr>
        <w:pStyle w:val="ListParagraph"/>
        <w:numPr>
          <w:ilvl w:val="0"/>
          <w:numId w:val="25"/>
        </w:numPr>
        <w:spacing w:line="360" w:lineRule="auto"/>
        <w:ind w:left="1003" w:hanging="357"/>
        <w:rPr>
          <w:rFonts w:cs="Arial"/>
          <w:sz w:val="22"/>
          <w:szCs w:val="22"/>
        </w:rPr>
      </w:pPr>
      <w:r w:rsidRPr="0061108F">
        <w:rPr>
          <w:rFonts w:cs="Arial"/>
          <w:sz w:val="22"/>
          <w:szCs w:val="22"/>
        </w:rPr>
        <w:t>Hutchinson A, Coster JE, Cooper KL et al. Comparison of case note review methods for evaluating quality and safety in health care. Health Technol Assess 2010;</w:t>
      </w:r>
      <w:r w:rsidRPr="0061108F">
        <w:rPr>
          <w:rFonts w:cs="Arial"/>
          <w:b/>
          <w:sz w:val="22"/>
          <w:szCs w:val="22"/>
        </w:rPr>
        <w:t>14</w:t>
      </w:r>
      <w:r w:rsidRPr="0061108F">
        <w:rPr>
          <w:rFonts w:cs="Arial"/>
          <w:sz w:val="22"/>
          <w:szCs w:val="22"/>
        </w:rPr>
        <w:t>:1-170.</w:t>
      </w:r>
    </w:p>
    <w:p w14:paraId="55295345" w14:textId="77777777" w:rsidR="000923BB" w:rsidRPr="0061108F" w:rsidRDefault="000923BB" w:rsidP="001B160A">
      <w:pPr>
        <w:pStyle w:val="ListParagraph"/>
        <w:numPr>
          <w:ilvl w:val="0"/>
          <w:numId w:val="25"/>
        </w:numPr>
        <w:spacing w:line="360" w:lineRule="auto"/>
        <w:ind w:left="1003" w:hanging="357"/>
        <w:rPr>
          <w:rFonts w:cs="Arial"/>
          <w:sz w:val="22"/>
          <w:szCs w:val="22"/>
        </w:rPr>
      </w:pPr>
      <w:r w:rsidRPr="0061108F">
        <w:rPr>
          <w:rFonts w:cs="Arial"/>
          <w:sz w:val="22"/>
          <w:szCs w:val="22"/>
        </w:rPr>
        <w:t>Lilford R, Edwards A, Girling A, et al. Inter-rater reliability of case-note audit: a systematic review. J Health Serv Res Policy 2007;</w:t>
      </w:r>
      <w:r w:rsidRPr="0061108F">
        <w:rPr>
          <w:rFonts w:cs="Arial"/>
          <w:b/>
          <w:sz w:val="22"/>
          <w:szCs w:val="22"/>
        </w:rPr>
        <w:t>12</w:t>
      </w:r>
      <w:r w:rsidRPr="0061108F">
        <w:rPr>
          <w:rFonts w:cs="Arial"/>
          <w:sz w:val="22"/>
          <w:szCs w:val="22"/>
        </w:rPr>
        <w:t>:173-80.</w:t>
      </w:r>
    </w:p>
    <w:p w14:paraId="2D6C52D0" w14:textId="77777777" w:rsidR="000923BB" w:rsidRPr="0061108F" w:rsidRDefault="000923BB" w:rsidP="001B160A">
      <w:pPr>
        <w:pStyle w:val="ListParagraph"/>
        <w:numPr>
          <w:ilvl w:val="0"/>
          <w:numId w:val="25"/>
        </w:numPr>
        <w:spacing w:line="360" w:lineRule="auto"/>
        <w:ind w:left="1003" w:hanging="357"/>
        <w:rPr>
          <w:rFonts w:cs="Arial"/>
          <w:sz w:val="22"/>
          <w:szCs w:val="22"/>
        </w:rPr>
      </w:pPr>
      <w:r w:rsidRPr="0061108F">
        <w:rPr>
          <w:rFonts w:cs="Arial"/>
          <w:sz w:val="22"/>
          <w:szCs w:val="22"/>
        </w:rPr>
        <w:t>Hayward RA, Hofer TP. Estimating hospital deaths due to medical errors: preventability is in the eye of the reviewer. JAMA 2001;</w:t>
      </w:r>
      <w:r w:rsidRPr="0061108F">
        <w:rPr>
          <w:rFonts w:cs="Arial"/>
          <w:b/>
          <w:sz w:val="22"/>
          <w:szCs w:val="22"/>
        </w:rPr>
        <w:t>286</w:t>
      </w:r>
      <w:r w:rsidRPr="0061108F">
        <w:rPr>
          <w:rFonts w:cs="Arial"/>
          <w:sz w:val="22"/>
          <w:szCs w:val="22"/>
        </w:rPr>
        <w:t>:415-20.</w:t>
      </w:r>
    </w:p>
    <w:p w14:paraId="2FB1B9C0" w14:textId="77777777" w:rsidR="000923BB" w:rsidRPr="0061108F" w:rsidRDefault="000923BB" w:rsidP="001B160A">
      <w:pPr>
        <w:pStyle w:val="ListParagraph"/>
        <w:numPr>
          <w:ilvl w:val="0"/>
          <w:numId w:val="25"/>
        </w:numPr>
        <w:spacing w:line="360" w:lineRule="auto"/>
        <w:ind w:left="1003" w:hanging="357"/>
        <w:rPr>
          <w:rFonts w:cs="Arial"/>
          <w:sz w:val="22"/>
          <w:szCs w:val="22"/>
        </w:rPr>
      </w:pPr>
      <w:r w:rsidRPr="0061108F">
        <w:rPr>
          <w:rFonts w:cs="Arial"/>
          <w:sz w:val="22"/>
          <w:szCs w:val="22"/>
        </w:rPr>
        <w:t>Mohammed MA, Mant J, Bentham L et al.  Process and mortality of stroke patients with and without do not resuscitate order in the West Midlands, UK.  Int J Qual Health Care 2006;</w:t>
      </w:r>
      <w:r w:rsidRPr="0061108F">
        <w:rPr>
          <w:rFonts w:cs="Arial"/>
          <w:b/>
          <w:sz w:val="22"/>
          <w:szCs w:val="22"/>
        </w:rPr>
        <w:t>18:</w:t>
      </w:r>
      <w:r w:rsidRPr="0061108F">
        <w:rPr>
          <w:rFonts w:cs="Arial"/>
          <w:sz w:val="22"/>
          <w:szCs w:val="22"/>
        </w:rPr>
        <w:t>102-106.</w:t>
      </w:r>
    </w:p>
    <w:p w14:paraId="502FB977" w14:textId="77777777" w:rsidR="000923BB" w:rsidRPr="0061108F" w:rsidRDefault="000923BB" w:rsidP="001B160A">
      <w:pPr>
        <w:pStyle w:val="ListParagraph"/>
        <w:numPr>
          <w:ilvl w:val="0"/>
          <w:numId w:val="25"/>
        </w:numPr>
        <w:spacing w:line="360" w:lineRule="auto"/>
        <w:ind w:left="1003" w:hanging="357"/>
        <w:rPr>
          <w:rFonts w:cs="Arial"/>
          <w:sz w:val="22"/>
          <w:szCs w:val="22"/>
        </w:rPr>
      </w:pPr>
      <w:r w:rsidRPr="0061108F">
        <w:rPr>
          <w:rFonts w:cs="Arial"/>
          <w:sz w:val="22"/>
          <w:szCs w:val="22"/>
        </w:rPr>
        <w:t xml:space="preserve">Hutchinson A, Coster JE, Cooper KL et al. Assessing quality of care from hospital case notes: comparison of reliability of two methods. Qual Saf Health Care 2010 Dec, </w:t>
      </w:r>
      <w:r w:rsidRPr="0061108F">
        <w:rPr>
          <w:rFonts w:cs="Arial"/>
          <w:b/>
          <w:sz w:val="22"/>
          <w:szCs w:val="22"/>
        </w:rPr>
        <w:t>19(6)</w:t>
      </w:r>
      <w:r w:rsidRPr="0061108F">
        <w:rPr>
          <w:rFonts w:cs="Arial"/>
          <w:sz w:val="22"/>
          <w:szCs w:val="22"/>
        </w:rPr>
        <w:t>:e2.</w:t>
      </w:r>
    </w:p>
    <w:p w14:paraId="51EAE558" w14:textId="77777777" w:rsidR="000923BB" w:rsidRPr="0061108F" w:rsidRDefault="000923BB" w:rsidP="001B160A">
      <w:pPr>
        <w:pStyle w:val="ListParagraph"/>
        <w:numPr>
          <w:ilvl w:val="0"/>
          <w:numId w:val="25"/>
        </w:numPr>
        <w:spacing w:line="360" w:lineRule="auto"/>
        <w:ind w:left="1003" w:hanging="357"/>
        <w:rPr>
          <w:rFonts w:cs="Arial"/>
          <w:sz w:val="22"/>
          <w:szCs w:val="22"/>
        </w:rPr>
      </w:pPr>
      <w:r w:rsidRPr="0061108F">
        <w:rPr>
          <w:rFonts w:cs="Arial"/>
          <w:sz w:val="22"/>
          <w:szCs w:val="22"/>
        </w:rPr>
        <w:t>Kahn KL, Rubenstein LV, Sherwood MJ et al. Structured Implicit Review for Physician Implicit Measurement of Quality of Care: Development of the Form and Guidelines for Its Use. California: Rand Corporation 1989.</w:t>
      </w:r>
    </w:p>
    <w:p w14:paraId="3B6D3603" w14:textId="77777777" w:rsidR="000923BB" w:rsidRPr="0061108F" w:rsidRDefault="000923BB" w:rsidP="001B160A">
      <w:pPr>
        <w:pStyle w:val="ListParagraph"/>
        <w:numPr>
          <w:ilvl w:val="0"/>
          <w:numId w:val="25"/>
        </w:numPr>
        <w:spacing w:line="360" w:lineRule="auto"/>
        <w:ind w:left="1003" w:hanging="357"/>
        <w:rPr>
          <w:rFonts w:cs="Arial"/>
          <w:sz w:val="22"/>
          <w:szCs w:val="22"/>
        </w:rPr>
      </w:pPr>
      <w:r w:rsidRPr="0061108F">
        <w:rPr>
          <w:rFonts w:cs="Arial"/>
          <w:sz w:val="22"/>
          <w:szCs w:val="22"/>
        </w:rPr>
        <w:t>Pearson ML, Lee JL, Chang BL et al. Structured implicit review: a new method for monitoring nursing care quality. Med Care 2000;</w:t>
      </w:r>
      <w:r w:rsidRPr="0061108F">
        <w:rPr>
          <w:rFonts w:cs="Arial"/>
          <w:b/>
          <w:sz w:val="22"/>
          <w:szCs w:val="22"/>
        </w:rPr>
        <w:t>38</w:t>
      </w:r>
      <w:r w:rsidRPr="0061108F">
        <w:rPr>
          <w:rFonts w:cs="Arial"/>
          <w:sz w:val="22"/>
          <w:szCs w:val="22"/>
        </w:rPr>
        <w:t>:1074-1091.</w:t>
      </w:r>
    </w:p>
    <w:p w14:paraId="67BDF125" w14:textId="77777777" w:rsidR="000923BB" w:rsidRPr="0061108F" w:rsidRDefault="000923BB" w:rsidP="001B160A">
      <w:pPr>
        <w:pStyle w:val="ListParagraph"/>
        <w:numPr>
          <w:ilvl w:val="0"/>
          <w:numId w:val="25"/>
        </w:numPr>
        <w:spacing w:line="360" w:lineRule="auto"/>
        <w:ind w:left="1003" w:hanging="357"/>
        <w:rPr>
          <w:rFonts w:cs="Arial"/>
          <w:sz w:val="22"/>
          <w:szCs w:val="22"/>
        </w:rPr>
      </w:pPr>
      <w:r w:rsidRPr="0061108F">
        <w:rPr>
          <w:rFonts w:cs="Arial"/>
          <w:sz w:val="22"/>
          <w:szCs w:val="22"/>
        </w:rPr>
        <w:t xml:space="preserve">Zegers M, de Bruijne MC, Wagner C, et al.  Design of a retrospective patient record on the occurrence of adverse events among patients in </w:t>
      </w:r>
      <w:r w:rsidRPr="0061108F">
        <w:rPr>
          <w:rFonts w:cs="Arial"/>
          <w:sz w:val="22"/>
          <w:szCs w:val="22"/>
        </w:rPr>
        <w:lastRenderedPageBreak/>
        <w:t>Dutch hospitals. BMC Health Serv Res 2007;7:27 doi:10.1186/1472-6963-7-27</w:t>
      </w:r>
    </w:p>
    <w:p w14:paraId="7CD91365" w14:textId="77777777" w:rsidR="000923BB" w:rsidRPr="0061108F" w:rsidRDefault="000923BB" w:rsidP="001B160A">
      <w:pPr>
        <w:pStyle w:val="ListParagraph"/>
        <w:numPr>
          <w:ilvl w:val="0"/>
          <w:numId w:val="25"/>
        </w:numPr>
        <w:spacing w:line="360" w:lineRule="auto"/>
        <w:ind w:left="1003" w:hanging="357"/>
        <w:rPr>
          <w:rFonts w:cs="Arial"/>
          <w:sz w:val="22"/>
          <w:szCs w:val="22"/>
        </w:rPr>
      </w:pPr>
      <w:r w:rsidRPr="0061108F">
        <w:rPr>
          <w:rFonts w:cs="Arial"/>
          <w:sz w:val="22"/>
          <w:szCs w:val="22"/>
        </w:rPr>
        <w:t xml:space="preserve">Hutchinson A, McIntosh A, Coster JE et al. When is an event an event? Data from the quality and safety continuum. In: From safe design to safe practice.  Edited by Hignett S, Norris B, Catchpole K et al. Cambridge: The Ergonomics Society 2008. ISBN 978-0-9554225-2-2 </w:t>
      </w:r>
    </w:p>
    <w:p w14:paraId="2ECA0CAB" w14:textId="77777777" w:rsidR="000923BB" w:rsidRPr="0061108F" w:rsidRDefault="000923BB" w:rsidP="001B160A">
      <w:pPr>
        <w:pStyle w:val="ListParagraph"/>
        <w:numPr>
          <w:ilvl w:val="0"/>
          <w:numId w:val="25"/>
        </w:numPr>
        <w:spacing w:line="360" w:lineRule="auto"/>
        <w:ind w:left="1003" w:hanging="357"/>
        <w:rPr>
          <w:rFonts w:cs="Arial"/>
          <w:sz w:val="22"/>
          <w:szCs w:val="22"/>
        </w:rPr>
      </w:pPr>
      <w:r w:rsidRPr="0061108F">
        <w:rPr>
          <w:rFonts w:cs="Arial"/>
          <w:sz w:val="22"/>
          <w:szCs w:val="22"/>
        </w:rPr>
        <w:t>Shannon FL, Fazzalari FL, Theurer PF et al. A method to evaluate cardiac surgery mortality: phase of care mortality analysis. Ann Thoracic Surg 2012;</w:t>
      </w:r>
      <w:r w:rsidRPr="0061108F">
        <w:rPr>
          <w:rFonts w:cs="Arial"/>
          <w:b/>
          <w:sz w:val="22"/>
          <w:szCs w:val="22"/>
        </w:rPr>
        <w:t>93</w:t>
      </w:r>
      <w:r w:rsidRPr="0061108F">
        <w:rPr>
          <w:rFonts w:cs="Arial"/>
          <w:sz w:val="22"/>
          <w:szCs w:val="22"/>
        </w:rPr>
        <w:t>:36-43.</w:t>
      </w:r>
    </w:p>
    <w:p w14:paraId="1854C315" w14:textId="77777777" w:rsidR="000923BB" w:rsidRPr="0061108F" w:rsidRDefault="000923BB" w:rsidP="001B160A">
      <w:pPr>
        <w:pStyle w:val="ListParagraph"/>
        <w:numPr>
          <w:ilvl w:val="0"/>
          <w:numId w:val="25"/>
        </w:numPr>
        <w:spacing w:line="360" w:lineRule="auto"/>
        <w:ind w:left="1003" w:hanging="357"/>
        <w:rPr>
          <w:rFonts w:cs="Arial"/>
          <w:sz w:val="22"/>
          <w:szCs w:val="22"/>
        </w:rPr>
      </w:pPr>
      <w:r w:rsidRPr="0061108F">
        <w:rPr>
          <w:rFonts w:cs="Arial"/>
          <w:sz w:val="22"/>
          <w:szCs w:val="22"/>
        </w:rPr>
        <w:t>Sharek PJ, Parry G, Goldmann D et al. Performance characteristics of a methodology to quantify adverse events over time in hospitalised patients. Health Serv Res 2011;</w:t>
      </w:r>
      <w:r w:rsidRPr="0061108F">
        <w:rPr>
          <w:rFonts w:cs="Arial"/>
          <w:b/>
          <w:sz w:val="22"/>
          <w:szCs w:val="22"/>
        </w:rPr>
        <w:t>46</w:t>
      </w:r>
      <w:r w:rsidRPr="0061108F">
        <w:rPr>
          <w:rFonts w:cs="Arial"/>
          <w:sz w:val="22"/>
          <w:szCs w:val="22"/>
        </w:rPr>
        <w:t>:654-678.</w:t>
      </w:r>
    </w:p>
    <w:p w14:paraId="06CCB0A2" w14:textId="77777777" w:rsidR="000923BB" w:rsidRPr="0061108F" w:rsidRDefault="000923BB" w:rsidP="001B160A">
      <w:pPr>
        <w:pStyle w:val="ListParagraph"/>
        <w:numPr>
          <w:ilvl w:val="0"/>
          <w:numId w:val="25"/>
        </w:numPr>
        <w:spacing w:line="360" w:lineRule="auto"/>
        <w:ind w:left="1003" w:hanging="357"/>
        <w:rPr>
          <w:rFonts w:cs="Arial"/>
          <w:sz w:val="22"/>
          <w:szCs w:val="22"/>
        </w:rPr>
      </w:pPr>
      <w:r w:rsidRPr="0061108F">
        <w:rPr>
          <w:rFonts w:cs="Arial"/>
          <w:sz w:val="22"/>
          <w:szCs w:val="22"/>
        </w:rPr>
        <w:t>Hofer TP, Bernstein SJ, DeMonner S et al. Discussion between Reviewers Does Not Improve Reliability of Peer Review of Hospital Quality. Med Care 2000;</w:t>
      </w:r>
      <w:r w:rsidRPr="0061108F">
        <w:rPr>
          <w:rFonts w:cs="Arial"/>
          <w:b/>
          <w:sz w:val="22"/>
          <w:szCs w:val="22"/>
        </w:rPr>
        <w:t>38</w:t>
      </w:r>
      <w:r w:rsidRPr="0061108F">
        <w:rPr>
          <w:rFonts w:cs="Arial"/>
          <w:sz w:val="22"/>
          <w:szCs w:val="22"/>
        </w:rPr>
        <w:t>:152-61.</w:t>
      </w:r>
    </w:p>
    <w:p w14:paraId="75A0EC92" w14:textId="77777777" w:rsidR="000923BB" w:rsidRPr="002F05B9" w:rsidRDefault="000923BB" w:rsidP="000923BB">
      <w:pPr>
        <w:jc w:val="both"/>
        <w:rPr>
          <w:rFonts w:cs="Arial"/>
          <w:b/>
        </w:rPr>
      </w:pPr>
      <w:r w:rsidRPr="002F05B9">
        <w:rPr>
          <w:rFonts w:cs="Arial"/>
          <w:b/>
        </w:rPr>
        <w:t>ADDITIONAL MATERIAL</w:t>
      </w:r>
    </w:p>
    <w:p w14:paraId="39A0A64F" w14:textId="77777777" w:rsidR="000923BB" w:rsidRPr="0061108F" w:rsidRDefault="000923BB" w:rsidP="000923BB">
      <w:pPr>
        <w:jc w:val="both"/>
        <w:rPr>
          <w:rFonts w:cs="Arial"/>
          <w:b/>
          <w:sz w:val="22"/>
          <w:szCs w:val="22"/>
        </w:rPr>
      </w:pPr>
      <w:r w:rsidRPr="0061108F">
        <w:rPr>
          <w:rFonts w:cs="Arial"/>
          <w:sz w:val="22"/>
          <w:szCs w:val="22"/>
        </w:rPr>
        <w:t>Box 5 and box 6 provide additional examples of reviewer scores and comments, together with the assessment of each comment type and category.  Box 5 is a case where the care was judged to be good. Overall there were fewer comments than those cases where care was judged to be unsatisfactory. In the later management section of this case there is a description of care included which, though not a judgement and therefore not placed in a category, illuminates the case and its management for the reader.</w:t>
      </w:r>
    </w:p>
    <w:p w14:paraId="6318F58C" w14:textId="77777777" w:rsidR="000923BB" w:rsidRPr="00B0663A" w:rsidRDefault="000923BB" w:rsidP="000923BB">
      <w:pPr>
        <w:jc w:val="both"/>
        <w:rPr>
          <w:rFonts w:cs="Arial"/>
          <w:b/>
        </w:rPr>
      </w:pPr>
      <w:r w:rsidRPr="00B0663A">
        <w:rPr>
          <w:rFonts w:cs="Arial"/>
          <w:b/>
        </w:rPr>
        <w:t xml:space="preserve">Box </w:t>
      </w:r>
      <w:r>
        <w:rPr>
          <w:rFonts w:cs="Arial"/>
          <w:b/>
        </w:rPr>
        <w:t xml:space="preserve">5 </w:t>
      </w:r>
      <w:r w:rsidRPr="00262E57">
        <w:rPr>
          <w:rFonts w:cs="Arial"/>
          <w:b/>
        </w:rPr>
        <w:t xml:space="preserve"> </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5137"/>
        <w:gridCol w:w="1417"/>
      </w:tblGrid>
      <w:tr w:rsidR="000923BB" w:rsidRPr="000611C7" w14:paraId="0100AF17" w14:textId="77777777" w:rsidTr="003A385F">
        <w:tc>
          <w:tcPr>
            <w:tcW w:w="1384" w:type="dxa"/>
          </w:tcPr>
          <w:p w14:paraId="4F90D553" w14:textId="77777777" w:rsidR="000923BB" w:rsidRPr="002F05B9" w:rsidRDefault="000923BB" w:rsidP="003A385F">
            <w:pPr>
              <w:spacing w:after="0" w:line="240" w:lineRule="auto"/>
              <w:jc w:val="both"/>
              <w:rPr>
                <w:rFonts w:cs="Arial"/>
                <w:sz w:val="18"/>
                <w:szCs w:val="18"/>
              </w:rPr>
            </w:pPr>
            <w:r w:rsidRPr="002F05B9">
              <w:rPr>
                <w:rFonts w:cs="Arial"/>
                <w:sz w:val="18"/>
                <w:szCs w:val="18"/>
              </w:rPr>
              <w:t>Overall care score 5</w:t>
            </w:r>
          </w:p>
        </w:tc>
        <w:tc>
          <w:tcPr>
            <w:tcW w:w="5137" w:type="dxa"/>
          </w:tcPr>
          <w:p w14:paraId="0254A65A" w14:textId="77777777" w:rsidR="000923BB" w:rsidRPr="002F05B9" w:rsidRDefault="000923BB" w:rsidP="003A385F">
            <w:pPr>
              <w:spacing w:after="0" w:line="240" w:lineRule="auto"/>
              <w:jc w:val="both"/>
              <w:rPr>
                <w:rFonts w:cs="Arial"/>
                <w:sz w:val="18"/>
                <w:szCs w:val="18"/>
              </w:rPr>
            </w:pPr>
          </w:p>
        </w:tc>
        <w:tc>
          <w:tcPr>
            <w:tcW w:w="1417" w:type="dxa"/>
          </w:tcPr>
          <w:p w14:paraId="047E6BF8" w14:textId="77777777" w:rsidR="000923BB" w:rsidRPr="002F05B9" w:rsidRDefault="000923BB" w:rsidP="003A385F">
            <w:pPr>
              <w:spacing w:after="0" w:line="240" w:lineRule="auto"/>
              <w:rPr>
                <w:rFonts w:cs="Arial"/>
                <w:sz w:val="18"/>
                <w:szCs w:val="18"/>
              </w:rPr>
            </w:pPr>
            <w:r w:rsidRPr="002F05B9">
              <w:rPr>
                <w:rFonts w:cs="Arial"/>
                <w:sz w:val="18"/>
                <w:szCs w:val="18"/>
              </w:rPr>
              <w:t xml:space="preserve">Comment type and category </w:t>
            </w:r>
          </w:p>
        </w:tc>
      </w:tr>
      <w:tr w:rsidR="000923BB" w:rsidRPr="000611C7" w14:paraId="735E6A0C" w14:textId="77777777" w:rsidTr="003A385F">
        <w:tc>
          <w:tcPr>
            <w:tcW w:w="1384" w:type="dxa"/>
          </w:tcPr>
          <w:p w14:paraId="1249ACFC" w14:textId="77777777" w:rsidR="000923BB" w:rsidRPr="002F05B9" w:rsidRDefault="000923BB" w:rsidP="003A385F">
            <w:pPr>
              <w:spacing w:after="0" w:line="240" w:lineRule="auto"/>
              <w:jc w:val="both"/>
              <w:rPr>
                <w:rFonts w:cs="Arial"/>
                <w:sz w:val="18"/>
                <w:szCs w:val="18"/>
              </w:rPr>
            </w:pPr>
            <w:r w:rsidRPr="002F05B9">
              <w:rPr>
                <w:rFonts w:cs="Arial"/>
                <w:sz w:val="18"/>
                <w:szCs w:val="18"/>
              </w:rPr>
              <w:t xml:space="preserve">Admission </w:t>
            </w:r>
          </w:p>
          <w:p w14:paraId="2F7E0D81" w14:textId="77777777" w:rsidR="000923BB" w:rsidRPr="002F05B9" w:rsidRDefault="000923BB" w:rsidP="003A385F">
            <w:pPr>
              <w:spacing w:after="0" w:line="240" w:lineRule="auto"/>
              <w:jc w:val="both"/>
              <w:rPr>
                <w:rFonts w:cs="Arial"/>
                <w:sz w:val="18"/>
                <w:szCs w:val="18"/>
              </w:rPr>
            </w:pPr>
            <w:r w:rsidRPr="002F05B9">
              <w:rPr>
                <w:rFonts w:cs="Arial"/>
                <w:sz w:val="18"/>
                <w:szCs w:val="18"/>
              </w:rPr>
              <w:t>Phase score 5</w:t>
            </w:r>
          </w:p>
        </w:tc>
        <w:tc>
          <w:tcPr>
            <w:tcW w:w="5137" w:type="dxa"/>
          </w:tcPr>
          <w:p w14:paraId="11D8D0A5" w14:textId="77777777" w:rsidR="000923BB" w:rsidRPr="002F05B9" w:rsidRDefault="000923BB" w:rsidP="003A385F">
            <w:pPr>
              <w:spacing w:after="0" w:line="240" w:lineRule="auto"/>
              <w:jc w:val="both"/>
              <w:rPr>
                <w:rFonts w:cs="Arial"/>
                <w:sz w:val="18"/>
                <w:szCs w:val="18"/>
              </w:rPr>
            </w:pPr>
            <w:r w:rsidRPr="002F05B9">
              <w:rPr>
                <w:rFonts w:cs="Arial"/>
                <w:sz w:val="18"/>
                <w:szCs w:val="18"/>
              </w:rPr>
              <w:t xml:space="preserve">Good initial assessment. </w:t>
            </w:r>
          </w:p>
          <w:p w14:paraId="45C915D8" w14:textId="77777777" w:rsidR="000923BB" w:rsidRPr="002F05B9" w:rsidRDefault="000923BB" w:rsidP="003A385F">
            <w:pPr>
              <w:spacing w:after="0" w:line="240" w:lineRule="auto"/>
              <w:jc w:val="both"/>
              <w:rPr>
                <w:rFonts w:cs="Arial"/>
                <w:sz w:val="18"/>
                <w:szCs w:val="18"/>
              </w:rPr>
            </w:pPr>
            <w:r w:rsidRPr="002F05B9">
              <w:rPr>
                <w:rFonts w:cs="Arial"/>
                <w:sz w:val="18"/>
                <w:szCs w:val="18"/>
              </w:rPr>
              <w:t xml:space="preserve">Heart failure identified and confirmed radiologically and appropriate treatment commenced. </w:t>
            </w:r>
          </w:p>
          <w:p w14:paraId="4E57D962" w14:textId="77777777" w:rsidR="000923BB" w:rsidRPr="002F05B9" w:rsidRDefault="000923BB" w:rsidP="003A385F">
            <w:pPr>
              <w:spacing w:after="0" w:line="240" w:lineRule="auto"/>
              <w:jc w:val="both"/>
              <w:rPr>
                <w:rFonts w:cs="Arial"/>
                <w:sz w:val="18"/>
                <w:szCs w:val="18"/>
              </w:rPr>
            </w:pPr>
            <w:r w:rsidRPr="002F05B9">
              <w:rPr>
                <w:rFonts w:cs="Arial"/>
                <w:sz w:val="18"/>
                <w:szCs w:val="18"/>
              </w:rPr>
              <w:t>Important differential diagnoses considered and also treated for chest infection.</w:t>
            </w:r>
          </w:p>
        </w:tc>
        <w:tc>
          <w:tcPr>
            <w:tcW w:w="1417" w:type="dxa"/>
          </w:tcPr>
          <w:p w14:paraId="1B3B5D3F" w14:textId="77777777" w:rsidR="000923BB" w:rsidRPr="002F05B9" w:rsidRDefault="000923BB" w:rsidP="003A385F">
            <w:pPr>
              <w:spacing w:after="0" w:line="240" w:lineRule="auto"/>
              <w:jc w:val="both"/>
              <w:rPr>
                <w:rFonts w:cs="Arial"/>
                <w:sz w:val="18"/>
                <w:szCs w:val="18"/>
              </w:rPr>
            </w:pPr>
            <w:r w:rsidRPr="002F05B9">
              <w:rPr>
                <w:rFonts w:cs="Arial"/>
                <w:sz w:val="18"/>
                <w:szCs w:val="18"/>
              </w:rPr>
              <w:t>Pos/C</w:t>
            </w:r>
          </w:p>
          <w:p w14:paraId="4F74E8CB" w14:textId="77777777" w:rsidR="000923BB" w:rsidRPr="002F05B9" w:rsidRDefault="000923BB" w:rsidP="003A385F">
            <w:pPr>
              <w:spacing w:after="0" w:line="240" w:lineRule="auto"/>
              <w:jc w:val="both"/>
              <w:rPr>
                <w:rFonts w:cs="Arial"/>
                <w:sz w:val="18"/>
                <w:szCs w:val="18"/>
              </w:rPr>
            </w:pPr>
            <w:r w:rsidRPr="002F05B9">
              <w:rPr>
                <w:rFonts w:cs="Arial"/>
                <w:sz w:val="18"/>
                <w:szCs w:val="18"/>
              </w:rPr>
              <w:t>Pos/C</w:t>
            </w:r>
          </w:p>
          <w:p w14:paraId="53138258" w14:textId="77777777" w:rsidR="000923BB" w:rsidRPr="002F05B9" w:rsidRDefault="000923BB" w:rsidP="003A385F">
            <w:pPr>
              <w:spacing w:after="0" w:line="240" w:lineRule="auto"/>
              <w:jc w:val="both"/>
              <w:rPr>
                <w:rFonts w:cs="Arial"/>
                <w:sz w:val="18"/>
                <w:szCs w:val="18"/>
              </w:rPr>
            </w:pPr>
          </w:p>
          <w:p w14:paraId="2E7C5890" w14:textId="77777777" w:rsidR="000923BB" w:rsidRPr="002F05B9" w:rsidRDefault="000923BB" w:rsidP="003A385F">
            <w:pPr>
              <w:spacing w:after="0" w:line="240" w:lineRule="auto"/>
              <w:jc w:val="both"/>
              <w:rPr>
                <w:rFonts w:cs="Arial"/>
                <w:sz w:val="18"/>
                <w:szCs w:val="18"/>
              </w:rPr>
            </w:pPr>
            <w:r w:rsidRPr="002F05B9">
              <w:rPr>
                <w:rFonts w:cs="Arial"/>
                <w:sz w:val="18"/>
                <w:szCs w:val="18"/>
              </w:rPr>
              <w:t>Pos/C</w:t>
            </w:r>
          </w:p>
        </w:tc>
      </w:tr>
      <w:tr w:rsidR="000923BB" w:rsidRPr="000611C7" w14:paraId="33533C9C" w14:textId="77777777" w:rsidTr="003A385F">
        <w:tc>
          <w:tcPr>
            <w:tcW w:w="1384" w:type="dxa"/>
          </w:tcPr>
          <w:p w14:paraId="0817311E" w14:textId="77777777" w:rsidR="000923BB" w:rsidRPr="002F05B9" w:rsidRDefault="000923BB" w:rsidP="003A385F">
            <w:pPr>
              <w:spacing w:after="0" w:line="240" w:lineRule="auto"/>
              <w:jc w:val="both"/>
              <w:rPr>
                <w:rFonts w:cs="Arial"/>
                <w:sz w:val="18"/>
                <w:szCs w:val="18"/>
              </w:rPr>
            </w:pPr>
            <w:r w:rsidRPr="002F05B9">
              <w:rPr>
                <w:rFonts w:cs="Arial"/>
                <w:sz w:val="18"/>
                <w:szCs w:val="18"/>
              </w:rPr>
              <w:t xml:space="preserve"> Early management</w:t>
            </w:r>
          </w:p>
          <w:p w14:paraId="7CC40EF5" w14:textId="77777777" w:rsidR="000923BB" w:rsidRPr="002F05B9" w:rsidRDefault="000923BB" w:rsidP="003A385F">
            <w:pPr>
              <w:spacing w:after="0" w:line="240" w:lineRule="auto"/>
              <w:jc w:val="both"/>
              <w:rPr>
                <w:rFonts w:cs="Arial"/>
                <w:sz w:val="18"/>
                <w:szCs w:val="18"/>
              </w:rPr>
            </w:pPr>
            <w:r w:rsidRPr="002F05B9">
              <w:rPr>
                <w:rFonts w:cs="Arial"/>
                <w:sz w:val="18"/>
                <w:szCs w:val="18"/>
              </w:rPr>
              <w:t>Phase score missing</w:t>
            </w:r>
          </w:p>
        </w:tc>
        <w:tc>
          <w:tcPr>
            <w:tcW w:w="5137" w:type="dxa"/>
          </w:tcPr>
          <w:p w14:paraId="087EBCA7" w14:textId="77777777" w:rsidR="000923BB" w:rsidRPr="002F05B9" w:rsidRDefault="000923BB" w:rsidP="003A385F">
            <w:pPr>
              <w:spacing w:after="0" w:line="240" w:lineRule="auto"/>
              <w:jc w:val="both"/>
              <w:rPr>
                <w:rFonts w:cs="Arial"/>
                <w:sz w:val="18"/>
                <w:szCs w:val="18"/>
              </w:rPr>
            </w:pPr>
            <w:r w:rsidRPr="002F05B9">
              <w:rPr>
                <w:rFonts w:cs="Arial"/>
                <w:sz w:val="18"/>
                <w:szCs w:val="18"/>
              </w:rPr>
              <w:t>Regularly reviewed as he failed to improve and significant effort made to optimise his medication.</w:t>
            </w:r>
          </w:p>
        </w:tc>
        <w:tc>
          <w:tcPr>
            <w:tcW w:w="1417" w:type="dxa"/>
          </w:tcPr>
          <w:p w14:paraId="0117F8A9" w14:textId="77777777" w:rsidR="000923BB" w:rsidRPr="002F05B9" w:rsidRDefault="000923BB" w:rsidP="003A385F">
            <w:pPr>
              <w:spacing w:after="0" w:line="240" w:lineRule="auto"/>
              <w:jc w:val="both"/>
              <w:rPr>
                <w:rFonts w:cs="Arial"/>
                <w:sz w:val="18"/>
                <w:szCs w:val="18"/>
              </w:rPr>
            </w:pPr>
            <w:r w:rsidRPr="002F05B9">
              <w:rPr>
                <w:rFonts w:cs="Arial"/>
                <w:sz w:val="18"/>
                <w:szCs w:val="18"/>
              </w:rPr>
              <w:t>Pos/B</w:t>
            </w:r>
          </w:p>
          <w:p w14:paraId="0FAB2265" w14:textId="77777777" w:rsidR="000923BB" w:rsidRPr="002F05B9" w:rsidRDefault="000923BB" w:rsidP="003A385F">
            <w:pPr>
              <w:spacing w:after="0" w:line="240" w:lineRule="auto"/>
              <w:jc w:val="both"/>
              <w:rPr>
                <w:rFonts w:cs="Arial"/>
                <w:sz w:val="18"/>
                <w:szCs w:val="18"/>
              </w:rPr>
            </w:pPr>
            <w:r w:rsidRPr="002F05B9">
              <w:rPr>
                <w:rFonts w:cs="Arial"/>
                <w:sz w:val="18"/>
                <w:szCs w:val="18"/>
              </w:rPr>
              <w:t>Pos/C</w:t>
            </w:r>
          </w:p>
        </w:tc>
      </w:tr>
      <w:tr w:rsidR="000923BB" w:rsidRPr="000611C7" w14:paraId="250F4F65" w14:textId="77777777" w:rsidTr="003A385F">
        <w:tc>
          <w:tcPr>
            <w:tcW w:w="1384" w:type="dxa"/>
          </w:tcPr>
          <w:p w14:paraId="1B48E954" w14:textId="77777777" w:rsidR="000923BB" w:rsidRPr="002F05B9" w:rsidRDefault="000923BB" w:rsidP="003A385F">
            <w:pPr>
              <w:spacing w:after="0" w:line="240" w:lineRule="auto"/>
              <w:jc w:val="both"/>
              <w:rPr>
                <w:rFonts w:cs="Arial"/>
                <w:sz w:val="18"/>
                <w:szCs w:val="18"/>
              </w:rPr>
            </w:pPr>
            <w:r w:rsidRPr="002F05B9">
              <w:rPr>
                <w:rFonts w:cs="Arial"/>
                <w:sz w:val="18"/>
                <w:szCs w:val="18"/>
              </w:rPr>
              <w:t>Later management</w:t>
            </w:r>
          </w:p>
          <w:p w14:paraId="572C03A2" w14:textId="77777777" w:rsidR="000923BB" w:rsidRPr="002F05B9" w:rsidRDefault="000923BB" w:rsidP="003A385F">
            <w:pPr>
              <w:spacing w:after="0" w:line="240" w:lineRule="auto"/>
              <w:jc w:val="both"/>
              <w:rPr>
                <w:rFonts w:cs="Arial"/>
                <w:sz w:val="18"/>
                <w:szCs w:val="18"/>
              </w:rPr>
            </w:pPr>
            <w:r w:rsidRPr="002F05B9">
              <w:rPr>
                <w:rFonts w:cs="Arial"/>
                <w:sz w:val="18"/>
                <w:szCs w:val="18"/>
              </w:rPr>
              <w:t>Phase score 5</w:t>
            </w:r>
          </w:p>
        </w:tc>
        <w:tc>
          <w:tcPr>
            <w:tcW w:w="5137" w:type="dxa"/>
          </w:tcPr>
          <w:p w14:paraId="4E944451" w14:textId="77777777" w:rsidR="000923BB" w:rsidRPr="002F05B9" w:rsidRDefault="000923BB" w:rsidP="003A385F">
            <w:pPr>
              <w:spacing w:after="0" w:line="240" w:lineRule="auto"/>
              <w:jc w:val="both"/>
              <w:rPr>
                <w:rFonts w:cs="Arial"/>
                <w:sz w:val="18"/>
                <w:szCs w:val="18"/>
              </w:rPr>
            </w:pPr>
            <w:r w:rsidRPr="002F05B9">
              <w:rPr>
                <w:rFonts w:cs="Arial"/>
                <w:sz w:val="18"/>
                <w:szCs w:val="18"/>
              </w:rPr>
              <w:t xml:space="preserve">Ceiling of treatment considered, documented and communicated to family. When it became apparent that his situation was hopeless, active treatment was withdrawn. </w:t>
            </w:r>
          </w:p>
          <w:p w14:paraId="290DAD25" w14:textId="77777777" w:rsidR="000923BB" w:rsidRPr="002F05B9" w:rsidRDefault="000923BB" w:rsidP="003A385F">
            <w:pPr>
              <w:spacing w:after="0" w:line="240" w:lineRule="auto"/>
              <w:jc w:val="both"/>
              <w:rPr>
                <w:rFonts w:cs="Arial"/>
                <w:sz w:val="18"/>
                <w:szCs w:val="18"/>
              </w:rPr>
            </w:pPr>
            <w:r w:rsidRPr="002F05B9">
              <w:rPr>
                <w:rFonts w:cs="Arial"/>
                <w:sz w:val="18"/>
                <w:szCs w:val="18"/>
              </w:rPr>
              <w:t>Again, communication with the family was good and documentation was clear.</w:t>
            </w:r>
          </w:p>
        </w:tc>
        <w:tc>
          <w:tcPr>
            <w:tcW w:w="1417" w:type="dxa"/>
          </w:tcPr>
          <w:p w14:paraId="0CB8367E" w14:textId="77777777" w:rsidR="000923BB" w:rsidRPr="002F05B9" w:rsidRDefault="000923BB" w:rsidP="003A385F">
            <w:pPr>
              <w:spacing w:after="0" w:line="240" w:lineRule="auto"/>
              <w:jc w:val="both"/>
              <w:rPr>
                <w:rFonts w:cs="Arial"/>
                <w:sz w:val="18"/>
                <w:szCs w:val="18"/>
              </w:rPr>
            </w:pPr>
            <w:r w:rsidRPr="002F05B9">
              <w:rPr>
                <w:rFonts w:cs="Arial"/>
                <w:sz w:val="18"/>
                <w:szCs w:val="18"/>
              </w:rPr>
              <w:t>Pos/C</w:t>
            </w:r>
          </w:p>
          <w:p w14:paraId="120F2F48" w14:textId="77777777" w:rsidR="000923BB" w:rsidRPr="002F05B9" w:rsidRDefault="000923BB" w:rsidP="003A385F">
            <w:pPr>
              <w:spacing w:after="0" w:line="240" w:lineRule="auto"/>
              <w:jc w:val="both"/>
              <w:rPr>
                <w:rFonts w:cs="Arial"/>
                <w:sz w:val="18"/>
                <w:szCs w:val="18"/>
              </w:rPr>
            </w:pPr>
          </w:p>
          <w:p w14:paraId="6B9596C6" w14:textId="77777777" w:rsidR="000923BB" w:rsidRPr="002F05B9" w:rsidRDefault="000923BB" w:rsidP="003A385F">
            <w:pPr>
              <w:spacing w:after="0" w:line="240" w:lineRule="auto"/>
              <w:jc w:val="both"/>
              <w:rPr>
                <w:rFonts w:cs="Arial"/>
                <w:sz w:val="18"/>
                <w:szCs w:val="18"/>
              </w:rPr>
            </w:pPr>
          </w:p>
          <w:p w14:paraId="64C61DEB" w14:textId="77777777" w:rsidR="000923BB" w:rsidRPr="002F05B9" w:rsidRDefault="000923BB" w:rsidP="003A385F">
            <w:pPr>
              <w:spacing w:after="0" w:line="240" w:lineRule="auto"/>
              <w:jc w:val="both"/>
              <w:rPr>
                <w:rFonts w:cs="Arial"/>
                <w:sz w:val="18"/>
                <w:szCs w:val="18"/>
              </w:rPr>
            </w:pPr>
          </w:p>
          <w:p w14:paraId="1F76A11B" w14:textId="77777777" w:rsidR="000923BB" w:rsidRPr="002F05B9" w:rsidRDefault="000923BB" w:rsidP="003A385F">
            <w:pPr>
              <w:spacing w:after="0" w:line="240" w:lineRule="auto"/>
              <w:jc w:val="both"/>
              <w:rPr>
                <w:rFonts w:cs="Arial"/>
                <w:sz w:val="18"/>
                <w:szCs w:val="18"/>
              </w:rPr>
            </w:pPr>
            <w:r w:rsidRPr="002F05B9">
              <w:rPr>
                <w:rFonts w:cs="Arial"/>
                <w:sz w:val="18"/>
                <w:szCs w:val="18"/>
              </w:rPr>
              <w:t>Pos/C</w:t>
            </w:r>
          </w:p>
        </w:tc>
      </w:tr>
      <w:tr w:rsidR="000923BB" w:rsidRPr="000611C7" w14:paraId="4B28F767" w14:textId="77777777" w:rsidTr="003A385F">
        <w:tc>
          <w:tcPr>
            <w:tcW w:w="1384" w:type="dxa"/>
          </w:tcPr>
          <w:p w14:paraId="57658D36" w14:textId="77777777" w:rsidR="000923BB" w:rsidRPr="002F05B9" w:rsidRDefault="000923BB" w:rsidP="003A385F">
            <w:pPr>
              <w:spacing w:after="0" w:line="240" w:lineRule="auto"/>
              <w:jc w:val="both"/>
              <w:rPr>
                <w:rFonts w:cs="Arial"/>
                <w:sz w:val="18"/>
                <w:szCs w:val="18"/>
              </w:rPr>
            </w:pPr>
            <w:r w:rsidRPr="002F05B9">
              <w:rPr>
                <w:rFonts w:cs="Arial"/>
                <w:sz w:val="18"/>
                <w:szCs w:val="18"/>
              </w:rPr>
              <w:t>Overall care</w:t>
            </w:r>
          </w:p>
          <w:p w14:paraId="6DE7414F" w14:textId="77777777" w:rsidR="000923BB" w:rsidRPr="002F05B9" w:rsidRDefault="000923BB" w:rsidP="003A385F">
            <w:pPr>
              <w:spacing w:after="0" w:line="240" w:lineRule="auto"/>
              <w:jc w:val="both"/>
              <w:rPr>
                <w:rFonts w:cs="Arial"/>
                <w:sz w:val="18"/>
                <w:szCs w:val="18"/>
              </w:rPr>
            </w:pPr>
            <w:r w:rsidRPr="002F05B9">
              <w:rPr>
                <w:rFonts w:cs="Arial"/>
                <w:sz w:val="18"/>
                <w:szCs w:val="18"/>
              </w:rPr>
              <w:t>Score 5</w:t>
            </w:r>
          </w:p>
        </w:tc>
        <w:tc>
          <w:tcPr>
            <w:tcW w:w="5137" w:type="dxa"/>
          </w:tcPr>
          <w:p w14:paraId="5BC154BB" w14:textId="77777777" w:rsidR="000923BB" w:rsidRPr="002F05B9" w:rsidRDefault="000923BB" w:rsidP="003A385F">
            <w:pPr>
              <w:spacing w:after="0" w:line="240" w:lineRule="auto"/>
              <w:jc w:val="both"/>
              <w:rPr>
                <w:rFonts w:cs="Arial"/>
                <w:sz w:val="18"/>
                <w:szCs w:val="18"/>
              </w:rPr>
            </w:pPr>
            <w:r w:rsidRPr="002F05B9">
              <w:rPr>
                <w:rFonts w:cs="Arial"/>
                <w:sz w:val="18"/>
                <w:szCs w:val="18"/>
              </w:rPr>
              <w:t xml:space="preserve">Well looked after. </w:t>
            </w:r>
          </w:p>
          <w:p w14:paraId="22DC6C77" w14:textId="77777777" w:rsidR="000923BB" w:rsidRPr="002F05B9" w:rsidRDefault="000923BB" w:rsidP="003A385F">
            <w:pPr>
              <w:spacing w:after="0" w:line="240" w:lineRule="auto"/>
              <w:jc w:val="both"/>
              <w:rPr>
                <w:rFonts w:cs="Arial"/>
                <w:sz w:val="18"/>
                <w:szCs w:val="18"/>
              </w:rPr>
            </w:pPr>
            <w:r w:rsidRPr="002F05B9">
              <w:rPr>
                <w:rFonts w:cs="Arial"/>
                <w:sz w:val="18"/>
                <w:szCs w:val="18"/>
              </w:rPr>
              <w:t xml:space="preserve">A decent attempt to treat her from a difficult starting point. </w:t>
            </w:r>
          </w:p>
          <w:p w14:paraId="7D39E599" w14:textId="77777777" w:rsidR="000923BB" w:rsidRPr="002F05B9" w:rsidRDefault="000923BB" w:rsidP="003A385F">
            <w:pPr>
              <w:spacing w:after="0" w:line="240" w:lineRule="auto"/>
              <w:jc w:val="both"/>
              <w:rPr>
                <w:rFonts w:cs="Arial"/>
                <w:sz w:val="18"/>
                <w:szCs w:val="18"/>
              </w:rPr>
            </w:pPr>
            <w:r w:rsidRPr="002F05B9">
              <w:rPr>
                <w:rFonts w:cs="Arial"/>
                <w:sz w:val="18"/>
                <w:szCs w:val="18"/>
              </w:rPr>
              <w:t xml:space="preserve">Good multidisciplinary involvement and </w:t>
            </w:r>
          </w:p>
          <w:p w14:paraId="312A0CA7" w14:textId="77777777" w:rsidR="000923BB" w:rsidRPr="002F05B9" w:rsidRDefault="000923BB" w:rsidP="003A385F">
            <w:pPr>
              <w:spacing w:after="0" w:line="240" w:lineRule="auto"/>
              <w:jc w:val="both"/>
              <w:rPr>
                <w:rFonts w:cs="Arial"/>
                <w:sz w:val="18"/>
                <w:szCs w:val="18"/>
              </w:rPr>
            </w:pPr>
            <w:r w:rsidRPr="002F05B9">
              <w:rPr>
                <w:rFonts w:cs="Arial"/>
                <w:sz w:val="18"/>
                <w:szCs w:val="18"/>
              </w:rPr>
              <w:t>good communication with the patient and family throughout.</w:t>
            </w:r>
          </w:p>
        </w:tc>
        <w:tc>
          <w:tcPr>
            <w:tcW w:w="1417" w:type="dxa"/>
          </w:tcPr>
          <w:p w14:paraId="35343610" w14:textId="77777777" w:rsidR="000923BB" w:rsidRPr="002F05B9" w:rsidRDefault="000923BB" w:rsidP="003A385F">
            <w:pPr>
              <w:spacing w:after="0" w:line="240" w:lineRule="auto"/>
              <w:jc w:val="both"/>
              <w:rPr>
                <w:rFonts w:cs="Arial"/>
                <w:sz w:val="18"/>
                <w:szCs w:val="18"/>
              </w:rPr>
            </w:pPr>
            <w:r w:rsidRPr="002F05B9">
              <w:rPr>
                <w:rFonts w:cs="Arial"/>
                <w:sz w:val="18"/>
                <w:szCs w:val="18"/>
              </w:rPr>
              <w:t>Pos/C</w:t>
            </w:r>
          </w:p>
          <w:p w14:paraId="2F0AE406" w14:textId="77777777" w:rsidR="000923BB" w:rsidRPr="002F05B9" w:rsidRDefault="000923BB" w:rsidP="003A385F">
            <w:pPr>
              <w:spacing w:after="0" w:line="240" w:lineRule="auto"/>
              <w:jc w:val="both"/>
              <w:rPr>
                <w:rFonts w:cs="Arial"/>
                <w:sz w:val="18"/>
                <w:szCs w:val="18"/>
              </w:rPr>
            </w:pPr>
            <w:r w:rsidRPr="002F05B9">
              <w:rPr>
                <w:rFonts w:cs="Arial"/>
                <w:sz w:val="18"/>
                <w:szCs w:val="18"/>
              </w:rPr>
              <w:t>Pos/C</w:t>
            </w:r>
          </w:p>
          <w:p w14:paraId="4FDA7659" w14:textId="77777777" w:rsidR="000923BB" w:rsidRPr="002F05B9" w:rsidRDefault="000923BB" w:rsidP="003A385F">
            <w:pPr>
              <w:spacing w:after="0" w:line="240" w:lineRule="auto"/>
              <w:jc w:val="both"/>
              <w:rPr>
                <w:rFonts w:cs="Arial"/>
                <w:sz w:val="18"/>
                <w:szCs w:val="18"/>
              </w:rPr>
            </w:pPr>
          </w:p>
          <w:p w14:paraId="0AFB08B4" w14:textId="77777777" w:rsidR="000923BB" w:rsidRPr="002F05B9" w:rsidRDefault="000923BB" w:rsidP="003A385F">
            <w:pPr>
              <w:spacing w:after="0" w:line="240" w:lineRule="auto"/>
              <w:jc w:val="both"/>
              <w:rPr>
                <w:rFonts w:cs="Arial"/>
                <w:sz w:val="18"/>
                <w:szCs w:val="18"/>
              </w:rPr>
            </w:pPr>
            <w:r w:rsidRPr="002F05B9">
              <w:rPr>
                <w:rFonts w:cs="Arial"/>
                <w:sz w:val="18"/>
                <w:szCs w:val="18"/>
              </w:rPr>
              <w:t>Pos/C</w:t>
            </w:r>
          </w:p>
          <w:p w14:paraId="5B89A918" w14:textId="77777777" w:rsidR="000923BB" w:rsidRPr="002F05B9" w:rsidRDefault="000923BB" w:rsidP="003A385F">
            <w:pPr>
              <w:spacing w:after="0" w:line="240" w:lineRule="auto"/>
              <w:jc w:val="both"/>
              <w:rPr>
                <w:rFonts w:cs="Arial"/>
                <w:sz w:val="18"/>
                <w:szCs w:val="18"/>
              </w:rPr>
            </w:pPr>
            <w:r w:rsidRPr="002F05B9">
              <w:rPr>
                <w:rFonts w:cs="Arial"/>
                <w:sz w:val="18"/>
                <w:szCs w:val="18"/>
              </w:rPr>
              <w:t>Pos/C</w:t>
            </w:r>
          </w:p>
        </w:tc>
      </w:tr>
    </w:tbl>
    <w:p w14:paraId="7DA803A7" w14:textId="77777777" w:rsidR="000923BB" w:rsidRDefault="000923BB" w:rsidP="000923BB">
      <w:pPr>
        <w:jc w:val="both"/>
        <w:rPr>
          <w:rFonts w:cs="Arial"/>
        </w:rPr>
      </w:pPr>
    </w:p>
    <w:p w14:paraId="31A12AAF" w14:textId="77777777" w:rsidR="000923BB" w:rsidRPr="0061108F" w:rsidRDefault="000923BB" w:rsidP="000923BB">
      <w:pPr>
        <w:jc w:val="both"/>
        <w:rPr>
          <w:rFonts w:cs="Arial"/>
          <w:sz w:val="22"/>
          <w:szCs w:val="22"/>
        </w:rPr>
      </w:pPr>
      <w:r w:rsidRPr="0061108F">
        <w:rPr>
          <w:rFonts w:cs="Arial"/>
          <w:sz w:val="22"/>
          <w:szCs w:val="22"/>
        </w:rPr>
        <w:lastRenderedPageBreak/>
        <w:t>Box 6 is an example of how the impact of one adverse event may impact on the overall score, even when care is good in other components of care.  Just at the point when the patient died, an inappropriate action occurred which the reviewer regarded as very unsatisfactory, although it did not contribute to the patient’s death. The reviewer gave high care scores for three phases but then deemed the overall care poor because of the adverse event at point of death.</w:t>
      </w:r>
    </w:p>
    <w:p w14:paraId="0EEF4FB9" w14:textId="77777777" w:rsidR="000923BB" w:rsidRPr="00C7665C" w:rsidRDefault="000923BB" w:rsidP="000923BB">
      <w:pPr>
        <w:jc w:val="both"/>
        <w:rPr>
          <w:rFonts w:cs="Arial"/>
          <w:b/>
        </w:rPr>
      </w:pPr>
      <w:r w:rsidRPr="00C7665C">
        <w:rPr>
          <w:rFonts w:cs="Arial"/>
          <w:b/>
        </w:rPr>
        <w:t xml:space="preserve">Box </w:t>
      </w:r>
      <w:r>
        <w:rPr>
          <w:rFonts w:cs="Arial"/>
          <w:b/>
        </w:rPr>
        <w:t xml:space="preserve">6 </w:t>
      </w:r>
    </w:p>
    <w:tbl>
      <w:tblPr>
        <w:tblW w:w="79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5137"/>
        <w:gridCol w:w="1418"/>
      </w:tblGrid>
      <w:tr w:rsidR="000923BB" w:rsidRPr="000611C7" w14:paraId="7796C031" w14:textId="77777777" w:rsidTr="003A385F">
        <w:tc>
          <w:tcPr>
            <w:tcW w:w="1384" w:type="dxa"/>
          </w:tcPr>
          <w:p w14:paraId="0DD21F03" w14:textId="77777777" w:rsidR="000923BB" w:rsidRPr="002F05B9" w:rsidRDefault="000923BB" w:rsidP="003A385F">
            <w:pPr>
              <w:spacing w:after="0" w:line="240" w:lineRule="auto"/>
              <w:jc w:val="both"/>
              <w:rPr>
                <w:rFonts w:cs="Arial"/>
                <w:sz w:val="18"/>
                <w:szCs w:val="18"/>
              </w:rPr>
            </w:pPr>
            <w:r w:rsidRPr="002F05B9">
              <w:rPr>
                <w:rFonts w:cs="Arial"/>
                <w:sz w:val="18"/>
                <w:szCs w:val="18"/>
              </w:rPr>
              <w:t>Overall care score 1</w:t>
            </w:r>
          </w:p>
        </w:tc>
        <w:tc>
          <w:tcPr>
            <w:tcW w:w="5137" w:type="dxa"/>
          </w:tcPr>
          <w:p w14:paraId="50FC6F69" w14:textId="77777777" w:rsidR="000923BB" w:rsidRPr="002F05B9" w:rsidRDefault="000923BB" w:rsidP="003A385F">
            <w:pPr>
              <w:spacing w:after="0" w:line="240" w:lineRule="auto"/>
              <w:jc w:val="both"/>
              <w:rPr>
                <w:rFonts w:cs="Arial"/>
                <w:sz w:val="18"/>
                <w:szCs w:val="18"/>
              </w:rPr>
            </w:pPr>
          </w:p>
        </w:tc>
        <w:tc>
          <w:tcPr>
            <w:tcW w:w="1418" w:type="dxa"/>
          </w:tcPr>
          <w:p w14:paraId="7F4AE742" w14:textId="77777777" w:rsidR="000923BB" w:rsidRPr="002F05B9" w:rsidRDefault="000923BB" w:rsidP="003A385F">
            <w:pPr>
              <w:spacing w:after="0" w:line="240" w:lineRule="auto"/>
              <w:rPr>
                <w:rFonts w:cs="Arial"/>
                <w:sz w:val="18"/>
                <w:szCs w:val="18"/>
              </w:rPr>
            </w:pPr>
            <w:r w:rsidRPr="002F05B9">
              <w:rPr>
                <w:rFonts w:cs="Arial"/>
                <w:sz w:val="18"/>
                <w:szCs w:val="18"/>
              </w:rPr>
              <w:t>Comment type (Pos or Neg) and category</w:t>
            </w:r>
          </w:p>
        </w:tc>
      </w:tr>
      <w:tr w:rsidR="000923BB" w:rsidRPr="000611C7" w14:paraId="56E5EF53" w14:textId="77777777" w:rsidTr="003A385F">
        <w:tc>
          <w:tcPr>
            <w:tcW w:w="1384" w:type="dxa"/>
          </w:tcPr>
          <w:p w14:paraId="6D580352" w14:textId="77777777" w:rsidR="000923BB" w:rsidRPr="002F05B9" w:rsidRDefault="000923BB" w:rsidP="003A385F">
            <w:pPr>
              <w:spacing w:after="0" w:line="240" w:lineRule="auto"/>
              <w:jc w:val="both"/>
              <w:rPr>
                <w:rFonts w:cs="Arial"/>
                <w:sz w:val="18"/>
                <w:szCs w:val="18"/>
              </w:rPr>
            </w:pPr>
            <w:r w:rsidRPr="002F05B9">
              <w:rPr>
                <w:rFonts w:cs="Arial"/>
                <w:sz w:val="18"/>
                <w:szCs w:val="18"/>
              </w:rPr>
              <w:t xml:space="preserve">Admission </w:t>
            </w:r>
          </w:p>
          <w:p w14:paraId="648453CD" w14:textId="77777777" w:rsidR="000923BB" w:rsidRPr="002F05B9" w:rsidRDefault="000923BB" w:rsidP="003A385F">
            <w:pPr>
              <w:spacing w:after="0" w:line="240" w:lineRule="auto"/>
              <w:jc w:val="both"/>
              <w:rPr>
                <w:rFonts w:cs="Arial"/>
                <w:sz w:val="18"/>
                <w:szCs w:val="18"/>
              </w:rPr>
            </w:pPr>
            <w:r w:rsidRPr="002F05B9">
              <w:rPr>
                <w:rFonts w:cs="Arial"/>
                <w:sz w:val="18"/>
                <w:szCs w:val="18"/>
              </w:rPr>
              <w:t>Phase score 5</w:t>
            </w:r>
          </w:p>
        </w:tc>
        <w:tc>
          <w:tcPr>
            <w:tcW w:w="5137" w:type="dxa"/>
          </w:tcPr>
          <w:p w14:paraId="438FD8C8" w14:textId="77777777" w:rsidR="000923BB" w:rsidRPr="002F05B9" w:rsidRDefault="000923BB" w:rsidP="003A385F">
            <w:pPr>
              <w:spacing w:after="0" w:line="240" w:lineRule="auto"/>
              <w:jc w:val="both"/>
              <w:rPr>
                <w:rFonts w:cs="Arial"/>
                <w:sz w:val="18"/>
                <w:szCs w:val="18"/>
              </w:rPr>
            </w:pPr>
            <w:r w:rsidRPr="002F05B9">
              <w:rPr>
                <w:rFonts w:cs="Arial"/>
                <w:sz w:val="18"/>
                <w:szCs w:val="18"/>
              </w:rPr>
              <w:t>excellent history taking and clinical examination. Oedema of feet not recorded though is noted in subsequent ward examinations.</w:t>
            </w:r>
          </w:p>
        </w:tc>
        <w:tc>
          <w:tcPr>
            <w:tcW w:w="1418" w:type="dxa"/>
          </w:tcPr>
          <w:p w14:paraId="007C4D6C" w14:textId="77777777" w:rsidR="000923BB" w:rsidRPr="002F05B9" w:rsidRDefault="000923BB" w:rsidP="003A385F">
            <w:pPr>
              <w:spacing w:after="0" w:line="240" w:lineRule="auto"/>
              <w:jc w:val="both"/>
              <w:rPr>
                <w:rFonts w:cs="Arial"/>
                <w:sz w:val="18"/>
                <w:szCs w:val="18"/>
              </w:rPr>
            </w:pPr>
            <w:r w:rsidRPr="002F05B9">
              <w:rPr>
                <w:rFonts w:cs="Arial"/>
                <w:sz w:val="18"/>
                <w:szCs w:val="18"/>
              </w:rPr>
              <w:t>Pos/C</w:t>
            </w:r>
          </w:p>
          <w:p w14:paraId="3BB2D6C4" w14:textId="77777777" w:rsidR="000923BB" w:rsidRPr="002F05B9" w:rsidRDefault="000923BB" w:rsidP="003A385F">
            <w:pPr>
              <w:spacing w:after="0" w:line="240" w:lineRule="auto"/>
              <w:jc w:val="both"/>
              <w:rPr>
                <w:rFonts w:cs="Arial"/>
                <w:sz w:val="18"/>
                <w:szCs w:val="18"/>
              </w:rPr>
            </w:pPr>
            <w:r w:rsidRPr="002F05B9">
              <w:rPr>
                <w:rFonts w:cs="Arial"/>
                <w:sz w:val="18"/>
                <w:szCs w:val="18"/>
              </w:rPr>
              <w:t>Neg/ B</w:t>
            </w:r>
          </w:p>
        </w:tc>
      </w:tr>
      <w:tr w:rsidR="000923BB" w:rsidRPr="000611C7" w14:paraId="5D7CC518" w14:textId="77777777" w:rsidTr="003A385F">
        <w:tc>
          <w:tcPr>
            <w:tcW w:w="1384" w:type="dxa"/>
          </w:tcPr>
          <w:p w14:paraId="4E1B2B74" w14:textId="77777777" w:rsidR="000923BB" w:rsidRPr="002F05B9" w:rsidRDefault="000923BB" w:rsidP="003A385F">
            <w:pPr>
              <w:spacing w:after="0" w:line="240" w:lineRule="auto"/>
              <w:jc w:val="both"/>
              <w:rPr>
                <w:rFonts w:cs="Arial"/>
                <w:sz w:val="18"/>
                <w:szCs w:val="18"/>
              </w:rPr>
            </w:pPr>
            <w:r w:rsidRPr="002F05B9">
              <w:rPr>
                <w:rFonts w:cs="Arial"/>
                <w:sz w:val="18"/>
                <w:szCs w:val="18"/>
              </w:rPr>
              <w:t>Early management</w:t>
            </w:r>
          </w:p>
          <w:p w14:paraId="035ED4FD" w14:textId="77777777" w:rsidR="000923BB" w:rsidRPr="002F05B9" w:rsidRDefault="000923BB" w:rsidP="003A385F">
            <w:pPr>
              <w:spacing w:after="0" w:line="240" w:lineRule="auto"/>
              <w:jc w:val="both"/>
              <w:rPr>
                <w:rFonts w:cs="Arial"/>
                <w:sz w:val="18"/>
                <w:szCs w:val="18"/>
              </w:rPr>
            </w:pPr>
            <w:r w:rsidRPr="002F05B9">
              <w:rPr>
                <w:rFonts w:cs="Arial"/>
                <w:sz w:val="18"/>
                <w:szCs w:val="18"/>
              </w:rPr>
              <w:t>Phase score 6</w:t>
            </w:r>
          </w:p>
        </w:tc>
        <w:tc>
          <w:tcPr>
            <w:tcW w:w="5137" w:type="dxa"/>
          </w:tcPr>
          <w:p w14:paraId="681DAB33" w14:textId="77777777" w:rsidR="000923BB" w:rsidRPr="002F05B9" w:rsidRDefault="000923BB" w:rsidP="003A385F">
            <w:pPr>
              <w:spacing w:after="0" w:line="240" w:lineRule="auto"/>
              <w:jc w:val="both"/>
              <w:rPr>
                <w:rFonts w:cs="Arial"/>
                <w:sz w:val="18"/>
                <w:szCs w:val="18"/>
              </w:rPr>
            </w:pPr>
            <w:r w:rsidRPr="002F05B9">
              <w:rPr>
                <w:rFonts w:cs="Arial"/>
                <w:sz w:val="18"/>
                <w:szCs w:val="18"/>
              </w:rPr>
              <w:t xml:space="preserve">appropriate medical management. </w:t>
            </w:r>
          </w:p>
          <w:p w14:paraId="553DB3B2" w14:textId="77777777" w:rsidR="000923BB" w:rsidRPr="002F05B9" w:rsidRDefault="000923BB" w:rsidP="003A385F">
            <w:pPr>
              <w:spacing w:after="0" w:line="240" w:lineRule="auto"/>
              <w:jc w:val="both"/>
              <w:rPr>
                <w:rFonts w:cs="Arial"/>
                <w:sz w:val="18"/>
                <w:szCs w:val="18"/>
              </w:rPr>
            </w:pPr>
            <w:r w:rsidRPr="002F05B9">
              <w:rPr>
                <w:rFonts w:cs="Arial"/>
                <w:sz w:val="18"/>
                <w:szCs w:val="18"/>
              </w:rPr>
              <w:t>Decision taken to manage conservatively as end stage heart failure</w:t>
            </w:r>
          </w:p>
        </w:tc>
        <w:tc>
          <w:tcPr>
            <w:tcW w:w="1418" w:type="dxa"/>
          </w:tcPr>
          <w:p w14:paraId="3B238A48" w14:textId="77777777" w:rsidR="000923BB" w:rsidRPr="002F05B9" w:rsidRDefault="000923BB" w:rsidP="003A385F">
            <w:pPr>
              <w:spacing w:after="0" w:line="240" w:lineRule="auto"/>
              <w:jc w:val="both"/>
              <w:rPr>
                <w:rFonts w:cs="Arial"/>
                <w:sz w:val="18"/>
                <w:szCs w:val="18"/>
              </w:rPr>
            </w:pPr>
            <w:r w:rsidRPr="002F05B9">
              <w:rPr>
                <w:rFonts w:cs="Arial"/>
                <w:sz w:val="18"/>
                <w:szCs w:val="18"/>
              </w:rPr>
              <w:t>Pos/C</w:t>
            </w:r>
          </w:p>
        </w:tc>
      </w:tr>
      <w:tr w:rsidR="000923BB" w:rsidRPr="000611C7" w14:paraId="7A638C71" w14:textId="77777777" w:rsidTr="003A385F">
        <w:tc>
          <w:tcPr>
            <w:tcW w:w="1384" w:type="dxa"/>
          </w:tcPr>
          <w:p w14:paraId="16A21ADD" w14:textId="77777777" w:rsidR="000923BB" w:rsidRPr="002F05B9" w:rsidRDefault="000923BB" w:rsidP="003A385F">
            <w:pPr>
              <w:spacing w:after="0" w:line="240" w:lineRule="auto"/>
              <w:jc w:val="both"/>
              <w:rPr>
                <w:rFonts w:cs="Arial"/>
                <w:sz w:val="18"/>
                <w:szCs w:val="18"/>
              </w:rPr>
            </w:pPr>
            <w:r w:rsidRPr="002F05B9">
              <w:rPr>
                <w:rFonts w:cs="Arial"/>
                <w:sz w:val="18"/>
                <w:szCs w:val="18"/>
              </w:rPr>
              <w:t xml:space="preserve">Later management </w:t>
            </w:r>
          </w:p>
          <w:p w14:paraId="63ED4E66" w14:textId="77777777" w:rsidR="000923BB" w:rsidRPr="002F05B9" w:rsidRDefault="000923BB" w:rsidP="003A385F">
            <w:pPr>
              <w:spacing w:after="0" w:line="240" w:lineRule="auto"/>
              <w:jc w:val="both"/>
              <w:rPr>
                <w:rFonts w:cs="Arial"/>
                <w:sz w:val="18"/>
                <w:szCs w:val="18"/>
              </w:rPr>
            </w:pPr>
            <w:r w:rsidRPr="002F05B9">
              <w:rPr>
                <w:rFonts w:cs="Arial"/>
                <w:sz w:val="18"/>
                <w:szCs w:val="18"/>
              </w:rPr>
              <w:t>Phase score 6</w:t>
            </w:r>
          </w:p>
        </w:tc>
        <w:tc>
          <w:tcPr>
            <w:tcW w:w="5137" w:type="dxa"/>
          </w:tcPr>
          <w:p w14:paraId="21E58F26" w14:textId="77777777" w:rsidR="000923BB" w:rsidRPr="002F05B9" w:rsidRDefault="000923BB" w:rsidP="003A385F">
            <w:pPr>
              <w:spacing w:after="0" w:line="240" w:lineRule="auto"/>
              <w:jc w:val="both"/>
              <w:rPr>
                <w:rFonts w:cs="Arial"/>
                <w:sz w:val="18"/>
                <w:szCs w:val="18"/>
              </w:rPr>
            </w:pPr>
            <w:r w:rsidRPr="002F05B9">
              <w:rPr>
                <w:rFonts w:cs="Arial"/>
                <w:sz w:val="18"/>
                <w:szCs w:val="18"/>
              </w:rPr>
              <w:t>discussion with family about end stage heart failure. Decommissioned ICD as was appropriate</w:t>
            </w:r>
          </w:p>
        </w:tc>
        <w:tc>
          <w:tcPr>
            <w:tcW w:w="1418" w:type="dxa"/>
          </w:tcPr>
          <w:p w14:paraId="7EB17473" w14:textId="77777777" w:rsidR="000923BB" w:rsidRPr="002F05B9" w:rsidRDefault="000923BB" w:rsidP="003A385F">
            <w:pPr>
              <w:spacing w:after="0" w:line="240" w:lineRule="auto"/>
              <w:jc w:val="both"/>
              <w:rPr>
                <w:rFonts w:cs="Arial"/>
                <w:sz w:val="18"/>
                <w:szCs w:val="18"/>
              </w:rPr>
            </w:pPr>
          </w:p>
          <w:p w14:paraId="78CD6333" w14:textId="77777777" w:rsidR="000923BB" w:rsidRPr="002F05B9" w:rsidRDefault="000923BB" w:rsidP="003A385F">
            <w:pPr>
              <w:spacing w:after="0" w:line="240" w:lineRule="auto"/>
              <w:jc w:val="both"/>
              <w:rPr>
                <w:rFonts w:cs="Arial"/>
                <w:sz w:val="18"/>
                <w:szCs w:val="18"/>
              </w:rPr>
            </w:pPr>
            <w:r w:rsidRPr="002F05B9">
              <w:rPr>
                <w:rFonts w:cs="Arial"/>
                <w:sz w:val="18"/>
                <w:szCs w:val="18"/>
              </w:rPr>
              <w:t>Pos/C</w:t>
            </w:r>
          </w:p>
        </w:tc>
      </w:tr>
      <w:tr w:rsidR="000923BB" w:rsidRPr="000611C7" w14:paraId="79C139AE" w14:textId="77777777" w:rsidTr="003A385F">
        <w:tc>
          <w:tcPr>
            <w:tcW w:w="1384" w:type="dxa"/>
          </w:tcPr>
          <w:p w14:paraId="580FC110" w14:textId="77777777" w:rsidR="000923BB" w:rsidRPr="002F05B9" w:rsidRDefault="000923BB" w:rsidP="003A385F">
            <w:pPr>
              <w:spacing w:after="0" w:line="240" w:lineRule="auto"/>
              <w:jc w:val="both"/>
              <w:rPr>
                <w:rFonts w:cs="Arial"/>
                <w:sz w:val="18"/>
                <w:szCs w:val="18"/>
              </w:rPr>
            </w:pPr>
            <w:r w:rsidRPr="002F05B9">
              <w:rPr>
                <w:rFonts w:cs="Arial"/>
                <w:sz w:val="18"/>
                <w:szCs w:val="18"/>
              </w:rPr>
              <w:t xml:space="preserve">Overall care </w:t>
            </w:r>
          </w:p>
          <w:p w14:paraId="6F6E5FF2" w14:textId="77777777" w:rsidR="000923BB" w:rsidRPr="002F05B9" w:rsidRDefault="000923BB" w:rsidP="003A385F">
            <w:pPr>
              <w:spacing w:after="0" w:line="240" w:lineRule="auto"/>
              <w:jc w:val="both"/>
              <w:rPr>
                <w:rFonts w:cs="Arial"/>
                <w:sz w:val="18"/>
                <w:szCs w:val="18"/>
              </w:rPr>
            </w:pPr>
            <w:r w:rsidRPr="002F05B9">
              <w:rPr>
                <w:rFonts w:cs="Arial"/>
                <w:sz w:val="18"/>
                <w:szCs w:val="18"/>
              </w:rPr>
              <w:t xml:space="preserve">Score 1 </w:t>
            </w:r>
          </w:p>
        </w:tc>
        <w:tc>
          <w:tcPr>
            <w:tcW w:w="5137" w:type="dxa"/>
          </w:tcPr>
          <w:p w14:paraId="7863BEA5" w14:textId="77777777" w:rsidR="000923BB" w:rsidRPr="002F05B9" w:rsidRDefault="000923BB" w:rsidP="003A385F">
            <w:pPr>
              <w:spacing w:after="0" w:line="240" w:lineRule="auto"/>
              <w:jc w:val="both"/>
              <w:rPr>
                <w:rFonts w:cs="Arial"/>
                <w:sz w:val="18"/>
                <w:szCs w:val="18"/>
              </w:rPr>
            </w:pPr>
            <w:r w:rsidRPr="002F05B9">
              <w:rPr>
                <w:rFonts w:cs="Arial"/>
                <w:sz w:val="18"/>
                <w:szCs w:val="18"/>
              </w:rPr>
              <w:t xml:space="preserve">Excellent management as deemed appropriate in this terminal situation. DNR form done by team. </w:t>
            </w:r>
          </w:p>
          <w:p w14:paraId="2595CA56" w14:textId="77777777" w:rsidR="000923BB" w:rsidRPr="002F05B9" w:rsidRDefault="000923BB" w:rsidP="003A385F">
            <w:pPr>
              <w:spacing w:after="0" w:line="240" w:lineRule="auto"/>
              <w:jc w:val="both"/>
              <w:rPr>
                <w:rFonts w:cs="Arial"/>
                <w:sz w:val="18"/>
                <w:szCs w:val="18"/>
              </w:rPr>
            </w:pPr>
            <w:r w:rsidRPr="002F05B9">
              <w:rPr>
                <w:rFonts w:cs="Arial"/>
                <w:sz w:val="18"/>
                <w:szCs w:val="18"/>
              </w:rPr>
              <w:t>Despite this when patient was in periarrest situation, patient was given 1 DC shock. This did not seem appropriate at all as DNR decision was discussed with the family.</w:t>
            </w:r>
          </w:p>
        </w:tc>
        <w:tc>
          <w:tcPr>
            <w:tcW w:w="1418" w:type="dxa"/>
          </w:tcPr>
          <w:p w14:paraId="7E800B99" w14:textId="77777777" w:rsidR="000923BB" w:rsidRPr="002F05B9" w:rsidRDefault="000923BB" w:rsidP="003A385F">
            <w:pPr>
              <w:spacing w:after="0" w:line="240" w:lineRule="auto"/>
              <w:jc w:val="both"/>
              <w:rPr>
                <w:rFonts w:cs="Arial"/>
                <w:sz w:val="18"/>
                <w:szCs w:val="18"/>
              </w:rPr>
            </w:pPr>
            <w:r w:rsidRPr="002F05B9">
              <w:rPr>
                <w:rFonts w:cs="Arial"/>
                <w:sz w:val="18"/>
                <w:szCs w:val="18"/>
              </w:rPr>
              <w:t>Pos/ C</w:t>
            </w:r>
          </w:p>
          <w:p w14:paraId="1149DBEE" w14:textId="77777777" w:rsidR="000923BB" w:rsidRPr="002F05B9" w:rsidRDefault="000923BB" w:rsidP="003A385F">
            <w:pPr>
              <w:spacing w:after="0" w:line="240" w:lineRule="auto"/>
              <w:jc w:val="both"/>
              <w:rPr>
                <w:rFonts w:cs="Arial"/>
                <w:sz w:val="18"/>
                <w:szCs w:val="18"/>
              </w:rPr>
            </w:pPr>
          </w:p>
          <w:p w14:paraId="5986E9F0" w14:textId="77777777" w:rsidR="000923BB" w:rsidRPr="002F05B9" w:rsidRDefault="000923BB" w:rsidP="003A385F">
            <w:pPr>
              <w:spacing w:after="0" w:line="240" w:lineRule="auto"/>
              <w:jc w:val="both"/>
              <w:rPr>
                <w:rFonts w:cs="Arial"/>
                <w:sz w:val="18"/>
                <w:szCs w:val="18"/>
              </w:rPr>
            </w:pPr>
            <w:r w:rsidRPr="002F05B9">
              <w:rPr>
                <w:rFonts w:cs="Arial"/>
                <w:sz w:val="18"/>
                <w:szCs w:val="18"/>
              </w:rPr>
              <w:t>Neg/ C</w:t>
            </w:r>
          </w:p>
          <w:p w14:paraId="27C98A09" w14:textId="77777777" w:rsidR="000923BB" w:rsidRPr="002F05B9" w:rsidRDefault="000923BB" w:rsidP="003A385F">
            <w:pPr>
              <w:spacing w:after="0" w:line="240" w:lineRule="auto"/>
              <w:jc w:val="both"/>
              <w:rPr>
                <w:rFonts w:cs="Arial"/>
                <w:sz w:val="18"/>
                <w:szCs w:val="18"/>
              </w:rPr>
            </w:pPr>
          </w:p>
        </w:tc>
      </w:tr>
    </w:tbl>
    <w:p w14:paraId="04CED42E" w14:textId="77777777" w:rsidR="000923BB" w:rsidRPr="00754632" w:rsidRDefault="000923BB" w:rsidP="000923BB">
      <w:pPr>
        <w:jc w:val="both"/>
        <w:rPr>
          <w:rFonts w:cs="Arial"/>
        </w:rPr>
      </w:pPr>
    </w:p>
    <w:p w14:paraId="0DAEA7E1" w14:textId="77777777" w:rsidR="00A43C02" w:rsidRDefault="00A43C02"/>
    <w:p w14:paraId="006B1AF0" w14:textId="77777777" w:rsidR="00A43C02" w:rsidRDefault="00A43C02"/>
    <w:p w14:paraId="27F52582" w14:textId="77777777" w:rsidR="00A43C02" w:rsidRDefault="00A43C02"/>
    <w:sectPr w:rsidR="00A43C02" w:rsidSect="00D35B8E">
      <w:pgSz w:w="11906" w:h="16838"/>
      <w:pgMar w:top="1440" w:right="1191" w:bottom="1440" w:left="232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14244" w14:textId="77777777" w:rsidR="006D699E" w:rsidRDefault="006D699E" w:rsidP="00A43C02">
      <w:pPr>
        <w:spacing w:after="0" w:line="240" w:lineRule="auto"/>
      </w:pPr>
      <w:r>
        <w:separator/>
      </w:r>
    </w:p>
  </w:endnote>
  <w:endnote w:type="continuationSeparator" w:id="0">
    <w:p w14:paraId="68247459" w14:textId="77777777" w:rsidR="006D699E" w:rsidRDefault="006D699E" w:rsidP="00A43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UOS Blake">
    <w:panose1 w:val="020B0503040000020004"/>
    <w:charset w:val="00"/>
    <w:family w:val="swiss"/>
    <w:pitch w:val="variable"/>
    <w:sig w:usb0="8000002F" w:usb1="4000004A" w:usb2="00000000" w:usb3="00000000" w:csb0="00000001" w:csb1="00000000"/>
  </w:font>
  <w:font w:name="Verdana">
    <w:panose1 w:val="020B0604030504040204"/>
    <w:charset w:val="00"/>
    <w:family w:val="swiss"/>
    <w:pitch w:val="variable"/>
    <w:sig w:usb0="A00006FF" w:usb1="4000205B" w:usb2="00000010" w:usb3="00000000" w:csb0="0000019F" w:csb1="00000000"/>
  </w:font>
  <w:font w:name="Monotype Sorts">
    <w:altName w:val="Segoe UI Symbol"/>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42111"/>
      <w:docPartObj>
        <w:docPartGallery w:val="Page Numbers (Bottom of Page)"/>
        <w:docPartUnique/>
      </w:docPartObj>
    </w:sdtPr>
    <w:sdtEndPr>
      <w:rPr>
        <w:rFonts w:ascii="Arial" w:hAnsi="Arial" w:cs="Arial"/>
        <w:sz w:val="18"/>
        <w:szCs w:val="18"/>
      </w:rPr>
    </w:sdtEndPr>
    <w:sdtContent>
      <w:p w14:paraId="11DFE350" w14:textId="77777777" w:rsidR="001C117D" w:rsidRPr="00D44EEB" w:rsidRDefault="0093752A">
        <w:pPr>
          <w:pStyle w:val="Footer"/>
          <w:jc w:val="center"/>
          <w:rPr>
            <w:rFonts w:ascii="Arial" w:hAnsi="Arial" w:cs="Arial"/>
            <w:sz w:val="18"/>
            <w:szCs w:val="18"/>
          </w:rPr>
        </w:pPr>
        <w:r w:rsidRPr="00D44EEB">
          <w:rPr>
            <w:rFonts w:ascii="Arial" w:hAnsi="Arial" w:cs="Arial"/>
            <w:sz w:val="18"/>
            <w:szCs w:val="18"/>
          </w:rPr>
          <w:fldChar w:fldCharType="begin"/>
        </w:r>
        <w:r w:rsidR="001C117D" w:rsidRPr="00D44EEB">
          <w:rPr>
            <w:rFonts w:ascii="Arial" w:hAnsi="Arial" w:cs="Arial"/>
            <w:sz w:val="18"/>
            <w:szCs w:val="18"/>
          </w:rPr>
          <w:instrText xml:space="preserve"> PAGE   \* MERGEFORMAT </w:instrText>
        </w:r>
        <w:r w:rsidRPr="00D44EEB">
          <w:rPr>
            <w:rFonts w:ascii="Arial" w:hAnsi="Arial" w:cs="Arial"/>
            <w:sz w:val="18"/>
            <w:szCs w:val="18"/>
          </w:rPr>
          <w:fldChar w:fldCharType="separate"/>
        </w:r>
        <w:r w:rsidR="00787837">
          <w:rPr>
            <w:rFonts w:ascii="Arial" w:hAnsi="Arial" w:cs="Arial"/>
            <w:noProof/>
            <w:sz w:val="18"/>
            <w:szCs w:val="18"/>
          </w:rPr>
          <w:t>2</w:t>
        </w:r>
        <w:r w:rsidRPr="00D44EEB">
          <w:rPr>
            <w:rFonts w:ascii="Arial" w:hAnsi="Arial" w:cs="Arial"/>
            <w:sz w:val="18"/>
            <w:szCs w:val="18"/>
          </w:rPr>
          <w:fldChar w:fldCharType="end"/>
        </w:r>
      </w:p>
    </w:sdtContent>
  </w:sdt>
  <w:p w14:paraId="552036AC" w14:textId="77777777" w:rsidR="001C117D" w:rsidRDefault="001C11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A0824" w14:textId="77777777" w:rsidR="001C117D" w:rsidRDefault="0093752A" w:rsidP="003A385F">
    <w:pPr>
      <w:pStyle w:val="Footer"/>
      <w:framePr w:wrap="around" w:vAnchor="text" w:hAnchor="margin" w:xAlign="center" w:y="1"/>
      <w:rPr>
        <w:rStyle w:val="PageNumber"/>
      </w:rPr>
    </w:pPr>
    <w:r>
      <w:rPr>
        <w:rStyle w:val="PageNumber"/>
      </w:rPr>
      <w:fldChar w:fldCharType="begin"/>
    </w:r>
    <w:r w:rsidR="001C117D">
      <w:rPr>
        <w:rStyle w:val="PageNumber"/>
      </w:rPr>
      <w:instrText xml:space="preserve">PAGE  </w:instrText>
    </w:r>
    <w:r>
      <w:rPr>
        <w:rStyle w:val="PageNumber"/>
      </w:rPr>
      <w:fldChar w:fldCharType="end"/>
    </w:r>
  </w:p>
  <w:p w14:paraId="47A71A41" w14:textId="77777777" w:rsidR="001C117D" w:rsidRDefault="001C11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6B2DD" w14:textId="77777777" w:rsidR="001C117D" w:rsidRDefault="0093752A" w:rsidP="003A385F">
    <w:pPr>
      <w:pStyle w:val="Footer"/>
      <w:framePr w:wrap="around" w:vAnchor="text" w:hAnchor="margin" w:xAlign="center" w:y="1"/>
      <w:rPr>
        <w:rStyle w:val="PageNumber"/>
        <w:rFonts w:ascii="Arial" w:hAnsi="Arial" w:cs="Arial"/>
        <w:sz w:val="20"/>
        <w:szCs w:val="20"/>
      </w:rPr>
    </w:pPr>
    <w:r>
      <w:rPr>
        <w:rStyle w:val="PageNumber"/>
        <w:rFonts w:ascii="Arial" w:hAnsi="Arial" w:cs="Arial"/>
        <w:sz w:val="20"/>
        <w:szCs w:val="20"/>
      </w:rPr>
      <w:fldChar w:fldCharType="begin"/>
    </w:r>
    <w:r w:rsidR="001C117D">
      <w:rPr>
        <w:rStyle w:val="PageNumber"/>
        <w:rFonts w:ascii="Arial" w:hAnsi="Arial" w:cs="Arial"/>
        <w:sz w:val="20"/>
        <w:szCs w:val="20"/>
      </w:rPr>
      <w:instrText xml:space="preserve">PAGE  </w:instrText>
    </w:r>
    <w:r>
      <w:rPr>
        <w:rStyle w:val="PageNumber"/>
        <w:rFonts w:ascii="Arial" w:hAnsi="Arial" w:cs="Arial"/>
        <w:sz w:val="20"/>
        <w:szCs w:val="20"/>
      </w:rPr>
      <w:fldChar w:fldCharType="separate"/>
    </w:r>
    <w:r w:rsidR="00787837">
      <w:rPr>
        <w:rStyle w:val="PageNumber"/>
        <w:rFonts w:ascii="Arial" w:hAnsi="Arial" w:cs="Arial"/>
        <w:noProof/>
        <w:sz w:val="20"/>
        <w:szCs w:val="20"/>
      </w:rPr>
      <w:t>356</w:t>
    </w:r>
    <w:r>
      <w:rPr>
        <w:rStyle w:val="PageNumber"/>
        <w:rFonts w:ascii="Arial" w:hAnsi="Arial" w:cs="Arial"/>
        <w:sz w:val="20"/>
        <w:szCs w:val="20"/>
      </w:rPr>
      <w:fldChar w:fldCharType="end"/>
    </w:r>
  </w:p>
  <w:p w14:paraId="3D28A3EC" w14:textId="77777777" w:rsidR="001C117D" w:rsidRDefault="001C117D">
    <w:pPr>
      <w:pStyle w:val="Footer"/>
      <w:ind w:right="360"/>
    </w:pPr>
  </w:p>
  <w:p w14:paraId="5B257431" w14:textId="77777777" w:rsidR="001C117D" w:rsidRDefault="001C117D">
    <w:pPr>
      <w:pStyle w:val="Footer"/>
      <w:ind w:right="360"/>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90C4A" w14:textId="77777777" w:rsidR="006D699E" w:rsidRDefault="006D699E" w:rsidP="00A43C02">
      <w:pPr>
        <w:spacing w:after="0" w:line="240" w:lineRule="auto"/>
      </w:pPr>
      <w:r>
        <w:separator/>
      </w:r>
    </w:p>
  </w:footnote>
  <w:footnote w:type="continuationSeparator" w:id="0">
    <w:p w14:paraId="163870A4" w14:textId="77777777" w:rsidR="006D699E" w:rsidRDefault="006D699E" w:rsidP="00A43C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41C54"/>
    <w:multiLevelType w:val="hybridMultilevel"/>
    <w:tmpl w:val="E2A0BCA2"/>
    <w:lvl w:ilvl="0" w:tplc="08090001">
      <w:start w:val="1"/>
      <w:numFmt w:val="bullet"/>
      <w:lvlText w:val=""/>
      <w:lvlJc w:val="left"/>
      <w:pPr>
        <w:tabs>
          <w:tab w:val="num" w:pos="720"/>
        </w:tabs>
        <w:ind w:left="720" w:hanging="360"/>
      </w:pPr>
      <w:rPr>
        <w:rFonts w:ascii="Symbol" w:hAnsi="Symbol"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Times New Roman" w:hint="default"/>
      </w:rPr>
    </w:lvl>
    <w:lvl w:ilvl="3" w:tplc="08090001">
      <w:start w:val="1"/>
      <w:numFmt w:val="bullet"/>
      <w:lvlText w:val=""/>
      <w:lvlJc w:val="left"/>
      <w:pPr>
        <w:tabs>
          <w:tab w:val="num" w:pos="2880"/>
        </w:tabs>
        <w:ind w:left="2880" w:hanging="360"/>
      </w:pPr>
      <w:rPr>
        <w:rFonts w:ascii="Symbol" w:hAnsi="Symbol" w:cs="Times New Roman"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Times New Roman" w:hint="default"/>
      </w:rPr>
    </w:lvl>
    <w:lvl w:ilvl="6" w:tplc="08090001">
      <w:start w:val="1"/>
      <w:numFmt w:val="bullet"/>
      <w:lvlText w:val=""/>
      <w:lvlJc w:val="left"/>
      <w:pPr>
        <w:tabs>
          <w:tab w:val="num" w:pos="5040"/>
        </w:tabs>
        <w:ind w:left="5040" w:hanging="360"/>
      </w:pPr>
      <w:rPr>
        <w:rFonts w:ascii="Symbol" w:hAnsi="Symbol" w:cs="Times New Roman"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Times New Roman" w:hint="default"/>
      </w:rPr>
    </w:lvl>
  </w:abstractNum>
  <w:abstractNum w:abstractNumId="1" w15:restartNumberingAfterBreak="0">
    <w:nsid w:val="090F473C"/>
    <w:multiLevelType w:val="hybridMultilevel"/>
    <w:tmpl w:val="C5FA85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4D2010"/>
    <w:multiLevelType w:val="hybridMultilevel"/>
    <w:tmpl w:val="8EB641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D95828"/>
    <w:multiLevelType w:val="hybridMultilevel"/>
    <w:tmpl w:val="691836B0"/>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1441F5B"/>
    <w:multiLevelType w:val="hybridMultilevel"/>
    <w:tmpl w:val="54C4508E"/>
    <w:lvl w:ilvl="0" w:tplc="08090001">
      <w:start w:val="1"/>
      <w:numFmt w:val="bullet"/>
      <w:lvlText w:val=""/>
      <w:lvlJc w:val="left"/>
      <w:pPr>
        <w:tabs>
          <w:tab w:val="num" w:pos="720"/>
        </w:tabs>
        <w:ind w:left="720" w:hanging="360"/>
      </w:pPr>
      <w:rPr>
        <w:rFonts w:ascii="Symbol" w:hAnsi="Symbol"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Times New Roman" w:hint="default"/>
      </w:rPr>
    </w:lvl>
    <w:lvl w:ilvl="3" w:tplc="08090001">
      <w:start w:val="1"/>
      <w:numFmt w:val="bullet"/>
      <w:lvlText w:val=""/>
      <w:lvlJc w:val="left"/>
      <w:pPr>
        <w:tabs>
          <w:tab w:val="num" w:pos="2880"/>
        </w:tabs>
        <w:ind w:left="2880" w:hanging="360"/>
      </w:pPr>
      <w:rPr>
        <w:rFonts w:ascii="Symbol" w:hAnsi="Symbol" w:cs="Times New Roman"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Times New Roman" w:hint="default"/>
      </w:rPr>
    </w:lvl>
    <w:lvl w:ilvl="6" w:tplc="08090001">
      <w:start w:val="1"/>
      <w:numFmt w:val="bullet"/>
      <w:lvlText w:val=""/>
      <w:lvlJc w:val="left"/>
      <w:pPr>
        <w:tabs>
          <w:tab w:val="num" w:pos="5040"/>
        </w:tabs>
        <w:ind w:left="5040" w:hanging="360"/>
      </w:pPr>
      <w:rPr>
        <w:rFonts w:ascii="Symbol" w:hAnsi="Symbol" w:cs="Times New Roman"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Times New Roman" w:hint="default"/>
      </w:rPr>
    </w:lvl>
  </w:abstractNum>
  <w:abstractNum w:abstractNumId="5" w15:restartNumberingAfterBreak="0">
    <w:nsid w:val="11B46773"/>
    <w:multiLevelType w:val="hybridMultilevel"/>
    <w:tmpl w:val="0D0C0552"/>
    <w:lvl w:ilvl="0" w:tplc="08090001">
      <w:start w:val="1"/>
      <w:numFmt w:val="bullet"/>
      <w:lvlText w:val=""/>
      <w:lvlJc w:val="left"/>
      <w:pPr>
        <w:tabs>
          <w:tab w:val="num" w:pos="720"/>
        </w:tabs>
        <w:ind w:left="720" w:hanging="360"/>
      </w:pPr>
      <w:rPr>
        <w:rFonts w:ascii="Symbol" w:hAnsi="Symbol"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Times New Roman" w:hint="default"/>
      </w:rPr>
    </w:lvl>
    <w:lvl w:ilvl="3" w:tplc="08090001">
      <w:start w:val="1"/>
      <w:numFmt w:val="bullet"/>
      <w:lvlText w:val=""/>
      <w:lvlJc w:val="left"/>
      <w:pPr>
        <w:tabs>
          <w:tab w:val="num" w:pos="2880"/>
        </w:tabs>
        <w:ind w:left="2880" w:hanging="360"/>
      </w:pPr>
      <w:rPr>
        <w:rFonts w:ascii="Symbol" w:hAnsi="Symbol" w:cs="Times New Roman"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Times New Roman" w:hint="default"/>
      </w:rPr>
    </w:lvl>
    <w:lvl w:ilvl="6" w:tplc="08090001">
      <w:start w:val="1"/>
      <w:numFmt w:val="bullet"/>
      <w:lvlText w:val=""/>
      <w:lvlJc w:val="left"/>
      <w:pPr>
        <w:tabs>
          <w:tab w:val="num" w:pos="5040"/>
        </w:tabs>
        <w:ind w:left="5040" w:hanging="360"/>
      </w:pPr>
      <w:rPr>
        <w:rFonts w:ascii="Symbol" w:hAnsi="Symbol" w:cs="Times New Roman"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Times New Roman" w:hint="default"/>
      </w:rPr>
    </w:lvl>
  </w:abstractNum>
  <w:abstractNum w:abstractNumId="6" w15:restartNumberingAfterBreak="0">
    <w:nsid w:val="15ED6386"/>
    <w:multiLevelType w:val="hybridMultilevel"/>
    <w:tmpl w:val="C980AD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63526B0"/>
    <w:multiLevelType w:val="hybridMultilevel"/>
    <w:tmpl w:val="4530A734"/>
    <w:lvl w:ilvl="0" w:tplc="04090001">
      <w:start w:val="1"/>
      <w:numFmt w:val="bullet"/>
      <w:lvlText w:val=""/>
      <w:lvlJc w:val="left"/>
      <w:pPr>
        <w:tabs>
          <w:tab w:val="num" w:pos="720"/>
        </w:tabs>
        <w:ind w:left="720" w:hanging="360"/>
      </w:pPr>
      <w:rPr>
        <w:rFonts w:ascii="Symbol" w:hAnsi="Symbol" w:hint="default"/>
      </w:rPr>
    </w:lvl>
    <w:lvl w:ilvl="1" w:tplc="736A2C7C">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9C619A"/>
    <w:multiLevelType w:val="hybridMultilevel"/>
    <w:tmpl w:val="356CE89E"/>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15:restartNumberingAfterBreak="0">
    <w:nsid w:val="1D7F4958"/>
    <w:multiLevelType w:val="hybridMultilevel"/>
    <w:tmpl w:val="EF400064"/>
    <w:lvl w:ilvl="0" w:tplc="4A60A2DC">
      <w:start w:val="1"/>
      <w:numFmt w:val="bullet"/>
      <w:pStyle w:val="Bullets"/>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4A6E5A"/>
    <w:multiLevelType w:val="hybridMultilevel"/>
    <w:tmpl w:val="78469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F0702A"/>
    <w:multiLevelType w:val="hybridMultilevel"/>
    <w:tmpl w:val="98DA7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1E1F4C"/>
    <w:multiLevelType w:val="hybridMultilevel"/>
    <w:tmpl w:val="DEF4EFEA"/>
    <w:lvl w:ilvl="0" w:tplc="983A991A">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9B2429"/>
    <w:multiLevelType w:val="hybridMultilevel"/>
    <w:tmpl w:val="065EA8E0"/>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4" w15:restartNumberingAfterBreak="0">
    <w:nsid w:val="2C311593"/>
    <w:multiLevelType w:val="hybridMultilevel"/>
    <w:tmpl w:val="16E80BB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cs="Times New Roman" w:hint="default"/>
      </w:rPr>
    </w:lvl>
    <w:lvl w:ilvl="3" w:tplc="08090001">
      <w:start w:val="1"/>
      <w:numFmt w:val="bullet"/>
      <w:lvlText w:val=""/>
      <w:lvlJc w:val="left"/>
      <w:pPr>
        <w:tabs>
          <w:tab w:val="num" w:pos="2520"/>
        </w:tabs>
        <w:ind w:left="2520" w:hanging="360"/>
      </w:pPr>
      <w:rPr>
        <w:rFonts w:ascii="Symbol" w:hAnsi="Symbol" w:cs="Times New Roman"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cs="Times New Roman" w:hint="default"/>
      </w:rPr>
    </w:lvl>
    <w:lvl w:ilvl="6" w:tplc="08090001">
      <w:start w:val="1"/>
      <w:numFmt w:val="bullet"/>
      <w:lvlText w:val=""/>
      <w:lvlJc w:val="left"/>
      <w:pPr>
        <w:tabs>
          <w:tab w:val="num" w:pos="4680"/>
        </w:tabs>
        <w:ind w:left="4680" w:hanging="360"/>
      </w:pPr>
      <w:rPr>
        <w:rFonts w:ascii="Symbol" w:hAnsi="Symbol" w:cs="Times New Roman"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cs="Times New Roman" w:hint="default"/>
      </w:rPr>
    </w:lvl>
  </w:abstractNum>
  <w:abstractNum w:abstractNumId="15" w15:restartNumberingAfterBreak="0">
    <w:nsid w:val="33254D8D"/>
    <w:multiLevelType w:val="hybridMultilevel"/>
    <w:tmpl w:val="D8E8BF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A3114E"/>
    <w:multiLevelType w:val="hybridMultilevel"/>
    <w:tmpl w:val="24A078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402258"/>
    <w:multiLevelType w:val="hybridMultilevel"/>
    <w:tmpl w:val="A5A431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A54054"/>
    <w:multiLevelType w:val="hybridMultilevel"/>
    <w:tmpl w:val="24BEFFE2"/>
    <w:lvl w:ilvl="0" w:tplc="04090005">
      <w:start w:val="1"/>
      <w:numFmt w:val="bullet"/>
      <w:lvlText w:val=""/>
      <w:lvlJc w:val="left"/>
      <w:pPr>
        <w:tabs>
          <w:tab w:val="num" w:pos="294"/>
        </w:tabs>
        <w:ind w:left="294" w:hanging="360"/>
      </w:pPr>
      <w:rPr>
        <w:rFonts w:ascii="Wingdings" w:hAnsi="Wingdings" w:hint="default"/>
      </w:rPr>
    </w:lvl>
    <w:lvl w:ilvl="1" w:tplc="04090003" w:tentative="1">
      <w:start w:val="1"/>
      <w:numFmt w:val="bullet"/>
      <w:lvlText w:val="o"/>
      <w:lvlJc w:val="left"/>
      <w:pPr>
        <w:tabs>
          <w:tab w:val="num" w:pos="1014"/>
        </w:tabs>
        <w:ind w:left="1014" w:hanging="360"/>
      </w:pPr>
      <w:rPr>
        <w:rFonts w:ascii="Courier New" w:hAnsi="Courier New" w:cs="Courier New" w:hint="default"/>
      </w:rPr>
    </w:lvl>
    <w:lvl w:ilvl="2" w:tplc="04090005" w:tentative="1">
      <w:start w:val="1"/>
      <w:numFmt w:val="bullet"/>
      <w:lvlText w:val=""/>
      <w:lvlJc w:val="left"/>
      <w:pPr>
        <w:tabs>
          <w:tab w:val="num" w:pos="1734"/>
        </w:tabs>
        <w:ind w:left="1734" w:hanging="360"/>
      </w:pPr>
      <w:rPr>
        <w:rFonts w:ascii="Wingdings" w:hAnsi="Wingdings" w:hint="default"/>
      </w:rPr>
    </w:lvl>
    <w:lvl w:ilvl="3" w:tplc="04090001" w:tentative="1">
      <w:start w:val="1"/>
      <w:numFmt w:val="bullet"/>
      <w:lvlText w:val=""/>
      <w:lvlJc w:val="left"/>
      <w:pPr>
        <w:tabs>
          <w:tab w:val="num" w:pos="2454"/>
        </w:tabs>
        <w:ind w:left="2454" w:hanging="360"/>
      </w:pPr>
      <w:rPr>
        <w:rFonts w:ascii="Symbol" w:hAnsi="Symbol" w:hint="default"/>
      </w:rPr>
    </w:lvl>
    <w:lvl w:ilvl="4" w:tplc="04090003" w:tentative="1">
      <w:start w:val="1"/>
      <w:numFmt w:val="bullet"/>
      <w:lvlText w:val="o"/>
      <w:lvlJc w:val="left"/>
      <w:pPr>
        <w:tabs>
          <w:tab w:val="num" w:pos="3174"/>
        </w:tabs>
        <w:ind w:left="3174" w:hanging="360"/>
      </w:pPr>
      <w:rPr>
        <w:rFonts w:ascii="Courier New" w:hAnsi="Courier New" w:cs="Courier New" w:hint="default"/>
      </w:rPr>
    </w:lvl>
    <w:lvl w:ilvl="5" w:tplc="04090005" w:tentative="1">
      <w:start w:val="1"/>
      <w:numFmt w:val="bullet"/>
      <w:lvlText w:val=""/>
      <w:lvlJc w:val="left"/>
      <w:pPr>
        <w:tabs>
          <w:tab w:val="num" w:pos="3894"/>
        </w:tabs>
        <w:ind w:left="3894" w:hanging="360"/>
      </w:pPr>
      <w:rPr>
        <w:rFonts w:ascii="Wingdings" w:hAnsi="Wingdings" w:hint="default"/>
      </w:rPr>
    </w:lvl>
    <w:lvl w:ilvl="6" w:tplc="04090001" w:tentative="1">
      <w:start w:val="1"/>
      <w:numFmt w:val="bullet"/>
      <w:lvlText w:val=""/>
      <w:lvlJc w:val="left"/>
      <w:pPr>
        <w:tabs>
          <w:tab w:val="num" w:pos="4614"/>
        </w:tabs>
        <w:ind w:left="4614" w:hanging="360"/>
      </w:pPr>
      <w:rPr>
        <w:rFonts w:ascii="Symbol" w:hAnsi="Symbol" w:hint="default"/>
      </w:rPr>
    </w:lvl>
    <w:lvl w:ilvl="7" w:tplc="04090003" w:tentative="1">
      <w:start w:val="1"/>
      <w:numFmt w:val="bullet"/>
      <w:lvlText w:val="o"/>
      <w:lvlJc w:val="left"/>
      <w:pPr>
        <w:tabs>
          <w:tab w:val="num" w:pos="5334"/>
        </w:tabs>
        <w:ind w:left="5334" w:hanging="360"/>
      </w:pPr>
      <w:rPr>
        <w:rFonts w:ascii="Courier New" w:hAnsi="Courier New" w:cs="Courier New" w:hint="default"/>
      </w:rPr>
    </w:lvl>
    <w:lvl w:ilvl="8" w:tplc="04090005" w:tentative="1">
      <w:start w:val="1"/>
      <w:numFmt w:val="bullet"/>
      <w:lvlText w:val=""/>
      <w:lvlJc w:val="left"/>
      <w:pPr>
        <w:tabs>
          <w:tab w:val="num" w:pos="6054"/>
        </w:tabs>
        <w:ind w:left="6054" w:hanging="360"/>
      </w:pPr>
      <w:rPr>
        <w:rFonts w:ascii="Wingdings" w:hAnsi="Wingdings" w:hint="default"/>
      </w:rPr>
    </w:lvl>
  </w:abstractNum>
  <w:abstractNum w:abstractNumId="19" w15:restartNumberingAfterBreak="0">
    <w:nsid w:val="3A1E3F41"/>
    <w:multiLevelType w:val="hybridMultilevel"/>
    <w:tmpl w:val="C720A8B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293AF7"/>
    <w:multiLevelType w:val="hybridMultilevel"/>
    <w:tmpl w:val="C7CA2C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DD25906"/>
    <w:multiLevelType w:val="hybridMultilevel"/>
    <w:tmpl w:val="F30A6966"/>
    <w:lvl w:ilvl="0" w:tplc="F15CE646">
      <w:start w:val="1"/>
      <w:numFmt w:val="bullet"/>
      <w:lvlText w:val=""/>
      <w:lvlJc w:val="left"/>
      <w:pPr>
        <w:tabs>
          <w:tab w:val="num" w:pos="288"/>
        </w:tabs>
        <w:ind w:left="288" w:hanging="288"/>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150D0D"/>
    <w:multiLevelType w:val="hybridMultilevel"/>
    <w:tmpl w:val="B080A7C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A548E6"/>
    <w:multiLevelType w:val="hybridMultilevel"/>
    <w:tmpl w:val="A56EFB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6E6EDC"/>
    <w:multiLevelType w:val="singleLevel"/>
    <w:tmpl w:val="0809000F"/>
    <w:lvl w:ilvl="0">
      <w:start w:val="1"/>
      <w:numFmt w:val="decimal"/>
      <w:lvlText w:val="%1."/>
      <w:lvlJc w:val="left"/>
      <w:pPr>
        <w:tabs>
          <w:tab w:val="num" w:pos="644"/>
        </w:tabs>
        <w:ind w:left="644" w:hanging="360"/>
      </w:pPr>
    </w:lvl>
  </w:abstractNum>
  <w:abstractNum w:abstractNumId="25" w15:restartNumberingAfterBreak="0">
    <w:nsid w:val="575F1253"/>
    <w:multiLevelType w:val="hybridMultilevel"/>
    <w:tmpl w:val="64744B4C"/>
    <w:lvl w:ilvl="0" w:tplc="736A2C7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415E11"/>
    <w:multiLevelType w:val="hybridMultilevel"/>
    <w:tmpl w:val="F2A6704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94B2397"/>
    <w:multiLevelType w:val="hybridMultilevel"/>
    <w:tmpl w:val="2AF698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0644C4"/>
    <w:multiLevelType w:val="hybridMultilevel"/>
    <w:tmpl w:val="03403146"/>
    <w:lvl w:ilvl="0" w:tplc="B94AC758">
      <w:start w:val="1"/>
      <w:numFmt w:val="decimal"/>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6FCF226F"/>
    <w:multiLevelType w:val="hybridMultilevel"/>
    <w:tmpl w:val="035ACCE2"/>
    <w:lvl w:ilvl="0" w:tplc="04090001">
      <w:start w:val="1"/>
      <w:numFmt w:val="bullet"/>
      <w:lvlText w:val=""/>
      <w:lvlJc w:val="left"/>
      <w:pPr>
        <w:tabs>
          <w:tab w:val="num" w:pos="720"/>
        </w:tabs>
        <w:ind w:left="720" w:hanging="360"/>
      </w:pPr>
      <w:rPr>
        <w:rFonts w:ascii="Symbol" w:hAnsi="Symbol" w:hint="default"/>
      </w:rPr>
    </w:lvl>
    <w:lvl w:ilvl="1" w:tplc="1F7C4DCC">
      <w:start w:val="1"/>
      <w:numFmt w:val="bullet"/>
      <w:lvlText w:val=""/>
      <w:lvlJc w:val="left"/>
      <w:pPr>
        <w:tabs>
          <w:tab w:val="num" w:pos="1296"/>
        </w:tabs>
        <w:ind w:left="1296" w:hanging="216"/>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C807FE"/>
    <w:multiLevelType w:val="hybridMultilevel"/>
    <w:tmpl w:val="B070425C"/>
    <w:lvl w:ilvl="0" w:tplc="0809000F">
      <w:start w:val="1"/>
      <w:numFmt w:val="decimal"/>
      <w:lvlText w:val="%1."/>
      <w:lvlJc w:val="left"/>
      <w:pPr>
        <w:tabs>
          <w:tab w:val="num" w:pos="1070"/>
        </w:tabs>
        <w:ind w:left="1070" w:hanging="360"/>
      </w:pPr>
    </w:lvl>
    <w:lvl w:ilvl="1" w:tplc="08090019" w:tentative="1">
      <w:start w:val="1"/>
      <w:numFmt w:val="lowerLetter"/>
      <w:lvlText w:val="%2."/>
      <w:lvlJc w:val="left"/>
      <w:pPr>
        <w:tabs>
          <w:tab w:val="num" w:pos="1790"/>
        </w:tabs>
        <w:ind w:left="1790" w:hanging="360"/>
      </w:pPr>
    </w:lvl>
    <w:lvl w:ilvl="2" w:tplc="0809001B" w:tentative="1">
      <w:start w:val="1"/>
      <w:numFmt w:val="lowerRoman"/>
      <w:lvlText w:val="%3."/>
      <w:lvlJc w:val="right"/>
      <w:pPr>
        <w:tabs>
          <w:tab w:val="num" w:pos="2510"/>
        </w:tabs>
        <w:ind w:left="2510" w:hanging="180"/>
      </w:pPr>
    </w:lvl>
    <w:lvl w:ilvl="3" w:tplc="0809000F" w:tentative="1">
      <w:start w:val="1"/>
      <w:numFmt w:val="decimal"/>
      <w:lvlText w:val="%4."/>
      <w:lvlJc w:val="left"/>
      <w:pPr>
        <w:tabs>
          <w:tab w:val="num" w:pos="3230"/>
        </w:tabs>
        <w:ind w:left="3230" w:hanging="360"/>
      </w:pPr>
    </w:lvl>
    <w:lvl w:ilvl="4" w:tplc="08090019" w:tentative="1">
      <w:start w:val="1"/>
      <w:numFmt w:val="lowerLetter"/>
      <w:lvlText w:val="%5."/>
      <w:lvlJc w:val="left"/>
      <w:pPr>
        <w:tabs>
          <w:tab w:val="num" w:pos="3950"/>
        </w:tabs>
        <w:ind w:left="3950" w:hanging="360"/>
      </w:pPr>
    </w:lvl>
    <w:lvl w:ilvl="5" w:tplc="0809001B" w:tentative="1">
      <w:start w:val="1"/>
      <w:numFmt w:val="lowerRoman"/>
      <w:lvlText w:val="%6."/>
      <w:lvlJc w:val="right"/>
      <w:pPr>
        <w:tabs>
          <w:tab w:val="num" w:pos="4670"/>
        </w:tabs>
        <w:ind w:left="4670" w:hanging="180"/>
      </w:pPr>
    </w:lvl>
    <w:lvl w:ilvl="6" w:tplc="0809000F" w:tentative="1">
      <w:start w:val="1"/>
      <w:numFmt w:val="decimal"/>
      <w:lvlText w:val="%7."/>
      <w:lvlJc w:val="left"/>
      <w:pPr>
        <w:tabs>
          <w:tab w:val="num" w:pos="5390"/>
        </w:tabs>
        <w:ind w:left="5390" w:hanging="360"/>
      </w:pPr>
    </w:lvl>
    <w:lvl w:ilvl="7" w:tplc="08090019" w:tentative="1">
      <w:start w:val="1"/>
      <w:numFmt w:val="lowerLetter"/>
      <w:lvlText w:val="%8."/>
      <w:lvlJc w:val="left"/>
      <w:pPr>
        <w:tabs>
          <w:tab w:val="num" w:pos="6110"/>
        </w:tabs>
        <w:ind w:left="6110" w:hanging="360"/>
      </w:pPr>
    </w:lvl>
    <w:lvl w:ilvl="8" w:tplc="0809001B" w:tentative="1">
      <w:start w:val="1"/>
      <w:numFmt w:val="lowerRoman"/>
      <w:lvlText w:val="%9."/>
      <w:lvlJc w:val="right"/>
      <w:pPr>
        <w:tabs>
          <w:tab w:val="num" w:pos="6830"/>
        </w:tabs>
        <w:ind w:left="6830" w:hanging="180"/>
      </w:pPr>
    </w:lvl>
  </w:abstractNum>
  <w:abstractNum w:abstractNumId="31" w15:restartNumberingAfterBreak="0">
    <w:nsid w:val="771F3935"/>
    <w:multiLevelType w:val="hybridMultilevel"/>
    <w:tmpl w:val="4A4250E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089930662">
    <w:abstractNumId w:val="24"/>
  </w:num>
  <w:num w:numId="2" w16cid:durableId="2135711474">
    <w:abstractNumId w:val="6"/>
  </w:num>
  <w:num w:numId="3" w16cid:durableId="747927189">
    <w:abstractNumId w:val="21"/>
  </w:num>
  <w:num w:numId="4" w16cid:durableId="2074574171">
    <w:abstractNumId w:val="20"/>
  </w:num>
  <w:num w:numId="5" w16cid:durableId="2041199091">
    <w:abstractNumId w:val="30"/>
  </w:num>
  <w:num w:numId="6" w16cid:durableId="180243387">
    <w:abstractNumId w:val="5"/>
  </w:num>
  <w:num w:numId="7" w16cid:durableId="1474251162">
    <w:abstractNumId w:val="14"/>
  </w:num>
  <w:num w:numId="8" w16cid:durableId="560101045">
    <w:abstractNumId w:val="4"/>
  </w:num>
  <w:num w:numId="9" w16cid:durableId="109709605">
    <w:abstractNumId w:val="0"/>
  </w:num>
  <w:num w:numId="10" w16cid:durableId="1833836683">
    <w:abstractNumId w:val="13"/>
  </w:num>
  <w:num w:numId="11" w16cid:durableId="1320769075">
    <w:abstractNumId w:val="15"/>
  </w:num>
  <w:num w:numId="12" w16cid:durableId="273437814">
    <w:abstractNumId w:val="29"/>
  </w:num>
  <w:num w:numId="13" w16cid:durableId="515191375">
    <w:abstractNumId w:val="1"/>
  </w:num>
  <w:num w:numId="14" w16cid:durableId="2100787977">
    <w:abstractNumId w:val="7"/>
  </w:num>
  <w:num w:numId="15" w16cid:durableId="1148087093">
    <w:abstractNumId w:val="25"/>
  </w:num>
  <w:num w:numId="16" w16cid:durableId="868958789">
    <w:abstractNumId w:val="18"/>
  </w:num>
  <w:num w:numId="17" w16cid:durableId="1311865294">
    <w:abstractNumId w:val="9"/>
  </w:num>
  <w:num w:numId="18" w16cid:durableId="1852984151">
    <w:abstractNumId w:val="2"/>
  </w:num>
  <w:num w:numId="19" w16cid:durableId="79497139">
    <w:abstractNumId w:val="22"/>
  </w:num>
  <w:num w:numId="20" w16cid:durableId="1488477845">
    <w:abstractNumId w:val="26"/>
  </w:num>
  <w:num w:numId="21" w16cid:durableId="2133593522">
    <w:abstractNumId w:val="31"/>
  </w:num>
  <w:num w:numId="22" w16cid:durableId="757138701">
    <w:abstractNumId w:val="28"/>
  </w:num>
  <w:num w:numId="23" w16cid:durableId="838085947">
    <w:abstractNumId w:val="27"/>
  </w:num>
  <w:num w:numId="24" w16cid:durableId="700276612">
    <w:abstractNumId w:val="3"/>
  </w:num>
  <w:num w:numId="25" w16cid:durableId="1023167244">
    <w:abstractNumId w:val="8"/>
  </w:num>
  <w:num w:numId="26" w16cid:durableId="137453312">
    <w:abstractNumId w:val="17"/>
  </w:num>
  <w:num w:numId="27" w16cid:durableId="537012718">
    <w:abstractNumId w:val="19"/>
  </w:num>
  <w:num w:numId="28" w16cid:durableId="280496943">
    <w:abstractNumId w:val="16"/>
  </w:num>
  <w:num w:numId="29" w16cid:durableId="79911939">
    <w:abstractNumId w:val="23"/>
  </w:num>
  <w:num w:numId="30" w16cid:durableId="1432823023">
    <w:abstractNumId w:val="11"/>
  </w:num>
  <w:num w:numId="31" w16cid:durableId="973874312">
    <w:abstractNumId w:val="12"/>
  </w:num>
  <w:num w:numId="32" w16cid:durableId="1063455420">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8EF"/>
    <w:rsid w:val="00003011"/>
    <w:rsid w:val="000049EC"/>
    <w:rsid w:val="0000518E"/>
    <w:rsid w:val="00012081"/>
    <w:rsid w:val="0002369A"/>
    <w:rsid w:val="00026EFF"/>
    <w:rsid w:val="000307F1"/>
    <w:rsid w:val="00030FD0"/>
    <w:rsid w:val="00032C0B"/>
    <w:rsid w:val="000332AF"/>
    <w:rsid w:val="0003584D"/>
    <w:rsid w:val="00041664"/>
    <w:rsid w:val="000436CC"/>
    <w:rsid w:val="00050609"/>
    <w:rsid w:val="0005141D"/>
    <w:rsid w:val="000520F8"/>
    <w:rsid w:val="000533FB"/>
    <w:rsid w:val="0005430A"/>
    <w:rsid w:val="0006237E"/>
    <w:rsid w:val="0006333D"/>
    <w:rsid w:val="000646C3"/>
    <w:rsid w:val="000713E8"/>
    <w:rsid w:val="00073871"/>
    <w:rsid w:val="00074678"/>
    <w:rsid w:val="000766DF"/>
    <w:rsid w:val="00087679"/>
    <w:rsid w:val="00087A74"/>
    <w:rsid w:val="00090204"/>
    <w:rsid w:val="000923BB"/>
    <w:rsid w:val="00097367"/>
    <w:rsid w:val="000A04EF"/>
    <w:rsid w:val="000A2985"/>
    <w:rsid w:val="000B1EDC"/>
    <w:rsid w:val="000B434E"/>
    <w:rsid w:val="000C1B3B"/>
    <w:rsid w:val="000D3997"/>
    <w:rsid w:val="000F7050"/>
    <w:rsid w:val="0010023A"/>
    <w:rsid w:val="00102683"/>
    <w:rsid w:val="00107349"/>
    <w:rsid w:val="0011130E"/>
    <w:rsid w:val="00113A1D"/>
    <w:rsid w:val="0012183B"/>
    <w:rsid w:val="001222B0"/>
    <w:rsid w:val="0012366B"/>
    <w:rsid w:val="00133AAC"/>
    <w:rsid w:val="00145C36"/>
    <w:rsid w:val="00151422"/>
    <w:rsid w:val="00151445"/>
    <w:rsid w:val="001576D2"/>
    <w:rsid w:val="00160189"/>
    <w:rsid w:val="00162819"/>
    <w:rsid w:val="00165EC5"/>
    <w:rsid w:val="00167A35"/>
    <w:rsid w:val="00171904"/>
    <w:rsid w:val="00182288"/>
    <w:rsid w:val="00183F6D"/>
    <w:rsid w:val="001858A7"/>
    <w:rsid w:val="001941A2"/>
    <w:rsid w:val="001960CF"/>
    <w:rsid w:val="001A1E00"/>
    <w:rsid w:val="001A499C"/>
    <w:rsid w:val="001A6219"/>
    <w:rsid w:val="001B160A"/>
    <w:rsid w:val="001C117D"/>
    <w:rsid w:val="001C4397"/>
    <w:rsid w:val="001C4E98"/>
    <w:rsid w:val="001C5D08"/>
    <w:rsid w:val="001D1714"/>
    <w:rsid w:val="001D1A45"/>
    <w:rsid w:val="001F18D0"/>
    <w:rsid w:val="001F41C1"/>
    <w:rsid w:val="001F5869"/>
    <w:rsid w:val="0021182A"/>
    <w:rsid w:val="00220056"/>
    <w:rsid w:val="002203AF"/>
    <w:rsid w:val="00220E20"/>
    <w:rsid w:val="00223650"/>
    <w:rsid w:val="002271CC"/>
    <w:rsid w:val="00233347"/>
    <w:rsid w:val="00234824"/>
    <w:rsid w:val="00244FE6"/>
    <w:rsid w:val="0025014E"/>
    <w:rsid w:val="002513A0"/>
    <w:rsid w:val="00263104"/>
    <w:rsid w:val="00273490"/>
    <w:rsid w:val="00275584"/>
    <w:rsid w:val="002770D3"/>
    <w:rsid w:val="002805B8"/>
    <w:rsid w:val="00280E2B"/>
    <w:rsid w:val="00282EAD"/>
    <w:rsid w:val="002831F5"/>
    <w:rsid w:val="00283240"/>
    <w:rsid w:val="00293441"/>
    <w:rsid w:val="00296F3D"/>
    <w:rsid w:val="002A300B"/>
    <w:rsid w:val="002A52A5"/>
    <w:rsid w:val="002A588F"/>
    <w:rsid w:val="002B62AE"/>
    <w:rsid w:val="002C52B4"/>
    <w:rsid w:val="002D6DC5"/>
    <w:rsid w:val="002E5971"/>
    <w:rsid w:val="002F13B0"/>
    <w:rsid w:val="002F6473"/>
    <w:rsid w:val="003004D6"/>
    <w:rsid w:val="003052E6"/>
    <w:rsid w:val="00305A11"/>
    <w:rsid w:val="003079D8"/>
    <w:rsid w:val="0031249D"/>
    <w:rsid w:val="00312F33"/>
    <w:rsid w:val="00315DA5"/>
    <w:rsid w:val="00333175"/>
    <w:rsid w:val="003355A0"/>
    <w:rsid w:val="00340D55"/>
    <w:rsid w:val="00350604"/>
    <w:rsid w:val="00356CBE"/>
    <w:rsid w:val="00361877"/>
    <w:rsid w:val="00365E22"/>
    <w:rsid w:val="003677DB"/>
    <w:rsid w:val="00375956"/>
    <w:rsid w:val="003A385F"/>
    <w:rsid w:val="003B2132"/>
    <w:rsid w:val="003B3C3A"/>
    <w:rsid w:val="003B598F"/>
    <w:rsid w:val="003B7917"/>
    <w:rsid w:val="003C12FD"/>
    <w:rsid w:val="003C3ADF"/>
    <w:rsid w:val="003D348D"/>
    <w:rsid w:val="003E1FB1"/>
    <w:rsid w:val="003E202C"/>
    <w:rsid w:val="003E4118"/>
    <w:rsid w:val="003E4BA7"/>
    <w:rsid w:val="003E5C7B"/>
    <w:rsid w:val="003E60B9"/>
    <w:rsid w:val="003E6D67"/>
    <w:rsid w:val="003E705A"/>
    <w:rsid w:val="003F2772"/>
    <w:rsid w:val="003F2BB4"/>
    <w:rsid w:val="004032C1"/>
    <w:rsid w:val="0040430B"/>
    <w:rsid w:val="00404794"/>
    <w:rsid w:val="00404D7D"/>
    <w:rsid w:val="00413884"/>
    <w:rsid w:val="00414B69"/>
    <w:rsid w:val="00414D50"/>
    <w:rsid w:val="0041556D"/>
    <w:rsid w:val="0042759A"/>
    <w:rsid w:val="004337BA"/>
    <w:rsid w:val="00445163"/>
    <w:rsid w:val="00445927"/>
    <w:rsid w:val="004506A5"/>
    <w:rsid w:val="004521A7"/>
    <w:rsid w:val="004545F2"/>
    <w:rsid w:val="004550B5"/>
    <w:rsid w:val="00455A4C"/>
    <w:rsid w:val="00456439"/>
    <w:rsid w:val="00461FEA"/>
    <w:rsid w:val="00462527"/>
    <w:rsid w:val="004721E5"/>
    <w:rsid w:val="00472CBB"/>
    <w:rsid w:val="004817D3"/>
    <w:rsid w:val="004856CE"/>
    <w:rsid w:val="00485F26"/>
    <w:rsid w:val="0049279A"/>
    <w:rsid w:val="004932C5"/>
    <w:rsid w:val="004A3416"/>
    <w:rsid w:val="004A5820"/>
    <w:rsid w:val="004B7B56"/>
    <w:rsid w:val="004C32F9"/>
    <w:rsid w:val="004C58EF"/>
    <w:rsid w:val="004C668F"/>
    <w:rsid w:val="004D2CF8"/>
    <w:rsid w:val="004D735A"/>
    <w:rsid w:val="004E61A3"/>
    <w:rsid w:val="004E75C8"/>
    <w:rsid w:val="004F01FC"/>
    <w:rsid w:val="004F0A7C"/>
    <w:rsid w:val="004F6206"/>
    <w:rsid w:val="00500156"/>
    <w:rsid w:val="00500E76"/>
    <w:rsid w:val="00505D42"/>
    <w:rsid w:val="00513F76"/>
    <w:rsid w:val="00517B3A"/>
    <w:rsid w:val="00524A5D"/>
    <w:rsid w:val="005259A3"/>
    <w:rsid w:val="00530962"/>
    <w:rsid w:val="005332D1"/>
    <w:rsid w:val="005409C3"/>
    <w:rsid w:val="0054322B"/>
    <w:rsid w:val="00545D83"/>
    <w:rsid w:val="005479BF"/>
    <w:rsid w:val="00551903"/>
    <w:rsid w:val="00555CB3"/>
    <w:rsid w:val="00560AC1"/>
    <w:rsid w:val="00561636"/>
    <w:rsid w:val="00563ABB"/>
    <w:rsid w:val="00564F8C"/>
    <w:rsid w:val="00570873"/>
    <w:rsid w:val="0057131A"/>
    <w:rsid w:val="00580A9D"/>
    <w:rsid w:val="00580AEB"/>
    <w:rsid w:val="00584D74"/>
    <w:rsid w:val="005860B2"/>
    <w:rsid w:val="005862B9"/>
    <w:rsid w:val="005872FE"/>
    <w:rsid w:val="00591758"/>
    <w:rsid w:val="0059318C"/>
    <w:rsid w:val="00594B2D"/>
    <w:rsid w:val="005A0196"/>
    <w:rsid w:val="005B01F7"/>
    <w:rsid w:val="005B2F93"/>
    <w:rsid w:val="005B7FB7"/>
    <w:rsid w:val="005C100F"/>
    <w:rsid w:val="005C2ED0"/>
    <w:rsid w:val="005C6D2C"/>
    <w:rsid w:val="005D320D"/>
    <w:rsid w:val="005D4C64"/>
    <w:rsid w:val="005D5807"/>
    <w:rsid w:val="005D5FB7"/>
    <w:rsid w:val="005E2200"/>
    <w:rsid w:val="005E75A3"/>
    <w:rsid w:val="005F0CC8"/>
    <w:rsid w:val="005F698A"/>
    <w:rsid w:val="00600322"/>
    <w:rsid w:val="006018FA"/>
    <w:rsid w:val="00601D93"/>
    <w:rsid w:val="00605BEC"/>
    <w:rsid w:val="00610BA5"/>
    <w:rsid w:val="0061108F"/>
    <w:rsid w:val="00611949"/>
    <w:rsid w:val="00613B32"/>
    <w:rsid w:val="0061543C"/>
    <w:rsid w:val="00617D2F"/>
    <w:rsid w:val="00622A90"/>
    <w:rsid w:val="00624B43"/>
    <w:rsid w:val="00627D89"/>
    <w:rsid w:val="00630CCA"/>
    <w:rsid w:val="00632A06"/>
    <w:rsid w:val="006442BB"/>
    <w:rsid w:val="00647B77"/>
    <w:rsid w:val="006505CA"/>
    <w:rsid w:val="00656B70"/>
    <w:rsid w:val="00656E9F"/>
    <w:rsid w:val="0067094B"/>
    <w:rsid w:val="00670F6E"/>
    <w:rsid w:val="006714F8"/>
    <w:rsid w:val="006774AF"/>
    <w:rsid w:val="006806F3"/>
    <w:rsid w:val="006839DD"/>
    <w:rsid w:val="00683F78"/>
    <w:rsid w:val="0069540B"/>
    <w:rsid w:val="006A15B6"/>
    <w:rsid w:val="006A7B7A"/>
    <w:rsid w:val="006B7246"/>
    <w:rsid w:val="006C1C25"/>
    <w:rsid w:val="006C44E9"/>
    <w:rsid w:val="006C4584"/>
    <w:rsid w:val="006C7FD6"/>
    <w:rsid w:val="006D081A"/>
    <w:rsid w:val="006D0FC2"/>
    <w:rsid w:val="006D17F2"/>
    <w:rsid w:val="006D35C1"/>
    <w:rsid w:val="006D699E"/>
    <w:rsid w:val="006E02F3"/>
    <w:rsid w:val="006F06CE"/>
    <w:rsid w:val="006F5F45"/>
    <w:rsid w:val="007044FA"/>
    <w:rsid w:val="00707595"/>
    <w:rsid w:val="00741895"/>
    <w:rsid w:val="0074293A"/>
    <w:rsid w:val="00743EEA"/>
    <w:rsid w:val="00745A69"/>
    <w:rsid w:val="00745E53"/>
    <w:rsid w:val="00746719"/>
    <w:rsid w:val="00747E85"/>
    <w:rsid w:val="00753834"/>
    <w:rsid w:val="00762723"/>
    <w:rsid w:val="0076411E"/>
    <w:rsid w:val="00765F47"/>
    <w:rsid w:val="00766E72"/>
    <w:rsid w:val="00774329"/>
    <w:rsid w:val="00777603"/>
    <w:rsid w:val="0077770E"/>
    <w:rsid w:val="00780B7B"/>
    <w:rsid w:val="0078204C"/>
    <w:rsid w:val="007834C5"/>
    <w:rsid w:val="00784AC3"/>
    <w:rsid w:val="007854DE"/>
    <w:rsid w:val="00787837"/>
    <w:rsid w:val="007B039B"/>
    <w:rsid w:val="007B2DFC"/>
    <w:rsid w:val="007B30FD"/>
    <w:rsid w:val="007B45F4"/>
    <w:rsid w:val="007D66F4"/>
    <w:rsid w:val="007D7C0C"/>
    <w:rsid w:val="007E0928"/>
    <w:rsid w:val="0080293D"/>
    <w:rsid w:val="00805BB6"/>
    <w:rsid w:val="00811F49"/>
    <w:rsid w:val="00814845"/>
    <w:rsid w:val="00823691"/>
    <w:rsid w:val="00823783"/>
    <w:rsid w:val="00827324"/>
    <w:rsid w:val="00830592"/>
    <w:rsid w:val="00833134"/>
    <w:rsid w:val="0083740A"/>
    <w:rsid w:val="00841ABC"/>
    <w:rsid w:val="0084725D"/>
    <w:rsid w:val="0085134E"/>
    <w:rsid w:val="00865833"/>
    <w:rsid w:val="008709D3"/>
    <w:rsid w:val="008715F7"/>
    <w:rsid w:val="008843A5"/>
    <w:rsid w:val="008861FA"/>
    <w:rsid w:val="00886AA0"/>
    <w:rsid w:val="0089157D"/>
    <w:rsid w:val="00895BC1"/>
    <w:rsid w:val="008961C5"/>
    <w:rsid w:val="008A372D"/>
    <w:rsid w:val="008A6C6D"/>
    <w:rsid w:val="008A6E0A"/>
    <w:rsid w:val="008B33DA"/>
    <w:rsid w:val="008B5C52"/>
    <w:rsid w:val="008D0A20"/>
    <w:rsid w:val="008D5062"/>
    <w:rsid w:val="008E4D84"/>
    <w:rsid w:val="008F5996"/>
    <w:rsid w:val="00900FF0"/>
    <w:rsid w:val="00907792"/>
    <w:rsid w:val="009148F2"/>
    <w:rsid w:val="00920245"/>
    <w:rsid w:val="00922BCC"/>
    <w:rsid w:val="00924FC2"/>
    <w:rsid w:val="0093211A"/>
    <w:rsid w:val="009324A4"/>
    <w:rsid w:val="0093752A"/>
    <w:rsid w:val="0094022D"/>
    <w:rsid w:val="0094127B"/>
    <w:rsid w:val="00942ED1"/>
    <w:rsid w:val="00945247"/>
    <w:rsid w:val="009533A0"/>
    <w:rsid w:val="009537BC"/>
    <w:rsid w:val="00963791"/>
    <w:rsid w:val="00970907"/>
    <w:rsid w:val="00972982"/>
    <w:rsid w:val="00972F3E"/>
    <w:rsid w:val="00973D75"/>
    <w:rsid w:val="009742F6"/>
    <w:rsid w:val="00984640"/>
    <w:rsid w:val="009847EA"/>
    <w:rsid w:val="00985E32"/>
    <w:rsid w:val="009A18C0"/>
    <w:rsid w:val="009A2E91"/>
    <w:rsid w:val="009B3353"/>
    <w:rsid w:val="009B3B9A"/>
    <w:rsid w:val="009C10A1"/>
    <w:rsid w:val="009C19FF"/>
    <w:rsid w:val="009D32D0"/>
    <w:rsid w:val="009D5BA7"/>
    <w:rsid w:val="009E13FC"/>
    <w:rsid w:val="009E2501"/>
    <w:rsid w:val="009E3147"/>
    <w:rsid w:val="009E7957"/>
    <w:rsid w:val="009F0DA6"/>
    <w:rsid w:val="009F1110"/>
    <w:rsid w:val="009F1BC4"/>
    <w:rsid w:val="009F3BC3"/>
    <w:rsid w:val="009F4AEE"/>
    <w:rsid w:val="009F601A"/>
    <w:rsid w:val="009F773A"/>
    <w:rsid w:val="00A001EC"/>
    <w:rsid w:val="00A017E6"/>
    <w:rsid w:val="00A02080"/>
    <w:rsid w:val="00A037D6"/>
    <w:rsid w:val="00A04AA9"/>
    <w:rsid w:val="00A12147"/>
    <w:rsid w:val="00A1262E"/>
    <w:rsid w:val="00A127CE"/>
    <w:rsid w:val="00A130AE"/>
    <w:rsid w:val="00A148A8"/>
    <w:rsid w:val="00A16154"/>
    <w:rsid w:val="00A20EAD"/>
    <w:rsid w:val="00A24042"/>
    <w:rsid w:val="00A272BA"/>
    <w:rsid w:val="00A3132E"/>
    <w:rsid w:val="00A316FB"/>
    <w:rsid w:val="00A3381A"/>
    <w:rsid w:val="00A42132"/>
    <w:rsid w:val="00A424EC"/>
    <w:rsid w:val="00A43C02"/>
    <w:rsid w:val="00A4541B"/>
    <w:rsid w:val="00A506BC"/>
    <w:rsid w:val="00A51D6B"/>
    <w:rsid w:val="00A71981"/>
    <w:rsid w:val="00A76EB9"/>
    <w:rsid w:val="00A77C02"/>
    <w:rsid w:val="00A85471"/>
    <w:rsid w:val="00A8664E"/>
    <w:rsid w:val="00A92D70"/>
    <w:rsid w:val="00AA6193"/>
    <w:rsid w:val="00AB4C3A"/>
    <w:rsid w:val="00AB6C92"/>
    <w:rsid w:val="00AB7917"/>
    <w:rsid w:val="00AC1203"/>
    <w:rsid w:val="00AC67F4"/>
    <w:rsid w:val="00AD188C"/>
    <w:rsid w:val="00AD50DE"/>
    <w:rsid w:val="00AD514C"/>
    <w:rsid w:val="00AD60EF"/>
    <w:rsid w:val="00AE5D38"/>
    <w:rsid w:val="00AE66F9"/>
    <w:rsid w:val="00AE7B0C"/>
    <w:rsid w:val="00AF3CE1"/>
    <w:rsid w:val="00B02939"/>
    <w:rsid w:val="00B03A05"/>
    <w:rsid w:val="00B05503"/>
    <w:rsid w:val="00B0615C"/>
    <w:rsid w:val="00B07462"/>
    <w:rsid w:val="00B07F7B"/>
    <w:rsid w:val="00B10361"/>
    <w:rsid w:val="00B17999"/>
    <w:rsid w:val="00B201FA"/>
    <w:rsid w:val="00B25214"/>
    <w:rsid w:val="00B269B7"/>
    <w:rsid w:val="00B30320"/>
    <w:rsid w:val="00B33FA4"/>
    <w:rsid w:val="00B427FD"/>
    <w:rsid w:val="00B513F4"/>
    <w:rsid w:val="00B533D7"/>
    <w:rsid w:val="00B56D2C"/>
    <w:rsid w:val="00B60EE8"/>
    <w:rsid w:val="00B718B5"/>
    <w:rsid w:val="00B72C26"/>
    <w:rsid w:val="00B76271"/>
    <w:rsid w:val="00B81A9D"/>
    <w:rsid w:val="00B86A73"/>
    <w:rsid w:val="00B87B55"/>
    <w:rsid w:val="00B909ED"/>
    <w:rsid w:val="00B90C6C"/>
    <w:rsid w:val="00B9128B"/>
    <w:rsid w:val="00B920FC"/>
    <w:rsid w:val="00B92111"/>
    <w:rsid w:val="00B9219A"/>
    <w:rsid w:val="00B94831"/>
    <w:rsid w:val="00BA0AEC"/>
    <w:rsid w:val="00BA0B0D"/>
    <w:rsid w:val="00BA4117"/>
    <w:rsid w:val="00BA44B4"/>
    <w:rsid w:val="00BA5752"/>
    <w:rsid w:val="00BB25A5"/>
    <w:rsid w:val="00BB32CC"/>
    <w:rsid w:val="00BB63F3"/>
    <w:rsid w:val="00BB6764"/>
    <w:rsid w:val="00BC55B2"/>
    <w:rsid w:val="00BD0AB7"/>
    <w:rsid w:val="00BD3859"/>
    <w:rsid w:val="00BE0086"/>
    <w:rsid w:val="00BE3956"/>
    <w:rsid w:val="00BE4E74"/>
    <w:rsid w:val="00C17E58"/>
    <w:rsid w:val="00C22D70"/>
    <w:rsid w:val="00C247D8"/>
    <w:rsid w:val="00C24880"/>
    <w:rsid w:val="00C2650E"/>
    <w:rsid w:val="00C31BE8"/>
    <w:rsid w:val="00C335C2"/>
    <w:rsid w:val="00C43761"/>
    <w:rsid w:val="00C47D69"/>
    <w:rsid w:val="00C52CA1"/>
    <w:rsid w:val="00C61F51"/>
    <w:rsid w:val="00C62B9C"/>
    <w:rsid w:val="00C64285"/>
    <w:rsid w:val="00C646D5"/>
    <w:rsid w:val="00C7686B"/>
    <w:rsid w:val="00C968F0"/>
    <w:rsid w:val="00CA3A5B"/>
    <w:rsid w:val="00CA4767"/>
    <w:rsid w:val="00CC329F"/>
    <w:rsid w:val="00CE27EB"/>
    <w:rsid w:val="00CE5659"/>
    <w:rsid w:val="00CF51A1"/>
    <w:rsid w:val="00CF5C01"/>
    <w:rsid w:val="00D0489B"/>
    <w:rsid w:val="00D12D99"/>
    <w:rsid w:val="00D133EC"/>
    <w:rsid w:val="00D20AC1"/>
    <w:rsid w:val="00D23182"/>
    <w:rsid w:val="00D30FF9"/>
    <w:rsid w:val="00D31EED"/>
    <w:rsid w:val="00D32CD0"/>
    <w:rsid w:val="00D35B8E"/>
    <w:rsid w:val="00D3676D"/>
    <w:rsid w:val="00D42595"/>
    <w:rsid w:val="00D43A99"/>
    <w:rsid w:val="00D44EEB"/>
    <w:rsid w:val="00D467A7"/>
    <w:rsid w:val="00D46885"/>
    <w:rsid w:val="00D4767B"/>
    <w:rsid w:val="00D52429"/>
    <w:rsid w:val="00D6411D"/>
    <w:rsid w:val="00D64608"/>
    <w:rsid w:val="00D7122C"/>
    <w:rsid w:val="00D87BBF"/>
    <w:rsid w:val="00D93D5D"/>
    <w:rsid w:val="00D959C4"/>
    <w:rsid w:val="00D969CC"/>
    <w:rsid w:val="00D969E5"/>
    <w:rsid w:val="00DA142E"/>
    <w:rsid w:val="00DA4D2C"/>
    <w:rsid w:val="00DA5E13"/>
    <w:rsid w:val="00DB011F"/>
    <w:rsid w:val="00DB0407"/>
    <w:rsid w:val="00DC0C8B"/>
    <w:rsid w:val="00DC1B59"/>
    <w:rsid w:val="00DC26A7"/>
    <w:rsid w:val="00DC4CBC"/>
    <w:rsid w:val="00DD0924"/>
    <w:rsid w:val="00DE1A2C"/>
    <w:rsid w:val="00DE3C37"/>
    <w:rsid w:val="00DE65E3"/>
    <w:rsid w:val="00DE7229"/>
    <w:rsid w:val="00DE7B65"/>
    <w:rsid w:val="00DF123C"/>
    <w:rsid w:val="00E03721"/>
    <w:rsid w:val="00E03A66"/>
    <w:rsid w:val="00E043ED"/>
    <w:rsid w:val="00E13E33"/>
    <w:rsid w:val="00E14127"/>
    <w:rsid w:val="00E232A6"/>
    <w:rsid w:val="00E343D6"/>
    <w:rsid w:val="00E358B2"/>
    <w:rsid w:val="00E35955"/>
    <w:rsid w:val="00E36EA1"/>
    <w:rsid w:val="00E46155"/>
    <w:rsid w:val="00E51F88"/>
    <w:rsid w:val="00E53C4A"/>
    <w:rsid w:val="00E5549E"/>
    <w:rsid w:val="00E65FD4"/>
    <w:rsid w:val="00E67528"/>
    <w:rsid w:val="00E704E1"/>
    <w:rsid w:val="00E76B39"/>
    <w:rsid w:val="00E8148A"/>
    <w:rsid w:val="00E8175C"/>
    <w:rsid w:val="00E841DA"/>
    <w:rsid w:val="00E85D74"/>
    <w:rsid w:val="00E8600B"/>
    <w:rsid w:val="00E916DE"/>
    <w:rsid w:val="00E94813"/>
    <w:rsid w:val="00EC00B2"/>
    <w:rsid w:val="00ED1A70"/>
    <w:rsid w:val="00ED2E39"/>
    <w:rsid w:val="00ED501E"/>
    <w:rsid w:val="00ED5C25"/>
    <w:rsid w:val="00EE0241"/>
    <w:rsid w:val="00EE18DE"/>
    <w:rsid w:val="00EE248D"/>
    <w:rsid w:val="00EE42E3"/>
    <w:rsid w:val="00EE52B9"/>
    <w:rsid w:val="00EE64B2"/>
    <w:rsid w:val="00EE6A5A"/>
    <w:rsid w:val="00EE6F0D"/>
    <w:rsid w:val="00EF376C"/>
    <w:rsid w:val="00EF7364"/>
    <w:rsid w:val="00F01091"/>
    <w:rsid w:val="00F203C9"/>
    <w:rsid w:val="00F244BB"/>
    <w:rsid w:val="00F26434"/>
    <w:rsid w:val="00F37F0F"/>
    <w:rsid w:val="00F42C2B"/>
    <w:rsid w:val="00F46B65"/>
    <w:rsid w:val="00F46D60"/>
    <w:rsid w:val="00F50272"/>
    <w:rsid w:val="00F51465"/>
    <w:rsid w:val="00F514DA"/>
    <w:rsid w:val="00F51AEE"/>
    <w:rsid w:val="00F53BB3"/>
    <w:rsid w:val="00F61B31"/>
    <w:rsid w:val="00F61EB0"/>
    <w:rsid w:val="00F662D2"/>
    <w:rsid w:val="00F72D26"/>
    <w:rsid w:val="00F747FC"/>
    <w:rsid w:val="00F76E2D"/>
    <w:rsid w:val="00F81241"/>
    <w:rsid w:val="00F82689"/>
    <w:rsid w:val="00F829C7"/>
    <w:rsid w:val="00F833AD"/>
    <w:rsid w:val="00F8495A"/>
    <w:rsid w:val="00F85B39"/>
    <w:rsid w:val="00F91FC9"/>
    <w:rsid w:val="00F9205C"/>
    <w:rsid w:val="00F9296D"/>
    <w:rsid w:val="00F92D5F"/>
    <w:rsid w:val="00F942AB"/>
    <w:rsid w:val="00F969E5"/>
    <w:rsid w:val="00F96C9E"/>
    <w:rsid w:val="00FA28F9"/>
    <w:rsid w:val="00FA7D11"/>
    <w:rsid w:val="00FB3E6A"/>
    <w:rsid w:val="00FB50D8"/>
    <w:rsid w:val="00FC1000"/>
    <w:rsid w:val="00FC497B"/>
    <w:rsid w:val="00FC5F33"/>
    <w:rsid w:val="00FD7D7C"/>
    <w:rsid w:val="00FE54E1"/>
    <w:rsid w:val="00FF562A"/>
    <w:rsid w:val="00FF5CA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date"/>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60417"/>
    <o:shapelayout v:ext="edit">
      <o:idmap v:ext="edit" data="1,3"/>
    </o:shapelayout>
  </w:shapeDefaults>
  <w:decimalSymbol w:val="."/>
  <w:listSeparator w:val=","/>
  <w14:docId w14:val="04DEE8C3"/>
  <w15:docId w15:val="{28EB6B3F-9D49-4753-89A3-B8D1FC1C1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w:sz w:val="24"/>
        <w:szCs w:val="24"/>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206"/>
    <w:rPr>
      <w:lang w:val="en-GB"/>
    </w:rPr>
  </w:style>
  <w:style w:type="paragraph" w:styleId="Heading1">
    <w:name w:val="heading 1"/>
    <w:basedOn w:val="Normal"/>
    <w:next w:val="Normal"/>
    <w:link w:val="Heading1Char"/>
    <w:uiPriority w:val="9"/>
    <w:qFormat/>
    <w:rsid w:val="004F6206"/>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4F6206"/>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4F6206"/>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unhideWhenUsed/>
    <w:qFormat/>
    <w:rsid w:val="004F6206"/>
    <w:pPr>
      <w:spacing w:after="0" w:line="271" w:lineRule="auto"/>
      <w:outlineLvl w:val="3"/>
    </w:pPr>
    <w:rPr>
      <w:b/>
      <w:bCs/>
      <w:spacing w:val="5"/>
    </w:rPr>
  </w:style>
  <w:style w:type="paragraph" w:styleId="Heading5">
    <w:name w:val="heading 5"/>
    <w:basedOn w:val="Normal"/>
    <w:next w:val="Normal"/>
    <w:link w:val="Heading5Char"/>
    <w:uiPriority w:val="9"/>
    <w:unhideWhenUsed/>
    <w:qFormat/>
    <w:rsid w:val="004F6206"/>
    <w:pPr>
      <w:spacing w:after="0" w:line="271" w:lineRule="auto"/>
      <w:outlineLvl w:val="4"/>
    </w:pPr>
    <w:rPr>
      <w:i/>
      <w:iCs/>
    </w:rPr>
  </w:style>
  <w:style w:type="paragraph" w:styleId="Heading6">
    <w:name w:val="heading 6"/>
    <w:basedOn w:val="Normal"/>
    <w:next w:val="Normal"/>
    <w:link w:val="Heading6Char"/>
    <w:uiPriority w:val="9"/>
    <w:unhideWhenUsed/>
    <w:qFormat/>
    <w:rsid w:val="004F6206"/>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unhideWhenUsed/>
    <w:qFormat/>
    <w:rsid w:val="004F6206"/>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unhideWhenUsed/>
    <w:qFormat/>
    <w:rsid w:val="004F6206"/>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unhideWhenUsed/>
    <w:qFormat/>
    <w:rsid w:val="004F6206"/>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6206"/>
    <w:rPr>
      <w:smallCaps/>
      <w:spacing w:val="5"/>
      <w:sz w:val="36"/>
      <w:szCs w:val="36"/>
    </w:rPr>
  </w:style>
  <w:style w:type="character" w:customStyle="1" w:styleId="Heading2Char">
    <w:name w:val="Heading 2 Char"/>
    <w:basedOn w:val="DefaultParagraphFont"/>
    <w:link w:val="Heading2"/>
    <w:uiPriority w:val="9"/>
    <w:semiHidden/>
    <w:rsid w:val="004F6206"/>
    <w:rPr>
      <w:smallCaps/>
      <w:sz w:val="28"/>
      <w:szCs w:val="28"/>
    </w:rPr>
  </w:style>
  <w:style w:type="character" w:customStyle="1" w:styleId="Heading3Char">
    <w:name w:val="Heading 3 Char"/>
    <w:basedOn w:val="DefaultParagraphFont"/>
    <w:link w:val="Heading3"/>
    <w:uiPriority w:val="9"/>
    <w:semiHidden/>
    <w:rsid w:val="004F6206"/>
    <w:rPr>
      <w:i/>
      <w:iCs/>
      <w:smallCaps/>
      <w:spacing w:val="5"/>
      <w:sz w:val="26"/>
      <w:szCs w:val="26"/>
    </w:rPr>
  </w:style>
  <w:style w:type="character" w:customStyle="1" w:styleId="Heading4Char">
    <w:name w:val="Heading 4 Char"/>
    <w:basedOn w:val="DefaultParagraphFont"/>
    <w:link w:val="Heading4"/>
    <w:uiPriority w:val="9"/>
    <w:semiHidden/>
    <w:rsid w:val="004F6206"/>
    <w:rPr>
      <w:b/>
      <w:bCs/>
      <w:spacing w:val="5"/>
      <w:sz w:val="24"/>
      <w:szCs w:val="24"/>
    </w:rPr>
  </w:style>
  <w:style w:type="character" w:customStyle="1" w:styleId="Heading5Char">
    <w:name w:val="Heading 5 Char"/>
    <w:basedOn w:val="DefaultParagraphFont"/>
    <w:link w:val="Heading5"/>
    <w:uiPriority w:val="9"/>
    <w:semiHidden/>
    <w:rsid w:val="004F6206"/>
    <w:rPr>
      <w:i/>
      <w:iCs/>
      <w:sz w:val="24"/>
      <w:szCs w:val="24"/>
    </w:rPr>
  </w:style>
  <w:style w:type="character" w:customStyle="1" w:styleId="Heading6Char">
    <w:name w:val="Heading 6 Char"/>
    <w:basedOn w:val="DefaultParagraphFont"/>
    <w:link w:val="Heading6"/>
    <w:uiPriority w:val="9"/>
    <w:semiHidden/>
    <w:rsid w:val="004F6206"/>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4F6206"/>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4F6206"/>
    <w:rPr>
      <w:b/>
      <w:bCs/>
      <w:color w:val="7F7F7F" w:themeColor="text1" w:themeTint="80"/>
      <w:sz w:val="20"/>
      <w:szCs w:val="20"/>
    </w:rPr>
  </w:style>
  <w:style w:type="character" w:customStyle="1" w:styleId="Heading9Char">
    <w:name w:val="Heading 9 Char"/>
    <w:basedOn w:val="DefaultParagraphFont"/>
    <w:link w:val="Heading9"/>
    <w:uiPriority w:val="9"/>
    <w:semiHidden/>
    <w:rsid w:val="004F6206"/>
    <w:rPr>
      <w:b/>
      <w:bCs/>
      <w:i/>
      <w:iCs/>
      <w:color w:val="7F7F7F" w:themeColor="text1" w:themeTint="80"/>
      <w:sz w:val="18"/>
      <w:szCs w:val="18"/>
    </w:rPr>
  </w:style>
  <w:style w:type="paragraph" w:styleId="Title">
    <w:name w:val="Title"/>
    <w:basedOn w:val="Normal"/>
    <w:next w:val="Normal"/>
    <w:link w:val="TitleChar"/>
    <w:uiPriority w:val="10"/>
    <w:qFormat/>
    <w:rsid w:val="004F6206"/>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4F6206"/>
    <w:rPr>
      <w:smallCaps/>
      <w:sz w:val="52"/>
      <w:szCs w:val="52"/>
    </w:rPr>
  </w:style>
  <w:style w:type="paragraph" w:styleId="Subtitle">
    <w:name w:val="Subtitle"/>
    <w:basedOn w:val="Normal"/>
    <w:next w:val="Normal"/>
    <w:link w:val="SubtitleChar"/>
    <w:uiPriority w:val="11"/>
    <w:qFormat/>
    <w:rsid w:val="004F6206"/>
    <w:rPr>
      <w:i/>
      <w:iCs/>
      <w:smallCaps/>
      <w:spacing w:val="10"/>
      <w:sz w:val="28"/>
      <w:szCs w:val="28"/>
    </w:rPr>
  </w:style>
  <w:style w:type="character" w:customStyle="1" w:styleId="SubtitleChar">
    <w:name w:val="Subtitle Char"/>
    <w:basedOn w:val="DefaultParagraphFont"/>
    <w:link w:val="Subtitle"/>
    <w:uiPriority w:val="11"/>
    <w:rsid w:val="004F6206"/>
    <w:rPr>
      <w:i/>
      <w:iCs/>
      <w:smallCaps/>
      <w:spacing w:val="10"/>
      <w:sz w:val="28"/>
      <w:szCs w:val="28"/>
    </w:rPr>
  </w:style>
  <w:style w:type="character" w:styleId="Strong">
    <w:name w:val="Strong"/>
    <w:uiPriority w:val="22"/>
    <w:qFormat/>
    <w:rsid w:val="004F6206"/>
    <w:rPr>
      <w:b/>
      <w:bCs/>
    </w:rPr>
  </w:style>
  <w:style w:type="character" w:styleId="Emphasis">
    <w:name w:val="Emphasis"/>
    <w:uiPriority w:val="20"/>
    <w:qFormat/>
    <w:rsid w:val="004F6206"/>
    <w:rPr>
      <w:b/>
      <w:bCs/>
      <w:i/>
      <w:iCs/>
      <w:spacing w:val="10"/>
    </w:rPr>
  </w:style>
  <w:style w:type="paragraph" w:styleId="NoSpacing">
    <w:name w:val="No Spacing"/>
    <w:basedOn w:val="Normal"/>
    <w:link w:val="NoSpacingChar"/>
    <w:uiPriority w:val="1"/>
    <w:qFormat/>
    <w:rsid w:val="004F6206"/>
    <w:pPr>
      <w:spacing w:after="0" w:line="240" w:lineRule="auto"/>
    </w:pPr>
  </w:style>
  <w:style w:type="character" w:customStyle="1" w:styleId="NoSpacingChar">
    <w:name w:val="No Spacing Char"/>
    <w:basedOn w:val="DefaultParagraphFont"/>
    <w:link w:val="NoSpacing"/>
    <w:uiPriority w:val="1"/>
    <w:rsid w:val="00C646D5"/>
    <w:rPr>
      <w:lang w:val="en-GB"/>
    </w:rPr>
  </w:style>
  <w:style w:type="paragraph" w:styleId="ListParagraph">
    <w:name w:val="List Paragraph"/>
    <w:basedOn w:val="Normal"/>
    <w:uiPriority w:val="34"/>
    <w:qFormat/>
    <w:rsid w:val="004F6206"/>
    <w:pPr>
      <w:ind w:left="720"/>
      <w:contextualSpacing/>
    </w:pPr>
  </w:style>
  <w:style w:type="paragraph" w:styleId="Quote">
    <w:name w:val="Quote"/>
    <w:basedOn w:val="Normal"/>
    <w:next w:val="Normal"/>
    <w:link w:val="QuoteChar"/>
    <w:uiPriority w:val="29"/>
    <w:qFormat/>
    <w:rsid w:val="004F6206"/>
    <w:rPr>
      <w:i/>
      <w:iCs/>
    </w:rPr>
  </w:style>
  <w:style w:type="character" w:customStyle="1" w:styleId="QuoteChar">
    <w:name w:val="Quote Char"/>
    <w:basedOn w:val="DefaultParagraphFont"/>
    <w:link w:val="Quote"/>
    <w:uiPriority w:val="29"/>
    <w:rsid w:val="004F6206"/>
    <w:rPr>
      <w:i/>
      <w:iCs/>
    </w:rPr>
  </w:style>
  <w:style w:type="paragraph" w:styleId="IntenseQuote">
    <w:name w:val="Intense Quote"/>
    <w:basedOn w:val="Normal"/>
    <w:next w:val="Normal"/>
    <w:link w:val="IntenseQuoteChar"/>
    <w:uiPriority w:val="30"/>
    <w:qFormat/>
    <w:rsid w:val="004F6206"/>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4F6206"/>
    <w:rPr>
      <w:i/>
      <w:iCs/>
    </w:rPr>
  </w:style>
  <w:style w:type="character" w:styleId="SubtleEmphasis">
    <w:name w:val="Subtle Emphasis"/>
    <w:uiPriority w:val="19"/>
    <w:qFormat/>
    <w:rsid w:val="004F6206"/>
    <w:rPr>
      <w:i/>
      <w:iCs/>
    </w:rPr>
  </w:style>
  <w:style w:type="character" w:styleId="IntenseEmphasis">
    <w:name w:val="Intense Emphasis"/>
    <w:uiPriority w:val="21"/>
    <w:qFormat/>
    <w:rsid w:val="004F6206"/>
    <w:rPr>
      <w:b/>
      <w:bCs/>
      <w:i/>
      <w:iCs/>
    </w:rPr>
  </w:style>
  <w:style w:type="character" w:styleId="SubtleReference">
    <w:name w:val="Subtle Reference"/>
    <w:basedOn w:val="DefaultParagraphFont"/>
    <w:uiPriority w:val="31"/>
    <w:qFormat/>
    <w:rsid w:val="004F6206"/>
    <w:rPr>
      <w:smallCaps/>
    </w:rPr>
  </w:style>
  <w:style w:type="character" w:styleId="IntenseReference">
    <w:name w:val="Intense Reference"/>
    <w:uiPriority w:val="32"/>
    <w:qFormat/>
    <w:rsid w:val="004F6206"/>
    <w:rPr>
      <w:b/>
      <w:bCs/>
      <w:smallCaps/>
    </w:rPr>
  </w:style>
  <w:style w:type="character" w:styleId="BookTitle">
    <w:name w:val="Book Title"/>
    <w:basedOn w:val="DefaultParagraphFont"/>
    <w:uiPriority w:val="33"/>
    <w:qFormat/>
    <w:rsid w:val="004F6206"/>
    <w:rPr>
      <w:i/>
      <w:iCs/>
      <w:smallCaps/>
      <w:spacing w:val="5"/>
    </w:rPr>
  </w:style>
  <w:style w:type="paragraph" w:styleId="TOCHeading">
    <w:name w:val="TOC Heading"/>
    <w:basedOn w:val="Heading1"/>
    <w:next w:val="Normal"/>
    <w:uiPriority w:val="39"/>
    <w:semiHidden/>
    <w:unhideWhenUsed/>
    <w:qFormat/>
    <w:rsid w:val="004F6206"/>
    <w:pPr>
      <w:outlineLvl w:val="9"/>
    </w:pPr>
  </w:style>
  <w:style w:type="character" w:styleId="Hyperlink">
    <w:name w:val="Hyperlink"/>
    <w:basedOn w:val="DefaultParagraphFont"/>
    <w:rsid w:val="00B90C6C"/>
    <w:rPr>
      <w:color w:val="0000FF"/>
      <w:u w:val="single"/>
    </w:rPr>
  </w:style>
  <w:style w:type="paragraph" w:styleId="Footer">
    <w:name w:val="footer"/>
    <w:basedOn w:val="Normal"/>
    <w:link w:val="FooterChar"/>
    <w:uiPriority w:val="99"/>
    <w:rsid w:val="00B90C6C"/>
    <w:pPr>
      <w:tabs>
        <w:tab w:val="center" w:pos="4153"/>
        <w:tab w:val="right" w:pos="8306"/>
      </w:tabs>
      <w:spacing w:after="0" w:line="240" w:lineRule="auto"/>
    </w:pPr>
    <w:rPr>
      <w:rFonts w:ascii="Times New Roman" w:eastAsia="Times New Roman" w:hAnsi="Times New Roman"/>
      <w:lang w:bidi="ar-SA"/>
    </w:rPr>
  </w:style>
  <w:style w:type="character" w:customStyle="1" w:styleId="FooterChar">
    <w:name w:val="Footer Char"/>
    <w:basedOn w:val="DefaultParagraphFont"/>
    <w:link w:val="Footer"/>
    <w:uiPriority w:val="99"/>
    <w:rsid w:val="00B90C6C"/>
    <w:rPr>
      <w:rFonts w:ascii="Times New Roman" w:eastAsia="Times New Roman" w:hAnsi="Times New Roman"/>
      <w:lang w:val="en-GB" w:bidi="ar-SA"/>
    </w:rPr>
  </w:style>
  <w:style w:type="paragraph" w:styleId="BodyText2">
    <w:name w:val="Body Text 2"/>
    <w:basedOn w:val="Normal"/>
    <w:link w:val="BodyText2Char"/>
    <w:rsid w:val="00B90C6C"/>
    <w:pPr>
      <w:spacing w:after="120" w:line="480" w:lineRule="auto"/>
    </w:pPr>
    <w:rPr>
      <w:rFonts w:ascii="Times New Roman" w:eastAsia="Times New Roman" w:hAnsi="Times New Roman"/>
      <w:lang w:bidi="ar-SA"/>
    </w:rPr>
  </w:style>
  <w:style w:type="character" w:customStyle="1" w:styleId="BodyText2Char">
    <w:name w:val="Body Text 2 Char"/>
    <w:basedOn w:val="DefaultParagraphFont"/>
    <w:link w:val="BodyText2"/>
    <w:rsid w:val="00B90C6C"/>
    <w:rPr>
      <w:rFonts w:ascii="Times New Roman" w:eastAsia="Times New Roman" w:hAnsi="Times New Roman"/>
      <w:lang w:val="en-GB" w:bidi="ar-SA"/>
    </w:rPr>
  </w:style>
  <w:style w:type="paragraph" w:styleId="BodyText3">
    <w:name w:val="Body Text 3"/>
    <w:basedOn w:val="Normal"/>
    <w:link w:val="BodyText3Char"/>
    <w:rsid w:val="00B90C6C"/>
    <w:pPr>
      <w:spacing w:after="120" w:line="240" w:lineRule="auto"/>
    </w:pPr>
    <w:rPr>
      <w:rFonts w:ascii="Times New Roman" w:eastAsia="Times New Roman" w:hAnsi="Times New Roman"/>
      <w:sz w:val="16"/>
      <w:szCs w:val="16"/>
      <w:lang w:eastAsia="en-GB" w:bidi="ar-SA"/>
    </w:rPr>
  </w:style>
  <w:style w:type="character" w:customStyle="1" w:styleId="BodyText3Char">
    <w:name w:val="Body Text 3 Char"/>
    <w:basedOn w:val="DefaultParagraphFont"/>
    <w:link w:val="BodyText3"/>
    <w:rsid w:val="00B90C6C"/>
    <w:rPr>
      <w:rFonts w:ascii="Times New Roman" w:eastAsia="Times New Roman" w:hAnsi="Times New Roman"/>
      <w:sz w:val="16"/>
      <w:szCs w:val="16"/>
      <w:lang w:val="en-GB" w:eastAsia="en-GB" w:bidi="ar-SA"/>
    </w:rPr>
  </w:style>
  <w:style w:type="paragraph" w:styleId="BodyTextIndent2">
    <w:name w:val="Body Text Indent 2"/>
    <w:basedOn w:val="Normal"/>
    <w:link w:val="BodyTextIndent2Char"/>
    <w:rsid w:val="00B90C6C"/>
    <w:pPr>
      <w:spacing w:after="120" w:line="480" w:lineRule="auto"/>
      <w:ind w:left="283"/>
    </w:pPr>
    <w:rPr>
      <w:rFonts w:ascii="Times New Roman" w:eastAsia="Times New Roman" w:hAnsi="Times New Roman"/>
      <w:lang w:eastAsia="en-GB" w:bidi="ar-SA"/>
    </w:rPr>
  </w:style>
  <w:style w:type="character" w:customStyle="1" w:styleId="BodyTextIndent2Char">
    <w:name w:val="Body Text Indent 2 Char"/>
    <w:basedOn w:val="DefaultParagraphFont"/>
    <w:link w:val="BodyTextIndent2"/>
    <w:rsid w:val="00B90C6C"/>
    <w:rPr>
      <w:rFonts w:ascii="Times New Roman" w:eastAsia="Times New Roman" w:hAnsi="Times New Roman"/>
      <w:lang w:val="en-GB" w:eastAsia="en-GB" w:bidi="ar-SA"/>
    </w:rPr>
  </w:style>
  <w:style w:type="paragraph" w:styleId="Header">
    <w:name w:val="header"/>
    <w:basedOn w:val="Normal"/>
    <w:link w:val="HeaderChar"/>
    <w:uiPriority w:val="99"/>
    <w:unhideWhenUsed/>
    <w:rsid w:val="00A43C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3C02"/>
    <w:rPr>
      <w:lang w:val="en-GB"/>
    </w:rPr>
  </w:style>
  <w:style w:type="paragraph" w:styleId="FootnoteText">
    <w:name w:val="footnote text"/>
    <w:basedOn w:val="Normal"/>
    <w:link w:val="FootnoteTextChar"/>
    <w:semiHidden/>
    <w:rsid w:val="00F37F0F"/>
    <w:pPr>
      <w:spacing w:after="0" w:line="240" w:lineRule="auto"/>
    </w:pPr>
    <w:rPr>
      <w:rFonts w:eastAsia="Times New Roman" w:cs="Arial"/>
      <w:sz w:val="20"/>
      <w:szCs w:val="20"/>
      <w:lang w:eastAsia="en-GB" w:bidi="ar-SA"/>
    </w:rPr>
  </w:style>
  <w:style w:type="character" w:customStyle="1" w:styleId="FootnoteTextChar">
    <w:name w:val="Footnote Text Char"/>
    <w:basedOn w:val="DefaultParagraphFont"/>
    <w:link w:val="FootnoteText"/>
    <w:semiHidden/>
    <w:rsid w:val="00F37F0F"/>
    <w:rPr>
      <w:rFonts w:eastAsia="Times New Roman" w:cs="Arial"/>
      <w:sz w:val="20"/>
      <w:szCs w:val="20"/>
      <w:lang w:val="en-GB" w:eastAsia="en-GB" w:bidi="ar-SA"/>
    </w:rPr>
  </w:style>
  <w:style w:type="character" w:styleId="FootnoteReference">
    <w:name w:val="footnote reference"/>
    <w:basedOn w:val="DefaultParagraphFont"/>
    <w:semiHidden/>
    <w:rsid w:val="00F37F0F"/>
    <w:rPr>
      <w:vertAlign w:val="superscript"/>
    </w:rPr>
  </w:style>
  <w:style w:type="table" w:styleId="TableGrid">
    <w:name w:val="Table Grid"/>
    <w:basedOn w:val="TableNormal"/>
    <w:uiPriority w:val="59"/>
    <w:rsid w:val="00F37F0F"/>
    <w:pPr>
      <w:spacing w:after="0" w:line="240" w:lineRule="auto"/>
    </w:pPr>
    <w:rPr>
      <w:rFonts w:ascii="Times New Roman" w:eastAsia="Times New Roman" w:hAnsi="Times New Roman"/>
      <w:sz w:val="20"/>
      <w:szCs w:val="20"/>
      <w:lang w:val="en-GB"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37F0F"/>
  </w:style>
  <w:style w:type="paragraph" w:styleId="CommentText">
    <w:name w:val="annotation text"/>
    <w:basedOn w:val="Normal"/>
    <w:link w:val="CommentTextChar"/>
    <w:uiPriority w:val="99"/>
    <w:rsid w:val="00F37F0F"/>
    <w:pPr>
      <w:spacing w:after="0" w:line="240" w:lineRule="auto"/>
    </w:pPr>
    <w:rPr>
      <w:rFonts w:eastAsia="Times New Roman" w:cs="Arial"/>
      <w:sz w:val="20"/>
      <w:szCs w:val="20"/>
      <w:lang w:eastAsia="en-GB" w:bidi="ar-SA"/>
    </w:rPr>
  </w:style>
  <w:style w:type="character" w:customStyle="1" w:styleId="CommentTextChar">
    <w:name w:val="Comment Text Char"/>
    <w:basedOn w:val="DefaultParagraphFont"/>
    <w:link w:val="CommentText"/>
    <w:uiPriority w:val="99"/>
    <w:rsid w:val="00F37F0F"/>
    <w:rPr>
      <w:rFonts w:eastAsia="Times New Roman" w:cs="Arial"/>
      <w:sz w:val="20"/>
      <w:szCs w:val="20"/>
      <w:lang w:val="en-GB" w:eastAsia="en-GB" w:bidi="ar-SA"/>
    </w:rPr>
  </w:style>
  <w:style w:type="character" w:styleId="FollowedHyperlink">
    <w:name w:val="FollowedHyperlink"/>
    <w:basedOn w:val="DefaultParagraphFont"/>
    <w:rsid w:val="00F37F0F"/>
    <w:rPr>
      <w:color w:val="800080"/>
      <w:u w:val="single"/>
    </w:rPr>
  </w:style>
  <w:style w:type="paragraph" w:styleId="BalloonText">
    <w:name w:val="Balloon Text"/>
    <w:basedOn w:val="Normal"/>
    <w:link w:val="BalloonTextChar"/>
    <w:uiPriority w:val="99"/>
    <w:rsid w:val="00F37F0F"/>
    <w:pPr>
      <w:spacing w:after="0" w:line="240" w:lineRule="auto"/>
    </w:pPr>
    <w:rPr>
      <w:rFonts w:ascii="Tahoma" w:eastAsia="Times New Roman" w:hAnsi="Tahoma" w:cs="Tahoma"/>
      <w:sz w:val="16"/>
      <w:szCs w:val="16"/>
      <w:lang w:eastAsia="en-GB" w:bidi="ar-SA"/>
    </w:rPr>
  </w:style>
  <w:style w:type="character" w:customStyle="1" w:styleId="BalloonTextChar">
    <w:name w:val="Balloon Text Char"/>
    <w:basedOn w:val="DefaultParagraphFont"/>
    <w:link w:val="BalloonText"/>
    <w:uiPriority w:val="99"/>
    <w:semiHidden/>
    <w:rsid w:val="00F37F0F"/>
    <w:rPr>
      <w:rFonts w:ascii="Tahoma" w:eastAsia="Times New Roman" w:hAnsi="Tahoma" w:cs="Tahoma"/>
      <w:sz w:val="16"/>
      <w:szCs w:val="16"/>
      <w:lang w:val="en-GB" w:eastAsia="en-GB" w:bidi="ar-SA"/>
    </w:rPr>
  </w:style>
  <w:style w:type="paragraph" w:styleId="BodyTextIndent">
    <w:name w:val="Body Text Indent"/>
    <w:basedOn w:val="Normal"/>
    <w:link w:val="BodyTextIndentChar"/>
    <w:unhideWhenUsed/>
    <w:rsid w:val="00F37F0F"/>
    <w:pPr>
      <w:spacing w:after="120"/>
      <w:ind w:left="283"/>
    </w:pPr>
  </w:style>
  <w:style w:type="character" w:customStyle="1" w:styleId="BodyTextIndentChar">
    <w:name w:val="Body Text Indent Char"/>
    <w:basedOn w:val="DefaultParagraphFont"/>
    <w:link w:val="BodyTextIndent"/>
    <w:uiPriority w:val="99"/>
    <w:semiHidden/>
    <w:rsid w:val="00F37F0F"/>
    <w:rPr>
      <w:lang w:val="en-GB"/>
    </w:rPr>
  </w:style>
  <w:style w:type="paragraph" w:styleId="BodyText">
    <w:name w:val="Body Text"/>
    <w:basedOn w:val="Normal"/>
    <w:link w:val="BodyTextChar"/>
    <w:unhideWhenUsed/>
    <w:rsid w:val="009F601A"/>
    <w:pPr>
      <w:spacing w:after="120"/>
    </w:pPr>
  </w:style>
  <w:style w:type="character" w:customStyle="1" w:styleId="BodyTextChar">
    <w:name w:val="Body Text Char"/>
    <w:basedOn w:val="DefaultParagraphFont"/>
    <w:link w:val="BodyText"/>
    <w:uiPriority w:val="99"/>
    <w:semiHidden/>
    <w:rsid w:val="009F601A"/>
    <w:rPr>
      <w:lang w:val="en-GB"/>
    </w:rPr>
  </w:style>
  <w:style w:type="character" w:customStyle="1" w:styleId="Char">
    <w:name w:val="Char"/>
    <w:basedOn w:val="DefaultParagraphFont"/>
    <w:rsid w:val="009F601A"/>
    <w:rPr>
      <w:rFonts w:ascii="Arial" w:hAnsi="Arial" w:cs="Arial"/>
      <w:b/>
      <w:bCs/>
      <w:sz w:val="26"/>
      <w:szCs w:val="26"/>
      <w:lang w:val="en-GB" w:eastAsia="en-US" w:bidi="ar-SA"/>
    </w:rPr>
  </w:style>
  <w:style w:type="paragraph" w:styleId="HTMLPreformatted">
    <w:name w:val="HTML Preformatted"/>
    <w:basedOn w:val="Normal"/>
    <w:link w:val="HTMLPreformattedChar"/>
    <w:rsid w:val="009F6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bidi="ar-SA"/>
    </w:rPr>
  </w:style>
  <w:style w:type="character" w:customStyle="1" w:styleId="HTMLPreformattedChar">
    <w:name w:val="HTML Preformatted Char"/>
    <w:basedOn w:val="DefaultParagraphFont"/>
    <w:link w:val="HTMLPreformatted"/>
    <w:rsid w:val="009F601A"/>
    <w:rPr>
      <w:rFonts w:ascii="Courier New" w:eastAsia="Times New Roman" w:hAnsi="Courier New" w:cs="Courier New"/>
      <w:sz w:val="20"/>
      <w:szCs w:val="20"/>
      <w:lang w:bidi="ar-SA"/>
    </w:rPr>
  </w:style>
  <w:style w:type="paragraph" w:customStyle="1" w:styleId="Default">
    <w:name w:val="Default"/>
    <w:rsid w:val="000923BB"/>
    <w:pPr>
      <w:autoSpaceDE w:val="0"/>
      <w:autoSpaceDN w:val="0"/>
      <w:adjustRightInd w:val="0"/>
      <w:spacing w:after="0" w:line="240" w:lineRule="auto"/>
    </w:pPr>
    <w:rPr>
      <w:rFonts w:eastAsia="Times New Roman" w:cs="Arial"/>
      <w:color w:val="000000"/>
      <w:lang w:val="en-GB" w:eastAsia="en-GB" w:bidi="ar-SA"/>
    </w:rPr>
  </w:style>
  <w:style w:type="paragraph" w:customStyle="1" w:styleId="Header1">
    <w:name w:val="Header+1"/>
    <w:basedOn w:val="Default"/>
    <w:next w:val="Default"/>
    <w:rsid w:val="000923BB"/>
    <w:rPr>
      <w:rFonts w:cs="Times New Roman"/>
      <w:color w:val="auto"/>
    </w:rPr>
  </w:style>
  <w:style w:type="paragraph" w:customStyle="1" w:styleId="Normal1">
    <w:name w:val="Normal+1"/>
    <w:basedOn w:val="Default"/>
    <w:next w:val="Default"/>
    <w:rsid w:val="000923BB"/>
    <w:rPr>
      <w:rFonts w:cs="Times New Roman"/>
      <w:color w:val="auto"/>
    </w:rPr>
  </w:style>
  <w:style w:type="character" w:styleId="CommentReference">
    <w:name w:val="annotation reference"/>
    <w:basedOn w:val="DefaultParagraphFont"/>
    <w:uiPriority w:val="99"/>
    <w:semiHidden/>
    <w:rsid w:val="000923BB"/>
    <w:rPr>
      <w:sz w:val="16"/>
      <w:szCs w:val="16"/>
    </w:rPr>
  </w:style>
  <w:style w:type="paragraph" w:styleId="CommentSubject">
    <w:name w:val="annotation subject"/>
    <w:basedOn w:val="CommentText"/>
    <w:next w:val="CommentText"/>
    <w:link w:val="CommentSubjectChar"/>
    <w:uiPriority w:val="99"/>
    <w:semiHidden/>
    <w:rsid w:val="000923BB"/>
    <w:rPr>
      <w:rFonts w:ascii="Times New Roman" w:hAnsi="Times New Roman" w:cs="Times New Roman"/>
      <w:b/>
      <w:bCs/>
    </w:rPr>
  </w:style>
  <w:style w:type="character" w:customStyle="1" w:styleId="CommentSubjectChar">
    <w:name w:val="Comment Subject Char"/>
    <w:basedOn w:val="CommentTextChar"/>
    <w:link w:val="CommentSubject"/>
    <w:uiPriority w:val="99"/>
    <w:semiHidden/>
    <w:rsid w:val="000923BB"/>
    <w:rPr>
      <w:rFonts w:ascii="Times New Roman" w:eastAsia="Times New Roman" w:hAnsi="Times New Roman" w:cs="Arial"/>
      <w:b/>
      <w:bCs/>
      <w:sz w:val="20"/>
      <w:szCs w:val="20"/>
      <w:lang w:val="en-GB" w:eastAsia="en-GB" w:bidi="ar-SA"/>
    </w:rPr>
  </w:style>
  <w:style w:type="paragraph" w:styleId="NormalWeb">
    <w:name w:val="Normal (Web)"/>
    <w:basedOn w:val="Normal"/>
    <w:rsid w:val="000923BB"/>
    <w:pPr>
      <w:spacing w:before="100" w:beforeAutospacing="1" w:after="100" w:afterAutospacing="1" w:line="240" w:lineRule="auto"/>
    </w:pPr>
    <w:rPr>
      <w:rFonts w:ascii="Times New Roman" w:eastAsia="Times New Roman" w:hAnsi="Times New Roman"/>
      <w:lang w:eastAsia="en-GB" w:bidi="ar-SA"/>
    </w:rPr>
  </w:style>
  <w:style w:type="paragraph" w:customStyle="1" w:styleId="ParagraphHeading">
    <w:name w:val="Paragraph Heading"/>
    <w:basedOn w:val="Normal"/>
    <w:rsid w:val="000923BB"/>
    <w:pPr>
      <w:spacing w:before="120" w:after="120" w:line="240" w:lineRule="auto"/>
    </w:pPr>
    <w:rPr>
      <w:rFonts w:eastAsia="Times New Roman" w:cs="Arial"/>
      <w:b/>
      <w:lang w:bidi="ar-SA"/>
    </w:rPr>
  </w:style>
  <w:style w:type="paragraph" w:customStyle="1" w:styleId="Text">
    <w:name w:val="Text"/>
    <w:basedOn w:val="Normal"/>
    <w:rsid w:val="000923BB"/>
    <w:pPr>
      <w:spacing w:before="120" w:after="240" w:line="240" w:lineRule="auto"/>
      <w:jc w:val="both"/>
    </w:pPr>
    <w:rPr>
      <w:rFonts w:eastAsia="Times New Roman" w:cs="Arial"/>
      <w:sz w:val="22"/>
      <w:szCs w:val="22"/>
      <w:lang w:bidi="ar-SA"/>
    </w:rPr>
  </w:style>
  <w:style w:type="paragraph" w:customStyle="1" w:styleId="Bullets">
    <w:name w:val="Bullets"/>
    <w:basedOn w:val="Text"/>
    <w:rsid w:val="000923BB"/>
    <w:pPr>
      <w:numPr>
        <w:numId w:val="17"/>
      </w:numPr>
      <w:spacing w:before="0"/>
    </w:pPr>
  </w:style>
  <w:style w:type="character" w:customStyle="1" w:styleId="citation">
    <w:name w:val="citation"/>
    <w:basedOn w:val="DefaultParagraphFont"/>
    <w:rsid w:val="00C646D5"/>
  </w:style>
  <w:style w:type="character" w:customStyle="1" w:styleId="ref-journal">
    <w:name w:val="ref-journal"/>
    <w:basedOn w:val="DefaultParagraphFont"/>
    <w:rsid w:val="00C646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ho.int/patientsafety/events/05/Reporting_Guidelines.pdf" TargetMode="External"/><Relationship Id="rId117" Type="http://schemas.openxmlformats.org/officeDocument/2006/relationships/image" Target="media/image60.emf"/><Relationship Id="rId21" Type="http://schemas.openxmlformats.org/officeDocument/2006/relationships/oleObject" Target="embeddings/oleObject2.bin"/><Relationship Id="rId42" Type="http://schemas.openxmlformats.org/officeDocument/2006/relationships/hyperlink" Target="http://www.ctlab.org/pdf%20files/brieflookatgapsBackpageRevf.pdf" TargetMode="External"/><Relationship Id="rId47" Type="http://schemas.openxmlformats.org/officeDocument/2006/relationships/image" Target="media/image4.wmf"/><Relationship Id="rId63" Type="http://schemas.openxmlformats.org/officeDocument/2006/relationships/image" Target="media/image14.emf"/><Relationship Id="rId68" Type="http://schemas.openxmlformats.org/officeDocument/2006/relationships/image" Target="media/image19.emf"/><Relationship Id="rId84" Type="http://schemas.openxmlformats.org/officeDocument/2006/relationships/image" Target="media/image35.png"/><Relationship Id="rId89" Type="http://schemas.openxmlformats.org/officeDocument/2006/relationships/image" Target="media/image40.emf"/><Relationship Id="rId112" Type="http://schemas.openxmlformats.org/officeDocument/2006/relationships/image" Target="media/image55.emf"/><Relationship Id="rId16" Type="http://schemas.openxmlformats.org/officeDocument/2006/relationships/hyperlink" Target="http://urn.kb.se/resolve?urn=urn:se:liu:diva-80325" TargetMode="External"/><Relationship Id="rId107" Type="http://schemas.openxmlformats.org/officeDocument/2006/relationships/hyperlink" Target="http://www.drfoster.co.uk/hospitalreport/pdfs/howGood.pdf" TargetMode="External"/><Relationship Id="rId11" Type="http://schemas.openxmlformats.org/officeDocument/2006/relationships/hyperlink" Target="http://www.qualityindicators.ahrq.gov/psi_overview.htm" TargetMode="External"/><Relationship Id="rId32" Type="http://schemas.openxmlformats.org/officeDocument/2006/relationships/hyperlink" Target="http://ratings2004.healthcarecommission.org.uk/cluster.asp" TargetMode="External"/><Relationship Id="rId37" Type="http://schemas.openxmlformats.org/officeDocument/2006/relationships/hyperlink" Target="http://www.biomedcentral.com/1472-6963/7/89" TargetMode="External"/><Relationship Id="rId53" Type="http://schemas.openxmlformats.org/officeDocument/2006/relationships/image" Target="media/image5.emf"/><Relationship Id="rId58" Type="http://schemas.openxmlformats.org/officeDocument/2006/relationships/image" Target="media/image9.png"/><Relationship Id="rId74" Type="http://schemas.openxmlformats.org/officeDocument/2006/relationships/image" Target="media/image25.emf"/><Relationship Id="rId79" Type="http://schemas.openxmlformats.org/officeDocument/2006/relationships/image" Target="media/image30.emf"/><Relationship Id="rId102" Type="http://schemas.openxmlformats.org/officeDocument/2006/relationships/hyperlink" Target="http://www.biomedcentral.com/1472-6963/4/9" TargetMode="External"/><Relationship Id="rId123" Type="http://schemas.openxmlformats.org/officeDocument/2006/relationships/image" Target="media/image66.emf"/><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41.emf"/><Relationship Id="rId95" Type="http://schemas.openxmlformats.org/officeDocument/2006/relationships/image" Target="media/image46.emf"/><Relationship Id="rId22" Type="http://schemas.openxmlformats.org/officeDocument/2006/relationships/hyperlink" Target="http://www.dh.gov.uk/assetRoot/04/08/89/48/04088948.pdf" TargetMode="External"/><Relationship Id="rId27" Type="http://schemas.openxmlformats.org/officeDocument/2006/relationships/hyperlink" Target="http://www.who-ipsec.org" TargetMode="External"/><Relationship Id="rId43" Type="http://schemas.openxmlformats.org/officeDocument/2006/relationships/hyperlink" Target="http://www.modern.nhs.uk/improvementguides/process/" TargetMode="External"/><Relationship Id="rId48" Type="http://schemas.openxmlformats.org/officeDocument/2006/relationships/oleObject" Target="embeddings/oleObject4.bin"/><Relationship Id="rId64" Type="http://schemas.openxmlformats.org/officeDocument/2006/relationships/image" Target="media/image15.emf"/><Relationship Id="rId69" Type="http://schemas.openxmlformats.org/officeDocument/2006/relationships/image" Target="media/image20.emf"/><Relationship Id="rId113" Type="http://schemas.openxmlformats.org/officeDocument/2006/relationships/image" Target="media/image56.emf"/><Relationship Id="rId118" Type="http://schemas.openxmlformats.org/officeDocument/2006/relationships/image" Target="media/image61.emf"/><Relationship Id="rId80" Type="http://schemas.openxmlformats.org/officeDocument/2006/relationships/image" Target="media/image31.emf"/><Relationship Id="rId85" Type="http://schemas.openxmlformats.org/officeDocument/2006/relationships/image" Target="media/image36.emf"/><Relationship Id="rId12" Type="http://schemas.openxmlformats.org/officeDocument/2006/relationships/hyperlink" Target="http://www.apsf.org/newsletters/html/2003/spring/hromodel.htm" TargetMode="External"/><Relationship Id="rId17" Type="http://schemas.openxmlformats.org/officeDocument/2006/relationships/hyperlink" Target="mailto:allen.hutchinson@sheffield.ac.uk" TargetMode="External"/><Relationship Id="rId33" Type="http://schemas.openxmlformats.org/officeDocument/2006/relationships/hyperlink" Target="http://www.hesonline.nhs.uk/Ease/servlet/ContentServer?siteID=1937&amp;categoryID=212" TargetMode="External"/><Relationship Id="rId38" Type="http://schemas.openxmlformats.org/officeDocument/2006/relationships/hyperlink" Target="mailto:jane@darwin.co.uk" TargetMode="External"/><Relationship Id="rId59" Type="http://schemas.openxmlformats.org/officeDocument/2006/relationships/image" Target="media/image10.png"/><Relationship Id="rId103" Type="http://schemas.openxmlformats.org/officeDocument/2006/relationships/hyperlink" Target="http://www.hesonline.nhs.uk/Ease/servlet/ContentServer?siteID=1937&amp;categoryID=212" TargetMode="External"/><Relationship Id="rId108" Type="http://schemas.openxmlformats.org/officeDocument/2006/relationships/hyperlink" Target="http://www.healthcarecommission.org.uk/nationalfindings/surveys.cfm" TargetMode="External"/><Relationship Id="rId124" Type="http://schemas.openxmlformats.org/officeDocument/2006/relationships/hyperlink" Target="http://www.nao.org.uk/pn/05-06/0506452.htm" TargetMode="External"/><Relationship Id="rId54" Type="http://schemas.openxmlformats.org/officeDocument/2006/relationships/oleObject" Target="embeddings/oleObject5.bin"/><Relationship Id="rId70" Type="http://schemas.openxmlformats.org/officeDocument/2006/relationships/image" Target="media/image21.emf"/><Relationship Id="rId75" Type="http://schemas.openxmlformats.org/officeDocument/2006/relationships/image" Target="media/image26.emf"/><Relationship Id="rId91" Type="http://schemas.openxmlformats.org/officeDocument/2006/relationships/image" Target="media/image42.emf"/><Relationship Id="rId96"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ahrq.gov/qual/taskforce/hhsrepor.htm" TargetMode="External"/><Relationship Id="rId28" Type="http://schemas.openxmlformats.org/officeDocument/2006/relationships/hyperlink" Target="http://www.hpa.org.uk/infections/topics_az/hai/mandatory_report_2006.htm" TargetMode="External"/><Relationship Id="rId49" Type="http://schemas.openxmlformats.org/officeDocument/2006/relationships/hyperlink" Target="http://eprints.whiterose.ac.uk/10704/" TargetMode="External"/><Relationship Id="rId114" Type="http://schemas.openxmlformats.org/officeDocument/2006/relationships/image" Target="media/image57.emf"/><Relationship Id="rId119" Type="http://schemas.openxmlformats.org/officeDocument/2006/relationships/image" Target="media/image62.emf"/><Relationship Id="rId44" Type="http://schemas.openxmlformats.org/officeDocument/2006/relationships/footer" Target="footer1.xml"/><Relationship Id="rId60" Type="http://schemas.openxmlformats.org/officeDocument/2006/relationships/image" Target="media/image11.emf"/><Relationship Id="rId65" Type="http://schemas.openxmlformats.org/officeDocument/2006/relationships/image" Target="media/image16.emf"/><Relationship Id="rId81" Type="http://schemas.openxmlformats.org/officeDocument/2006/relationships/image" Target="media/image32.emf"/><Relationship Id="rId86" Type="http://schemas.openxmlformats.org/officeDocument/2006/relationships/image" Target="media/image37.emf"/><Relationship Id="rId13" Type="http://schemas.openxmlformats.org/officeDocument/2006/relationships/hyperlink" Target="http://www.healthcarecommission.org.uk/nationalfindings/surveys.cfm" TargetMode="External"/><Relationship Id="rId18" Type="http://schemas.openxmlformats.org/officeDocument/2006/relationships/image" Target="media/image1.wmf"/><Relationship Id="rId39" Type="http://schemas.openxmlformats.org/officeDocument/2006/relationships/hyperlink" Target="mailto:Allen.Hutchinson@sheffield.ac.uk" TargetMode="External"/><Relationship Id="rId109" Type="http://schemas.openxmlformats.org/officeDocument/2006/relationships/hyperlink" Target="http://www.npsa.nhs.uk/site/media/documents/1953_NRLS_Data.pdf" TargetMode="External"/><Relationship Id="rId34" Type="http://schemas.openxmlformats.org/officeDocument/2006/relationships/hyperlink" Target="http://www.drfoster.co.uk/hospitalreport/pdfs/howGood.pdf" TargetMode="External"/><Relationship Id="rId50" Type="http://schemas.openxmlformats.org/officeDocument/2006/relationships/hyperlink" Target="mailto:Allen.Hutchinson@sheffield.ac.uk" TargetMode="External"/><Relationship Id="rId55" Type="http://schemas.openxmlformats.org/officeDocument/2006/relationships/image" Target="media/image6.emf"/><Relationship Id="rId76" Type="http://schemas.openxmlformats.org/officeDocument/2006/relationships/image" Target="media/image27.emf"/><Relationship Id="rId97" Type="http://schemas.openxmlformats.org/officeDocument/2006/relationships/image" Target="media/image48.emf"/><Relationship Id="rId104" Type="http://schemas.openxmlformats.org/officeDocument/2006/relationships/hyperlink" Target="http://www.biomedcentral.com/1472-6963/7/91" TargetMode="External"/><Relationship Id="rId120" Type="http://schemas.openxmlformats.org/officeDocument/2006/relationships/image" Target="media/image63.emf"/><Relationship Id="rId125" Type="http://schemas.openxmlformats.org/officeDocument/2006/relationships/hyperlink" Target="http://www.IHI.org" TargetMode="External"/><Relationship Id="rId7" Type="http://schemas.openxmlformats.org/officeDocument/2006/relationships/endnotes" Target="endnotes.xml"/><Relationship Id="rId71" Type="http://schemas.openxmlformats.org/officeDocument/2006/relationships/image" Target="media/image22.emf"/><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hyperlink" Target="http://www.mhra.gov.uk/home/idcplg?IdcService=SS_GET_PAGE&amp;nodeId=355" TargetMode="External"/><Relationship Id="rId24" Type="http://schemas.openxmlformats.org/officeDocument/2006/relationships/hyperlink" Target="http://www.npsa.nhs.uk/health/reporting/background" TargetMode="External"/><Relationship Id="rId40" Type="http://schemas.openxmlformats.org/officeDocument/2006/relationships/hyperlink" Target="mailto:kjhamilton@wisc.edu" TargetMode="External"/><Relationship Id="rId45" Type="http://schemas.openxmlformats.org/officeDocument/2006/relationships/image" Target="media/image3.wmf"/><Relationship Id="rId66" Type="http://schemas.openxmlformats.org/officeDocument/2006/relationships/image" Target="media/image17.emf"/><Relationship Id="rId87" Type="http://schemas.openxmlformats.org/officeDocument/2006/relationships/image" Target="media/image38.emf"/><Relationship Id="rId110" Type="http://schemas.openxmlformats.org/officeDocument/2006/relationships/image" Target="media/image53.jpeg"/><Relationship Id="rId115" Type="http://schemas.openxmlformats.org/officeDocument/2006/relationships/image" Target="media/image58.emf"/><Relationship Id="rId61" Type="http://schemas.openxmlformats.org/officeDocument/2006/relationships/image" Target="media/image12.emf"/><Relationship Id="rId82" Type="http://schemas.openxmlformats.org/officeDocument/2006/relationships/image" Target="media/image33.emf"/><Relationship Id="rId19" Type="http://schemas.openxmlformats.org/officeDocument/2006/relationships/oleObject" Target="embeddings/oleObject1.bin"/><Relationship Id="rId14" Type="http://schemas.openxmlformats.org/officeDocument/2006/relationships/hyperlink" Target="http://www.ctlab.org/documents/AHRQ-PathToResillInAmbCare-Sep08.pdf" TargetMode="External"/><Relationship Id="rId30" Type="http://schemas.openxmlformats.org/officeDocument/2006/relationships/hyperlink" Target="http://www.healthcarecommission.org.uk/nationalfindings/surveys.cfm" TargetMode="External"/><Relationship Id="rId35" Type="http://schemas.openxmlformats.org/officeDocument/2006/relationships/hyperlink" Target="http://www.qualityindicators.ahrq.gov/psi_overview.htm" TargetMode="External"/><Relationship Id="rId56" Type="http://schemas.openxmlformats.org/officeDocument/2006/relationships/image" Target="media/image7.emf"/><Relationship Id="rId77" Type="http://schemas.openxmlformats.org/officeDocument/2006/relationships/image" Target="media/image28.emf"/><Relationship Id="rId100" Type="http://schemas.openxmlformats.org/officeDocument/2006/relationships/image" Target="media/image51.emf"/><Relationship Id="rId105" Type="http://schemas.openxmlformats.org/officeDocument/2006/relationships/hyperlink" Target="http://www.nhsemployers.org/restricted/downloads/download.asp?ref=363&amp;hash=%200bb7dc2313394a93337d3adf51cf6c3f&amp;itemplate=e_aboutus_3col_aboutus-2028" TargetMode="External"/><Relationship Id="rId126" Type="http://schemas.openxmlformats.org/officeDocument/2006/relationships/hyperlink" Target="mailto:allen.hutchinson@sheffield.ac.uk" TargetMode="External"/><Relationship Id="rId8" Type="http://schemas.openxmlformats.org/officeDocument/2006/relationships/hyperlink" Target="http://www.sherpa.ac.uk/romeo/search.php" TargetMode="External"/><Relationship Id="rId51" Type="http://schemas.openxmlformats.org/officeDocument/2006/relationships/footer" Target="footer2.xml"/><Relationship Id="rId72" Type="http://schemas.openxmlformats.org/officeDocument/2006/relationships/image" Target="media/image23.emf"/><Relationship Id="rId93" Type="http://schemas.openxmlformats.org/officeDocument/2006/relationships/image" Target="media/image44.emf"/><Relationship Id="rId98" Type="http://schemas.openxmlformats.org/officeDocument/2006/relationships/image" Target="media/image49.emf"/><Relationship Id="rId121" Type="http://schemas.openxmlformats.org/officeDocument/2006/relationships/image" Target="media/image64.emf"/><Relationship Id="rId3" Type="http://schemas.openxmlformats.org/officeDocument/2006/relationships/styles" Target="styles.xml"/><Relationship Id="rId25" Type="http://schemas.openxmlformats.org/officeDocument/2006/relationships/hyperlink" Target="http://www.npsa.nhs.uk/site/media/documents/1953_NRLS_Data.pdf" TargetMode="External"/><Relationship Id="rId46" Type="http://schemas.openxmlformats.org/officeDocument/2006/relationships/oleObject" Target="embeddings/oleObject3.bin"/><Relationship Id="rId67" Type="http://schemas.openxmlformats.org/officeDocument/2006/relationships/image" Target="media/image18.emf"/><Relationship Id="rId116" Type="http://schemas.openxmlformats.org/officeDocument/2006/relationships/image" Target="media/image59.emf"/><Relationship Id="rId20" Type="http://schemas.openxmlformats.org/officeDocument/2006/relationships/image" Target="media/image2.wmf"/><Relationship Id="rId41" Type="http://schemas.openxmlformats.org/officeDocument/2006/relationships/hyperlink" Target="mailto:Rod.Lawson@sth.nhs.uk" TargetMode="External"/><Relationship Id="rId62" Type="http://schemas.openxmlformats.org/officeDocument/2006/relationships/image" Target="media/image13.emf"/><Relationship Id="rId83" Type="http://schemas.openxmlformats.org/officeDocument/2006/relationships/image" Target="media/image34.emf"/><Relationship Id="rId88" Type="http://schemas.openxmlformats.org/officeDocument/2006/relationships/image" Target="media/image39.emf"/><Relationship Id="rId111" Type="http://schemas.openxmlformats.org/officeDocument/2006/relationships/image" Target="media/image54.emf"/><Relationship Id="rId15" Type="http://schemas.openxmlformats.org/officeDocument/2006/relationships/hyperlink" Target="http://www.ctlab.org/documents/heinmedv26-gaps%20and%20resilience.pdf" TargetMode="External"/><Relationship Id="rId36" Type="http://schemas.openxmlformats.org/officeDocument/2006/relationships/hyperlink" Target="http://www.npsa.nhs.uk/site/media/documents/1246_PSO_Report_FINAL.pdf" TargetMode="External"/><Relationship Id="rId57" Type="http://schemas.openxmlformats.org/officeDocument/2006/relationships/image" Target="media/image8.png"/><Relationship Id="rId106" Type="http://schemas.openxmlformats.org/officeDocument/2006/relationships/hyperlink" Target="http://www.healthcarecommission.org.uk/nationalfindings/surveys.cfm" TargetMode="External"/><Relationship Id="rId127" Type="http://schemas.openxmlformats.org/officeDocument/2006/relationships/fontTable" Target="fontTable.xml"/><Relationship Id="rId10" Type="http://schemas.openxmlformats.org/officeDocument/2006/relationships/hyperlink" Target="http://www.biomedcentral.com/1472-6963/7/89" TargetMode="External"/><Relationship Id="rId31" Type="http://schemas.openxmlformats.org/officeDocument/2006/relationships/hyperlink" Target="http://www.nhsla.com/RiskManagement/" TargetMode="External"/><Relationship Id="rId52" Type="http://schemas.openxmlformats.org/officeDocument/2006/relationships/footer" Target="footer3.xml"/><Relationship Id="rId73" Type="http://schemas.openxmlformats.org/officeDocument/2006/relationships/image" Target="media/image24.emf"/><Relationship Id="rId78" Type="http://schemas.openxmlformats.org/officeDocument/2006/relationships/image" Target="media/image29.emf"/><Relationship Id="rId94" Type="http://schemas.openxmlformats.org/officeDocument/2006/relationships/image" Target="media/image45.emf"/><Relationship Id="rId99" Type="http://schemas.openxmlformats.org/officeDocument/2006/relationships/image" Target="media/image50.emf"/><Relationship Id="rId101" Type="http://schemas.openxmlformats.org/officeDocument/2006/relationships/image" Target="media/image52.emf"/><Relationship Id="rId122" Type="http://schemas.openxmlformats.org/officeDocument/2006/relationships/image" Target="media/image65.emf"/><Relationship Id="rId4" Type="http://schemas.openxmlformats.org/officeDocument/2006/relationships/settings" Target="settings.xml"/><Relationship Id="rId9" Type="http://schemas.openxmlformats.org/officeDocument/2006/relationships/hyperlink" Target="mailto:allen.hutchinson@sheffield.ac.uk" TargetMode="External"/></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97AAE3-27B6-4A8A-B855-F090DF89D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361</Pages>
  <Words>87647</Words>
  <Characters>499594</Characters>
  <Application>Microsoft Office Word</Application>
  <DocSecurity>0</DocSecurity>
  <Lines>4163</Lines>
  <Paragraphs>1172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Joanne Rowlands</cp:lastModifiedBy>
  <cp:revision>3</cp:revision>
  <cp:lastPrinted>2014-02-13T13:33:00Z</cp:lastPrinted>
  <dcterms:created xsi:type="dcterms:W3CDTF">2023-12-18T16:36:00Z</dcterms:created>
  <dcterms:modified xsi:type="dcterms:W3CDTF">2023-12-18T16:36:00Z</dcterms:modified>
</cp:coreProperties>
</file>